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B06AC" w14:textId="300232A7" w:rsidR="000C7C2E" w:rsidRDefault="000C7C2E" w:rsidP="000C7C2E">
      <w:pPr>
        <w:pStyle w:val="Textoindependiente"/>
        <w:spacing w:before="7"/>
        <w:rPr>
          <w:rFonts w:ascii="Times New Roman"/>
          <w:sz w:val="19"/>
        </w:rPr>
      </w:pPr>
    </w:p>
    <w:p w14:paraId="5F5DF7B3" w14:textId="32F46F5C" w:rsidR="008A7E88" w:rsidRDefault="008A7E88" w:rsidP="000C7C2E">
      <w:pPr>
        <w:pStyle w:val="Textoindependiente"/>
        <w:spacing w:before="7"/>
        <w:rPr>
          <w:rFonts w:ascii="Times New Roman"/>
          <w:sz w:val="19"/>
        </w:rPr>
      </w:pPr>
    </w:p>
    <w:p w14:paraId="6660F463" w14:textId="308C5D3F" w:rsidR="008A7E88" w:rsidRDefault="008A7E88" w:rsidP="000C7C2E">
      <w:pPr>
        <w:pStyle w:val="Textoindependiente"/>
        <w:spacing w:before="7"/>
        <w:rPr>
          <w:rFonts w:ascii="Times New Roman"/>
          <w:sz w:val="19"/>
        </w:rPr>
      </w:pPr>
    </w:p>
    <w:p w14:paraId="13E20737" w14:textId="613B8DD6" w:rsidR="008A7E88" w:rsidRDefault="008A7E88" w:rsidP="000C7C2E">
      <w:pPr>
        <w:pStyle w:val="Textoindependiente"/>
        <w:spacing w:before="7"/>
        <w:rPr>
          <w:rFonts w:ascii="Times New Roman"/>
          <w:sz w:val="19"/>
        </w:rPr>
      </w:pPr>
    </w:p>
    <w:p w14:paraId="44BD482C" w14:textId="43737798" w:rsidR="008A7E88" w:rsidRDefault="008A7E88" w:rsidP="000C7C2E">
      <w:pPr>
        <w:pStyle w:val="Textoindependiente"/>
        <w:spacing w:before="7"/>
        <w:rPr>
          <w:rFonts w:ascii="Times New Roman"/>
          <w:sz w:val="19"/>
        </w:rPr>
      </w:pPr>
    </w:p>
    <w:p w14:paraId="3FBFDD55" w14:textId="072EEEC9" w:rsidR="008A7E88" w:rsidRDefault="008A7E88" w:rsidP="000C7C2E">
      <w:pPr>
        <w:pStyle w:val="Textoindependiente"/>
        <w:spacing w:before="7"/>
        <w:rPr>
          <w:rFonts w:ascii="Times New Roman"/>
          <w:sz w:val="19"/>
        </w:rPr>
      </w:pPr>
    </w:p>
    <w:p w14:paraId="2E8B3D1C" w14:textId="2EB41578" w:rsidR="008A7E88" w:rsidRDefault="008A7E88" w:rsidP="000C7C2E">
      <w:pPr>
        <w:pStyle w:val="Textoindependiente"/>
        <w:spacing w:before="7"/>
        <w:rPr>
          <w:rFonts w:ascii="Times New Roman"/>
          <w:sz w:val="19"/>
        </w:rPr>
      </w:pPr>
    </w:p>
    <w:p w14:paraId="4DA85C35" w14:textId="77777777" w:rsidR="008A7E88" w:rsidRDefault="008A7E88" w:rsidP="000C7C2E">
      <w:pPr>
        <w:pStyle w:val="Textoindependiente"/>
        <w:spacing w:before="7"/>
        <w:rPr>
          <w:rFonts w:ascii="Times New Roman"/>
          <w:sz w:val="19"/>
        </w:rPr>
      </w:pPr>
    </w:p>
    <w:p w14:paraId="311BA9C2" w14:textId="77777777" w:rsidR="000C7C2E" w:rsidRPr="003B0DBA" w:rsidRDefault="000C7C2E" w:rsidP="000C7C2E">
      <w:pPr>
        <w:pStyle w:val="Textoindependiente"/>
        <w:spacing w:before="7"/>
        <w:rPr>
          <w:rFonts w:ascii="Times New Roman"/>
          <w:sz w:val="19"/>
        </w:rPr>
      </w:pPr>
    </w:p>
    <w:p w14:paraId="0D4C56F0" w14:textId="77777777" w:rsidR="000C7C2E" w:rsidRDefault="000C7C2E" w:rsidP="000C7C2E">
      <w:pPr>
        <w:jc w:val="center"/>
        <w:rPr>
          <w:b/>
          <w:sz w:val="20"/>
        </w:rPr>
      </w:pPr>
      <w:bookmarkStart w:id="0" w:name="seriec_419_esp"/>
      <w:bookmarkEnd w:id="0"/>
      <w:r w:rsidRPr="003B0DBA">
        <w:rPr>
          <w:b/>
          <w:sz w:val="20"/>
        </w:rPr>
        <w:t xml:space="preserve">CORTE INTERAMERICANA DE DERECHOS HUMANOS </w:t>
      </w:r>
    </w:p>
    <w:p w14:paraId="44AFF866" w14:textId="77777777" w:rsidR="000C7C2E" w:rsidRDefault="000C7C2E" w:rsidP="000C7C2E">
      <w:pPr>
        <w:jc w:val="center"/>
        <w:rPr>
          <w:b/>
          <w:sz w:val="20"/>
        </w:rPr>
      </w:pPr>
    </w:p>
    <w:p w14:paraId="2DD93846" w14:textId="77777777" w:rsidR="000C7C2E" w:rsidRDefault="000C7C2E" w:rsidP="000C7C2E">
      <w:pPr>
        <w:jc w:val="center"/>
        <w:rPr>
          <w:b/>
          <w:sz w:val="20"/>
        </w:rPr>
      </w:pPr>
      <w:r w:rsidRPr="003B0DBA">
        <w:rPr>
          <w:b/>
          <w:sz w:val="20"/>
        </w:rPr>
        <w:t xml:space="preserve">CASO </w:t>
      </w:r>
      <w:r>
        <w:rPr>
          <w:b/>
          <w:sz w:val="20"/>
        </w:rPr>
        <w:t>GUERRERO, MOLINA Y OTROS</w:t>
      </w:r>
      <w:r w:rsidRPr="003B0DBA">
        <w:rPr>
          <w:b/>
          <w:sz w:val="20"/>
        </w:rPr>
        <w:t xml:space="preserve"> </w:t>
      </w:r>
      <w:r w:rsidRPr="00A70195">
        <w:rPr>
          <w:b/>
          <w:sz w:val="20"/>
        </w:rPr>
        <w:t>VS.</w:t>
      </w:r>
      <w:r w:rsidRPr="003B0DBA">
        <w:rPr>
          <w:b/>
          <w:i/>
          <w:sz w:val="20"/>
        </w:rPr>
        <w:t xml:space="preserve"> </w:t>
      </w:r>
      <w:r>
        <w:rPr>
          <w:b/>
          <w:sz w:val="20"/>
        </w:rPr>
        <w:t>VENEZUELA</w:t>
      </w:r>
    </w:p>
    <w:p w14:paraId="01509965" w14:textId="77777777" w:rsidR="000C7C2E" w:rsidRDefault="000C7C2E" w:rsidP="000C7C2E">
      <w:pPr>
        <w:jc w:val="center"/>
        <w:rPr>
          <w:b/>
          <w:sz w:val="20"/>
        </w:rPr>
      </w:pPr>
    </w:p>
    <w:p w14:paraId="0C196181" w14:textId="77777777" w:rsidR="000C7C2E" w:rsidRPr="003B0DBA" w:rsidRDefault="000C7C2E" w:rsidP="000C7C2E">
      <w:pPr>
        <w:jc w:val="center"/>
        <w:rPr>
          <w:b/>
          <w:sz w:val="20"/>
        </w:rPr>
      </w:pPr>
      <w:r w:rsidRPr="003B0DBA">
        <w:rPr>
          <w:b/>
          <w:sz w:val="20"/>
        </w:rPr>
        <w:t xml:space="preserve">SENTENCIA DE </w:t>
      </w:r>
      <w:r>
        <w:rPr>
          <w:b/>
          <w:sz w:val="20"/>
        </w:rPr>
        <w:t>3</w:t>
      </w:r>
      <w:r w:rsidRPr="00BB7666">
        <w:rPr>
          <w:b/>
          <w:sz w:val="20"/>
        </w:rPr>
        <w:t xml:space="preserve"> DE JUNIO</w:t>
      </w:r>
      <w:r>
        <w:rPr>
          <w:b/>
          <w:sz w:val="20"/>
        </w:rPr>
        <w:t xml:space="preserve"> </w:t>
      </w:r>
      <w:r w:rsidRPr="003B0DBA">
        <w:rPr>
          <w:b/>
          <w:sz w:val="20"/>
        </w:rPr>
        <w:t>DE 202</w:t>
      </w:r>
      <w:r>
        <w:rPr>
          <w:b/>
          <w:sz w:val="20"/>
        </w:rPr>
        <w:t>1</w:t>
      </w:r>
    </w:p>
    <w:p w14:paraId="44BE52FA" w14:textId="77777777" w:rsidR="000C7C2E" w:rsidRPr="003B0DBA" w:rsidRDefault="000C7C2E" w:rsidP="000C7C2E">
      <w:pPr>
        <w:pStyle w:val="Textoindependiente"/>
        <w:rPr>
          <w:b/>
          <w:sz w:val="19"/>
        </w:rPr>
      </w:pPr>
    </w:p>
    <w:p w14:paraId="5482203E" w14:textId="4EE63F42" w:rsidR="000C7C2E" w:rsidRDefault="000C7C2E" w:rsidP="000C7C2E">
      <w:pPr>
        <w:jc w:val="center"/>
        <w:rPr>
          <w:b/>
          <w:sz w:val="20"/>
        </w:rPr>
      </w:pPr>
      <w:r w:rsidRPr="003B0DBA">
        <w:rPr>
          <w:b/>
          <w:sz w:val="20"/>
        </w:rPr>
        <w:t>(</w:t>
      </w:r>
      <w:r w:rsidRPr="003B0DBA">
        <w:rPr>
          <w:b/>
          <w:i/>
          <w:sz w:val="20"/>
        </w:rPr>
        <w:t>Fondo, Reparaciones y Costas</w:t>
      </w:r>
      <w:r w:rsidRPr="003B0DBA">
        <w:rPr>
          <w:b/>
          <w:sz w:val="20"/>
        </w:rPr>
        <w:t>)</w:t>
      </w:r>
    </w:p>
    <w:p w14:paraId="7215B74B" w14:textId="46259CCD" w:rsidR="008A7E88" w:rsidRDefault="008A7E88" w:rsidP="000C7C2E">
      <w:pPr>
        <w:jc w:val="center"/>
        <w:rPr>
          <w:b/>
          <w:sz w:val="20"/>
        </w:rPr>
      </w:pPr>
    </w:p>
    <w:p w14:paraId="2BFD3552" w14:textId="2BF36441" w:rsidR="008A7E88" w:rsidRDefault="008A7E88" w:rsidP="000C7C2E">
      <w:pPr>
        <w:jc w:val="center"/>
        <w:rPr>
          <w:b/>
          <w:sz w:val="20"/>
        </w:rPr>
      </w:pPr>
    </w:p>
    <w:p w14:paraId="3359E6CF" w14:textId="77777777" w:rsidR="008A7E88" w:rsidRPr="003B0DBA" w:rsidRDefault="008A7E88" w:rsidP="000C7C2E">
      <w:pPr>
        <w:jc w:val="center"/>
        <w:rPr>
          <w:b/>
          <w:sz w:val="20"/>
        </w:rPr>
      </w:pPr>
    </w:p>
    <w:p w14:paraId="1F1BBD65" w14:textId="77777777" w:rsidR="000C7C2E" w:rsidRPr="003B0DBA" w:rsidRDefault="000C7C2E" w:rsidP="000C7C2E">
      <w:pPr>
        <w:pStyle w:val="Textoindependiente"/>
        <w:rPr>
          <w:b/>
          <w:sz w:val="24"/>
        </w:rPr>
      </w:pPr>
    </w:p>
    <w:p w14:paraId="063DA17D" w14:textId="77777777" w:rsidR="000C7C2E" w:rsidRPr="003B0DBA" w:rsidRDefault="000C7C2E" w:rsidP="000C7C2E">
      <w:pPr>
        <w:rPr>
          <w:i/>
          <w:sz w:val="20"/>
        </w:rPr>
      </w:pPr>
      <w:r w:rsidRPr="003B0DBA">
        <w:rPr>
          <w:sz w:val="20"/>
        </w:rPr>
        <w:t xml:space="preserve">En el caso </w:t>
      </w:r>
      <w:r>
        <w:rPr>
          <w:i/>
          <w:sz w:val="20"/>
        </w:rPr>
        <w:t>Guerrero, Molina y otros Vs. Venezuela</w:t>
      </w:r>
      <w:r w:rsidRPr="0024176C">
        <w:rPr>
          <w:sz w:val="20"/>
        </w:rPr>
        <w:t>,</w:t>
      </w:r>
    </w:p>
    <w:p w14:paraId="0568EB11" w14:textId="77777777" w:rsidR="000C7C2E" w:rsidRPr="003B0DBA" w:rsidRDefault="000C7C2E" w:rsidP="000C7C2E">
      <w:pPr>
        <w:pStyle w:val="Textoindependiente"/>
        <w:rPr>
          <w:i/>
        </w:rPr>
      </w:pPr>
    </w:p>
    <w:p w14:paraId="250E9690" w14:textId="77777777" w:rsidR="000C7C2E" w:rsidRPr="003B0DBA" w:rsidRDefault="000C7C2E" w:rsidP="000C7C2E">
      <w:pPr>
        <w:pStyle w:val="Textoindependiente"/>
        <w:tabs>
          <w:tab w:val="left" w:pos="791"/>
          <w:tab w:val="left" w:pos="1554"/>
          <w:tab w:val="left" w:pos="3313"/>
          <w:tab w:val="left" w:pos="3774"/>
          <w:tab w:val="left" w:pos="4931"/>
          <w:tab w:val="left" w:pos="6090"/>
          <w:tab w:val="left" w:pos="6647"/>
          <w:tab w:val="left" w:pos="7731"/>
          <w:tab w:val="left" w:pos="8768"/>
          <w:tab w:val="left" w:pos="9255"/>
        </w:tabs>
      </w:pPr>
      <w:r>
        <w:t>la Corte</w:t>
      </w:r>
      <w:r>
        <w:tab/>
        <w:t xml:space="preserve"> Interamericana de Derechos</w:t>
      </w:r>
      <w:r>
        <w:tab/>
        <w:t>Humanos (en adelante</w:t>
      </w:r>
      <w:r>
        <w:tab/>
        <w:t xml:space="preserve">también “la </w:t>
      </w:r>
      <w:r w:rsidRPr="003B0DBA">
        <w:rPr>
          <w:spacing w:val="-4"/>
        </w:rPr>
        <w:t xml:space="preserve">Corte </w:t>
      </w:r>
      <w:r w:rsidRPr="003B0DBA">
        <w:t>Interamericana”, “la Corte” o “el Tribunal”), integrada por los siguientes</w:t>
      </w:r>
      <w:r w:rsidRPr="003B0DBA">
        <w:rPr>
          <w:spacing w:val="-17"/>
        </w:rPr>
        <w:t xml:space="preserve"> </w:t>
      </w:r>
      <w:r w:rsidRPr="003B0DBA">
        <w:t>jueces</w:t>
      </w:r>
      <w:r w:rsidRPr="00BB7666">
        <w:rPr>
          <w:rStyle w:val="Refdenotaalpie"/>
          <w:b/>
        </w:rPr>
        <w:footnoteReference w:customMarkFollows="1" w:id="1"/>
        <w:sym w:font="Symbol" w:char="F02A"/>
      </w:r>
      <w:r w:rsidRPr="003B0DBA">
        <w:t>:</w:t>
      </w:r>
    </w:p>
    <w:p w14:paraId="3BB2CC4F" w14:textId="77777777" w:rsidR="000C7C2E" w:rsidRPr="003B0DBA" w:rsidRDefault="000C7C2E" w:rsidP="000C7C2E">
      <w:pPr>
        <w:pStyle w:val="Textoindependiente"/>
        <w:rPr>
          <w:sz w:val="19"/>
        </w:rPr>
      </w:pPr>
    </w:p>
    <w:p w14:paraId="5554BCCD" w14:textId="77777777" w:rsidR="000C7C2E" w:rsidRPr="003B0DBA" w:rsidRDefault="000C7C2E" w:rsidP="000C7C2E">
      <w:pPr>
        <w:pStyle w:val="Textoindependiente"/>
      </w:pPr>
      <w:r w:rsidRPr="003B0DBA">
        <w:t xml:space="preserve">Elizabeth Odio Benito, </w:t>
      </w:r>
      <w:proofErr w:type="gramStart"/>
      <w:r w:rsidRPr="003B0DBA">
        <w:t>Presidenta</w:t>
      </w:r>
      <w:proofErr w:type="gramEnd"/>
      <w:r w:rsidRPr="003B0DBA">
        <w:t>;</w:t>
      </w:r>
    </w:p>
    <w:p w14:paraId="2EDBF6F7" w14:textId="77777777" w:rsidR="000C7C2E" w:rsidRDefault="000C7C2E" w:rsidP="000C7C2E">
      <w:pPr>
        <w:pStyle w:val="Textoindependiente"/>
      </w:pPr>
      <w:r w:rsidRPr="003B0DBA">
        <w:t xml:space="preserve">L. Patricio Pazmiño Freire, </w:t>
      </w:r>
      <w:proofErr w:type="gramStart"/>
      <w:r w:rsidRPr="003B0DBA">
        <w:t>Vicepresidente</w:t>
      </w:r>
      <w:proofErr w:type="gramEnd"/>
      <w:r w:rsidRPr="003B0DBA">
        <w:t xml:space="preserve">; </w:t>
      </w:r>
    </w:p>
    <w:p w14:paraId="479E2A30" w14:textId="77777777" w:rsidR="000C7C2E" w:rsidRDefault="000C7C2E" w:rsidP="000C7C2E">
      <w:pPr>
        <w:pStyle w:val="Textoindependiente"/>
      </w:pPr>
      <w:r w:rsidRPr="003B0DBA">
        <w:t xml:space="preserve">Eduardo Vio Grossi, Juez; </w:t>
      </w:r>
    </w:p>
    <w:p w14:paraId="19C53FB8" w14:textId="77777777" w:rsidR="000C7C2E" w:rsidRDefault="000C7C2E" w:rsidP="000C7C2E">
      <w:pPr>
        <w:pStyle w:val="Textoindependiente"/>
      </w:pPr>
      <w:r w:rsidRPr="003B0DBA">
        <w:t>Eduardo Ferrer Mac-</w:t>
      </w:r>
      <w:proofErr w:type="spellStart"/>
      <w:r w:rsidRPr="003B0DBA">
        <w:t>Gregor</w:t>
      </w:r>
      <w:proofErr w:type="spellEnd"/>
      <w:r w:rsidRPr="003B0DBA">
        <w:t xml:space="preserve"> </w:t>
      </w:r>
      <w:proofErr w:type="spellStart"/>
      <w:r w:rsidRPr="003B0DBA">
        <w:t>Poisot</w:t>
      </w:r>
      <w:proofErr w:type="spellEnd"/>
      <w:r w:rsidRPr="003B0DBA">
        <w:t xml:space="preserve">, Juez; </w:t>
      </w:r>
    </w:p>
    <w:p w14:paraId="3F2A25E0" w14:textId="77777777" w:rsidR="000C7C2E" w:rsidRPr="003B0DBA" w:rsidRDefault="000C7C2E" w:rsidP="000C7C2E">
      <w:pPr>
        <w:pStyle w:val="Textoindependiente"/>
      </w:pPr>
      <w:r w:rsidRPr="003B0DBA">
        <w:t>Eugenio Raúl Zaffaroni, Juez, y</w:t>
      </w:r>
    </w:p>
    <w:p w14:paraId="4EFBC669" w14:textId="77777777" w:rsidR="000C7C2E" w:rsidRDefault="000C7C2E" w:rsidP="000C7C2E">
      <w:pPr>
        <w:pStyle w:val="Textoindependiente"/>
      </w:pPr>
      <w:r w:rsidRPr="003B0DBA">
        <w:t xml:space="preserve">Ricardo Pérez Manrique, Juez, </w:t>
      </w:r>
    </w:p>
    <w:p w14:paraId="2BF7814A" w14:textId="77777777" w:rsidR="000C7C2E" w:rsidRDefault="000C7C2E" w:rsidP="000C7C2E">
      <w:pPr>
        <w:pStyle w:val="Textoindependiente"/>
      </w:pPr>
    </w:p>
    <w:p w14:paraId="5127B0E0" w14:textId="77777777" w:rsidR="000C7C2E" w:rsidRPr="003B0DBA" w:rsidRDefault="000C7C2E" w:rsidP="000C7C2E">
      <w:pPr>
        <w:pStyle w:val="Textoindependiente"/>
      </w:pPr>
      <w:r w:rsidRPr="003B0DBA">
        <w:t>presentes, además,</w:t>
      </w:r>
    </w:p>
    <w:p w14:paraId="7AB955AB" w14:textId="77777777" w:rsidR="000C7C2E" w:rsidRDefault="000C7C2E" w:rsidP="000C7C2E">
      <w:pPr>
        <w:pStyle w:val="Textoindependiente"/>
      </w:pPr>
    </w:p>
    <w:p w14:paraId="33186839" w14:textId="77777777" w:rsidR="000C7C2E" w:rsidRDefault="000C7C2E" w:rsidP="000C7C2E">
      <w:pPr>
        <w:pStyle w:val="Textoindependiente"/>
      </w:pPr>
      <w:r w:rsidRPr="003B0DBA">
        <w:t xml:space="preserve">Pablo Saavedra Alessandri, </w:t>
      </w:r>
      <w:proofErr w:type="gramStart"/>
      <w:r w:rsidRPr="003B0DBA">
        <w:t>Secretario</w:t>
      </w:r>
      <w:proofErr w:type="gramEnd"/>
      <w:r w:rsidRPr="003B0DBA">
        <w:t xml:space="preserve">, y </w:t>
      </w:r>
    </w:p>
    <w:p w14:paraId="4A632A26" w14:textId="77777777" w:rsidR="000C7C2E" w:rsidRPr="003B0DBA" w:rsidRDefault="000C7C2E" w:rsidP="000C7C2E">
      <w:pPr>
        <w:pStyle w:val="Textoindependiente"/>
      </w:pPr>
      <w:r w:rsidRPr="003B0DBA">
        <w:t xml:space="preserve">Romina I. </w:t>
      </w:r>
      <w:proofErr w:type="spellStart"/>
      <w:r w:rsidRPr="003B0DBA">
        <w:t>Sijniensky</w:t>
      </w:r>
      <w:proofErr w:type="spellEnd"/>
      <w:r w:rsidRPr="003B0DBA">
        <w:t xml:space="preserve">, </w:t>
      </w:r>
      <w:proofErr w:type="gramStart"/>
      <w:r w:rsidRPr="003B0DBA">
        <w:t>Secretaria</w:t>
      </w:r>
      <w:proofErr w:type="gramEnd"/>
      <w:r w:rsidRPr="003B0DBA">
        <w:t xml:space="preserve"> Adjunta,</w:t>
      </w:r>
    </w:p>
    <w:p w14:paraId="5954CCAB" w14:textId="77777777" w:rsidR="000C7C2E" w:rsidRPr="003B0DBA" w:rsidRDefault="000C7C2E" w:rsidP="000C7C2E">
      <w:pPr>
        <w:pStyle w:val="Textoindependiente"/>
      </w:pPr>
    </w:p>
    <w:p w14:paraId="253CA64C" w14:textId="42D5CDD6" w:rsidR="000C7C2E" w:rsidRPr="003B0DBA" w:rsidRDefault="000C7C2E" w:rsidP="000C7C2E">
      <w:pPr>
        <w:pStyle w:val="Textoindependiente"/>
        <w:jc w:val="both"/>
      </w:pPr>
      <w:r w:rsidRPr="003B0DBA">
        <w:t>de conformidad con los artículos 62.3 y 63.1 de la Convención Americana sobre Derechos Humanos (en adelante también “la Convención Americana” o “la Convención”) y con los artículos 31, 32, 65 y 67 del Reglamento de la Corte (en adelante</w:t>
      </w:r>
      <w:r w:rsidR="00703A18">
        <w:t xml:space="preserve"> también</w:t>
      </w:r>
      <w:r>
        <w:t xml:space="preserve"> </w:t>
      </w:r>
      <w:r w:rsidRPr="003B0DBA">
        <w:t>“el Reglamento</w:t>
      </w:r>
      <w:r w:rsidR="00703A18">
        <w:t>” o “el Reglamento del Tribunal”</w:t>
      </w:r>
      <w:r w:rsidRPr="003B0DBA">
        <w:t>), dicta la presente Sentencia</w:t>
      </w:r>
      <w:r>
        <w:t>,</w:t>
      </w:r>
      <w:r w:rsidRPr="003B0DBA">
        <w:t xml:space="preserve"> que se estructura en el siguiente orden:</w:t>
      </w:r>
    </w:p>
    <w:p w14:paraId="22C473D9" w14:textId="77777777" w:rsidR="000C7C2E" w:rsidRDefault="000C7C2E" w:rsidP="000C7C2E">
      <w:pPr>
        <w:jc w:val="both"/>
      </w:pPr>
    </w:p>
    <w:p w14:paraId="659D152F" w14:textId="77777777" w:rsidR="000C7C2E" w:rsidRPr="003B0DBA" w:rsidRDefault="000C7C2E" w:rsidP="000C7C2E">
      <w:pPr>
        <w:jc w:val="both"/>
        <w:sectPr w:rsidR="000C7C2E" w:rsidRPr="003B0DBA" w:rsidSect="000E5D6B">
          <w:pgSz w:w="12240" w:h="15840"/>
          <w:pgMar w:top="1500" w:right="1020" w:bottom="280" w:left="1020" w:header="720" w:footer="720" w:gutter="0"/>
          <w:cols w:space="720"/>
          <w:titlePg/>
          <w:docGrid w:linePitch="299"/>
        </w:sectPr>
      </w:pPr>
    </w:p>
    <w:p w14:paraId="5642A59B" w14:textId="77777777" w:rsidR="000C7C2E" w:rsidRPr="003B0DBA" w:rsidRDefault="000C7C2E" w:rsidP="000C7C2E">
      <w:pPr>
        <w:spacing w:before="79"/>
        <w:jc w:val="center"/>
        <w:rPr>
          <w:b/>
          <w:sz w:val="20"/>
        </w:rPr>
      </w:pPr>
      <w:r w:rsidRPr="003B0DBA">
        <w:rPr>
          <w:b/>
          <w:sz w:val="20"/>
        </w:rPr>
        <w:lastRenderedPageBreak/>
        <w:t>TABLA DE CONTENIDO</w:t>
      </w:r>
    </w:p>
    <w:p w14:paraId="55D81CF9" w14:textId="77777777" w:rsidR="000C7C2E" w:rsidRPr="003B0DBA" w:rsidRDefault="000C7C2E" w:rsidP="000C7C2E">
      <w:pPr>
        <w:jc w:val="center"/>
        <w:rPr>
          <w:sz w:val="20"/>
        </w:rPr>
        <w:sectPr w:rsidR="000C7C2E" w:rsidRPr="003B0DBA" w:rsidSect="000E5D6B">
          <w:footerReference w:type="default" r:id="rId8"/>
          <w:pgSz w:w="12240" w:h="15840"/>
          <w:pgMar w:top="1340" w:right="1020" w:bottom="1631" w:left="1020" w:header="0" w:footer="1004" w:gutter="0"/>
          <w:pgNumType w:start="2"/>
          <w:cols w:space="720"/>
          <w:docGrid w:linePitch="299"/>
        </w:sectPr>
      </w:pPr>
    </w:p>
    <w:sdt>
      <w:sdtPr>
        <w:id w:val="1523746352"/>
        <w:docPartObj>
          <w:docPartGallery w:val="Table of Contents"/>
          <w:docPartUnique/>
        </w:docPartObj>
      </w:sdtPr>
      <w:sdtEndPr/>
      <w:sdtContent>
        <w:p w14:paraId="5EDC6B59" w14:textId="77777777" w:rsidR="000C7C2E" w:rsidRDefault="000C7C2E" w:rsidP="000C7C2E">
          <w:pPr>
            <w:pStyle w:val="TDC1"/>
            <w:tabs>
              <w:tab w:val="left" w:pos="574"/>
              <w:tab w:val="left" w:pos="9650"/>
            </w:tabs>
            <w:spacing w:before="405"/>
            <w:ind w:left="0" w:firstLine="0"/>
            <w:rPr>
              <w:b w:val="0"/>
              <w:bCs w:val="0"/>
            </w:rPr>
          </w:pPr>
        </w:p>
        <w:p w14:paraId="490F2EF1" w14:textId="09B84EFB" w:rsidR="000C7C2E" w:rsidRPr="00A7360C" w:rsidRDefault="000C7C2E" w:rsidP="00BA1256">
          <w:pPr>
            <w:pStyle w:val="TDC1"/>
            <w:tabs>
              <w:tab w:val="right" w:leader="dot" w:pos="10190"/>
            </w:tabs>
            <w:spacing w:before="0"/>
            <w:jc w:val="both"/>
            <w:rPr>
              <w:rFonts w:eastAsiaTheme="minorEastAsia" w:cstheme="minorBidi"/>
              <w:b w:val="0"/>
              <w:bCs w:val="0"/>
              <w:noProof/>
              <w:lang w:val="es-CR" w:eastAsia="es-CR"/>
            </w:rPr>
          </w:pPr>
          <w:r w:rsidRPr="00A7360C">
            <w:fldChar w:fldCharType="begin"/>
          </w:r>
          <w:r w:rsidRPr="00A7360C">
            <w:instrText xml:space="preserve"> TOC \o \h \z \u </w:instrText>
          </w:r>
          <w:r w:rsidRPr="00A7360C">
            <w:fldChar w:fldCharType="separate"/>
          </w:r>
          <w:hyperlink w:anchor="_Toc73960327" w:history="1">
            <w:r w:rsidRPr="00A7360C">
              <w:rPr>
                <w:rStyle w:val="Hipervnculo"/>
                <w:noProof/>
                <w:color w:val="auto"/>
                <w:w w:val="99"/>
                <w:u w:val="none"/>
              </w:rPr>
              <w:t>I</w:t>
            </w:r>
            <w:r w:rsidRPr="00A7360C">
              <w:rPr>
                <w:noProof/>
                <w:webHidden/>
              </w:rPr>
              <w:tab/>
            </w:r>
          </w:hyperlink>
          <w:hyperlink w:anchor="_Toc73960328" w:history="1">
            <w:r w:rsidRPr="00A7360C">
              <w:rPr>
                <w:rStyle w:val="Hipervnculo"/>
                <w:noProof/>
                <w:color w:val="auto"/>
                <w:u w:val="none"/>
              </w:rPr>
              <w:t>INTRODUCCIÓN DE LA CAUSA Y OBJETO DE LA CONTROVERSIA</w:t>
            </w:r>
            <w:r w:rsidRPr="00A7360C">
              <w:rPr>
                <w:noProof/>
                <w:webHidden/>
              </w:rPr>
              <w:tab/>
            </w:r>
            <w:r w:rsidRPr="00A7360C">
              <w:rPr>
                <w:noProof/>
                <w:webHidden/>
              </w:rPr>
              <w:fldChar w:fldCharType="begin"/>
            </w:r>
            <w:r w:rsidRPr="00A7360C">
              <w:rPr>
                <w:noProof/>
                <w:webHidden/>
              </w:rPr>
              <w:instrText xml:space="preserve"> PAGEREF _Toc73960328 \h </w:instrText>
            </w:r>
            <w:r w:rsidRPr="00A7360C">
              <w:rPr>
                <w:noProof/>
                <w:webHidden/>
              </w:rPr>
            </w:r>
            <w:r w:rsidRPr="00A7360C">
              <w:rPr>
                <w:noProof/>
                <w:webHidden/>
              </w:rPr>
              <w:fldChar w:fldCharType="separate"/>
            </w:r>
            <w:r w:rsidR="007074DF">
              <w:rPr>
                <w:noProof/>
                <w:webHidden/>
              </w:rPr>
              <w:t>4</w:t>
            </w:r>
            <w:r w:rsidRPr="00A7360C">
              <w:rPr>
                <w:noProof/>
                <w:webHidden/>
              </w:rPr>
              <w:fldChar w:fldCharType="end"/>
            </w:r>
          </w:hyperlink>
        </w:p>
        <w:p w14:paraId="38201271" w14:textId="77777777" w:rsidR="00BA1256" w:rsidRDefault="00BA1256" w:rsidP="00BA1256">
          <w:pPr>
            <w:pStyle w:val="TDC1"/>
            <w:tabs>
              <w:tab w:val="right" w:leader="dot" w:pos="10190"/>
            </w:tabs>
            <w:spacing w:before="0"/>
            <w:jc w:val="both"/>
            <w:rPr>
              <w:noProof/>
            </w:rPr>
          </w:pPr>
        </w:p>
        <w:p w14:paraId="6688A5D2" w14:textId="16636CC9" w:rsidR="000C7C2E" w:rsidRPr="00A7360C" w:rsidRDefault="00FB11DD" w:rsidP="00BA1256">
          <w:pPr>
            <w:pStyle w:val="TDC1"/>
            <w:tabs>
              <w:tab w:val="right" w:leader="dot" w:pos="10190"/>
            </w:tabs>
            <w:spacing w:before="0"/>
            <w:jc w:val="both"/>
            <w:rPr>
              <w:rFonts w:eastAsiaTheme="minorEastAsia" w:cstheme="minorBidi"/>
              <w:b w:val="0"/>
              <w:bCs w:val="0"/>
              <w:noProof/>
              <w:lang w:val="es-CR" w:eastAsia="es-CR"/>
            </w:rPr>
          </w:pPr>
          <w:hyperlink w:anchor="_Toc73960329" w:history="1">
            <w:r w:rsidR="000C7C2E" w:rsidRPr="00A7360C">
              <w:rPr>
                <w:rStyle w:val="Hipervnculo"/>
                <w:noProof/>
                <w:color w:val="auto"/>
                <w:u w:val="none"/>
              </w:rPr>
              <w:t>II</w:t>
            </w:r>
            <w:r w:rsidR="000C7C2E" w:rsidRPr="00A7360C">
              <w:rPr>
                <w:noProof/>
                <w:webHidden/>
              </w:rPr>
              <w:tab/>
            </w:r>
          </w:hyperlink>
          <w:r w:rsidR="000C7C2E" w:rsidRPr="00A7360C">
            <w:rPr>
              <w:rStyle w:val="Hipervnculo"/>
              <w:noProof/>
              <w:color w:val="auto"/>
              <w:u w:val="none"/>
            </w:rPr>
            <w:t xml:space="preserve"> </w:t>
          </w:r>
          <w:hyperlink w:anchor="_Toc73960330" w:history="1">
            <w:r w:rsidR="000C7C2E" w:rsidRPr="00A7360C">
              <w:rPr>
                <w:rStyle w:val="Hipervnculo"/>
                <w:noProof/>
                <w:color w:val="auto"/>
                <w:u w:val="none"/>
              </w:rPr>
              <w:t>PROCEDIMIENTO ANTE LA CORTE</w:t>
            </w:r>
            <w:r w:rsidR="000C7C2E" w:rsidRPr="00A7360C">
              <w:rPr>
                <w:noProof/>
                <w:webHidden/>
              </w:rPr>
              <w:tab/>
            </w:r>
            <w:r w:rsidR="000C7C2E" w:rsidRPr="00A7360C">
              <w:rPr>
                <w:noProof/>
                <w:webHidden/>
              </w:rPr>
              <w:fldChar w:fldCharType="begin"/>
            </w:r>
            <w:r w:rsidR="000C7C2E" w:rsidRPr="00A7360C">
              <w:rPr>
                <w:noProof/>
                <w:webHidden/>
              </w:rPr>
              <w:instrText xml:space="preserve"> PAGEREF _Toc73960330 \h </w:instrText>
            </w:r>
            <w:r w:rsidR="000C7C2E" w:rsidRPr="00A7360C">
              <w:rPr>
                <w:noProof/>
                <w:webHidden/>
              </w:rPr>
            </w:r>
            <w:r w:rsidR="000C7C2E" w:rsidRPr="00A7360C">
              <w:rPr>
                <w:noProof/>
                <w:webHidden/>
              </w:rPr>
              <w:fldChar w:fldCharType="separate"/>
            </w:r>
            <w:r w:rsidR="007074DF">
              <w:rPr>
                <w:noProof/>
                <w:webHidden/>
              </w:rPr>
              <w:t>5</w:t>
            </w:r>
            <w:r w:rsidR="000C7C2E" w:rsidRPr="00A7360C">
              <w:rPr>
                <w:noProof/>
                <w:webHidden/>
              </w:rPr>
              <w:fldChar w:fldCharType="end"/>
            </w:r>
          </w:hyperlink>
        </w:p>
        <w:p w14:paraId="6D6F4C67" w14:textId="77777777" w:rsidR="00BA1256" w:rsidRDefault="00BA1256" w:rsidP="00BA1256">
          <w:pPr>
            <w:pStyle w:val="TDC1"/>
            <w:tabs>
              <w:tab w:val="right" w:leader="dot" w:pos="10190"/>
            </w:tabs>
            <w:spacing w:before="0"/>
            <w:jc w:val="both"/>
            <w:rPr>
              <w:noProof/>
            </w:rPr>
          </w:pPr>
        </w:p>
        <w:p w14:paraId="234E5410" w14:textId="673DC66C" w:rsidR="000C7C2E" w:rsidRPr="00A7360C" w:rsidRDefault="00FB11DD" w:rsidP="00BA1256">
          <w:pPr>
            <w:pStyle w:val="TDC1"/>
            <w:tabs>
              <w:tab w:val="right" w:leader="dot" w:pos="10190"/>
            </w:tabs>
            <w:spacing w:before="0"/>
            <w:jc w:val="both"/>
            <w:rPr>
              <w:rFonts w:eastAsiaTheme="minorEastAsia" w:cstheme="minorBidi"/>
              <w:b w:val="0"/>
              <w:bCs w:val="0"/>
              <w:noProof/>
              <w:lang w:val="es-CR" w:eastAsia="es-CR"/>
            </w:rPr>
          </w:pPr>
          <w:hyperlink w:anchor="_Toc73960331" w:history="1">
            <w:r w:rsidR="000C7C2E" w:rsidRPr="00A7360C">
              <w:rPr>
                <w:rStyle w:val="Hipervnculo"/>
                <w:noProof/>
                <w:color w:val="auto"/>
                <w:u w:val="none"/>
              </w:rPr>
              <w:t>III</w:t>
            </w:r>
            <w:r w:rsidR="000C7C2E" w:rsidRPr="00A7360C">
              <w:rPr>
                <w:noProof/>
                <w:webHidden/>
              </w:rPr>
              <w:tab/>
            </w:r>
          </w:hyperlink>
          <w:r w:rsidR="000C7C2E" w:rsidRPr="00A7360C">
            <w:rPr>
              <w:rStyle w:val="Hipervnculo"/>
              <w:noProof/>
              <w:color w:val="auto"/>
              <w:u w:val="none"/>
            </w:rPr>
            <w:t xml:space="preserve"> </w:t>
          </w:r>
          <w:hyperlink w:anchor="_Toc73960332" w:history="1">
            <w:r w:rsidR="000C7C2E" w:rsidRPr="00A7360C">
              <w:rPr>
                <w:rStyle w:val="Hipervnculo"/>
                <w:noProof/>
                <w:color w:val="auto"/>
                <w:u w:val="none"/>
              </w:rPr>
              <w:t>COMPETENCIA</w:t>
            </w:r>
            <w:r w:rsidR="000C7C2E" w:rsidRPr="00A7360C">
              <w:rPr>
                <w:noProof/>
                <w:webHidden/>
              </w:rPr>
              <w:tab/>
            </w:r>
            <w:r w:rsidR="000C7C2E" w:rsidRPr="00A7360C">
              <w:rPr>
                <w:noProof/>
                <w:webHidden/>
              </w:rPr>
              <w:fldChar w:fldCharType="begin"/>
            </w:r>
            <w:r w:rsidR="000C7C2E" w:rsidRPr="00A7360C">
              <w:rPr>
                <w:noProof/>
                <w:webHidden/>
              </w:rPr>
              <w:instrText xml:space="preserve"> PAGEREF _Toc73960332 \h </w:instrText>
            </w:r>
            <w:r w:rsidR="000C7C2E" w:rsidRPr="00A7360C">
              <w:rPr>
                <w:noProof/>
                <w:webHidden/>
              </w:rPr>
            </w:r>
            <w:r w:rsidR="000C7C2E" w:rsidRPr="00A7360C">
              <w:rPr>
                <w:noProof/>
                <w:webHidden/>
              </w:rPr>
              <w:fldChar w:fldCharType="separate"/>
            </w:r>
            <w:r w:rsidR="007074DF">
              <w:rPr>
                <w:noProof/>
                <w:webHidden/>
              </w:rPr>
              <w:t>6</w:t>
            </w:r>
            <w:r w:rsidR="000C7C2E" w:rsidRPr="00A7360C">
              <w:rPr>
                <w:noProof/>
                <w:webHidden/>
              </w:rPr>
              <w:fldChar w:fldCharType="end"/>
            </w:r>
          </w:hyperlink>
        </w:p>
        <w:p w14:paraId="2E869378" w14:textId="77777777" w:rsidR="00BA1256" w:rsidRDefault="00BA1256" w:rsidP="00BA1256">
          <w:pPr>
            <w:pStyle w:val="TDC1"/>
            <w:tabs>
              <w:tab w:val="right" w:leader="dot" w:pos="10190"/>
            </w:tabs>
            <w:spacing w:before="0"/>
            <w:jc w:val="both"/>
            <w:rPr>
              <w:noProof/>
            </w:rPr>
          </w:pPr>
        </w:p>
        <w:p w14:paraId="0EFBBD70" w14:textId="2C2CBCB5" w:rsidR="000C7C2E" w:rsidRPr="00A7360C" w:rsidRDefault="00FB11DD" w:rsidP="00BA1256">
          <w:pPr>
            <w:pStyle w:val="TDC1"/>
            <w:tabs>
              <w:tab w:val="right" w:leader="dot" w:pos="10190"/>
            </w:tabs>
            <w:spacing w:before="0"/>
            <w:jc w:val="both"/>
            <w:rPr>
              <w:rFonts w:eastAsiaTheme="minorEastAsia" w:cstheme="minorBidi"/>
              <w:b w:val="0"/>
              <w:bCs w:val="0"/>
              <w:noProof/>
              <w:lang w:val="es-CR" w:eastAsia="es-CR"/>
            </w:rPr>
          </w:pPr>
          <w:hyperlink w:anchor="_Toc73960333" w:history="1">
            <w:r w:rsidR="000C7C2E" w:rsidRPr="00A7360C">
              <w:rPr>
                <w:rStyle w:val="Hipervnculo"/>
                <w:noProof/>
                <w:color w:val="auto"/>
                <w:u w:val="none"/>
              </w:rPr>
              <w:t>IV</w:t>
            </w:r>
            <w:r w:rsidR="000C7C2E" w:rsidRPr="00A7360C">
              <w:rPr>
                <w:noProof/>
                <w:webHidden/>
              </w:rPr>
              <w:tab/>
            </w:r>
          </w:hyperlink>
          <w:r w:rsidR="000C7C2E" w:rsidRPr="00A7360C">
            <w:rPr>
              <w:rStyle w:val="Hipervnculo"/>
              <w:noProof/>
              <w:color w:val="auto"/>
              <w:u w:val="none"/>
            </w:rPr>
            <w:t xml:space="preserve"> </w:t>
          </w:r>
          <w:hyperlink w:anchor="_Toc73960334" w:history="1">
            <w:r w:rsidR="000C7C2E" w:rsidRPr="00A7360C">
              <w:rPr>
                <w:rStyle w:val="Hipervnculo"/>
                <w:noProof/>
                <w:color w:val="auto"/>
                <w:u w:val="none"/>
              </w:rPr>
              <w:t>RECONOCIMIENTO DE RESPONSABILIDAD INTERNACIONAL</w:t>
            </w:r>
            <w:r w:rsidR="000C7C2E" w:rsidRPr="00A7360C">
              <w:rPr>
                <w:noProof/>
                <w:webHidden/>
              </w:rPr>
              <w:tab/>
            </w:r>
            <w:r w:rsidR="000C7C2E" w:rsidRPr="00A7360C">
              <w:rPr>
                <w:noProof/>
                <w:webHidden/>
              </w:rPr>
              <w:fldChar w:fldCharType="begin"/>
            </w:r>
            <w:r w:rsidR="000C7C2E" w:rsidRPr="00A7360C">
              <w:rPr>
                <w:noProof/>
                <w:webHidden/>
              </w:rPr>
              <w:instrText xml:space="preserve"> PAGEREF _Toc73960334 \h </w:instrText>
            </w:r>
            <w:r w:rsidR="000C7C2E" w:rsidRPr="00A7360C">
              <w:rPr>
                <w:noProof/>
                <w:webHidden/>
              </w:rPr>
            </w:r>
            <w:r w:rsidR="000C7C2E" w:rsidRPr="00A7360C">
              <w:rPr>
                <w:noProof/>
                <w:webHidden/>
              </w:rPr>
              <w:fldChar w:fldCharType="separate"/>
            </w:r>
            <w:r w:rsidR="007074DF">
              <w:rPr>
                <w:noProof/>
                <w:webHidden/>
              </w:rPr>
              <w:t>6</w:t>
            </w:r>
            <w:r w:rsidR="000C7C2E" w:rsidRPr="00A7360C">
              <w:rPr>
                <w:noProof/>
                <w:webHidden/>
              </w:rPr>
              <w:fldChar w:fldCharType="end"/>
            </w:r>
          </w:hyperlink>
        </w:p>
        <w:p w14:paraId="6A9F1A12" w14:textId="61C9E70B"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35" w:history="1">
            <w:r w:rsidR="000C7C2E" w:rsidRPr="00BA1256">
              <w:rPr>
                <w:rStyle w:val="Hipervnculo"/>
                <w:rFonts w:eastAsia="Batang"/>
                <w:noProof/>
                <w:color w:val="auto"/>
                <w:u w:val="none"/>
              </w:rPr>
              <w:t>A)</w:t>
            </w:r>
            <w:r w:rsidR="000C7C2E" w:rsidRPr="00BA1256">
              <w:rPr>
                <w:rFonts w:eastAsiaTheme="minorEastAsia" w:cstheme="minorBidi"/>
                <w:i w:val="0"/>
                <w:noProof/>
                <w:lang w:val="es-CR" w:eastAsia="es-CR"/>
              </w:rPr>
              <w:tab/>
            </w:r>
            <w:r w:rsidR="000C7C2E" w:rsidRPr="00BA1256">
              <w:rPr>
                <w:rStyle w:val="Hipervnculo"/>
                <w:rFonts w:eastAsia="Batang"/>
                <w:noProof/>
                <w:color w:val="auto"/>
                <w:u w:val="none"/>
              </w:rPr>
              <w:t>Reconocimiento de responsabilidad del Estado y observaciones de la Comisión y de los representantes</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_Toc73960335 \h </w:instrText>
            </w:r>
            <w:r w:rsidR="000C7C2E" w:rsidRPr="00BA1256">
              <w:rPr>
                <w:i w:val="0"/>
                <w:noProof/>
                <w:webHidden/>
              </w:rPr>
            </w:r>
            <w:r w:rsidR="000C7C2E" w:rsidRPr="00BA1256">
              <w:rPr>
                <w:i w:val="0"/>
                <w:noProof/>
                <w:webHidden/>
              </w:rPr>
              <w:fldChar w:fldCharType="separate"/>
            </w:r>
            <w:r w:rsidR="007074DF">
              <w:rPr>
                <w:i w:val="0"/>
                <w:noProof/>
                <w:webHidden/>
              </w:rPr>
              <w:t>6</w:t>
            </w:r>
            <w:r w:rsidR="000C7C2E" w:rsidRPr="00BA1256">
              <w:rPr>
                <w:i w:val="0"/>
                <w:noProof/>
                <w:webHidden/>
              </w:rPr>
              <w:fldChar w:fldCharType="end"/>
            </w:r>
          </w:hyperlink>
        </w:p>
        <w:p w14:paraId="74B82111" w14:textId="49F43C08"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36" w:history="1">
            <w:r w:rsidR="000C7C2E" w:rsidRPr="00BA1256">
              <w:rPr>
                <w:rStyle w:val="Hipervnculo"/>
                <w:rFonts w:eastAsia="Batang"/>
                <w:noProof/>
                <w:color w:val="auto"/>
                <w:u w:val="none"/>
              </w:rPr>
              <w:t>B)</w:t>
            </w:r>
            <w:r w:rsidR="000C7C2E" w:rsidRPr="00BA1256">
              <w:rPr>
                <w:rFonts w:eastAsiaTheme="minorEastAsia" w:cstheme="minorBidi"/>
                <w:i w:val="0"/>
                <w:noProof/>
                <w:lang w:val="es-CR" w:eastAsia="es-CR"/>
              </w:rPr>
              <w:tab/>
            </w:r>
            <w:r w:rsidR="000C7C2E" w:rsidRPr="00BA1256">
              <w:rPr>
                <w:rStyle w:val="Hipervnculo"/>
                <w:rFonts w:eastAsia="Batang"/>
                <w:noProof/>
                <w:color w:val="auto"/>
                <w:u w:val="none"/>
              </w:rPr>
              <w:t>Consideraciones de la Corte</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_Toc73960336 \h </w:instrText>
            </w:r>
            <w:r w:rsidR="000C7C2E" w:rsidRPr="00BA1256">
              <w:rPr>
                <w:i w:val="0"/>
                <w:noProof/>
                <w:webHidden/>
              </w:rPr>
            </w:r>
            <w:r w:rsidR="000C7C2E" w:rsidRPr="00BA1256">
              <w:rPr>
                <w:i w:val="0"/>
                <w:noProof/>
                <w:webHidden/>
              </w:rPr>
              <w:fldChar w:fldCharType="separate"/>
            </w:r>
            <w:r w:rsidR="007074DF">
              <w:rPr>
                <w:i w:val="0"/>
                <w:noProof/>
                <w:webHidden/>
              </w:rPr>
              <w:t>7</w:t>
            </w:r>
            <w:r w:rsidR="000C7C2E" w:rsidRPr="00BA1256">
              <w:rPr>
                <w:i w:val="0"/>
                <w:noProof/>
                <w:webHidden/>
              </w:rPr>
              <w:fldChar w:fldCharType="end"/>
            </w:r>
          </w:hyperlink>
        </w:p>
        <w:p w14:paraId="56D98508" w14:textId="27E1C2AB" w:rsidR="000C7C2E" w:rsidRPr="00A7360C" w:rsidRDefault="00FB11DD" w:rsidP="00BA1256">
          <w:pPr>
            <w:pStyle w:val="TDC3"/>
            <w:tabs>
              <w:tab w:val="right" w:leader="dot" w:pos="10190"/>
            </w:tabs>
            <w:spacing w:before="0"/>
            <w:jc w:val="both"/>
            <w:rPr>
              <w:rFonts w:eastAsiaTheme="minorEastAsia" w:cstheme="minorBidi"/>
              <w:i w:val="0"/>
              <w:noProof/>
              <w:sz w:val="20"/>
              <w:szCs w:val="20"/>
              <w:lang w:val="es-CR" w:eastAsia="es-CR"/>
            </w:rPr>
          </w:pPr>
          <w:hyperlink w:anchor="_Toc73960337" w:history="1">
            <w:r w:rsidR="000C7C2E" w:rsidRPr="00A7360C">
              <w:rPr>
                <w:rStyle w:val="Hipervnculo"/>
                <w:rFonts w:eastAsia="Batang"/>
                <w:noProof/>
                <w:color w:val="auto"/>
                <w:sz w:val="20"/>
                <w:szCs w:val="20"/>
                <w:u w:val="none"/>
              </w:rPr>
              <w:t>B.1 En cuanto a los hechos</w:t>
            </w:r>
            <w:r w:rsidR="000C7C2E" w:rsidRPr="00A7360C">
              <w:rPr>
                <w:noProof/>
                <w:webHidden/>
                <w:sz w:val="20"/>
                <w:szCs w:val="20"/>
              </w:rPr>
              <w:tab/>
            </w:r>
            <w:r w:rsidR="000C7C2E" w:rsidRPr="00BA1256">
              <w:rPr>
                <w:i w:val="0"/>
                <w:noProof/>
                <w:webHidden/>
                <w:sz w:val="20"/>
                <w:szCs w:val="20"/>
              </w:rPr>
              <w:fldChar w:fldCharType="begin"/>
            </w:r>
            <w:r w:rsidR="000C7C2E" w:rsidRPr="00BA1256">
              <w:rPr>
                <w:i w:val="0"/>
                <w:noProof/>
                <w:webHidden/>
                <w:sz w:val="20"/>
                <w:szCs w:val="20"/>
              </w:rPr>
              <w:instrText xml:space="preserve"> PAGEREF _Toc73960337 \h </w:instrText>
            </w:r>
            <w:r w:rsidR="000C7C2E" w:rsidRPr="00BA1256">
              <w:rPr>
                <w:i w:val="0"/>
                <w:noProof/>
                <w:webHidden/>
                <w:sz w:val="20"/>
                <w:szCs w:val="20"/>
              </w:rPr>
            </w:r>
            <w:r w:rsidR="000C7C2E" w:rsidRPr="00BA1256">
              <w:rPr>
                <w:i w:val="0"/>
                <w:noProof/>
                <w:webHidden/>
                <w:sz w:val="20"/>
                <w:szCs w:val="20"/>
              </w:rPr>
              <w:fldChar w:fldCharType="separate"/>
            </w:r>
            <w:r w:rsidR="007074DF">
              <w:rPr>
                <w:i w:val="0"/>
                <w:noProof/>
                <w:webHidden/>
                <w:sz w:val="20"/>
                <w:szCs w:val="20"/>
              </w:rPr>
              <w:t>8</w:t>
            </w:r>
            <w:r w:rsidR="000C7C2E" w:rsidRPr="00BA1256">
              <w:rPr>
                <w:i w:val="0"/>
                <w:noProof/>
                <w:webHidden/>
                <w:sz w:val="20"/>
                <w:szCs w:val="20"/>
              </w:rPr>
              <w:fldChar w:fldCharType="end"/>
            </w:r>
          </w:hyperlink>
        </w:p>
        <w:p w14:paraId="71D1677C" w14:textId="6458A72E" w:rsidR="000C7C2E" w:rsidRPr="00A7360C" w:rsidRDefault="00FB11DD" w:rsidP="00BA1256">
          <w:pPr>
            <w:pStyle w:val="TDC3"/>
            <w:tabs>
              <w:tab w:val="right" w:leader="dot" w:pos="10190"/>
            </w:tabs>
            <w:spacing w:before="0"/>
            <w:jc w:val="both"/>
            <w:rPr>
              <w:rFonts w:eastAsiaTheme="minorEastAsia" w:cstheme="minorBidi"/>
              <w:i w:val="0"/>
              <w:noProof/>
              <w:sz w:val="20"/>
              <w:szCs w:val="20"/>
              <w:lang w:val="es-CR" w:eastAsia="es-CR"/>
            </w:rPr>
          </w:pPr>
          <w:hyperlink w:anchor="_Toc73960338" w:history="1">
            <w:r w:rsidR="000C7C2E" w:rsidRPr="00A7360C">
              <w:rPr>
                <w:rStyle w:val="Hipervnculo"/>
                <w:rFonts w:eastAsia="Batang"/>
                <w:noProof/>
                <w:color w:val="auto"/>
                <w:sz w:val="20"/>
                <w:szCs w:val="20"/>
                <w:u w:val="none"/>
              </w:rPr>
              <w:t>B.2 En cuanto a las pretensiones de derecho</w:t>
            </w:r>
            <w:r w:rsidR="000C7C2E" w:rsidRPr="00A7360C">
              <w:rPr>
                <w:noProof/>
                <w:webHidden/>
                <w:sz w:val="20"/>
                <w:szCs w:val="20"/>
              </w:rPr>
              <w:tab/>
            </w:r>
            <w:r w:rsidR="000C7C2E" w:rsidRPr="00BA1256">
              <w:rPr>
                <w:i w:val="0"/>
                <w:noProof/>
                <w:webHidden/>
                <w:sz w:val="20"/>
                <w:szCs w:val="20"/>
              </w:rPr>
              <w:fldChar w:fldCharType="begin"/>
            </w:r>
            <w:r w:rsidR="000C7C2E" w:rsidRPr="00BA1256">
              <w:rPr>
                <w:i w:val="0"/>
                <w:noProof/>
                <w:webHidden/>
                <w:sz w:val="20"/>
                <w:szCs w:val="20"/>
              </w:rPr>
              <w:instrText xml:space="preserve"> PAGEREF _Toc73960338 \h </w:instrText>
            </w:r>
            <w:r w:rsidR="000C7C2E" w:rsidRPr="00BA1256">
              <w:rPr>
                <w:i w:val="0"/>
                <w:noProof/>
                <w:webHidden/>
                <w:sz w:val="20"/>
                <w:szCs w:val="20"/>
              </w:rPr>
            </w:r>
            <w:r w:rsidR="000C7C2E" w:rsidRPr="00BA1256">
              <w:rPr>
                <w:i w:val="0"/>
                <w:noProof/>
                <w:webHidden/>
                <w:sz w:val="20"/>
                <w:szCs w:val="20"/>
              </w:rPr>
              <w:fldChar w:fldCharType="separate"/>
            </w:r>
            <w:r w:rsidR="007074DF">
              <w:rPr>
                <w:i w:val="0"/>
                <w:noProof/>
                <w:webHidden/>
                <w:sz w:val="20"/>
                <w:szCs w:val="20"/>
              </w:rPr>
              <w:t>9</w:t>
            </w:r>
            <w:r w:rsidR="000C7C2E" w:rsidRPr="00BA1256">
              <w:rPr>
                <w:i w:val="0"/>
                <w:noProof/>
                <w:webHidden/>
                <w:sz w:val="20"/>
                <w:szCs w:val="20"/>
              </w:rPr>
              <w:fldChar w:fldCharType="end"/>
            </w:r>
          </w:hyperlink>
        </w:p>
        <w:p w14:paraId="097BE940" w14:textId="3A0E225B" w:rsidR="000C7C2E" w:rsidRPr="00A7360C" w:rsidRDefault="00FB11DD" w:rsidP="00BA1256">
          <w:pPr>
            <w:pStyle w:val="TDC3"/>
            <w:tabs>
              <w:tab w:val="right" w:leader="dot" w:pos="10190"/>
            </w:tabs>
            <w:spacing w:before="0"/>
            <w:jc w:val="both"/>
            <w:rPr>
              <w:rFonts w:eastAsiaTheme="minorEastAsia" w:cstheme="minorBidi"/>
              <w:i w:val="0"/>
              <w:noProof/>
              <w:sz w:val="20"/>
              <w:szCs w:val="20"/>
              <w:lang w:val="es-CR" w:eastAsia="es-CR"/>
            </w:rPr>
          </w:pPr>
          <w:hyperlink w:anchor="_Toc73960339" w:history="1">
            <w:r w:rsidR="000C7C2E" w:rsidRPr="00A7360C">
              <w:rPr>
                <w:rStyle w:val="Hipervnculo"/>
                <w:rFonts w:eastAsia="Batang"/>
                <w:noProof/>
                <w:color w:val="auto"/>
                <w:sz w:val="20"/>
                <w:szCs w:val="20"/>
                <w:u w:val="none"/>
              </w:rPr>
              <w:t>B.3 En cuanto a las reparaciones</w:t>
            </w:r>
            <w:r w:rsidR="000C7C2E" w:rsidRPr="00A7360C">
              <w:rPr>
                <w:noProof/>
                <w:webHidden/>
                <w:sz w:val="20"/>
                <w:szCs w:val="20"/>
              </w:rPr>
              <w:tab/>
            </w:r>
            <w:r w:rsidR="000C7C2E" w:rsidRPr="00BA1256">
              <w:rPr>
                <w:i w:val="0"/>
                <w:noProof/>
                <w:webHidden/>
                <w:sz w:val="20"/>
                <w:szCs w:val="20"/>
              </w:rPr>
              <w:fldChar w:fldCharType="begin"/>
            </w:r>
            <w:r w:rsidR="000C7C2E" w:rsidRPr="00BA1256">
              <w:rPr>
                <w:i w:val="0"/>
                <w:noProof/>
                <w:webHidden/>
                <w:sz w:val="20"/>
                <w:szCs w:val="20"/>
              </w:rPr>
              <w:instrText xml:space="preserve"> PAGEREF _Toc73960339 \h </w:instrText>
            </w:r>
            <w:r w:rsidR="000C7C2E" w:rsidRPr="00BA1256">
              <w:rPr>
                <w:i w:val="0"/>
                <w:noProof/>
                <w:webHidden/>
                <w:sz w:val="20"/>
                <w:szCs w:val="20"/>
              </w:rPr>
            </w:r>
            <w:r w:rsidR="000C7C2E" w:rsidRPr="00BA1256">
              <w:rPr>
                <w:i w:val="0"/>
                <w:noProof/>
                <w:webHidden/>
                <w:sz w:val="20"/>
                <w:szCs w:val="20"/>
              </w:rPr>
              <w:fldChar w:fldCharType="separate"/>
            </w:r>
            <w:r w:rsidR="007074DF">
              <w:rPr>
                <w:i w:val="0"/>
                <w:noProof/>
                <w:webHidden/>
                <w:sz w:val="20"/>
                <w:szCs w:val="20"/>
              </w:rPr>
              <w:t>10</w:t>
            </w:r>
            <w:r w:rsidR="000C7C2E" w:rsidRPr="00BA1256">
              <w:rPr>
                <w:i w:val="0"/>
                <w:noProof/>
                <w:webHidden/>
                <w:sz w:val="20"/>
                <w:szCs w:val="20"/>
              </w:rPr>
              <w:fldChar w:fldCharType="end"/>
            </w:r>
          </w:hyperlink>
        </w:p>
        <w:p w14:paraId="71AFF09F" w14:textId="41A0274D" w:rsidR="000C7C2E" w:rsidRPr="00A7360C" w:rsidRDefault="00FB11DD" w:rsidP="00BA1256">
          <w:pPr>
            <w:pStyle w:val="TDC3"/>
            <w:tabs>
              <w:tab w:val="right" w:leader="dot" w:pos="10190"/>
            </w:tabs>
            <w:spacing w:before="0"/>
            <w:jc w:val="both"/>
            <w:rPr>
              <w:rFonts w:eastAsiaTheme="minorEastAsia" w:cstheme="minorBidi"/>
              <w:i w:val="0"/>
              <w:noProof/>
              <w:sz w:val="20"/>
              <w:szCs w:val="20"/>
              <w:lang w:val="es-CR" w:eastAsia="es-CR"/>
            </w:rPr>
          </w:pPr>
          <w:hyperlink w:anchor="_Toc73960340" w:history="1">
            <w:r w:rsidR="000C7C2E" w:rsidRPr="00A7360C">
              <w:rPr>
                <w:rStyle w:val="Hipervnculo"/>
                <w:rFonts w:eastAsia="Batang"/>
                <w:noProof/>
                <w:color w:val="auto"/>
                <w:sz w:val="20"/>
                <w:szCs w:val="20"/>
                <w:u w:val="none"/>
              </w:rPr>
              <w:t>B.4 Valoración del alcance del reconocimiento de responsabilidad</w:t>
            </w:r>
            <w:r w:rsidR="000C7C2E" w:rsidRPr="00A7360C">
              <w:rPr>
                <w:noProof/>
                <w:webHidden/>
                <w:sz w:val="20"/>
                <w:szCs w:val="20"/>
              </w:rPr>
              <w:tab/>
            </w:r>
            <w:r w:rsidR="000C7C2E" w:rsidRPr="00BA1256">
              <w:rPr>
                <w:i w:val="0"/>
                <w:noProof/>
                <w:webHidden/>
                <w:sz w:val="20"/>
                <w:szCs w:val="20"/>
              </w:rPr>
              <w:fldChar w:fldCharType="begin"/>
            </w:r>
            <w:r w:rsidR="000C7C2E" w:rsidRPr="00BA1256">
              <w:rPr>
                <w:i w:val="0"/>
                <w:noProof/>
                <w:webHidden/>
                <w:sz w:val="20"/>
                <w:szCs w:val="20"/>
              </w:rPr>
              <w:instrText xml:space="preserve"> PAGEREF _Toc73960340 \h </w:instrText>
            </w:r>
            <w:r w:rsidR="000C7C2E" w:rsidRPr="00BA1256">
              <w:rPr>
                <w:i w:val="0"/>
                <w:noProof/>
                <w:webHidden/>
                <w:sz w:val="20"/>
                <w:szCs w:val="20"/>
              </w:rPr>
            </w:r>
            <w:r w:rsidR="000C7C2E" w:rsidRPr="00BA1256">
              <w:rPr>
                <w:i w:val="0"/>
                <w:noProof/>
                <w:webHidden/>
                <w:sz w:val="20"/>
                <w:szCs w:val="20"/>
              </w:rPr>
              <w:fldChar w:fldCharType="separate"/>
            </w:r>
            <w:r w:rsidR="007074DF">
              <w:rPr>
                <w:i w:val="0"/>
                <w:noProof/>
                <w:webHidden/>
                <w:sz w:val="20"/>
                <w:szCs w:val="20"/>
              </w:rPr>
              <w:t>10</w:t>
            </w:r>
            <w:r w:rsidR="000C7C2E" w:rsidRPr="00BA1256">
              <w:rPr>
                <w:i w:val="0"/>
                <w:noProof/>
                <w:webHidden/>
                <w:sz w:val="20"/>
                <w:szCs w:val="20"/>
              </w:rPr>
              <w:fldChar w:fldCharType="end"/>
            </w:r>
          </w:hyperlink>
        </w:p>
        <w:p w14:paraId="4921B9E8" w14:textId="77777777" w:rsidR="00BA1256" w:rsidRDefault="00BA1256" w:rsidP="00BA1256">
          <w:pPr>
            <w:pStyle w:val="TDC1"/>
            <w:tabs>
              <w:tab w:val="right" w:leader="dot" w:pos="10190"/>
            </w:tabs>
            <w:spacing w:before="0"/>
            <w:jc w:val="both"/>
            <w:rPr>
              <w:noProof/>
            </w:rPr>
          </w:pPr>
        </w:p>
        <w:p w14:paraId="05AF02B2" w14:textId="6C216BCE" w:rsidR="000C7C2E" w:rsidRPr="00A7360C" w:rsidRDefault="00FB11DD" w:rsidP="00BA1256">
          <w:pPr>
            <w:pStyle w:val="TDC1"/>
            <w:tabs>
              <w:tab w:val="right" w:leader="dot" w:pos="10190"/>
            </w:tabs>
            <w:spacing w:before="0"/>
            <w:jc w:val="both"/>
            <w:rPr>
              <w:rFonts w:eastAsiaTheme="minorEastAsia" w:cstheme="minorBidi"/>
              <w:b w:val="0"/>
              <w:bCs w:val="0"/>
              <w:noProof/>
              <w:lang w:val="es-CR" w:eastAsia="es-CR"/>
            </w:rPr>
          </w:pPr>
          <w:hyperlink w:anchor="_Toc73960341" w:history="1">
            <w:r w:rsidR="000C7C2E" w:rsidRPr="00A7360C">
              <w:rPr>
                <w:rStyle w:val="Hipervnculo"/>
                <w:noProof/>
                <w:color w:val="auto"/>
                <w:u w:val="none"/>
              </w:rPr>
              <w:t>V</w:t>
            </w:r>
            <w:r w:rsidR="000C7C2E" w:rsidRPr="00A7360C">
              <w:rPr>
                <w:noProof/>
                <w:webHidden/>
              </w:rPr>
              <w:tab/>
            </w:r>
          </w:hyperlink>
          <w:r w:rsidR="000C7C2E" w:rsidRPr="00A7360C">
            <w:rPr>
              <w:rStyle w:val="Hipervnculo"/>
              <w:noProof/>
              <w:color w:val="auto"/>
              <w:u w:val="none"/>
            </w:rPr>
            <w:t xml:space="preserve"> </w:t>
          </w:r>
          <w:hyperlink w:anchor="_Toc73960342" w:history="1">
            <w:r w:rsidR="000C7C2E" w:rsidRPr="00A7360C">
              <w:rPr>
                <w:rStyle w:val="Hipervnculo"/>
                <w:noProof/>
                <w:color w:val="auto"/>
                <w:u w:val="none"/>
              </w:rPr>
              <w:t>PRUEBA</w:t>
            </w:r>
            <w:r w:rsidR="000C7C2E" w:rsidRPr="00A7360C">
              <w:rPr>
                <w:noProof/>
                <w:webHidden/>
              </w:rPr>
              <w:tab/>
            </w:r>
            <w:r w:rsidR="000C7C2E" w:rsidRPr="00A7360C">
              <w:rPr>
                <w:noProof/>
                <w:webHidden/>
              </w:rPr>
              <w:fldChar w:fldCharType="begin"/>
            </w:r>
            <w:r w:rsidR="000C7C2E" w:rsidRPr="00A7360C">
              <w:rPr>
                <w:noProof/>
                <w:webHidden/>
              </w:rPr>
              <w:instrText xml:space="preserve"> PAGEREF _Toc73960342 \h </w:instrText>
            </w:r>
            <w:r w:rsidR="000C7C2E" w:rsidRPr="00A7360C">
              <w:rPr>
                <w:noProof/>
                <w:webHidden/>
              </w:rPr>
            </w:r>
            <w:r w:rsidR="000C7C2E" w:rsidRPr="00A7360C">
              <w:rPr>
                <w:noProof/>
                <w:webHidden/>
              </w:rPr>
              <w:fldChar w:fldCharType="separate"/>
            </w:r>
            <w:r w:rsidR="007074DF">
              <w:rPr>
                <w:noProof/>
                <w:webHidden/>
              </w:rPr>
              <w:t>12</w:t>
            </w:r>
            <w:r w:rsidR="000C7C2E" w:rsidRPr="00A7360C">
              <w:rPr>
                <w:noProof/>
                <w:webHidden/>
              </w:rPr>
              <w:fldChar w:fldCharType="end"/>
            </w:r>
          </w:hyperlink>
        </w:p>
        <w:p w14:paraId="26070EC1" w14:textId="60DEFF36" w:rsidR="000C7C2E" w:rsidRPr="00A7360C"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43" w:history="1">
            <w:r w:rsidR="000C7C2E" w:rsidRPr="00BA1256">
              <w:rPr>
                <w:rStyle w:val="Hipervnculo"/>
                <w:rFonts w:eastAsia="Batang"/>
                <w:noProof/>
                <w:color w:val="auto"/>
                <w:u w:val="none"/>
              </w:rPr>
              <w:t>A)</w:t>
            </w:r>
            <w:r w:rsidR="000C7C2E" w:rsidRPr="00BA1256">
              <w:rPr>
                <w:rFonts w:eastAsiaTheme="minorEastAsia" w:cstheme="minorBidi"/>
                <w:i w:val="0"/>
                <w:noProof/>
                <w:lang w:val="es-CR" w:eastAsia="es-CR"/>
              </w:rPr>
              <w:tab/>
            </w:r>
            <w:r w:rsidR="000C7C2E" w:rsidRPr="00BA1256">
              <w:rPr>
                <w:rStyle w:val="Hipervnculo"/>
                <w:rFonts w:eastAsia="Batang"/>
                <w:noProof/>
                <w:color w:val="auto"/>
                <w:u w:val="none"/>
              </w:rPr>
              <w:t>Admisibilidad de la prueba documental</w:t>
            </w:r>
            <w:r w:rsidR="000C7C2E" w:rsidRPr="00A7360C">
              <w:rPr>
                <w:noProof/>
                <w:webHidden/>
              </w:rPr>
              <w:tab/>
            </w:r>
            <w:r w:rsidR="000C7C2E" w:rsidRPr="00BA1256">
              <w:rPr>
                <w:i w:val="0"/>
                <w:noProof/>
                <w:webHidden/>
              </w:rPr>
              <w:fldChar w:fldCharType="begin"/>
            </w:r>
            <w:r w:rsidR="000C7C2E" w:rsidRPr="00BA1256">
              <w:rPr>
                <w:i w:val="0"/>
                <w:noProof/>
                <w:webHidden/>
              </w:rPr>
              <w:instrText xml:space="preserve"> PAGEREF _Toc73960343 \h </w:instrText>
            </w:r>
            <w:r w:rsidR="000C7C2E" w:rsidRPr="00BA1256">
              <w:rPr>
                <w:i w:val="0"/>
                <w:noProof/>
                <w:webHidden/>
              </w:rPr>
            </w:r>
            <w:r w:rsidR="000C7C2E" w:rsidRPr="00BA1256">
              <w:rPr>
                <w:i w:val="0"/>
                <w:noProof/>
                <w:webHidden/>
              </w:rPr>
              <w:fldChar w:fldCharType="separate"/>
            </w:r>
            <w:r w:rsidR="007074DF">
              <w:rPr>
                <w:i w:val="0"/>
                <w:noProof/>
                <w:webHidden/>
              </w:rPr>
              <w:t>12</w:t>
            </w:r>
            <w:r w:rsidR="000C7C2E" w:rsidRPr="00BA1256">
              <w:rPr>
                <w:i w:val="0"/>
                <w:noProof/>
                <w:webHidden/>
              </w:rPr>
              <w:fldChar w:fldCharType="end"/>
            </w:r>
          </w:hyperlink>
        </w:p>
        <w:p w14:paraId="77CDBC68" w14:textId="0151AD3D" w:rsidR="000C7C2E" w:rsidRPr="00A7360C"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44" w:history="1">
            <w:r w:rsidR="000C7C2E" w:rsidRPr="00BA1256">
              <w:rPr>
                <w:rStyle w:val="Hipervnculo"/>
                <w:rFonts w:eastAsia="Batang"/>
                <w:noProof/>
                <w:color w:val="auto"/>
                <w:u w:val="none"/>
              </w:rPr>
              <w:t>B)</w:t>
            </w:r>
            <w:r w:rsidR="000C7C2E" w:rsidRPr="00BA1256">
              <w:rPr>
                <w:rFonts w:eastAsiaTheme="minorEastAsia" w:cstheme="minorBidi"/>
                <w:i w:val="0"/>
                <w:noProof/>
                <w:lang w:val="es-CR" w:eastAsia="es-CR"/>
              </w:rPr>
              <w:tab/>
            </w:r>
            <w:r w:rsidR="000C7C2E" w:rsidRPr="00BA1256">
              <w:rPr>
                <w:rStyle w:val="Hipervnculo"/>
                <w:rFonts w:eastAsia="Batang"/>
                <w:noProof/>
                <w:color w:val="auto"/>
                <w:u w:val="none"/>
              </w:rPr>
              <w:t>Admisibilidad de la prueba testimonial y pericial</w:t>
            </w:r>
            <w:r w:rsidR="000C7C2E" w:rsidRPr="00A7360C">
              <w:rPr>
                <w:noProof/>
                <w:webHidden/>
              </w:rPr>
              <w:tab/>
            </w:r>
            <w:r w:rsidR="000C7C2E" w:rsidRPr="00BA1256">
              <w:rPr>
                <w:i w:val="0"/>
                <w:noProof/>
                <w:webHidden/>
              </w:rPr>
              <w:fldChar w:fldCharType="begin"/>
            </w:r>
            <w:r w:rsidR="000C7C2E" w:rsidRPr="00BA1256">
              <w:rPr>
                <w:i w:val="0"/>
                <w:noProof/>
                <w:webHidden/>
              </w:rPr>
              <w:instrText xml:space="preserve"> PAGEREF _Toc73960344 \h </w:instrText>
            </w:r>
            <w:r w:rsidR="000C7C2E" w:rsidRPr="00BA1256">
              <w:rPr>
                <w:i w:val="0"/>
                <w:noProof/>
                <w:webHidden/>
              </w:rPr>
            </w:r>
            <w:r w:rsidR="000C7C2E" w:rsidRPr="00BA1256">
              <w:rPr>
                <w:i w:val="0"/>
                <w:noProof/>
                <w:webHidden/>
              </w:rPr>
              <w:fldChar w:fldCharType="separate"/>
            </w:r>
            <w:r w:rsidR="007074DF">
              <w:rPr>
                <w:i w:val="0"/>
                <w:noProof/>
                <w:webHidden/>
              </w:rPr>
              <w:t>13</w:t>
            </w:r>
            <w:r w:rsidR="000C7C2E" w:rsidRPr="00BA1256">
              <w:rPr>
                <w:i w:val="0"/>
                <w:noProof/>
                <w:webHidden/>
              </w:rPr>
              <w:fldChar w:fldCharType="end"/>
            </w:r>
          </w:hyperlink>
        </w:p>
        <w:p w14:paraId="40F5710B" w14:textId="77777777" w:rsidR="00BA1256" w:rsidRDefault="00BA1256" w:rsidP="00BA1256">
          <w:pPr>
            <w:pStyle w:val="TDC1"/>
            <w:tabs>
              <w:tab w:val="right" w:leader="dot" w:pos="10190"/>
            </w:tabs>
            <w:spacing w:before="0"/>
            <w:jc w:val="both"/>
            <w:rPr>
              <w:noProof/>
            </w:rPr>
          </w:pPr>
        </w:p>
        <w:p w14:paraId="2AC1C7C3" w14:textId="185C9474" w:rsidR="000C7C2E" w:rsidRPr="00A7360C" w:rsidRDefault="00FB11DD" w:rsidP="00BA1256">
          <w:pPr>
            <w:pStyle w:val="TDC1"/>
            <w:tabs>
              <w:tab w:val="right" w:leader="dot" w:pos="10190"/>
            </w:tabs>
            <w:spacing w:before="0"/>
            <w:jc w:val="both"/>
            <w:rPr>
              <w:rFonts w:eastAsiaTheme="minorEastAsia" w:cstheme="minorBidi"/>
              <w:b w:val="0"/>
              <w:bCs w:val="0"/>
              <w:noProof/>
              <w:lang w:val="es-CR" w:eastAsia="es-CR"/>
            </w:rPr>
          </w:pPr>
          <w:hyperlink w:anchor="_Toc73960345" w:history="1">
            <w:r w:rsidR="000C7C2E" w:rsidRPr="00A7360C">
              <w:rPr>
                <w:rStyle w:val="Hipervnculo"/>
                <w:noProof/>
                <w:color w:val="auto"/>
                <w:u w:val="none"/>
              </w:rPr>
              <w:t>VI</w:t>
            </w:r>
            <w:r w:rsidR="000C7C2E" w:rsidRPr="00A7360C">
              <w:rPr>
                <w:noProof/>
                <w:webHidden/>
              </w:rPr>
              <w:tab/>
            </w:r>
          </w:hyperlink>
          <w:r w:rsidR="000C7C2E" w:rsidRPr="00A7360C">
            <w:rPr>
              <w:rStyle w:val="Hipervnculo"/>
              <w:noProof/>
              <w:color w:val="auto"/>
              <w:u w:val="none"/>
            </w:rPr>
            <w:t xml:space="preserve"> </w:t>
          </w:r>
          <w:hyperlink w:anchor="_Toc73960346" w:history="1">
            <w:r w:rsidR="000C7C2E" w:rsidRPr="00A7360C">
              <w:rPr>
                <w:rStyle w:val="Hipervnculo"/>
                <w:noProof/>
                <w:color w:val="auto"/>
                <w:u w:val="none"/>
              </w:rPr>
              <w:t>HECHOS</w:t>
            </w:r>
            <w:r w:rsidR="000C7C2E" w:rsidRPr="00A7360C">
              <w:rPr>
                <w:noProof/>
                <w:webHidden/>
              </w:rPr>
              <w:tab/>
            </w:r>
            <w:r w:rsidR="000C7C2E" w:rsidRPr="00A7360C">
              <w:rPr>
                <w:noProof/>
                <w:webHidden/>
              </w:rPr>
              <w:fldChar w:fldCharType="begin"/>
            </w:r>
            <w:r w:rsidR="000C7C2E" w:rsidRPr="00A7360C">
              <w:rPr>
                <w:noProof/>
                <w:webHidden/>
              </w:rPr>
              <w:instrText xml:space="preserve"> PAGEREF _Toc73960346 \h </w:instrText>
            </w:r>
            <w:r w:rsidR="000C7C2E" w:rsidRPr="00A7360C">
              <w:rPr>
                <w:noProof/>
                <w:webHidden/>
              </w:rPr>
            </w:r>
            <w:r w:rsidR="000C7C2E" w:rsidRPr="00A7360C">
              <w:rPr>
                <w:noProof/>
                <w:webHidden/>
              </w:rPr>
              <w:fldChar w:fldCharType="separate"/>
            </w:r>
            <w:r w:rsidR="007074DF">
              <w:rPr>
                <w:noProof/>
                <w:webHidden/>
              </w:rPr>
              <w:t>14</w:t>
            </w:r>
            <w:r w:rsidR="000C7C2E" w:rsidRPr="00A7360C">
              <w:rPr>
                <w:noProof/>
                <w:webHidden/>
              </w:rPr>
              <w:fldChar w:fldCharType="end"/>
            </w:r>
          </w:hyperlink>
        </w:p>
        <w:p w14:paraId="67193F8E" w14:textId="519A5A47" w:rsidR="000C7C2E" w:rsidRPr="00A7360C"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47" w:history="1">
            <w:r w:rsidR="000C7C2E" w:rsidRPr="00A7360C">
              <w:rPr>
                <w:rStyle w:val="Hipervnculo"/>
                <w:b/>
                <w:noProof/>
                <w:color w:val="auto"/>
                <w:u w:val="none"/>
              </w:rPr>
              <w:t>A)</w:t>
            </w:r>
            <w:r w:rsidR="000C7C2E" w:rsidRPr="00A7360C">
              <w:rPr>
                <w:rFonts w:eastAsiaTheme="minorEastAsia" w:cstheme="minorBidi"/>
                <w:i w:val="0"/>
                <w:noProof/>
                <w:lang w:val="es-CR" w:eastAsia="es-CR"/>
              </w:rPr>
              <w:tab/>
            </w:r>
            <w:r w:rsidR="000C7C2E" w:rsidRPr="00A7360C">
              <w:rPr>
                <w:rStyle w:val="Hipervnculo"/>
                <w:b/>
                <w:noProof/>
                <w:color w:val="auto"/>
                <w:u w:val="none"/>
              </w:rPr>
              <w:t>Contexto</w:t>
            </w:r>
            <w:r w:rsidR="000C7C2E" w:rsidRPr="00A7360C">
              <w:rPr>
                <w:noProof/>
                <w:webHidden/>
              </w:rPr>
              <w:tab/>
            </w:r>
            <w:r w:rsidR="000C7C2E" w:rsidRPr="00BA1256">
              <w:rPr>
                <w:i w:val="0"/>
                <w:noProof/>
                <w:webHidden/>
              </w:rPr>
              <w:fldChar w:fldCharType="begin"/>
            </w:r>
            <w:r w:rsidR="000C7C2E" w:rsidRPr="00BA1256">
              <w:rPr>
                <w:i w:val="0"/>
                <w:noProof/>
                <w:webHidden/>
              </w:rPr>
              <w:instrText xml:space="preserve"> PAGEREF _Toc73960347 \h </w:instrText>
            </w:r>
            <w:r w:rsidR="000C7C2E" w:rsidRPr="00BA1256">
              <w:rPr>
                <w:i w:val="0"/>
                <w:noProof/>
                <w:webHidden/>
              </w:rPr>
            </w:r>
            <w:r w:rsidR="000C7C2E" w:rsidRPr="00BA1256">
              <w:rPr>
                <w:i w:val="0"/>
                <w:noProof/>
                <w:webHidden/>
              </w:rPr>
              <w:fldChar w:fldCharType="separate"/>
            </w:r>
            <w:r w:rsidR="007074DF">
              <w:rPr>
                <w:i w:val="0"/>
                <w:noProof/>
                <w:webHidden/>
              </w:rPr>
              <w:t>14</w:t>
            </w:r>
            <w:r w:rsidR="000C7C2E" w:rsidRPr="00BA1256">
              <w:rPr>
                <w:i w:val="0"/>
                <w:noProof/>
                <w:webHidden/>
              </w:rPr>
              <w:fldChar w:fldCharType="end"/>
            </w:r>
          </w:hyperlink>
        </w:p>
        <w:p w14:paraId="4EA821DF" w14:textId="1CB2E1F5" w:rsidR="000C7C2E" w:rsidRPr="00A7360C" w:rsidRDefault="00FB11DD" w:rsidP="00BA1256">
          <w:pPr>
            <w:pStyle w:val="TDC3"/>
            <w:tabs>
              <w:tab w:val="right" w:leader="dot" w:pos="10190"/>
            </w:tabs>
            <w:spacing w:before="0"/>
            <w:jc w:val="both"/>
            <w:rPr>
              <w:rFonts w:eastAsiaTheme="minorEastAsia" w:cstheme="minorBidi"/>
              <w:i w:val="0"/>
              <w:noProof/>
              <w:sz w:val="20"/>
              <w:szCs w:val="20"/>
              <w:lang w:val="es-CR" w:eastAsia="es-CR"/>
            </w:rPr>
          </w:pPr>
          <w:hyperlink w:anchor="_Toc73960348" w:history="1">
            <w:r w:rsidR="000C7C2E" w:rsidRPr="00A7360C">
              <w:rPr>
                <w:rStyle w:val="Hipervnculo"/>
                <w:noProof/>
                <w:color w:val="auto"/>
                <w:sz w:val="20"/>
                <w:szCs w:val="20"/>
                <w:u w:val="none"/>
              </w:rPr>
              <w:t>A.1 Violen</w:t>
            </w:r>
            <w:r w:rsidR="003D4BE1">
              <w:rPr>
                <w:rStyle w:val="Hipervnculo"/>
                <w:noProof/>
                <w:color w:val="auto"/>
                <w:sz w:val="20"/>
                <w:szCs w:val="20"/>
                <w:u w:val="none"/>
              </w:rPr>
              <w:t>cia policial en Venezuela y el E</w:t>
            </w:r>
            <w:r w:rsidR="000C7C2E" w:rsidRPr="00A7360C">
              <w:rPr>
                <w:rStyle w:val="Hipervnculo"/>
                <w:noProof/>
                <w:color w:val="auto"/>
                <w:sz w:val="20"/>
                <w:szCs w:val="20"/>
                <w:u w:val="none"/>
              </w:rPr>
              <w:t>stado Falcón</w:t>
            </w:r>
            <w:r w:rsidR="000C7C2E" w:rsidRPr="00A7360C">
              <w:rPr>
                <w:noProof/>
                <w:webHidden/>
                <w:sz w:val="20"/>
                <w:szCs w:val="20"/>
              </w:rPr>
              <w:tab/>
            </w:r>
            <w:r w:rsidR="000C7C2E" w:rsidRPr="00BA1256">
              <w:rPr>
                <w:i w:val="0"/>
                <w:noProof/>
                <w:webHidden/>
                <w:sz w:val="20"/>
                <w:szCs w:val="20"/>
              </w:rPr>
              <w:fldChar w:fldCharType="begin"/>
            </w:r>
            <w:r w:rsidR="000C7C2E" w:rsidRPr="00BA1256">
              <w:rPr>
                <w:i w:val="0"/>
                <w:noProof/>
                <w:webHidden/>
                <w:sz w:val="20"/>
                <w:szCs w:val="20"/>
              </w:rPr>
              <w:instrText xml:space="preserve"> PAGEREF _Toc73960348 \h </w:instrText>
            </w:r>
            <w:r w:rsidR="000C7C2E" w:rsidRPr="00BA1256">
              <w:rPr>
                <w:i w:val="0"/>
                <w:noProof/>
                <w:webHidden/>
                <w:sz w:val="20"/>
                <w:szCs w:val="20"/>
              </w:rPr>
            </w:r>
            <w:r w:rsidR="000C7C2E" w:rsidRPr="00BA1256">
              <w:rPr>
                <w:i w:val="0"/>
                <w:noProof/>
                <w:webHidden/>
                <w:sz w:val="20"/>
                <w:szCs w:val="20"/>
              </w:rPr>
              <w:fldChar w:fldCharType="separate"/>
            </w:r>
            <w:r w:rsidR="007074DF">
              <w:rPr>
                <w:i w:val="0"/>
                <w:noProof/>
                <w:webHidden/>
                <w:sz w:val="20"/>
                <w:szCs w:val="20"/>
              </w:rPr>
              <w:t>14</w:t>
            </w:r>
            <w:r w:rsidR="000C7C2E" w:rsidRPr="00BA1256">
              <w:rPr>
                <w:i w:val="0"/>
                <w:noProof/>
                <w:webHidden/>
                <w:sz w:val="20"/>
                <w:szCs w:val="20"/>
              </w:rPr>
              <w:fldChar w:fldCharType="end"/>
            </w:r>
          </w:hyperlink>
        </w:p>
        <w:p w14:paraId="23284872" w14:textId="4997E8C5" w:rsidR="000C7C2E" w:rsidRPr="00A7360C" w:rsidRDefault="00FB11DD" w:rsidP="00BA1256">
          <w:pPr>
            <w:pStyle w:val="TDC3"/>
            <w:tabs>
              <w:tab w:val="right" w:leader="dot" w:pos="10190"/>
            </w:tabs>
            <w:spacing w:before="0"/>
            <w:jc w:val="both"/>
            <w:rPr>
              <w:rFonts w:eastAsiaTheme="minorEastAsia" w:cstheme="minorBidi"/>
              <w:i w:val="0"/>
              <w:noProof/>
              <w:sz w:val="20"/>
              <w:szCs w:val="20"/>
              <w:lang w:val="es-CR" w:eastAsia="es-CR"/>
            </w:rPr>
          </w:pPr>
          <w:hyperlink w:anchor="_Toc73960349" w:history="1">
            <w:r w:rsidR="000C7C2E" w:rsidRPr="00A7360C">
              <w:rPr>
                <w:rStyle w:val="Hipervnculo"/>
                <w:noProof/>
                <w:color w:val="auto"/>
                <w:sz w:val="20"/>
                <w:szCs w:val="20"/>
                <w:u w:val="none"/>
              </w:rPr>
              <w:t>A.2 Impunidad de actos de violencia policial</w:t>
            </w:r>
            <w:r w:rsidR="000C7C2E" w:rsidRPr="00A7360C">
              <w:rPr>
                <w:noProof/>
                <w:webHidden/>
                <w:sz w:val="20"/>
                <w:szCs w:val="20"/>
              </w:rPr>
              <w:tab/>
            </w:r>
            <w:r w:rsidR="000C7C2E" w:rsidRPr="00BA1256">
              <w:rPr>
                <w:i w:val="0"/>
                <w:noProof/>
                <w:webHidden/>
                <w:sz w:val="20"/>
                <w:szCs w:val="20"/>
              </w:rPr>
              <w:fldChar w:fldCharType="begin"/>
            </w:r>
            <w:r w:rsidR="000C7C2E" w:rsidRPr="00BA1256">
              <w:rPr>
                <w:i w:val="0"/>
                <w:noProof/>
                <w:webHidden/>
                <w:sz w:val="20"/>
                <w:szCs w:val="20"/>
              </w:rPr>
              <w:instrText xml:space="preserve"> PAGEREF _Toc73960349 \h </w:instrText>
            </w:r>
            <w:r w:rsidR="000C7C2E" w:rsidRPr="00BA1256">
              <w:rPr>
                <w:i w:val="0"/>
                <w:noProof/>
                <w:webHidden/>
                <w:sz w:val="20"/>
                <w:szCs w:val="20"/>
              </w:rPr>
            </w:r>
            <w:r w:rsidR="000C7C2E" w:rsidRPr="00BA1256">
              <w:rPr>
                <w:i w:val="0"/>
                <w:noProof/>
                <w:webHidden/>
                <w:sz w:val="20"/>
                <w:szCs w:val="20"/>
              </w:rPr>
              <w:fldChar w:fldCharType="separate"/>
            </w:r>
            <w:r w:rsidR="007074DF">
              <w:rPr>
                <w:i w:val="0"/>
                <w:noProof/>
                <w:webHidden/>
                <w:sz w:val="20"/>
                <w:szCs w:val="20"/>
              </w:rPr>
              <w:t>17</w:t>
            </w:r>
            <w:r w:rsidR="000C7C2E" w:rsidRPr="00BA1256">
              <w:rPr>
                <w:i w:val="0"/>
                <w:noProof/>
                <w:webHidden/>
                <w:sz w:val="20"/>
                <w:szCs w:val="20"/>
              </w:rPr>
              <w:fldChar w:fldCharType="end"/>
            </w:r>
          </w:hyperlink>
        </w:p>
        <w:p w14:paraId="5B700E7C" w14:textId="493C5D0F" w:rsidR="000C7C2E" w:rsidRPr="00A7360C" w:rsidRDefault="00FB11DD" w:rsidP="00BA1256">
          <w:pPr>
            <w:pStyle w:val="TDC3"/>
            <w:tabs>
              <w:tab w:val="right" w:leader="dot" w:pos="10190"/>
            </w:tabs>
            <w:spacing w:before="0"/>
            <w:jc w:val="both"/>
            <w:rPr>
              <w:rFonts w:eastAsiaTheme="minorEastAsia" w:cstheme="minorBidi"/>
              <w:i w:val="0"/>
              <w:noProof/>
              <w:sz w:val="20"/>
              <w:szCs w:val="20"/>
              <w:lang w:val="es-CR" w:eastAsia="es-CR"/>
            </w:rPr>
          </w:pPr>
          <w:hyperlink w:anchor="_Toc73960350" w:history="1">
            <w:r w:rsidR="000C7C2E" w:rsidRPr="00A7360C">
              <w:rPr>
                <w:rStyle w:val="Hipervnculo"/>
                <w:noProof/>
                <w:color w:val="auto"/>
                <w:sz w:val="20"/>
                <w:szCs w:val="20"/>
                <w:u w:val="none"/>
              </w:rPr>
              <w:t>A.3 Conclusión sobre la situación de contexto</w:t>
            </w:r>
            <w:r w:rsidR="000C7C2E" w:rsidRPr="00A7360C">
              <w:rPr>
                <w:noProof/>
                <w:webHidden/>
                <w:sz w:val="20"/>
                <w:szCs w:val="20"/>
              </w:rPr>
              <w:tab/>
            </w:r>
            <w:r w:rsidR="000C7C2E" w:rsidRPr="00BA1256">
              <w:rPr>
                <w:i w:val="0"/>
                <w:noProof/>
                <w:webHidden/>
                <w:sz w:val="20"/>
                <w:szCs w:val="20"/>
              </w:rPr>
              <w:fldChar w:fldCharType="begin"/>
            </w:r>
            <w:r w:rsidR="000C7C2E" w:rsidRPr="00BA1256">
              <w:rPr>
                <w:i w:val="0"/>
                <w:noProof/>
                <w:webHidden/>
                <w:sz w:val="20"/>
                <w:szCs w:val="20"/>
              </w:rPr>
              <w:instrText xml:space="preserve"> PAGEREF _Toc73960350 \h </w:instrText>
            </w:r>
            <w:r w:rsidR="000C7C2E" w:rsidRPr="00BA1256">
              <w:rPr>
                <w:i w:val="0"/>
                <w:noProof/>
                <w:webHidden/>
                <w:sz w:val="20"/>
                <w:szCs w:val="20"/>
              </w:rPr>
            </w:r>
            <w:r w:rsidR="000C7C2E" w:rsidRPr="00BA1256">
              <w:rPr>
                <w:i w:val="0"/>
                <w:noProof/>
                <w:webHidden/>
                <w:sz w:val="20"/>
                <w:szCs w:val="20"/>
              </w:rPr>
              <w:fldChar w:fldCharType="separate"/>
            </w:r>
            <w:r w:rsidR="007074DF">
              <w:rPr>
                <w:i w:val="0"/>
                <w:noProof/>
                <w:webHidden/>
                <w:sz w:val="20"/>
                <w:szCs w:val="20"/>
              </w:rPr>
              <w:t>17</w:t>
            </w:r>
            <w:r w:rsidR="000C7C2E" w:rsidRPr="00BA1256">
              <w:rPr>
                <w:i w:val="0"/>
                <w:noProof/>
                <w:webHidden/>
                <w:sz w:val="20"/>
                <w:szCs w:val="20"/>
              </w:rPr>
              <w:fldChar w:fldCharType="end"/>
            </w:r>
          </w:hyperlink>
        </w:p>
        <w:p w14:paraId="74E8996A" w14:textId="202D1002" w:rsidR="000C7C2E" w:rsidRPr="00A7360C"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51" w:history="1">
            <w:r w:rsidR="000C7C2E" w:rsidRPr="00A7360C">
              <w:rPr>
                <w:rStyle w:val="Hipervnculo"/>
                <w:b/>
                <w:noProof/>
                <w:color w:val="auto"/>
                <w:u w:val="none"/>
              </w:rPr>
              <w:t>B)</w:t>
            </w:r>
            <w:r w:rsidR="000C7C2E" w:rsidRPr="00A7360C">
              <w:rPr>
                <w:rFonts w:eastAsiaTheme="minorEastAsia" w:cstheme="minorBidi"/>
                <w:i w:val="0"/>
                <w:noProof/>
                <w:lang w:val="es-CR" w:eastAsia="es-CR"/>
              </w:rPr>
              <w:tab/>
            </w:r>
            <w:r w:rsidR="000C7C2E" w:rsidRPr="00A7360C">
              <w:rPr>
                <w:rStyle w:val="Hipervnculo"/>
                <w:b/>
                <w:noProof/>
                <w:color w:val="auto"/>
                <w:u w:val="none"/>
              </w:rPr>
              <w:t>Hechos del caso</w:t>
            </w:r>
            <w:r w:rsidR="000C7C2E" w:rsidRPr="00A7360C">
              <w:rPr>
                <w:noProof/>
                <w:webHidden/>
              </w:rPr>
              <w:tab/>
            </w:r>
            <w:r w:rsidR="000C7C2E" w:rsidRPr="00BA1256">
              <w:rPr>
                <w:i w:val="0"/>
                <w:noProof/>
                <w:webHidden/>
              </w:rPr>
              <w:fldChar w:fldCharType="begin"/>
            </w:r>
            <w:r w:rsidR="000C7C2E" w:rsidRPr="00BA1256">
              <w:rPr>
                <w:i w:val="0"/>
                <w:noProof/>
                <w:webHidden/>
              </w:rPr>
              <w:instrText xml:space="preserve"> PAGEREF _Toc73960351 \h </w:instrText>
            </w:r>
            <w:r w:rsidR="000C7C2E" w:rsidRPr="00BA1256">
              <w:rPr>
                <w:i w:val="0"/>
                <w:noProof/>
                <w:webHidden/>
              </w:rPr>
            </w:r>
            <w:r w:rsidR="000C7C2E" w:rsidRPr="00BA1256">
              <w:rPr>
                <w:i w:val="0"/>
                <w:noProof/>
                <w:webHidden/>
              </w:rPr>
              <w:fldChar w:fldCharType="separate"/>
            </w:r>
            <w:r w:rsidR="007074DF">
              <w:rPr>
                <w:i w:val="0"/>
                <w:noProof/>
                <w:webHidden/>
              </w:rPr>
              <w:t>17</w:t>
            </w:r>
            <w:r w:rsidR="000C7C2E" w:rsidRPr="00BA1256">
              <w:rPr>
                <w:i w:val="0"/>
                <w:noProof/>
                <w:webHidden/>
              </w:rPr>
              <w:fldChar w:fldCharType="end"/>
            </w:r>
          </w:hyperlink>
        </w:p>
        <w:p w14:paraId="1A5266B4" w14:textId="55EAE1F5" w:rsidR="000C7C2E" w:rsidRPr="00A7360C" w:rsidRDefault="00FB11DD" w:rsidP="00BA1256">
          <w:pPr>
            <w:pStyle w:val="TDC3"/>
            <w:tabs>
              <w:tab w:val="right" w:leader="dot" w:pos="10190"/>
            </w:tabs>
            <w:spacing w:before="0"/>
            <w:jc w:val="both"/>
            <w:rPr>
              <w:rFonts w:eastAsiaTheme="minorEastAsia" w:cstheme="minorBidi"/>
              <w:i w:val="0"/>
              <w:noProof/>
              <w:sz w:val="20"/>
              <w:szCs w:val="20"/>
              <w:lang w:val="es-CR" w:eastAsia="es-CR"/>
            </w:rPr>
          </w:pPr>
          <w:hyperlink w:anchor="_Toc73960352" w:history="1">
            <w:r w:rsidR="000C7C2E" w:rsidRPr="00A7360C">
              <w:rPr>
                <w:rStyle w:val="Hipervnculo"/>
                <w:noProof/>
                <w:color w:val="auto"/>
                <w:sz w:val="20"/>
                <w:szCs w:val="20"/>
                <w:u w:val="none"/>
              </w:rPr>
              <w:t>B.1 Hechos previos a las muertes de Jimmy Guerrero y Ramón Antonio Molina</w:t>
            </w:r>
            <w:r w:rsidR="000C7C2E" w:rsidRPr="00A7360C">
              <w:rPr>
                <w:noProof/>
                <w:webHidden/>
                <w:sz w:val="20"/>
                <w:szCs w:val="20"/>
              </w:rPr>
              <w:tab/>
            </w:r>
            <w:r w:rsidR="000C7C2E" w:rsidRPr="00BA1256">
              <w:rPr>
                <w:i w:val="0"/>
                <w:noProof/>
                <w:webHidden/>
                <w:sz w:val="20"/>
                <w:szCs w:val="20"/>
              </w:rPr>
              <w:fldChar w:fldCharType="begin"/>
            </w:r>
            <w:r w:rsidR="000C7C2E" w:rsidRPr="00BA1256">
              <w:rPr>
                <w:i w:val="0"/>
                <w:noProof/>
                <w:webHidden/>
                <w:sz w:val="20"/>
                <w:szCs w:val="20"/>
              </w:rPr>
              <w:instrText xml:space="preserve"> PAGEREF _Toc73960352 \h </w:instrText>
            </w:r>
            <w:r w:rsidR="000C7C2E" w:rsidRPr="00BA1256">
              <w:rPr>
                <w:i w:val="0"/>
                <w:noProof/>
                <w:webHidden/>
                <w:sz w:val="20"/>
                <w:szCs w:val="20"/>
              </w:rPr>
            </w:r>
            <w:r w:rsidR="000C7C2E" w:rsidRPr="00BA1256">
              <w:rPr>
                <w:i w:val="0"/>
                <w:noProof/>
                <w:webHidden/>
                <w:sz w:val="20"/>
                <w:szCs w:val="20"/>
              </w:rPr>
              <w:fldChar w:fldCharType="separate"/>
            </w:r>
            <w:r w:rsidR="007074DF">
              <w:rPr>
                <w:i w:val="0"/>
                <w:noProof/>
                <w:webHidden/>
                <w:sz w:val="20"/>
                <w:szCs w:val="20"/>
              </w:rPr>
              <w:t>18</w:t>
            </w:r>
            <w:r w:rsidR="000C7C2E" w:rsidRPr="00BA1256">
              <w:rPr>
                <w:i w:val="0"/>
                <w:noProof/>
                <w:webHidden/>
                <w:sz w:val="20"/>
                <w:szCs w:val="20"/>
              </w:rPr>
              <w:fldChar w:fldCharType="end"/>
            </w:r>
          </w:hyperlink>
        </w:p>
        <w:p w14:paraId="663AD025" w14:textId="151E9D3F" w:rsidR="000C7C2E" w:rsidRPr="00A7360C" w:rsidRDefault="00FB11DD" w:rsidP="00BA1256">
          <w:pPr>
            <w:pStyle w:val="TDC3"/>
            <w:tabs>
              <w:tab w:val="right" w:leader="dot" w:pos="10190"/>
            </w:tabs>
            <w:spacing w:before="0"/>
            <w:jc w:val="both"/>
            <w:rPr>
              <w:rFonts w:eastAsiaTheme="minorEastAsia" w:cstheme="minorBidi"/>
              <w:i w:val="0"/>
              <w:noProof/>
              <w:sz w:val="20"/>
              <w:szCs w:val="20"/>
              <w:lang w:val="es-CR" w:eastAsia="es-CR"/>
            </w:rPr>
          </w:pPr>
          <w:hyperlink w:anchor="_Toc73960353" w:history="1">
            <w:r w:rsidR="000C7C2E" w:rsidRPr="00A7360C">
              <w:rPr>
                <w:rStyle w:val="Hipervnculo"/>
                <w:noProof/>
                <w:color w:val="auto"/>
                <w:sz w:val="20"/>
                <w:szCs w:val="20"/>
                <w:u w:val="none"/>
              </w:rPr>
              <w:t>B.2 La</w:t>
            </w:r>
            <w:r w:rsidR="009557A6">
              <w:rPr>
                <w:rStyle w:val="Hipervnculo"/>
                <w:noProof/>
                <w:color w:val="auto"/>
                <w:sz w:val="20"/>
                <w:szCs w:val="20"/>
                <w:u w:val="none"/>
              </w:rPr>
              <w:t>s</w:t>
            </w:r>
            <w:r w:rsidR="000C7C2E" w:rsidRPr="00A7360C">
              <w:rPr>
                <w:rStyle w:val="Hipervnculo"/>
                <w:noProof/>
                <w:color w:val="auto"/>
                <w:sz w:val="20"/>
                <w:szCs w:val="20"/>
                <w:u w:val="none"/>
              </w:rPr>
              <w:t xml:space="preserve"> muerte</w:t>
            </w:r>
            <w:r w:rsidR="009557A6">
              <w:rPr>
                <w:rStyle w:val="Hipervnculo"/>
                <w:noProof/>
                <w:color w:val="auto"/>
                <w:sz w:val="20"/>
                <w:szCs w:val="20"/>
                <w:u w:val="none"/>
              </w:rPr>
              <w:t>s</w:t>
            </w:r>
            <w:r w:rsidR="000C7C2E" w:rsidRPr="00A7360C">
              <w:rPr>
                <w:rStyle w:val="Hipervnculo"/>
                <w:noProof/>
                <w:color w:val="auto"/>
                <w:sz w:val="20"/>
                <w:szCs w:val="20"/>
                <w:u w:val="none"/>
              </w:rPr>
              <w:t xml:space="preserve"> de Jimmy Guerrero y Ramón Molina</w:t>
            </w:r>
            <w:r w:rsidR="000C7C2E" w:rsidRPr="00A7360C">
              <w:rPr>
                <w:noProof/>
                <w:webHidden/>
                <w:sz w:val="20"/>
                <w:szCs w:val="20"/>
              </w:rPr>
              <w:tab/>
            </w:r>
            <w:r w:rsidR="000C7C2E" w:rsidRPr="00BA1256">
              <w:rPr>
                <w:i w:val="0"/>
                <w:noProof/>
                <w:webHidden/>
                <w:sz w:val="20"/>
                <w:szCs w:val="20"/>
              </w:rPr>
              <w:fldChar w:fldCharType="begin"/>
            </w:r>
            <w:r w:rsidR="000C7C2E" w:rsidRPr="00BA1256">
              <w:rPr>
                <w:i w:val="0"/>
                <w:noProof/>
                <w:webHidden/>
                <w:sz w:val="20"/>
                <w:szCs w:val="20"/>
              </w:rPr>
              <w:instrText xml:space="preserve"> PAGEREF _Toc73960353 \h </w:instrText>
            </w:r>
            <w:r w:rsidR="000C7C2E" w:rsidRPr="00BA1256">
              <w:rPr>
                <w:i w:val="0"/>
                <w:noProof/>
                <w:webHidden/>
                <w:sz w:val="20"/>
                <w:szCs w:val="20"/>
              </w:rPr>
            </w:r>
            <w:r w:rsidR="000C7C2E" w:rsidRPr="00BA1256">
              <w:rPr>
                <w:i w:val="0"/>
                <w:noProof/>
                <w:webHidden/>
                <w:sz w:val="20"/>
                <w:szCs w:val="20"/>
              </w:rPr>
              <w:fldChar w:fldCharType="separate"/>
            </w:r>
            <w:r w:rsidR="007074DF">
              <w:rPr>
                <w:i w:val="0"/>
                <w:noProof/>
                <w:webHidden/>
                <w:sz w:val="20"/>
                <w:szCs w:val="20"/>
              </w:rPr>
              <w:t>21</w:t>
            </w:r>
            <w:r w:rsidR="000C7C2E" w:rsidRPr="00BA1256">
              <w:rPr>
                <w:i w:val="0"/>
                <w:noProof/>
                <w:webHidden/>
                <w:sz w:val="20"/>
                <w:szCs w:val="20"/>
              </w:rPr>
              <w:fldChar w:fldCharType="end"/>
            </w:r>
          </w:hyperlink>
        </w:p>
        <w:p w14:paraId="45BD9FC3" w14:textId="77777777" w:rsidR="00BA1256" w:rsidRDefault="00BA1256" w:rsidP="00BA1256">
          <w:pPr>
            <w:pStyle w:val="TDC1"/>
            <w:tabs>
              <w:tab w:val="right" w:leader="dot" w:pos="10190"/>
            </w:tabs>
            <w:spacing w:before="0"/>
            <w:jc w:val="both"/>
            <w:rPr>
              <w:noProof/>
            </w:rPr>
          </w:pPr>
        </w:p>
        <w:p w14:paraId="79500397" w14:textId="0E0B537A" w:rsidR="000C7C2E" w:rsidRPr="00A7360C" w:rsidRDefault="00FB11DD" w:rsidP="00BA1256">
          <w:pPr>
            <w:pStyle w:val="TDC1"/>
            <w:tabs>
              <w:tab w:val="right" w:leader="dot" w:pos="10190"/>
            </w:tabs>
            <w:spacing w:before="0"/>
            <w:jc w:val="both"/>
            <w:rPr>
              <w:rFonts w:eastAsiaTheme="minorEastAsia" w:cstheme="minorBidi"/>
              <w:b w:val="0"/>
              <w:bCs w:val="0"/>
              <w:noProof/>
              <w:lang w:val="es-CR" w:eastAsia="es-CR"/>
            </w:rPr>
          </w:pPr>
          <w:hyperlink w:anchor="_Toc73960354" w:history="1">
            <w:r w:rsidR="000C7C2E" w:rsidRPr="00A7360C">
              <w:rPr>
                <w:rStyle w:val="Hipervnculo"/>
                <w:noProof/>
                <w:color w:val="auto"/>
                <w:u w:val="none"/>
              </w:rPr>
              <w:t>VII</w:t>
            </w:r>
          </w:hyperlink>
          <w:r w:rsidR="000C7C2E" w:rsidRPr="00A7360C">
            <w:rPr>
              <w:rStyle w:val="Hipervnculo"/>
              <w:noProof/>
              <w:color w:val="auto"/>
              <w:u w:val="none"/>
            </w:rPr>
            <w:t xml:space="preserve"> </w:t>
          </w:r>
          <w:hyperlink w:anchor="_Toc73960355" w:history="1">
            <w:r w:rsidR="000C7C2E" w:rsidRPr="00A7360C">
              <w:rPr>
                <w:rStyle w:val="Hipervnculo"/>
                <w:noProof/>
                <w:color w:val="auto"/>
                <w:u w:val="none"/>
              </w:rPr>
              <w:t>FONDO</w:t>
            </w:r>
            <w:r w:rsidR="000C7C2E" w:rsidRPr="00A7360C">
              <w:rPr>
                <w:noProof/>
                <w:webHidden/>
              </w:rPr>
              <w:tab/>
            </w:r>
            <w:r w:rsidR="000C7C2E" w:rsidRPr="00A7360C">
              <w:rPr>
                <w:noProof/>
                <w:webHidden/>
              </w:rPr>
              <w:fldChar w:fldCharType="begin"/>
            </w:r>
            <w:r w:rsidR="000C7C2E" w:rsidRPr="00A7360C">
              <w:rPr>
                <w:noProof/>
                <w:webHidden/>
              </w:rPr>
              <w:instrText xml:space="preserve"> PAGEREF _Toc73960355 \h </w:instrText>
            </w:r>
            <w:r w:rsidR="000C7C2E" w:rsidRPr="00A7360C">
              <w:rPr>
                <w:noProof/>
                <w:webHidden/>
              </w:rPr>
            </w:r>
            <w:r w:rsidR="000C7C2E" w:rsidRPr="00A7360C">
              <w:rPr>
                <w:noProof/>
                <w:webHidden/>
              </w:rPr>
              <w:fldChar w:fldCharType="separate"/>
            </w:r>
            <w:r w:rsidR="007074DF">
              <w:rPr>
                <w:noProof/>
                <w:webHidden/>
              </w:rPr>
              <w:t>25</w:t>
            </w:r>
            <w:r w:rsidR="000C7C2E" w:rsidRPr="00A7360C">
              <w:rPr>
                <w:noProof/>
                <w:webHidden/>
              </w:rPr>
              <w:fldChar w:fldCharType="end"/>
            </w:r>
          </w:hyperlink>
        </w:p>
        <w:p w14:paraId="0DA6A421" w14:textId="5FEDB15D" w:rsidR="000C7C2E" w:rsidRPr="00A7360C" w:rsidRDefault="00FB11DD" w:rsidP="00BA1256">
          <w:pPr>
            <w:pStyle w:val="TDC1"/>
            <w:tabs>
              <w:tab w:val="right" w:leader="dot" w:pos="10190"/>
            </w:tabs>
            <w:spacing w:before="0"/>
            <w:jc w:val="both"/>
            <w:rPr>
              <w:rFonts w:eastAsiaTheme="minorEastAsia" w:cstheme="minorBidi"/>
              <w:b w:val="0"/>
              <w:bCs w:val="0"/>
              <w:noProof/>
              <w:lang w:val="es-CR" w:eastAsia="es-CR"/>
            </w:rPr>
          </w:pPr>
          <w:hyperlink w:anchor="_Toc73960356" w:history="1">
            <w:r w:rsidR="000C7C2E" w:rsidRPr="00A7360C">
              <w:rPr>
                <w:rStyle w:val="Hipervnculo"/>
                <w:noProof/>
                <w:color w:val="auto"/>
                <w:u w:val="none"/>
              </w:rPr>
              <w:t>VII.1</w:t>
            </w:r>
          </w:hyperlink>
          <w:r w:rsidR="000C7C2E" w:rsidRPr="00A7360C">
            <w:rPr>
              <w:rStyle w:val="Hipervnculo"/>
              <w:noProof/>
              <w:color w:val="auto"/>
              <w:u w:val="none"/>
            </w:rPr>
            <w:t xml:space="preserve"> </w:t>
          </w:r>
          <w:hyperlink w:anchor="_Toc73960357" w:history="1">
            <w:r w:rsidR="000C7C2E" w:rsidRPr="00A7360C">
              <w:rPr>
                <w:rStyle w:val="Hipervnculo"/>
                <w:noProof/>
                <w:color w:val="auto"/>
                <w:u w:val="none"/>
              </w:rPr>
              <w:t>CONSIDERACIONES GENERALES SOBRE LA OBLIGACIÓN DE RESPETAR Y GARANTIZAR LOS DERECHOS HUMANOS SIN DISCRIMINACIÓN</w:t>
            </w:r>
            <w:r w:rsidR="000C7C2E" w:rsidRPr="00A7360C">
              <w:rPr>
                <w:noProof/>
                <w:webHidden/>
              </w:rPr>
              <w:tab/>
            </w:r>
            <w:r w:rsidR="000C7C2E" w:rsidRPr="00A7360C">
              <w:rPr>
                <w:noProof/>
                <w:webHidden/>
              </w:rPr>
              <w:fldChar w:fldCharType="begin"/>
            </w:r>
            <w:r w:rsidR="000C7C2E" w:rsidRPr="00A7360C">
              <w:rPr>
                <w:noProof/>
                <w:webHidden/>
              </w:rPr>
              <w:instrText xml:space="preserve"> PAGEREF _Toc73960357 \h </w:instrText>
            </w:r>
            <w:r w:rsidR="000C7C2E" w:rsidRPr="00A7360C">
              <w:rPr>
                <w:noProof/>
                <w:webHidden/>
              </w:rPr>
            </w:r>
            <w:r w:rsidR="000C7C2E" w:rsidRPr="00A7360C">
              <w:rPr>
                <w:noProof/>
                <w:webHidden/>
              </w:rPr>
              <w:fldChar w:fldCharType="separate"/>
            </w:r>
            <w:r w:rsidR="007074DF">
              <w:rPr>
                <w:noProof/>
                <w:webHidden/>
              </w:rPr>
              <w:t>26</w:t>
            </w:r>
            <w:r w:rsidR="000C7C2E" w:rsidRPr="00A7360C">
              <w:rPr>
                <w:noProof/>
                <w:webHidden/>
              </w:rPr>
              <w:fldChar w:fldCharType="end"/>
            </w:r>
          </w:hyperlink>
        </w:p>
        <w:p w14:paraId="25F9308A" w14:textId="77777777" w:rsidR="00BA1256" w:rsidRDefault="00BA1256" w:rsidP="00BA1256">
          <w:pPr>
            <w:pStyle w:val="TDC1"/>
            <w:tabs>
              <w:tab w:val="right" w:leader="dot" w:pos="10190"/>
            </w:tabs>
            <w:spacing w:before="0"/>
            <w:jc w:val="both"/>
            <w:rPr>
              <w:noProof/>
            </w:rPr>
          </w:pPr>
        </w:p>
        <w:p w14:paraId="4CF34B99" w14:textId="4DE55D0D" w:rsidR="000C7C2E" w:rsidRPr="00A7360C" w:rsidRDefault="00FB11DD" w:rsidP="00BA1256">
          <w:pPr>
            <w:pStyle w:val="TDC1"/>
            <w:tabs>
              <w:tab w:val="right" w:leader="dot" w:pos="10190"/>
            </w:tabs>
            <w:spacing w:before="0"/>
            <w:jc w:val="both"/>
            <w:rPr>
              <w:rFonts w:eastAsiaTheme="minorEastAsia" w:cstheme="minorBidi"/>
              <w:b w:val="0"/>
              <w:bCs w:val="0"/>
              <w:noProof/>
              <w:lang w:val="es-CR" w:eastAsia="es-CR"/>
            </w:rPr>
          </w:pPr>
          <w:hyperlink w:anchor="_Toc73960358" w:history="1">
            <w:r w:rsidR="000C7C2E" w:rsidRPr="00A7360C">
              <w:rPr>
                <w:rStyle w:val="Hipervnculo"/>
                <w:noProof/>
                <w:color w:val="auto"/>
                <w:u w:val="none"/>
              </w:rPr>
              <w:t>VII.2</w:t>
            </w:r>
          </w:hyperlink>
          <w:r w:rsidR="000C7C2E" w:rsidRPr="00A7360C">
            <w:rPr>
              <w:rStyle w:val="Hipervnculo"/>
              <w:noProof/>
              <w:color w:val="auto"/>
              <w:u w:val="none"/>
            </w:rPr>
            <w:t xml:space="preserve"> </w:t>
          </w:r>
          <w:hyperlink w:anchor="_Toc73960359" w:history="1">
            <w:r w:rsidR="000C7C2E" w:rsidRPr="00A7360C">
              <w:rPr>
                <w:rStyle w:val="Hipervnculo"/>
                <w:noProof/>
                <w:color w:val="auto"/>
                <w:u w:val="none"/>
              </w:rPr>
              <w:t>DERECHO A LA LIBERTAD PERSONAL RESPECTO A JIMMY GUERRERO</w:t>
            </w:r>
            <w:r w:rsidR="000C7C2E" w:rsidRPr="00A7360C">
              <w:rPr>
                <w:noProof/>
                <w:webHidden/>
              </w:rPr>
              <w:tab/>
            </w:r>
            <w:r w:rsidR="000C7C2E" w:rsidRPr="00A7360C">
              <w:rPr>
                <w:noProof/>
                <w:webHidden/>
              </w:rPr>
              <w:fldChar w:fldCharType="begin"/>
            </w:r>
            <w:r w:rsidR="000C7C2E" w:rsidRPr="00A7360C">
              <w:rPr>
                <w:noProof/>
                <w:webHidden/>
              </w:rPr>
              <w:instrText xml:space="preserve"> PAGEREF _Toc73960359 \h </w:instrText>
            </w:r>
            <w:r w:rsidR="000C7C2E" w:rsidRPr="00A7360C">
              <w:rPr>
                <w:noProof/>
                <w:webHidden/>
              </w:rPr>
            </w:r>
            <w:r w:rsidR="000C7C2E" w:rsidRPr="00A7360C">
              <w:rPr>
                <w:noProof/>
                <w:webHidden/>
              </w:rPr>
              <w:fldChar w:fldCharType="separate"/>
            </w:r>
            <w:r w:rsidR="007074DF">
              <w:rPr>
                <w:noProof/>
                <w:webHidden/>
              </w:rPr>
              <w:t>30</w:t>
            </w:r>
            <w:r w:rsidR="000C7C2E" w:rsidRPr="00A7360C">
              <w:rPr>
                <w:noProof/>
                <w:webHidden/>
              </w:rPr>
              <w:fldChar w:fldCharType="end"/>
            </w:r>
          </w:hyperlink>
        </w:p>
        <w:p w14:paraId="2CA7FC9B" w14:textId="028112E3"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60" w:history="1">
            <w:r w:rsidR="000C7C2E" w:rsidRPr="00BA1256">
              <w:rPr>
                <w:rStyle w:val="Hipervnculo"/>
                <w:noProof/>
                <w:color w:val="auto"/>
                <w:u w:val="none"/>
              </w:rPr>
              <w:t>A)</w:t>
            </w:r>
            <w:r w:rsidR="000C7C2E" w:rsidRPr="00BA1256">
              <w:rPr>
                <w:rFonts w:eastAsiaTheme="minorEastAsia" w:cstheme="minorBidi"/>
                <w:i w:val="0"/>
                <w:noProof/>
                <w:lang w:val="es-CR" w:eastAsia="es-CR"/>
              </w:rPr>
              <w:tab/>
            </w:r>
            <w:r w:rsidR="000C7C2E" w:rsidRPr="00BA1256">
              <w:rPr>
                <w:rStyle w:val="Hipervnculo"/>
                <w:noProof/>
                <w:color w:val="auto"/>
                <w:u w:val="none"/>
              </w:rPr>
              <w:t>Argumentos de los representantes</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_Toc73960360 \h </w:instrText>
            </w:r>
            <w:r w:rsidR="000C7C2E" w:rsidRPr="00BA1256">
              <w:rPr>
                <w:i w:val="0"/>
                <w:noProof/>
                <w:webHidden/>
              </w:rPr>
            </w:r>
            <w:r w:rsidR="000C7C2E" w:rsidRPr="00BA1256">
              <w:rPr>
                <w:i w:val="0"/>
                <w:noProof/>
                <w:webHidden/>
              </w:rPr>
              <w:fldChar w:fldCharType="separate"/>
            </w:r>
            <w:r w:rsidR="007074DF">
              <w:rPr>
                <w:i w:val="0"/>
                <w:noProof/>
                <w:webHidden/>
              </w:rPr>
              <w:t>30</w:t>
            </w:r>
            <w:r w:rsidR="000C7C2E" w:rsidRPr="00BA1256">
              <w:rPr>
                <w:i w:val="0"/>
                <w:noProof/>
                <w:webHidden/>
              </w:rPr>
              <w:fldChar w:fldCharType="end"/>
            </w:r>
          </w:hyperlink>
        </w:p>
        <w:p w14:paraId="43929FD9" w14:textId="193C9481"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61" w:history="1">
            <w:r w:rsidR="000C7C2E" w:rsidRPr="00BA1256">
              <w:rPr>
                <w:rStyle w:val="Hipervnculo"/>
                <w:noProof/>
                <w:color w:val="auto"/>
                <w:u w:val="none"/>
              </w:rPr>
              <w:t>B)</w:t>
            </w:r>
            <w:r w:rsidR="000C7C2E" w:rsidRPr="00BA1256">
              <w:rPr>
                <w:rFonts w:eastAsiaTheme="minorEastAsia" w:cstheme="minorBidi"/>
                <w:i w:val="0"/>
                <w:noProof/>
                <w:lang w:val="es-CR" w:eastAsia="es-CR"/>
              </w:rPr>
              <w:tab/>
            </w:r>
            <w:r w:rsidR="000C7C2E" w:rsidRPr="00BA1256">
              <w:rPr>
                <w:rStyle w:val="Hipervnculo"/>
                <w:noProof/>
                <w:color w:val="auto"/>
                <w:u w:val="none"/>
              </w:rPr>
              <w:t>Consideraciones de la Corte</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_Toc73960361 \h </w:instrText>
            </w:r>
            <w:r w:rsidR="000C7C2E" w:rsidRPr="00BA1256">
              <w:rPr>
                <w:i w:val="0"/>
                <w:noProof/>
                <w:webHidden/>
              </w:rPr>
            </w:r>
            <w:r w:rsidR="000C7C2E" w:rsidRPr="00BA1256">
              <w:rPr>
                <w:i w:val="0"/>
                <w:noProof/>
                <w:webHidden/>
              </w:rPr>
              <w:fldChar w:fldCharType="separate"/>
            </w:r>
            <w:r w:rsidR="007074DF">
              <w:rPr>
                <w:i w:val="0"/>
                <w:noProof/>
                <w:webHidden/>
              </w:rPr>
              <w:t>30</w:t>
            </w:r>
            <w:r w:rsidR="000C7C2E" w:rsidRPr="00BA1256">
              <w:rPr>
                <w:i w:val="0"/>
                <w:noProof/>
                <w:webHidden/>
              </w:rPr>
              <w:fldChar w:fldCharType="end"/>
            </w:r>
          </w:hyperlink>
        </w:p>
        <w:p w14:paraId="2EB67127" w14:textId="77777777" w:rsidR="00BA1256" w:rsidRDefault="00BA1256" w:rsidP="00BA1256">
          <w:pPr>
            <w:pStyle w:val="TDC1"/>
            <w:tabs>
              <w:tab w:val="right" w:leader="dot" w:pos="10190"/>
            </w:tabs>
            <w:spacing w:before="0"/>
            <w:jc w:val="both"/>
            <w:rPr>
              <w:noProof/>
            </w:rPr>
          </w:pPr>
        </w:p>
        <w:p w14:paraId="6B0B23FE" w14:textId="2F6A38A1" w:rsidR="000C7C2E" w:rsidRPr="00A7360C" w:rsidRDefault="00FB11DD" w:rsidP="00BA1256">
          <w:pPr>
            <w:pStyle w:val="TDC1"/>
            <w:tabs>
              <w:tab w:val="right" w:leader="dot" w:pos="10190"/>
            </w:tabs>
            <w:spacing w:before="0"/>
            <w:jc w:val="both"/>
            <w:rPr>
              <w:rFonts w:eastAsiaTheme="minorEastAsia" w:cstheme="minorBidi"/>
              <w:b w:val="0"/>
              <w:bCs w:val="0"/>
              <w:noProof/>
              <w:lang w:val="es-CR" w:eastAsia="es-CR"/>
            </w:rPr>
          </w:pPr>
          <w:hyperlink w:anchor="_Toc73960362" w:history="1">
            <w:r w:rsidR="000C7C2E" w:rsidRPr="00A7360C">
              <w:rPr>
                <w:rStyle w:val="Hipervnculo"/>
                <w:noProof/>
                <w:color w:val="auto"/>
                <w:u w:val="none"/>
              </w:rPr>
              <w:t>VII.3</w:t>
            </w:r>
          </w:hyperlink>
          <w:r w:rsidR="000C7C2E" w:rsidRPr="00A7360C">
            <w:rPr>
              <w:rStyle w:val="Hipervnculo"/>
              <w:noProof/>
              <w:color w:val="auto"/>
              <w:u w:val="none"/>
            </w:rPr>
            <w:t xml:space="preserve"> </w:t>
          </w:r>
          <w:hyperlink w:anchor="_Toc73960363" w:history="1">
            <w:r w:rsidR="000C7C2E" w:rsidRPr="00A7360C">
              <w:rPr>
                <w:rStyle w:val="Hipervnculo"/>
                <w:noProof/>
                <w:color w:val="auto"/>
                <w:u w:val="none"/>
              </w:rPr>
              <w:t xml:space="preserve">DERECHO A LA INTEGRIDAD PERSONAL </w:t>
            </w:r>
            <w:r w:rsidR="00E41A5E">
              <w:rPr>
                <w:rStyle w:val="Hipervnculo"/>
                <w:noProof/>
                <w:color w:val="auto"/>
                <w:u w:val="none"/>
              </w:rPr>
              <w:t>Y</w:t>
            </w:r>
            <w:r w:rsidR="000C7C2E" w:rsidRPr="00A7360C">
              <w:rPr>
                <w:rStyle w:val="Hipervnculo"/>
                <w:noProof/>
                <w:color w:val="auto"/>
                <w:u w:val="none"/>
              </w:rPr>
              <w:t xml:space="preserve"> LA PROHIBICIÓN DE ACTOS DE TORTURA RESPECTO A JIMMY GUERRERO</w:t>
            </w:r>
            <w:r w:rsidR="000C7C2E" w:rsidRPr="00A7360C">
              <w:rPr>
                <w:noProof/>
                <w:webHidden/>
              </w:rPr>
              <w:tab/>
            </w:r>
            <w:r w:rsidR="000C7C2E" w:rsidRPr="00A7360C">
              <w:rPr>
                <w:noProof/>
                <w:webHidden/>
              </w:rPr>
              <w:fldChar w:fldCharType="begin"/>
            </w:r>
            <w:r w:rsidR="000C7C2E" w:rsidRPr="00A7360C">
              <w:rPr>
                <w:noProof/>
                <w:webHidden/>
              </w:rPr>
              <w:instrText xml:space="preserve"> PAGEREF _Toc73960363 \h </w:instrText>
            </w:r>
            <w:r w:rsidR="000C7C2E" w:rsidRPr="00A7360C">
              <w:rPr>
                <w:noProof/>
                <w:webHidden/>
              </w:rPr>
            </w:r>
            <w:r w:rsidR="000C7C2E" w:rsidRPr="00A7360C">
              <w:rPr>
                <w:noProof/>
                <w:webHidden/>
              </w:rPr>
              <w:fldChar w:fldCharType="separate"/>
            </w:r>
            <w:r w:rsidR="007074DF">
              <w:rPr>
                <w:noProof/>
                <w:webHidden/>
              </w:rPr>
              <w:t>33</w:t>
            </w:r>
            <w:r w:rsidR="000C7C2E" w:rsidRPr="00A7360C">
              <w:rPr>
                <w:noProof/>
                <w:webHidden/>
              </w:rPr>
              <w:fldChar w:fldCharType="end"/>
            </w:r>
          </w:hyperlink>
        </w:p>
        <w:p w14:paraId="2570B126" w14:textId="5FAD715A"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64" w:history="1">
            <w:r w:rsidR="000C7C2E" w:rsidRPr="00BA1256">
              <w:rPr>
                <w:rStyle w:val="Hipervnculo"/>
                <w:noProof/>
                <w:color w:val="auto"/>
                <w:u w:val="none"/>
              </w:rPr>
              <w:t>A)</w:t>
            </w:r>
            <w:r w:rsidR="000C7C2E" w:rsidRPr="00BA1256">
              <w:rPr>
                <w:rFonts w:eastAsiaTheme="minorEastAsia" w:cstheme="minorBidi"/>
                <w:i w:val="0"/>
                <w:noProof/>
                <w:lang w:val="es-CR" w:eastAsia="es-CR"/>
              </w:rPr>
              <w:tab/>
            </w:r>
            <w:r w:rsidR="000C7C2E" w:rsidRPr="00BA1256">
              <w:rPr>
                <w:rStyle w:val="Hipervnculo"/>
                <w:noProof/>
                <w:color w:val="auto"/>
                <w:u w:val="none"/>
              </w:rPr>
              <w:t>Argumentos de los representantes</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_Toc73960364 \h </w:instrText>
            </w:r>
            <w:r w:rsidR="000C7C2E" w:rsidRPr="00BA1256">
              <w:rPr>
                <w:i w:val="0"/>
                <w:noProof/>
                <w:webHidden/>
              </w:rPr>
            </w:r>
            <w:r w:rsidR="000C7C2E" w:rsidRPr="00BA1256">
              <w:rPr>
                <w:i w:val="0"/>
                <w:noProof/>
                <w:webHidden/>
              </w:rPr>
              <w:fldChar w:fldCharType="separate"/>
            </w:r>
            <w:r w:rsidR="007074DF">
              <w:rPr>
                <w:i w:val="0"/>
                <w:noProof/>
                <w:webHidden/>
              </w:rPr>
              <w:t>33</w:t>
            </w:r>
            <w:r w:rsidR="000C7C2E" w:rsidRPr="00BA1256">
              <w:rPr>
                <w:i w:val="0"/>
                <w:noProof/>
                <w:webHidden/>
              </w:rPr>
              <w:fldChar w:fldCharType="end"/>
            </w:r>
          </w:hyperlink>
        </w:p>
        <w:p w14:paraId="6F48CB9B" w14:textId="5C1BF65F"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65" w:history="1">
            <w:r w:rsidR="000C7C2E" w:rsidRPr="00BA1256">
              <w:rPr>
                <w:rStyle w:val="Hipervnculo"/>
                <w:noProof/>
                <w:color w:val="auto"/>
                <w:u w:val="none"/>
              </w:rPr>
              <w:t>B)</w:t>
            </w:r>
            <w:r w:rsidR="000C7C2E" w:rsidRPr="00BA1256">
              <w:rPr>
                <w:rFonts w:eastAsiaTheme="minorEastAsia" w:cstheme="minorBidi"/>
                <w:i w:val="0"/>
                <w:noProof/>
                <w:lang w:val="es-CR" w:eastAsia="es-CR"/>
              </w:rPr>
              <w:tab/>
            </w:r>
            <w:r w:rsidR="000C7C2E" w:rsidRPr="00BA1256">
              <w:rPr>
                <w:rStyle w:val="Hipervnculo"/>
                <w:noProof/>
                <w:color w:val="auto"/>
                <w:u w:val="none"/>
              </w:rPr>
              <w:t>Consideraciones de la Corte</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_Toc73960365 \h </w:instrText>
            </w:r>
            <w:r w:rsidR="000C7C2E" w:rsidRPr="00BA1256">
              <w:rPr>
                <w:i w:val="0"/>
                <w:noProof/>
                <w:webHidden/>
              </w:rPr>
            </w:r>
            <w:r w:rsidR="000C7C2E" w:rsidRPr="00BA1256">
              <w:rPr>
                <w:i w:val="0"/>
                <w:noProof/>
                <w:webHidden/>
              </w:rPr>
              <w:fldChar w:fldCharType="separate"/>
            </w:r>
            <w:r w:rsidR="007074DF">
              <w:rPr>
                <w:i w:val="0"/>
                <w:noProof/>
                <w:webHidden/>
              </w:rPr>
              <w:t>33</w:t>
            </w:r>
            <w:r w:rsidR="000C7C2E" w:rsidRPr="00BA1256">
              <w:rPr>
                <w:i w:val="0"/>
                <w:noProof/>
                <w:webHidden/>
              </w:rPr>
              <w:fldChar w:fldCharType="end"/>
            </w:r>
          </w:hyperlink>
        </w:p>
        <w:p w14:paraId="15848DDB" w14:textId="77777777" w:rsidR="00BA1256" w:rsidRDefault="00BA1256" w:rsidP="00BA1256">
          <w:pPr>
            <w:pStyle w:val="TDC1"/>
            <w:tabs>
              <w:tab w:val="right" w:leader="dot" w:pos="10190"/>
            </w:tabs>
            <w:spacing w:before="0"/>
            <w:jc w:val="both"/>
            <w:rPr>
              <w:noProof/>
            </w:rPr>
          </w:pPr>
        </w:p>
        <w:p w14:paraId="56B7DA1D" w14:textId="7E1FE051" w:rsidR="000C7C2E" w:rsidRPr="00A7360C" w:rsidRDefault="00FB11DD" w:rsidP="00BA1256">
          <w:pPr>
            <w:pStyle w:val="TDC1"/>
            <w:tabs>
              <w:tab w:val="right" w:leader="dot" w:pos="10190"/>
            </w:tabs>
            <w:spacing w:before="0"/>
            <w:jc w:val="both"/>
            <w:rPr>
              <w:rFonts w:eastAsiaTheme="minorEastAsia" w:cstheme="minorBidi"/>
              <w:b w:val="0"/>
              <w:bCs w:val="0"/>
              <w:noProof/>
              <w:lang w:val="es-CR" w:eastAsia="es-CR"/>
            </w:rPr>
          </w:pPr>
          <w:hyperlink w:anchor="_Toc73960366" w:history="1">
            <w:r w:rsidR="000C7C2E" w:rsidRPr="00A7360C">
              <w:rPr>
                <w:rStyle w:val="Hipervnculo"/>
                <w:noProof/>
                <w:color w:val="auto"/>
                <w:u w:val="none"/>
              </w:rPr>
              <w:t>VII.4</w:t>
            </w:r>
          </w:hyperlink>
          <w:r w:rsidR="000C7C2E" w:rsidRPr="00A7360C">
            <w:rPr>
              <w:rStyle w:val="Hipervnculo"/>
              <w:noProof/>
              <w:color w:val="auto"/>
              <w:u w:val="none"/>
            </w:rPr>
            <w:t xml:space="preserve"> </w:t>
          </w:r>
          <w:hyperlink w:anchor="_Toc73960367" w:history="1">
            <w:r w:rsidR="000C7C2E" w:rsidRPr="00A7360C">
              <w:rPr>
                <w:rStyle w:val="Hipervnculo"/>
                <w:noProof/>
                <w:color w:val="auto"/>
                <w:u w:val="none"/>
              </w:rPr>
              <w:t>DERECHO A LA INTEGRIDAD PERSONAL RESPECTO A JIMMY GUERRERO Y RAMÓN MOLINA</w:t>
            </w:r>
            <w:r w:rsidR="000C7C2E" w:rsidRPr="00A7360C">
              <w:rPr>
                <w:noProof/>
                <w:webHidden/>
              </w:rPr>
              <w:tab/>
            </w:r>
            <w:r w:rsidR="000C7C2E" w:rsidRPr="00A7360C">
              <w:rPr>
                <w:noProof/>
                <w:webHidden/>
              </w:rPr>
              <w:fldChar w:fldCharType="begin"/>
            </w:r>
            <w:r w:rsidR="000C7C2E" w:rsidRPr="00A7360C">
              <w:rPr>
                <w:noProof/>
                <w:webHidden/>
              </w:rPr>
              <w:instrText xml:space="preserve"> PAGEREF _Toc73960367 \h </w:instrText>
            </w:r>
            <w:r w:rsidR="000C7C2E" w:rsidRPr="00A7360C">
              <w:rPr>
                <w:noProof/>
                <w:webHidden/>
              </w:rPr>
            </w:r>
            <w:r w:rsidR="000C7C2E" w:rsidRPr="00A7360C">
              <w:rPr>
                <w:noProof/>
                <w:webHidden/>
              </w:rPr>
              <w:fldChar w:fldCharType="separate"/>
            </w:r>
            <w:r w:rsidR="007074DF">
              <w:rPr>
                <w:noProof/>
                <w:webHidden/>
              </w:rPr>
              <w:t>36</w:t>
            </w:r>
            <w:r w:rsidR="000C7C2E" w:rsidRPr="00A7360C">
              <w:rPr>
                <w:noProof/>
                <w:webHidden/>
              </w:rPr>
              <w:fldChar w:fldCharType="end"/>
            </w:r>
          </w:hyperlink>
        </w:p>
        <w:p w14:paraId="66377E72" w14:textId="5A840FD4"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68" w:history="1">
            <w:r w:rsidR="000C7C2E" w:rsidRPr="00BA1256">
              <w:rPr>
                <w:rStyle w:val="Hipervnculo"/>
                <w:noProof/>
                <w:color w:val="auto"/>
                <w:u w:val="none"/>
              </w:rPr>
              <w:t>A)</w:t>
            </w:r>
            <w:r w:rsidR="000C7C2E" w:rsidRPr="00BA1256">
              <w:rPr>
                <w:rFonts w:eastAsiaTheme="minorEastAsia" w:cstheme="minorBidi"/>
                <w:i w:val="0"/>
                <w:noProof/>
                <w:lang w:val="es-CR" w:eastAsia="es-CR"/>
              </w:rPr>
              <w:tab/>
            </w:r>
            <w:r w:rsidR="000C7C2E" w:rsidRPr="00BA1256">
              <w:rPr>
                <w:rStyle w:val="Hipervnculo"/>
                <w:noProof/>
                <w:color w:val="auto"/>
                <w:u w:val="none"/>
              </w:rPr>
              <w:t>Argumentos de la Comisión y las partes</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_Toc73960368 \h </w:instrText>
            </w:r>
            <w:r w:rsidR="000C7C2E" w:rsidRPr="00BA1256">
              <w:rPr>
                <w:i w:val="0"/>
                <w:noProof/>
                <w:webHidden/>
              </w:rPr>
            </w:r>
            <w:r w:rsidR="000C7C2E" w:rsidRPr="00BA1256">
              <w:rPr>
                <w:i w:val="0"/>
                <w:noProof/>
                <w:webHidden/>
              </w:rPr>
              <w:fldChar w:fldCharType="separate"/>
            </w:r>
            <w:r w:rsidR="007074DF">
              <w:rPr>
                <w:i w:val="0"/>
                <w:noProof/>
                <w:webHidden/>
              </w:rPr>
              <w:t>36</w:t>
            </w:r>
            <w:r w:rsidR="000C7C2E" w:rsidRPr="00BA1256">
              <w:rPr>
                <w:i w:val="0"/>
                <w:noProof/>
                <w:webHidden/>
              </w:rPr>
              <w:fldChar w:fldCharType="end"/>
            </w:r>
          </w:hyperlink>
        </w:p>
        <w:p w14:paraId="79FADB8A" w14:textId="5C37E91E"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69" w:history="1">
            <w:r w:rsidR="000C7C2E" w:rsidRPr="00BA1256">
              <w:rPr>
                <w:rStyle w:val="Hipervnculo"/>
                <w:noProof/>
                <w:color w:val="auto"/>
                <w:u w:val="none"/>
              </w:rPr>
              <w:t>B)</w:t>
            </w:r>
            <w:r w:rsidR="000C7C2E" w:rsidRPr="00BA1256">
              <w:rPr>
                <w:rFonts w:eastAsiaTheme="minorEastAsia" w:cstheme="minorBidi"/>
                <w:i w:val="0"/>
                <w:noProof/>
                <w:lang w:val="es-CR" w:eastAsia="es-CR"/>
              </w:rPr>
              <w:tab/>
            </w:r>
            <w:r w:rsidR="000C7C2E" w:rsidRPr="00BA1256">
              <w:rPr>
                <w:rStyle w:val="Hipervnculo"/>
                <w:noProof/>
                <w:color w:val="auto"/>
                <w:u w:val="none"/>
              </w:rPr>
              <w:t>Consideraciones de la Corte</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_Toc73960369 \h </w:instrText>
            </w:r>
            <w:r w:rsidR="000C7C2E" w:rsidRPr="00BA1256">
              <w:rPr>
                <w:i w:val="0"/>
                <w:noProof/>
                <w:webHidden/>
              </w:rPr>
            </w:r>
            <w:r w:rsidR="000C7C2E" w:rsidRPr="00BA1256">
              <w:rPr>
                <w:i w:val="0"/>
                <w:noProof/>
                <w:webHidden/>
              </w:rPr>
              <w:fldChar w:fldCharType="separate"/>
            </w:r>
            <w:r w:rsidR="007074DF">
              <w:rPr>
                <w:i w:val="0"/>
                <w:noProof/>
                <w:webHidden/>
              </w:rPr>
              <w:t>36</w:t>
            </w:r>
            <w:r w:rsidR="000C7C2E" w:rsidRPr="00BA1256">
              <w:rPr>
                <w:i w:val="0"/>
                <w:noProof/>
                <w:webHidden/>
              </w:rPr>
              <w:fldChar w:fldCharType="end"/>
            </w:r>
          </w:hyperlink>
        </w:p>
        <w:p w14:paraId="38209184" w14:textId="77777777" w:rsidR="00BA1256" w:rsidRDefault="00BA1256" w:rsidP="00BA1256">
          <w:pPr>
            <w:pStyle w:val="TDC1"/>
            <w:tabs>
              <w:tab w:val="right" w:leader="dot" w:pos="10190"/>
            </w:tabs>
            <w:spacing w:before="0"/>
            <w:jc w:val="both"/>
            <w:rPr>
              <w:noProof/>
            </w:rPr>
          </w:pPr>
        </w:p>
        <w:p w14:paraId="5ABB6DA1" w14:textId="77777777" w:rsidR="00BA1256" w:rsidRDefault="00BA1256" w:rsidP="00BA1256">
          <w:pPr>
            <w:pStyle w:val="TDC1"/>
            <w:tabs>
              <w:tab w:val="right" w:leader="dot" w:pos="10190"/>
            </w:tabs>
            <w:spacing w:before="0"/>
            <w:jc w:val="both"/>
            <w:rPr>
              <w:noProof/>
            </w:rPr>
          </w:pPr>
        </w:p>
        <w:p w14:paraId="4A6104ED" w14:textId="77777777" w:rsidR="00BA1256" w:rsidRDefault="00BA1256" w:rsidP="00BA1256">
          <w:pPr>
            <w:pStyle w:val="TDC1"/>
            <w:tabs>
              <w:tab w:val="right" w:leader="dot" w:pos="10190"/>
            </w:tabs>
            <w:spacing w:before="0"/>
            <w:jc w:val="both"/>
            <w:rPr>
              <w:noProof/>
            </w:rPr>
          </w:pPr>
        </w:p>
        <w:p w14:paraId="27C52E34" w14:textId="09E6E809" w:rsidR="000C7C2E" w:rsidRPr="00A7360C" w:rsidRDefault="00FB11DD" w:rsidP="00BA1256">
          <w:pPr>
            <w:pStyle w:val="TDC1"/>
            <w:tabs>
              <w:tab w:val="right" w:leader="dot" w:pos="10190"/>
            </w:tabs>
            <w:spacing w:before="0"/>
            <w:jc w:val="both"/>
            <w:rPr>
              <w:rFonts w:eastAsiaTheme="minorEastAsia" w:cstheme="minorBidi"/>
              <w:b w:val="0"/>
              <w:bCs w:val="0"/>
              <w:noProof/>
              <w:lang w:val="es-CR" w:eastAsia="es-CR"/>
            </w:rPr>
          </w:pPr>
          <w:hyperlink w:anchor="_Toc73960371" w:history="1">
            <w:r w:rsidR="000C7C2E" w:rsidRPr="00A7360C">
              <w:rPr>
                <w:rStyle w:val="Hipervnculo"/>
                <w:noProof/>
                <w:color w:val="auto"/>
                <w:u w:val="none"/>
              </w:rPr>
              <w:t>VII.5</w:t>
            </w:r>
          </w:hyperlink>
          <w:r w:rsidR="000C7C2E" w:rsidRPr="00A7360C">
            <w:rPr>
              <w:rStyle w:val="Hipervnculo"/>
              <w:noProof/>
              <w:color w:val="auto"/>
              <w:u w:val="none"/>
            </w:rPr>
            <w:t xml:space="preserve"> </w:t>
          </w:r>
          <w:hyperlink w:anchor="_Toc73960372" w:history="1">
            <w:r w:rsidR="000C7C2E" w:rsidRPr="00A7360C">
              <w:rPr>
                <w:rStyle w:val="Hipervnculo"/>
                <w:noProof/>
                <w:color w:val="auto"/>
                <w:u w:val="none"/>
              </w:rPr>
              <w:t>DERECHOS A LAS GARANTÍAS JUDICIALES Y A LA PROTECCION JUDICIAL RESPECTO A JIMMY GUERRERO Y LOS FAMILIARES DE ÉL Y DE RAMÓN MOLINA</w:t>
            </w:r>
            <w:r w:rsidR="000C7C2E" w:rsidRPr="00A7360C">
              <w:rPr>
                <w:noProof/>
                <w:webHidden/>
              </w:rPr>
              <w:tab/>
            </w:r>
            <w:r w:rsidR="000C7C2E" w:rsidRPr="00A7360C">
              <w:rPr>
                <w:noProof/>
                <w:webHidden/>
              </w:rPr>
              <w:fldChar w:fldCharType="begin"/>
            </w:r>
            <w:r w:rsidR="000C7C2E" w:rsidRPr="00A7360C">
              <w:rPr>
                <w:noProof/>
                <w:webHidden/>
              </w:rPr>
              <w:instrText xml:space="preserve"> PAGEREF _Toc73960372 \h </w:instrText>
            </w:r>
            <w:r w:rsidR="000C7C2E" w:rsidRPr="00A7360C">
              <w:rPr>
                <w:noProof/>
                <w:webHidden/>
              </w:rPr>
            </w:r>
            <w:r w:rsidR="000C7C2E" w:rsidRPr="00A7360C">
              <w:rPr>
                <w:noProof/>
                <w:webHidden/>
              </w:rPr>
              <w:fldChar w:fldCharType="separate"/>
            </w:r>
            <w:r w:rsidR="007074DF">
              <w:rPr>
                <w:noProof/>
                <w:webHidden/>
              </w:rPr>
              <w:t>38</w:t>
            </w:r>
            <w:r w:rsidR="000C7C2E" w:rsidRPr="00A7360C">
              <w:rPr>
                <w:noProof/>
                <w:webHidden/>
              </w:rPr>
              <w:fldChar w:fldCharType="end"/>
            </w:r>
          </w:hyperlink>
        </w:p>
        <w:p w14:paraId="528A381D" w14:textId="5A3BB09B"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73" w:history="1">
            <w:r w:rsidR="000C7C2E" w:rsidRPr="00BA1256">
              <w:rPr>
                <w:rStyle w:val="Hipervnculo"/>
                <w:noProof/>
                <w:color w:val="auto"/>
                <w:u w:val="none"/>
              </w:rPr>
              <w:t>A)</w:t>
            </w:r>
            <w:r w:rsidR="000C7C2E" w:rsidRPr="00BA1256">
              <w:rPr>
                <w:rFonts w:eastAsiaTheme="minorEastAsia" w:cstheme="minorBidi"/>
                <w:i w:val="0"/>
                <w:noProof/>
                <w:lang w:val="es-CR" w:eastAsia="es-CR"/>
              </w:rPr>
              <w:tab/>
            </w:r>
            <w:r w:rsidR="000C7C2E" w:rsidRPr="00BA1256">
              <w:rPr>
                <w:rStyle w:val="Hipervnculo"/>
                <w:noProof/>
                <w:color w:val="auto"/>
                <w:u w:val="none"/>
              </w:rPr>
              <w:t>Argumentos de la Comisión y de las partes</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_Toc73960373 \h </w:instrText>
            </w:r>
            <w:r w:rsidR="000C7C2E" w:rsidRPr="00BA1256">
              <w:rPr>
                <w:i w:val="0"/>
                <w:noProof/>
                <w:webHidden/>
              </w:rPr>
            </w:r>
            <w:r w:rsidR="000C7C2E" w:rsidRPr="00BA1256">
              <w:rPr>
                <w:i w:val="0"/>
                <w:noProof/>
                <w:webHidden/>
              </w:rPr>
              <w:fldChar w:fldCharType="separate"/>
            </w:r>
            <w:r w:rsidR="007074DF">
              <w:rPr>
                <w:i w:val="0"/>
                <w:noProof/>
                <w:webHidden/>
              </w:rPr>
              <w:t>38</w:t>
            </w:r>
            <w:r w:rsidR="000C7C2E" w:rsidRPr="00BA1256">
              <w:rPr>
                <w:i w:val="0"/>
                <w:noProof/>
                <w:webHidden/>
              </w:rPr>
              <w:fldChar w:fldCharType="end"/>
            </w:r>
          </w:hyperlink>
        </w:p>
        <w:p w14:paraId="1B97855B" w14:textId="0B354004"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74" w:history="1">
            <w:r w:rsidR="000C7C2E" w:rsidRPr="00BA1256">
              <w:rPr>
                <w:rStyle w:val="Hipervnculo"/>
                <w:noProof/>
                <w:color w:val="auto"/>
                <w:u w:val="none"/>
              </w:rPr>
              <w:t>B)</w:t>
            </w:r>
            <w:r w:rsidR="000C7C2E" w:rsidRPr="00BA1256">
              <w:rPr>
                <w:rFonts w:eastAsiaTheme="minorEastAsia" w:cstheme="minorBidi"/>
                <w:i w:val="0"/>
                <w:noProof/>
                <w:lang w:val="es-CR" w:eastAsia="es-CR"/>
              </w:rPr>
              <w:tab/>
            </w:r>
            <w:r w:rsidR="000C7C2E" w:rsidRPr="00BA1256">
              <w:rPr>
                <w:rStyle w:val="Hipervnculo"/>
                <w:noProof/>
                <w:color w:val="auto"/>
                <w:u w:val="none"/>
              </w:rPr>
              <w:t>Consideraciones de la Corte</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_Toc73960374 \h </w:instrText>
            </w:r>
            <w:r w:rsidR="000C7C2E" w:rsidRPr="00BA1256">
              <w:rPr>
                <w:i w:val="0"/>
                <w:noProof/>
                <w:webHidden/>
              </w:rPr>
            </w:r>
            <w:r w:rsidR="000C7C2E" w:rsidRPr="00BA1256">
              <w:rPr>
                <w:i w:val="0"/>
                <w:noProof/>
                <w:webHidden/>
              </w:rPr>
              <w:fldChar w:fldCharType="separate"/>
            </w:r>
            <w:r w:rsidR="007074DF">
              <w:rPr>
                <w:i w:val="0"/>
                <w:noProof/>
                <w:webHidden/>
              </w:rPr>
              <w:t>40</w:t>
            </w:r>
            <w:r w:rsidR="000C7C2E" w:rsidRPr="00BA1256">
              <w:rPr>
                <w:i w:val="0"/>
                <w:noProof/>
                <w:webHidden/>
              </w:rPr>
              <w:fldChar w:fldCharType="end"/>
            </w:r>
          </w:hyperlink>
        </w:p>
        <w:p w14:paraId="1EE3BF37" w14:textId="45CF52F6" w:rsidR="000C7C2E" w:rsidRPr="00A7360C" w:rsidRDefault="00FB11DD" w:rsidP="00BA1256">
          <w:pPr>
            <w:pStyle w:val="TDC3"/>
            <w:tabs>
              <w:tab w:val="right" w:leader="dot" w:pos="10190"/>
            </w:tabs>
            <w:spacing w:before="0"/>
            <w:jc w:val="both"/>
            <w:rPr>
              <w:rFonts w:eastAsiaTheme="minorEastAsia" w:cstheme="minorBidi"/>
              <w:i w:val="0"/>
              <w:noProof/>
              <w:sz w:val="20"/>
              <w:szCs w:val="20"/>
              <w:lang w:val="es-CR" w:eastAsia="es-CR"/>
            </w:rPr>
          </w:pPr>
          <w:hyperlink w:anchor="_Toc73960375" w:history="1">
            <w:r w:rsidR="000C7C2E" w:rsidRPr="00A7360C">
              <w:rPr>
                <w:rStyle w:val="Hipervnculo"/>
                <w:noProof/>
                <w:color w:val="auto"/>
                <w:sz w:val="20"/>
                <w:szCs w:val="20"/>
                <w:u w:val="none"/>
              </w:rPr>
              <w:t>B.1 Investigación de los hechos que derivaron en las muertes de Jimmy Guerreo y Ramón Molina</w:t>
            </w:r>
            <w:r w:rsidR="000C7C2E" w:rsidRPr="00A7360C">
              <w:rPr>
                <w:noProof/>
                <w:webHidden/>
                <w:sz w:val="20"/>
                <w:szCs w:val="20"/>
              </w:rPr>
              <w:tab/>
            </w:r>
            <w:r w:rsidR="000C7C2E" w:rsidRPr="00BA1256">
              <w:rPr>
                <w:i w:val="0"/>
                <w:noProof/>
                <w:webHidden/>
                <w:sz w:val="20"/>
                <w:szCs w:val="20"/>
              </w:rPr>
              <w:fldChar w:fldCharType="begin"/>
            </w:r>
            <w:r w:rsidR="000C7C2E" w:rsidRPr="00BA1256">
              <w:rPr>
                <w:i w:val="0"/>
                <w:noProof/>
                <w:webHidden/>
                <w:sz w:val="20"/>
                <w:szCs w:val="20"/>
              </w:rPr>
              <w:instrText xml:space="preserve"> PAGEREF _Toc73960375 \h </w:instrText>
            </w:r>
            <w:r w:rsidR="000C7C2E" w:rsidRPr="00BA1256">
              <w:rPr>
                <w:i w:val="0"/>
                <w:noProof/>
                <w:webHidden/>
                <w:sz w:val="20"/>
                <w:szCs w:val="20"/>
              </w:rPr>
            </w:r>
            <w:r w:rsidR="000C7C2E" w:rsidRPr="00BA1256">
              <w:rPr>
                <w:i w:val="0"/>
                <w:noProof/>
                <w:webHidden/>
                <w:sz w:val="20"/>
                <w:szCs w:val="20"/>
              </w:rPr>
              <w:fldChar w:fldCharType="separate"/>
            </w:r>
            <w:r w:rsidR="007074DF">
              <w:rPr>
                <w:i w:val="0"/>
                <w:noProof/>
                <w:webHidden/>
                <w:sz w:val="20"/>
                <w:szCs w:val="20"/>
              </w:rPr>
              <w:t>41</w:t>
            </w:r>
            <w:r w:rsidR="000C7C2E" w:rsidRPr="00BA1256">
              <w:rPr>
                <w:i w:val="0"/>
                <w:noProof/>
                <w:webHidden/>
                <w:sz w:val="20"/>
                <w:szCs w:val="20"/>
              </w:rPr>
              <w:fldChar w:fldCharType="end"/>
            </w:r>
          </w:hyperlink>
        </w:p>
        <w:p w14:paraId="222B5B94" w14:textId="68D9745B" w:rsidR="000C7C2E" w:rsidRPr="00A7360C" w:rsidRDefault="00FB11DD" w:rsidP="00BA1256">
          <w:pPr>
            <w:pStyle w:val="TDC4"/>
            <w:tabs>
              <w:tab w:val="right" w:leader="dot" w:pos="10190"/>
            </w:tabs>
            <w:spacing w:after="0"/>
            <w:jc w:val="both"/>
            <w:rPr>
              <w:rFonts w:eastAsiaTheme="minorEastAsia" w:cstheme="minorBidi"/>
              <w:noProof/>
              <w:sz w:val="20"/>
              <w:szCs w:val="20"/>
              <w:lang w:val="es-CR" w:eastAsia="es-CR"/>
            </w:rPr>
          </w:pPr>
          <w:hyperlink w:anchor="_Toc73960376" w:history="1">
            <w:r w:rsidR="000C7C2E" w:rsidRPr="00BA1256">
              <w:rPr>
                <w:rStyle w:val="Hipervnculo"/>
                <w:noProof/>
                <w:color w:val="auto"/>
                <w:sz w:val="20"/>
                <w:szCs w:val="20"/>
                <w:u w:val="none"/>
              </w:rPr>
              <w:t>B.1.1 Aducida falta de independencia e imparcialidad</w:t>
            </w:r>
            <w:r w:rsidR="000C7C2E" w:rsidRPr="00A7360C">
              <w:rPr>
                <w:noProof/>
                <w:webHidden/>
                <w:sz w:val="20"/>
                <w:szCs w:val="20"/>
              </w:rPr>
              <w:tab/>
            </w:r>
            <w:r w:rsidR="000C7C2E" w:rsidRPr="00A7360C">
              <w:rPr>
                <w:noProof/>
                <w:webHidden/>
                <w:sz w:val="20"/>
                <w:szCs w:val="20"/>
              </w:rPr>
              <w:fldChar w:fldCharType="begin"/>
            </w:r>
            <w:r w:rsidR="000C7C2E" w:rsidRPr="00A7360C">
              <w:rPr>
                <w:noProof/>
                <w:webHidden/>
                <w:sz w:val="20"/>
                <w:szCs w:val="20"/>
              </w:rPr>
              <w:instrText xml:space="preserve"> PAGEREF _Toc73960376 \h </w:instrText>
            </w:r>
            <w:r w:rsidR="000C7C2E" w:rsidRPr="00A7360C">
              <w:rPr>
                <w:noProof/>
                <w:webHidden/>
                <w:sz w:val="20"/>
                <w:szCs w:val="20"/>
              </w:rPr>
            </w:r>
            <w:r w:rsidR="000C7C2E" w:rsidRPr="00A7360C">
              <w:rPr>
                <w:noProof/>
                <w:webHidden/>
                <w:sz w:val="20"/>
                <w:szCs w:val="20"/>
              </w:rPr>
              <w:fldChar w:fldCharType="separate"/>
            </w:r>
            <w:r w:rsidR="007074DF">
              <w:rPr>
                <w:noProof/>
                <w:webHidden/>
                <w:sz w:val="20"/>
                <w:szCs w:val="20"/>
              </w:rPr>
              <w:t>41</w:t>
            </w:r>
            <w:r w:rsidR="000C7C2E" w:rsidRPr="00A7360C">
              <w:rPr>
                <w:noProof/>
                <w:webHidden/>
                <w:sz w:val="20"/>
                <w:szCs w:val="20"/>
              </w:rPr>
              <w:fldChar w:fldCharType="end"/>
            </w:r>
          </w:hyperlink>
        </w:p>
        <w:p w14:paraId="7464F1E3" w14:textId="511CA999" w:rsidR="000C7C2E" w:rsidRPr="00A7360C" w:rsidRDefault="00FB11DD" w:rsidP="00BA1256">
          <w:pPr>
            <w:pStyle w:val="TDC4"/>
            <w:tabs>
              <w:tab w:val="right" w:leader="dot" w:pos="10190"/>
            </w:tabs>
            <w:spacing w:after="0"/>
            <w:jc w:val="both"/>
            <w:rPr>
              <w:rFonts w:eastAsiaTheme="minorEastAsia" w:cstheme="minorBidi"/>
              <w:noProof/>
              <w:sz w:val="20"/>
              <w:szCs w:val="20"/>
              <w:lang w:val="es-CR" w:eastAsia="es-CR"/>
            </w:rPr>
          </w:pPr>
          <w:hyperlink w:anchor="_Toc73960377" w:history="1">
            <w:r w:rsidR="000C7C2E" w:rsidRPr="00BA1256">
              <w:rPr>
                <w:rStyle w:val="Hipervnculo"/>
                <w:noProof/>
                <w:color w:val="auto"/>
                <w:sz w:val="20"/>
                <w:szCs w:val="20"/>
                <w:u w:val="none"/>
              </w:rPr>
              <w:t>B.1.2 Obstaculizaciones a la investigación y a la participación de familiares</w:t>
            </w:r>
            <w:r w:rsidR="000C7C2E" w:rsidRPr="00A7360C">
              <w:rPr>
                <w:noProof/>
                <w:webHidden/>
                <w:sz w:val="20"/>
                <w:szCs w:val="20"/>
              </w:rPr>
              <w:tab/>
            </w:r>
            <w:r w:rsidR="000C7C2E" w:rsidRPr="00A7360C">
              <w:rPr>
                <w:noProof/>
                <w:webHidden/>
                <w:sz w:val="20"/>
                <w:szCs w:val="20"/>
              </w:rPr>
              <w:fldChar w:fldCharType="begin"/>
            </w:r>
            <w:r w:rsidR="000C7C2E" w:rsidRPr="00A7360C">
              <w:rPr>
                <w:noProof/>
                <w:webHidden/>
                <w:sz w:val="20"/>
                <w:szCs w:val="20"/>
              </w:rPr>
              <w:instrText xml:space="preserve"> PAGEREF _Toc73960377 \h </w:instrText>
            </w:r>
            <w:r w:rsidR="000C7C2E" w:rsidRPr="00A7360C">
              <w:rPr>
                <w:noProof/>
                <w:webHidden/>
                <w:sz w:val="20"/>
                <w:szCs w:val="20"/>
              </w:rPr>
            </w:r>
            <w:r w:rsidR="000C7C2E" w:rsidRPr="00A7360C">
              <w:rPr>
                <w:noProof/>
                <w:webHidden/>
                <w:sz w:val="20"/>
                <w:szCs w:val="20"/>
              </w:rPr>
              <w:fldChar w:fldCharType="separate"/>
            </w:r>
            <w:r w:rsidR="007074DF">
              <w:rPr>
                <w:noProof/>
                <w:webHidden/>
                <w:sz w:val="20"/>
                <w:szCs w:val="20"/>
              </w:rPr>
              <w:t>42</w:t>
            </w:r>
            <w:r w:rsidR="000C7C2E" w:rsidRPr="00A7360C">
              <w:rPr>
                <w:noProof/>
                <w:webHidden/>
                <w:sz w:val="20"/>
                <w:szCs w:val="20"/>
              </w:rPr>
              <w:fldChar w:fldCharType="end"/>
            </w:r>
          </w:hyperlink>
        </w:p>
        <w:p w14:paraId="5FA08959" w14:textId="36BAF398" w:rsidR="000C7C2E" w:rsidRPr="00A7360C" w:rsidRDefault="00FB11DD" w:rsidP="00BA1256">
          <w:pPr>
            <w:pStyle w:val="TDC4"/>
            <w:tabs>
              <w:tab w:val="right" w:leader="dot" w:pos="10190"/>
            </w:tabs>
            <w:spacing w:after="0"/>
            <w:jc w:val="both"/>
            <w:rPr>
              <w:rFonts w:eastAsiaTheme="minorEastAsia" w:cstheme="minorBidi"/>
              <w:noProof/>
              <w:sz w:val="20"/>
              <w:szCs w:val="20"/>
              <w:lang w:val="es-CR" w:eastAsia="es-CR"/>
            </w:rPr>
          </w:pPr>
          <w:hyperlink w:anchor="_Toc73960378" w:history="1">
            <w:r w:rsidR="000C7C2E" w:rsidRPr="00BA1256">
              <w:rPr>
                <w:rStyle w:val="Hipervnculo"/>
                <w:noProof/>
                <w:color w:val="auto"/>
                <w:sz w:val="20"/>
                <w:szCs w:val="20"/>
                <w:u w:val="none"/>
              </w:rPr>
              <w:t>B.1.3 Falta de investigación de posibles actos de tortura contra Jimmy Guerrero</w:t>
            </w:r>
            <w:r w:rsidR="000C7C2E" w:rsidRPr="00A7360C">
              <w:rPr>
                <w:noProof/>
                <w:webHidden/>
                <w:sz w:val="20"/>
                <w:szCs w:val="20"/>
              </w:rPr>
              <w:tab/>
            </w:r>
            <w:r w:rsidR="000C7C2E" w:rsidRPr="00A7360C">
              <w:rPr>
                <w:noProof/>
                <w:webHidden/>
                <w:sz w:val="20"/>
                <w:szCs w:val="20"/>
              </w:rPr>
              <w:fldChar w:fldCharType="begin"/>
            </w:r>
            <w:r w:rsidR="000C7C2E" w:rsidRPr="00A7360C">
              <w:rPr>
                <w:noProof/>
                <w:webHidden/>
                <w:sz w:val="20"/>
                <w:szCs w:val="20"/>
              </w:rPr>
              <w:instrText xml:space="preserve"> PAGEREF _Toc73960378 \h </w:instrText>
            </w:r>
            <w:r w:rsidR="000C7C2E" w:rsidRPr="00A7360C">
              <w:rPr>
                <w:noProof/>
                <w:webHidden/>
                <w:sz w:val="20"/>
                <w:szCs w:val="20"/>
              </w:rPr>
            </w:r>
            <w:r w:rsidR="000C7C2E" w:rsidRPr="00A7360C">
              <w:rPr>
                <w:noProof/>
                <w:webHidden/>
                <w:sz w:val="20"/>
                <w:szCs w:val="20"/>
              </w:rPr>
              <w:fldChar w:fldCharType="separate"/>
            </w:r>
            <w:r w:rsidR="007074DF">
              <w:rPr>
                <w:noProof/>
                <w:webHidden/>
                <w:sz w:val="20"/>
                <w:szCs w:val="20"/>
              </w:rPr>
              <w:t>45</w:t>
            </w:r>
            <w:r w:rsidR="000C7C2E" w:rsidRPr="00A7360C">
              <w:rPr>
                <w:noProof/>
                <w:webHidden/>
                <w:sz w:val="20"/>
                <w:szCs w:val="20"/>
              </w:rPr>
              <w:fldChar w:fldCharType="end"/>
            </w:r>
          </w:hyperlink>
        </w:p>
        <w:p w14:paraId="2CC20D26" w14:textId="0D8C0850" w:rsidR="000C7C2E" w:rsidRPr="00A7360C" w:rsidRDefault="00FB11DD" w:rsidP="00BA1256">
          <w:pPr>
            <w:pStyle w:val="TDC3"/>
            <w:tabs>
              <w:tab w:val="right" w:leader="dot" w:pos="10190"/>
            </w:tabs>
            <w:spacing w:before="0"/>
            <w:jc w:val="both"/>
            <w:rPr>
              <w:rFonts w:eastAsiaTheme="minorEastAsia" w:cstheme="minorBidi"/>
              <w:i w:val="0"/>
              <w:noProof/>
              <w:sz w:val="20"/>
              <w:szCs w:val="20"/>
              <w:lang w:val="es-CR" w:eastAsia="es-CR"/>
            </w:rPr>
          </w:pPr>
          <w:hyperlink w:anchor="_Toc73960379" w:history="1">
            <w:r w:rsidR="000C7C2E" w:rsidRPr="00A7360C">
              <w:rPr>
                <w:rStyle w:val="Hipervnculo"/>
                <w:noProof/>
                <w:color w:val="auto"/>
                <w:sz w:val="20"/>
                <w:szCs w:val="20"/>
                <w:u w:val="none"/>
              </w:rPr>
              <w:t>B.2 Investigación de los hechos cometidos contra Jimmy Guerrero anteriores a las circunstancias de su muerte</w:t>
            </w:r>
            <w:r w:rsidR="000C7C2E" w:rsidRPr="00A7360C">
              <w:rPr>
                <w:noProof/>
                <w:webHidden/>
                <w:sz w:val="20"/>
                <w:szCs w:val="20"/>
              </w:rPr>
              <w:tab/>
            </w:r>
            <w:r w:rsidR="000C7C2E" w:rsidRPr="00BA1256">
              <w:rPr>
                <w:i w:val="0"/>
                <w:noProof/>
                <w:webHidden/>
                <w:sz w:val="20"/>
                <w:szCs w:val="20"/>
              </w:rPr>
              <w:fldChar w:fldCharType="begin"/>
            </w:r>
            <w:r w:rsidR="000C7C2E" w:rsidRPr="00BA1256">
              <w:rPr>
                <w:i w:val="0"/>
                <w:noProof/>
                <w:webHidden/>
                <w:sz w:val="20"/>
                <w:szCs w:val="20"/>
              </w:rPr>
              <w:instrText xml:space="preserve"> PAGEREF _Toc73960379 \h </w:instrText>
            </w:r>
            <w:r w:rsidR="000C7C2E" w:rsidRPr="00BA1256">
              <w:rPr>
                <w:i w:val="0"/>
                <w:noProof/>
                <w:webHidden/>
                <w:sz w:val="20"/>
                <w:szCs w:val="20"/>
              </w:rPr>
            </w:r>
            <w:r w:rsidR="000C7C2E" w:rsidRPr="00BA1256">
              <w:rPr>
                <w:i w:val="0"/>
                <w:noProof/>
                <w:webHidden/>
                <w:sz w:val="20"/>
                <w:szCs w:val="20"/>
              </w:rPr>
              <w:fldChar w:fldCharType="separate"/>
            </w:r>
            <w:r w:rsidR="007074DF">
              <w:rPr>
                <w:i w:val="0"/>
                <w:noProof/>
                <w:webHidden/>
                <w:sz w:val="20"/>
                <w:szCs w:val="20"/>
              </w:rPr>
              <w:t>46</w:t>
            </w:r>
            <w:r w:rsidR="000C7C2E" w:rsidRPr="00BA1256">
              <w:rPr>
                <w:i w:val="0"/>
                <w:noProof/>
                <w:webHidden/>
                <w:sz w:val="20"/>
                <w:szCs w:val="20"/>
              </w:rPr>
              <w:fldChar w:fldCharType="end"/>
            </w:r>
          </w:hyperlink>
        </w:p>
        <w:p w14:paraId="2B7F4146" w14:textId="1A363641" w:rsidR="000C7C2E" w:rsidRPr="00A7360C" w:rsidRDefault="00FB11DD" w:rsidP="00BA1256">
          <w:pPr>
            <w:pStyle w:val="TDC3"/>
            <w:tabs>
              <w:tab w:val="right" w:leader="dot" w:pos="10190"/>
            </w:tabs>
            <w:spacing w:before="0"/>
            <w:jc w:val="both"/>
            <w:rPr>
              <w:rFonts w:eastAsiaTheme="minorEastAsia" w:cstheme="minorBidi"/>
              <w:i w:val="0"/>
              <w:noProof/>
              <w:sz w:val="20"/>
              <w:szCs w:val="20"/>
              <w:lang w:val="es-CR" w:eastAsia="es-CR"/>
            </w:rPr>
          </w:pPr>
          <w:hyperlink w:anchor="_Toc73960380" w:history="1">
            <w:r w:rsidR="000C7C2E" w:rsidRPr="00A7360C">
              <w:rPr>
                <w:rStyle w:val="Hipervnculo"/>
                <w:noProof/>
                <w:color w:val="auto"/>
                <w:sz w:val="20"/>
                <w:szCs w:val="20"/>
                <w:u w:val="none"/>
              </w:rPr>
              <w:t>B.3 Conclusión</w:t>
            </w:r>
            <w:r w:rsidR="000C7C2E" w:rsidRPr="00A7360C">
              <w:rPr>
                <w:noProof/>
                <w:webHidden/>
                <w:sz w:val="20"/>
                <w:szCs w:val="20"/>
              </w:rPr>
              <w:tab/>
            </w:r>
            <w:r w:rsidR="000C7C2E" w:rsidRPr="00BA1256">
              <w:rPr>
                <w:i w:val="0"/>
                <w:noProof/>
                <w:webHidden/>
                <w:sz w:val="20"/>
                <w:szCs w:val="20"/>
              </w:rPr>
              <w:fldChar w:fldCharType="begin"/>
            </w:r>
            <w:r w:rsidR="000C7C2E" w:rsidRPr="00BA1256">
              <w:rPr>
                <w:i w:val="0"/>
                <w:noProof/>
                <w:webHidden/>
                <w:sz w:val="20"/>
                <w:szCs w:val="20"/>
              </w:rPr>
              <w:instrText xml:space="preserve"> PAGEREF _Toc73960380 \h </w:instrText>
            </w:r>
            <w:r w:rsidR="000C7C2E" w:rsidRPr="00BA1256">
              <w:rPr>
                <w:i w:val="0"/>
                <w:noProof/>
                <w:webHidden/>
                <w:sz w:val="20"/>
                <w:szCs w:val="20"/>
              </w:rPr>
            </w:r>
            <w:r w:rsidR="000C7C2E" w:rsidRPr="00BA1256">
              <w:rPr>
                <w:i w:val="0"/>
                <w:noProof/>
                <w:webHidden/>
                <w:sz w:val="20"/>
                <w:szCs w:val="20"/>
              </w:rPr>
              <w:fldChar w:fldCharType="separate"/>
            </w:r>
            <w:r w:rsidR="007074DF">
              <w:rPr>
                <w:i w:val="0"/>
                <w:noProof/>
                <w:webHidden/>
                <w:sz w:val="20"/>
                <w:szCs w:val="20"/>
              </w:rPr>
              <w:t>47</w:t>
            </w:r>
            <w:r w:rsidR="000C7C2E" w:rsidRPr="00BA1256">
              <w:rPr>
                <w:i w:val="0"/>
                <w:noProof/>
                <w:webHidden/>
                <w:sz w:val="20"/>
                <w:szCs w:val="20"/>
              </w:rPr>
              <w:fldChar w:fldCharType="end"/>
            </w:r>
          </w:hyperlink>
        </w:p>
        <w:p w14:paraId="2A499964" w14:textId="77777777" w:rsidR="00BA1256" w:rsidRDefault="00BA1256" w:rsidP="00BA1256">
          <w:pPr>
            <w:pStyle w:val="TDC1"/>
            <w:tabs>
              <w:tab w:val="right" w:leader="dot" w:pos="10190"/>
            </w:tabs>
            <w:spacing w:before="0"/>
            <w:jc w:val="both"/>
            <w:rPr>
              <w:noProof/>
            </w:rPr>
          </w:pPr>
        </w:p>
        <w:p w14:paraId="4BF7E56F" w14:textId="2F70C8BB" w:rsidR="000C7C2E" w:rsidRPr="00A7360C" w:rsidRDefault="00FB11DD" w:rsidP="00BA1256">
          <w:pPr>
            <w:pStyle w:val="TDC1"/>
            <w:tabs>
              <w:tab w:val="right" w:leader="dot" w:pos="10190"/>
            </w:tabs>
            <w:spacing w:before="0"/>
            <w:jc w:val="both"/>
            <w:rPr>
              <w:rFonts w:eastAsiaTheme="minorEastAsia" w:cstheme="minorBidi"/>
              <w:b w:val="0"/>
              <w:bCs w:val="0"/>
              <w:noProof/>
              <w:lang w:val="es-CR" w:eastAsia="es-CR"/>
            </w:rPr>
          </w:pPr>
          <w:hyperlink w:anchor="_Toc73960381" w:history="1">
            <w:r w:rsidR="000C7C2E" w:rsidRPr="00A7360C">
              <w:rPr>
                <w:rStyle w:val="Hipervnculo"/>
                <w:noProof/>
                <w:color w:val="auto"/>
                <w:u w:val="none"/>
              </w:rPr>
              <w:t>VIII</w:t>
            </w:r>
          </w:hyperlink>
          <w:r w:rsidR="000C7C2E" w:rsidRPr="00A7360C">
            <w:rPr>
              <w:rStyle w:val="Hipervnculo"/>
              <w:noProof/>
              <w:color w:val="auto"/>
              <w:u w:val="none"/>
            </w:rPr>
            <w:t xml:space="preserve"> </w:t>
          </w:r>
          <w:hyperlink w:anchor="_Toc73960382" w:history="1">
            <w:r w:rsidR="000C7C2E" w:rsidRPr="00A7360C">
              <w:rPr>
                <w:rStyle w:val="Hipervnculo"/>
                <w:noProof/>
                <w:color w:val="auto"/>
                <w:u w:val="none"/>
              </w:rPr>
              <w:t>REPARACIONES</w:t>
            </w:r>
            <w:r w:rsidR="000C7C2E" w:rsidRPr="00A7360C">
              <w:rPr>
                <w:noProof/>
                <w:webHidden/>
              </w:rPr>
              <w:tab/>
            </w:r>
            <w:r w:rsidR="000C7C2E" w:rsidRPr="00A7360C">
              <w:rPr>
                <w:noProof/>
                <w:webHidden/>
              </w:rPr>
              <w:fldChar w:fldCharType="begin"/>
            </w:r>
            <w:r w:rsidR="000C7C2E" w:rsidRPr="00A7360C">
              <w:rPr>
                <w:noProof/>
                <w:webHidden/>
              </w:rPr>
              <w:instrText xml:space="preserve"> PAGEREF _Toc73960382 \h </w:instrText>
            </w:r>
            <w:r w:rsidR="000C7C2E" w:rsidRPr="00A7360C">
              <w:rPr>
                <w:noProof/>
                <w:webHidden/>
              </w:rPr>
            </w:r>
            <w:r w:rsidR="000C7C2E" w:rsidRPr="00A7360C">
              <w:rPr>
                <w:noProof/>
                <w:webHidden/>
              </w:rPr>
              <w:fldChar w:fldCharType="separate"/>
            </w:r>
            <w:r w:rsidR="007074DF">
              <w:rPr>
                <w:noProof/>
                <w:webHidden/>
              </w:rPr>
              <w:t>47</w:t>
            </w:r>
            <w:r w:rsidR="000C7C2E" w:rsidRPr="00A7360C">
              <w:rPr>
                <w:noProof/>
                <w:webHidden/>
              </w:rPr>
              <w:fldChar w:fldCharType="end"/>
            </w:r>
          </w:hyperlink>
        </w:p>
        <w:p w14:paraId="0029A659" w14:textId="42A0A7A4"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83" w:history="1">
            <w:r w:rsidR="000C7C2E" w:rsidRPr="00BA1256">
              <w:rPr>
                <w:rStyle w:val="Hipervnculo"/>
                <w:noProof/>
                <w:color w:val="auto"/>
                <w:u w:val="none"/>
              </w:rPr>
              <w:t>A)</w:t>
            </w:r>
            <w:r w:rsidR="000C7C2E" w:rsidRPr="00BA1256">
              <w:rPr>
                <w:rFonts w:eastAsiaTheme="minorEastAsia" w:cstheme="minorBidi"/>
                <w:i w:val="0"/>
                <w:noProof/>
                <w:lang w:val="es-CR" w:eastAsia="es-CR"/>
              </w:rPr>
              <w:tab/>
            </w:r>
            <w:r w:rsidR="000C7C2E" w:rsidRPr="00BA1256">
              <w:rPr>
                <w:rStyle w:val="Hipervnculo"/>
                <w:noProof/>
                <w:color w:val="auto"/>
                <w:u w:val="none"/>
              </w:rPr>
              <w:t>Parte Lesionada</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_Toc73960383 \h </w:instrText>
            </w:r>
            <w:r w:rsidR="000C7C2E" w:rsidRPr="00BA1256">
              <w:rPr>
                <w:i w:val="0"/>
                <w:noProof/>
                <w:webHidden/>
              </w:rPr>
            </w:r>
            <w:r w:rsidR="000C7C2E" w:rsidRPr="00BA1256">
              <w:rPr>
                <w:i w:val="0"/>
                <w:noProof/>
                <w:webHidden/>
              </w:rPr>
              <w:fldChar w:fldCharType="separate"/>
            </w:r>
            <w:r w:rsidR="007074DF">
              <w:rPr>
                <w:i w:val="0"/>
                <w:noProof/>
                <w:webHidden/>
              </w:rPr>
              <w:t>48</w:t>
            </w:r>
            <w:r w:rsidR="000C7C2E" w:rsidRPr="00BA1256">
              <w:rPr>
                <w:i w:val="0"/>
                <w:noProof/>
                <w:webHidden/>
              </w:rPr>
              <w:fldChar w:fldCharType="end"/>
            </w:r>
          </w:hyperlink>
        </w:p>
        <w:p w14:paraId="58DF61B2" w14:textId="08FE61CF"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84" w:history="1">
            <w:r w:rsidR="000C7C2E" w:rsidRPr="00BA1256">
              <w:rPr>
                <w:rStyle w:val="Hipervnculo"/>
                <w:rFonts w:cs="Times New Roman"/>
                <w:noProof/>
                <w:color w:val="auto"/>
                <w:u w:val="none"/>
              </w:rPr>
              <w:t>B)</w:t>
            </w:r>
            <w:r w:rsidR="000C7C2E" w:rsidRPr="00BA1256">
              <w:rPr>
                <w:rFonts w:eastAsiaTheme="minorEastAsia" w:cstheme="minorBidi"/>
                <w:i w:val="0"/>
                <w:noProof/>
                <w:lang w:val="es-CR" w:eastAsia="es-CR"/>
              </w:rPr>
              <w:tab/>
            </w:r>
            <w:r w:rsidR="000C7C2E" w:rsidRPr="00BA1256">
              <w:rPr>
                <w:rStyle w:val="Hipervnculo"/>
                <w:rFonts w:cs="Times New Roman"/>
                <w:noProof/>
                <w:color w:val="auto"/>
                <w:u w:val="none"/>
              </w:rPr>
              <w:t>Obligación de investigar</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_Toc73960384 \h </w:instrText>
            </w:r>
            <w:r w:rsidR="000C7C2E" w:rsidRPr="00BA1256">
              <w:rPr>
                <w:i w:val="0"/>
                <w:noProof/>
                <w:webHidden/>
              </w:rPr>
            </w:r>
            <w:r w:rsidR="000C7C2E" w:rsidRPr="00BA1256">
              <w:rPr>
                <w:i w:val="0"/>
                <w:noProof/>
                <w:webHidden/>
              </w:rPr>
              <w:fldChar w:fldCharType="separate"/>
            </w:r>
            <w:r w:rsidR="007074DF">
              <w:rPr>
                <w:i w:val="0"/>
                <w:noProof/>
                <w:webHidden/>
              </w:rPr>
              <w:t>48</w:t>
            </w:r>
            <w:r w:rsidR="000C7C2E" w:rsidRPr="00BA1256">
              <w:rPr>
                <w:i w:val="0"/>
                <w:noProof/>
                <w:webHidden/>
              </w:rPr>
              <w:fldChar w:fldCharType="end"/>
            </w:r>
          </w:hyperlink>
        </w:p>
        <w:p w14:paraId="0CB3E0CE" w14:textId="31C155C4"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85" w:history="1">
            <w:r w:rsidR="000C7C2E" w:rsidRPr="00BA1256">
              <w:rPr>
                <w:rStyle w:val="Hipervnculo"/>
                <w:rFonts w:cs="Times New Roman"/>
                <w:noProof/>
                <w:color w:val="auto"/>
                <w:u w:val="none"/>
              </w:rPr>
              <w:t>C)</w:t>
            </w:r>
            <w:r w:rsidR="000C7C2E" w:rsidRPr="00BA1256">
              <w:rPr>
                <w:rFonts w:eastAsiaTheme="minorEastAsia" w:cstheme="minorBidi"/>
                <w:i w:val="0"/>
                <w:noProof/>
                <w:lang w:val="es-CR" w:eastAsia="es-CR"/>
              </w:rPr>
              <w:tab/>
            </w:r>
            <w:r w:rsidR="000C7C2E" w:rsidRPr="00BA1256">
              <w:rPr>
                <w:rStyle w:val="Hipervnculo"/>
                <w:rFonts w:cs="Times New Roman"/>
                <w:noProof/>
                <w:color w:val="auto"/>
                <w:u w:val="none"/>
              </w:rPr>
              <w:t>Medidas de rehabilitación</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_Toc73960385 \h </w:instrText>
            </w:r>
            <w:r w:rsidR="000C7C2E" w:rsidRPr="00BA1256">
              <w:rPr>
                <w:i w:val="0"/>
                <w:noProof/>
                <w:webHidden/>
              </w:rPr>
            </w:r>
            <w:r w:rsidR="000C7C2E" w:rsidRPr="00BA1256">
              <w:rPr>
                <w:i w:val="0"/>
                <w:noProof/>
                <w:webHidden/>
              </w:rPr>
              <w:fldChar w:fldCharType="separate"/>
            </w:r>
            <w:r w:rsidR="007074DF">
              <w:rPr>
                <w:i w:val="0"/>
                <w:noProof/>
                <w:webHidden/>
              </w:rPr>
              <w:t>50</w:t>
            </w:r>
            <w:r w:rsidR="000C7C2E" w:rsidRPr="00BA1256">
              <w:rPr>
                <w:i w:val="0"/>
                <w:noProof/>
                <w:webHidden/>
              </w:rPr>
              <w:fldChar w:fldCharType="end"/>
            </w:r>
          </w:hyperlink>
        </w:p>
        <w:p w14:paraId="6BC3F95A" w14:textId="72544D1A"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86" w:history="1">
            <w:r w:rsidR="000C7C2E" w:rsidRPr="00BA1256">
              <w:rPr>
                <w:rStyle w:val="Hipervnculo"/>
                <w:rFonts w:cs="Times New Roman"/>
                <w:noProof/>
                <w:color w:val="auto"/>
                <w:u w:val="none"/>
              </w:rPr>
              <w:t>D)</w:t>
            </w:r>
            <w:r w:rsidR="000C7C2E" w:rsidRPr="00BA1256">
              <w:rPr>
                <w:rFonts w:eastAsiaTheme="minorEastAsia" w:cstheme="minorBidi"/>
                <w:i w:val="0"/>
                <w:noProof/>
                <w:lang w:val="es-CR" w:eastAsia="es-CR"/>
              </w:rPr>
              <w:tab/>
            </w:r>
            <w:r w:rsidR="000C7C2E" w:rsidRPr="00BA1256">
              <w:rPr>
                <w:rStyle w:val="Hipervnculo"/>
                <w:rFonts w:cs="Times New Roman"/>
                <w:noProof/>
                <w:color w:val="auto"/>
                <w:u w:val="none"/>
              </w:rPr>
              <w:t>Medidas de satisfacción</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_Toc73960386 \h </w:instrText>
            </w:r>
            <w:r w:rsidR="000C7C2E" w:rsidRPr="00BA1256">
              <w:rPr>
                <w:i w:val="0"/>
                <w:noProof/>
                <w:webHidden/>
              </w:rPr>
            </w:r>
            <w:r w:rsidR="000C7C2E" w:rsidRPr="00BA1256">
              <w:rPr>
                <w:i w:val="0"/>
                <w:noProof/>
                <w:webHidden/>
              </w:rPr>
              <w:fldChar w:fldCharType="separate"/>
            </w:r>
            <w:r w:rsidR="007074DF">
              <w:rPr>
                <w:i w:val="0"/>
                <w:noProof/>
                <w:webHidden/>
              </w:rPr>
              <w:t>51</w:t>
            </w:r>
            <w:r w:rsidR="000C7C2E" w:rsidRPr="00BA1256">
              <w:rPr>
                <w:i w:val="0"/>
                <w:noProof/>
                <w:webHidden/>
              </w:rPr>
              <w:fldChar w:fldCharType="end"/>
            </w:r>
          </w:hyperlink>
        </w:p>
        <w:p w14:paraId="5841EC94" w14:textId="62FD7E55"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87" w:history="1">
            <w:r w:rsidR="000C7C2E" w:rsidRPr="00BA1256">
              <w:rPr>
                <w:rStyle w:val="Hipervnculo"/>
                <w:rFonts w:cs="Times New Roman"/>
                <w:noProof/>
                <w:color w:val="auto"/>
                <w:u w:val="none"/>
              </w:rPr>
              <w:t>E)</w:t>
            </w:r>
            <w:r w:rsidR="000C7C2E" w:rsidRPr="00BA1256">
              <w:rPr>
                <w:rFonts w:eastAsiaTheme="minorEastAsia" w:cstheme="minorBidi"/>
                <w:i w:val="0"/>
                <w:noProof/>
                <w:lang w:val="es-CR" w:eastAsia="es-CR"/>
              </w:rPr>
              <w:tab/>
            </w:r>
            <w:r w:rsidR="000C7C2E" w:rsidRPr="00BA1256">
              <w:rPr>
                <w:rStyle w:val="Hipervnculo"/>
                <w:rFonts w:cs="Times New Roman"/>
                <w:noProof/>
                <w:color w:val="auto"/>
                <w:u w:val="none"/>
              </w:rPr>
              <w:t>Medidas de no repetición</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_Toc73960387 \h </w:instrText>
            </w:r>
            <w:r w:rsidR="000C7C2E" w:rsidRPr="00BA1256">
              <w:rPr>
                <w:i w:val="0"/>
                <w:noProof/>
                <w:webHidden/>
              </w:rPr>
            </w:r>
            <w:r w:rsidR="000C7C2E" w:rsidRPr="00BA1256">
              <w:rPr>
                <w:i w:val="0"/>
                <w:noProof/>
                <w:webHidden/>
              </w:rPr>
              <w:fldChar w:fldCharType="separate"/>
            </w:r>
            <w:r w:rsidR="007074DF">
              <w:rPr>
                <w:i w:val="0"/>
                <w:noProof/>
                <w:webHidden/>
              </w:rPr>
              <w:t>52</w:t>
            </w:r>
            <w:r w:rsidR="000C7C2E" w:rsidRPr="00BA1256">
              <w:rPr>
                <w:i w:val="0"/>
                <w:noProof/>
                <w:webHidden/>
              </w:rPr>
              <w:fldChar w:fldCharType="end"/>
            </w:r>
          </w:hyperlink>
        </w:p>
        <w:p w14:paraId="741DBF68" w14:textId="2094F2B7"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88" w:history="1">
            <w:r w:rsidR="000C7C2E" w:rsidRPr="00BA1256">
              <w:rPr>
                <w:rStyle w:val="Hipervnculo"/>
                <w:rFonts w:cs="Times New Roman"/>
                <w:noProof/>
                <w:color w:val="auto"/>
                <w:u w:val="none"/>
              </w:rPr>
              <w:t>F)</w:t>
            </w:r>
            <w:r w:rsidR="000C7C2E" w:rsidRPr="00BA1256">
              <w:rPr>
                <w:rFonts w:eastAsiaTheme="minorEastAsia" w:cstheme="minorBidi"/>
                <w:i w:val="0"/>
                <w:noProof/>
                <w:lang w:val="es-CR" w:eastAsia="es-CR"/>
              </w:rPr>
              <w:tab/>
            </w:r>
            <w:r w:rsidR="000C7C2E" w:rsidRPr="00BA1256">
              <w:rPr>
                <w:rStyle w:val="Hipervnculo"/>
                <w:rFonts w:cs="Times New Roman"/>
                <w:noProof/>
                <w:color w:val="auto"/>
                <w:u w:val="none"/>
              </w:rPr>
              <w:t>Otras medidas solicitadas</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_Toc73960388 \h </w:instrText>
            </w:r>
            <w:r w:rsidR="000C7C2E" w:rsidRPr="00BA1256">
              <w:rPr>
                <w:i w:val="0"/>
                <w:noProof/>
                <w:webHidden/>
              </w:rPr>
            </w:r>
            <w:r w:rsidR="000C7C2E" w:rsidRPr="00BA1256">
              <w:rPr>
                <w:i w:val="0"/>
                <w:noProof/>
                <w:webHidden/>
              </w:rPr>
              <w:fldChar w:fldCharType="separate"/>
            </w:r>
            <w:r w:rsidR="007074DF">
              <w:rPr>
                <w:i w:val="0"/>
                <w:noProof/>
                <w:webHidden/>
              </w:rPr>
              <w:t>53</w:t>
            </w:r>
            <w:r w:rsidR="000C7C2E" w:rsidRPr="00BA1256">
              <w:rPr>
                <w:i w:val="0"/>
                <w:noProof/>
                <w:webHidden/>
              </w:rPr>
              <w:fldChar w:fldCharType="end"/>
            </w:r>
          </w:hyperlink>
        </w:p>
        <w:p w14:paraId="3444EA39" w14:textId="0BA977C0"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89" w:history="1">
            <w:r w:rsidR="000C7C2E" w:rsidRPr="00BA1256">
              <w:rPr>
                <w:rStyle w:val="Hipervnculo"/>
                <w:rFonts w:cs="Times New Roman"/>
                <w:noProof/>
                <w:color w:val="auto"/>
                <w:u w:val="none"/>
              </w:rPr>
              <w:t>G)</w:t>
            </w:r>
            <w:r w:rsidR="000C7C2E" w:rsidRPr="00BA1256">
              <w:rPr>
                <w:rFonts w:eastAsiaTheme="minorEastAsia" w:cstheme="minorBidi"/>
                <w:i w:val="0"/>
                <w:noProof/>
                <w:lang w:val="es-CR" w:eastAsia="es-CR"/>
              </w:rPr>
              <w:tab/>
            </w:r>
            <w:r w:rsidR="000C7C2E" w:rsidRPr="00BA1256">
              <w:rPr>
                <w:rStyle w:val="Hipervnculo"/>
                <w:rFonts w:cs="Times New Roman"/>
                <w:noProof/>
                <w:color w:val="auto"/>
                <w:u w:val="none"/>
              </w:rPr>
              <w:t>Indemnizaciones compensatorias</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_Toc73960389 \h </w:instrText>
            </w:r>
            <w:r w:rsidR="000C7C2E" w:rsidRPr="00BA1256">
              <w:rPr>
                <w:i w:val="0"/>
                <w:noProof/>
                <w:webHidden/>
              </w:rPr>
            </w:r>
            <w:r w:rsidR="000C7C2E" w:rsidRPr="00BA1256">
              <w:rPr>
                <w:i w:val="0"/>
                <w:noProof/>
                <w:webHidden/>
              </w:rPr>
              <w:fldChar w:fldCharType="separate"/>
            </w:r>
            <w:r w:rsidR="007074DF">
              <w:rPr>
                <w:i w:val="0"/>
                <w:noProof/>
                <w:webHidden/>
              </w:rPr>
              <w:t>54</w:t>
            </w:r>
            <w:r w:rsidR="000C7C2E" w:rsidRPr="00BA1256">
              <w:rPr>
                <w:i w:val="0"/>
                <w:noProof/>
                <w:webHidden/>
              </w:rPr>
              <w:fldChar w:fldCharType="end"/>
            </w:r>
          </w:hyperlink>
        </w:p>
        <w:p w14:paraId="52DA66D8" w14:textId="302279F1" w:rsidR="000C7C2E" w:rsidRPr="00BA1256" w:rsidRDefault="00FB11DD" w:rsidP="00BA1256">
          <w:pPr>
            <w:pStyle w:val="TDC2"/>
            <w:tabs>
              <w:tab w:val="left" w:pos="986"/>
              <w:tab w:val="right" w:leader="dot" w:pos="10190"/>
            </w:tabs>
            <w:spacing w:before="0"/>
            <w:jc w:val="both"/>
            <w:rPr>
              <w:rFonts w:eastAsiaTheme="minorEastAsia" w:cstheme="minorBidi"/>
              <w:i w:val="0"/>
              <w:noProof/>
              <w:lang w:val="es-CR" w:eastAsia="es-CR"/>
            </w:rPr>
          </w:pPr>
          <w:hyperlink w:anchor="_Toc73960390" w:history="1">
            <w:r w:rsidR="000C7C2E" w:rsidRPr="00BA1256">
              <w:rPr>
                <w:rStyle w:val="Hipervnculo"/>
                <w:rFonts w:cs="Times New Roman"/>
                <w:noProof/>
                <w:color w:val="auto"/>
                <w:u w:val="none"/>
              </w:rPr>
              <w:t>I)</w:t>
            </w:r>
            <w:r w:rsidR="000C7C2E" w:rsidRPr="00BA1256">
              <w:rPr>
                <w:rFonts w:eastAsiaTheme="minorEastAsia" w:cstheme="minorBidi"/>
                <w:i w:val="0"/>
                <w:noProof/>
                <w:lang w:val="es-CR" w:eastAsia="es-CR"/>
              </w:rPr>
              <w:tab/>
            </w:r>
            <w:r w:rsidR="000C7C2E" w:rsidRPr="00BA1256">
              <w:rPr>
                <w:rStyle w:val="Hipervnculo"/>
                <w:noProof/>
                <w:color w:val="auto"/>
                <w:u w:val="none"/>
              </w:rPr>
              <w:t>Fondos de Asistencia Legal de Víctimas de la Corte y la Comisión Interamericanas</w:t>
            </w:r>
            <w:r w:rsidR="000C7C2E" w:rsidRPr="00BA1256">
              <w:rPr>
                <w:noProof/>
                <w:webHidden/>
              </w:rPr>
              <w:tab/>
            </w:r>
            <w:r w:rsidR="000C7C2E" w:rsidRPr="00BA1256">
              <w:rPr>
                <w:i w:val="0"/>
                <w:noProof/>
                <w:webHidden/>
              </w:rPr>
              <w:fldChar w:fldCharType="begin"/>
            </w:r>
            <w:r w:rsidR="000C7C2E" w:rsidRPr="00BA1256">
              <w:rPr>
                <w:i w:val="0"/>
                <w:noProof/>
                <w:webHidden/>
              </w:rPr>
              <w:instrText xml:space="preserve"> PAGEREF _Toc73960390 \h </w:instrText>
            </w:r>
            <w:r w:rsidR="000C7C2E" w:rsidRPr="00BA1256">
              <w:rPr>
                <w:i w:val="0"/>
                <w:noProof/>
                <w:webHidden/>
              </w:rPr>
            </w:r>
            <w:r w:rsidR="000C7C2E" w:rsidRPr="00BA1256">
              <w:rPr>
                <w:i w:val="0"/>
                <w:noProof/>
                <w:webHidden/>
              </w:rPr>
              <w:fldChar w:fldCharType="separate"/>
            </w:r>
            <w:r w:rsidR="007074DF">
              <w:rPr>
                <w:i w:val="0"/>
                <w:noProof/>
                <w:webHidden/>
              </w:rPr>
              <w:t>57</w:t>
            </w:r>
            <w:r w:rsidR="000C7C2E" w:rsidRPr="00BA1256">
              <w:rPr>
                <w:i w:val="0"/>
                <w:noProof/>
                <w:webHidden/>
              </w:rPr>
              <w:fldChar w:fldCharType="end"/>
            </w:r>
          </w:hyperlink>
        </w:p>
        <w:p w14:paraId="4E902D77" w14:textId="77777777" w:rsidR="00BA1256" w:rsidRDefault="00BA1256" w:rsidP="00BA1256">
          <w:pPr>
            <w:pStyle w:val="TDC1"/>
            <w:tabs>
              <w:tab w:val="right" w:leader="dot" w:pos="10190"/>
            </w:tabs>
            <w:spacing w:before="0"/>
            <w:jc w:val="both"/>
            <w:rPr>
              <w:noProof/>
            </w:rPr>
          </w:pPr>
        </w:p>
        <w:p w14:paraId="1FA85A04" w14:textId="4240F4AD" w:rsidR="000C7C2E" w:rsidRPr="00A7360C" w:rsidRDefault="00FB11DD" w:rsidP="00BA1256">
          <w:pPr>
            <w:pStyle w:val="TDC1"/>
            <w:tabs>
              <w:tab w:val="right" w:leader="dot" w:pos="10190"/>
            </w:tabs>
            <w:spacing w:before="0"/>
            <w:jc w:val="both"/>
            <w:rPr>
              <w:rFonts w:eastAsiaTheme="minorEastAsia" w:cstheme="minorBidi"/>
              <w:b w:val="0"/>
              <w:bCs w:val="0"/>
              <w:noProof/>
              <w:lang w:val="es-CR" w:eastAsia="es-CR"/>
            </w:rPr>
          </w:pPr>
          <w:hyperlink w:anchor="_Toc73960391" w:history="1">
            <w:r w:rsidR="000C7C2E" w:rsidRPr="00A7360C">
              <w:rPr>
                <w:rStyle w:val="Hipervnculo"/>
                <w:noProof/>
                <w:color w:val="auto"/>
                <w:u w:val="none"/>
              </w:rPr>
              <w:t>IX</w:t>
            </w:r>
            <w:r w:rsidR="000C7C2E" w:rsidRPr="00A7360C">
              <w:rPr>
                <w:noProof/>
                <w:webHidden/>
              </w:rPr>
              <w:tab/>
            </w:r>
          </w:hyperlink>
          <w:r w:rsidR="000C7C2E" w:rsidRPr="00A7360C">
            <w:rPr>
              <w:rStyle w:val="Hipervnculo"/>
              <w:noProof/>
              <w:color w:val="auto"/>
              <w:u w:val="none"/>
            </w:rPr>
            <w:t xml:space="preserve"> </w:t>
          </w:r>
          <w:hyperlink w:anchor="_Toc73960392" w:history="1">
            <w:r w:rsidR="000C7C2E" w:rsidRPr="00A7360C">
              <w:rPr>
                <w:rStyle w:val="Hipervnculo"/>
                <w:noProof/>
                <w:color w:val="auto"/>
                <w:u w:val="none"/>
              </w:rPr>
              <w:t>PUNTOS RESOLUTIVOS</w:t>
            </w:r>
            <w:r w:rsidR="000C7C2E" w:rsidRPr="00A7360C">
              <w:rPr>
                <w:noProof/>
                <w:webHidden/>
              </w:rPr>
              <w:tab/>
            </w:r>
            <w:r w:rsidR="000C7C2E" w:rsidRPr="00A7360C">
              <w:rPr>
                <w:noProof/>
                <w:webHidden/>
              </w:rPr>
              <w:fldChar w:fldCharType="begin"/>
            </w:r>
            <w:r w:rsidR="000C7C2E" w:rsidRPr="00A7360C">
              <w:rPr>
                <w:noProof/>
                <w:webHidden/>
              </w:rPr>
              <w:instrText xml:space="preserve"> PAGEREF _Toc73960392 \h </w:instrText>
            </w:r>
            <w:r w:rsidR="000C7C2E" w:rsidRPr="00A7360C">
              <w:rPr>
                <w:noProof/>
                <w:webHidden/>
              </w:rPr>
            </w:r>
            <w:r w:rsidR="000C7C2E" w:rsidRPr="00A7360C">
              <w:rPr>
                <w:noProof/>
                <w:webHidden/>
              </w:rPr>
              <w:fldChar w:fldCharType="separate"/>
            </w:r>
            <w:r w:rsidR="007074DF">
              <w:rPr>
                <w:noProof/>
                <w:webHidden/>
              </w:rPr>
              <w:t>59</w:t>
            </w:r>
            <w:r w:rsidR="000C7C2E" w:rsidRPr="00A7360C">
              <w:rPr>
                <w:noProof/>
                <w:webHidden/>
              </w:rPr>
              <w:fldChar w:fldCharType="end"/>
            </w:r>
          </w:hyperlink>
        </w:p>
        <w:p w14:paraId="1892145C" w14:textId="77777777" w:rsidR="000C7C2E" w:rsidRPr="003B0DBA" w:rsidRDefault="000C7C2E" w:rsidP="00BA1256">
          <w:pPr>
            <w:pStyle w:val="TDC1"/>
            <w:tabs>
              <w:tab w:val="left" w:pos="824"/>
              <w:tab w:val="left" w:pos="825"/>
              <w:tab w:val="left" w:pos="9507"/>
            </w:tabs>
            <w:spacing w:before="0"/>
            <w:ind w:left="0" w:firstLine="0"/>
            <w:jc w:val="both"/>
          </w:pPr>
          <w:r w:rsidRPr="00A7360C">
            <w:fldChar w:fldCharType="end"/>
          </w:r>
        </w:p>
      </w:sdtContent>
    </w:sdt>
    <w:p w14:paraId="3723DD25" w14:textId="77777777" w:rsidR="000C7C2E" w:rsidRDefault="000C7C2E" w:rsidP="000C7C2E"/>
    <w:p w14:paraId="75E7B878" w14:textId="77777777" w:rsidR="000C7C2E" w:rsidRPr="003B0DBA" w:rsidRDefault="000C7C2E" w:rsidP="00A70195">
      <w:pPr>
        <w:ind w:left="708" w:hanging="708"/>
        <w:sectPr w:rsidR="000C7C2E" w:rsidRPr="003B0DBA" w:rsidSect="000E5D6B">
          <w:type w:val="continuous"/>
          <w:pgSz w:w="12240" w:h="15840"/>
          <w:pgMar w:top="1340" w:right="1020" w:bottom="1631" w:left="1020" w:header="720" w:footer="720" w:gutter="0"/>
          <w:cols w:space="720"/>
          <w:docGrid w:linePitch="299"/>
        </w:sectPr>
      </w:pPr>
    </w:p>
    <w:p w14:paraId="559CC03D" w14:textId="77777777" w:rsidR="000C7C2E" w:rsidRPr="00070A21" w:rsidRDefault="000C7C2E" w:rsidP="000C7C2E">
      <w:pPr>
        <w:pStyle w:val="Ttulo1"/>
        <w:ind w:left="0"/>
      </w:pPr>
      <w:bookmarkStart w:id="1" w:name="I"/>
      <w:bookmarkStart w:id="2" w:name="INTRODUCCIÓN_DE_LA_CAUSA_Y_OBJETO_DE_LA_"/>
      <w:bookmarkStart w:id="3" w:name="_bookmark0"/>
      <w:bookmarkStart w:id="4" w:name="_bookmark1"/>
      <w:bookmarkStart w:id="5" w:name="_Toc73960327"/>
      <w:bookmarkEnd w:id="1"/>
      <w:bookmarkEnd w:id="2"/>
      <w:bookmarkEnd w:id="3"/>
      <w:bookmarkEnd w:id="4"/>
      <w:r w:rsidRPr="00070A21">
        <w:rPr>
          <w:w w:val="99"/>
        </w:rPr>
        <w:lastRenderedPageBreak/>
        <w:t>I</w:t>
      </w:r>
      <w:bookmarkEnd w:id="5"/>
    </w:p>
    <w:p w14:paraId="7987CCAF" w14:textId="77777777" w:rsidR="000C7C2E" w:rsidRPr="00070A21" w:rsidRDefault="000C7C2E" w:rsidP="000C7C2E">
      <w:pPr>
        <w:pStyle w:val="Ttulo1"/>
        <w:ind w:left="0"/>
      </w:pPr>
      <w:bookmarkStart w:id="6" w:name="_Toc73960328"/>
      <w:r w:rsidRPr="00070A21">
        <w:t>INTRODUCCIÓN DE LA CAUSA Y OBJETO DE LA CONTROVERSIA</w:t>
      </w:r>
      <w:bookmarkEnd w:id="6"/>
    </w:p>
    <w:p w14:paraId="69C43E52" w14:textId="77777777" w:rsidR="000C7C2E" w:rsidRPr="00070A21" w:rsidRDefault="000C7C2E" w:rsidP="000C7C2E">
      <w:pPr>
        <w:pStyle w:val="Ttulo1"/>
        <w:ind w:left="0"/>
      </w:pPr>
    </w:p>
    <w:p w14:paraId="2897CD98" w14:textId="550CDC47" w:rsidR="000C7C2E" w:rsidRPr="00045F55" w:rsidRDefault="000C7C2E" w:rsidP="000C7C2E">
      <w:pPr>
        <w:pStyle w:val="Prrafodelista"/>
        <w:numPr>
          <w:ilvl w:val="0"/>
          <w:numId w:val="1"/>
        </w:numPr>
        <w:tabs>
          <w:tab w:val="left" w:pos="965"/>
        </w:tabs>
        <w:ind w:left="0" w:firstLine="0"/>
        <w:rPr>
          <w:sz w:val="20"/>
        </w:rPr>
      </w:pPr>
      <w:r w:rsidRPr="003B0DBA">
        <w:rPr>
          <w:i/>
          <w:sz w:val="20"/>
        </w:rPr>
        <w:t>El caso sometido a la Corte</w:t>
      </w:r>
      <w:r>
        <w:rPr>
          <w:i/>
          <w:sz w:val="20"/>
        </w:rPr>
        <w:t>.</w:t>
      </w:r>
      <w:r w:rsidRPr="003B0DBA">
        <w:rPr>
          <w:i/>
          <w:sz w:val="20"/>
        </w:rPr>
        <w:t xml:space="preserve"> </w:t>
      </w:r>
      <w:r w:rsidRPr="003B0DBA">
        <w:rPr>
          <w:sz w:val="20"/>
        </w:rPr>
        <w:t xml:space="preserve">– </w:t>
      </w:r>
      <w:r w:rsidRPr="00045F55">
        <w:rPr>
          <w:sz w:val="20"/>
        </w:rPr>
        <w:t xml:space="preserve">El 24 de mayo de 2019 la Comisión Interamericana de Derechos Humanos (en adelante </w:t>
      </w:r>
      <w:r w:rsidR="00E74A7C">
        <w:rPr>
          <w:sz w:val="20"/>
        </w:rPr>
        <w:t xml:space="preserve">también </w:t>
      </w:r>
      <w:r w:rsidRPr="00045F55">
        <w:rPr>
          <w:sz w:val="20"/>
        </w:rPr>
        <w:t>“la Comisión Interamericana” o “la Comisión”) sometió a la jurisdicción de la Corte el caso “Jimmy Guerrero, Ramón Molina Pérez y familiares” contra la República Bolivariana de Venezuela (en adelante también “el Estado” o “Venezuela”). De acuerdo con lo indicado por la Comisión, el caso se relaciona con</w:t>
      </w:r>
      <w:r w:rsidRPr="00045F55">
        <w:rPr>
          <w:rStyle w:val="Ttulo2Car"/>
          <w:b w:val="0"/>
          <w:i w:val="0"/>
          <w:lang w:val="es-CR"/>
        </w:rPr>
        <w:t xml:space="preserve"> las </w:t>
      </w:r>
      <w:r w:rsidR="00931AC6">
        <w:rPr>
          <w:rStyle w:val="Ttulo2Car"/>
          <w:b w:val="0"/>
          <w:i w:val="0"/>
          <w:lang w:val="es-CR"/>
        </w:rPr>
        <w:t xml:space="preserve">alegadas </w:t>
      </w:r>
      <w:r w:rsidRPr="00045F55">
        <w:rPr>
          <w:rStyle w:val="Ttulo2Car"/>
          <w:b w:val="0"/>
          <w:i w:val="0"/>
          <w:lang w:val="es-CR"/>
        </w:rPr>
        <w:t>ejecuciones extrajudiciales de Jimmy</w:t>
      </w:r>
      <w:r w:rsidR="00981E0C">
        <w:rPr>
          <w:rStyle w:val="Ttulo2Car"/>
          <w:b w:val="0"/>
          <w:i w:val="0"/>
          <w:lang w:val="es-CR"/>
        </w:rPr>
        <w:t xml:space="preserve"> Rafael </w:t>
      </w:r>
      <w:r w:rsidRPr="00045F55">
        <w:rPr>
          <w:rStyle w:val="Ttulo2Car"/>
          <w:b w:val="0"/>
          <w:i w:val="0"/>
          <w:lang w:val="es-CR"/>
        </w:rPr>
        <w:t xml:space="preserve">Guerrero </w:t>
      </w:r>
      <w:r w:rsidR="00981E0C">
        <w:rPr>
          <w:rStyle w:val="Ttulo2Car"/>
          <w:b w:val="0"/>
          <w:i w:val="0"/>
          <w:lang w:val="es-CR"/>
        </w:rPr>
        <w:t xml:space="preserve">Meléndez </w:t>
      </w:r>
      <w:r w:rsidRPr="00045F55">
        <w:rPr>
          <w:rStyle w:val="Ttulo2Car"/>
          <w:b w:val="0"/>
          <w:i w:val="0"/>
          <w:lang w:val="es-CR"/>
        </w:rPr>
        <w:t xml:space="preserve">y </w:t>
      </w:r>
      <w:r>
        <w:rPr>
          <w:rStyle w:val="Ttulo2Car"/>
          <w:b w:val="0"/>
          <w:i w:val="0"/>
          <w:lang w:val="es-CR"/>
        </w:rPr>
        <w:t>de su familiar</w:t>
      </w:r>
      <w:r w:rsidRPr="00045F55">
        <w:rPr>
          <w:rStyle w:val="Ttulo2Car"/>
          <w:b w:val="0"/>
          <w:i w:val="0"/>
          <w:lang w:val="es-CR"/>
        </w:rPr>
        <w:t>, Ram</w:t>
      </w:r>
      <w:r>
        <w:rPr>
          <w:rStyle w:val="Ttulo2Car"/>
          <w:b w:val="0"/>
          <w:i w:val="0"/>
          <w:lang w:val="es-CR"/>
        </w:rPr>
        <w:t xml:space="preserve">ón </w:t>
      </w:r>
      <w:r w:rsidR="00981E0C">
        <w:rPr>
          <w:rStyle w:val="Ttulo2Car"/>
          <w:b w:val="0"/>
          <w:i w:val="0"/>
          <w:lang w:val="es-CR"/>
        </w:rPr>
        <w:t xml:space="preserve">Antonio </w:t>
      </w:r>
      <w:r>
        <w:rPr>
          <w:rStyle w:val="Ttulo2Car"/>
          <w:b w:val="0"/>
          <w:i w:val="0"/>
          <w:lang w:val="es-CR"/>
        </w:rPr>
        <w:t xml:space="preserve">Molina Pérez, cometidas el </w:t>
      </w:r>
      <w:r w:rsidRPr="009557A6">
        <w:rPr>
          <w:rStyle w:val="Ttulo2Car"/>
          <w:b w:val="0"/>
          <w:i w:val="0"/>
          <w:lang w:val="es-CR"/>
        </w:rPr>
        <w:t>30 de marzo de 2003</w:t>
      </w:r>
      <w:r w:rsidRPr="00045F55">
        <w:rPr>
          <w:rStyle w:val="Ttulo2Car"/>
          <w:b w:val="0"/>
          <w:i w:val="0"/>
          <w:lang w:val="es-CR"/>
        </w:rPr>
        <w:t xml:space="preserve"> por funcionarios de las Fuerzas Armadas Policiales del Estado Falcón. </w:t>
      </w:r>
      <w:r>
        <w:rPr>
          <w:rStyle w:val="Ttulo2Car"/>
          <w:b w:val="0"/>
          <w:i w:val="0"/>
          <w:lang w:val="es-CR"/>
        </w:rPr>
        <w:t>L</w:t>
      </w:r>
      <w:r w:rsidRPr="00045F55">
        <w:rPr>
          <w:rStyle w:val="Ttulo2Car"/>
          <w:b w:val="0"/>
          <w:i w:val="0"/>
          <w:lang w:val="es-CR"/>
        </w:rPr>
        <w:t>a Comisión</w:t>
      </w:r>
      <w:r>
        <w:rPr>
          <w:rStyle w:val="Ttulo2Car"/>
          <w:b w:val="0"/>
          <w:i w:val="0"/>
          <w:lang w:val="es-CR"/>
        </w:rPr>
        <w:t xml:space="preserve"> </w:t>
      </w:r>
      <w:r w:rsidRPr="00045F55">
        <w:rPr>
          <w:rStyle w:val="Ttulo2Car"/>
          <w:b w:val="0"/>
          <w:i w:val="0"/>
          <w:lang w:val="es-CR"/>
        </w:rPr>
        <w:t>determinó que constan “indicios suficientes y consistentes entre sí para establecer la participación estatal” en ambas muertes</w:t>
      </w:r>
      <w:r w:rsidRPr="004E1DD5">
        <w:rPr>
          <w:rStyle w:val="Ttulo2Car"/>
          <w:b w:val="0"/>
          <w:lang w:val="es-CR"/>
        </w:rPr>
        <w:t>.</w:t>
      </w:r>
      <w:r w:rsidRPr="00045F55">
        <w:rPr>
          <w:rStyle w:val="Ttulo2Car"/>
          <w:lang w:val="es-CR"/>
        </w:rPr>
        <w:t xml:space="preserve"> </w:t>
      </w:r>
      <w:r w:rsidRPr="00045F55">
        <w:rPr>
          <w:sz w:val="20"/>
          <w:szCs w:val="20"/>
        </w:rPr>
        <w:t>Además, entendió que las dos persona</w:t>
      </w:r>
      <w:r>
        <w:rPr>
          <w:sz w:val="20"/>
          <w:szCs w:val="20"/>
        </w:rPr>
        <w:t>s</w:t>
      </w:r>
      <w:r w:rsidRPr="00045F55">
        <w:rPr>
          <w:sz w:val="20"/>
          <w:szCs w:val="20"/>
        </w:rPr>
        <w:t xml:space="preserve"> nombradas “experimentaron situaciones de profundo miedo” antes de su </w:t>
      </w:r>
      <w:r>
        <w:rPr>
          <w:sz w:val="20"/>
          <w:szCs w:val="20"/>
        </w:rPr>
        <w:t>deceso</w:t>
      </w:r>
      <w:r w:rsidRPr="00045F55">
        <w:rPr>
          <w:sz w:val="20"/>
          <w:szCs w:val="20"/>
        </w:rPr>
        <w:t xml:space="preserve"> y que hubo un ensañamiento con el cuerpo de Jimmy Guerrero, que fue arrastrado por un vehículo. </w:t>
      </w:r>
      <w:r>
        <w:rPr>
          <w:sz w:val="20"/>
          <w:szCs w:val="20"/>
        </w:rPr>
        <w:t>C</w:t>
      </w:r>
      <w:r w:rsidRPr="00045F55">
        <w:rPr>
          <w:sz w:val="20"/>
          <w:szCs w:val="20"/>
        </w:rPr>
        <w:t>onsideró, asimismo, que el Estado incumplió su obligación de investigar los hechos en forma diligente y en un plazo razonable</w:t>
      </w:r>
      <w:r>
        <w:rPr>
          <w:sz w:val="20"/>
          <w:szCs w:val="20"/>
        </w:rPr>
        <w:t>, incluso respecto a posibles torturas.</w:t>
      </w:r>
      <w:r w:rsidRPr="00045F55">
        <w:rPr>
          <w:sz w:val="20"/>
          <w:szCs w:val="20"/>
        </w:rPr>
        <w:t xml:space="preserve"> También aseveró que los familiares de Jimmy Guerrero y Ramón Molina vieron afectada su integridad personal por la muerte de éstos y por la falta de respuesta estatal.</w:t>
      </w:r>
      <w:r>
        <w:rPr>
          <w:sz w:val="20"/>
          <w:szCs w:val="20"/>
        </w:rPr>
        <w:t xml:space="preserve"> P</w:t>
      </w:r>
      <w:r w:rsidRPr="00045F55">
        <w:rPr>
          <w:sz w:val="20"/>
          <w:szCs w:val="20"/>
        </w:rPr>
        <w:t xml:space="preserve">or </w:t>
      </w:r>
      <w:r>
        <w:rPr>
          <w:sz w:val="20"/>
          <w:szCs w:val="20"/>
        </w:rPr>
        <w:t xml:space="preserve">todo lo expuesto, </w:t>
      </w:r>
      <w:r w:rsidR="005569F5">
        <w:rPr>
          <w:sz w:val="20"/>
          <w:szCs w:val="20"/>
        </w:rPr>
        <w:t xml:space="preserve">concluyó </w:t>
      </w:r>
      <w:r>
        <w:rPr>
          <w:sz w:val="20"/>
          <w:szCs w:val="20"/>
        </w:rPr>
        <w:t>que se perpetraron</w:t>
      </w:r>
      <w:r w:rsidRPr="00045F55">
        <w:rPr>
          <w:sz w:val="20"/>
          <w:szCs w:val="20"/>
        </w:rPr>
        <w:t xml:space="preserve"> violaciones a los derechos a la vida, a la integridad personal, a las garantías judiciales y a la protección judicial.</w:t>
      </w:r>
    </w:p>
    <w:p w14:paraId="62B71915" w14:textId="77777777" w:rsidR="000C7C2E" w:rsidRPr="003B0DBA" w:rsidRDefault="000C7C2E" w:rsidP="000C7C2E">
      <w:pPr>
        <w:pStyle w:val="Textoindependiente"/>
      </w:pPr>
    </w:p>
    <w:p w14:paraId="254A24CE" w14:textId="77777777" w:rsidR="000C7C2E" w:rsidRPr="003B0DBA" w:rsidRDefault="000C7C2E" w:rsidP="000C7C2E">
      <w:pPr>
        <w:pStyle w:val="Prrafodelista"/>
        <w:numPr>
          <w:ilvl w:val="0"/>
          <w:numId w:val="1"/>
        </w:numPr>
        <w:tabs>
          <w:tab w:val="left" w:pos="965"/>
        </w:tabs>
        <w:ind w:left="0" w:firstLine="0"/>
        <w:rPr>
          <w:sz w:val="20"/>
        </w:rPr>
      </w:pPr>
      <w:r w:rsidRPr="003B0DBA">
        <w:rPr>
          <w:i/>
          <w:sz w:val="20"/>
        </w:rPr>
        <w:t>Trámite ante la Comisión</w:t>
      </w:r>
      <w:r w:rsidRPr="003B0DBA">
        <w:rPr>
          <w:sz w:val="20"/>
        </w:rPr>
        <w:t>. – El trámite ante la Comisión fue el</w:t>
      </w:r>
      <w:r w:rsidRPr="003B0DBA">
        <w:rPr>
          <w:spacing w:val="-10"/>
          <w:sz w:val="20"/>
        </w:rPr>
        <w:t xml:space="preserve"> </w:t>
      </w:r>
      <w:r w:rsidRPr="003B0DBA">
        <w:rPr>
          <w:sz w:val="20"/>
        </w:rPr>
        <w:t>siguiente:</w:t>
      </w:r>
    </w:p>
    <w:p w14:paraId="2872B513" w14:textId="77777777" w:rsidR="000C7C2E" w:rsidRPr="003B0DBA" w:rsidRDefault="000C7C2E" w:rsidP="000C7C2E">
      <w:pPr>
        <w:pStyle w:val="Textoindependiente"/>
        <w:spacing w:before="11"/>
        <w:rPr>
          <w:sz w:val="19"/>
        </w:rPr>
      </w:pPr>
    </w:p>
    <w:p w14:paraId="53996342" w14:textId="0DD598D3" w:rsidR="000C7C2E" w:rsidRPr="003B0DBA" w:rsidRDefault="000C7C2E" w:rsidP="000C7C2E">
      <w:pPr>
        <w:pStyle w:val="Prrafodelista"/>
        <w:numPr>
          <w:ilvl w:val="1"/>
          <w:numId w:val="1"/>
        </w:numPr>
        <w:tabs>
          <w:tab w:val="left" w:pos="1476"/>
        </w:tabs>
        <w:ind w:left="284" w:firstLine="0"/>
        <w:rPr>
          <w:sz w:val="20"/>
        </w:rPr>
      </w:pPr>
      <w:r w:rsidRPr="003B0DBA">
        <w:rPr>
          <w:i/>
          <w:sz w:val="20"/>
        </w:rPr>
        <w:t xml:space="preserve">Petición. </w:t>
      </w:r>
      <w:r w:rsidRPr="003B0DBA">
        <w:rPr>
          <w:sz w:val="20"/>
        </w:rPr>
        <w:t xml:space="preserve">– </w:t>
      </w:r>
      <w:r>
        <w:rPr>
          <w:sz w:val="20"/>
          <w:szCs w:val="20"/>
        </w:rPr>
        <w:t xml:space="preserve"> </w:t>
      </w:r>
      <w:r w:rsidRPr="000B120B">
        <w:rPr>
          <w:sz w:val="20"/>
          <w:szCs w:val="20"/>
        </w:rPr>
        <w:t>El 10 de marzo de 2008 el Comité de Familiares de Vícti</w:t>
      </w:r>
      <w:r>
        <w:rPr>
          <w:sz w:val="20"/>
          <w:szCs w:val="20"/>
        </w:rPr>
        <w:t>mas de los Sucesos de Febrero –</w:t>
      </w:r>
      <w:proofErr w:type="gramStart"/>
      <w:r>
        <w:rPr>
          <w:sz w:val="20"/>
          <w:szCs w:val="20"/>
        </w:rPr>
        <w:t>M</w:t>
      </w:r>
      <w:r w:rsidRPr="000B120B">
        <w:rPr>
          <w:sz w:val="20"/>
          <w:szCs w:val="20"/>
        </w:rPr>
        <w:t>arzo</w:t>
      </w:r>
      <w:proofErr w:type="gramEnd"/>
      <w:r w:rsidRPr="000B120B">
        <w:rPr>
          <w:sz w:val="20"/>
          <w:szCs w:val="20"/>
        </w:rPr>
        <w:t xml:space="preserve"> de 1989 (COFAVIC) y los señores Jean Carlos Guerrero y Carlos Ayala </w:t>
      </w:r>
      <w:proofErr w:type="spellStart"/>
      <w:r w:rsidRPr="000B120B">
        <w:rPr>
          <w:sz w:val="20"/>
          <w:szCs w:val="20"/>
        </w:rPr>
        <w:t>Corao</w:t>
      </w:r>
      <w:proofErr w:type="spellEnd"/>
      <w:r w:rsidRPr="000B120B">
        <w:rPr>
          <w:sz w:val="20"/>
          <w:szCs w:val="20"/>
        </w:rPr>
        <w:t xml:space="preserve"> presentaron la petición inicial</w:t>
      </w:r>
      <w:r w:rsidRPr="000B120B">
        <w:rPr>
          <w:rStyle w:val="Refdenotaalpie"/>
          <w:sz w:val="20"/>
          <w:szCs w:val="20"/>
        </w:rPr>
        <w:footnoteReference w:id="2"/>
      </w:r>
      <w:r w:rsidRPr="000B120B">
        <w:rPr>
          <w:sz w:val="20"/>
          <w:szCs w:val="20"/>
        </w:rPr>
        <w:t>.</w:t>
      </w:r>
    </w:p>
    <w:p w14:paraId="3E81AE26" w14:textId="77777777" w:rsidR="000C7C2E" w:rsidRPr="003B0DBA" w:rsidRDefault="000C7C2E" w:rsidP="000C7C2E">
      <w:pPr>
        <w:pStyle w:val="Textoindependiente"/>
        <w:ind w:left="284"/>
      </w:pPr>
    </w:p>
    <w:p w14:paraId="1002B31C" w14:textId="56549E0F" w:rsidR="000C7C2E" w:rsidRPr="000B120B" w:rsidRDefault="000C7C2E" w:rsidP="000C7C2E">
      <w:pPr>
        <w:pStyle w:val="Prrafodelista"/>
        <w:numPr>
          <w:ilvl w:val="1"/>
          <w:numId w:val="1"/>
        </w:numPr>
        <w:tabs>
          <w:tab w:val="left" w:pos="1476"/>
        </w:tabs>
        <w:spacing w:before="1"/>
        <w:ind w:left="284" w:firstLine="0"/>
        <w:rPr>
          <w:sz w:val="20"/>
        </w:rPr>
      </w:pPr>
      <w:r w:rsidRPr="003B0DBA">
        <w:rPr>
          <w:i/>
          <w:sz w:val="20"/>
        </w:rPr>
        <w:t>Informe</w:t>
      </w:r>
      <w:r w:rsidRPr="003B0DBA">
        <w:rPr>
          <w:i/>
          <w:spacing w:val="-10"/>
          <w:sz w:val="20"/>
        </w:rPr>
        <w:t xml:space="preserve"> </w:t>
      </w:r>
      <w:r w:rsidRPr="003B0DBA">
        <w:rPr>
          <w:i/>
          <w:sz w:val="20"/>
        </w:rPr>
        <w:t>de</w:t>
      </w:r>
      <w:r w:rsidRPr="003B0DBA">
        <w:rPr>
          <w:i/>
          <w:spacing w:val="-10"/>
          <w:sz w:val="20"/>
        </w:rPr>
        <w:t xml:space="preserve"> </w:t>
      </w:r>
      <w:r w:rsidRPr="003B0DBA">
        <w:rPr>
          <w:i/>
          <w:sz w:val="20"/>
        </w:rPr>
        <w:t>Admisibilidad.</w:t>
      </w:r>
      <w:r w:rsidRPr="003B0DBA">
        <w:rPr>
          <w:i/>
          <w:spacing w:val="-9"/>
          <w:sz w:val="20"/>
        </w:rPr>
        <w:t xml:space="preserve"> </w:t>
      </w:r>
      <w:r w:rsidRPr="003B0DBA">
        <w:rPr>
          <w:sz w:val="20"/>
        </w:rPr>
        <w:t>–</w:t>
      </w:r>
      <w:r w:rsidRPr="003B0DBA">
        <w:rPr>
          <w:spacing w:val="-9"/>
          <w:sz w:val="20"/>
        </w:rPr>
        <w:t xml:space="preserve"> </w:t>
      </w:r>
      <w:r w:rsidRPr="000B120B">
        <w:rPr>
          <w:color w:val="000000" w:themeColor="text1"/>
          <w:sz w:val="20"/>
          <w:szCs w:val="20"/>
        </w:rPr>
        <w:t xml:space="preserve">El 19 de febrero de 2011 la Comisión aprobó el Informe de Admisibilidad No. 4/11, en el que </w:t>
      </w:r>
      <w:r>
        <w:rPr>
          <w:color w:val="000000" w:themeColor="text1"/>
          <w:sz w:val="20"/>
          <w:szCs w:val="20"/>
        </w:rPr>
        <w:t>admitió</w:t>
      </w:r>
      <w:r w:rsidRPr="000B120B">
        <w:rPr>
          <w:color w:val="000000" w:themeColor="text1"/>
          <w:sz w:val="20"/>
          <w:szCs w:val="20"/>
        </w:rPr>
        <w:t xml:space="preserve"> la petición. </w:t>
      </w:r>
    </w:p>
    <w:p w14:paraId="529E01B4" w14:textId="77777777" w:rsidR="000C7C2E" w:rsidRPr="003B0DBA" w:rsidRDefault="000C7C2E" w:rsidP="000C7C2E">
      <w:pPr>
        <w:pStyle w:val="Textoindependiente"/>
        <w:ind w:left="284"/>
      </w:pPr>
    </w:p>
    <w:p w14:paraId="12B429A4" w14:textId="21E1991B" w:rsidR="000C7C2E" w:rsidRPr="003B0DBA" w:rsidRDefault="000C7C2E" w:rsidP="000C7C2E">
      <w:pPr>
        <w:pStyle w:val="Prrafodelista"/>
        <w:numPr>
          <w:ilvl w:val="1"/>
          <w:numId w:val="1"/>
        </w:numPr>
        <w:tabs>
          <w:tab w:val="left" w:pos="1476"/>
        </w:tabs>
        <w:ind w:left="284" w:firstLine="0"/>
        <w:rPr>
          <w:sz w:val="20"/>
        </w:rPr>
      </w:pPr>
      <w:r w:rsidRPr="003B0DBA">
        <w:rPr>
          <w:i/>
          <w:sz w:val="20"/>
        </w:rPr>
        <w:t>Informe de Fondo</w:t>
      </w:r>
      <w:r w:rsidRPr="003B0DBA">
        <w:rPr>
          <w:sz w:val="20"/>
        </w:rPr>
        <w:t xml:space="preserve">. – El </w:t>
      </w:r>
      <w:r>
        <w:rPr>
          <w:sz w:val="20"/>
        </w:rPr>
        <w:t>7</w:t>
      </w:r>
      <w:r w:rsidRPr="003B0DBA">
        <w:rPr>
          <w:sz w:val="20"/>
        </w:rPr>
        <w:t xml:space="preserve"> de </w:t>
      </w:r>
      <w:r>
        <w:rPr>
          <w:sz w:val="20"/>
        </w:rPr>
        <w:t xml:space="preserve">diciembre de </w:t>
      </w:r>
      <w:r w:rsidRPr="003B0DBA">
        <w:rPr>
          <w:sz w:val="20"/>
        </w:rPr>
        <w:t>2018 la Comisión aprobó el Informe de Fondo</w:t>
      </w:r>
      <w:r w:rsidRPr="003B0DBA">
        <w:rPr>
          <w:spacing w:val="-9"/>
          <w:sz w:val="20"/>
        </w:rPr>
        <w:t xml:space="preserve"> </w:t>
      </w:r>
      <w:r w:rsidRPr="003B0DBA">
        <w:rPr>
          <w:sz w:val="20"/>
        </w:rPr>
        <w:t>No.</w:t>
      </w:r>
      <w:r w:rsidRPr="003B0DBA">
        <w:rPr>
          <w:spacing w:val="-8"/>
          <w:sz w:val="20"/>
        </w:rPr>
        <w:t xml:space="preserve"> </w:t>
      </w:r>
      <w:r>
        <w:rPr>
          <w:sz w:val="20"/>
        </w:rPr>
        <w:t>1</w:t>
      </w:r>
      <w:r w:rsidRPr="003B0DBA">
        <w:rPr>
          <w:sz w:val="20"/>
        </w:rPr>
        <w:t>6</w:t>
      </w:r>
      <w:r>
        <w:rPr>
          <w:sz w:val="20"/>
        </w:rPr>
        <w:t>0</w:t>
      </w:r>
      <w:r w:rsidRPr="003B0DBA">
        <w:rPr>
          <w:sz w:val="20"/>
        </w:rPr>
        <w:t>/18</w:t>
      </w:r>
      <w:r w:rsidRPr="003B0DBA">
        <w:rPr>
          <w:spacing w:val="-6"/>
          <w:sz w:val="20"/>
        </w:rPr>
        <w:t xml:space="preserve"> </w:t>
      </w:r>
      <w:r w:rsidRPr="003B0DBA">
        <w:rPr>
          <w:sz w:val="20"/>
        </w:rPr>
        <w:t>(en</w:t>
      </w:r>
      <w:r w:rsidRPr="003B0DBA">
        <w:rPr>
          <w:spacing w:val="-7"/>
          <w:sz w:val="20"/>
        </w:rPr>
        <w:t xml:space="preserve"> </w:t>
      </w:r>
      <w:r w:rsidRPr="003B0DBA">
        <w:rPr>
          <w:sz w:val="20"/>
        </w:rPr>
        <w:t>adelante</w:t>
      </w:r>
      <w:r w:rsidR="00E74A7C">
        <w:rPr>
          <w:sz w:val="20"/>
        </w:rPr>
        <w:t xml:space="preserve"> también</w:t>
      </w:r>
      <w:r w:rsidRPr="003B0DBA">
        <w:rPr>
          <w:spacing w:val="-8"/>
          <w:sz w:val="20"/>
        </w:rPr>
        <w:t xml:space="preserve"> </w:t>
      </w:r>
      <w:r w:rsidRPr="003B0DBA">
        <w:rPr>
          <w:sz w:val="20"/>
        </w:rPr>
        <w:t>“Informe</w:t>
      </w:r>
      <w:r w:rsidRPr="003B0DBA">
        <w:rPr>
          <w:spacing w:val="-9"/>
          <w:sz w:val="20"/>
        </w:rPr>
        <w:t xml:space="preserve"> </w:t>
      </w:r>
      <w:r w:rsidRPr="003B0DBA">
        <w:rPr>
          <w:sz w:val="20"/>
        </w:rPr>
        <w:t>de</w:t>
      </w:r>
      <w:r w:rsidRPr="003B0DBA">
        <w:rPr>
          <w:spacing w:val="-8"/>
          <w:sz w:val="20"/>
        </w:rPr>
        <w:t xml:space="preserve"> </w:t>
      </w:r>
      <w:r w:rsidRPr="003B0DBA">
        <w:rPr>
          <w:sz w:val="20"/>
        </w:rPr>
        <w:t>Fondo”),</w:t>
      </w:r>
      <w:r w:rsidRPr="003B0DBA">
        <w:rPr>
          <w:spacing w:val="-8"/>
          <w:sz w:val="20"/>
        </w:rPr>
        <w:t xml:space="preserve"> </w:t>
      </w:r>
      <w:r w:rsidRPr="003B0DBA">
        <w:rPr>
          <w:sz w:val="20"/>
        </w:rPr>
        <w:t>en</w:t>
      </w:r>
      <w:r w:rsidRPr="003B0DBA">
        <w:rPr>
          <w:spacing w:val="-4"/>
          <w:sz w:val="20"/>
        </w:rPr>
        <w:t xml:space="preserve"> </w:t>
      </w:r>
      <w:r w:rsidRPr="003B0DBA">
        <w:rPr>
          <w:sz w:val="20"/>
        </w:rPr>
        <w:t>el cual</w:t>
      </w:r>
      <w:r w:rsidRPr="003B0DBA">
        <w:rPr>
          <w:spacing w:val="-15"/>
          <w:sz w:val="20"/>
        </w:rPr>
        <w:t xml:space="preserve"> </w:t>
      </w:r>
      <w:r w:rsidRPr="003B0DBA">
        <w:rPr>
          <w:sz w:val="20"/>
        </w:rPr>
        <w:t>llegó</w:t>
      </w:r>
      <w:r w:rsidRPr="003B0DBA">
        <w:rPr>
          <w:spacing w:val="-14"/>
          <w:sz w:val="20"/>
        </w:rPr>
        <w:t xml:space="preserve"> </w:t>
      </w:r>
      <w:r w:rsidRPr="003B0DBA">
        <w:rPr>
          <w:sz w:val="20"/>
        </w:rPr>
        <w:t>a</w:t>
      </w:r>
      <w:r w:rsidRPr="003B0DBA">
        <w:rPr>
          <w:spacing w:val="-14"/>
          <w:sz w:val="20"/>
        </w:rPr>
        <w:t xml:space="preserve"> </w:t>
      </w:r>
      <w:r w:rsidRPr="003B0DBA">
        <w:rPr>
          <w:sz w:val="20"/>
        </w:rPr>
        <w:t>una</w:t>
      </w:r>
      <w:r w:rsidRPr="003B0DBA">
        <w:rPr>
          <w:spacing w:val="-15"/>
          <w:sz w:val="20"/>
        </w:rPr>
        <w:t xml:space="preserve"> </w:t>
      </w:r>
      <w:r w:rsidRPr="003B0DBA">
        <w:rPr>
          <w:sz w:val="20"/>
        </w:rPr>
        <w:t>serie</w:t>
      </w:r>
      <w:r w:rsidRPr="003B0DBA">
        <w:rPr>
          <w:spacing w:val="-15"/>
          <w:sz w:val="20"/>
        </w:rPr>
        <w:t xml:space="preserve"> </w:t>
      </w:r>
      <w:r w:rsidRPr="003B0DBA">
        <w:rPr>
          <w:sz w:val="20"/>
        </w:rPr>
        <w:t>de</w:t>
      </w:r>
      <w:r w:rsidRPr="003B0DBA">
        <w:rPr>
          <w:spacing w:val="-14"/>
          <w:sz w:val="20"/>
        </w:rPr>
        <w:t xml:space="preserve"> </w:t>
      </w:r>
      <w:r w:rsidRPr="003B0DBA">
        <w:rPr>
          <w:sz w:val="20"/>
        </w:rPr>
        <w:t>conclusiones</w:t>
      </w:r>
      <w:hyperlink w:anchor="_bookmark2" w:history="1">
        <w:r>
          <w:rPr>
            <w:rStyle w:val="Refdenotaalpie"/>
          </w:rPr>
          <w:footnoteReference w:id="3"/>
        </w:r>
        <w:r w:rsidRPr="003B0DBA">
          <w:rPr>
            <w:spacing w:val="10"/>
            <w:position w:val="7"/>
            <w:sz w:val="13"/>
          </w:rPr>
          <w:t xml:space="preserve"> </w:t>
        </w:r>
      </w:hyperlink>
      <w:r w:rsidRPr="003B0DBA">
        <w:rPr>
          <w:sz w:val="20"/>
        </w:rPr>
        <w:t>y</w:t>
      </w:r>
      <w:r w:rsidRPr="003B0DBA">
        <w:rPr>
          <w:spacing w:val="-15"/>
          <w:sz w:val="20"/>
        </w:rPr>
        <w:t xml:space="preserve"> </w:t>
      </w:r>
      <w:r w:rsidRPr="003B0DBA">
        <w:rPr>
          <w:sz w:val="20"/>
        </w:rPr>
        <w:t>formuló</w:t>
      </w:r>
      <w:r w:rsidRPr="003B0DBA">
        <w:rPr>
          <w:spacing w:val="-10"/>
          <w:sz w:val="20"/>
        </w:rPr>
        <w:t xml:space="preserve"> </w:t>
      </w:r>
      <w:r w:rsidRPr="003B0DBA">
        <w:rPr>
          <w:sz w:val="20"/>
        </w:rPr>
        <w:t>varias</w:t>
      </w:r>
      <w:r w:rsidRPr="003B0DBA">
        <w:rPr>
          <w:spacing w:val="-13"/>
          <w:sz w:val="20"/>
        </w:rPr>
        <w:t xml:space="preserve"> </w:t>
      </w:r>
      <w:r w:rsidRPr="003B0DBA">
        <w:rPr>
          <w:sz w:val="20"/>
        </w:rPr>
        <w:t>recomendaciones</w:t>
      </w:r>
      <w:r w:rsidRPr="003B0DBA">
        <w:rPr>
          <w:spacing w:val="-12"/>
          <w:sz w:val="20"/>
        </w:rPr>
        <w:t xml:space="preserve"> </w:t>
      </w:r>
      <w:r w:rsidRPr="003B0DBA">
        <w:rPr>
          <w:sz w:val="20"/>
        </w:rPr>
        <w:t>al</w:t>
      </w:r>
      <w:r w:rsidRPr="003B0DBA">
        <w:rPr>
          <w:spacing w:val="-15"/>
          <w:sz w:val="20"/>
        </w:rPr>
        <w:t xml:space="preserve"> </w:t>
      </w:r>
      <w:r w:rsidRPr="003B0DBA">
        <w:rPr>
          <w:sz w:val="20"/>
        </w:rPr>
        <w:t>Estado.</w:t>
      </w:r>
    </w:p>
    <w:p w14:paraId="24AE247D" w14:textId="77777777" w:rsidR="000C7C2E" w:rsidRPr="003B0DBA" w:rsidRDefault="000C7C2E" w:rsidP="000C7C2E">
      <w:pPr>
        <w:pStyle w:val="Textoindependiente"/>
        <w:spacing w:before="11"/>
        <w:rPr>
          <w:sz w:val="19"/>
        </w:rPr>
      </w:pPr>
    </w:p>
    <w:p w14:paraId="47BA93D2" w14:textId="643C0C2E" w:rsidR="000C7C2E" w:rsidRPr="003B0DBA" w:rsidRDefault="000C7C2E" w:rsidP="000C7C2E">
      <w:pPr>
        <w:pStyle w:val="Prrafodelista"/>
        <w:numPr>
          <w:ilvl w:val="0"/>
          <w:numId w:val="1"/>
        </w:numPr>
        <w:tabs>
          <w:tab w:val="left" w:pos="965"/>
        </w:tabs>
        <w:ind w:left="0" w:hanging="1"/>
        <w:rPr>
          <w:sz w:val="20"/>
        </w:rPr>
      </w:pPr>
      <w:r w:rsidRPr="003B0DBA">
        <w:rPr>
          <w:i/>
          <w:sz w:val="20"/>
        </w:rPr>
        <w:t xml:space="preserve">Notificación al Estado. </w:t>
      </w:r>
      <w:r w:rsidRPr="003B0DBA">
        <w:rPr>
          <w:sz w:val="20"/>
        </w:rPr>
        <w:t>– El Informe de Fondo fue notificado al Estado mediante</w:t>
      </w:r>
      <w:r>
        <w:rPr>
          <w:sz w:val="20"/>
        </w:rPr>
        <w:t xml:space="preserve"> una</w:t>
      </w:r>
      <w:r w:rsidRPr="003B0DBA">
        <w:rPr>
          <w:sz w:val="20"/>
        </w:rPr>
        <w:t xml:space="preserve"> comunicación de </w:t>
      </w:r>
      <w:r>
        <w:rPr>
          <w:sz w:val="20"/>
        </w:rPr>
        <w:t xml:space="preserve">27 </w:t>
      </w:r>
      <w:r w:rsidRPr="003B0DBA">
        <w:rPr>
          <w:sz w:val="20"/>
        </w:rPr>
        <w:t xml:space="preserve">de </w:t>
      </w:r>
      <w:r>
        <w:rPr>
          <w:sz w:val="20"/>
        </w:rPr>
        <w:t>febrero</w:t>
      </w:r>
      <w:r w:rsidRPr="003B0DBA">
        <w:rPr>
          <w:sz w:val="20"/>
        </w:rPr>
        <w:t xml:space="preserve"> de 201</w:t>
      </w:r>
      <w:r>
        <w:rPr>
          <w:sz w:val="20"/>
        </w:rPr>
        <w:t xml:space="preserve">9. La Comisión otorgó a Venezuela </w:t>
      </w:r>
      <w:r w:rsidRPr="003B0DBA">
        <w:rPr>
          <w:sz w:val="20"/>
        </w:rPr>
        <w:t>el plazo de dos meses para que informara sobre el cumplimento de las recomendaciones</w:t>
      </w:r>
      <w:r>
        <w:rPr>
          <w:sz w:val="20"/>
        </w:rPr>
        <w:t xml:space="preserve">, pero, conforme expresó, el Estado “no dio respuesta alguna”. </w:t>
      </w:r>
    </w:p>
    <w:p w14:paraId="5BC5B2E8" w14:textId="77777777" w:rsidR="000C7C2E" w:rsidRPr="003B0DBA" w:rsidRDefault="000C7C2E" w:rsidP="000C7C2E">
      <w:pPr>
        <w:pStyle w:val="Textoindependiente"/>
      </w:pPr>
    </w:p>
    <w:p w14:paraId="4A6D6365" w14:textId="77777777" w:rsidR="000C7C2E" w:rsidRPr="003B0DBA" w:rsidRDefault="000C7C2E" w:rsidP="00AA2F59">
      <w:pPr>
        <w:pStyle w:val="Prrafodelista"/>
        <w:numPr>
          <w:ilvl w:val="0"/>
          <w:numId w:val="1"/>
        </w:numPr>
        <w:tabs>
          <w:tab w:val="left" w:pos="965"/>
        </w:tabs>
        <w:ind w:left="0" w:firstLine="0"/>
        <w:rPr>
          <w:sz w:val="20"/>
        </w:rPr>
      </w:pPr>
      <w:r w:rsidRPr="003B0DBA">
        <w:rPr>
          <w:i/>
          <w:sz w:val="20"/>
        </w:rPr>
        <w:t>Sometimiento</w:t>
      </w:r>
      <w:r w:rsidRPr="003B0DBA">
        <w:rPr>
          <w:i/>
          <w:spacing w:val="-9"/>
          <w:sz w:val="20"/>
        </w:rPr>
        <w:t xml:space="preserve"> </w:t>
      </w:r>
      <w:r w:rsidRPr="003B0DBA">
        <w:rPr>
          <w:i/>
          <w:sz w:val="20"/>
        </w:rPr>
        <w:t>a</w:t>
      </w:r>
      <w:r w:rsidRPr="003B0DBA">
        <w:rPr>
          <w:i/>
          <w:spacing w:val="-8"/>
          <w:sz w:val="20"/>
        </w:rPr>
        <w:t xml:space="preserve"> </w:t>
      </w:r>
      <w:r w:rsidRPr="003B0DBA">
        <w:rPr>
          <w:i/>
          <w:sz w:val="20"/>
        </w:rPr>
        <w:t>la</w:t>
      </w:r>
      <w:r w:rsidRPr="003B0DBA">
        <w:rPr>
          <w:i/>
          <w:spacing w:val="-8"/>
          <w:sz w:val="20"/>
        </w:rPr>
        <w:t xml:space="preserve"> </w:t>
      </w:r>
      <w:r w:rsidRPr="003B0DBA">
        <w:rPr>
          <w:i/>
          <w:sz w:val="20"/>
        </w:rPr>
        <w:t>Corte</w:t>
      </w:r>
      <w:r w:rsidRPr="003B0DBA">
        <w:rPr>
          <w:sz w:val="20"/>
        </w:rPr>
        <w:t>.</w:t>
      </w:r>
      <w:r w:rsidRPr="003B0DBA">
        <w:rPr>
          <w:spacing w:val="-8"/>
          <w:sz w:val="20"/>
        </w:rPr>
        <w:t xml:space="preserve"> </w:t>
      </w:r>
      <w:r w:rsidRPr="003B0DBA">
        <w:rPr>
          <w:sz w:val="20"/>
        </w:rPr>
        <w:t>–</w:t>
      </w:r>
      <w:r w:rsidRPr="003B0DBA">
        <w:rPr>
          <w:spacing w:val="-7"/>
          <w:sz w:val="20"/>
        </w:rPr>
        <w:t xml:space="preserve"> </w:t>
      </w:r>
      <w:r w:rsidRPr="003C25A5">
        <w:rPr>
          <w:sz w:val="20"/>
        </w:rPr>
        <w:t>El</w:t>
      </w:r>
      <w:r w:rsidRPr="00C14C64">
        <w:rPr>
          <w:sz w:val="20"/>
        </w:rPr>
        <w:t xml:space="preserve"> </w:t>
      </w:r>
      <w:r w:rsidRPr="003C25A5">
        <w:rPr>
          <w:sz w:val="20"/>
        </w:rPr>
        <w:t>24 de</w:t>
      </w:r>
      <w:r w:rsidRPr="00D32C13">
        <w:rPr>
          <w:sz w:val="20"/>
        </w:rPr>
        <w:t xml:space="preserve"> mayo </w:t>
      </w:r>
      <w:r w:rsidRPr="003C25A5">
        <w:rPr>
          <w:sz w:val="20"/>
        </w:rPr>
        <w:t>de</w:t>
      </w:r>
      <w:r w:rsidRPr="00D32C13">
        <w:rPr>
          <w:sz w:val="20"/>
        </w:rPr>
        <w:t xml:space="preserve"> </w:t>
      </w:r>
      <w:r w:rsidRPr="003C25A5">
        <w:rPr>
          <w:sz w:val="20"/>
        </w:rPr>
        <w:t>2019</w:t>
      </w:r>
      <w:r w:rsidRPr="00D32C13">
        <w:rPr>
          <w:sz w:val="20"/>
        </w:rPr>
        <w:t xml:space="preserve"> </w:t>
      </w:r>
      <w:r w:rsidRPr="003C25A5">
        <w:rPr>
          <w:sz w:val="20"/>
        </w:rPr>
        <w:t>la</w:t>
      </w:r>
      <w:r w:rsidRPr="00D32C13">
        <w:rPr>
          <w:sz w:val="20"/>
        </w:rPr>
        <w:t xml:space="preserve"> </w:t>
      </w:r>
      <w:r w:rsidRPr="003C25A5">
        <w:rPr>
          <w:sz w:val="20"/>
        </w:rPr>
        <w:t>Comisión</w:t>
      </w:r>
      <w:r w:rsidRPr="00D32C13">
        <w:rPr>
          <w:sz w:val="20"/>
        </w:rPr>
        <w:t xml:space="preserve"> </w:t>
      </w:r>
      <w:r w:rsidRPr="003C25A5">
        <w:rPr>
          <w:sz w:val="20"/>
        </w:rPr>
        <w:t>sometió</w:t>
      </w:r>
      <w:r w:rsidRPr="00D32C13">
        <w:rPr>
          <w:sz w:val="20"/>
        </w:rPr>
        <w:t xml:space="preserve"> a la Corte “la totalidad de los hechos y violaciones a derechos humanos” del caso. Lo hizo</w:t>
      </w:r>
      <w:r w:rsidRPr="003C25A5">
        <w:rPr>
          <w:sz w:val="20"/>
        </w:rPr>
        <w:t>, según indicó, “por la necesidad de obtención de justicia y reparación”</w:t>
      </w:r>
      <w:r w:rsidRPr="003C25A5">
        <w:rPr>
          <w:rStyle w:val="Refdenotaalpie"/>
          <w:sz w:val="20"/>
        </w:rPr>
        <w:footnoteReference w:id="4"/>
      </w:r>
      <w:r w:rsidRPr="003C25A5">
        <w:rPr>
          <w:sz w:val="20"/>
        </w:rPr>
        <w:t>.</w:t>
      </w:r>
      <w:r w:rsidRPr="003B0DBA">
        <w:rPr>
          <w:spacing w:val="-18"/>
          <w:sz w:val="20"/>
        </w:rPr>
        <w:t xml:space="preserve"> </w:t>
      </w:r>
      <w:r w:rsidRPr="003B0DBA">
        <w:rPr>
          <w:sz w:val="20"/>
        </w:rPr>
        <w:t>Este</w:t>
      </w:r>
      <w:r w:rsidRPr="003B0DBA">
        <w:rPr>
          <w:spacing w:val="-14"/>
          <w:sz w:val="20"/>
        </w:rPr>
        <w:t xml:space="preserve"> </w:t>
      </w:r>
      <w:r w:rsidRPr="003B0DBA">
        <w:rPr>
          <w:sz w:val="20"/>
        </w:rPr>
        <w:t>Tribunal</w:t>
      </w:r>
      <w:r w:rsidRPr="003B0DBA">
        <w:rPr>
          <w:spacing w:val="-15"/>
          <w:sz w:val="20"/>
        </w:rPr>
        <w:t xml:space="preserve"> </w:t>
      </w:r>
      <w:r w:rsidRPr="003B0DBA">
        <w:rPr>
          <w:sz w:val="20"/>
        </w:rPr>
        <w:lastRenderedPageBreak/>
        <w:t>nota,</w:t>
      </w:r>
      <w:r w:rsidRPr="003B0DBA">
        <w:rPr>
          <w:spacing w:val="-13"/>
          <w:sz w:val="20"/>
        </w:rPr>
        <w:t xml:space="preserve"> </w:t>
      </w:r>
      <w:r w:rsidRPr="003B0DBA">
        <w:rPr>
          <w:sz w:val="20"/>
        </w:rPr>
        <w:t>con</w:t>
      </w:r>
      <w:r w:rsidRPr="003B0DBA">
        <w:rPr>
          <w:spacing w:val="-12"/>
          <w:sz w:val="20"/>
        </w:rPr>
        <w:t xml:space="preserve"> </w:t>
      </w:r>
      <w:r w:rsidRPr="003B0DBA">
        <w:rPr>
          <w:sz w:val="20"/>
        </w:rPr>
        <w:t>preocupación,</w:t>
      </w:r>
      <w:r w:rsidRPr="003B0DBA">
        <w:rPr>
          <w:spacing w:val="-13"/>
          <w:sz w:val="20"/>
        </w:rPr>
        <w:t xml:space="preserve"> </w:t>
      </w:r>
      <w:r w:rsidRPr="003B0DBA">
        <w:rPr>
          <w:sz w:val="20"/>
        </w:rPr>
        <w:t>que</w:t>
      </w:r>
      <w:r w:rsidRPr="003B0DBA">
        <w:rPr>
          <w:spacing w:val="-14"/>
          <w:sz w:val="20"/>
        </w:rPr>
        <w:t xml:space="preserve"> </w:t>
      </w:r>
      <w:r w:rsidRPr="003B0DBA">
        <w:rPr>
          <w:sz w:val="20"/>
        </w:rPr>
        <w:t>entre</w:t>
      </w:r>
      <w:r w:rsidRPr="003B0DBA">
        <w:rPr>
          <w:spacing w:val="-14"/>
          <w:sz w:val="20"/>
        </w:rPr>
        <w:t xml:space="preserve"> </w:t>
      </w:r>
      <w:r w:rsidRPr="003B0DBA">
        <w:rPr>
          <w:sz w:val="20"/>
        </w:rPr>
        <w:t>la</w:t>
      </w:r>
      <w:r w:rsidRPr="003B0DBA">
        <w:rPr>
          <w:spacing w:val="-13"/>
          <w:sz w:val="20"/>
        </w:rPr>
        <w:t xml:space="preserve"> </w:t>
      </w:r>
      <w:r w:rsidRPr="003B0DBA">
        <w:rPr>
          <w:sz w:val="20"/>
        </w:rPr>
        <w:t>presentación</w:t>
      </w:r>
      <w:r w:rsidRPr="003B0DBA">
        <w:rPr>
          <w:spacing w:val="-12"/>
          <w:sz w:val="20"/>
        </w:rPr>
        <w:t xml:space="preserve"> </w:t>
      </w:r>
      <w:r w:rsidRPr="003B0DBA">
        <w:rPr>
          <w:sz w:val="20"/>
        </w:rPr>
        <w:t>de</w:t>
      </w:r>
      <w:r w:rsidRPr="003B0DBA">
        <w:rPr>
          <w:spacing w:val="-14"/>
          <w:sz w:val="20"/>
        </w:rPr>
        <w:t xml:space="preserve"> </w:t>
      </w:r>
      <w:r w:rsidRPr="003B0DBA">
        <w:rPr>
          <w:sz w:val="20"/>
        </w:rPr>
        <w:t>la</w:t>
      </w:r>
      <w:r w:rsidRPr="003B0DBA">
        <w:rPr>
          <w:spacing w:val="-15"/>
          <w:sz w:val="20"/>
        </w:rPr>
        <w:t xml:space="preserve"> </w:t>
      </w:r>
      <w:r w:rsidRPr="003B0DBA">
        <w:rPr>
          <w:sz w:val="20"/>
        </w:rPr>
        <w:t>petición</w:t>
      </w:r>
      <w:r w:rsidRPr="003B0DBA">
        <w:rPr>
          <w:spacing w:val="-12"/>
          <w:sz w:val="20"/>
        </w:rPr>
        <w:t xml:space="preserve"> </w:t>
      </w:r>
      <w:r w:rsidRPr="003B0DBA">
        <w:rPr>
          <w:sz w:val="20"/>
        </w:rPr>
        <w:t>inicial ante</w:t>
      </w:r>
      <w:r w:rsidRPr="003B0DBA">
        <w:rPr>
          <w:spacing w:val="-16"/>
          <w:sz w:val="20"/>
        </w:rPr>
        <w:t xml:space="preserve"> </w:t>
      </w:r>
      <w:r w:rsidRPr="003B0DBA">
        <w:rPr>
          <w:sz w:val="20"/>
        </w:rPr>
        <w:t>la</w:t>
      </w:r>
      <w:r w:rsidRPr="003B0DBA">
        <w:rPr>
          <w:spacing w:val="-15"/>
          <w:sz w:val="20"/>
        </w:rPr>
        <w:t xml:space="preserve"> </w:t>
      </w:r>
      <w:r w:rsidRPr="003B0DBA">
        <w:rPr>
          <w:sz w:val="20"/>
        </w:rPr>
        <w:t>Comisión</w:t>
      </w:r>
      <w:r w:rsidRPr="003B0DBA">
        <w:rPr>
          <w:spacing w:val="-14"/>
          <w:sz w:val="20"/>
        </w:rPr>
        <w:t xml:space="preserve"> </w:t>
      </w:r>
      <w:r w:rsidRPr="003B0DBA">
        <w:rPr>
          <w:sz w:val="20"/>
        </w:rPr>
        <w:t>y</w:t>
      </w:r>
      <w:r w:rsidRPr="003B0DBA">
        <w:rPr>
          <w:spacing w:val="-13"/>
          <w:sz w:val="20"/>
        </w:rPr>
        <w:t xml:space="preserve"> </w:t>
      </w:r>
      <w:r w:rsidRPr="003B0DBA">
        <w:rPr>
          <w:sz w:val="20"/>
        </w:rPr>
        <w:t>el</w:t>
      </w:r>
      <w:r w:rsidRPr="003B0DBA">
        <w:rPr>
          <w:spacing w:val="-12"/>
          <w:sz w:val="20"/>
        </w:rPr>
        <w:t xml:space="preserve"> </w:t>
      </w:r>
      <w:r w:rsidRPr="003B0DBA">
        <w:rPr>
          <w:sz w:val="20"/>
        </w:rPr>
        <w:t>sometimiento</w:t>
      </w:r>
      <w:r w:rsidRPr="003B0DBA">
        <w:rPr>
          <w:spacing w:val="-16"/>
          <w:sz w:val="20"/>
        </w:rPr>
        <w:t xml:space="preserve"> </w:t>
      </w:r>
      <w:r w:rsidRPr="003B0DBA">
        <w:rPr>
          <w:sz w:val="20"/>
        </w:rPr>
        <w:t>del</w:t>
      </w:r>
      <w:r w:rsidRPr="003B0DBA">
        <w:rPr>
          <w:spacing w:val="-15"/>
          <w:sz w:val="20"/>
        </w:rPr>
        <w:t xml:space="preserve"> </w:t>
      </w:r>
      <w:r w:rsidRPr="003B0DBA">
        <w:rPr>
          <w:sz w:val="20"/>
        </w:rPr>
        <w:t>caso</w:t>
      </w:r>
      <w:r w:rsidRPr="003B0DBA">
        <w:rPr>
          <w:spacing w:val="-13"/>
          <w:sz w:val="20"/>
        </w:rPr>
        <w:t xml:space="preserve"> </w:t>
      </w:r>
      <w:r w:rsidRPr="003B0DBA">
        <w:rPr>
          <w:sz w:val="20"/>
        </w:rPr>
        <w:t>ante</w:t>
      </w:r>
      <w:r w:rsidRPr="003B0DBA">
        <w:rPr>
          <w:spacing w:val="-16"/>
          <w:sz w:val="20"/>
        </w:rPr>
        <w:t xml:space="preserve"> </w:t>
      </w:r>
      <w:r w:rsidRPr="003B0DBA">
        <w:rPr>
          <w:sz w:val="20"/>
        </w:rPr>
        <w:t>la</w:t>
      </w:r>
      <w:r w:rsidRPr="003B0DBA">
        <w:rPr>
          <w:spacing w:val="-15"/>
          <w:sz w:val="20"/>
        </w:rPr>
        <w:t xml:space="preserve"> </w:t>
      </w:r>
      <w:r w:rsidRPr="003B0DBA">
        <w:rPr>
          <w:sz w:val="20"/>
        </w:rPr>
        <w:t>Corte</w:t>
      </w:r>
      <w:r w:rsidRPr="003B0DBA">
        <w:rPr>
          <w:spacing w:val="-16"/>
          <w:sz w:val="20"/>
        </w:rPr>
        <w:t xml:space="preserve"> </w:t>
      </w:r>
      <w:r>
        <w:rPr>
          <w:sz w:val="20"/>
        </w:rPr>
        <w:t>transcurrió un tiempo superior a los</w:t>
      </w:r>
      <w:r>
        <w:rPr>
          <w:spacing w:val="-14"/>
          <w:sz w:val="20"/>
        </w:rPr>
        <w:t xml:space="preserve"> </w:t>
      </w:r>
      <w:r w:rsidRPr="003B0DBA">
        <w:rPr>
          <w:sz w:val="20"/>
        </w:rPr>
        <w:t>1</w:t>
      </w:r>
      <w:r>
        <w:rPr>
          <w:sz w:val="20"/>
        </w:rPr>
        <w:t xml:space="preserve">1 </w:t>
      </w:r>
      <w:r w:rsidRPr="003B0DBA">
        <w:rPr>
          <w:sz w:val="20"/>
        </w:rPr>
        <w:t>años.</w:t>
      </w:r>
    </w:p>
    <w:p w14:paraId="618AEFDB" w14:textId="77777777" w:rsidR="000C7C2E" w:rsidRPr="003B0DBA" w:rsidRDefault="000C7C2E" w:rsidP="00AA2F59">
      <w:pPr>
        <w:pStyle w:val="Textoindependiente"/>
      </w:pPr>
    </w:p>
    <w:p w14:paraId="2A20A06B" w14:textId="577140DA" w:rsidR="000C7C2E" w:rsidRPr="003B0DBA" w:rsidRDefault="000C7C2E" w:rsidP="00AA2F59">
      <w:pPr>
        <w:pStyle w:val="Prrafodelista"/>
        <w:numPr>
          <w:ilvl w:val="0"/>
          <w:numId w:val="1"/>
        </w:numPr>
        <w:tabs>
          <w:tab w:val="left" w:pos="965"/>
        </w:tabs>
        <w:ind w:left="0" w:firstLine="0"/>
        <w:rPr>
          <w:sz w:val="20"/>
        </w:rPr>
      </w:pPr>
      <w:bookmarkStart w:id="7" w:name="_bookmark2"/>
      <w:bookmarkStart w:id="8" w:name="_bookmark3"/>
      <w:bookmarkEnd w:id="7"/>
      <w:bookmarkEnd w:id="8"/>
      <w:r w:rsidRPr="003B0DBA">
        <w:rPr>
          <w:i/>
          <w:sz w:val="20"/>
        </w:rPr>
        <w:t>Solicitudes</w:t>
      </w:r>
      <w:r w:rsidRPr="003B0DBA">
        <w:rPr>
          <w:i/>
          <w:spacing w:val="-12"/>
          <w:sz w:val="20"/>
        </w:rPr>
        <w:t xml:space="preserve"> </w:t>
      </w:r>
      <w:r w:rsidRPr="003B0DBA">
        <w:rPr>
          <w:i/>
          <w:sz w:val="20"/>
        </w:rPr>
        <w:t>de</w:t>
      </w:r>
      <w:r w:rsidRPr="003B0DBA">
        <w:rPr>
          <w:i/>
          <w:spacing w:val="-11"/>
          <w:sz w:val="20"/>
        </w:rPr>
        <w:t xml:space="preserve"> </w:t>
      </w:r>
      <w:r w:rsidRPr="003B0DBA">
        <w:rPr>
          <w:i/>
          <w:sz w:val="20"/>
        </w:rPr>
        <w:t>la</w:t>
      </w:r>
      <w:r w:rsidRPr="003B0DBA">
        <w:rPr>
          <w:i/>
          <w:spacing w:val="-10"/>
          <w:sz w:val="20"/>
        </w:rPr>
        <w:t xml:space="preserve"> </w:t>
      </w:r>
      <w:r w:rsidRPr="003B0DBA">
        <w:rPr>
          <w:i/>
          <w:sz w:val="20"/>
        </w:rPr>
        <w:t>Comisión.</w:t>
      </w:r>
      <w:r w:rsidRPr="003B0DBA">
        <w:rPr>
          <w:i/>
          <w:spacing w:val="-10"/>
          <w:sz w:val="20"/>
        </w:rPr>
        <w:t xml:space="preserve"> </w:t>
      </w:r>
      <w:r w:rsidRPr="003B0DBA">
        <w:rPr>
          <w:sz w:val="20"/>
        </w:rPr>
        <w:t>–</w:t>
      </w:r>
      <w:r w:rsidRPr="003B0DBA">
        <w:rPr>
          <w:spacing w:val="-10"/>
          <w:sz w:val="20"/>
        </w:rPr>
        <w:t xml:space="preserve"> </w:t>
      </w:r>
      <w:r>
        <w:rPr>
          <w:sz w:val="20"/>
        </w:rPr>
        <w:t>L</w:t>
      </w:r>
      <w:r w:rsidRPr="003B0DBA">
        <w:rPr>
          <w:sz w:val="20"/>
        </w:rPr>
        <w:t>a</w:t>
      </w:r>
      <w:r w:rsidRPr="003B0DBA">
        <w:rPr>
          <w:spacing w:val="-10"/>
          <w:sz w:val="20"/>
        </w:rPr>
        <w:t xml:space="preserve"> </w:t>
      </w:r>
      <w:r w:rsidRPr="003B0DBA">
        <w:rPr>
          <w:sz w:val="20"/>
        </w:rPr>
        <w:t>Comisión</w:t>
      </w:r>
      <w:r w:rsidRPr="003B0DBA">
        <w:rPr>
          <w:spacing w:val="-10"/>
          <w:sz w:val="20"/>
        </w:rPr>
        <w:t xml:space="preserve"> </w:t>
      </w:r>
      <w:r w:rsidRPr="003B0DBA">
        <w:rPr>
          <w:sz w:val="20"/>
        </w:rPr>
        <w:t>solicitó</w:t>
      </w:r>
      <w:r w:rsidRPr="003B0DBA">
        <w:rPr>
          <w:spacing w:val="-11"/>
          <w:sz w:val="20"/>
        </w:rPr>
        <w:t xml:space="preserve"> </w:t>
      </w:r>
      <w:r w:rsidRPr="003B0DBA">
        <w:rPr>
          <w:sz w:val="20"/>
        </w:rPr>
        <w:t>a</w:t>
      </w:r>
      <w:r w:rsidRPr="003B0DBA">
        <w:rPr>
          <w:spacing w:val="-10"/>
          <w:sz w:val="20"/>
        </w:rPr>
        <w:t xml:space="preserve"> </w:t>
      </w:r>
      <w:r w:rsidRPr="003B0DBA">
        <w:rPr>
          <w:sz w:val="20"/>
        </w:rPr>
        <w:t>este</w:t>
      </w:r>
      <w:r w:rsidRPr="003B0DBA">
        <w:rPr>
          <w:spacing w:val="-11"/>
          <w:sz w:val="20"/>
        </w:rPr>
        <w:t xml:space="preserve"> </w:t>
      </w:r>
      <w:r w:rsidRPr="003B0DBA">
        <w:rPr>
          <w:sz w:val="20"/>
        </w:rPr>
        <w:t>Tribunal que concluyera y declarara la responsabilidad internacional de</w:t>
      </w:r>
      <w:r>
        <w:rPr>
          <w:sz w:val="20"/>
        </w:rPr>
        <w:t xml:space="preserve"> Venezuela</w:t>
      </w:r>
      <w:r w:rsidRPr="003B0DBA">
        <w:rPr>
          <w:sz w:val="20"/>
        </w:rPr>
        <w:t xml:space="preserve"> por las violaciones contenidas en el Informe No. 16</w:t>
      </w:r>
      <w:r>
        <w:rPr>
          <w:sz w:val="20"/>
        </w:rPr>
        <w:t>0</w:t>
      </w:r>
      <w:r w:rsidRPr="003B0DBA">
        <w:rPr>
          <w:sz w:val="20"/>
        </w:rPr>
        <w:t xml:space="preserve">/18 </w:t>
      </w:r>
      <w:r>
        <w:rPr>
          <w:sz w:val="20"/>
        </w:rPr>
        <w:t>(</w:t>
      </w:r>
      <w:r>
        <w:rPr>
          <w:i/>
          <w:sz w:val="20"/>
        </w:rPr>
        <w:t xml:space="preserve">supra </w:t>
      </w:r>
      <w:r w:rsidRPr="004A5A40">
        <w:rPr>
          <w:sz w:val="20"/>
        </w:rPr>
        <w:t>nota a pie de página 2)</w:t>
      </w:r>
      <w:r>
        <w:rPr>
          <w:sz w:val="20"/>
        </w:rPr>
        <w:t xml:space="preserve"> </w:t>
      </w:r>
      <w:r w:rsidRPr="003B0DBA">
        <w:rPr>
          <w:sz w:val="20"/>
        </w:rPr>
        <w:t xml:space="preserve">y </w:t>
      </w:r>
      <w:r w:rsidR="00AA2F59">
        <w:rPr>
          <w:sz w:val="20"/>
        </w:rPr>
        <w:t>que</w:t>
      </w:r>
      <w:r w:rsidRPr="003B0DBA">
        <w:rPr>
          <w:sz w:val="20"/>
        </w:rPr>
        <w:t xml:space="preserve"> ordenara al Estado, como medidas de reparación, las incluidas en dicho</w:t>
      </w:r>
      <w:r w:rsidRPr="003B0DBA">
        <w:rPr>
          <w:spacing w:val="-5"/>
          <w:sz w:val="20"/>
        </w:rPr>
        <w:t xml:space="preserve"> </w:t>
      </w:r>
      <w:r w:rsidRPr="003B0DBA">
        <w:rPr>
          <w:sz w:val="20"/>
        </w:rPr>
        <w:t>informe</w:t>
      </w:r>
      <w:r>
        <w:rPr>
          <w:sz w:val="20"/>
        </w:rPr>
        <w:t xml:space="preserve"> (</w:t>
      </w:r>
      <w:r>
        <w:rPr>
          <w:i/>
          <w:sz w:val="20"/>
        </w:rPr>
        <w:t xml:space="preserve">infra </w:t>
      </w:r>
      <w:r>
        <w:rPr>
          <w:sz w:val="20"/>
        </w:rPr>
        <w:t>Capítulo VIII)</w:t>
      </w:r>
      <w:r w:rsidRPr="003B0DBA">
        <w:rPr>
          <w:sz w:val="20"/>
        </w:rPr>
        <w:t>.</w:t>
      </w:r>
    </w:p>
    <w:p w14:paraId="40B6E603" w14:textId="77777777" w:rsidR="000C7C2E" w:rsidRPr="003B0DBA" w:rsidRDefault="000C7C2E" w:rsidP="000C7C2E">
      <w:pPr>
        <w:pStyle w:val="Textoindependiente"/>
        <w:spacing w:before="11"/>
        <w:rPr>
          <w:sz w:val="19"/>
        </w:rPr>
      </w:pPr>
    </w:p>
    <w:p w14:paraId="43A2E352" w14:textId="77777777" w:rsidR="000C7C2E" w:rsidRDefault="000C7C2E" w:rsidP="000C7C2E">
      <w:pPr>
        <w:pStyle w:val="Ttulo1"/>
        <w:ind w:left="0"/>
      </w:pPr>
      <w:bookmarkStart w:id="9" w:name="II_PROCEDIMIENTO_ANTE_LA_CORTE"/>
      <w:bookmarkStart w:id="10" w:name="_bookmark4"/>
      <w:bookmarkStart w:id="11" w:name="_Toc73960329"/>
      <w:bookmarkEnd w:id="9"/>
      <w:bookmarkEnd w:id="10"/>
      <w:r w:rsidRPr="003B0DBA">
        <w:t>II</w:t>
      </w:r>
      <w:bookmarkEnd w:id="11"/>
    </w:p>
    <w:p w14:paraId="5AF79FA6" w14:textId="77777777" w:rsidR="000C7C2E" w:rsidRPr="003B0DBA" w:rsidRDefault="000C7C2E" w:rsidP="000C7C2E">
      <w:pPr>
        <w:pStyle w:val="Ttulo1"/>
        <w:ind w:left="0"/>
      </w:pPr>
      <w:bookmarkStart w:id="12" w:name="_Toc73960330"/>
      <w:r w:rsidRPr="003B0DBA">
        <w:t>PROCEDIMIENTO ANTE LA CORTE</w:t>
      </w:r>
      <w:bookmarkEnd w:id="12"/>
    </w:p>
    <w:p w14:paraId="68B47B7E" w14:textId="77777777" w:rsidR="000C7C2E" w:rsidRPr="003B0DBA" w:rsidRDefault="000C7C2E" w:rsidP="000C7C2E">
      <w:pPr>
        <w:pStyle w:val="Textoindependiente"/>
        <w:rPr>
          <w:b/>
        </w:rPr>
      </w:pPr>
    </w:p>
    <w:p w14:paraId="6EF288F5" w14:textId="62C14166" w:rsidR="000C7C2E" w:rsidRPr="003B0DBA" w:rsidRDefault="000C7C2E" w:rsidP="000C7C2E">
      <w:pPr>
        <w:pStyle w:val="Prrafodelista"/>
        <w:numPr>
          <w:ilvl w:val="0"/>
          <w:numId w:val="1"/>
        </w:numPr>
        <w:tabs>
          <w:tab w:val="left" w:pos="965"/>
        </w:tabs>
        <w:ind w:left="0" w:firstLine="0"/>
        <w:rPr>
          <w:sz w:val="20"/>
        </w:rPr>
      </w:pPr>
      <w:r>
        <w:rPr>
          <w:i/>
          <w:sz w:val="20"/>
        </w:rPr>
        <w:t>Notificación al Estado y a los representantes-</w:t>
      </w:r>
      <w:r w:rsidRPr="003B0DBA">
        <w:rPr>
          <w:i/>
          <w:sz w:val="20"/>
        </w:rPr>
        <w:t xml:space="preserve">. </w:t>
      </w:r>
      <w:r w:rsidRPr="003B0DBA">
        <w:rPr>
          <w:sz w:val="20"/>
        </w:rPr>
        <w:t>– El sometimiento del caso</w:t>
      </w:r>
      <w:r>
        <w:rPr>
          <w:sz w:val="20"/>
        </w:rPr>
        <w:t xml:space="preserve"> fue notificado a la representación de las presuntas víctimas (en adelante “los representantes”) y al Estado los días 22 y 31 de julio de 2019, respectivamente</w:t>
      </w:r>
      <w:r>
        <w:rPr>
          <w:rStyle w:val="Refdenotaalpie"/>
          <w:sz w:val="20"/>
        </w:rPr>
        <w:footnoteReference w:id="5"/>
      </w:r>
      <w:r>
        <w:rPr>
          <w:sz w:val="20"/>
        </w:rPr>
        <w:t>.</w:t>
      </w:r>
    </w:p>
    <w:p w14:paraId="697D0654" w14:textId="77777777" w:rsidR="000C7C2E" w:rsidRPr="003B0DBA" w:rsidRDefault="000C7C2E" w:rsidP="000C7C2E">
      <w:pPr>
        <w:pStyle w:val="Textoindependiente"/>
        <w:spacing w:before="1"/>
      </w:pPr>
    </w:p>
    <w:p w14:paraId="7C68B0EF" w14:textId="3DDBA97D" w:rsidR="000C7C2E" w:rsidRPr="003B0DBA" w:rsidRDefault="000C7C2E" w:rsidP="000C7C2E">
      <w:pPr>
        <w:pStyle w:val="Prrafodelista"/>
        <w:numPr>
          <w:ilvl w:val="0"/>
          <w:numId w:val="1"/>
        </w:numPr>
        <w:tabs>
          <w:tab w:val="left" w:pos="965"/>
        </w:tabs>
        <w:ind w:left="0" w:firstLine="0"/>
        <w:rPr>
          <w:sz w:val="20"/>
        </w:rPr>
      </w:pPr>
      <w:r w:rsidRPr="00327C8A">
        <w:rPr>
          <w:i/>
          <w:sz w:val="20"/>
        </w:rPr>
        <w:t xml:space="preserve">Escrito de solicitudes, argumentos y pruebas. </w:t>
      </w:r>
      <w:r w:rsidRPr="00327C8A">
        <w:rPr>
          <w:sz w:val="20"/>
        </w:rPr>
        <w:t>–</w:t>
      </w:r>
      <w:r w:rsidRPr="003B0DBA">
        <w:rPr>
          <w:sz w:val="20"/>
        </w:rPr>
        <w:t xml:space="preserve"> </w:t>
      </w:r>
      <w:r w:rsidRPr="005529EF">
        <w:rPr>
          <w:sz w:val="20"/>
        </w:rPr>
        <w:t>El 26</w:t>
      </w:r>
      <w:r w:rsidRPr="00847C35">
        <w:rPr>
          <w:sz w:val="20"/>
        </w:rPr>
        <w:t xml:space="preserve"> de septiembre de 2019 l</w:t>
      </w:r>
      <w:r w:rsidRPr="009F45F6">
        <w:rPr>
          <w:sz w:val="20"/>
        </w:rPr>
        <w:t xml:space="preserve">os </w:t>
      </w:r>
      <w:r w:rsidRPr="001F69B6">
        <w:rPr>
          <w:sz w:val="20"/>
        </w:rPr>
        <w:t>representantes</w:t>
      </w:r>
      <w:r w:rsidRPr="000A7C67">
        <w:rPr>
          <w:sz w:val="20"/>
        </w:rPr>
        <w:t xml:space="preserve"> presentaron</w:t>
      </w:r>
      <w:r w:rsidRPr="007531C1">
        <w:rPr>
          <w:sz w:val="20"/>
        </w:rPr>
        <w:t xml:space="preserve"> su escrito de solicitudes, argumentos y pruebas (en adelante “escrito de solicitudes y argumentos”), conforme a los artículos 25 y 40 del Reglamento. </w:t>
      </w:r>
      <w:r w:rsidRPr="009F7699">
        <w:rPr>
          <w:sz w:val="20"/>
        </w:rPr>
        <w:t>Coincidieron</w:t>
      </w:r>
      <w:r w:rsidRPr="00D32C13">
        <w:rPr>
          <w:sz w:val="20"/>
        </w:rPr>
        <w:t xml:space="preserve"> </w:t>
      </w:r>
      <w:r w:rsidRPr="005529EF">
        <w:rPr>
          <w:sz w:val="20"/>
        </w:rPr>
        <w:t>sustancialmente</w:t>
      </w:r>
      <w:r w:rsidRPr="00D32C13">
        <w:rPr>
          <w:sz w:val="20"/>
        </w:rPr>
        <w:t xml:space="preserve"> </w:t>
      </w:r>
      <w:r w:rsidRPr="005529EF">
        <w:rPr>
          <w:sz w:val="20"/>
        </w:rPr>
        <w:t>con</w:t>
      </w:r>
      <w:r w:rsidRPr="00D32C13">
        <w:rPr>
          <w:sz w:val="20"/>
        </w:rPr>
        <w:t xml:space="preserve"> </w:t>
      </w:r>
      <w:r w:rsidRPr="005529EF">
        <w:rPr>
          <w:sz w:val="20"/>
        </w:rPr>
        <w:t>los</w:t>
      </w:r>
      <w:r w:rsidRPr="00D32C13">
        <w:rPr>
          <w:sz w:val="20"/>
        </w:rPr>
        <w:t xml:space="preserve"> </w:t>
      </w:r>
      <w:r w:rsidRPr="005529EF">
        <w:rPr>
          <w:sz w:val="20"/>
        </w:rPr>
        <w:t>alegatos</w:t>
      </w:r>
      <w:r w:rsidRPr="00D32C13">
        <w:rPr>
          <w:sz w:val="20"/>
        </w:rPr>
        <w:t xml:space="preserve"> </w:t>
      </w:r>
      <w:r w:rsidRPr="005529EF">
        <w:rPr>
          <w:sz w:val="20"/>
        </w:rPr>
        <w:t>de</w:t>
      </w:r>
      <w:r w:rsidRPr="00D32C13">
        <w:rPr>
          <w:sz w:val="20"/>
        </w:rPr>
        <w:t xml:space="preserve"> </w:t>
      </w:r>
      <w:r w:rsidRPr="005529EF">
        <w:rPr>
          <w:sz w:val="20"/>
        </w:rPr>
        <w:t>la</w:t>
      </w:r>
      <w:r w:rsidRPr="00D32C13">
        <w:rPr>
          <w:sz w:val="20"/>
        </w:rPr>
        <w:t xml:space="preserve"> </w:t>
      </w:r>
      <w:r w:rsidRPr="005529EF">
        <w:rPr>
          <w:sz w:val="20"/>
        </w:rPr>
        <w:t>Comisión</w:t>
      </w:r>
      <w:r w:rsidRPr="00D32C13">
        <w:rPr>
          <w:sz w:val="20"/>
        </w:rPr>
        <w:t xml:space="preserve"> </w:t>
      </w:r>
      <w:r w:rsidRPr="005529EF">
        <w:rPr>
          <w:sz w:val="20"/>
        </w:rPr>
        <w:t>y,</w:t>
      </w:r>
      <w:r w:rsidRPr="00D32C13">
        <w:rPr>
          <w:sz w:val="20"/>
        </w:rPr>
        <w:t xml:space="preserve"> </w:t>
      </w:r>
      <w:r w:rsidRPr="005529EF">
        <w:rPr>
          <w:sz w:val="20"/>
        </w:rPr>
        <w:t>adicionalmente, señalaron</w:t>
      </w:r>
      <w:r w:rsidRPr="00D32C13">
        <w:rPr>
          <w:sz w:val="20"/>
        </w:rPr>
        <w:t xml:space="preserve"> </w:t>
      </w:r>
      <w:r w:rsidRPr="005529EF">
        <w:rPr>
          <w:sz w:val="20"/>
        </w:rPr>
        <w:t>que</w:t>
      </w:r>
      <w:r w:rsidRPr="00D32C13">
        <w:rPr>
          <w:sz w:val="20"/>
        </w:rPr>
        <w:t xml:space="preserve"> </w:t>
      </w:r>
      <w:r w:rsidRPr="005529EF">
        <w:rPr>
          <w:sz w:val="20"/>
        </w:rPr>
        <w:t>el</w:t>
      </w:r>
      <w:r w:rsidRPr="00D32C13">
        <w:rPr>
          <w:sz w:val="20"/>
        </w:rPr>
        <w:t xml:space="preserve"> </w:t>
      </w:r>
      <w:r w:rsidRPr="005529EF">
        <w:rPr>
          <w:sz w:val="20"/>
        </w:rPr>
        <w:t>Estado</w:t>
      </w:r>
      <w:r w:rsidRPr="00D32C13">
        <w:rPr>
          <w:sz w:val="20"/>
        </w:rPr>
        <w:t xml:space="preserve"> </w:t>
      </w:r>
      <w:r w:rsidR="00847C35">
        <w:rPr>
          <w:sz w:val="20"/>
        </w:rPr>
        <w:t xml:space="preserve">habría </w:t>
      </w:r>
      <w:r w:rsidRPr="00D32C13">
        <w:rPr>
          <w:sz w:val="20"/>
        </w:rPr>
        <w:t>cometi</w:t>
      </w:r>
      <w:r w:rsidR="00847C35">
        <w:rPr>
          <w:sz w:val="20"/>
        </w:rPr>
        <w:t>do</w:t>
      </w:r>
      <w:r w:rsidRPr="00D32C13">
        <w:rPr>
          <w:sz w:val="20"/>
        </w:rPr>
        <w:t xml:space="preserve"> actos de tortura y </w:t>
      </w:r>
      <w:r w:rsidRPr="005529EF">
        <w:rPr>
          <w:sz w:val="20"/>
        </w:rPr>
        <w:t>viol</w:t>
      </w:r>
      <w:r w:rsidR="00847C35">
        <w:rPr>
          <w:sz w:val="20"/>
        </w:rPr>
        <w:t>ado</w:t>
      </w:r>
      <w:r w:rsidRPr="00D32C13">
        <w:rPr>
          <w:sz w:val="20"/>
        </w:rPr>
        <w:t xml:space="preserve"> diversos aspectos del derecho a la libertad personal en perjuicio de Jimmy Guerrero. Además, expresaron que todas las violaciones a derechos humanos se cometieron transgrediendo la prohibición de discriminación que surge del artículo 1.1 de la Convención. S</w:t>
      </w:r>
      <w:r w:rsidRPr="005529EF">
        <w:rPr>
          <w:sz w:val="20"/>
        </w:rPr>
        <w:t>olicitaron</w:t>
      </w:r>
      <w:r w:rsidRPr="00D32C13">
        <w:rPr>
          <w:sz w:val="20"/>
        </w:rPr>
        <w:t xml:space="preserve"> </w:t>
      </w:r>
      <w:r w:rsidRPr="005529EF">
        <w:rPr>
          <w:sz w:val="20"/>
        </w:rPr>
        <w:t>que</w:t>
      </w:r>
      <w:r w:rsidRPr="00D32C13">
        <w:rPr>
          <w:sz w:val="20"/>
        </w:rPr>
        <w:t xml:space="preserve"> </w:t>
      </w:r>
      <w:r w:rsidRPr="005529EF">
        <w:rPr>
          <w:sz w:val="20"/>
        </w:rPr>
        <w:t>se</w:t>
      </w:r>
      <w:r w:rsidRPr="00D32C13">
        <w:rPr>
          <w:sz w:val="20"/>
        </w:rPr>
        <w:t xml:space="preserve"> </w:t>
      </w:r>
      <w:r w:rsidRPr="005529EF">
        <w:rPr>
          <w:sz w:val="20"/>
        </w:rPr>
        <w:t>ordenara</w:t>
      </w:r>
      <w:r w:rsidRPr="00D32C13">
        <w:rPr>
          <w:sz w:val="20"/>
        </w:rPr>
        <w:t xml:space="preserve"> </w:t>
      </w:r>
      <w:r w:rsidRPr="005529EF">
        <w:rPr>
          <w:sz w:val="20"/>
        </w:rPr>
        <w:t>a</w:t>
      </w:r>
      <w:r w:rsidRPr="00D32C13">
        <w:rPr>
          <w:sz w:val="20"/>
        </w:rPr>
        <w:t xml:space="preserve"> Venezuela</w:t>
      </w:r>
      <w:r w:rsidRPr="005529EF">
        <w:rPr>
          <w:sz w:val="20"/>
        </w:rPr>
        <w:t xml:space="preserve"> adoptar</w:t>
      </w:r>
      <w:r w:rsidRPr="00D32C13">
        <w:rPr>
          <w:sz w:val="20"/>
        </w:rPr>
        <w:t xml:space="preserve"> </w:t>
      </w:r>
      <w:r w:rsidRPr="005529EF">
        <w:rPr>
          <w:sz w:val="20"/>
        </w:rPr>
        <w:t>diversas</w:t>
      </w:r>
      <w:r w:rsidRPr="00D32C13">
        <w:rPr>
          <w:sz w:val="20"/>
        </w:rPr>
        <w:t xml:space="preserve"> </w:t>
      </w:r>
      <w:r w:rsidRPr="005529EF">
        <w:rPr>
          <w:sz w:val="20"/>
        </w:rPr>
        <w:t>medidas</w:t>
      </w:r>
      <w:r w:rsidRPr="00D32C13">
        <w:rPr>
          <w:sz w:val="20"/>
        </w:rPr>
        <w:t xml:space="preserve"> </w:t>
      </w:r>
      <w:r w:rsidRPr="005529EF">
        <w:rPr>
          <w:sz w:val="20"/>
        </w:rPr>
        <w:t>de</w:t>
      </w:r>
      <w:r w:rsidRPr="00D32C13">
        <w:rPr>
          <w:sz w:val="20"/>
        </w:rPr>
        <w:t xml:space="preserve"> </w:t>
      </w:r>
      <w:r w:rsidRPr="005529EF">
        <w:rPr>
          <w:sz w:val="20"/>
        </w:rPr>
        <w:t>reparación</w:t>
      </w:r>
      <w:r w:rsidRPr="00D32C13">
        <w:rPr>
          <w:sz w:val="20"/>
        </w:rPr>
        <w:t xml:space="preserve"> </w:t>
      </w:r>
      <w:r w:rsidRPr="005529EF">
        <w:rPr>
          <w:sz w:val="20"/>
        </w:rPr>
        <w:t>y</w:t>
      </w:r>
      <w:r w:rsidRPr="00D32C13">
        <w:rPr>
          <w:sz w:val="20"/>
        </w:rPr>
        <w:t xml:space="preserve"> </w:t>
      </w:r>
      <w:r w:rsidRPr="005529EF">
        <w:rPr>
          <w:sz w:val="20"/>
        </w:rPr>
        <w:t>el</w:t>
      </w:r>
      <w:r w:rsidRPr="00D32C13">
        <w:rPr>
          <w:sz w:val="20"/>
        </w:rPr>
        <w:t xml:space="preserve"> </w:t>
      </w:r>
      <w:r w:rsidRPr="005529EF">
        <w:rPr>
          <w:sz w:val="20"/>
        </w:rPr>
        <w:t>reintegro</w:t>
      </w:r>
      <w:r w:rsidRPr="00D32C13">
        <w:rPr>
          <w:sz w:val="20"/>
        </w:rPr>
        <w:t xml:space="preserve"> </w:t>
      </w:r>
      <w:r w:rsidRPr="005529EF">
        <w:rPr>
          <w:sz w:val="20"/>
        </w:rPr>
        <w:t>de</w:t>
      </w:r>
      <w:r w:rsidRPr="00D32C13">
        <w:rPr>
          <w:sz w:val="20"/>
        </w:rPr>
        <w:t xml:space="preserve"> </w:t>
      </w:r>
      <w:r w:rsidRPr="005529EF">
        <w:rPr>
          <w:sz w:val="20"/>
        </w:rPr>
        <w:t>costas</w:t>
      </w:r>
      <w:r w:rsidRPr="00D32C13">
        <w:rPr>
          <w:sz w:val="20"/>
        </w:rPr>
        <w:t xml:space="preserve"> </w:t>
      </w:r>
      <w:r w:rsidRPr="005529EF">
        <w:rPr>
          <w:sz w:val="20"/>
        </w:rPr>
        <w:t>y</w:t>
      </w:r>
      <w:r w:rsidRPr="00D32C13">
        <w:rPr>
          <w:sz w:val="20"/>
        </w:rPr>
        <w:t xml:space="preserve"> </w:t>
      </w:r>
      <w:r w:rsidRPr="005529EF">
        <w:rPr>
          <w:sz w:val="20"/>
        </w:rPr>
        <w:t>gastos.</w:t>
      </w:r>
      <w:r>
        <w:rPr>
          <w:sz w:val="20"/>
        </w:rPr>
        <w:t xml:space="preserve"> </w:t>
      </w:r>
    </w:p>
    <w:p w14:paraId="5758BAA8" w14:textId="77777777" w:rsidR="000C7C2E" w:rsidRPr="003B0DBA" w:rsidRDefault="000C7C2E" w:rsidP="000C7C2E">
      <w:pPr>
        <w:pStyle w:val="Textoindependiente"/>
        <w:spacing w:before="11"/>
        <w:rPr>
          <w:sz w:val="19"/>
        </w:rPr>
      </w:pPr>
    </w:p>
    <w:p w14:paraId="01FDA65D" w14:textId="5A5FC101" w:rsidR="000C7C2E" w:rsidRPr="00F067C6" w:rsidRDefault="000C7C2E" w:rsidP="000C7C2E">
      <w:pPr>
        <w:pStyle w:val="Prrafodelista"/>
        <w:numPr>
          <w:ilvl w:val="0"/>
          <w:numId w:val="1"/>
        </w:numPr>
        <w:tabs>
          <w:tab w:val="left" w:pos="965"/>
        </w:tabs>
        <w:ind w:left="0" w:firstLine="0"/>
        <w:rPr>
          <w:sz w:val="20"/>
        </w:rPr>
      </w:pPr>
      <w:r w:rsidRPr="003B0DBA">
        <w:rPr>
          <w:i/>
          <w:sz w:val="20"/>
        </w:rPr>
        <w:t xml:space="preserve">Escrito de contestación. </w:t>
      </w:r>
      <w:r>
        <w:rPr>
          <w:sz w:val="20"/>
        </w:rPr>
        <w:t>– El 9</w:t>
      </w:r>
      <w:r w:rsidRPr="003B0DBA">
        <w:rPr>
          <w:sz w:val="20"/>
        </w:rPr>
        <w:t xml:space="preserve"> de </w:t>
      </w:r>
      <w:r>
        <w:rPr>
          <w:sz w:val="20"/>
        </w:rPr>
        <w:t>marzo</w:t>
      </w:r>
      <w:r w:rsidRPr="003B0DBA">
        <w:rPr>
          <w:sz w:val="20"/>
        </w:rPr>
        <w:t xml:space="preserve"> de 2020 el Estado presentó su escrito de contestación al sometimiento del caso e Informe de Fondo y al escrito de solicitudes y argumentos (en adelante “escrito</w:t>
      </w:r>
      <w:r w:rsidRPr="003B0DBA">
        <w:rPr>
          <w:spacing w:val="-7"/>
          <w:sz w:val="20"/>
        </w:rPr>
        <w:t xml:space="preserve"> </w:t>
      </w:r>
      <w:r w:rsidRPr="003B0DBA">
        <w:rPr>
          <w:sz w:val="20"/>
        </w:rPr>
        <w:t>de</w:t>
      </w:r>
      <w:r w:rsidRPr="003B0DBA">
        <w:rPr>
          <w:spacing w:val="-6"/>
          <w:sz w:val="20"/>
        </w:rPr>
        <w:t xml:space="preserve"> </w:t>
      </w:r>
      <w:r w:rsidRPr="003B0DBA">
        <w:rPr>
          <w:sz w:val="20"/>
        </w:rPr>
        <w:t>contestación”)</w:t>
      </w:r>
      <w:r>
        <w:rPr>
          <w:rStyle w:val="Refdenotaalpie"/>
          <w:sz w:val="20"/>
        </w:rPr>
        <w:footnoteReference w:id="6"/>
      </w:r>
      <w:r w:rsidRPr="003B0DBA">
        <w:rPr>
          <w:sz w:val="20"/>
        </w:rPr>
        <w:t>.</w:t>
      </w:r>
      <w:r w:rsidRPr="003B0DBA">
        <w:rPr>
          <w:spacing w:val="-6"/>
          <w:sz w:val="20"/>
        </w:rPr>
        <w:t xml:space="preserve"> </w:t>
      </w:r>
      <w:r>
        <w:rPr>
          <w:spacing w:val="-6"/>
          <w:sz w:val="20"/>
        </w:rPr>
        <w:t>R</w:t>
      </w:r>
      <w:r w:rsidRPr="00F067C6">
        <w:rPr>
          <w:sz w:val="20"/>
          <w:szCs w:val="20"/>
        </w:rPr>
        <w:t>econoció su responsabilidad internacional, en los términos que se indican más adelante (</w:t>
      </w:r>
      <w:r w:rsidRPr="00F067C6">
        <w:rPr>
          <w:i/>
          <w:sz w:val="20"/>
          <w:szCs w:val="20"/>
        </w:rPr>
        <w:t>infra</w:t>
      </w:r>
      <w:r>
        <w:rPr>
          <w:sz w:val="20"/>
          <w:szCs w:val="20"/>
        </w:rPr>
        <w:t xml:space="preserve"> Capítulo IV</w:t>
      </w:r>
      <w:r w:rsidRPr="00F067C6">
        <w:rPr>
          <w:sz w:val="20"/>
          <w:szCs w:val="20"/>
        </w:rPr>
        <w:t>).</w:t>
      </w:r>
    </w:p>
    <w:p w14:paraId="7AE3DD67" w14:textId="77777777" w:rsidR="000C7C2E" w:rsidRPr="003B0DBA" w:rsidRDefault="000C7C2E" w:rsidP="000C7C2E">
      <w:pPr>
        <w:pStyle w:val="Textoindependiente"/>
        <w:spacing w:before="1"/>
      </w:pPr>
    </w:p>
    <w:p w14:paraId="12B1AB4A" w14:textId="77777777" w:rsidR="000C7C2E" w:rsidRPr="00294E25" w:rsidRDefault="000C7C2E" w:rsidP="000C7C2E">
      <w:pPr>
        <w:pStyle w:val="Prrafodelista"/>
        <w:numPr>
          <w:ilvl w:val="0"/>
          <w:numId w:val="1"/>
        </w:numPr>
        <w:tabs>
          <w:tab w:val="left" w:pos="965"/>
        </w:tabs>
        <w:spacing w:before="1"/>
        <w:ind w:left="0" w:firstLine="0"/>
        <w:rPr>
          <w:sz w:val="20"/>
        </w:rPr>
      </w:pPr>
      <w:r w:rsidRPr="003B0DBA">
        <w:rPr>
          <w:i/>
          <w:sz w:val="20"/>
        </w:rPr>
        <w:t>Observaciones</w:t>
      </w:r>
      <w:r w:rsidRPr="003B0DBA">
        <w:rPr>
          <w:i/>
          <w:spacing w:val="-5"/>
          <w:sz w:val="20"/>
        </w:rPr>
        <w:t xml:space="preserve"> </w:t>
      </w:r>
      <w:r w:rsidRPr="003B0DBA">
        <w:rPr>
          <w:i/>
          <w:sz w:val="20"/>
        </w:rPr>
        <w:t>a</w:t>
      </w:r>
      <w:r>
        <w:rPr>
          <w:i/>
          <w:spacing w:val="-5"/>
          <w:sz w:val="20"/>
        </w:rPr>
        <w:t>l reconocimiento de responsabilidad</w:t>
      </w:r>
      <w:r w:rsidRPr="003B0DBA">
        <w:rPr>
          <w:i/>
          <w:sz w:val="20"/>
        </w:rPr>
        <w:t>.</w:t>
      </w:r>
      <w:r w:rsidRPr="003B0DBA">
        <w:rPr>
          <w:i/>
          <w:spacing w:val="-4"/>
          <w:sz w:val="20"/>
        </w:rPr>
        <w:t xml:space="preserve"> </w:t>
      </w:r>
      <w:r w:rsidRPr="003B0DBA">
        <w:rPr>
          <w:sz w:val="20"/>
        </w:rPr>
        <w:t>–</w:t>
      </w:r>
      <w:r w:rsidRPr="003B0DBA">
        <w:rPr>
          <w:spacing w:val="-4"/>
          <w:sz w:val="20"/>
        </w:rPr>
        <w:t xml:space="preserve"> </w:t>
      </w:r>
      <w:r w:rsidRPr="00294E25">
        <w:rPr>
          <w:sz w:val="20"/>
          <w:szCs w:val="20"/>
        </w:rPr>
        <w:t xml:space="preserve">El 22 de junio de 2020 la Comisión y los representantes remitieron sus observaciones al reconocimiento de responsabilidad, en los términos que se enuncian </w:t>
      </w:r>
      <w:r>
        <w:rPr>
          <w:sz w:val="20"/>
          <w:szCs w:val="20"/>
        </w:rPr>
        <w:t>más adelante (</w:t>
      </w:r>
      <w:r w:rsidRPr="00A826A3">
        <w:rPr>
          <w:i/>
          <w:sz w:val="20"/>
          <w:szCs w:val="20"/>
        </w:rPr>
        <w:t>infra</w:t>
      </w:r>
      <w:r>
        <w:rPr>
          <w:sz w:val="20"/>
          <w:szCs w:val="20"/>
        </w:rPr>
        <w:t xml:space="preserve"> Capítulo </w:t>
      </w:r>
      <w:r w:rsidRPr="003B2150">
        <w:rPr>
          <w:sz w:val="20"/>
          <w:szCs w:val="20"/>
        </w:rPr>
        <w:t>IV)</w:t>
      </w:r>
      <w:r>
        <w:rPr>
          <w:rStyle w:val="Refdenotaalpie"/>
          <w:sz w:val="20"/>
          <w:szCs w:val="20"/>
        </w:rPr>
        <w:footnoteReference w:id="7"/>
      </w:r>
      <w:r w:rsidRPr="00294E25">
        <w:rPr>
          <w:sz w:val="20"/>
          <w:szCs w:val="20"/>
        </w:rPr>
        <w:t>.</w:t>
      </w:r>
    </w:p>
    <w:p w14:paraId="4504EB75" w14:textId="77777777" w:rsidR="000C7C2E" w:rsidRPr="003B0DBA" w:rsidRDefault="000C7C2E" w:rsidP="000C7C2E">
      <w:pPr>
        <w:pStyle w:val="Textoindependiente"/>
        <w:spacing w:before="11"/>
        <w:rPr>
          <w:sz w:val="19"/>
        </w:rPr>
      </w:pPr>
    </w:p>
    <w:p w14:paraId="68C9BC78" w14:textId="1CEB02F3" w:rsidR="000C7C2E" w:rsidRPr="00A43D1A" w:rsidRDefault="000C7C2E" w:rsidP="000C7C2E">
      <w:pPr>
        <w:pStyle w:val="Prrafodelista"/>
        <w:numPr>
          <w:ilvl w:val="0"/>
          <w:numId w:val="1"/>
        </w:numPr>
        <w:tabs>
          <w:tab w:val="left" w:pos="966"/>
        </w:tabs>
        <w:ind w:left="0" w:firstLine="0"/>
        <w:rPr>
          <w:sz w:val="20"/>
        </w:rPr>
      </w:pPr>
      <w:r w:rsidRPr="003B0DBA">
        <w:rPr>
          <w:i/>
          <w:sz w:val="20"/>
        </w:rPr>
        <w:t>Procedimiento</w:t>
      </w:r>
      <w:r w:rsidRPr="003B0DBA">
        <w:rPr>
          <w:i/>
          <w:spacing w:val="-12"/>
          <w:sz w:val="20"/>
        </w:rPr>
        <w:t xml:space="preserve"> </w:t>
      </w:r>
      <w:r w:rsidRPr="003B0DBA">
        <w:rPr>
          <w:i/>
          <w:sz w:val="20"/>
        </w:rPr>
        <w:t>final</w:t>
      </w:r>
      <w:r w:rsidRPr="003B0DBA">
        <w:rPr>
          <w:i/>
          <w:spacing w:val="-12"/>
          <w:sz w:val="20"/>
        </w:rPr>
        <w:t xml:space="preserve"> </w:t>
      </w:r>
      <w:r w:rsidRPr="003B0DBA">
        <w:rPr>
          <w:i/>
          <w:sz w:val="20"/>
        </w:rPr>
        <w:t>escrito</w:t>
      </w:r>
      <w:r>
        <w:rPr>
          <w:i/>
          <w:sz w:val="20"/>
        </w:rPr>
        <w:t xml:space="preserve"> y diligencia de prueba oral</w:t>
      </w:r>
      <w:r w:rsidRPr="003B0DBA">
        <w:rPr>
          <w:sz w:val="20"/>
        </w:rPr>
        <w:t>.</w:t>
      </w:r>
      <w:r w:rsidRPr="003B0DBA">
        <w:rPr>
          <w:spacing w:val="-13"/>
          <w:sz w:val="20"/>
        </w:rPr>
        <w:t xml:space="preserve"> </w:t>
      </w:r>
      <w:r w:rsidRPr="003B0DBA">
        <w:rPr>
          <w:sz w:val="20"/>
        </w:rPr>
        <w:t>–</w:t>
      </w:r>
      <w:r w:rsidRPr="003B0DBA">
        <w:rPr>
          <w:spacing w:val="-11"/>
          <w:sz w:val="20"/>
        </w:rPr>
        <w:t xml:space="preserve"> </w:t>
      </w:r>
      <w:r w:rsidRPr="00D32C13">
        <w:rPr>
          <w:sz w:val="20"/>
        </w:rPr>
        <w:t xml:space="preserve">Por medio de una Resolución de 13 </w:t>
      </w:r>
      <w:r w:rsidRPr="00A43D1A">
        <w:rPr>
          <w:sz w:val="20"/>
        </w:rPr>
        <w:t>de</w:t>
      </w:r>
      <w:r w:rsidRPr="00D32C13">
        <w:rPr>
          <w:sz w:val="20"/>
        </w:rPr>
        <w:t xml:space="preserve"> octubre </w:t>
      </w:r>
      <w:r w:rsidRPr="00A43D1A">
        <w:rPr>
          <w:sz w:val="20"/>
        </w:rPr>
        <w:t>de</w:t>
      </w:r>
      <w:r w:rsidRPr="00D32C13">
        <w:rPr>
          <w:sz w:val="20"/>
        </w:rPr>
        <w:t xml:space="preserve"> </w:t>
      </w:r>
      <w:r w:rsidRPr="00A43D1A">
        <w:rPr>
          <w:sz w:val="20"/>
        </w:rPr>
        <w:t>2020</w:t>
      </w:r>
      <w:r w:rsidR="00AA2F59" w:rsidRPr="00A43D1A">
        <w:rPr>
          <w:sz w:val="20"/>
        </w:rPr>
        <w:t>,</w:t>
      </w:r>
      <w:r w:rsidRPr="00D32C13">
        <w:rPr>
          <w:sz w:val="20"/>
        </w:rPr>
        <w:t xml:space="preserve"> </w:t>
      </w:r>
      <w:r w:rsidRPr="00A43D1A">
        <w:rPr>
          <w:sz w:val="20"/>
        </w:rPr>
        <w:t>la</w:t>
      </w:r>
      <w:r w:rsidRPr="00D32C13">
        <w:rPr>
          <w:sz w:val="20"/>
        </w:rPr>
        <w:t xml:space="preserve"> </w:t>
      </w:r>
      <w:proofErr w:type="gramStart"/>
      <w:r w:rsidRPr="00A43D1A">
        <w:rPr>
          <w:sz w:val="20"/>
        </w:rPr>
        <w:t>Presidenta</w:t>
      </w:r>
      <w:proofErr w:type="gramEnd"/>
      <w:r w:rsidRPr="00A43D1A">
        <w:rPr>
          <w:sz w:val="20"/>
        </w:rPr>
        <w:t xml:space="preserve"> de la Corte, en consulta con el Pleno del Tribunal, decidió que, por razones de economía procesal</w:t>
      </w:r>
      <w:r w:rsidRPr="00D32C13">
        <w:rPr>
          <w:sz w:val="20"/>
        </w:rPr>
        <w:t xml:space="preserve"> </w:t>
      </w:r>
      <w:r w:rsidRPr="00A43D1A">
        <w:rPr>
          <w:sz w:val="20"/>
        </w:rPr>
        <w:t>y</w:t>
      </w:r>
      <w:r w:rsidRPr="00D32C13">
        <w:rPr>
          <w:sz w:val="20"/>
        </w:rPr>
        <w:t xml:space="preserve"> </w:t>
      </w:r>
      <w:r w:rsidRPr="00A43D1A">
        <w:rPr>
          <w:sz w:val="20"/>
        </w:rPr>
        <w:t>en</w:t>
      </w:r>
      <w:r w:rsidRPr="00D32C13">
        <w:rPr>
          <w:sz w:val="20"/>
        </w:rPr>
        <w:t xml:space="preserve"> </w:t>
      </w:r>
      <w:r w:rsidRPr="00A43D1A">
        <w:rPr>
          <w:sz w:val="20"/>
        </w:rPr>
        <w:t>atención</w:t>
      </w:r>
      <w:r w:rsidRPr="00D32C13">
        <w:rPr>
          <w:sz w:val="20"/>
        </w:rPr>
        <w:t xml:space="preserve"> </w:t>
      </w:r>
      <w:r w:rsidRPr="00A43D1A">
        <w:rPr>
          <w:sz w:val="20"/>
        </w:rPr>
        <w:t>a</w:t>
      </w:r>
      <w:r w:rsidRPr="00D32C13">
        <w:rPr>
          <w:sz w:val="20"/>
        </w:rPr>
        <w:t xml:space="preserve"> </w:t>
      </w:r>
      <w:r w:rsidRPr="00A43D1A">
        <w:rPr>
          <w:sz w:val="20"/>
        </w:rPr>
        <w:t>la</w:t>
      </w:r>
      <w:r w:rsidRPr="00D32C13">
        <w:rPr>
          <w:sz w:val="20"/>
        </w:rPr>
        <w:t xml:space="preserve"> </w:t>
      </w:r>
      <w:r w:rsidRPr="00A43D1A">
        <w:rPr>
          <w:sz w:val="20"/>
        </w:rPr>
        <w:t>situación</w:t>
      </w:r>
      <w:r w:rsidRPr="00D32C13">
        <w:rPr>
          <w:sz w:val="20"/>
        </w:rPr>
        <w:t xml:space="preserve"> </w:t>
      </w:r>
      <w:r w:rsidRPr="00A43D1A">
        <w:rPr>
          <w:sz w:val="20"/>
        </w:rPr>
        <w:t>originada</w:t>
      </w:r>
      <w:r w:rsidRPr="00D32C13">
        <w:rPr>
          <w:sz w:val="20"/>
        </w:rPr>
        <w:t xml:space="preserve"> por </w:t>
      </w:r>
      <w:r w:rsidRPr="00A43D1A">
        <w:rPr>
          <w:sz w:val="20"/>
        </w:rPr>
        <w:t>la</w:t>
      </w:r>
      <w:r w:rsidRPr="00D32C13">
        <w:rPr>
          <w:sz w:val="20"/>
        </w:rPr>
        <w:t xml:space="preserve"> </w:t>
      </w:r>
      <w:r w:rsidRPr="00A43D1A">
        <w:rPr>
          <w:sz w:val="20"/>
        </w:rPr>
        <w:t>pandemia</w:t>
      </w:r>
      <w:r w:rsidRPr="00D32C13">
        <w:rPr>
          <w:sz w:val="20"/>
        </w:rPr>
        <w:t xml:space="preserve"> </w:t>
      </w:r>
      <w:r w:rsidRPr="00A43D1A">
        <w:rPr>
          <w:sz w:val="20"/>
        </w:rPr>
        <w:t>de l</w:t>
      </w:r>
      <w:r w:rsidRPr="00C4030B">
        <w:rPr>
          <w:sz w:val="20"/>
        </w:rPr>
        <w:t>a COVID-19 (en adelante también “la pandemia”),</w:t>
      </w:r>
      <w:r w:rsidRPr="00D32C13">
        <w:rPr>
          <w:sz w:val="20"/>
        </w:rPr>
        <w:t xml:space="preserve"> </w:t>
      </w:r>
      <w:r w:rsidRPr="00A43D1A">
        <w:rPr>
          <w:sz w:val="20"/>
        </w:rPr>
        <w:t>no</w:t>
      </w:r>
      <w:r w:rsidRPr="00D32C13">
        <w:rPr>
          <w:sz w:val="20"/>
        </w:rPr>
        <w:t xml:space="preserve"> </w:t>
      </w:r>
      <w:r w:rsidRPr="00A43D1A">
        <w:rPr>
          <w:sz w:val="20"/>
        </w:rPr>
        <w:t>era</w:t>
      </w:r>
      <w:r w:rsidRPr="00D32C13">
        <w:rPr>
          <w:sz w:val="20"/>
        </w:rPr>
        <w:t xml:space="preserve"> </w:t>
      </w:r>
      <w:r w:rsidRPr="00A43D1A">
        <w:rPr>
          <w:sz w:val="20"/>
        </w:rPr>
        <w:t>necesario</w:t>
      </w:r>
      <w:r w:rsidRPr="00D32C13">
        <w:rPr>
          <w:sz w:val="20"/>
        </w:rPr>
        <w:t xml:space="preserve"> </w:t>
      </w:r>
      <w:r w:rsidRPr="00A43D1A">
        <w:rPr>
          <w:sz w:val="20"/>
        </w:rPr>
        <w:t>convocar</w:t>
      </w:r>
      <w:r w:rsidRPr="00D32C13">
        <w:rPr>
          <w:sz w:val="20"/>
        </w:rPr>
        <w:t xml:space="preserve"> </w:t>
      </w:r>
      <w:r w:rsidRPr="00A43D1A">
        <w:rPr>
          <w:sz w:val="20"/>
        </w:rPr>
        <w:t>a</w:t>
      </w:r>
      <w:r w:rsidRPr="00D32C13">
        <w:rPr>
          <w:sz w:val="20"/>
        </w:rPr>
        <w:t xml:space="preserve"> </w:t>
      </w:r>
      <w:r w:rsidRPr="00A43D1A">
        <w:rPr>
          <w:sz w:val="20"/>
        </w:rPr>
        <w:t>audiencia</w:t>
      </w:r>
      <w:r w:rsidRPr="00D32C13">
        <w:rPr>
          <w:sz w:val="20"/>
        </w:rPr>
        <w:t xml:space="preserve"> </w:t>
      </w:r>
      <w:r w:rsidRPr="00A43D1A">
        <w:rPr>
          <w:sz w:val="20"/>
        </w:rPr>
        <w:t>pública</w:t>
      </w:r>
      <w:r w:rsidRPr="00D32C13">
        <w:rPr>
          <w:sz w:val="20"/>
        </w:rPr>
        <w:t xml:space="preserve"> </w:t>
      </w:r>
      <w:r w:rsidRPr="00A43D1A">
        <w:rPr>
          <w:sz w:val="20"/>
        </w:rPr>
        <w:t>en</w:t>
      </w:r>
      <w:r w:rsidRPr="00D32C13">
        <w:rPr>
          <w:sz w:val="20"/>
        </w:rPr>
        <w:t xml:space="preserve"> </w:t>
      </w:r>
      <w:r w:rsidRPr="00A43D1A">
        <w:rPr>
          <w:sz w:val="20"/>
        </w:rPr>
        <w:t>el</w:t>
      </w:r>
      <w:r w:rsidRPr="00D32C13">
        <w:rPr>
          <w:sz w:val="20"/>
        </w:rPr>
        <w:t xml:space="preserve"> </w:t>
      </w:r>
      <w:r w:rsidRPr="00A43D1A">
        <w:rPr>
          <w:sz w:val="20"/>
        </w:rPr>
        <w:t>presente</w:t>
      </w:r>
      <w:r w:rsidRPr="00D32C13">
        <w:rPr>
          <w:sz w:val="20"/>
        </w:rPr>
        <w:t xml:space="preserve"> </w:t>
      </w:r>
      <w:r w:rsidRPr="00A43D1A">
        <w:rPr>
          <w:sz w:val="20"/>
        </w:rPr>
        <w:t>caso.</w:t>
      </w:r>
      <w:r w:rsidRPr="00D32C13">
        <w:rPr>
          <w:sz w:val="20"/>
        </w:rPr>
        <w:t xml:space="preserve"> Determinó que dos presuntas víctimas rindieran declaración oral por medio de una videoconferencia y que otras personas declararan por escrito. La diligencia probatoria por videoconferencia tuvo lugar el 26 de enero de 2021</w:t>
      </w:r>
      <w:r w:rsidRPr="00D32C13">
        <w:rPr>
          <w:rStyle w:val="Refdenotaalpie"/>
          <w:sz w:val="20"/>
        </w:rPr>
        <w:footnoteReference w:id="8"/>
      </w:r>
      <w:r w:rsidRPr="00A43D1A">
        <w:rPr>
          <w:sz w:val="20"/>
        </w:rPr>
        <w:t>.</w:t>
      </w:r>
    </w:p>
    <w:p w14:paraId="1E50470D" w14:textId="77777777" w:rsidR="000C7C2E" w:rsidRPr="00750A53" w:rsidRDefault="000C7C2E" w:rsidP="000C7C2E">
      <w:pPr>
        <w:pStyle w:val="Prrafodelista"/>
        <w:numPr>
          <w:ilvl w:val="0"/>
          <w:numId w:val="1"/>
        </w:numPr>
        <w:tabs>
          <w:tab w:val="left" w:pos="965"/>
        </w:tabs>
        <w:spacing w:before="161"/>
        <w:ind w:left="0" w:firstLine="0"/>
        <w:rPr>
          <w:sz w:val="20"/>
        </w:rPr>
      </w:pPr>
      <w:bookmarkStart w:id="13" w:name="_bookmark5"/>
      <w:bookmarkEnd w:id="13"/>
      <w:r w:rsidRPr="00750A53">
        <w:rPr>
          <w:i/>
          <w:sz w:val="20"/>
        </w:rPr>
        <w:t>Alegatos y observaciones finales escritos</w:t>
      </w:r>
      <w:r w:rsidRPr="00750A53">
        <w:rPr>
          <w:sz w:val="20"/>
        </w:rPr>
        <w:t>. – El 9 de marzo de 2021 la Comisión</w:t>
      </w:r>
      <w:r>
        <w:rPr>
          <w:sz w:val="20"/>
        </w:rPr>
        <w:t xml:space="preserve"> y el Estado</w:t>
      </w:r>
      <w:r w:rsidRPr="00750A53">
        <w:rPr>
          <w:sz w:val="20"/>
        </w:rPr>
        <w:t xml:space="preserve"> present</w:t>
      </w:r>
      <w:r>
        <w:rPr>
          <w:sz w:val="20"/>
        </w:rPr>
        <w:t>aron</w:t>
      </w:r>
      <w:r w:rsidRPr="00750A53">
        <w:rPr>
          <w:sz w:val="20"/>
        </w:rPr>
        <w:t xml:space="preserve"> sus observaciones </w:t>
      </w:r>
      <w:r>
        <w:rPr>
          <w:sz w:val="20"/>
        </w:rPr>
        <w:t xml:space="preserve">y alegatos </w:t>
      </w:r>
      <w:r w:rsidRPr="00750A53">
        <w:rPr>
          <w:sz w:val="20"/>
        </w:rPr>
        <w:t xml:space="preserve">finales </w:t>
      </w:r>
      <w:r>
        <w:rPr>
          <w:sz w:val="20"/>
        </w:rPr>
        <w:t xml:space="preserve">por </w:t>
      </w:r>
      <w:r w:rsidRPr="00750A53">
        <w:rPr>
          <w:sz w:val="20"/>
        </w:rPr>
        <w:t>escrit</w:t>
      </w:r>
      <w:r>
        <w:rPr>
          <w:sz w:val="20"/>
        </w:rPr>
        <w:t>o</w:t>
      </w:r>
      <w:r w:rsidRPr="00750A53">
        <w:rPr>
          <w:sz w:val="20"/>
        </w:rPr>
        <w:t>s</w:t>
      </w:r>
      <w:r>
        <w:rPr>
          <w:sz w:val="20"/>
        </w:rPr>
        <w:t>, respectivamente</w:t>
      </w:r>
      <w:r w:rsidRPr="00750A53">
        <w:rPr>
          <w:sz w:val="20"/>
        </w:rPr>
        <w:t xml:space="preserve">. El </w:t>
      </w:r>
      <w:r>
        <w:rPr>
          <w:sz w:val="20"/>
        </w:rPr>
        <w:t>día siguiente</w:t>
      </w:r>
      <w:r w:rsidRPr="00750A53">
        <w:rPr>
          <w:sz w:val="20"/>
        </w:rPr>
        <w:t xml:space="preserve"> los representantes remitieron sus alegatos finales escritos y documentación anexa</w:t>
      </w:r>
      <w:r w:rsidRPr="00750A53">
        <w:rPr>
          <w:rStyle w:val="Refdenotaalpie"/>
          <w:sz w:val="20"/>
        </w:rPr>
        <w:footnoteReference w:id="9"/>
      </w:r>
      <w:r w:rsidRPr="00750A53">
        <w:rPr>
          <w:sz w:val="20"/>
        </w:rPr>
        <w:t>.</w:t>
      </w:r>
    </w:p>
    <w:p w14:paraId="08C27014" w14:textId="77777777" w:rsidR="000C7C2E" w:rsidRPr="003B0DBA" w:rsidRDefault="000C7C2E" w:rsidP="000C7C2E">
      <w:pPr>
        <w:pStyle w:val="Prrafodelista"/>
        <w:tabs>
          <w:tab w:val="left" w:pos="966"/>
        </w:tabs>
        <w:spacing w:before="1"/>
        <w:ind w:left="0"/>
      </w:pPr>
      <w:r w:rsidRPr="002016BF">
        <w:rPr>
          <w:i/>
          <w:sz w:val="20"/>
        </w:rPr>
        <w:t xml:space="preserve"> </w:t>
      </w:r>
    </w:p>
    <w:p w14:paraId="26526524" w14:textId="77777777" w:rsidR="000C7C2E" w:rsidRPr="003B0DBA" w:rsidRDefault="000C7C2E" w:rsidP="000C7C2E">
      <w:pPr>
        <w:pStyle w:val="Prrafodelista"/>
        <w:numPr>
          <w:ilvl w:val="0"/>
          <w:numId w:val="1"/>
        </w:numPr>
        <w:tabs>
          <w:tab w:val="left" w:pos="965"/>
        </w:tabs>
        <w:ind w:left="0" w:hanging="1"/>
        <w:rPr>
          <w:sz w:val="20"/>
        </w:rPr>
      </w:pPr>
      <w:r w:rsidRPr="003B0DBA">
        <w:rPr>
          <w:sz w:val="20"/>
        </w:rPr>
        <w:t xml:space="preserve">La Corte deliberó la presente Sentencia, por medio de </w:t>
      </w:r>
      <w:r>
        <w:rPr>
          <w:sz w:val="20"/>
        </w:rPr>
        <w:t>sesio</w:t>
      </w:r>
      <w:r w:rsidRPr="003B0DBA">
        <w:rPr>
          <w:sz w:val="20"/>
        </w:rPr>
        <w:t>n</w:t>
      </w:r>
      <w:r>
        <w:rPr>
          <w:sz w:val="20"/>
        </w:rPr>
        <w:t>es</w:t>
      </w:r>
      <w:r w:rsidRPr="003B0DBA">
        <w:rPr>
          <w:sz w:val="20"/>
        </w:rPr>
        <w:t xml:space="preserve"> virtual</w:t>
      </w:r>
      <w:r>
        <w:rPr>
          <w:sz w:val="20"/>
        </w:rPr>
        <w:t>es</w:t>
      </w:r>
      <w:r w:rsidRPr="003B0DBA">
        <w:rPr>
          <w:sz w:val="20"/>
        </w:rPr>
        <w:t xml:space="preserve">, </w:t>
      </w:r>
      <w:r>
        <w:rPr>
          <w:sz w:val="20"/>
        </w:rPr>
        <w:t xml:space="preserve">entre los días </w:t>
      </w:r>
      <w:r w:rsidRPr="0069704B">
        <w:rPr>
          <w:sz w:val="20"/>
        </w:rPr>
        <w:t xml:space="preserve">26 de mayo y </w:t>
      </w:r>
      <w:r>
        <w:rPr>
          <w:sz w:val="20"/>
        </w:rPr>
        <w:t>3</w:t>
      </w:r>
      <w:r w:rsidRPr="0069704B">
        <w:rPr>
          <w:sz w:val="20"/>
        </w:rPr>
        <w:t xml:space="preserve"> de junio</w:t>
      </w:r>
      <w:r w:rsidRPr="003B0DBA">
        <w:rPr>
          <w:sz w:val="20"/>
        </w:rPr>
        <w:t xml:space="preserve"> de</w:t>
      </w:r>
      <w:r>
        <w:rPr>
          <w:spacing w:val="-6"/>
          <w:sz w:val="20"/>
        </w:rPr>
        <w:t xml:space="preserve"> </w:t>
      </w:r>
      <w:r w:rsidRPr="003B0DBA">
        <w:rPr>
          <w:sz w:val="20"/>
        </w:rPr>
        <w:t>2</w:t>
      </w:r>
      <w:r>
        <w:rPr>
          <w:sz w:val="20"/>
        </w:rPr>
        <w:t>021</w:t>
      </w:r>
      <w:r>
        <w:rPr>
          <w:rStyle w:val="Refdenotaalpie"/>
          <w:sz w:val="20"/>
        </w:rPr>
        <w:footnoteReference w:id="10"/>
      </w:r>
      <w:r w:rsidRPr="003B0DBA">
        <w:rPr>
          <w:sz w:val="20"/>
        </w:rPr>
        <w:t>.</w:t>
      </w:r>
    </w:p>
    <w:p w14:paraId="41FEE08F" w14:textId="77777777" w:rsidR="000C7C2E" w:rsidRDefault="000C7C2E" w:rsidP="000C7C2E">
      <w:pPr>
        <w:pStyle w:val="Textoindependiente"/>
      </w:pPr>
    </w:p>
    <w:p w14:paraId="69F9968D" w14:textId="77777777" w:rsidR="000C7C2E" w:rsidRDefault="000C7C2E" w:rsidP="000C7C2E">
      <w:pPr>
        <w:pStyle w:val="Ttulo1"/>
        <w:ind w:left="0"/>
      </w:pPr>
      <w:bookmarkStart w:id="14" w:name="_Toc73960331"/>
      <w:r w:rsidRPr="003B0DBA">
        <w:t>II</w:t>
      </w:r>
      <w:r>
        <w:t>I</w:t>
      </w:r>
      <w:bookmarkEnd w:id="14"/>
    </w:p>
    <w:p w14:paraId="27119FCD" w14:textId="77777777" w:rsidR="000C7C2E" w:rsidRPr="003B0DBA" w:rsidRDefault="000C7C2E" w:rsidP="000C7C2E">
      <w:pPr>
        <w:pStyle w:val="Ttulo1"/>
        <w:ind w:left="0"/>
      </w:pPr>
      <w:bookmarkStart w:id="15" w:name="_Toc73960332"/>
      <w:r>
        <w:t>COMPETENCIA</w:t>
      </w:r>
      <w:bookmarkEnd w:id="15"/>
    </w:p>
    <w:p w14:paraId="6A2C499F" w14:textId="77777777" w:rsidR="000C7C2E" w:rsidRPr="003B0DBA" w:rsidRDefault="000C7C2E" w:rsidP="000C7C2E">
      <w:pPr>
        <w:pStyle w:val="Textoindependiente"/>
        <w:rPr>
          <w:b/>
        </w:rPr>
      </w:pPr>
    </w:p>
    <w:p w14:paraId="401143E9" w14:textId="77777777" w:rsidR="000C7C2E" w:rsidRPr="00C90B4F" w:rsidRDefault="000C7C2E" w:rsidP="000C7C2E">
      <w:pPr>
        <w:pStyle w:val="Prrafodelista"/>
        <w:numPr>
          <w:ilvl w:val="0"/>
          <w:numId w:val="1"/>
        </w:numPr>
        <w:tabs>
          <w:tab w:val="left" w:pos="965"/>
        </w:tabs>
        <w:ind w:left="0" w:firstLine="0"/>
        <w:rPr>
          <w:sz w:val="20"/>
        </w:rPr>
      </w:pPr>
      <w:r w:rsidRPr="00E06E25">
        <w:rPr>
          <w:sz w:val="20"/>
          <w:szCs w:val="20"/>
        </w:rPr>
        <w:t xml:space="preserve">Venezuela fue Estado Parte de la Convención Americana desde el 9 de agosto de 1977 y reconoció la competencia contenciosa de la Corte el 24 de junio de 1981. </w:t>
      </w:r>
      <w:r>
        <w:rPr>
          <w:sz w:val="20"/>
          <w:szCs w:val="20"/>
        </w:rPr>
        <w:t>E</w:t>
      </w:r>
      <w:r w:rsidRPr="00E06E25">
        <w:rPr>
          <w:sz w:val="20"/>
          <w:szCs w:val="20"/>
        </w:rPr>
        <w:t>l 10 de septiembre de 2012</w:t>
      </w:r>
      <w:r>
        <w:rPr>
          <w:sz w:val="20"/>
          <w:szCs w:val="20"/>
        </w:rPr>
        <w:t xml:space="preserve"> </w:t>
      </w:r>
      <w:r w:rsidRPr="00E06E25">
        <w:rPr>
          <w:sz w:val="20"/>
          <w:szCs w:val="20"/>
        </w:rPr>
        <w:t xml:space="preserve">denunció la Convención Americana. La denuncia se hizo efectiva el 10 de septiembre de 2013. </w:t>
      </w:r>
      <w:r>
        <w:rPr>
          <w:sz w:val="20"/>
          <w:szCs w:val="20"/>
        </w:rPr>
        <w:t>Con base en</w:t>
      </w:r>
      <w:r w:rsidRPr="00E06E25">
        <w:rPr>
          <w:sz w:val="20"/>
          <w:szCs w:val="20"/>
        </w:rPr>
        <w:t xml:space="preserve"> el artículo 78.2 de la Convención, la Corte es competente para conocer el presente caso, </w:t>
      </w:r>
      <w:r>
        <w:rPr>
          <w:sz w:val="20"/>
          <w:szCs w:val="20"/>
        </w:rPr>
        <w:t>en tanto que</w:t>
      </w:r>
      <w:r w:rsidRPr="00E06E25">
        <w:rPr>
          <w:sz w:val="20"/>
          <w:szCs w:val="20"/>
        </w:rPr>
        <w:t xml:space="preserve"> los hechos analizados tuvieron origen con anterioridad al momento en que la denuncia puede producir efectos.</w:t>
      </w:r>
      <w:r>
        <w:rPr>
          <w:sz w:val="20"/>
          <w:szCs w:val="20"/>
        </w:rPr>
        <w:t xml:space="preserve"> </w:t>
      </w:r>
    </w:p>
    <w:p w14:paraId="56462C98" w14:textId="77777777" w:rsidR="000F2503" w:rsidRDefault="000F2503" w:rsidP="000C7C2E">
      <w:pPr>
        <w:pStyle w:val="Prrafodelista"/>
        <w:tabs>
          <w:tab w:val="left" w:pos="965"/>
        </w:tabs>
        <w:ind w:left="0"/>
        <w:rPr>
          <w:sz w:val="20"/>
          <w:szCs w:val="20"/>
        </w:rPr>
      </w:pPr>
    </w:p>
    <w:p w14:paraId="1A208689" w14:textId="77777777" w:rsidR="000C7C2E" w:rsidRDefault="000C7C2E" w:rsidP="000C7C2E">
      <w:pPr>
        <w:pStyle w:val="Ttulo1"/>
        <w:ind w:left="0"/>
      </w:pPr>
      <w:bookmarkStart w:id="16" w:name="_Toc73960333"/>
      <w:r>
        <w:t>IV</w:t>
      </w:r>
      <w:bookmarkEnd w:id="16"/>
    </w:p>
    <w:p w14:paraId="6CD5E772" w14:textId="77777777" w:rsidR="000C7C2E" w:rsidRPr="003B0DBA" w:rsidRDefault="000C7C2E" w:rsidP="000C7C2E">
      <w:pPr>
        <w:pStyle w:val="Ttulo1"/>
        <w:ind w:left="0"/>
      </w:pPr>
      <w:bookmarkStart w:id="17" w:name="_Toc73960334"/>
      <w:r>
        <w:t>RECONOCIMIENTO DE RESPONSABILIDAD INTERNACIONAL</w:t>
      </w:r>
      <w:bookmarkEnd w:id="17"/>
    </w:p>
    <w:p w14:paraId="651CEAA9" w14:textId="77777777" w:rsidR="000C7C2E" w:rsidRDefault="000C7C2E" w:rsidP="000C7C2E">
      <w:pPr>
        <w:pStyle w:val="Prrafodelista"/>
        <w:tabs>
          <w:tab w:val="left" w:pos="965"/>
        </w:tabs>
        <w:ind w:left="0"/>
        <w:rPr>
          <w:sz w:val="20"/>
          <w:szCs w:val="20"/>
        </w:rPr>
      </w:pPr>
    </w:p>
    <w:p w14:paraId="2163451D" w14:textId="77777777" w:rsidR="000C7C2E" w:rsidRPr="004754B0" w:rsidRDefault="000C7C2E" w:rsidP="000C7C2E">
      <w:pPr>
        <w:pStyle w:val="Ttulo2"/>
        <w:numPr>
          <w:ilvl w:val="0"/>
          <w:numId w:val="4"/>
        </w:numPr>
        <w:tabs>
          <w:tab w:val="left" w:pos="1418"/>
        </w:tabs>
        <w:ind w:left="284" w:right="-801" w:firstLine="0"/>
        <w:rPr>
          <w:rFonts w:eastAsia="Batang"/>
        </w:rPr>
      </w:pPr>
      <w:bookmarkStart w:id="18" w:name="_Toc58330204"/>
      <w:bookmarkStart w:id="19" w:name="_Toc73960335"/>
      <w:r w:rsidRPr="004754B0">
        <w:rPr>
          <w:rFonts w:eastAsia="Batang"/>
        </w:rPr>
        <w:t>Reconocimiento de responsabilidad del Estado y observaciones de la Comisión y de los representantes</w:t>
      </w:r>
      <w:bookmarkEnd w:id="18"/>
      <w:bookmarkEnd w:id="19"/>
    </w:p>
    <w:p w14:paraId="785F3CB4" w14:textId="77777777" w:rsidR="000C7C2E" w:rsidRPr="00C90B4F" w:rsidRDefault="000C7C2E" w:rsidP="000C7C2E">
      <w:pPr>
        <w:pStyle w:val="Prrafodelista"/>
        <w:tabs>
          <w:tab w:val="left" w:pos="965"/>
        </w:tabs>
        <w:ind w:left="0"/>
        <w:rPr>
          <w:sz w:val="20"/>
        </w:rPr>
      </w:pPr>
    </w:p>
    <w:p w14:paraId="78A8B70E" w14:textId="77777777" w:rsidR="000C7C2E" w:rsidRPr="00B03841" w:rsidRDefault="000C7C2E" w:rsidP="000C7C2E">
      <w:pPr>
        <w:pStyle w:val="Prrafodelista"/>
        <w:numPr>
          <w:ilvl w:val="0"/>
          <w:numId w:val="1"/>
        </w:numPr>
        <w:tabs>
          <w:tab w:val="left" w:pos="965"/>
        </w:tabs>
        <w:ind w:left="0" w:firstLine="0"/>
        <w:rPr>
          <w:sz w:val="20"/>
        </w:rPr>
      </w:pPr>
      <w:r w:rsidRPr="00C90B4F">
        <w:rPr>
          <w:rFonts w:eastAsia="Batang"/>
          <w:sz w:val="20"/>
          <w:szCs w:val="20"/>
        </w:rPr>
        <w:t xml:space="preserve">El </w:t>
      </w:r>
      <w:r w:rsidRPr="00C90B4F">
        <w:rPr>
          <w:rFonts w:eastAsia="Batang"/>
          <w:b/>
          <w:i/>
          <w:sz w:val="20"/>
          <w:szCs w:val="20"/>
        </w:rPr>
        <w:t>Estado</w:t>
      </w:r>
      <w:r w:rsidRPr="00C90B4F">
        <w:rPr>
          <w:rFonts w:eastAsia="Batang"/>
          <w:sz w:val="20"/>
          <w:szCs w:val="20"/>
        </w:rPr>
        <w:t>, en su contestación, reconoció su responsabilidad i</w:t>
      </w:r>
      <w:r>
        <w:rPr>
          <w:rFonts w:eastAsia="Batang"/>
          <w:sz w:val="20"/>
          <w:szCs w:val="20"/>
        </w:rPr>
        <w:t xml:space="preserve">nternacional. Lo </w:t>
      </w:r>
      <w:r>
        <w:rPr>
          <w:rFonts w:eastAsia="Batang"/>
          <w:sz w:val="20"/>
          <w:szCs w:val="20"/>
        </w:rPr>
        <w:lastRenderedPageBreak/>
        <w:t>hizo expresan</w:t>
      </w:r>
      <w:r w:rsidRPr="00C90B4F">
        <w:rPr>
          <w:rFonts w:eastAsia="Batang"/>
          <w:sz w:val="20"/>
          <w:szCs w:val="20"/>
        </w:rPr>
        <w:t xml:space="preserve">do lo que sigue: </w:t>
      </w:r>
    </w:p>
    <w:p w14:paraId="7B83830D" w14:textId="77777777" w:rsidR="000C7C2E" w:rsidRDefault="000C7C2E" w:rsidP="000C7C2E">
      <w:pPr>
        <w:pStyle w:val="Prrafodelista"/>
        <w:tabs>
          <w:tab w:val="left" w:pos="965"/>
        </w:tabs>
        <w:ind w:left="0"/>
        <w:rPr>
          <w:rFonts w:eastAsia="Batang"/>
          <w:sz w:val="20"/>
          <w:szCs w:val="20"/>
        </w:rPr>
      </w:pPr>
    </w:p>
    <w:p w14:paraId="7F478A5F" w14:textId="267C2B84" w:rsidR="000C7C2E" w:rsidRPr="003F0E59" w:rsidRDefault="000C7C2E" w:rsidP="000C7C2E">
      <w:pPr>
        <w:pStyle w:val="Prrafodelista"/>
        <w:ind w:left="284" w:right="333"/>
        <w:rPr>
          <w:sz w:val="16"/>
          <w:szCs w:val="16"/>
        </w:rPr>
      </w:pPr>
      <w:r>
        <w:rPr>
          <w:sz w:val="16"/>
          <w:szCs w:val="16"/>
        </w:rPr>
        <w:t xml:space="preserve">El Estado venezolano manifiesta […] que reconoce su responsabilidad internacional en el presente procedimiento </w:t>
      </w:r>
      <w:r w:rsidRPr="003F0E59">
        <w:rPr>
          <w:sz w:val="16"/>
          <w:szCs w:val="16"/>
        </w:rPr>
        <w:t xml:space="preserve">por la vulneración del </w:t>
      </w:r>
      <w:r w:rsidRPr="002521F2">
        <w:rPr>
          <w:sz w:val="16"/>
          <w:szCs w:val="16"/>
        </w:rPr>
        <w:t xml:space="preserve">derecho a la vida e integridad personal, establecidos en los artículos </w:t>
      </w:r>
      <w:r w:rsidRPr="002521F2">
        <w:rPr>
          <w:rFonts w:eastAsia="Calibri" w:cs="Times New Roman"/>
          <w:color w:val="000000"/>
          <w:sz w:val="16"/>
          <w:szCs w:val="16"/>
        </w:rPr>
        <w:t>4.1, 5.1, 8.1 y 25.1</w:t>
      </w:r>
      <w:r w:rsidRPr="003F0E59">
        <w:rPr>
          <w:rFonts w:eastAsia="Calibri" w:cs="Times New Roman"/>
          <w:color w:val="000000"/>
          <w:sz w:val="16"/>
          <w:szCs w:val="16"/>
        </w:rPr>
        <w:t xml:space="preserve"> de la Convención Americana, en relación con las obligaciones previstas en sus artículos 1.1 y 2, en perjuicio de los señores Jimmy Guerrero, Ramón Molina y sus familiares, en los términos y condiciones establecidos en el </w:t>
      </w:r>
      <w:r>
        <w:rPr>
          <w:rFonts w:eastAsia="Calibri" w:cs="Times New Roman"/>
          <w:color w:val="000000"/>
          <w:sz w:val="16"/>
          <w:szCs w:val="16"/>
        </w:rPr>
        <w:t>Informe de Fondo No. 160/18 […</w:t>
      </w:r>
      <w:r w:rsidRPr="003F0E59">
        <w:rPr>
          <w:rFonts w:eastAsia="Calibri" w:cs="Times New Roman"/>
          <w:color w:val="000000"/>
          <w:sz w:val="16"/>
          <w:szCs w:val="16"/>
        </w:rPr>
        <w:t xml:space="preserve">], exceptuando lo establecido en los artículos 1, 6 y 8 de la Convención Interamericana para Prevenir y Sancionar la Tortura, por considerar que en el presente caso no se encuadra dentro de lo establecido en el referido instrumento. </w:t>
      </w:r>
    </w:p>
    <w:p w14:paraId="76945A11" w14:textId="77777777" w:rsidR="000C7C2E" w:rsidRDefault="000C7C2E" w:rsidP="000C7C2E">
      <w:pPr>
        <w:pStyle w:val="Prrafodelista"/>
        <w:tabs>
          <w:tab w:val="left" w:pos="965"/>
        </w:tabs>
        <w:ind w:left="0"/>
        <w:rPr>
          <w:sz w:val="20"/>
        </w:rPr>
      </w:pPr>
    </w:p>
    <w:p w14:paraId="34502C3F" w14:textId="204DAD2D" w:rsidR="000C7C2E" w:rsidRPr="00B03841" w:rsidRDefault="000C7C2E" w:rsidP="000C7C2E">
      <w:pPr>
        <w:pStyle w:val="Prrafodelista"/>
        <w:numPr>
          <w:ilvl w:val="0"/>
          <w:numId w:val="1"/>
        </w:numPr>
        <w:tabs>
          <w:tab w:val="left" w:pos="965"/>
        </w:tabs>
        <w:ind w:left="0" w:firstLine="0"/>
        <w:rPr>
          <w:sz w:val="20"/>
        </w:rPr>
      </w:pPr>
      <w:r>
        <w:rPr>
          <w:color w:val="000000" w:themeColor="text1"/>
          <w:sz w:val="20"/>
          <w:szCs w:val="20"/>
        </w:rPr>
        <w:t>S</w:t>
      </w:r>
      <w:r w:rsidRPr="00B03841">
        <w:rPr>
          <w:color w:val="000000" w:themeColor="text1"/>
          <w:sz w:val="20"/>
          <w:szCs w:val="20"/>
        </w:rPr>
        <w:t>eñaló también que “[e]</w:t>
      </w:r>
      <w:r>
        <w:rPr>
          <w:color w:val="000000" w:themeColor="text1"/>
          <w:sz w:val="20"/>
          <w:szCs w:val="20"/>
        </w:rPr>
        <w:t>n</w:t>
      </w:r>
      <w:r w:rsidRPr="00B03841">
        <w:rPr>
          <w:color w:val="000000" w:themeColor="text1"/>
          <w:sz w:val="20"/>
          <w:szCs w:val="20"/>
        </w:rPr>
        <w:t xml:space="preserve"> principio, y de forma general, […] se compromete a cumplir con las reparaciones integrales </w:t>
      </w:r>
      <w:proofErr w:type="gramStart"/>
      <w:r w:rsidRPr="00B03841">
        <w:rPr>
          <w:color w:val="000000" w:themeColor="text1"/>
          <w:sz w:val="20"/>
          <w:szCs w:val="20"/>
        </w:rPr>
        <w:t>correspondientes</w:t>
      </w:r>
      <w:r>
        <w:rPr>
          <w:color w:val="000000" w:themeColor="text1"/>
          <w:sz w:val="20"/>
          <w:szCs w:val="20"/>
        </w:rPr>
        <w:t>[</w:t>
      </w:r>
      <w:proofErr w:type="gramEnd"/>
      <w:r>
        <w:rPr>
          <w:color w:val="000000" w:themeColor="text1"/>
          <w:sz w:val="20"/>
          <w:szCs w:val="20"/>
        </w:rPr>
        <w:t>, …]</w:t>
      </w:r>
      <w:r w:rsidRPr="00B03841">
        <w:rPr>
          <w:color w:val="000000" w:themeColor="text1"/>
          <w:sz w:val="20"/>
          <w:szCs w:val="20"/>
        </w:rPr>
        <w:t xml:space="preserve"> </w:t>
      </w:r>
      <w:r w:rsidRPr="00B03841">
        <w:rPr>
          <w:sz w:val="20"/>
        </w:rPr>
        <w:t xml:space="preserve">en atención a la jurisprudencia </w:t>
      </w:r>
      <w:r>
        <w:rPr>
          <w:sz w:val="20"/>
        </w:rPr>
        <w:t>[de la]</w:t>
      </w:r>
      <w:r w:rsidRPr="00B03841">
        <w:rPr>
          <w:sz w:val="20"/>
        </w:rPr>
        <w:t xml:space="preserve"> Corte y los</w:t>
      </w:r>
      <w:r>
        <w:rPr>
          <w:sz w:val="20"/>
        </w:rPr>
        <w:t xml:space="preserve"> </w:t>
      </w:r>
      <w:r w:rsidRPr="00B03841">
        <w:rPr>
          <w:sz w:val="20"/>
        </w:rPr>
        <w:t xml:space="preserve">criterios que se han seguido en casos similares en […] Venezuela”. Se refirió </w:t>
      </w:r>
      <w:r w:rsidR="00C4030B">
        <w:rPr>
          <w:sz w:val="20"/>
        </w:rPr>
        <w:t>asimismo</w:t>
      </w:r>
      <w:r w:rsidR="00C4030B" w:rsidRPr="00B03841">
        <w:rPr>
          <w:sz w:val="20"/>
        </w:rPr>
        <w:t xml:space="preserve"> </w:t>
      </w:r>
      <w:r w:rsidRPr="00B03841">
        <w:rPr>
          <w:sz w:val="20"/>
        </w:rPr>
        <w:t xml:space="preserve">a algunas medidas puntuales: a) </w:t>
      </w:r>
      <w:r w:rsidRPr="00B03841">
        <w:rPr>
          <w:sz w:val="20"/>
          <w:szCs w:val="20"/>
        </w:rPr>
        <w:t xml:space="preserve">“se </w:t>
      </w:r>
      <w:proofErr w:type="spellStart"/>
      <w:r w:rsidRPr="00B03841">
        <w:rPr>
          <w:sz w:val="20"/>
          <w:szCs w:val="20"/>
        </w:rPr>
        <w:t>compromet</w:t>
      </w:r>
      <w:proofErr w:type="spellEnd"/>
      <w:r w:rsidRPr="00B03841">
        <w:rPr>
          <w:sz w:val="20"/>
          <w:szCs w:val="20"/>
        </w:rPr>
        <w:t>[</w:t>
      </w:r>
      <w:proofErr w:type="spellStart"/>
      <w:r w:rsidRPr="00B03841">
        <w:rPr>
          <w:sz w:val="20"/>
          <w:szCs w:val="20"/>
        </w:rPr>
        <w:t>ió</w:t>
      </w:r>
      <w:proofErr w:type="spellEnd"/>
      <w:r w:rsidRPr="00B03841">
        <w:rPr>
          <w:sz w:val="20"/>
          <w:szCs w:val="20"/>
        </w:rPr>
        <w:t>,] a partir de la presentación de [la contestación], a ofrecer y brindar medidas de atención en salud a las víctimas</w:t>
      </w:r>
      <w:r>
        <w:rPr>
          <w:sz w:val="20"/>
          <w:szCs w:val="20"/>
        </w:rPr>
        <w:t>”,</w:t>
      </w:r>
      <w:r w:rsidRPr="00B03841">
        <w:rPr>
          <w:sz w:val="20"/>
          <w:szCs w:val="20"/>
        </w:rPr>
        <w:t xml:space="preserve"> y</w:t>
      </w:r>
      <w:r w:rsidRPr="00B03841">
        <w:rPr>
          <w:sz w:val="20"/>
        </w:rPr>
        <w:t xml:space="preserve"> b) s</w:t>
      </w:r>
      <w:r w:rsidRPr="00B03841">
        <w:rPr>
          <w:sz w:val="20"/>
          <w:szCs w:val="20"/>
        </w:rPr>
        <w:t>ostuvo que ya ha dado cumplimiento a la garantía de no repetición solicitada por la Comisió</w:t>
      </w:r>
      <w:r>
        <w:rPr>
          <w:sz w:val="20"/>
          <w:szCs w:val="20"/>
        </w:rPr>
        <w:t>n</w:t>
      </w:r>
      <w:r w:rsidRPr="00B03841">
        <w:rPr>
          <w:sz w:val="20"/>
          <w:szCs w:val="20"/>
        </w:rPr>
        <w:t xml:space="preserve">, </w:t>
      </w:r>
      <w:r>
        <w:rPr>
          <w:sz w:val="20"/>
          <w:szCs w:val="20"/>
        </w:rPr>
        <w:t>mediante</w:t>
      </w:r>
      <w:r w:rsidRPr="00B03841">
        <w:rPr>
          <w:sz w:val="20"/>
          <w:szCs w:val="20"/>
        </w:rPr>
        <w:t xml:space="preserve"> diversas acciones: </w:t>
      </w:r>
      <w:r>
        <w:rPr>
          <w:sz w:val="20"/>
          <w:szCs w:val="20"/>
        </w:rPr>
        <w:t xml:space="preserve">el </w:t>
      </w:r>
      <w:r w:rsidRPr="00B03841">
        <w:rPr>
          <w:sz w:val="20"/>
          <w:szCs w:val="20"/>
        </w:rPr>
        <w:t>desarroll</w:t>
      </w:r>
      <w:r>
        <w:rPr>
          <w:sz w:val="20"/>
          <w:szCs w:val="20"/>
        </w:rPr>
        <w:t xml:space="preserve">o </w:t>
      </w:r>
      <w:r w:rsidRPr="00B03841">
        <w:rPr>
          <w:sz w:val="20"/>
          <w:szCs w:val="20"/>
        </w:rPr>
        <w:t>d</w:t>
      </w:r>
      <w:r>
        <w:rPr>
          <w:sz w:val="20"/>
          <w:szCs w:val="20"/>
        </w:rPr>
        <w:t>e</w:t>
      </w:r>
      <w:r w:rsidRPr="00B03841">
        <w:rPr>
          <w:sz w:val="20"/>
          <w:szCs w:val="20"/>
        </w:rPr>
        <w:t xml:space="preserve"> “espacios de formación” de funcionarios policiales y </w:t>
      </w:r>
      <w:r>
        <w:rPr>
          <w:sz w:val="20"/>
          <w:szCs w:val="20"/>
        </w:rPr>
        <w:t>la “profundiza[</w:t>
      </w:r>
      <w:proofErr w:type="spellStart"/>
      <w:r>
        <w:rPr>
          <w:sz w:val="20"/>
          <w:szCs w:val="20"/>
        </w:rPr>
        <w:t>ción</w:t>
      </w:r>
      <w:proofErr w:type="spellEnd"/>
      <w:r>
        <w:rPr>
          <w:sz w:val="20"/>
          <w:szCs w:val="20"/>
        </w:rPr>
        <w:t>]” de “</w:t>
      </w:r>
      <w:r w:rsidRPr="00B03841">
        <w:rPr>
          <w:sz w:val="20"/>
          <w:szCs w:val="20"/>
        </w:rPr>
        <w:t xml:space="preserve">medidas para asegurar la contraloría social y rendición de cuentas de las actuaciones policiales”. </w:t>
      </w:r>
    </w:p>
    <w:p w14:paraId="02BE4049" w14:textId="77777777" w:rsidR="000C7C2E" w:rsidRPr="00B03841" w:rsidRDefault="000C7C2E" w:rsidP="000C7C2E">
      <w:pPr>
        <w:pStyle w:val="Prrafodelista"/>
        <w:tabs>
          <w:tab w:val="left" w:pos="965"/>
        </w:tabs>
        <w:ind w:left="0"/>
        <w:rPr>
          <w:sz w:val="20"/>
        </w:rPr>
      </w:pPr>
    </w:p>
    <w:p w14:paraId="57B4EA5D" w14:textId="049E2CDD" w:rsidR="000C7C2E" w:rsidRDefault="000C7C2E" w:rsidP="000C7C2E">
      <w:pPr>
        <w:pStyle w:val="Prrafodelista"/>
        <w:numPr>
          <w:ilvl w:val="0"/>
          <w:numId w:val="1"/>
        </w:numPr>
        <w:tabs>
          <w:tab w:val="left" w:pos="965"/>
        </w:tabs>
        <w:ind w:left="0" w:firstLine="0"/>
        <w:rPr>
          <w:sz w:val="20"/>
        </w:rPr>
      </w:pPr>
      <w:r w:rsidRPr="00B03841">
        <w:rPr>
          <w:sz w:val="20"/>
          <w:szCs w:val="20"/>
        </w:rPr>
        <w:t xml:space="preserve">Los </w:t>
      </w:r>
      <w:r w:rsidRPr="00B03841">
        <w:rPr>
          <w:b/>
          <w:i/>
          <w:sz w:val="20"/>
          <w:szCs w:val="20"/>
        </w:rPr>
        <w:t>representantes</w:t>
      </w:r>
      <w:r w:rsidRPr="00B03841">
        <w:rPr>
          <w:sz w:val="20"/>
          <w:szCs w:val="20"/>
        </w:rPr>
        <w:t xml:space="preserve"> señalaron que el reconocimiento del Estado “resulta positivo”,</w:t>
      </w:r>
      <w:r>
        <w:rPr>
          <w:sz w:val="20"/>
          <w:szCs w:val="20"/>
        </w:rPr>
        <w:t xml:space="preserve"> pero que</w:t>
      </w:r>
      <w:r w:rsidRPr="00B03841">
        <w:rPr>
          <w:sz w:val="20"/>
          <w:szCs w:val="20"/>
        </w:rPr>
        <w:t xml:space="preserve"> “persiste la necesidad de que la Corte se pronuncie sobre la totalidad de los hechos, violaciones y medidas </w:t>
      </w:r>
      <w:r>
        <w:rPr>
          <w:sz w:val="20"/>
          <w:szCs w:val="20"/>
        </w:rPr>
        <w:t>[de]</w:t>
      </w:r>
      <w:r w:rsidRPr="00B03841">
        <w:rPr>
          <w:sz w:val="20"/>
          <w:szCs w:val="20"/>
        </w:rPr>
        <w:t xml:space="preserve"> repara</w:t>
      </w:r>
      <w:r>
        <w:rPr>
          <w:sz w:val="20"/>
          <w:szCs w:val="20"/>
        </w:rPr>
        <w:t>[</w:t>
      </w:r>
      <w:proofErr w:type="spellStart"/>
      <w:r>
        <w:rPr>
          <w:sz w:val="20"/>
          <w:szCs w:val="20"/>
        </w:rPr>
        <w:t>ción</w:t>
      </w:r>
      <w:proofErr w:type="spellEnd"/>
      <w:r>
        <w:rPr>
          <w:sz w:val="20"/>
          <w:szCs w:val="20"/>
        </w:rPr>
        <w:t>]”</w:t>
      </w:r>
      <w:r w:rsidRPr="00B03841">
        <w:rPr>
          <w:sz w:val="20"/>
          <w:szCs w:val="20"/>
        </w:rPr>
        <w:t xml:space="preserve">. En </w:t>
      </w:r>
      <w:r>
        <w:rPr>
          <w:sz w:val="20"/>
          <w:szCs w:val="20"/>
        </w:rPr>
        <w:t>e</w:t>
      </w:r>
      <w:r w:rsidRPr="00B03841">
        <w:rPr>
          <w:sz w:val="20"/>
          <w:szCs w:val="20"/>
        </w:rPr>
        <w:t xml:space="preserve">ste sentido, indicaron que </w:t>
      </w:r>
      <w:r>
        <w:rPr>
          <w:sz w:val="20"/>
          <w:szCs w:val="20"/>
        </w:rPr>
        <w:t xml:space="preserve">dicho </w:t>
      </w:r>
      <w:r w:rsidRPr="00B03841">
        <w:rPr>
          <w:sz w:val="20"/>
          <w:szCs w:val="20"/>
        </w:rPr>
        <w:t xml:space="preserve">reconocimiento “no es lo suficientemente claro”, pues no establece cuáles son los hechos que generaron las violaciones </w:t>
      </w:r>
      <w:r>
        <w:rPr>
          <w:sz w:val="20"/>
          <w:szCs w:val="20"/>
        </w:rPr>
        <w:t>a derechos</w:t>
      </w:r>
      <w:r w:rsidRPr="00B03841">
        <w:rPr>
          <w:sz w:val="20"/>
          <w:szCs w:val="20"/>
        </w:rPr>
        <w:t>, ni “en qué consisten las [mismas]”</w:t>
      </w:r>
      <w:r>
        <w:rPr>
          <w:rStyle w:val="Refdenotaalpie"/>
          <w:sz w:val="20"/>
          <w:szCs w:val="20"/>
        </w:rPr>
        <w:footnoteReference w:id="11"/>
      </w:r>
      <w:r w:rsidRPr="00B03841">
        <w:rPr>
          <w:sz w:val="20"/>
          <w:szCs w:val="20"/>
        </w:rPr>
        <w:t xml:space="preserve">. </w:t>
      </w:r>
    </w:p>
    <w:p w14:paraId="528FD451" w14:textId="77777777" w:rsidR="000C7C2E" w:rsidRPr="00B03841" w:rsidRDefault="000C7C2E" w:rsidP="000C7C2E">
      <w:pPr>
        <w:pStyle w:val="Prrafodelista"/>
        <w:rPr>
          <w:sz w:val="20"/>
          <w:szCs w:val="20"/>
        </w:rPr>
      </w:pPr>
    </w:p>
    <w:p w14:paraId="72D112CC" w14:textId="05364459" w:rsidR="000C7C2E" w:rsidRPr="0067260F" w:rsidRDefault="000C7C2E" w:rsidP="000C7C2E">
      <w:pPr>
        <w:pStyle w:val="Prrafodelista"/>
        <w:numPr>
          <w:ilvl w:val="0"/>
          <w:numId w:val="1"/>
        </w:numPr>
        <w:tabs>
          <w:tab w:val="left" w:pos="965"/>
        </w:tabs>
        <w:ind w:left="0" w:firstLine="0"/>
        <w:rPr>
          <w:sz w:val="20"/>
        </w:rPr>
      </w:pPr>
      <w:r w:rsidRPr="00B03841">
        <w:rPr>
          <w:sz w:val="20"/>
          <w:szCs w:val="20"/>
        </w:rPr>
        <w:t xml:space="preserve">La </w:t>
      </w:r>
      <w:r w:rsidRPr="00B03841">
        <w:rPr>
          <w:b/>
          <w:i/>
          <w:sz w:val="20"/>
          <w:szCs w:val="20"/>
        </w:rPr>
        <w:t>Comisión</w:t>
      </w:r>
      <w:r w:rsidRPr="00B03841">
        <w:rPr>
          <w:sz w:val="20"/>
          <w:szCs w:val="20"/>
        </w:rPr>
        <w:t xml:space="preserve"> </w:t>
      </w:r>
      <w:r w:rsidRPr="00B03841">
        <w:rPr>
          <w:rFonts w:eastAsia="Times New Roman" w:cs="Times New Roman"/>
          <w:bCs/>
          <w:i/>
          <w:color w:val="000000"/>
          <w:sz w:val="20"/>
          <w:szCs w:val="18"/>
        </w:rPr>
        <w:t>“</w:t>
      </w:r>
      <w:r w:rsidRPr="00B03841">
        <w:rPr>
          <w:rFonts w:eastAsia="Times New Roman" w:cs="Times New Roman"/>
          <w:bCs/>
          <w:color w:val="000000"/>
          <w:sz w:val="20"/>
          <w:szCs w:val="18"/>
        </w:rPr>
        <w:t>valor</w:t>
      </w:r>
      <w:r w:rsidRPr="00B03841">
        <w:rPr>
          <w:rFonts w:eastAsia="Calibri" w:cs="Times New Roman"/>
          <w:sz w:val="20"/>
          <w:szCs w:val="20"/>
        </w:rPr>
        <w:t>[</w:t>
      </w:r>
      <w:proofErr w:type="spellStart"/>
      <w:r w:rsidRPr="00B03841">
        <w:rPr>
          <w:rFonts w:eastAsia="Times New Roman" w:cs="Times New Roman"/>
          <w:bCs/>
          <w:color w:val="000000"/>
          <w:sz w:val="20"/>
          <w:szCs w:val="18"/>
        </w:rPr>
        <w:t>ó</w:t>
      </w:r>
      <w:proofErr w:type="spellEnd"/>
      <w:r w:rsidRPr="00B03841">
        <w:rPr>
          <w:rFonts w:eastAsia="Calibri" w:cs="Times New Roman"/>
          <w:sz w:val="20"/>
          <w:szCs w:val="20"/>
        </w:rPr>
        <w:t xml:space="preserve">] positivamente la declaración” del Estado. Señaló que se trata de un reconocimiento parcial de responsabilidad, que </w:t>
      </w:r>
      <w:r>
        <w:rPr>
          <w:rFonts w:eastAsia="Calibri" w:cs="Times New Roman"/>
          <w:sz w:val="20"/>
          <w:szCs w:val="20"/>
        </w:rPr>
        <w:t>Venezuela</w:t>
      </w:r>
      <w:r w:rsidRPr="00B03841">
        <w:rPr>
          <w:rFonts w:eastAsia="Calibri" w:cs="Times New Roman"/>
          <w:sz w:val="20"/>
          <w:szCs w:val="20"/>
        </w:rPr>
        <w:t xml:space="preserve"> “no identificó de manera precisa los hechos de los cuales derivaría [la misma]”</w:t>
      </w:r>
      <w:r>
        <w:rPr>
          <w:rStyle w:val="Refdenotaalpie"/>
          <w:rFonts w:eastAsia="Calibri" w:cs="Times New Roman"/>
          <w:sz w:val="20"/>
          <w:szCs w:val="20"/>
        </w:rPr>
        <w:footnoteReference w:id="12"/>
      </w:r>
      <w:r w:rsidRPr="00B03841">
        <w:rPr>
          <w:rFonts w:eastAsia="Calibri" w:cs="Times New Roman"/>
          <w:sz w:val="20"/>
          <w:szCs w:val="20"/>
        </w:rPr>
        <w:t xml:space="preserve">, y que subsiste la controversia </w:t>
      </w:r>
      <w:r>
        <w:rPr>
          <w:rFonts w:eastAsia="Calibri" w:cs="Times New Roman"/>
          <w:sz w:val="20"/>
          <w:szCs w:val="20"/>
        </w:rPr>
        <w:t>sobre</w:t>
      </w:r>
      <w:r w:rsidRPr="00B03841">
        <w:rPr>
          <w:rFonts w:eastAsia="Calibri" w:cs="Times New Roman"/>
          <w:sz w:val="20"/>
          <w:szCs w:val="20"/>
        </w:rPr>
        <w:t xml:space="preserve"> los artículos 1, 6 y 8 de la C</w:t>
      </w:r>
      <w:r>
        <w:rPr>
          <w:rFonts w:eastAsia="Calibri" w:cs="Times New Roman"/>
          <w:sz w:val="20"/>
          <w:szCs w:val="20"/>
        </w:rPr>
        <w:t xml:space="preserve">onvención </w:t>
      </w:r>
      <w:r w:rsidRPr="00B03841">
        <w:rPr>
          <w:rFonts w:eastAsia="Calibri" w:cs="Times New Roman"/>
          <w:sz w:val="20"/>
          <w:szCs w:val="20"/>
        </w:rPr>
        <w:t>I</w:t>
      </w:r>
      <w:r>
        <w:rPr>
          <w:rFonts w:eastAsia="Calibri" w:cs="Times New Roman"/>
          <w:sz w:val="20"/>
          <w:szCs w:val="20"/>
        </w:rPr>
        <w:t xml:space="preserve">nteramericana para </w:t>
      </w:r>
      <w:r w:rsidRPr="00B03841">
        <w:rPr>
          <w:rFonts w:eastAsia="Calibri" w:cs="Times New Roman"/>
          <w:sz w:val="20"/>
          <w:szCs w:val="20"/>
        </w:rPr>
        <w:t>P</w:t>
      </w:r>
      <w:r>
        <w:rPr>
          <w:rFonts w:eastAsia="Calibri" w:cs="Times New Roman"/>
          <w:sz w:val="20"/>
          <w:szCs w:val="20"/>
        </w:rPr>
        <w:t xml:space="preserve">revenir y </w:t>
      </w:r>
      <w:r w:rsidRPr="00B03841">
        <w:rPr>
          <w:rFonts w:eastAsia="Calibri" w:cs="Times New Roman"/>
          <w:sz w:val="20"/>
          <w:szCs w:val="20"/>
        </w:rPr>
        <w:t>S</w:t>
      </w:r>
      <w:r>
        <w:rPr>
          <w:rFonts w:eastAsia="Calibri" w:cs="Times New Roman"/>
          <w:sz w:val="20"/>
          <w:szCs w:val="20"/>
        </w:rPr>
        <w:t xml:space="preserve">ancionar la </w:t>
      </w:r>
      <w:r w:rsidRPr="00B03841">
        <w:rPr>
          <w:rFonts w:eastAsia="Calibri" w:cs="Times New Roman"/>
          <w:sz w:val="20"/>
          <w:szCs w:val="20"/>
        </w:rPr>
        <w:t>T</w:t>
      </w:r>
      <w:r>
        <w:rPr>
          <w:rFonts w:eastAsia="Calibri" w:cs="Times New Roman"/>
          <w:sz w:val="20"/>
          <w:szCs w:val="20"/>
        </w:rPr>
        <w:t>ortura (en adelante también CIPST)</w:t>
      </w:r>
      <w:r w:rsidRPr="00B03841">
        <w:rPr>
          <w:rFonts w:eastAsia="Calibri" w:cs="Times New Roman"/>
          <w:sz w:val="20"/>
          <w:szCs w:val="20"/>
        </w:rPr>
        <w:t xml:space="preserve">. </w:t>
      </w:r>
      <w:r>
        <w:rPr>
          <w:rFonts w:eastAsia="Calibri" w:cs="Times New Roman"/>
          <w:sz w:val="20"/>
          <w:szCs w:val="20"/>
        </w:rPr>
        <w:t>E</w:t>
      </w:r>
      <w:r w:rsidRPr="00B03841">
        <w:rPr>
          <w:rFonts w:eastAsia="Calibri" w:cs="Times New Roman"/>
          <w:sz w:val="20"/>
          <w:szCs w:val="20"/>
        </w:rPr>
        <w:t xml:space="preserve">ntendió que la Corte </w:t>
      </w:r>
      <w:r>
        <w:rPr>
          <w:rFonts w:eastAsia="Calibri" w:cs="Times New Roman"/>
          <w:sz w:val="20"/>
          <w:szCs w:val="20"/>
        </w:rPr>
        <w:t>debe</w:t>
      </w:r>
      <w:r w:rsidRPr="00B03841">
        <w:rPr>
          <w:rFonts w:eastAsia="Calibri" w:cs="Times New Roman"/>
          <w:sz w:val="20"/>
          <w:szCs w:val="20"/>
        </w:rPr>
        <w:t xml:space="preserve"> determina</w:t>
      </w:r>
      <w:r>
        <w:rPr>
          <w:rFonts w:eastAsia="Calibri" w:cs="Times New Roman"/>
          <w:sz w:val="20"/>
          <w:szCs w:val="20"/>
        </w:rPr>
        <w:t>r</w:t>
      </w:r>
      <w:r w:rsidRPr="00B03841">
        <w:rPr>
          <w:rFonts w:eastAsia="Calibri" w:cs="Times New Roman"/>
          <w:sz w:val="20"/>
          <w:szCs w:val="20"/>
        </w:rPr>
        <w:t xml:space="preserve"> los hechos correspondiente</w:t>
      </w:r>
      <w:r>
        <w:rPr>
          <w:rFonts w:eastAsia="Calibri" w:cs="Times New Roman"/>
          <w:sz w:val="20"/>
          <w:szCs w:val="20"/>
        </w:rPr>
        <w:t>s</w:t>
      </w:r>
      <w:r w:rsidRPr="00B03841">
        <w:rPr>
          <w:rFonts w:eastAsia="Calibri" w:cs="Times New Roman"/>
          <w:sz w:val="20"/>
          <w:szCs w:val="20"/>
        </w:rPr>
        <w:t>, estable</w:t>
      </w:r>
      <w:r>
        <w:rPr>
          <w:rFonts w:eastAsia="Calibri" w:cs="Times New Roman"/>
          <w:sz w:val="20"/>
          <w:szCs w:val="20"/>
        </w:rPr>
        <w:t>cer</w:t>
      </w:r>
      <w:r w:rsidRPr="00B03841">
        <w:rPr>
          <w:rFonts w:eastAsia="Calibri" w:cs="Times New Roman"/>
          <w:sz w:val="20"/>
          <w:szCs w:val="20"/>
        </w:rPr>
        <w:t xml:space="preserve"> sus consecuencias jurídicas y las medidas de reparación respectivas. </w:t>
      </w:r>
    </w:p>
    <w:p w14:paraId="59CB011D" w14:textId="77777777" w:rsidR="000C7C2E" w:rsidRDefault="000C7C2E" w:rsidP="000C7C2E">
      <w:pPr>
        <w:pStyle w:val="Prrafodelista"/>
        <w:tabs>
          <w:tab w:val="left" w:pos="965"/>
        </w:tabs>
        <w:ind w:left="0"/>
        <w:rPr>
          <w:sz w:val="20"/>
          <w:szCs w:val="20"/>
        </w:rPr>
      </w:pPr>
    </w:p>
    <w:p w14:paraId="5BF689AE" w14:textId="77777777" w:rsidR="000C7C2E" w:rsidRPr="004754B0" w:rsidRDefault="000C7C2E" w:rsidP="000F2503">
      <w:pPr>
        <w:pStyle w:val="Ttulo2"/>
        <w:numPr>
          <w:ilvl w:val="0"/>
          <w:numId w:val="4"/>
        </w:numPr>
        <w:tabs>
          <w:tab w:val="left" w:pos="1418"/>
        </w:tabs>
        <w:ind w:left="284" w:right="-801" w:firstLine="0"/>
        <w:rPr>
          <w:rFonts w:eastAsia="Batang"/>
        </w:rPr>
      </w:pPr>
      <w:bookmarkStart w:id="20" w:name="_Toc73960336"/>
      <w:r>
        <w:rPr>
          <w:rFonts w:eastAsia="Batang"/>
        </w:rPr>
        <w:t>Consideraciones de la Corte</w:t>
      </w:r>
      <w:bookmarkEnd w:id="20"/>
    </w:p>
    <w:p w14:paraId="1C0CB161" w14:textId="77777777" w:rsidR="000C7C2E" w:rsidRPr="0067260F" w:rsidRDefault="000C7C2E" w:rsidP="000C7C2E">
      <w:pPr>
        <w:pStyle w:val="Prrafodelista"/>
        <w:rPr>
          <w:rFonts w:eastAsia="Batang"/>
          <w:sz w:val="20"/>
          <w:szCs w:val="20"/>
        </w:rPr>
      </w:pPr>
    </w:p>
    <w:p w14:paraId="2DFD8F8F" w14:textId="77777777" w:rsidR="000C7C2E" w:rsidRPr="005222BB" w:rsidRDefault="000C7C2E" w:rsidP="000C7C2E">
      <w:pPr>
        <w:pStyle w:val="Prrafodelista"/>
        <w:numPr>
          <w:ilvl w:val="0"/>
          <w:numId w:val="1"/>
        </w:numPr>
        <w:tabs>
          <w:tab w:val="left" w:pos="965"/>
        </w:tabs>
        <w:ind w:left="0" w:firstLine="0"/>
        <w:rPr>
          <w:sz w:val="20"/>
        </w:rPr>
      </w:pPr>
      <w:r w:rsidRPr="0067260F">
        <w:rPr>
          <w:rFonts w:eastAsia="Batang"/>
          <w:sz w:val="20"/>
          <w:szCs w:val="20"/>
        </w:rPr>
        <w:t xml:space="preserve">La Corte recuerda que, de conformidad con los artículos 62 y 64 del </w:t>
      </w:r>
      <w:r w:rsidRPr="0067260F">
        <w:rPr>
          <w:rFonts w:eastAsia="Batang"/>
          <w:sz w:val="20"/>
          <w:szCs w:val="20"/>
        </w:rPr>
        <w:lastRenderedPageBreak/>
        <w:t>Reglamento, y en ejercicio de sus poderes de tutela judicial de derechos humanos, cuestión de orden público internacional, le incumbe velar por que los actos de reconocimiento de responsabilidad resulten aceptables para los fines que busca cumplir el sistema interamericano</w:t>
      </w:r>
      <w:r w:rsidRPr="00B93019">
        <w:rPr>
          <w:rStyle w:val="Refdenotaalpie"/>
          <w:rFonts w:eastAsia="Batang"/>
          <w:sz w:val="20"/>
          <w:szCs w:val="20"/>
        </w:rPr>
        <w:footnoteReference w:id="13"/>
      </w:r>
      <w:r w:rsidRPr="0067260F">
        <w:rPr>
          <w:rFonts w:eastAsia="Batang"/>
          <w:sz w:val="20"/>
          <w:szCs w:val="20"/>
        </w:rPr>
        <w:t xml:space="preserve">. Con base en lo anterior, examinará los alcances del reconocimiento de responsabilidad en este caso, considerando </w:t>
      </w:r>
      <w:r>
        <w:rPr>
          <w:rFonts w:eastAsia="Batang"/>
          <w:sz w:val="20"/>
          <w:szCs w:val="20"/>
        </w:rPr>
        <w:t>su</w:t>
      </w:r>
      <w:r w:rsidRPr="0067260F">
        <w:rPr>
          <w:rFonts w:eastAsia="Batang"/>
          <w:sz w:val="20"/>
          <w:szCs w:val="20"/>
        </w:rPr>
        <w:t xml:space="preserve">s términos y sus efectos respecto a los hechos del caso, las pretensiones de derecho y las medidas de reparación. </w:t>
      </w:r>
    </w:p>
    <w:p w14:paraId="73793910" w14:textId="77777777" w:rsidR="000C7C2E" w:rsidRDefault="000C7C2E" w:rsidP="000C7C2E">
      <w:pPr>
        <w:pStyle w:val="Prrafodelista"/>
        <w:tabs>
          <w:tab w:val="left" w:pos="965"/>
        </w:tabs>
        <w:ind w:left="0"/>
        <w:rPr>
          <w:rFonts w:eastAsia="Batang"/>
          <w:sz w:val="20"/>
          <w:szCs w:val="20"/>
        </w:rPr>
      </w:pPr>
    </w:p>
    <w:p w14:paraId="0C8F0C08" w14:textId="77777777" w:rsidR="000C7C2E" w:rsidRPr="00484951" w:rsidRDefault="000C7C2E" w:rsidP="000C7C2E">
      <w:pPr>
        <w:pStyle w:val="Ttulo3"/>
        <w:tabs>
          <w:tab w:val="left" w:pos="1560"/>
        </w:tabs>
        <w:spacing w:before="0"/>
        <w:ind w:left="567" w:right="-801"/>
        <w:rPr>
          <w:rFonts w:ascii="Verdana" w:eastAsia="Batang" w:hAnsi="Verdana"/>
          <w:i/>
          <w:color w:val="auto"/>
          <w:sz w:val="20"/>
          <w:szCs w:val="20"/>
        </w:rPr>
      </w:pPr>
      <w:bookmarkStart w:id="21" w:name="_Toc58330206"/>
      <w:bookmarkStart w:id="22" w:name="_Toc73960337"/>
      <w:r w:rsidRPr="00484951">
        <w:rPr>
          <w:rFonts w:ascii="Verdana" w:eastAsia="Batang" w:hAnsi="Verdana"/>
          <w:i/>
          <w:color w:val="auto"/>
          <w:sz w:val="20"/>
          <w:szCs w:val="20"/>
        </w:rPr>
        <w:t xml:space="preserve">B.1 </w:t>
      </w:r>
      <w:r w:rsidRPr="00484951">
        <w:rPr>
          <w:rFonts w:ascii="Verdana" w:eastAsia="Batang" w:hAnsi="Verdana"/>
          <w:i/>
          <w:color w:val="auto"/>
          <w:sz w:val="20"/>
          <w:szCs w:val="20"/>
          <w:u w:val="single"/>
        </w:rPr>
        <w:t>En cuanto a los hechos</w:t>
      </w:r>
      <w:bookmarkEnd w:id="21"/>
      <w:bookmarkEnd w:id="22"/>
    </w:p>
    <w:p w14:paraId="66CD5410" w14:textId="77777777" w:rsidR="000C7C2E" w:rsidRPr="00484951" w:rsidRDefault="000C7C2E" w:rsidP="000C7C2E">
      <w:pPr>
        <w:pStyle w:val="Prrafodelista"/>
        <w:tabs>
          <w:tab w:val="left" w:pos="965"/>
        </w:tabs>
        <w:ind w:left="0"/>
        <w:rPr>
          <w:sz w:val="20"/>
        </w:rPr>
      </w:pPr>
    </w:p>
    <w:p w14:paraId="6E1EDCC0" w14:textId="77777777" w:rsidR="000C7C2E" w:rsidRDefault="000C7C2E" w:rsidP="000C7C2E">
      <w:pPr>
        <w:pStyle w:val="Prrafodelista"/>
        <w:numPr>
          <w:ilvl w:val="0"/>
          <w:numId w:val="1"/>
        </w:numPr>
        <w:tabs>
          <w:tab w:val="left" w:pos="965"/>
        </w:tabs>
        <w:ind w:left="0" w:firstLine="0"/>
        <w:rPr>
          <w:rFonts w:eastAsia="Batang"/>
          <w:sz w:val="20"/>
          <w:szCs w:val="20"/>
        </w:rPr>
      </w:pPr>
      <w:r w:rsidRPr="00484951">
        <w:rPr>
          <w:rFonts w:eastAsia="Batang"/>
          <w:sz w:val="20"/>
          <w:szCs w:val="20"/>
        </w:rPr>
        <w:t>Venezuela reconoció su responsabilidad</w:t>
      </w:r>
      <w:r>
        <w:rPr>
          <w:rFonts w:eastAsia="Batang"/>
          <w:sz w:val="20"/>
          <w:szCs w:val="20"/>
        </w:rPr>
        <w:t>,</w:t>
      </w:r>
      <w:r w:rsidRPr="00484951">
        <w:rPr>
          <w:rFonts w:eastAsia="Batang"/>
          <w:sz w:val="20"/>
          <w:szCs w:val="20"/>
        </w:rPr>
        <w:t xml:space="preserve"> respecto a </w:t>
      </w:r>
      <w:r>
        <w:rPr>
          <w:rFonts w:eastAsia="Batang"/>
          <w:sz w:val="20"/>
          <w:szCs w:val="20"/>
        </w:rPr>
        <w:t xml:space="preserve">varias </w:t>
      </w:r>
      <w:r w:rsidRPr="00484951">
        <w:rPr>
          <w:rFonts w:eastAsia="Batang"/>
          <w:sz w:val="20"/>
          <w:szCs w:val="20"/>
        </w:rPr>
        <w:t xml:space="preserve">violaciones de derechos </w:t>
      </w:r>
      <w:r>
        <w:rPr>
          <w:rFonts w:eastAsia="Batang"/>
          <w:sz w:val="20"/>
          <w:szCs w:val="20"/>
        </w:rPr>
        <w:t xml:space="preserve">reconocidos en la Convención Americana, </w:t>
      </w:r>
      <w:r>
        <w:rPr>
          <w:sz w:val="20"/>
        </w:rPr>
        <w:t>“</w:t>
      </w:r>
      <w:r w:rsidRPr="00484951">
        <w:rPr>
          <w:rFonts w:eastAsia="Batang"/>
          <w:sz w:val="20"/>
          <w:szCs w:val="20"/>
        </w:rPr>
        <w:t>en los términos y condiciones establecidos en el Informe de Fondo</w:t>
      </w:r>
      <w:r>
        <w:rPr>
          <w:rFonts w:eastAsia="Batang"/>
          <w:sz w:val="20"/>
          <w:szCs w:val="20"/>
        </w:rPr>
        <w:t xml:space="preserve">”. </w:t>
      </w:r>
      <w:r w:rsidRPr="00484951">
        <w:rPr>
          <w:rFonts w:eastAsia="Batang"/>
          <w:sz w:val="20"/>
          <w:szCs w:val="20"/>
        </w:rPr>
        <w:t xml:space="preserve">La Corte entiende que el Estado, al aceptar </w:t>
      </w:r>
      <w:r>
        <w:rPr>
          <w:rFonts w:eastAsia="Batang"/>
          <w:sz w:val="20"/>
          <w:szCs w:val="20"/>
        </w:rPr>
        <w:t>v</w:t>
      </w:r>
      <w:r w:rsidRPr="00484951">
        <w:rPr>
          <w:rFonts w:eastAsia="Batang"/>
          <w:sz w:val="20"/>
          <w:szCs w:val="20"/>
        </w:rPr>
        <w:t>iolaciones a derechos humanos referidas en el Informe de Fondo, ha reconocido, a su vez, los hechos contenidos en dicho Informe que dieron lugar a tales violaciones.</w:t>
      </w:r>
    </w:p>
    <w:p w14:paraId="3107A404" w14:textId="77777777" w:rsidR="000C7C2E" w:rsidRDefault="000C7C2E" w:rsidP="000C7C2E">
      <w:pPr>
        <w:pStyle w:val="Prrafodelista"/>
        <w:tabs>
          <w:tab w:val="left" w:pos="965"/>
        </w:tabs>
        <w:ind w:left="0"/>
        <w:rPr>
          <w:rFonts w:eastAsia="Batang"/>
          <w:sz w:val="20"/>
          <w:szCs w:val="20"/>
        </w:rPr>
      </w:pPr>
    </w:p>
    <w:p w14:paraId="0D2C0772" w14:textId="3DD3A2FC" w:rsidR="000C7C2E" w:rsidRPr="0020399A" w:rsidRDefault="000C7C2E" w:rsidP="000C7C2E">
      <w:pPr>
        <w:pStyle w:val="Prrafodelista"/>
        <w:numPr>
          <w:ilvl w:val="0"/>
          <w:numId w:val="1"/>
        </w:numPr>
        <w:tabs>
          <w:tab w:val="left" w:pos="965"/>
        </w:tabs>
        <w:ind w:left="0" w:firstLine="0"/>
        <w:rPr>
          <w:rFonts w:eastAsia="Batang"/>
          <w:sz w:val="20"/>
          <w:szCs w:val="20"/>
        </w:rPr>
      </w:pPr>
      <w:r>
        <w:rPr>
          <w:rFonts w:eastAsia="Batang"/>
          <w:sz w:val="20"/>
          <w:szCs w:val="20"/>
        </w:rPr>
        <w:t>En relación con lo anterior, debe advertirse que, como parte de su “análisis de derecho” en el Informe de Fondo, la Comisión tuvo en cuenta “dos contextos relevantes”: a) a “nivel nacional”, de “violencia policial estadal y denuncias de ejecuciones extrajudiciales contra personas con el perfil de Jimmy Guerrero, caracterizado por su falta de investigación y que relacionan la participación de agentes policiales en su comisión, o que son explicadas como un ‘ajuste de cuentas’ apelando a antecedentes delictivos”, y b) “la incidencia de [la] problemática [anterior] en el [E]</w:t>
      </w:r>
      <w:proofErr w:type="spellStart"/>
      <w:r>
        <w:rPr>
          <w:rFonts w:eastAsia="Batang"/>
          <w:sz w:val="20"/>
          <w:szCs w:val="20"/>
        </w:rPr>
        <w:t>stado</w:t>
      </w:r>
      <w:proofErr w:type="spellEnd"/>
      <w:r>
        <w:rPr>
          <w:rFonts w:eastAsia="Batang"/>
          <w:sz w:val="20"/>
          <w:szCs w:val="20"/>
        </w:rPr>
        <w:t xml:space="preserve"> Falcón”.</w:t>
      </w:r>
      <w:r>
        <w:rPr>
          <w:rFonts w:eastAsia="Batang"/>
          <w:b/>
          <w:sz w:val="20"/>
          <w:szCs w:val="20"/>
        </w:rPr>
        <w:t xml:space="preserve"> </w:t>
      </w:r>
      <w:r w:rsidRPr="0020399A">
        <w:rPr>
          <w:rFonts w:eastAsia="Batang"/>
          <w:sz w:val="20"/>
          <w:szCs w:val="20"/>
        </w:rPr>
        <w:t>La Comisión, además, hizo determinaciones de hecho respecto de tales aspectos de contexto.</w:t>
      </w:r>
      <w:r>
        <w:rPr>
          <w:rFonts w:eastAsia="Batang"/>
          <w:b/>
          <w:sz w:val="20"/>
          <w:szCs w:val="20"/>
        </w:rPr>
        <w:t xml:space="preserve"> </w:t>
      </w:r>
      <w:r w:rsidRPr="0020399A">
        <w:rPr>
          <w:rFonts w:eastAsia="Batang"/>
          <w:sz w:val="20"/>
          <w:szCs w:val="20"/>
        </w:rPr>
        <w:t>Dado que el Estado reconoció su responsabilidad “en los términos y condiciones” señalados por la Comisi</w:t>
      </w:r>
      <w:r>
        <w:rPr>
          <w:rFonts w:eastAsia="Batang"/>
          <w:sz w:val="20"/>
          <w:szCs w:val="20"/>
        </w:rPr>
        <w:t xml:space="preserve">ón, y siendo que los mismos incluyen consideraciones sobre aspectos de contexto, debe entenderse que Venezuela aceptó tales circunstancias contextuales. </w:t>
      </w:r>
      <w:r w:rsidRPr="0020399A">
        <w:rPr>
          <w:rFonts w:eastAsia="Batang"/>
          <w:sz w:val="20"/>
          <w:szCs w:val="20"/>
        </w:rPr>
        <w:t xml:space="preserve"> </w:t>
      </w:r>
    </w:p>
    <w:p w14:paraId="6D2659A8" w14:textId="77777777" w:rsidR="000C7C2E" w:rsidRPr="0067260F" w:rsidRDefault="000C7C2E" w:rsidP="000C7C2E">
      <w:pPr>
        <w:pStyle w:val="Prrafodelista"/>
        <w:rPr>
          <w:sz w:val="20"/>
        </w:rPr>
      </w:pPr>
    </w:p>
    <w:p w14:paraId="734A798A" w14:textId="77777777" w:rsidR="000C7C2E" w:rsidRDefault="000C7C2E" w:rsidP="000C7C2E">
      <w:pPr>
        <w:pStyle w:val="Prrafodelista"/>
        <w:numPr>
          <w:ilvl w:val="0"/>
          <w:numId w:val="1"/>
        </w:numPr>
        <w:tabs>
          <w:tab w:val="left" w:pos="965"/>
        </w:tabs>
        <w:ind w:left="0" w:firstLine="0"/>
        <w:rPr>
          <w:sz w:val="20"/>
        </w:rPr>
      </w:pPr>
      <w:r w:rsidRPr="003E0A2D">
        <w:rPr>
          <w:sz w:val="20"/>
        </w:rPr>
        <w:t xml:space="preserve">Por lo expuesto, este Tribunal deja sentado que ha cesado la controversia sobre los hechos del caso, </w:t>
      </w:r>
      <w:r>
        <w:rPr>
          <w:sz w:val="20"/>
        </w:rPr>
        <w:t xml:space="preserve">incluyendo la situación contextual en la que se presentaron, </w:t>
      </w:r>
      <w:r w:rsidRPr="003E0A2D">
        <w:rPr>
          <w:sz w:val="20"/>
        </w:rPr>
        <w:t>sin perjuicio de las puntualizaciones que</w:t>
      </w:r>
      <w:r>
        <w:rPr>
          <w:sz w:val="20"/>
        </w:rPr>
        <w:t xml:space="preserve"> se formulan a continuación, </w:t>
      </w:r>
      <w:r w:rsidRPr="003E0A2D">
        <w:rPr>
          <w:sz w:val="20"/>
        </w:rPr>
        <w:t>sobre dos as</w:t>
      </w:r>
      <w:r>
        <w:rPr>
          <w:sz w:val="20"/>
        </w:rPr>
        <w:t>pectos</w:t>
      </w:r>
      <w:r w:rsidRPr="003E0A2D">
        <w:rPr>
          <w:sz w:val="20"/>
        </w:rPr>
        <w:t xml:space="preserve">. </w:t>
      </w:r>
    </w:p>
    <w:p w14:paraId="0B25988D" w14:textId="77777777" w:rsidR="000C7C2E" w:rsidRPr="003E0A2D" w:rsidRDefault="000C7C2E" w:rsidP="000C7C2E">
      <w:pPr>
        <w:pStyle w:val="Prrafodelista"/>
        <w:tabs>
          <w:tab w:val="left" w:pos="965"/>
        </w:tabs>
        <w:ind w:left="0"/>
        <w:rPr>
          <w:sz w:val="20"/>
        </w:rPr>
      </w:pPr>
    </w:p>
    <w:p w14:paraId="3C59FE9D" w14:textId="644FFD30" w:rsidR="000C7C2E" w:rsidRPr="00934B6D" w:rsidRDefault="000C7C2E" w:rsidP="000C7C2E">
      <w:pPr>
        <w:pStyle w:val="Prrafodelista"/>
        <w:numPr>
          <w:ilvl w:val="0"/>
          <w:numId w:val="1"/>
        </w:numPr>
        <w:tabs>
          <w:tab w:val="left" w:pos="965"/>
        </w:tabs>
        <w:ind w:left="0" w:firstLine="0"/>
        <w:rPr>
          <w:sz w:val="20"/>
        </w:rPr>
      </w:pPr>
      <w:r>
        <w:rPr>
          <w:sz w:val="20"/>
        </w:rPr>
        <w:t>En primer término, cabe notar que el Informe de Fondo, en el apartado relativo a “[d]</w:t>
      </w:r>
      <w:proofErr w:type="spellStart"/>
      <w:r>
        <w:rPr>
          <w:sz w:val="20"/>
        </w:rPr>
        <w:t>eterminaciones</w:t>
      </w:r>
      <w:proofErr w:type="spellEnd"/>
      <w:r>
        <w:rPr>
          <w:sz w:val="20"/>
        </w:rPr>
        <w:t xml:space="preserve"> de hecho”, expresa que “surgieron distintas versiones” sobre las circunstancias en que sucedieron las muertes de los señores Guerrero y Molina, a saber: a) que se habrían originado en un “enfrentamiento entre bandas”, b) que ocurrieron en el marco de un atraco a una licorería, y c) que fueron perpetradas por funcionarios policiales. </w:t>
      </w:r>
      <w:r>
        <w:rPr>
          <w:sz w:val="20"/>
          <w:szCs w:val="20"/>
        </w:rPr>
        <w:t xml:space="preserve">Por otra parte, </w:t>
      </w:r>
      <w:r w:rsidRPr="00934B6D">
        <w:rPr>
          <w:sz w:val="20"/>
          <w:szCs w:val="20"/>
        </w:rPr>
        <w:t>en el apartado sobre “[a]</w:t>
      </w:r>
      <w:proofErr w:type="spellStart"/>
      <w:r w:rsidRPr="00934B6D">
        <w:rPr>
          <w:sz w:val="20"/>
          <w:szCs w:val="20"/>
        </w:rPr>
        <w:t>nálisis</w:t>
      </w:r>
      <w:proofErr w:type="spellEnd"/>
      <w:r w:rsidRPr="00934B6D">
        <w:rPr>
          <w:sz w:val="20"/>
          <w:szCs w:val="20"/>
        </w:rPr>
        <w:t xml:space="preserve"> de derecho”, el Informe de Fondo establece, por</w:t>
      </w:r>
      <w:r>
        <w:rPr>
          <w:sz w:val="20"/>
          <w:szCs w:val="20"/>
        </w:rPr>
        <w:t xml:space="preserve"> diversos</w:t>
      </w:r>
      <w:r w:rsidRPr="00934B6D">
        <w:rPr>
          <w:sz w:val="20"/>
          <w:szCs w:val="20"/>
        </w:rPr>
        <w:t xml:space="preserve"> motivos que expone, que hay “indicios suficientes y consistentes entre sí para establecer la participación estatal en la muerte de Jimmy Guerrero, y en la muerte conexa de </w:t>
      </w:r>
      <w:r>
        <w:rPr>
          <w:sz w:val="20"/>
          <w:szCs w:val="20"/>
        </w:rPr>
        <w:t xml:space="preserve">[…] </w:t>
      </w:r>
      <w:r w:rsidRPr="00934B6D">
        <w:rPr>
          <w:sz w:val="20"/>
          <w:szCs w:val="20"/>
        </w:rPr>
        <w:t>Ramón Molina, por lo que las mismas son atribuibles directamente al Estado venezolano”.</w:t>
      </w:r>
    </w:p>
    <w:p w14:paraId="63899903" w14:textId="77777777" w:rsidR="000C7C2E" w:rsidRPr="00934B6D" w:rsidRDefault="000C7C2E" w:rsidP="000C7C2E">
      <w:pPr>
        <w:pStyle w:val="Prrafodelista"/>
        <w:rPr>
          <w:sz w:val="20"/>
        </w:rPr>
      </w:pPr>
    </w:p>
    <w:p w14:paraId="30BFE8F9" w14:textId="77777777" w:rsidR="000C7C2E" w:rsidRDefault="000C7C2E" w:rsidP="000C7C2E">
      <w:pPr>
        <w:pStyle w:val="Prrafodelista"/>
        <w:numPr>
          <w:ilvl w:val="0"/>
          <w:numId w:val="1"/>
        </w:numPr>
        <w:tabs>
          <w:tab w:val="left" w:pos="965"/>
        </w:tabs>
        <w:ind w:left="0" w:firstLine="0"/>
        <w:rPr>
          <w:sz w:val="20"/>
        </w:rPr>
      </w:pPr>
      <w:r>
        <w:rPr>
          <w:sz w:val="20"/>
        </w:rPr>
        <w:t xml:space="preserve">Venezuela, al reconocer su responsabilidad ante la Corte, no efectuó precisión expresa alguna respecto de las tres versiones sobre los hechos. No obstante, efectuó su reconocimiento “en los términos y condiciones” del Informe de Fondo. Tales términos incluyen la conclusión, efectuada por la Comisión, de que las muertes de los señores Guerrero y Molina son atribuibles en forma directa al Estado por la participación de agentes estatales en los hechos. Por ende, debe entenderse que Venezuela aceptó tal </w:t>
      </w:r>
      <w:r>
        <w:rPr>
          <w:sz w:val="20"/>
        </w:rPr>
        <w:lastRenderedPageBreak/>
        <w:t xml:space="preserve">conclusión y, en consecuencia, también que asumió como verdadera la versión de los hechos que indica que las muertes fueron perpetradas por funcionarios policiales. Esta última es, asimismo, la versión de los hechos tenida por cierta por los representantes. </w:t>
      </w:r>
    </w:p>
    <w:p w14:paraId="4D596CFA" w14:textId="77777777" w:rsidR="000C7C2E" w:rsidRPr="0026390A" w:rsidRDefault="000C7C2E" w:rsidP="000C7C2E">
      <w:pPr>
        <w:pStyle w:val="Prrafodelista"/>
        <w:rPr>
          <w:sz w:val="20"/>
        </w:rPr>
      </w:pPr>
    </w:p>
    <w:p w14:paraId="7AB68876" w14:textId="6BB0F732" w:rsidR="000C7C2E" w:rsidRDefault="000C7C2E" w:rsidP="000C7C2E">
      <w:pPr>
        <w:pStyle w:val="Prrafodelista"/>
        <w:numPr>
          <w:ilvl w:val="0"/>
          <w:numId w:val="1"/>
        </w:numPr>
        <w:tabs>
          <w:tab w:val="left" w:pos="965"/>
        </w:tabs>
        <w:ind w:left="0" w:firstLine="0"/>
        <w:rPr>
          <w:sz w:val="20"/>
        </w:rPr>
      </w:pPr>
      <w:r>
        <w:rPr>
          <w:sz w:val="20"/>
        </w:rPr>
        <w:t>En consecuencia, la Corte tiene por establecido que las muertes de los señores Guerrero y Molina se produjeron a partir de la intervención directa de funcionarios policiales. No tendrá en consideración las otras dos versiones (</w:t>
      </w:r>
      <w:r w:rsidRPr="00AC1761">
        <w:rPr>
          <w:i/>
          <w:sz w:val="20"/>
        </w:rPr>
        <w:t>supra</w:t>
      </w:r>
      <w:r>
        <w:rPr>
          <w:sz w:val="20"/>
        </w:rPr>
        <w:t xml:space="preserve"> párr. 22). </w:t>
      </w:r>
    </w:p>
    <w:p w14:paraId="479E084F" w14:textId="77777777" w:rsidR="000C7C2E" w:rsidRPr="003E0A2D" w:rsidRDefault="000C7C2E" w:rsidP="000C7C2E">
      <w:pPr>
        <w:pStyle w:val="Prrafodelista"/>
        <w:rPr>
          <w:sz w:val="20"/>
        </w:rPr>
      </w:pPr>
    </w:p>
    <w:p w14:paraId="14B198D7" w14:textId="0BFE0A0E" w:rsidR="000C7C2E" w:rsidRPr="004A5A40" w:rsidRDefault="000C7C2E" w:rsidP="000C7C2E">
      <w:pPr>
        <w:pStyle w:val="Prrafodelista"/>
        <w:numPr>
          <w:ilvl w:val="0"/>
          <w:numId w:val="1"/>
        </w:numPr>
        <w:tabs>
          <w:tab w:val="left" w:pos="965"/>
        </w:tabs>
        <w:ind w:left="0" w:firstLine="0"/>
        <w:rPr>
          <w:rFonts w:eastAsiaTheme="minorHAnsi" w:cs="ArialMT"/>
          <w:sz w:val="20"/>
          <w:szCs w:val="20"/>
          <w:lang w:val="es-CR"/>
        </w:rPr>
      </w:pPr>
      <w:r>
        <w:rPr>
          <w:sz w:val="20"/>
        </w:rPr>
        <w:t>En segundo lugar, el Estado sostuvo qu</w:t>
      </w:r>
      <w:r w:rsidRPr="00AC1761">
        <w:rPr>
          <w:sz w:val="20"/>
          <w:szCs w:val="20"/>
        </w:rPr>
        <w:t xml:space="preserve">e </w:t>
      </w:r>
      <w:r w:rsidRPr="00AC1761">
        <w:rPr>
          <w:rFonts w:eastAsiaTheme="minorHAnsi" w:cs="ArialMT"/>
          <w:sz w:val="20"/>
          <w:szCs w:val="20"/>
          <w:lang w:val="es-CR"/>
        </w:rPr>
        <w:t>“resulta evidente</w:t>
      </w:r>
      <w:r>
        <w:rPr>
          <w:rFonts w:eastAsiaTheme="minorHAnsi" w:cs="ArialMT"/>
          <w:sz w:val="20"/>
          <w:szCs w:val="20"/>
          <w:lang w:val="es-CR"/>
        </w:rPr>
        <w:t xml:space="preserve"> </w:t>
      </w:r>
      <w:r w:rsidRPr="00620163">
        <w:rPr>
          <w:rFonts w:eastAsiaTheme="minorHAnsi" w:cs="ArialMT"/>
          <w:sz w:val="20"/>
          <w:szCs w:val="20"/>
          <w:lang w:val="es-CR"/>
        </w:rPr>
        <w:t xml:space="preserve">que el señor Jimmy Guerrero resultó fallecido de manera inmediata, luego de recibir diversos impactos de proyectil disparados por arma de fuego”. Por ello, negó su responsabilidad por aducidos actos de agresión que, según entendió, “supuestamente” se habrían cometido luego del fallecimiento del señor Guerrero. La Comisión y los representantes, por su </w:t>
      </w:r>
      <w:r>
        <w:rPr>
          <w:rFonts w:eastAsiaTheme="minorHAnsi" w:cs="ArialMT"/>
          <w:sz w:val="20"/>
          <w:szCs w:val="20"/>
          <w:lang w:val="es-CR"/>
        </w:rPr>
        <w:t>lado</w:t>
      </w:r>
      <w:r w:rsidRPr="00620163">
        <w:rPr>
          <w:rFonts w:eastAsiaTheme="minorHAnsi" w:cs="ArialMT"/>
          <w:sz w:val="20"/>
          <w:szCs w:val="20"/>
          <w:lang w:val="es-CR"/>
        </w:rPr>
        <w:t xml:space="preserve">, como parte del marco fáctico del caso, señalaron diversas declaraciones que dan cuenta de agresiones al cuerpo del señor </w:t>
      </w:r>
      <w:r w:rsidRPr="007A400D">
        <w:rPr>
          <w:rFonts w:eastAsiaTheme="minorHAnsi" w:cs="ArialMT"/>
          <w:sz w:val="20"/>
          <w:szCs w:val="20"/>
          <w:lang w:val="es-CR"/>
        </w:rPr>
        <w:t>Guerrero posteriores a que el mismo sufriera el primer impacto de bala. En el Informe de Fondo, la Comisión entendió que no podía determinarse que él muri</w:t>
      </w:r>
      <w:r>
        <w:rPr>
          <w:rFonts w:eastAsiaTheme="minorHAnsi" w:cs="ArialMT"/>
          <w:sz w:val="20"/>
          <w:szCs w:val="20"/>
          <w:lang w:val="es-CR"/>
        </w:rPr>
        <w:t>ó</w:t>
      </w:r>
      <w:r w:rsidRPr="007A400D">
        <w:rPr>
          <w:rFonts w:eastAsiaTheme="minorHAnsi" w:cs="ArialMT"/>
          <w:sz w:val="20"/>
          <w:szCs w:val="20"/>
          <w:lang w:val="es-CR"/>
        </w:rPr>
        <w:t xml:space="preserve"> en ese momento, por lo que el Estado debió investigar si los vejámenes cometidos luego constituyeron actos de tortura</w:t>
      </w:r>
      <w:r w:rsidRPr="007A400D">
        <w:rPr>
          <w:rStyle w:val="Refdenotaalpie"/>
          <w:rFonts w:eastAsiaTheme="minorHAnsi" w:cs="ArialMT"/>
          <w:sz w:val="20"/>
          <w:szCs w:val="20"/>
          <w:lang w:val="es-CR"/>
        </w:rPr>
        <w:footnoteReference w:id="14"/>
      </w:r>
      <w:r w:rsidRPr="007A400D">
        <w:rPr>
          <w:rFonts w:eastAsiaTheme="minorHAnsi" w:cs="ArialMT"/>
          <w:sz w:val="20"/>
          <w:szCs w:val="20"/>
          <w:lang w:val="es-CR"/>
        </w:rPr>
        <w:t>.</w:t>
      </w:r>
      <w:r w:rsidRPr="007A400D">
        <w:rPr>
          <w:rFonts w:eastAsiaTheme="minorHAnsi" w:cs="ArialMT"/>
          <w:b/>
          <w:sz w:val="16"/>
          <w:szCs w:val="16"/>
          <w:lang w:val="es-CR"/>
        </w:rPr>
        <w:t xml:space="preserve"> </w:t>
      </w:r>
      <w:r w:rsidRPr="004A5A40">
        <w:rPr>
          <w:rFonts w:eastAsiaTheme="minorHAnsi" w:cs="ArialMT"/>
          <w:sz w:val="20"/>
          <w:szCs w:val="20"/>
          <w:lang w:val="es-CR"/>
        </w:rPr>
        <w:t xml:space="preserve">Entonces, subsiste la controversia respecto a si se cometieron agresiones contra la integridad personal de Jimmy Guerrero, el día de su muerte, que deban ser investigadas como posibles actos de tortura. </w:t>
      </w:r>
    </w:p>
    <w:p w14:paraId="7C413749" w14:textId="77777777" w:rsidR="000C7C2E" w:rsidRDefault="000C7C2E" w:rsidP="000C7C2E">
      <w:pPr>
        <w:pStyle w:val="Prrafodelista"/>
        <w:tabs>
          <w:tab w:val="left" w:pos="965"/>
        </w:tabs>
        <w:ind w:left="0"/>
        <w:rPr>
          <w:rFonts w:eastAsia="Batang"/>
          <w:sz w:val="20"/>
          <w:szCs w:val="20"/>
        </w:rPr>
      </w:pPr>
    </w:p>
    <w:p w14:paraId="6CF2DAC9" w14:textId="77777777" w:rsidR="000C7C2E" w:rsidRPr="00484951" w:rsidRDefault="000C7C2E" w:rsidP="000C7C2E">
      <w:pPr>
        <w:pStyle w:val="Ttulo3"/>
        <w:tabs>
          <w:tab w:val="left" w:pos="1560"/>
        </w:tabs>
        <w:spacing w:before="0"/>
        <w:ind w:left="567" w:right="-801"/>
        <w:rPr>
          <w:rFonts w:ascii="Verdana" w:eastAsia="Batang" w:hAnsi="Verdana"/>
          <w:i/>
          <w:color w:val="auto"/>
          <w:sz w:val="20"/>
          <w:szCs w:val="20"/>
        </w:rPr>
      </w:pPr>
      <w:bookmarkStart w:id="23" w:name="_Toc73960338"/>
      <w:r w:rsidRPr="00484951">
        <w:rPr>
          <w:rFonts w:ascii="Verdana" w:eastAsia="Batang" w:hAnsi="Verdana"/>
          <w:i/>
          <w:color w:val="auto"/>
          <w:sz w:val="20"/>
          <w:szCs w:val="20"/>
        </w:rPr>
        <w:t>B.</w:t>
      </w:r>
      <w:r>
        <w:rPr>
          <w:rFonts w:ascii="Verdana" w:eastAsia="Batang" w:hAnsi="Verdana"/>
          <w:i/>
          <w:color w:val="auto"/>
          <w:sz w:val="20"/>
          <w:szCs w:val="20"/>
        </w:rPr>
        <w:t>2</w:t>
      </w:r>
      <w:r w:rsidRPr="00484951">
        <w:rPr>
          <w:rFonts w:ascii="Verdana" w:eastAsia="Batang" w:hAnsi="Verdana"/>
          <w:i/>
          <w:color w:val="auto"/>
          <w:sz w:val="20"/>
          <w:szCs w:val="20"/>
        </w:rPr>
        <w:t xml:space="preserve"> </w:t>
      </w:r>
      <w:r w:rsidRPr="00484951">
        <w:rPr>
          <w:rFonts w:ascii="Verdana" w:eastAsia="Batang" w:hAnsi="Verdana"/>
          <w:i/>
          <w:color w:val="auto"/>
          <w:sz w:val="20"/>
          <w:szCs w:val="20"/>
          <w:u w:val="single"/>
        </w:rPr>
        <w:t>En cuanto</w:t>
      </w:r>
      <w:r>
        <w:rPr>
          <w:rFonts w:ascii="Verdana" w:eastAsia="Batang" w:hAnsi="Verdana"/>
          <w:i/>
          <w:color w:val="auto"/>
          <w:sz w:val="20"/>
          <w:szCs w:val="20"/>
          <w:u w:val="single"/>
        </w:rPr>
        <w:t xml:space="preserve"> a las pretensiones de derecho</w:t>
      </w:r>
      <w:bookmarkEnd w:id="23"/>
    </w:p>
    <w:p w14:paraId="3BC0472F" w14:textId="77777777" w:rsidR="000C7C2E" w:rsidRPr="000175D3" w:rsidRDefault="000C7C2E" w:rsidP="000C7C2E">
      <w:pPr>
        <w:pStyle w:val="Prrafodelista"/>
        <w:rPr>
          <w:sz w:val="20"/>
        </w:rPr>
      </w:pPr>
    </w:p>
    <w:p w14:paraId="5A779AC8" w14:textId="77777777" w:rsidR="000C7C2E" w:rsidRPr="00DE68D8" w:rsidRDefault="000C7C2E" w:rsidP="000C7C2E">
      <w:pPr>
        <w:pStyle w:val="Prrafodelista"/>
        <w:numPr>
          <w:ilvl w:val="0"/>
          <w:numId w:val="1"/>
        </w:numPr>
        <w:tabs>
          <w:tab w:val="left" w:pos="965"/>
        </w:tabs>
        <w:ind w:left="0" w:firstLine="0"/>
        <w:rPr>
          <w:sz w:val="20"/>
        </w:rPr>
      </w:pPr>
      <w:r w:rsidRPr="000175D3">
        <w:rPr>
          <w:rFonts w:eastAsia="Batang"/>
          <w:sz w:val="20"/>
          <w:szCs w:val="20"/>
        </w:rPr>
        <w:t xml:space="preserve">Respecto a las pretensiones de derecho, dados los términos del reconocimiento de responsabilidad, la Corte constata que ha cesado la controversia </w:t>
      </w:r>
      <w:r>
        <w:rPr>
          <w:rFonts w:eastAsia="Batang"/>
          <w:sz w:val="20"/>
          <w:szCs w:val="20"/>
        </w:rPr>
        <w:t>sobre</w:t>
      </w:r>
      <w:r w:rsidRPr="000175D3">
        <w:rPr>
          <w:rFonts w:eastAsia="Batang"/>
          <w:sz w:val="20"/>
          <w:szCs w:val="20"/>
        </w:rPr>
        <w:t xml:space="preserve"> la responsabilidad internacional de Venezuela por</w:t>
      </w:r>
      <w:r>
        <w:rPr>
          <w:rFonts w:eastAsia="Batang"/>
          <w:sz w:val="20"/>
          <w:szCs w:val="20"/>
        </w:rPr>
        <w:t xml:space="preserve"> las violaciones </w:t>
      </w:r>
      <w:r w:rsidRPr="000175D3">
        <w:rPr>
          <w:rFonts w:eastAsia="Batang"/>
          <w:sz w:val="20"/>
          <w:szCs w:val="20"/>
        </w:rPr>
        <w:t>de los derechos a la vida y a la integridad personal, r</w:t>
      </w:r>
      <w:r>
        <w:rPr>
          <w:rFonts w:eastAsia="Batang"/>
          <w:sz w:val="20"/>
          <w:szCs w:val="20"/>
        </w:rPr>
        <w:t xml:space="preserve">econocidos en los artículos 4.1 y </w:t>
      </w:r>
      <w:r w:rsidRPr="000175D3">
        <w:rPr>
          <w:rFonts w:eastAsia="Batang"/>
          <w:sz w:val="20"/>
          <w:szCs w:val="20"/>
        </w:rPr>
        <w:t>5.1</w:t>
      </w:r>
      <w:r>
        <w:rPr>
          <w:rFonts w:eastAsia="Batang"/>
          <w:sz w:val="20"/>
          <w:szCs w:val="20"/>
        </w:rPr>
        <w:t xml:space="preserve"> de la Convención, en relación con las obligaciones de respetar y garantizar los derechos, prescriptas por el artículo 1.1 del mismo tratado. </w:t>
      </w:r>
    </w:p>
    <w:p w14:paraId="3979DA26" w14:textId="77777777" w:rsidR="000C7C2E" w:rsidRPr="00DE68D8" w:rsidRDefault="000C7C2E" w:rsidP="000C7C2E">
      <w:pPr>
        <w:pStyle w:val="Prrafodelista"/>
        <w:tabs>
          <w:tab w:val="left" w:pos="965"/>
        </w:tabs>
        <w:ind w:left="0"/>
        <w:rPr>
          <w:sz w:val="20"/>
        </w:rPr>
      </w:pPr>
    </w:p>
    <w:p w14:paraId="12B2C870" w14:textId="77777777" w:rsidR="000C7C2E" w:rsidRPr="00DE68D8" w:rsidRDefault="000C7C2E" w:rsidP="000C7C2E">
      <w:pPr>
        <w:pStyle w:val="Prrafodelista"/>
        <w:numPr>
          <w:ilvl w:val="0"/>
          <w:numId w:val="1"/>
        </w:numPr>
        <w:tabs>
          <w:tab w:val="left" w:pos="965"/>
        </w:tabs>
        <w:ind w:left="0" w:firstLine="0"/>
        <w:rPr>
          <w:sz w:val="20"/>
        </w:rPr>
      </w:pPr>
      <w:r>
        <w:rPr>
          <w:rFonts w:eastAsia="Batang"/>
          <w:sz w:val="20"/>
          <w:szCs w:val="20"/>
        </w:rPr>
        <w:t xml:space="preserve">También ha cesado la controversia respecto a la responsabilidad internacional del Estado por la violación </w:t>
      </w:r>
      <w:r w:rsidRPr="000175D3">
        <w:rPr>
          <w:rFonts w:eastAsia="Batang"/>
          <w:sz w:val="20"/>
          <w:szCs w:val="20"/>
        </w:rPr>
        <w:t>de los derechos a las garantías judiciales y a la protección judicial, reconocidos en los artículos 8.1 y 25.1 de la Convenció</w:t>
      </w:r>
      <w:r>
        <w:rPr>
          <w:rFonts w:eastAsia="Batang"/>
          <w:sz w:val="20"/>
          <w:szCs w:val="20"/>
        </w:rPr>
        <w:t>n</w:t>
      </w:r>
      <w:r w:rsidRPr="000175D3">
        <w:rPr>
          <w:rFonts w:eastAsia="Batang"/>
          <w:sz w:val="20"/>
          <w:szCs w:val="20"/>
        </w:rPr>
        <w:t>, en relación con su artículo 1.1, en perjuicio de personas familiares de los fallecidos, identificadas en el Informe de Fondo</w:t>
      </w:r>
      <w:r>
        <w:rPr>
          <w:rFonts w:eastAsia="Batang"/>
          <w:sz w:val="20"/>
          <w:szCs w:val="20"/>
        </w:rPr>
        <w:t xml:space="preserve">. </w:t>
      </w:r>
      <w:r>
        <w:rPr>
          <w:rFonts w:eastAsia="Calibri" w:cs="Times New Roman"/>
          <w:color w:val="000000"/>
          <w:sz w:val="20"/>
          <w:szCs w:val="20"/>
        </w:rPr>
        <w:t>Es preciso advertir, no obstante, que los alegatos de los representantes sobre la violación al deber de investigar tienen por base argumentos adicionales a los señalados en el Informe de Fondo (</w:t>
      </w:r>
      <w:r>
        <w:rPr>
          <w:rFonts w:eastAsia="Calibri" w:cs="Times New Roman"/>
          <w:i/>
          <w:color w:val="000000"/>
          <w:sz w:val="20"/>
          <w:szCs w:val="20"/>
        </w:rPr>
        <w:t>infra</w:t>
      </w:r>
      <w:r>
        <w:rPr>
          <w:rFonts w:eastAsia="Calibri" w:cs="Times New Roman"/>
          <w:color w:val="000000"/>
          <w:sz w:val="20"/>
          <w:szCs w:val="20"/>
        </w:rPr>
        <w:t xml:space="preserve"> </w:t>
      </w:r>
      <w:proofErr w:type="spellStart"/>
      <w:r>
        <w:rPr>
          <w:rFonts w:eastAsia="Calibri" w:cs="Times New Roman"/>
          <w:color w:val="000000"/>
          <w:sz w:val="20"/>
          <w:szCs w:val="20"/>
        </w:rPr>
        <w:t>párrs</w:t>
      </w:r>
      <w:proofErr w:type="spellEnd"/>
      <w:r>
        <w:rPr>
          <w:rFonts w:eastAsia="Calibri" w:cs="Times New Roman"/>
          <w:color w:val="000000"/>
          <w:sz w:val="20"/>
          <w:szCs w:val="20"/>
        </w:rPr>
        <w:t>. 28 y 132 a 134), y que tales argumentos de los representantes no han sido aceptados ni controvertidos en forma directa por el Estado.</w:t>
      </w:r>
    </w:p>
    <w:p w14:paraId="6FC021FD" w14:textId="77777777" w:rsidR="000C7C2E" w:rsidRPr="00DE68D8" w:rsidRDefault="000C7C2E" w:rsidP="000C7C2E">
      <w:pPr>
        <w:pStyle w:val="Prrafodelista"/>
        <w:rPr>
          <w:rFonts w:eastAsia="Calibri" w:cs="Times New Roman"/>
          <w:color w:val="000000"/>
          <w:sz w:val="20"/>
          <w:szCs w:val="20"/>
        </w:rPr>
      </w:pPr>
    </w:p>
    <w:p w14:paraId="38E4D4AE" w14:textId="18C544AD" w:rsidR="000C7C2E" w:rsidRPr="007A400D" w:rsidRDefault="000C7C2E" w:rsidP="000C7C2E">
      <w:pPr>
        <w:pStyle w:val="Prrafodelista"/>
        <w:numPr>
          <w:ilvl w:val="0"/>
          <w:numId w:val="1"/>
        </w:numPr>
        <w:tabs>
          <w:tab w:val="left" w:pos="965"/>
        </w:tabs>
        <w:ind w:left="0" w:firstLine="0"/>
        <w:rPr>
          <w:sz w:val="20"/>
        </w:rPr>
      </w:pPr>
      <w:r w:rsidRPr="007A400D">
        <w:rPr>
          <w:rFonts w:eastAsia="Calibri" w:cs="Times New Roman"/>
          <w:color w:val="000000"/>
          <w:sz w:val="20"/>
          <w:szCs w:val="20"/>
        </w:rPr>
        <w:t xml:space="preserve">Por otra parte, es preciso notar que los representantes adujeron violaciones a derechos humanos en perjuicio de Jimmy Guerrero, que no fueron determinadas en el Informe de Fondo, con base en circunstancias de privación de libertad, agresiones y </w:t>
      </w:r>
      <w:r w:rsidRPr="007A400D">
        <w:rPr>
          <w:rFonts w:eastAsia="Calibri" w:cs="Times New Roman"/>
          <w:color w:val="000000"/>
          <w:sz w:val="20"/>
          <w:szCs w:val="20"/>
        </w:rPr>
        <w:lastRenderedPageBreak/>
        <w:t>hostigamientos, previas a la fecha en que él murió</w:t>
      </w:r>
      <w:r w:rsidRPr="007A400D">
        <w:rPr>
          <w:rStyle w:val="Refdenotaalpie"/>
          <w:rFonts w:eastAsia="Calibri" w:cs="Times New Roman"/>
          <w:color w:val="000000"/>
          <w:sz w:val="20"/>
          <w:szCs w:val="20"/>
        </w:rPr>
        <w:footnoteReference w:id="15"/>
      </w:r>
      <w:r w:rsidRPr="007A400D">
        <w:rPr>
          <w:rFonts w:eastAsia="Calibri" w:cs="Times New Roman"/>
          <w:color w:val="000000"/>
          <w:sz w:val="20"/>
          <w:szCs w:val="20"/>
        </w:rPr>
        <w:t xml:space="preserve">. Venezuela no </w:t>
      </w:r>
      <w:r>
        <w:rPr>
          <w:rFonts w:eastAsia="Calibri" w:cs="Times New Roman"/>
          <w:color w:val="000000"/>
          <w:sz w:val="20"/>
          <w:szCs w:val="20"/>
        </w:rPr>
        <w:t>aceptó</w:t>
      </w:r>
      <w:r w:rsidRPr="007A400D">
        <w:rPr>
          <w:rFonts w:eastAsia="Calibri" w:cs="Times New Roman"/>
          <w:color w:val="000000"/>
          <w:sz w:val="20"/>
          <w:szCs w:val="20"/>
        </w:rPr>
        <w:t xml:space="preserve"> en forma explícita dichas violaciones. Las mismas versan sobre la presunta inobservancia de la prohibición de actos de tortura, del deber de investigar los mismos y del derecho a la libertad personal, conforme los artículos 5.2 y 7.1, 7.2, 7.3, 7.4 y 7.5 de la Convención Americana, en relación con su artículo 1.1, y de los artículos 1, 6 y 8 de la Convención Interamericana para Prevenir y Sancionar la Tortura. Tampoco lo ha hecho respecto al alegato de los representantes de que todas las violaciones a derechos se produjeron transgrediendo la prohibición de discriminación que surge del artículo 1.1 de la Convención.</w:t>
      </w:r>
    </w:p>
    <w:p w14:paraId="3DBFF519" w14:textId="77777777" w:rsidR="000C7C2E" w:rsidRPr="007A400D" w:rsidRDefault="000C7C2E" w:rsidP="000C7C2E">
      <w:pPr>
        <w:pStyle w:val="Prrafodelista"/>
        <w:tabs>
          <w:tab w:val="left" w:pos="965"/>
        </w:tabs>
        <w:ind w:left="0"/>
        <w:rPr>
          <w:sz w:val="20"/>
        </w:rPr>
      </w:pPr>
    </w:p>
    <w:p w14:paraId="082A8A6A" w14:textId="77777777" w:rsidR="000C7C2E" w:rsidRPr="00555D7D" w:rsidRDefault="000C7C2E" w:rsidP="000C7C2E">
      <w:pPr>
        <w:pStyle w:val="Prrafodelista"/>
        <w:numPr>
          <w:ilvl w:val="0"/>
          <w:numId w:val="1"/>
        </w:numPr>
        <w:tabs>
          <w:tab w:val="left" w:pos="965"/>
        </w:tabs>
        <w:ind w:left="0" w:firstLine="0"/>
        <w:rPr>
          <w:sz w:val="20"/>
        </w:rPr>
      </w:pPr>
      <w:r w:rsidRPr="007A400D">
        <w:rPr>
          <w:sz w:val="20"/>
        </w:rPr>
        <w:t>Por otra parte, subsiste la controversia respe</w:t>
      </w:r>
      <w:r>
        <w:rPr>
          <w:sz w:val="20"/>
        </w:rPr>
        <w:t>c</w:t>
      </w:r>
      <w:r w:rsidRPr="007A400D">
        <w:rPr>
          <w:sz w:val="20"/>
        </w:rPr>
        <w:t xml:space="preserve">to de la alegada violación de </w:t>
      </w:r>
      <w:r w:rsidRPr="007A400D">
        <w:rPr>
          <w:rFonts w:eastAsia="Calibri" w:cs="Times New Roman"/>
          <w:color w:val="000000"/>
          <w:sz w:val="20"/>
          <w:szCs w:val="20"/>
        </w:rPr>
        <w:t>los artículos 1, 6 y 8 de la Convención Interamericana para Prevenir y Sancionar la Tortura por la falta de investigación oficiosa de las agresiones que habría sufrido Jimmy Guerrero en el momento del ataque que derivó en su muerte, en los términos aducidos por la Comisión</w:t>
      </w:r>
      <w:r w:rsidRPr="007A400D">
        <w:rPr>
          <w:rStyle w:val="Refdenotaalpie"/>
          <w:rFonts w:eastAsia="Calibri" w:cs="Times New Roman"/>
          <w:color w:val="000000"/>
          <w:sz w:val="20"/>
          <w:szCs w:val="20"/>
        </w:rPr>
        <w:footnoteReference w:id="16"/>
      </w:r>
      <w:r w:rsidRPr="007A400D">
        <w:rPr>
          <w:rFonts w:eastAsia="Calibri" w:cs="Times New Roman"/>
          <w:color w:val="000000"/>
          <w:sz w:val="20"/>
          <w:szCs w:val="20"/>
        </w:rPr>
        <w:t>.</w:t>
      </w:r>
      <w:r>
        <w:rPr>
          <w:rFonts w:eastAsia="Calibri" w:cs="Times New Roman"/>
          <w:color w:val="000000"/>
          <w:sz w:val="20"/>
          <w:szCs w:val="20"/>
        </w:rPr>
        <w:t xml:space="preserve"> </w:t>
      </w:r>
    </w:p>
    <w:p w14:paraId="630CBF2D" w14:textId="77777777" w:rsidR="000C7C2E" w:rsidRDefault="000C7C2E" w:rsidP="000C7C2E">
      <w:pPr>
        <w:pStyle w:val="Prrafodelista"/>
        <w:rPr>
          <w:rFonts w:eastAsia="Batang"/>
          <w:sz w:val="20"/>
          <w:szCs w:val="20"/>
        </w:rPr>
      </w:pPr>
    </w:p>
    <w:p w14:paraId="7B0F03CD" w14:textId="77777777" w:rsidR="000C7C2E" w:rsidRPr="00555D7D" w:rsidRDefault="000C7C2E" w:rsidP="000C7C2E">
      <w:pPr>
        <w:pStyle w:val="Ttulo3"/>
        <w:tabs>
          <w:tab w:val="left" w:pos="1418"/>
        </w:tabs>
        <w:spacing w:before="0"/>
        <w:ind w:left="567" w:right="-801"/>
        <w:rPr>
          <w:rFonts w:ascii="Verdana" w:eastAsia="Batang" w:hAnsi="Verdana"/>
          <w:i/>
          <w:color w:val="auto"/>
          <w:sz w:val="20"/>
          <w:szCs w:val="20"/>
        </w:rPr>
      </w:pPr>
      <w:bookmarkStart w:id="24" w:name="_Toc58330208"/>
      <w:bookmarkStart w:id="25" w:name="_Toc73960339"/>
      <w:r w:rsidRPr="00555D7D">
        <w:rPr>
          <w:rFonts w:ascii="Verdana" w:eastAsia="Batang" w:hAnsi="Verdana"/>
          <w:i/>
          <w:color w:val="auto"/>
          <w:sz w:val="20"/>
          <w:szCs w:val="20"/>
        </w:rPr>
        <w:t xml:space="preserve">B.3 </w:t>
      </w:r>
      <w:r w:rsidRPr="00555D7D">
        <w:rPr>
          <w:rFonts w:ascii="Verdana" w:eastAsia="Batang" w:hAnsi="Verdana"/>
          <w:i/>
          <w:color w:val="auto"/>
          <w:sz w:val="20"/>
          <w:szCs w:val="20"/>
          <w:u w:val="single"/>
        </w:rPr>
        <w:t>En cuanto a las reparaciones</w:t>
      </w:r>
      <w:bookmarkEnd w:id="24"/>
      <w:bookmarkEnd w:id="25"/>
    </w:p>
    <w:p w14:paraId="0A11C33E" w14:textId="77777777" w:rsidR="000C7C2E" w:rsidRPr="00555D7D" w:rsidRDefault="000C7C2E" w:rsidP="000C7C2E">
      <w:pPr>
        <w:pStyle w:val="Prrafodelista"/>
        <w:rPr>
          <w:rFonts w:eastAsia="Batang"/>
          <w:sz w:val="20"/>
          <w:szCs w:val="20"/>
        </w:rPr>
      </w:pPr>
    </w:p>
    <w:p w14:paraId="667BC70F" w14:textId="2A9E6981" w:rsidR="000C7C2E" w:rsidRPr="005222BB" w:rsidRDefault="000C7C2E" w:rsidP="000C7C2E">
      <w:pPr>
        <w:pStyle w:val="Prrafodelista"/>
        <w:numPr>
          <w:ilvl w:val="0"/>
          <w:numId w:val="1"/>
        </w:numPr>
        <w:tabs>
          <w:tab w:val="left" w:pos="0"/>
        </w:tabs>
        <w:ind w:left="0" w:firstLine="0"/>
        <w:rPr>
          <w:sz w:val="20"/>
        </w:rPr>
      </w:pPr>
      <w:r w:rsidRPr="00555D7D">
        <w:rPr>
          <w:rFonts w:eastAsia="Batang"/>
          <w:sz w:val="20"/>
          <w:szCs w:val="20"/>
        </w:rPr>
        <w:t>En lo que se refiere a la reparación de las violaciones a derechos humanos, la Corte constata que el Estado afirmó</w:t>
      </w:r>
      <w:r>
        <w:rPr>
          <w:rFonts w:eastAsia="Batang"/>
          <w:sz w:val="20"/>
          <w:szCs w:val="20"/>
        </w:rPr>
        <w:t>, en forma general,</w:t>
      </w:r>
      <w:r w:rsidRPr="00555D7D">
        <w:rPr>
          <w:rFonts w:eastAsia="Batang"/>
          <w:sz w:val="20"/>
          <w:szCs w:val="20"/>
        </w:rPr>
        <w:t xml:space="preserve"> que cumpliría las medidas correspondientes. Además, se comprometió a brindar “atención en salud” a las víctimas. También informó sobre el desarrollo de medidas tendientes a evitar la repetición de los hechos. </w:t>
      </w:r>
      <w:r>
        <w:rPr>
          <w:rFonts w:eastAsia="Batang"/>
          <w:sz w:val="20"/>
          <w:szCs w:val="20"/>
        </w:rPr>
        <w:t xml:space="preserve">Las afirmaciones estatales sobre medidas de reparación puntuales no abarcan la totalidad de las solicitudes de reparación formuladas por la Comisión y los representantes. </w:t>
      </w:r>
      <w:r w:rsidR="009F45F6" w:rsidRPr="009F45F6">
        <w:rPr>
          <w:rFonts w:eastAsia="Batang"/>
          <w:sz w:val="20"/>
          <w:szCs w:val="20"/>
        </w:rPr>
        <w:t>Por tanto, subsiste la controversia a este respecto.</w:t>
      </w:r>
    </w:p>
    <w:p w14:paraId="35908ABA" w14:textId="7E68088E" w:rsidR="000C7C2E" w:rsidRDefault="000C7C2E" w:rsidP="000C7C2E">
      <w:pPr>
        <w:pStyle w:val="Prrafodelista"/>
        <w:tabs>
          <w:tab w:val="left" w:pos="965"/>
        </w:tabs>
        <w:ind w:left="0"/>
        <w:rPr>
          <w:rFonts w:eastAsia="Batang"/>
          <w:sz w:val="20"/>
          <w:szCs w:val="20"/>
        </w:rPr>
      </w:pPr>
    </w:p>
    <w:p w14:paraId="0526DA37" w14:textId="77777777" w:rsidR="000C7C2E" w:rsidRPr="00555D7D" w:rsidRDefault="000C7C2E" w:rsidP="000C7C2E">
      <w:pPr>
        <w:pStyle w:val="Ttulo3"/>
        <w:tabs>
          <w:tab w:val="left" w:pos="1418"/>
        </w:tabs>
        <w:spacing w:before="0"/>
        <w:ind w:left="567" w:right="-801"/>
        <w:rPr>
          <w:rFonts w:ascii="Verdana" w:eastAsia="Batang" w:hAnsi="Verdana"/>
          <w:i/>
          <w:color w:val="auto"/>
          <w:sz w:val="20"/>
          <w:szCs w:val="20"/>
        </w:rPr>
      </w:pPr>
      <w:bookmarkStart w:id="26" w:name="_Toc73960340"/>
      <w:r w:rsidRPr="00555D7D">
        <w:rPr>
          <w:rFonts w:ascii="Verdana" w:eastAsia="Batang" w:hAnsi="Verdana"/>
          <w:i/>
          <w:color w:val="auto"/>
          <w:sz w:val="20"/>
          <w:szCs w:val="20"/>
        </w:rPr>
        <w:t>B.</w:t>
      </w:r>
      <w:r>
        <w:rPr>
          <w:rFonts w:ascii="Verdana" w:eastAsia="Batang" w:hAnsi="Verdana"/>
          <w:i/>
          <w:color w:val="auto"/>
          <w:sz w:val="20"/>
          <w:szCs w:val="20"/>
        </w:rPr>
        <w:t>4</w:t>
      </w:r>
      <w:r w:rsidRPr="00555D7D">
        <w:rPr>
          <w:rFonts w:ascii="Verdana" w:eastAsia="Batang" w:hAnsi="Verdana"/>
          <w:i/>
          <w:color w:val="auto"/>
          <w:sz w:val="20"/>
          <w:szCs w:val="20"/>
        </w:rPr>
        <w:t xml:space="preserve"> </w:t>
      </w:r>
      <w:r>
        <w:rPr>
          <w:rFonts w:ascii="Verdana" w:eastAsia="Batang" w:hAnsi="Verdana"/>
          <w:i/>
          <w:color w:val="auto"/>
          <w:sz w:val="20"/>
          <w:szCs w:val="20"/>
          <w:u w:val="single"/>
        </w:rPr>
        <w:t>Valoración del alcance del reconocimiento de responsabilidad</w:t>
      </w:r>
      <w:bookmarkEnd w:id="26"/>
    </w:p>
    <w:p w14:paraId="3E8E1EE3" w14:textId="77777777" w:rsidR="000C7C2E" w:rsidRPr="008C28E1" w:rsidRDefault="000C7C2E" w:rsidP="000C7C2E">
      <w:pPr>
        <w:pStyle w:val="Prrafodelista"/>
        <w:tabs>
          <w:tab w:val="left" w:pos="965"/>
        </w:tabs>
        <w:ind w:left="0"/>
        <w:rPr>
          <w:sz w:val="20"/>
        </w:rPr>
      </w:pPr>
    </w:p>
    <w:p w14:paraId="6D43B910" w14:textId="77777777" w:rsidR="000C7C2E" w:rsidRPr="00D64A29" w:rsidRDefault="000C7C2E" w:rsidP="000C7C2E">
      <w:pPr>
        <w:pStyle w:val="Prrafodelista"/>
        <w:numPr>
          <w:ilvl w:val="0"/>
          <w:numId w:val="1"/>
        </w:numPr>
        <w:tabs>
          <w:tab w:val="left" w:pos="965"/>
        </w:tabs>
        <w:ind w:left="0" w:firstLine="0"/>
        <w:rPr>
          <w:sz w:val="20"/>
        </w:rPr>
      </w:pPr>
      <w:r w:rsidRPr="008C28E1">
        <w:rPr>
          <w:rFonts w:eastAsia="Batang"/>
          <w:sz w:val="20"/>
          <w:szCs w:val="20"/>
        </w:rPr>
        <w:t>La Corte, como en otros casos</w:t>
      </w:r>
      <w:r w:rsidRPr="00014609">
        <w:rPr>
          <w:rStyle w:val="Refdenotaalpie"/>
          <w:rFonts w:eastAsia="Batang"/>
          <w:sz w:val="20"/>
          <w:szCs w:val="20"/>
        </w:rPr>
        <w:footnoteReference w:id="17"/>
      </w:r>
      <w:r w:rsidRPr="008C28E1">
        <w:rPr>
          <w:rFonts w:eastAsia="Batang"/>
          <w:sz w:val="20"/>
          <w:szCs w:val="20"/>
        </w:rPr>
        <w:t>, valora el reconocimiento de</w:t>
      </w:r>
      <w:r>
        <w:rPr>
          <w:rFonts w:eastAsia="Batang"/>
          <w:sz w:val="20"/>
          <w:szCs w:val="20"/>
        </w:rPr>
        <w:t>l Estado de su</w:t>
      </w:r>
      <w:r w:rsidRPr="008C28E1">
        <w:rPr>
          <w:rFonts w:eastAsia="Batang"/>
          <w:sz w:val="20"/>
          <w:szCs w:val="20"/>
        </w:rPr>
        <w:t xml:space="preserve"> responsabilidad internacional. El </w:t>
      </w:r>
      <w:r>
        <w:rPr>
          <w:rFonts w:eastAsia="Batang"/>
          <w:sz w:val="20"/>
          <w:szCs w:val="20"/>
        </w:rPr>
        <w:t>mismo</w:t>
      </w:r>
      <w:r w:rsidRPr="008C28E1">
        <w:rPr>
          <w:rFonts w:eastAsia="Batang"/>
          <w:sz w:val="20"/>
          <w:szCs w:val="20"/>
        </w:rPr>
        <w:t xml:space="preserve"> produce plenos efectos jurídicos, </w:t>
      </w:r>
      <w:proofErr w:type="gramStart"/>
      <w:r w:rsidRPr="008C28E1">
        <w:rPr>
          <w:rFonts w:eastAsia="Batang"/>
          <w:sz w:val="20"/>
          <w:szCs w:val="20"/>
        </w:rPr>
        <w:t>de acuerdo a</w:t>
      </w:r>
      <w:proofErr w:type="gramEnd"/>
      <w:r w:rsidRPr="008C28E1">
        <w:rPr>
          <w:rFonts w:eastAsia="Batang"/>
          <w:sz w:val="20"/>
          <w:szCs w:val="20"/>
        </w:rPr>
        <w:t xml:space="preserve"> los </w:t>
      </w:r>
      <w:r>
        <w:rPr>
          <w:rFonts w:eastAsia="Batang"/>
          <w:sz w:val="20"/>
          <w:szCs w:val="20"/>
        </w:rPr>
        <w:t>artículos 62 y 64 del Reglamento.</w:t>
      </w:r>
      <w:r w:rsidRPr="008C28E1">
        <w:rPr>
          <w:rFonts w:eastAsia="Batang"/>
          <w:sz w:val="20"/>
          <w:szCs w:val="20"/>
        </w:rPr>
        <w:t xml:space="preserve"> El Tribunal considera</w:t>
      </w:r>
      <w:r>
        <w:rPr>
          <w:rFonts w:eastAsia="Batang"/>
          <w:sz w:val="20"/>
          <w:szCs w:val="20"/>
        </w:rPr>
        <w:t>, en los términos antes indicados,</w:t>
      </w:r>
      <w:r w:rsidRPr="008C28E1">
        <w:rPr>
          <w:rFonts w:eastAsia="Batang"/>
          <w:sz w:val="20"/>
          <w:szCs w:val="20"/>
        </w:rPr>
        <w:t xml:space="preserve"> que ha cesado la controversia del caso res</w:t>
      </w:r>
      <w:r>
        <w:rPr>
          <w:rFonts w:eastAsia="Batang"/>
          <w:sz w:val="20"/>
          <w:szCs w:val="20"/>
        </w:rPr>
        <w:t>pecto a la mayor parte de los</w:t>
      </w:r>
      <w:r w:rsidRPr="008C28E1">
        <w:rPr>
          <w:rFonts w:eastAsia="Batang"/>
          <w:sz w:val="20"/>
          <w:szCs w:val="20"/>
        </w:rPr>
        <w:t xml:space="preserve"> hechos y la necesidad de adoptar medidas de reparación. Asimismo, ha cesado la controversia </w:t>
      </w:r>
      <w:r w:rsidRPr="008C28E1">
        <w:rPr>
          <w:rFonts w:eastAsia="Batang"/>
          <w:sz w:val="20"/>
          <w:szCs w:val="20"/>
        </w:rPr>
        <w:lastRenderedPageBreak/>
        <w:t xml:space="preserve">respecto de </w:t>
      </w:r>
      <w:r>
        <w:rPr>
          <w:rFonts w:eastAsia="Batang"/>
          <w:sz w:val="20"/>
          <w:szCs w:val="20"/>
        </w:rPr>
        <w:t xml:space="preserve">varias </w:t>
      </w:r>
      <w:r w:rsidRPr="008C28E1">
        <w:rPr>
          <w:rFonts w:eastAsia="Batang"/>
          <w:sz w:val="20"/>
          <w:szCs w:val="20"/>
        </w:rPr>
        <w:t>de las violaciones a derechos humanos aducidas</w:t>
      </w:r>
      <w:r>
        <w:rPr>
          <w:rFonts w:eastAsia="Batang"/>
          <w:sz w:val="20"/>
          <w:szCs w:val="20"/>
        </w:rPr>
        <w:t xml:space="preserve">, </w:t>
      </w:r>
      <w:proofErr w:type="gramStart"/>
      <w:r>
        <w:rPr>
          <w:rFonts w:eastAsia="Batang"/>
          <w:sz w:val="20"/>
          <w:szCs w:val="20"/>
        </w:rPr>
        <w:t>de acuerdo a</w:t>
      </w:r>
      <w:proofErr w:type="gramEnd"/>
      <w:r>
        <w:rPr>
          <w:rFonts w:eastAsia="Batang"/>
          <w:sz w:val="20"/>
          <w:szCs w:val="20"/>
        </w:rPr>
        <w:t xml:space="preserve"> las precisiones ya formuladas</w:t>
      </w:r>
      <w:r w:rsidRPr="008C28E1">
        <w:rPr>
          <w:rFonts w:eastAsia="Batang"/>
          <w:sz w:val="20"/>
          <w:szCs w:val="20"/>
        </w:rPr>
        <w:t xml:space="preserve">. </w:t>
      </w:r>
    </w:p>
    <w:p w14:paraId="5A1F8968" w14:textId="77777777" w:rsidR="000C7C2E" w:rsidRDefault="000C7C2E" w:rsidP="000C7C2E">
      <w:pPr>
        <w:pStyle w:val="Prrafodelista"/>
        <w:tabs>
          <w:tab w:val="left" w:pos="965"/>
        </w:tabs>
        <w:ind w:left="0"/>
        <w:rPr>
          <w:sz w:val="20"/>
        </w:rPr>
      </w:pPr>
    </w:p>
    <w:p w14:paraId="06E73885" w14:textId="482CF1D8" w:rsidR="000C7C2E" w:rsidRPr="00D64A29" w:rsidRDefault="000C7C2E" w:rsidP="000C7C2E">
      <w:pPr>
        <w:pStyle w:val="Prrafodelista"/>
        <w:numPr>
          <w:ilvl w:val="0"/>
          <w:numId w:val="1"/>
        </w:numPr>
        <w:tabs>
          <w:tab w:val="left" w:pos="965"/>
        </w:tabs>
        <w:ind w:left="0" w:firstLine="0"/>
        <w:rPr>
          <w:sz w:val="20"/>
        </w:rPr>
      </w:pPr>
      <w:r w:rsidRPr="00D64A29">
        <w:rPr>
          <w:rFonts w:eastAsia="Batang"/>
          <w:sz w:val="20"/>
          <w:szCs w:val="20"/>
        </w:rPr>
        <w:t>E</w:t>
      </w:r>
      <w:r w:rsidRPr="00D64A29">
        <w:rPr>
          <w:sz w:val="20"/>
          <w:szCs w:val="20"/>
        </w:rPr>
        <w:t>l Tribunal no considera necesario, en esta oportunidad, examinar en forma detallada la violación del derecho a la vida, establecido en el artículo 4.1 de la Convención, en perjuicio de los señores Guerrero y Molina, ni la violación al derecho a l</w:t>
      </w:r>
      <w:r w:rsidR="008D1A79">
        <w:rPr>
          <w:sz w:val="20"/>
          <w:szCs w:val="20"/>
        </w:rPr>
        <w:t>a integridad personal, reconocido</w:t>
      </w:r>
      <w:r w:rsidRPr="00D64A29">
        <w:rPr>
          <w:sz w:val="20"/>
          <w:szCs w:val="20"/>
        </w:rPr>
        <w:t xml:space="preserve"> en el artículo 5.1 de la Convención, en perjuicio de sus familiares. Esto, dado el reconocimiento de responsabilidad internacional por parte del Estado sobre estos aspectos y toda vez que las respectivas pretensiones de derechos alegadas y reconocidas en el presente caso ya han sido objeto de desarrollo jurisprudencial por parte de la Corte Interamericana. Las violaciones a derechos humanos indicadas, entonces, quedan establecidas con base en el reconocimiento estatal de responsabilidad</w:t>
      </w:r>
      <w:r w:rsidRPr="00D64A29">
        <w:rPr>
          <w:rStyle w:val="Refdenotaalpie"/>
          <w:sz w:val="20"/>
          <w:szCs w:val="20"/>
        </w:rPr>
        <w:footnoteReference w:id="18"/>
      </w:r>
      <w:r w:rsidRPr="00D64A29">
        <w:rPr>
          <w:sz w:val="20"/>
          <w:szCs w:val="20"/>
        </w:rPr>
        <w:t>. Se deja sentado, al respecto, que los señores Molina y Guerrero fueron víctimas de ejecución extrajudicial o sin proceso por parte de funcionarios policiales y que, por los motivos que se expondrán más adelante (</w:t>
      </w:r>
      <w:r w:rsidRPr="00D64A29">
        <w:rPr>
          <w:i/>
          <w:sz w:val="20"/>
          <w:szCs w:val="20"/>
        </w:rPr>
        <w:t xml:space="preserve">infra </w:t>
      </w:r>
      <w:proofErr w:type="spellStart"/>
      <w:r w:rsidRPr="00D64A29">
        <w:rPr>
          <w:sz w:val="20"/>
          <w:szCs w:val="20"/>
        </w:rPr>
        <w:t>párr</w:t>
      </w:r>
      <w:r>
        <w:rPr>
          <w:sz w:val="20"/>
          <w:szCs w:val="20"/>
        </w:rPr>
        <w:t>s</w:t>
      </w:r>
      <w:proofErr w:type="spellEnd"/>
      <w:r w:rsidRPr="00D64A29">
        <w:rPr>
          <w:sz w:val="20"/>
          <w:szCs w:val="20"/>
        </w:rPr>
        <w:t xml:space="preserve">. </w:t>
      </w:r>
      <w:r>
        <w:rPr>
          <w:sz w:val="20"/>
          <w:szCs w:val="20"/>
        </w:rPr>
        <w:t>91 a 99</w:t>
      </w:r>
      <w:r w:rsidRPr="00D64A29">
        <w:rPr>
          <w:sz w:val="20"/>
          <w:szCs w:val="20"/>
        </w:rPr>
        <w:t xml:space="preserve">), la violación del derecho a la vida del señor Guerrero implicó también un acto de discriminación en su contra. </w:t>
      </w:r>
    </w:p>
    <w:p w14:paraId="6F7002B5" w14:textId="77777777" w:rsidR="000C7C2E" w:rsidRPr="00F6710D" w:rsidRDefault="000C7C2E" w:rsidP="000C7C2E">
      <w:pPr>
        <w:pStyle w:val="Prrafodelista"/>
        <w:tabs>
          <w:tab w:val="left" w:pos="965"/>
        </w:tabs>
        <w:ind w:left="0"/>
        <w:rPr>
          <w:sz w:val="20"/>
        </w:rPr>
      </w:pPr>
    </w:p>
    <w:p w14:paraId="3724C307" w14:textId="38E28F5A" w:rsidR="000C7C2E" w:rsidRPr="00703661" w:rsidRDefault="000C7C2E" w:rsidP="000C7C2E">
      <w:pPr>
        <w:pStyle w:val="Prrafodelista"/>
        <w:numPr>
          <w:ilvl w:val="0"/>
          <w:numId w:val="1"/>
        </w:numPr>
        <w:tabs>
          <w:tab w:val="left" w:pos="965"/>
        </w:tabs>
        <w:ind w:left="0" w:firstLine="0"/>
        <w:rPr>
          <w:rFonts w:eastAsia="Batang"/>
          <w:i/>
          <w:sz w:val="16"/>
          <w:szCs w:val="16"/>
        </w:rPr>
      </w:pPr>
      <w:r>
        <w:rPr>
          <w:rFonts w:eastAsia="Batang"/>
          <w:sz w:val="20"/>
          <w:szCs w:val="20"/>
        </w:rPr>
        <w:t>L</w:t>
      </w:r>
      <w:r w:rsidRPr="00F6710D">
        <w:rPr>
          <w:rFonts w:eastAsia="Batang"/>
          <w:sz w:val="20"/>
          <w:szCs w:val="20"/>
        </w:rPr>
        <w:t xml:space="preserve">a Corte </w:t>
      </w:r>
      <w:r>
        <w:rPr>
          <w:rFonts w:eastAsia="Batang"/>
          <w:sz w:val="20"/>
          <w:szCs w:val="20"/>
        </w:rPr>
        <w:t>nota, por otra parte, que</w:t>
      </w:r>
      <w:r w:rsidRPr="00D64A29">
        <w:rPr>
          <w:rFonts w:eastAsia="Batang"/>
          <w:sz w:val="20"/>
          <w:szCs w:val="20"/>
        </w:rPr>
        <w:t xml:space="preserve"> </w:t>
      </w:r>
      <w:r>
        <w:rPr>
          <w:rFonts w:eastAsia="Batang"/>
          <w:sz w:val="20"/>
          <w:szCs w:val="20"/>
        </w:rPr>
        <w:t>el Estado no ha aceptado de modo explícito todas las violaciones alegadas y ha controvertido en forma directa algunas de ellas. El Tribunal estima necesario</w:t>
      </w:r>
      <w:r w:rsidRPr="00F6710D">
        <w:rPr>
          <w:rFonts w:eastAsia="Batang"/>
          <w:sz w:val="20"/>
          <w:szCs w:val="20"/>
        </w:rPr>
        <w:t xml:space="preserve"> dictar la presente Sentencia y determinar en ella los hechos ocurridos</w:t>
      </w:r>
      <w:r>
        <w:rPr>
          <w:rFonts w:eastAsia="Batang"/>
          <w:sz w:val="20"/>
          <w:szCs w:val="20"/>
        </w:rPr>
        <w:t xml:space="preserve"> y las violaciones a derechos humanos consumadas</w:t>
      </w:r>
      <w:r>
        <w:rPr>
          <w:rStyle w:val="Refdenotaalpie"/>
          <w:rFonts w:eastAsia="Batang"/>
          <w:sz w:val="20"/>
          <w:szCs w:val="20"/>
        </w:rPr>
        <w:footnoteReference w:id="19"/>
      </w:r>
      <w:r w:rsidRPr="00F6710D">
        <w:rPr>
          <w:rFonts w:eastAsia="Batang"/>
          <w:sz w:val="20"/>
          <w:szCs w:val="20"/>
        </w:rPr>
        <w:t>. Ello</w:t>
      </w:r>
      <w:r>
        <w:rPr>
          <w:rFonts w:eastAsia="Batang"/>
          <w:sz w:val="20"/>
          <w:szCs w:val="20"/>
        </w:rPr>
        <w:t xml:space="preserve"> permite dirimir las controversias subsistentes y resolver lo conducente sobre alegatos que no fueron aceptados expresamente por el Estado. Además,</w:t>
      </w:r>
      <w:r w:rsidRPr="00F6710D">
        <w:rPr>
          <w:rFonts w:eastAsia="Batang"/>
          <w:sz w:val="20"/>
          <w:szCs w:val="20"/>
        </w:rPr>
        <w:t xml:space="preserve"> contribuye a la reparación de las víctimas, a evitar que se repitan hechos similares y a satisfacer, en suma, los fines de la jurisdicción interamericana sobre derechos humanos</w:t>
      </w:r>
      <w:r w:rsidRPr="00CC1265">
        <w:rPr>
          <w:rStyle w:val="Refdenotaalpie"/>
          <w:rFonts w:eastAsia="Batang"/>
          <w:sz w:val="20"/>
          <w:szCs w:val="20"/>
        </w:rPr>
        <w:footnoteReference w:id="20"/>
      </w:r>
      <w:r w:rsidRPr="00F6710D">
        <w:rPr>
          <w:rFonts w:eastAsia="Batang"/>
          <w:sz w:val="20"/>
          <w:szCs w:val="20"/>
        </w:rPr>
        <w:t>. La Corte se pronunciará</w:t>
      </w:r>
      <w:r>
        <w:rPr>
          <w:rFonts w:eastAsia="Batang"/>
          <w:sz w:val="20"/>
          <w:szCs w:val="20"/>
        </w:rPr>
        <w:t>, asimismo,</w:t>
      </w:r>
      <w:r w:rsidRPr="00F6710D">
        <w:rPr>
          <w:rFonts w:eastAsia="Batang"/>
          <w:sz w:val="20"/>
          <w:szCs w:val="20"/>
        </w:rPr>
        <w:t xml:space="preserve"> sobre las </w:t>
      </w:r>
      <w:r>
        <w:rPr>
          <w:rFonts w:eastAsia="Batang"/>
          <w:sz w:val="20"/>
          <w:szCs w:val="20"/>
        </w:rPr>
        <w:t xml:space="preserve">medidas de reparación </w:t>
      </w:r>
      <w:r w:rsidRPr="00F6710D">
        <w:rPr>
          <w:rFonts w:eastAsia="Batang"/>
          <w:sz w:val="20"/>
          <w:szCs w:val="20"/>
        </w:rPr>
        <w:t xml:space="preserve">correspondientes. </w:t>
      </w:r>
    </w:p>
    <w:p w14:paraId="185AC554" w14:textId="77777777" w:rsidR="000C7C2E" w:rsidRPr="000F2A5F" w:rsidRDefault="000C7C2E" w:rsidP="000C7C2E">
      <w:pPr>
        <w:pStyle w:val="Prrafodelista"/>
        <w:rPr>
          <w:sz w:val="20"/>
        </w:rPr>
      </w:pPr>
    </w:p>
    <w:p w14:paraId="6D50DC90" w14:textId="77777777" w:rsidR="000C7C2E" w:rsidRPr="00F6710D" w:rsidRDefault="000C7C2E" w:rsidP="000C7C2E">
      <w:pPr>
        <w:pStyle w:val="Prrafodelista"/>
        <w:numPr>
          <w:ilvl w:val="0"/>
          <w:numId w:val="1"/>
        </w:numPr>
        <w:tabs>
          <w:tab w:val="left" w:pos="965"/>
        </w:tabs>
        <w:ind w:left="0" w:firstLine="0"/>
        <w:rPr>
          <w:sz w:val="20"/>
        </w:rPr>
      </w:pPr>
      <w:r>
        <w:rPr>
          <w:rFonts w:eastAsia="Calibri" w:cs="Times New Roman"/>
          <w:color w:val="000000"/>
          <w:sz w:val="20"/>
          <w:szCs w:val="20"/>
        </w:rPr>
        <w:t>Este Tribunal no se pronunciará sobre el artículo 2 de la Convención Americana, cuya supuesta violación fue reconocida por Venezuela, pero no alegada por la Comisión ni por los representantes (</w:t>
      </w:r>
      <w:r>
        <w:rPr>
          <w:rFonts w:eastAsia="Calibri" w:cs="Times New Roman"/>
          <w:i/>
          <w:color w:val="000000"/>
          <w:sz w:val="20"/>
          <w:szCs w:val="20"/>
        </w:rPr>
        <w:t xml:space="preserve">supra </w:t>
      </w:r>
      <w:r>
        <w:rPr>
          <w:rFonts w:eastAsia="Calibri" w:cs="Times New Roman"/>
          <w:color w:val="000000"/>
          <w:sz w:val="20"/>
          <w:szCs w:val="20"/>
        </w:rPr>
        <w:t xml:space="preserve">párr. 14). El Estado </w:t>
      </w:r>
      <w:r w:rsidRPr="00555D7D">
        <w:rPr>
          <w:rFonts w:eastAsia="Calibri" w:cs="Times New Roman"/>
          <w:color w:val="000000"/>
          <w:sz w:val="20"/>
          <w:szCs w:val="20"/>
        </w:rPr>
        <w:t>no explicó los motivos por los cuales sería responsable p</w:t>
      </w:r>
      <w:r>
        <w:rPr>
          <w:rFonts w:eastAsia="Calibri" w:cs="Times New Roman"/>
          <w:color w:val="000000"/>
          <w:sz w:val="20"/>
          <w:szCs w:val="20"/>
        </w:rPr>
        <w:t>or dicha violación y la Corte no encuentra sustento para examinarla.</w:t>
      </w:r>
    </w:p>
    <w:p w14:paraId="522A713B" w14:textId="7084BC0A" w:rsidR="000C7C2E" w:rsidRDefault="000C7C2E" w:rsidP="000C7C2E">
      <w:pPr>
        <w:pStyle w:val="Prrafodelista"/>
        <w:tabs>
          <w:tab w:val="left" w:pos="965"/>
        </w:tabs>
        <w:ind w:left="0"/>
        <w:rPr>
          <w:rFonts w:eastAsia="Batang"/>
          <w:sz w:val="20"/>
          <w:szCs w:val="20"/>
        </w:rPr>
      </w:pPr>
    </w:p>
    <w:p w14:paraId="2F2EBD73" w14:textId="0A88CD02" w:rsidR="00896CF4" w:rsidRDefault="00896CF4" w:rsidP="000C7C2E">
      <w:pPr>
        <w:pStyle w:val="Prrafodelista"/>
        <w:tabs>
          <w:tab w:val="left" w:pos="965"/>
        </w:tabs>
        <w:ind w:left="0"/>
        <w:rPr>
          <w:rFonts w:eastAsia="Batang"/>
          <w:sz w:val="20"/>
          <w:szCs w:val="20"/>
        </w:rPr>
      </w:pPr>
    </w:p>
    <w:p w14:paraId="3D2D7A67" w14:textId="282FD650" w:rsidR="00896CF4" w:rsidRDefault="00896CF4" w:rsidP="000C7C2E">
      <w:pPr>
        <w:pStyle w:val="Prrafodelista"/>
        <w:tabs>
          <w:tab w:val="left" w:pos="965"/>
        </w:tabs>
        <w:ind w:left="0"/>
        <w:rPr>
          <w:rFonts w:eastAsia="Batang"/>
          <w:sz w:val="20"/>
          <w:szCs w:val="20"/>
        </w:rPr>
      </w:pPr>
    </w:p>
    <w:p w14:paraId="4E3D79B4" w14:textId="0ED46C21" w:rsidR="00896CF4" w:rsidRDefault="00896CF4" w:rsidP="000C7C2E">
      <w:pPr>
        <w:pStyle w:val="Prrafodelista"/>
        <w:tabs>
          <w:tab w:val="left" w:pos="965"/>
        </w:tabs>
        <w:ind w:left="0"/>
        <w:rPr>
          <w:rFonts w:eastAsia="Batang"/>
          <w:sz w:val="20"/>
          <w:szCs w:val="20"/>
        </w:rPr>
      </w:pPr>
    </w:p>
    <w:p w14:paraId="0644E3DE" w14:textId="77777777" w:rsidR="00896CF4" w:rsidRDefault="00896CF4" w:rsidP="000C7C2E">
      <w:pPr>
        <w:pStyle w:val="Prrafodelista"/>
        <w:tabs>
          <w:tab w:val="left" w:pos="965"/>
        </w:tabs>
        <w:ind w:left="0"/>
        <w:rPr>
          <w:rFonts w:eastAsia="Batang"/>
          <w:sz w:val="20"/>
          <w:szCs w:val="20"/>
        </w:rPr>
      </w:pPr>
    </w:p>
    <w:p w14:paraId="4146B415" w14:textId="77777777" w:rsidR="000C7C2E" w:rsidRDefault="000C7C2E" w:rsidP="000C7C2E">
      <w:pPr>
        <w:pStyle w:val="Ttulo1"/>
        <w:ind w:left="0"/>
      </w:pPr>
      <w:bookmarkStart w:id="27" w:name="_Toc73960341"/>
      <w:r>
        <w:lastRenderedPageBreak/>
        <w:t>V</w:t>
      </w:r>
      <w:bookmarkEnd w:id="27"/>
    </w:p>
    <w:p w14:paraId="507766B0" w14:textId="77777777" w:rsidR="000C7C2E" w:rsidRPr="003B0DBA" w:rsidRDefault="000C7C2E" w:rsidP="000C7C2E">
      <w:pPr>
        <w:pStyle w:val="Ttulo1"/>
        <w:ind w:left="0"/>
      </w:pPr>
      <w:bookmarkStart w:id="28" w:name="_Toc73960342"/>
      <w:r>
        <w:t>PRUEBA</w:t>
      </w:r>
      <w:bookmarkEnd w:id="28"/>
    </w:p>
    <w:p w14:paraId="0FAB5EB5" w14:textId="77777777" w:rsidR="000C7C2E" w:rsidRDefault="000C7C2E" w:rsidP="000C7C2E">
      <w:pPr>
        <w:pStyle w:val="Prrafodelista"/>
        <w:tabs>
          <w:tab w:val="left" w:pos="965"/>
        </w:tabs>
        <w:ind w:left="0"/>
        <w:rPr>
          <w:sz w:val="20"/>
          <w:szCs w:val="20"/>
        </w:rPr>
      </w:pPr>
    </w:p>
    <w:p w14:paraId="3C5D0764" w14:textId="77777777" w:rsidR="000C7C2E" w:rsidRPr="004754B0" w:rsidRDefault="000C7C2E" w:rsidP="000F2503">
      <w:pPr>
        <w:pStyle w:val="Ttulo2"/>
        <w:numPr>
          <w:ilvl w:val="0"/>
          <w:numId w:val="8"/>
        </w:numPr>
        <w:tabs>
          <w:tab w:val="left" w:pos="1418"/>
        </w:tabs>
        <w:ind w:left="284" w:right="-801" w:firstLine="0"/>
        <w:rPr>
          <w:rFonts w:eastAsia="Batang"/>
        </w:rPr>
      </w:pPr>
      <w:bookmarkStart w:id="29" w:name="_Toc73960343"/>
      <w:r>
        <w:rPr>
          <w:rFonts w:eastAsia="Batang"/>
        </w:rPr>
        <w:t>Admisibilidad de la prueba documental</w:t>
      </w:r>
      <w:bookmarkEnd w:id="29"/>
    </w:p>
    <w:p w14:paraId="57F165A9" w14:textId="77777777" w:rsidR="000C7C2E" w:rsidRPr="008C28E1" w:rsidRDefault="000C7C2E" w:rsidP="000C7C2E">
      <w:pPr>
        <w:pStyle w:val="Prrafodelista"/>
        <w:tabs>
          <w:tab w:val="left" w:pos="965"/>
        </w:tabs>
        <w:ind w:left="0"/>
        <w:rPr>
          <w:sz w:val="20"/>
        </w:rPr>
      </w:pPr>
    </w:p>
    <w:p w14:paraId="62D5F888" w14:textId="77777777" w:rsidR="000C7C2E" w:rsidRDefault="000C7C2E" w:rsidP="000C7C2E">
      <w:pPr>
        <w:pStyle w:val="Prrafodelista"/>
        <w:numPr>
          <w:ilvl w:val="0"/>
          <w:numId w:val="1"/>
        </w:numPr>
        <w:tabs>
          <w:tab w:val="left" w:pos="965"/>
        </w:tabs>
        <w:ind w:left="0" w:firstLine="0"/>
        <w:rPr>
          <w:sz w:val="20"/>
          <w:szCs w:val="20"/>
        </w:rPr>
      </w:pPr>
      <w:r w:rsidRPr="0012444A">
        <w:rPr>
          <w:sz w:val="20"/>
          <w:szCs w:val="20"/>
        </w:rPr>
        <w:t>La Corte recibió diversos documentos presentados como prueba por la Comisión y los representantes junto con sus escritos principales (</w:t>
      </w:r>
      <w:r w:rsidRPr="0012444A">
        <w:rPr>
          <w:i/>
          <w:sz w:val="20"/>
          <w:szCs w:val="20"/>
        </w:rPr>
        <w:t>supra</w:t>
      </w:r>
      <w:r w:rsidRPr="0012444A">
        <w:rPr>
          <w:sz w:val="20"/>
          <w:szCs w:val="20"/>
        </w:rPr>
        <w:t xml:space="preserve"> </w:t>
      </w:r>
      <w:proofErr w:type="spellStart"/>
      <w:r w:rsidRPr="0012444A">
        <w:rPr>
          <w:sz w:val="20"/>
          <w:szCs w:val="20"/>
        </w:rPr>
        <w:t>párrs</w:t>
      </w:r>
      <w:proofErr w:type="spellEnd"/>
      <w:r w:rsidRPr="0012444A">
        <w:rPr>
          <w:sz w:val="20"/>
          <w:szCs w:val="20"/>
        </w:rPr>
        <w:t xml:space="preserve">. </w:t>
      </w:r>
      <w:r>
        <w:rPr>
          <w:sz w:val="20"/>
          <w:szCs w:val="20"/>
        </w:rPr>
        <w:t>4 y 7</w:t>
      </w:r>
      <w:r w:rsidRPr="0012444A">
        <w:rPr>
          <w:sz w:val="20"/>
          <w:szCs w:val="20"/>
        </w:rPr>
        <w:t>)</w:t>
      </w:r>
      <w:r w:rsidRPr="0012444A">
        <w:rPr>
          <w:rStyle w:val="Refdenotaalpie"/>
          <w:sz w:val="20"/>
          <w:szCs w:val="20"/>
        </w:rPr>
        <w:footnoteReference w:id="21"/>
      </w:r>
      <w:r w:rsidRPr="0012444A">
        <w:rPr>
          <w:sz w:val="20"/>
          <w:szCs w:val="20"/>
        </w:rPr>
        <w:t>. Como en otros casos, este Tribunal admite aquellos documentos presentados oportunamente (artículo 57 del Reglamento) por las partes y la Comisión, cuya admisibilidad no fue controvertida ni objetada, ni cuya autenticidad fue puesta en duda</w:t>
      </w:r>
      <w:r w:rsidRPr="0012444A">
        <w:rPr>
          <w:rStyle w:val="Refdenotaalpie"/>
          <w:sz w:val="20"/>
          <w:szCs w:val="20"/>
        </w:rPr>
        <w:footnoteReference w:id="22"/>
      </w:r>
      <w:r w:rsidRPr="0012444A">
        <w:rPr>
          <w:sz w:val="20"/>
          <w:szCs w:val="20"/>
        </w:rPr>
        <w:t>.</w:t>
      </w:r>
    </w:p>
    <w:p w14:paraId="45AC6813" w14:textId="77777777" w:rsidR="000C7C2E" w:rsidRDefault="000C7C2E" w:rsidP="000C7C2E">
      <w:pPr>
        <w:pStyle w:val="Prrafodelista"/>
        <w:tabs>
          <w:tab w:val="left" w:pos="965"/>
        </w:tabs>
        <w:ind w:left="0"/>
        <w:rPr>
          <w:sz w:val="20"/>
          <w:szCs w:val="20"/>
        </w:rPr>
      </w:pPr>
    </w:p>
    <w:p w14:paraId="0221859C" w14:textId="77777777" w:rsidR="000C7C2E" w:rsidRDefault="000C7C2E" w:rsidP="000C7C2E">
      <w:pPr>
        <w:pStyle w:val="Prrafodelista"/>
        <w:numPr>
          <w:ilvl w:val="0"/>
          <w:numId w:val="1"/>
        </w:numPr>
        <w:tabs>
          <w:tab w:val="left" w:pos="965"/>
        </w:tabs>
        <w:ind w:left="0" w:firstLine="0"/>
        <w:rPr>
          <w:sz w:val="20"/>
          <w:szCs w:val="20"/>
        </w:rPr>
      </w:pPr>
      <w:r w:rsidRPr="00901A0E">
        <w:rPr>
          <w:sz w:val="20"/>
          <w:szCs w:val="20"/>
        </w:rPr>
        <w:t>Además, en virtud de lo dispuesto en la Resolución de la Presidenta de la Corte de 13 de octubre de 2020 (</w:t>
      </w:r>
      <w:r w:rsidRPr="00901A0E">
        <w:rPr>
          <w:i/>
          <w:sz w:val="20"/>
          <w:szCs w:val="20"/>
        </w:rPr>
        <w:t>supra</w:t>
      </w:r>
      <w:r w:rsidRPr="00901A0E">
        <w:rPr>
          <w:sz w:val="20"/>
          <w:szCs w:val="20"/>
        </w:rPr>
        <w:t xml:space="preserve"> párr. </w:t>
      </w:r>
      <w:r>
        <w:rPr>
          <w:sz w:val="20"/>
          <w:szCs w:val="20"/>
        </w:rPr>
        <w:t>10</w:t>
      </w:r>
      <w:r w:rsidRPr="00901A0E">
        <w:rPr>
          <w:sz w:val="20"/>
          <w:szCs w:val="20"/>
        </w:rPr>
        <w:t xml:space="preserve">), quedan incorporadas al acervo probatorio, como prueba documental, las declaraciones periciales de a) Hugo </w:t>
      </w:r>
      <w:proofErr w:type="spellStart"/>
      <w:r w:rsidRPr="00901A0E">
        <w:rPr>
          <w:sz w:val="20"/>
          <w:szCs w:val="20"/>
        </w:rPr>
        <w:t>Fruhling</w:t>
      </w:r>
      <w:proofErr w:type="spellEnd"/>
      <w:r w:rsidRPr="00901A0E">
        <w:rPr>
          <w:sz w:val="20"/>
          <w:szCs w:val="20"/>
        </w:rPr>
        <w:t xml:space="preserve">, rendida en el caso </w:t>
      </w:r>
      <w:r w:rsidRPr="00901A0E">
        <w:rPr>
          <w:i/>
          <w:sz w:val="20"/>
          <w:szCs w:val="20"/>
        </w:rPr>
        <w:t>Hermanos Landaeta Mejías y otros Vs. Venezuela</w:t>
      </w:r>
      <w:r w:rsidRPr="00901A0E">
        <w:rPr>
          <w:sz w:val="20"/>
          <w:szCs w:val="20"/>
        </w:rPr>
        <w:t xml:space="preserve">; b) Christof </w:t>
      </w:r>
      <w:proofErr w:type="spellStart"/>
      <w:r w:rsidRPr="00901A0E">
        <w:rPr>
          <w:sz w:val="20"/>
          <w:szCs w:val="20"/>
        </w:rPr>
        <w:t>Heyns</w:t>
      </w:r>
      <w:proofErr w:type="spellEnd"/>
      <w:r w:rsidRPr="00901A0E">
        <w:rPr>
          <w:sz w:val="20"/>
          <w:szCs w:val="20"/>
        </w:rPr>
        <w:t xml:space="preserve">, dada en el caso </w:t>
      </w:r>
      <w:r w:rsidRPr="00901A0E">
        <w:rPr>
          <w:i/>
          <w:sz w:val="20"/>
          <w:szCs w:val="20"/>
        </w:rPr>
        <w:t>Favela Nova Brasilia Vs. Brasil</w:t>
      </w:r>
      <w:r w:rsidRPr="00901A0E">
        <w:rPr>
          <w:rStyle w:val="Refdenotaalpie"/>
          <w:i/>
          <w:sz w:val="20"/>
          <w:szCs w:val="20"/>
        </w:rPr>
        <w:footnoteReference w:id="23"/>
      </w:r>
      <w:r w:rsidRPr="00901A0E">
        <w:rPr>
          <w:sz w:val="20"/>
          <w:szCs w:val="20"/>
        </w:rPr>
        <w:t xml:space="preserve">; c) Magaly Mercedes Vásquez González, presentada en el caso </w:t>
      </w:r>
      <w:r w:rsidRPr="00901A0E">
        <w:rPr>
          <w:i/>
          <w:sz w:val="20"/>
          <w:szCs w:val="20"/>
        </w:rPr>
        <w:t>Familia Barrios Vs. Venezuela</w:t>
      </w:r>
      <w:r w:rsidRPr="00901A0E">
        <w:rPr>
          <w:sz w:val="20"/>
          <w:szCs w:val="20"/>
        </w:rPr>
        <w:t xml:space="preserve">, y d) José Pablo </w:t>
      </w:r>
      <w:proofErr w:type="spellStart"/>
      <w:r w:rsidRPr="00901A0E">
        <w:rPr>
          <w:sz w:val="20"/>
          <w:szCs w:val="20"/>
        </w:rPr>
        <w:t>Baraybar</w:t>
      </w:r>
      <w:proofErr w:type="spellEnd"/>
      <w:r w:rsidRPr="00901A0E">
        <w:rPr>
          <w:sz w:val="20"/>
          <w:szCs w:val="20"/>
        </w:rPr>
        <w:t xml:space="preserve">, producida en el caso </w:t>
      </w:r>
      <w:r w:rsidRPr="00901A0E">
        <w:rPr>
          <w:i/>
          <w:sz w:val="20"/>
          <w:szCs w:val="20"/>
        </w:rPr>
        <w:t>Hermanos Landaeta Mejías y otros Vs. Venezuela</w:t>
      </w:r>
      <w:r w:rsidRPr="00901A0E">
        <w:rPr>
          <w:sz w:val="20"/>
          <w:szCs w:val="20"/>
        </w:rPr>
        <w:t>.</w:t>
      </w:r>
      <w:r>
        <w:rPr>
          <w:sz w:val="20"/>
          <w:szCs w:val="20"/>
        </w:rPr>
        <w:t xml:space="preserve"> </w:t>
      </w:r>
      <w:r w:rsidRPr="004A5A40">
        <w:rPr>
          <w:sz w:val="20"/>
          <w:szCs w:val="20"/>
        </w:rPr>
        <w:t xml:space="preserve">La incorporación del primer documento fue solicitada por la Comisión y </w:t>
      </w:r>
      <w:r>
        <w:rPr>
          <w:sz w:val="20"/>
          <w:szCs w:val="20"/>
        </w:rPr>
        <w:t xml:space="preserve">la </w:t>
      </w:r>
      <w:r w:rsidRPr="004A5A40">
        <w:rPr>
          <w:sz w:val="20"/>
          <w:szCs w:val="20"/>
        </w:rPr>
        <w:t>de los restantes por los representantes.</w:t>
      </w:r>
    </w:p>
    <w:p w14:paraId="5B0F69F1" w14:textId="77777777" w:rsidR="000C7C2E" w:rsidRPr="005C107E" w:rsidRDefault="000C7C2E" w:rsidP="000C7C2E">
      <w:pPr>
        <w:pStyle w:val="Prrafodelista"/>
        <w:rPr>
          <w:sz w:val="20"/>
          <w:szCs w:val="20"/>
          <w:highlight w:val="yellow"/>
        </w:rPr>
      </w:pPr>
    </w:p>
    <w:p w14:paraId="79602C33" w14:textId="0745D9F4" w:rsidR="000C7C2E" w:rsidRPr="005C107E" w:rsidRDefault="000C7C2E" w:rsidP="000C7C2E">
      <w:pPr>
        <w:pStyle w:val="Prrafodelista"/>
        <w:numPr>
          <w:ilvl w:val="0"/>
          <w:numId w:val="1"/>
        </w:numPr>
        <w:tabs>
          <w:tab w:val="left" w:pos="965"/>
        </w:tabs>
        <w:ind w:left="0" w:firstLine="0"/>
        <w:rPr>
          <w:sz w:val="20"/>
          <w:szCs w:val="20"/>
        </w:rPr>
      </w:pPr>
      <w:r w:rsidRPr="005C107E">
        <w:rPr>
          <w:sz w:val="20"/>
          <w:szCs w:val="20"/>
        </w:rPr>
        <w:t xml:space="preserve">Por otra parte, la Corte observa que los representantes, junto con sus alegatos finales escritos, presentaron una publicación del Consejo de Derechos Humanos de la Organización de las Naciones Unidas de 15 de septiembre de 2020, es decir, efectuada después de la presentación del escrito de solicitudes y argumentos. Además, remitieron comprobantes de erogaciones monetarias realizadas también con posterioridad al escrito de solicitudes y argumentos. </w:t>
      </w:r>
      <w:r>
        <w:rPr>
          <w:sz w:val="20"/>
          <w:szCs w:val="20"/>
        </w:rPr>
        <w:t xml:space="preserve">Los documentos, por tanto, </w:t>
      </w:r>
      <w:r w:rsidRPr="005C107E">
        <w:rPr>
          <w:sz w:val="20"/>
          <w:szCs w:val="20"/>
        </w:rPr>
        <w:t>resultan prueba de hechos supervinientes, en los términos del artículo</w:t>
      </w:r>
      <w:r>
        <w:rPr>
          <w:sz w:val="20"/>
          <w:szCs w:val="20"/>
        </w:rPr>
        <w:t xml:space="preserve"> </w:t>
      </w:r>
      <w:r w:rsidRPr="005C107E">
        <w:rPr>
          <w:sz w:val="20"/>
          <w:szCs w:val="20"/>
        </w:rPr>
        <w:t>57.2 del Reglamento</w:t>
      </w:r>
      <w:r w:rsidR="003D4BE1">
        <w:rPr>
          <w:sz w:val="20"/>
          <w:szCs w:val="20"/>
        </w:rPr>
        <w:t>,</w:t>
      </w:r>
      <w:r w:rsidRPr="005C107E">
        <w:rPr>
          <w:sz w:val="20"/>
          <w:szCs w:val="20"/>
        </w:rPr>
        <w:t xml:space="preserve"> y quedan admitido</w:t>
      </w:r>
      <w:r>
        <w:rPr>
          <w:sz w:val="20"/>
          <w:szCs w:val="20"/>
        </w:rPr>
        <w:t>s</w:t>
      </w:r>
      <w:r>
        <w:rPr>
          <w:rStyle w:val="Refdenotaalpie"/>
          <w:sz w:val="20"/>
          <w:szCs w:val="20"/>
        </w:rPr>
        <w:footnoteReference w:id="24"/>
      </w:r>
      <w:r>
        <w:rPr>
          <w:sz w:val="20"/>
          <w:szCs w:val="20"/>
        </w:rPr>
        <w:t>.</w:t>
      </w:r>
    </w:p>
    <w:p w14:paraId="798C95B6" w14:textId="1C74B372" w:rsidR="000C7C2E" w:rsidRDefault="000C7C2E" w:rsidP="000C7C2E">
      <w:pPr>
        <w:pStyle w:val="Prrafodelista"/>
        <w:tabs>
          <w:tab w:val="left" w:pos="965"/>
        </w:tabs>
        <w:ind w:left="0"/>
        <w:rPr>
          <w:sz w:val="20"/>
          <w:szCs w:val="20"/>
        </w:rPr>
      </w:pPr>
    </w:p>
    <w:p w14:paraId="4414DE6D" w14:textId="4E1601CD" w:rsidR="00896CF4" w:rsidRDefault="00896CF4" w:rsidP="000C7C2E">
      <w:pPr>
        <w:pStyle w:val="Prrafodelista"/>
        <w:tabs>
          <w:tab w:val="left" w:pos="965"/>
        </w:tabs>
        <w:ind w:left="0"/>
        <w:rPr>
          <w:sz w:val="20"/>
          <w:szCs w:val="20"/>
        </w:rPr>
      </w:pPr>
    </w:p>
    <w:p w14:paraId="3D4FE38C" w14:textId="77777777" w:rsidR="00896CF4" w:rsidRPr="0012444A" w:rsidRDefault="00896CF4" w:rsidP="000C7C2E">
      <w:pPr>
        <w:pStyle w:val="Prrafodelista"/>
        <w:tabs>
          <w:tab w:val="left" w:pos="965"/>
        </w:tabs>
        <w:ind w:left="0"/>
        <w:rPr>
          <w:sz w:val="20"/>
          <w:szCs w:val="20"/>
        </w:rPr>
      </w:pPr>
    </w:p>
    <w:p w14:paraId="21586A9E" w14:textId="77777777" w:rsidR="000C7C2E" w:rsidRPr="0012444A" w:rsidRDefault="000C7C2E" w:rsidP="000F2503">
      <w:pPr>
        <w:pStyle w:val="Ttulo2"/>
        <w:numPr>
          <w:ilvl w:val="0"/>
          <w:numId w:val="8"/>
        </w:numPr>
        <w:tabs>
          <w:tab w:val="left" w:pos="1418"/>
        </w:tabs>
        <w:ind w:left="284" w:right="-801" w:firstLine="0"/>
        <w:rPr>
          <w:rFonts w:eastAsia="Batang"/>
        </w:rPr>
      </w:pPr>
      <w:bookmarkStart w:id="30" w:name="_Toc73960344"/>
      <w:r w:rsidRPr="0012444A">
        <w:rPr>
          <w:rFonts w:eastAsia="Batang"/>
        </w:rPr>
        <w:lastRenderedPageBreak/>
        <w:t>Admisibilidad de la prueba testimonial y pericial</w:t>
      </w:r>
      <w:bookmarkEnd w:id="30"/>
    </w:p>
    <w:p w14:paraId="57FF00D8" w14:textId="77777777" w:rsidR="000C7C2E" w:rsidRPr="0012444A" w:rsidRDefault="000C7C2E" w:rsidP="000C7C2E">
      <w:pPr>
        <w:rPr>
          <w:sz w:val="20"/>
          <w:szCs w:val="20"/>
        </w:rPr>
      </w:pPr>
    </w:p>
    <w:p w14:paraId="6CD04950" w14:textId="4B2F5DCB" w:rsidR="000C7C2E" w:rsidRPr="008B6B12" w:rsidRDefault="000C7C2E" w:rsidP="000C7C2E">
      <w:pPr>
        <w:pStyle w:val="Prrafodelista"/>
        <w:numPr>
          <w:ilvl w:val="0"/>
          <w:numId w:val="1"/>
        </w:numPr>
        <w:tabs>
          <w:tab w:val="left" w:pos="965"/>
        </w:tabs>
        <w:ind w:left="0" w:firstLine="0"/>
        <w:rPr>
          <w:sz w:val="20"/>
          <w:szCs w:val="20"/>
        </w:rPr>
      </w:pPr>
      <w:r w:rsidRPr="008B6B12">
        <w:rPr>
          <w:sz w:val="20"/>
          <w:szCs w:val="20"/>
        </w:rPr>
        <w:t>La Corte estima pertinente admitir la declaración</w:t>
      </w:r>
      <w:r>
        <w:rPr>
          <w:sz w:val="20"/>
          <w:szCs w:val="20"/>
        </w:rPr>
        <w:t xml:space="preserve"> de</w:t>
      </w:r>
      <w:r w:rsidRPr="008B6B12">
        <w:rPr>
          <w:sz w:val="20"/>
          <w:szCs w:val="20"/>
        </w:rPr>
        <w:t xml:space="preserve"> </w:t>
      </w:r>
      <w:r w:rsidRPr="00D8581F">
        <w:rPr>
          <w:i/>
          <w:sz w:val="20"/>
          <w:szCs w:val="20"/>
        </w:rPr>
        <w:t>Jean Carlos Guerrero</w:t>
      </w:r>
      <w:r w:rsidR="00981E0C">
        <w:rPr>
          <w:i/>
          <w:sz w:val="20"/>
          <w:szCs w:val="20"/>
        </w:rPr>
        <w:t xml:space="preserve"> Meléndez</w:t>
      </w:r>
      <w:r w:rsidRPr="008B6B12">
        <w:rPr>
          <w:sz w:val="20"/>
          <w:szCs w:val="20"/>
        </w:rPr>
        <w:t xml:space="preserve">, </w:t>
      </w:r>
      <w:r>
        <w:rPr>
          <w:sz w:val="20"/>
          <w:szCs w:val="20"/>
        </w:rPr>
        <w:t xml:space="preserve">dada en forma oral </w:t>
      </w:r>
      <w:r w:rsidRPr="008B6B12">
        <w:rPr>
          <w:sz w:val="20"/>
          <w:szCs w:val="20"/>
        </w:rPr>
        <w:t>en la diligencia realizada por videoconferencia (</w:t>
      </w:r>
      <w:r w:rsidRPr="008B6B12">
        <w:rPr>
          <w:i/>
          <w:sz w:val="20"/>
          <w:szCs w:val="20"/>
        </w:rPr>
        <w:t>supra</w:t>
      </w:r>
      <w:r w:rsidRPr="008B6B12">
        <w:rPr>
          <w:sz w:val="20"/>
          <w:szCs w:val="20"/>
        </w:rPr>
        <w:t xml:space="preserve"> párr.</w:t>
      </w:r>
      <w:r>
        <w:rPr>
          <w:sz w:val="20"/>
          <w:szCs w:val="20"/>
        </w:rPr>
        <w:t xml:space="preserve"> 10</w:t>
      </w:r>
      <w:r w:rsidRPr="008B6B12">
        <w:rPr>
          <w:sz w:val="20"/>
          <w:szCs w:val="20"/>
        </w:rPr>
        <w:t>), así como las declaraciones rendidas</w:t>
      </w:r>
      <w:r>
        <w:rPr>
          <w:sz w:val="20"/>
          <w:szCs w:val="20"/>
        </w:rPr>
        <w:t xml:space="preserve"> por escrito</w:t>
      </w:r>
      <w:r w:rsidRPr="008B6B12">
        <w:rPr>
          <w:sz w:val="20"/>
          <w:szCs w:val="20"/>
        </w:rPr>
        <w:t xml:space="preserve"> ante fedatario público y en español, idioma de trabajo del caso, que fueron presentadas en forma oportuna, en la medida en que se ajusten al objeto que fue definido por la Presidencia, en la Resolución mediante la cual ordenó recibirlas (</w:t>
      </w:r>
      <w:r w:rsidRPr="008B6B12">
        <w:rPr>
          <w:i/>
          <w:sz w:val="20"/>
          <w:szCs w:val="20"/>
        </w:rPr>
        <w:t xml:space="preserve">supra </w:t>
      </w:r>
      <w:r w:rsidRPr="008B6B12">
        <w:rPr>
          <w:sz w:val="20"/>
          <w:szCs w:val="20"/>
        </w:rPr>
        <w:t xml:space="preserve">párr. </w:t>
      </w:r>
      <w:r>
        <w:rPr>
          <w:sz w:val="20"/>
          <w:szCs w:val="20"/>
        </w:rPr>
        <w:t>10</w:t>
      </w:r>
      <w:r w:rsidRPr="008B6B12">
        <w:rPr>
          <w:sz w:val="20"/>
          <w:szCs w:val="20"/>
        </w:rPr>
        <w:t>)</w:t>
      </w:r>
      <w:r w:rsidRPr="008B6B12">
        <w:rPr>
          <w:rStyle w:val="Refdenotaalpie"/>
          <w:sz w:val="20"/>
          <w:szCs w:val="20"/>
        </w:rPr>
        <w:footnoteReference w:id="25"/>
      </w:r>
      <w:r w:rsidRPr="008B6B12">
        <w:rPr>
          <w:sz w:val="20"/>
          <w:szCs w:val="20"/>
        </w:rPr>
        <w:t xml:space="preserve">. </w:t>
      </w:r>
    </w:p>
    <w:p w14:paraId="0D998304" w14:textId="77777777" w:rsidR="000C7C2E" w:rsidRDefault="000C7C2E" w:rsidP="000C7C2E">
      <w:pPr>
        <w:pStyle w:val="Prrafodelista"/>
        <w:tabs>
          <w:tab w:val="left" w:pos="965"/>
        </w:tabs>
        <w:ind w:left="0"/>
        <w:rPr>
          <w:sz w:val="20"/>
          <w:szCs w:val="20"/>
        </w:rPr>
      </w:pPr>
    </w:p>
    <w:p w14:paraId="5543FB28" w14:textId="39213B22" w:rsidR="000C7C2E" w:rsidRPr="00542071" w:rsidRDefault="000C7C2E" w:rsidP="000C7C2E">
      <w:pPr>
        <w:pStyle w:val="Prrafodelista"/>
        <w:numPr>
          <w:ilvl w:val="0"/>
          <w:numId w:val="1"/>
        </w:numPr>
        <w:tabs>
          <w:tab w:val="left" w:pos="965"/>
        </w:tabs>
        <w:ind w:left="0" w:firstLine="0"/>
        <w:rPr>
          <w:sz w:val="16"/>
          <w:szCs w:val="16"/>
        </w:rPr>
      </w:pPr>
      <w:r>
        <w:rPr>
          <w:sz w:val="20"/>
          <w:szCs w:val="20"/>
        </w:rPr>
        <w:t xml:space="preserve">Las declaraciones, propuestas por los </w:t>
      </w:r>
      <w:r w:rsidRPr="006A2562">
        <w:rPr>
          <w:sz w:val="20"/>
          <w:szCs w:val="20"/>
        </w:rPr>
        <w:t>representantes</w:t>
      </w:r>
      <w:r>
        <w:rPr>
          <w:sz w:val="20"/>
          <w:szCs w:val="20"/>
        </w:rPr>
        <w:t xml:space="preserve">, de las víctimas </w:t>
      </w:r>
      <w:r w:rsidRPr="00D8581F">
        <w:rPr>
          <w:i/>
          <w:sz w:val="20"/>
          <w:szCs w:val="20"/>
        </w:rPr>
        <w:t xml:space="preserve">Yarelis </w:t>
      </w:r>
      <w:r w:rsidR="00981E0C">
        <w:rPr>
          <w:i/>
          <w:sz w:val="20"/>
          <w:szCs w:val="20"/>
        </w:rPr>
        <w:t xml:space="preserve">Mercedes </w:t>
      </w:r>
      <w:r w:rsidRPr="00D8581F">
        <w:rPr>
          <w:i/>
          <w:sz w:val="20"/>
          <w:szCs w:val="20"/>
        </w:rPr>
        <w:t>Guerrero</w:t>
      </w:r>
      <w:r w:rsidR="00981E0C">
        <w:rPr>
          <w:i/>
          <w:sz w:val="20"/>
          <w:szCs w:val="20"/>
        </w:rPr>
        <w:t xml:space="preserve"> Meléndez</w:t>
      </w:r>
      <w:r>
        <w:rPr>
          <w:sz w:val="20"/>
          <w:szCs w:val="20"/>
        </w:rPr>
        <w:t xml:space="preserve">, </w:t>
      </w:r>
      <w:r w:rsidRPr="00D8581F">
        <w:rPr>
          <w:i/>
          <w:sz w:val="20"/>
          <w:szCs w:val="20"/>
        </w:rPr>
        <w:t>Nieves</w:t>
      </w:r>
      <w:r w:rsidR="00981E0C">
        <w:rPr>
          <w:i/>
          <w:sz w:val="20"/>
          <w:szCs w:val="20"/>
        </w:rPr>
        <w:t xml:space="preserve"> Ramón</w:t>
      </w:r>
      <w:r w:rsidRPr="00D8581F">
        <w:rPr>
          <w:i/>
          <w:sz w:val="20"/>
          <w:szCs w:val="20"/>
        </w:rPr>
        <w:t xml:space="preserve"> Guerrero</w:t>
      </w:r>
      <w:r w:rsidR="00981E0C">
        <w:rPr>
          <w:i/>
          <w:sz w:val="20"/>
          <w:szCs w:val="20"/>
        </w:rPr>
        <w:t xml:space="preserve"> Pérez</w:t>
      </w:r>
      <w:r>
        <w:rPr>
          <w:sz w:val="20"/>
          <w:szCs w:val="20"/>
        </w:rPr>
        <w:t xml:space="preserve">, </w:t>
      </w:r>
      <w:r w:rsidRPr="00D8581F">
        <w:rPr>
          <w:i/>
          <w:sz w:val="20"/>
          <w:szCs w:val="20"/>
        </w:rPr>
        <w:t>Emilia Coromoto Meléndez</w:t>
      </w:r>
      <w:r>
        <w:rPr>
          <w:sz w:val="20"/>
          <w:szCs w:val="20"/>
        </w:rPr>
        <w:t xml:space="preserve">, </w:t>
      </w:r>
      <w:r w:rsidRPr="00D8581F">
        <w:rPr>
          <w:i/>
          <w:sz w:val="20"/>
          <w:szCs w:val="20"/>
        </w:rPr>
        <w:t>Franklin</w:t>
      </w:r>
      <w:r w:rsidR="00981E0C">
        <w:rPr>
          <w:i/>
          <w:sz w:val="20"/>
          <w:szCs w:val="20"/>
        </w:rPr>
        <w:t xml:space="preserve"> Felipe</w:t>
      </w:r>
      <w:r w:rsidRPr="00D8581F">
        <w:rPr>
          <w:i/>
          <w:sz w:val="20"/>
          <w:szCs w:val="20"/>
        </w:rPr>
        <w:t xml:space="preserve"> Guerrero</w:t>
      </w:r>
      <w:r w:rsidR="00981E0C">
        <w:rPr>
          <w:i/>
          <w:sz w:val="20"/>
          <w:szCs w:val="20"/>
        </w:rPr>
        <w:t xml:space="preserve"> Meléndez</w:t>
      </w:r>
      <w:r>
        <w:rPr>
          <w:sz w:val="20"/>
          <w:szCs w:val="20"/>
        </w:rPr>
        <w:t xml:space="preserve">, </w:t>
      </w:r>
      <w:proofErr w:type="spellStart"/>
      <w:r w:rsidRPr="00D8581F">
        <w:rPr>
          <w:i/>
          <w:sz w:val="20"/>
          <w:szCs w:val="20"/>
        </w:rPr>
        <w:t>Jiannibeth</w:t>
      </w:r>
      <w:proofErr w:type="spellEnd"/>
      <w:r w:rsidRPr="00D8581F">
        <w:rPr>
          <w:i/>
          <w:sz w:val="20"/>
          <w:szCs w:val="20"/>
        </w:rPr>
        <w:t xml:space="preserve"> </w:t>
      </w:r>
      <w:proofErr w:type="spellStart"/>
      <w:r w:rsidRPr="00D8581F">
        <w:rPr>
          <w:i/>
          <w:sz w:val="20"/>
          <w:szCs w:val="20"/>
        </w:rPr>
        <w:t>Stephanny</w:t>
      </w:r>
      <w:proofErr w:type="spellEnd"/>
      <w:r w:rsidRPr="00D8581F">
        <w:rPr>
          <w:i/>
          <w:sz w:val="20"/>
          <w:szCs w:val="20"/>
        </w:rPr>
        <w:t xml:space="preserve"> Guerrero Colina</w:t>
      </w:r>
      <w:r>
        <w:rPr>
          <w:sz w:val="20"/>
          <w:szCs w:val="20"/>
        </w:rPr>
        <w:t xml:space="preserve"> y </w:t>
      </w:r>
      <w:proofErr w:type="spellStart"/>
      <w:r w:rsidRPr="00D8581F">
        <w:rPr>
          <w:i/>
          <w:sz w:val="20"/>
          <w:szCs w:val="20"/>
        </w:rPr>
        <w:t>Soleida</w:t>
      </w:r>
      <w:proofErr w:type="spellEnd"/>
      <w:r w:rsidRPr="00D8581F">
        <w:rPr>
          <w:i/>
          <w:sz w:val="20"/>
          <w:szCs w:val="20"/>
        </w:rPr>
        <w:t xml:space="preserve"> Morillo</w:t>
      </w:r>
      <w:r>
        <w:rPr>
          <w:sz w:val="20"/>
          <w:szCs w:val="20"/>
        </w:rPr>
        <w:t xml:space="preserve">, así como de la perita </w:t>
      </w:r>
      <w:r w:rsidRPr="00D8581F">
        <w:rPr>
          <w:i/>
          <w:sz w:val="20"/>
          <w:szCs w:val="20"/>
        </w:rPr>
        <w:t xml:space="preserve">Rossana </w:t>
      </w:r>
      <w:proofErr w:type="spellStart"/>
      <w:r w:rsidRPr="00D8581F">
        <w:rPr>
          <w:i/>
          <w:sz w:val="20"/>
          <w:szCs w:val="20"/>
        </w:rPr>
        <w:t>Ramirez</w:t>
      </w:r>
      <w:proofErr w:type="spellEnd"/>
      <w:r>
        <w:rPr>
          <w:sz w:val="20"/>
          <w:szCs w:val="20"/>
        </w:rPr>
        <w:t xml:space="preserve">, no fueron rendidas ante fedatario público, sino que fueron autenticadas por dos testigos, acto éste último que no fue dispuesto por la Corte o su Presidencia. Los </w:t>
      </w:r>
      <w:r w:rsidRPr="006A2562">
        <w:rPr>
          <w:b/>
          <w:i/>
          <w:sz w:val="20"/>
          <w:szCs w:val="20"/>
        </w:rPr>
        <w:t>representantes</w:t>
      </w:r>
      <w:r>
        <w:rPr>
          <w:sz w:val="20"/>
          <w:szCs w:val="20"/>
        </w:rPr>
        <w:t xml:space="preserve"> adujeron que Yarelis Guerrero, por dificultades respecto de su documentación personal, no pudo conseguir la actuación de un fedatario público, y que tampoco pudo hacerlo el resto de las personas </w:t>
      </w:r>
      <w:r w:rsidRPr="004A5A40">
        <w:rPr>
          <w:sz w:val="20"/>
          <w:szCs w:val="20"/>
        </w:rPr>
        <w:t>declarantes nombradas, por restricciones de movili</w:t>
      </w:r>
      <w:r>
        <w:rPr>
          <w:sz w:val="20"/>
          <w:szCs w:val="20"/>
        </w:rPr>
        <w:t>dad derivadas de la pandemia</w:t>
      </w:r>
      <w:r w:rsidRPr="004A5A40">
        <w:rPr>
          <w:sz w:val="20"/>
          <w:szCs w:val="20"/>
        </w:rPr>
        <w:t>. Además, los representantes adujeron una “imposibilidad de realizar notarizaciones ante fedatario público en Venezuela”.</w:t>
      </w:r>
      <w:r>
        <w:rPr>
          <w:sz w:val="20"/>
          <w:szCs w:val="20"/>
        </w:rPr>
        <w:t xml:space="preserve"> </w:t>
      </w:r>
      <w:r w:rsidRPr="00AD27A8">
        <w:rPr>
          <w:sz w:val="20"/>
          <w:szCs w:val="20"/>
        </w:rPr>
        <w:t xml:space="preserve">El </w:t>
      </w:r>
      <w:r w:rsidRPr="00AD27A8">
        <w:rPr>
          <w:b/>
          <w:i/>
          <w:sz w:val="20"/>
          <w:szCs w:val="20"/>
        </w:rPr>
        <w:t>Estado</w:t>
      </w:r>
      <w:r w:rsidRPr="00AD27A8">
        <w:rPr>
          <w:sz w:val="20"/>
          <w:szCs w:val="20"/>
        </w:rPr>
        <w:t xml:space="preserve"> y la </w:t>
      </w:r>
      <w:r w:rsidRPr="00AD27A8">
        <w:rPr>
          <w:b/>
          <w:i/>
          <w:sz w:val="20"/>
          <w:szCs w:val="20"/>
        </w:rPr>
        <w:t>Comisión</w:t>
      </w:r>
      <w:r w:rsidRPr="00AD27A8">
        <w:rPr>
          <w:sz w:val="20"/>
          <w:szCs w:val="20"/>
        </w:rPr>
        <w:t xml:space="preserve"> no objetaron la admisibilidad de estas declaraciones.</w:t>
      </w:r>
      <w:r>
        <w:rPr>
          <w:sz w:val="20"/>
          <w:szCs w:val="20"/>
        </w:rPr>
        <w:t xml:space="preserve"> En atención a las razones dadas por los representantes, la </w:t>
      </w:r>
      <w:r w:rsidRPr="006A2562">
        <w:rPr>
          <w:b/>
          <w:i/>
          <w:sz w:val="20"/>
          <w:szCs w:val="20"/>
        </w:rPr>
        <w:t>Corte</w:t>
      </w:r>
      <w:r>
        <w:rPr>
          <w:sz w:val="20"/>
          <w:szCs w:val="20"/>
        </w:rPr>
        <w:t xml:space="preserve"> admite las declaraciones referidas</w:t>
      </w:r>
      <w:r>
        <w:rPr>
          <w:rStyle w:val="Refdenotaalpie"/>
          <w:sz w:val="20"/>
          <w:szCs w:val="20"/>
        </w:rPr>
        <w:footnoteReference w:id="26"/>
      </w:r>
      <w:r>
        <w:rPr>
          <w:sz w:val="20"/>
          <w:szCs w:val="20"/>
        </w:rPr>
        <w:t xml:space="preserve">. </w:t>
      </w:r>
    </w:p>
    <w:p w14:paraId="2C070B0B" w14:textId="77777777" w:rsidR="000C7C2E" w:rsidRPr="00542071" w:rsidRDefault="000C7C2E" w:rsidP="000C7C2E">
      <w:pPr>
        <w:rPr>
          <w:sz w:val="20"/>
          <w:szCs w:val="20"/>
        </w:rPr>
      </w:pPr>
    </w:p>
    <w:p w14:paraId="253F72D9" w14:textId="46D25BE2" w:rsidR="000C7C2E" w:rsidRDefault="000C7C2E" w:rsidP="000C7C2E">
      <w:pPr>
        <w:pStyle w:val="Prrafodelista"/>
        <w:numPr>
          <w:ilvl w:val="0"/>
          <w:numId w:val="1"/>
        </w:numPr>
        <w:tabs>
          <w:tab w:val="left" w:pos="965"/>
        </w:tabs>
        <w:ind w:left="0" w:firstLine="0"/>
        <w:rPr>
          <w:sz w:val="20"/>
          <w:szCs w:val="20"/>
        </w:rPr>
      </w:pPr>
      <w:r>
        <w:rPr>
          <w:sz w:val="20"/>
          <w:szCs w:val="20"/>
        </w:rPr>
        <w:t xml:space="preserve">Por otra parte, la declaración de la perita </w:t>
      </w:r>
      <w:r w:rsidRPr="00D8581F">
        <w:rPr>
          <w:i/>
          <w:sz w:val="20"/>
          <w:szCs w:val="20"/>
        </w:rPr>
        <w:t xml:space="preserve">Carmen </w:t>
      </w:r>
      <w:proofErr w:type="spellStart"/>
      <w:r w:rsidRPr="00D8581F">
        <w:rPr>
          <w:i/>
          <w:sz w:val="20"/>
          <w:szCs w:val="20"/>
        </w:rPr>
        <w:t>Wurst</w:t>
      </w:r>
      <w:proofErr w:type="spellEnd"/>
      <w:r>
        <w:rPr>
          <w:sz w:val="20"/>
          <w:szCs w:val="20"/>
        </w:rPr>
        <w:t xml:space="preserve">, propuesta por los representantes, fue recibida el 8 de febrero de 2021, </w:t>
      </w:r>
      <w:r w:rsidR="00D32C13">
        <w:rPr>
          <w:sz w:val="20"/>
          <w:szCs w:val="20"/>
        </w:rPr>
        <w:t xml:space="preserve">dentro del plazo otorgado por </w:t>
      </w:r>
      <w:r w:rsidR="00FE329B">
        <w:rPr>
          <w:sz w:val="20"/>
          <w:szCs w:val="20"/>
        </w:rPr>
        <w:t xml:space="preserve">la concesión de </w:t>
      </w:r>
      <w:r w:rsidR="00D32C13">
        <w:rPr>
          <w:sz w:val="20"/>
          <w:szCs w:val="20"/>
        </w:rPr>
        <w:t>una prórroga</w:t>
      </w:r>
      <w:r w:rsidR="00FE329B">
        <w:rPr>
          <w:sz w:val="20"/>
          <w:szCs w:val="20"/>
        </w:rPr>
        <w:t xml:space="preserve"> del término inicial</w:t>
      </w:r>
      <w:r>
        <w:rPr>
          <w:sz w:val="20"/>
          <w:szCs w:val="20"/>
        </w:rPr>
        <w:t xml:space="preserve">. </w:t>
      </w:r>
      <w:r w:rsidR="00FE329B">
        <w:rPr>
          <w:sz w:val="20"/>
          <w:szCs w:val="20"/>
        </w:rPr>
        <w:t>N</w:t>
      </w:r>
      <w:r>
        <w:rPr>
          <w:sz w:val="20"/>
          <w:szCs w:val="20"/>
        </w:rPr>
        <w:t xml:space="preserve">o fue dada ante fedatario público. Los representantes explicaron que ello se debió a dificultades derivadas de la pandemia. </w:t>
      </w:r>
      <w:r w:rsidRPr="00AD27A8">
        <w:rPr>
          <w:sz w:val="20"/>
          <w:szCs w:val="20"/>
        </w:rPr>
        <w:t xml:space="preserve">El </w:t>
      </w:r>
      <w:r w:rsidRPr="00AD27A8">
        <w:rPr>
          <w:b/>
          <w:i/>
          <w:sz w:val="20"/>
          <w:szCs w:val="20"/>
        </w:rPr>
        <w:t>Estado</w:t>
      </w:r>
      <w:r w:rsidRPr="00AD27A8">
        <w:rPr>
          <w:sz w:val="20"/>
          <w:szCs w:val="20"/>
        </w:rPr>
        <w:t xml:space="preserve"> y la </w:t>
      </w:r>
      <w:r w:rsidRPr="00AD27A8">
        <w:rPr>
          <w:b/>
          <w:i/>
          <w:sz w:val="20"/>
          <w:szCs w:val="20"/>
        </w:rPr>
        <w:t>Comisión</w:t>
      </w:r>
      <w:r w:rsidRPr="00AD27A8">
        <w:rPr>
          <w:sz w:val="20"/>
          <w:szCs w:val="20"/>
        </w:rPr>
        <w:t xml:space="preserve"> no objetaron la admisibilidad de la declaración.</w:t>
      </w:r>
      <w:r>
        <w:rPr>
          <w:sz w:val="20"/>
          <w:szCs w:val="20"/>
        </w:rPr>
        <w:t xml:space="preserve"> Teniendo en consideración las razones señaladas por los representantes, la </w:t>
      </w:r>
      <w:r w:rsidRPr="00677F3A">
        <w:rPr>
          <w:b/>
          <w:i/>
          <w:sz w:val="20"/>
          <w:szCs w:val="20"/>
        </w:rPr>
        <w:t>Corte</w:t>
      </w:r>
      <w:r>
        <w:rPr>
          <w:sz w:val="20"/>
          <w:szCs w:val="20"/>
        </w:rPr>
        <w:t xml:space="preserve"> admite la declaración pericial de Carmen </w:t>
      </w:r>
      <w:proofErr w:type="spellStart"/>
      <w:r>
        <w:rPr>
          <w:sz w:val="20"/>
          <w:szCs w:val="20"/>
        </w:rPr>
        <w:t>Wurst</w:t>
      </w:r>
      <w:proofErr w:type="spellEnd"/>
      <w:r>
        <w:rPr>
          <w:sz w:val="20"/>
          <w:szCs w:val="20"/>
        </w:rPr>
        <w:t>.</w:t>
      </w:r>
    </w:p>
    <w:p w14:paraId="0E25BE1C" w14:textId="77777777" w:rsidR="000C7C2E" w:rsidRPr="006A2562" w:rsidRDefault="000C7C2E" w:rsidP="000C7C2E">
      <w:pPr>
        <w:pStyle w:val="Prrafodelista"/>
        <w:rPr>
          <w:sz w:val="20"/>
          <w:szCs w:val="20"/>
        </w:rPr>
      </w:pPr>
    </w:p>
    <w:p w14:paraId="58FAF264" w14:textId="7AB50056" w:rsidR="000C7C2E" w:rsidRDefault="000C7C2E" w:rsidP="000C7C2E">
      <w:pPr>
        <w:pStyle w:val="Prrafodelista"/>
        <w:numPr>
          <w:ilvl w:val="0"/>
          <w:numId w:val="1"/>
        </w:numPr>
        <w:tabs>
          <w:tab w:val="left" w:pos="965"/>
        </w:tabs>
        <w:ind w:left="0" w:firstLine="0"/>
        <w:rPr>
          <w:sz w:val="20"/>
          <w:szCs w:val="20"/>
        </w:rPr>
      </w:pPr>
      <w:r>
        <w:rPr>
          <w:sz w:val="20"/>
          <w:szCs w:val="20"/>
        </w:rPr>
        <w:t xml:space="preserve">Es preciso advertir también que fue recibida en idioma inglés </w:t>
      </w:r>
      <w:r w:rsidRPr="006A2562">
        <w:rPr>
          <w:sz w:val="20"/>
          <w:szCs w:val="20"/>
        </w:rPr>
        <w:t xml:space="preserve">la </w:t>
      </w:r>
      <w:r>
        <w:rPr>
          <w:sz w:val="20"/>
          <w:szCs w:val="20"/>
        </w:rPr>
        <w:t>declaración,</w:t>
      </w:r>
      <w:r w:rsidRPr="006A2562">
        <w:rPr>
          <w:sz w:val="20"/>
          <w:szCs w:val="20"/>
        </w:rPr>
        <w:t xml:space="preserve"> dada ante fedatario público</w:t>
      </w:r>
      <w:r>
        <w:rPr>
          <w:sz w:val="20"/>
          <w:szCs w:val="20"/>
        </w:rPr>
        <w:t>,</w:t>
      </w:r>
      <w:r w:rsidRPr="006A2562">
        <w:rPr>
          <w:sz w:val="20"/>
          <w:szCs w:val="20"/>
        </w:rPr>
        <w:t xml:space="preserve"> del perit</w:t>
      </w:r>
      <w:r>
        <w:rPr>
          <w:sz w:val="20"/>
          <w:szCs w:val="20"/>
        </w:rPr>
        <w:t>o</w:t>
      </w:r>
      <w:r w:rsidRPr="006A2562">
        <w:rPr>
          <w:sz w:val="20"/>
          <w:szCs w:val="20"/>
        </w:rPr>
        <w:t xml:space="preserve"> </w:t>
      </w:r>
      <w:r w:rsidRPr="00D8581F">
        <w:rPr>
          <w:i/>
          <w:sz w:val="20"/>
          <w:szCs w:val="20"/>
        </w:rPr>
        <w:t xml:space="preserve">Philip </w:t>
      </w:r>
      <w:proofErr w:type="spellStart"/>
      <w:r w:rsidRPr="00D8581F">
        <w:rPr>
          <w:i/>
          <w:sz w:val="20"/>
          <w:szCs w:val="20"/>
        </w:rPr>
        <w:t>Alston</w:t>
      </w:r>
      <w:proofErr w:type="spellEnd"/>
      <w:r>
        <w:rPr>
          <w:sz w:val="20"/>
          <w:szCs w:val="20"/>
        </w:rPr>
        <w:t xml:space="preserve">. No obstante, los </w:t>
      </w:r>
      <w:r w:rsidRPr="00E95E47">
        <w:rPr>
          <w:b/>
          <w:i/>
          <w:sz w:val="20"/>
          <w:szCs w:val="20"/>
        </w:rPr>
        <w:t>representantes</w:t>
      </w:r>
      <w:r>
        <w:rPr>
          <w:sz w:val="20"/>
          <w:szCs w:val="20"/>
        </w:rPr>
        <w:t xml:space="preserve"> remitieron</w:t>
      </w:r>
      <w:r w:rsidRPr="006A2562">
        <w:rPr>
          <w:sz w:val="20"/>
          <w:szCs w:val="20"/>
        </w:rPr>
        <w:t xml:space="preserve"> una traducción </w:t>
      </w:r>
      <w:r>
        <w:rPr>
          <w:sz w:val="20"/>
          <w:szCs w:val="20"/>
        </w:rPr>
        <w:t xml:space="preserve">al español. </w:t>
      </w:r>
      <w:r w:rsidRPr="00AD27A8">
        <w:rPr>
          <w:sz w:val="20"/>
          <w:szCs w:val="20"/>
        </w:rPr>
        <w:t xml:space="preserve">Ni el </w:t>
      </w:r>
      <w:r w:rsidRPr="00AD27A8">
        <w:rPr>
          <w:b/>
          <w:i/>
          <w:sz w:val="20"/>
          <w:szCs w:val="20"/>
        </w:rPr>
        <w:t>Estado</w:t>
      </w:r>
      <w:r w:rsidRPr="00AD27A8">
        <w:rPr>
          <w:sz w:val="20"/>
          <w:szCs w:val="20"/>
        </w:rPr>
        <w:t xml:space="preserve"> ni la </w:t>
      </w:r>
      <w:r w:rsidRPr="00AD27A8">
        <w:rPr>
          <w:b/>
          <w:i/>
          <w:sz w:val="20"/>
          <w:szCs w:val="20"/>
        </w:rPr>
        <w:t>Comisión</w:t>
      </w:r>
      <w:r w:rsidRPr="00AD27A8">
        <w:rPr>
          <w:sz w:val="20"/>
          <w:szCs w:val="20"/>
        </w:rPr>
        <w:t xml:space="preserve"> efectuaron observaciones al respecto.</w:t>
      </w:r>
      <w:r w:rsidRPr="006A2562">
        <w:rPr>
          <w:sz w:val="20"/>
          <w:szCs w:val="20"/>
        </w:rPr>
        <w:t xml:space="preserve"> </w:t>
      </w:r>
      <w:r>
        <w:rPr>
          <w:sz w:val="20"/>
          <w:szCs w:val="20"/>
        </w:rPr>
        <w:t xml:space="preserve">La </w:t>
      </w:r>
      <w:r w:rsidRPr="00A61298">
        <w:rPr>
          <w:b/>
          <w:i/>
          <w:sz w:val="20"/>
          <w:szCs w:val="20"/>
        </w:rPr>
        <w:t>Corte</w:t>
      </w:r>
      <w:r>
        <w:rPr>
          <w:sz w:val="20"/>
          <w:szCs w:val="20"/>
        </w:rPr>
        <w:t xml:space="preserve"> admite la declaración pericial de Philip </w:t>
      </w:r>
      <w:proofErr w:type="spellStart"/>
      <w:r>
        <w:rPr>
          <w:sz w:val="20"/>
          <w:szCs w:val="20"/>
        </w:rPr>
        <w:t>Alston</w:t>
      </w:r>
      <w:proofErr w:type="spellEnd"/>
      <w:r>
        <w:rPr>
          <w:sz w:val="20"/>
          <w:szCs w:val="20"/>
        </w:rPr>
        <w:t>, y tendrá en cuenta su versión en español</w:t>
      </w:r>
      <w:r w:rsidRPr="006A2562">
        <w:rPr>
          <w:sz w:val="20"/>
          <w:szCs w:val="20"/>
        </w:rPr>
        <w:t xml:space="preserve">. </w:t>
      </w:r>
    </w:p>
    <w:p w14:paraId="2E31C557" w14:textId="77777777" w:rsidR="000C7C2E" w:rsidRPr="008B6B12" w:rsidRDefault="000C7C2E" w:rsidP="000C7C2E">
      <w:pPr>
        <w:rPr>
          <w:sz w:val="20"/>
          <w:szCs w:val="20"/>
        </w:rPr>
      </w:pPr>
    </w:p>
    <w:p w14:paraId="466C5A5F" w14:textId="3EFCDE1A" w:rsidR="000C7C2E" w:rsidRPr="0099584E" w:rsidRDefault="000C7C2E" w:rsidP="000C7C2E">
      <w:pPr>
        <w:pStyle w:val="Prrafodelista"/>
        <w:numPr>
          <w:ilvl w:val="0"/>
          <w:numId w:val="1"/>
        </w:numPr>
        <w:tabs>
          <w:tab w:val="left" w:pos="965"/>
        </w:tabs>
        <w:ind w:left="0" w:firstLine="0"/>
        <w:rPr>
          <w:sz w:val="20"/>
          <w:szCs w:val="20"/>
        </w:rPr>
      </w:pPr>
      <w:r w:rsidRPr="0099584E">
        <w:rPr>
          <w:sz w:val="20"/>
          <w:szCs w:val="20"/>
        </w:rPr>
        <w:t xml:space="preserve">Por último, es preciso dar cuenta de la recepción tardía de la declaración escrita </w:t>
      </w:r>
      <w:r w:rsidRPr="0099584E">
        <w:rPr>
          <w:sz w:val="20"/>
          <w:szCs w:val="20"/>
        </w:rPr>
        <w:lastRenderedPageBreak/>
        <w:t xml:space="preserve">del testigo </w:t>
      </w:r>
      <w:r w:rsidRPr="00D8581F">
        <w:rPr>
          <w:i/>
          <w:sz w:val="20"/>
          <w:szCs w:val="20"/>
        </w:rPr>
        <w:t>Pablo Fernández Blanco</w:t>
      </w:r>
      <w:r w:rsidRPr="0099584E">
        <w:rPr>
          <w:sz w:val="20"/>
          <w:szCs w:val="20"/>
        </w:rPr>
        <w:t xml:space="preserve">, que no fue dada ante fedatario público. Dicha declaración fue recibida por este Tribunal el 28 de enero de 2021, un día después de que venciera el plazo correspondiente. El </w:t>
      </w:r>
      <w:r w:rsidRPr="0099584E">
        <w:rPr>
          <w:b/>
          <w:i/>
          <w:sz w:val="20"/>
          <w:szCs w:val="20"/>
        </w:rPr>
        <w:t>Estado</w:t>
      </w:r>
      <w:r w:rsidRPr="0099584E">
        <w:rPr>
          <w:sz w:val="20"/>
          <w:szCs w:val="20"/>
        </w:rPr>
        <w:t>, que propuso la declaración, expresó que</w:t>
      </w:r>
      <w:r>
        <w:rPr>
          <w:sz w:val="20"/>
          <w:szCs w:val="20"/>
        </w:rPr>
        <w:t>,</w:t>
      </w:r>
      <w:r w:rsidRPr="0099584E">
        <w:rPr>
          <w:sz w:val="20"/>
          <w:szCs w:val="20"/>
        </w:rPr>
        <w:t xml:space="preserve"> por razones personales atinentes al testigo, no pudo remitirse la misma en el plazo fijado al efecto, y agregó que el señor Fernández Blanco, </w:t>
      </w:r>
      <w:proofErr w:type="gramStart"/>
      <w:r w:rsidRPr="0099584E">
        <w:rPr>
          <w:sz w:val="20"/>
          <w:szCs w:val="20"/>
        </w:rPr>
        <w:t>en razón de</w:t>
      </w:r>
      <w:proofErr w:type="gramEnd"/>
      <w:r w:rsidRPr="0099584E">
        <w:rPr>
          <w:sz w:val="20"/>
          <w:szCs w:val="20"/>
        </w:rPr>
        <w:t xml:space="preserve"> la pandemia, “se [vio] impedido de rendir su declaración ante fedatario público”. </w:t>
      </w:r>
      <w:r w:rsidRPr="00AD27A8">
        <w:rPr>
          <w:sz w:val="20"/>
          <w:szCs w:val="20"/>
        </w:rPr>
        <w:t xml:space="preserve">La </w:t>
      </w:r>
      <w:r w:rsidRPr="00AD27A8">
        <w:rPr>
          <w:b/>
          <w:i/>
          <w:sz w:val="20"/>
          <w:szCs w:val="20"/>
        </w:rPr>
        <w:t>Comisión</w:t>
      </w:r>
      <w:r w:rsidRPr="00AD27A8">
        <w:rPr>
          <w:sz w:val="20"/>
          <w:szCs w:val="20"/>
        </w:rPr>
        <w:t xml:space="preserve"> y los </w:t>
      </w:r>
      <w:r w:rsidRPr="00AD27A8">
        <w:rPr>
          <w:b/>
          <w:i/>
          <w:sz w:val="20"/>
          <w:szCs w:val="20"/>
        </w:rPr>
        <w:t>representantes</w:t>
      </w:r>
      <w:r w:rsidRPr="00AD27A8">
        <w:rPr>
          <w:sz w:val="20"/>
          <w:szCs w:val="20"/>
        </w:rPr>
        <w:t xml:space="preserve"> no efectuaron observaciones.</w:t>
      </w:r>
      <w:r w:rsidRPr="0099584E">
        <w:rPr>
          <w:sz w:val="20"/>
          <w:szCs w:val="20"/>
        </w:rPr>
        <w:t xml:space="preserve"> La </w:t>
      </w:r>
      <w:r w:rsidRPr="0099584E">
        <w:rPr>
          <w:b/>
          <w:i/>
          <w:sz w:val="20"/>
          <w:szCs w:val="20"/>
        </w:rPr>
        <w:t>Corte</w:t>
      </w:r>
      <w:r w:rsidRPr="0099584E">
        <w:rPr>
          <w:sz w:val="20"/>
          <w:szCs w:val="20"/>
        </w:rPr>
        <w:t>, teniendo en cuenta las razones expresadas por el Estado, admite la declaración testimonial del señor Fernández Blanco.</w:t>
      </w:r>
      <w:r w:rsidRPr="0099584E">
        <w:rPr>
          <w:i/>
          <w:sz w:val="20"/>
          <w:szCs w:val="20"/>
        </w:rPr>
        <w:t xml:space="preserve"> </w:t>
      </w:r>
    </w:p>
    <w:p w14:paraId="45D3B817" w14:textId="77777777" w:rsidR="000C7C2E" w:rsidRDefault="000C7C2E" w:rsidP="000C7C2E">
      <w:pPr>
        <w:pStyle w:val="Prrafodelista"/>
        <w:tabs>
          <w:tab w:val="left" w:pos="965"/>
        </w:tabs>
        <w:ind w:left="0"/>
        <w:rPr>
          <w:sz w:val="20"/>
          <w:szCs w:val="20"/>
        </w:rPr>
      </w:pPr>
    </w:p>
    <w:p w14:paraId="664A326E" w14:textId="77777777" w:rsidR="000C7C2E" w:rsidRDefault="000C7C2E" w:rsidP="000C7C2E">
      <w:pPr>
        <w:pStyle w:val="Ttulo1"/>
        <w:ind w:left="0"/>
      </w:pPr>
      <w:bookmarkStart w:id="31" w:name="_Toc73960345"/>
      <w:r>
        <w:t>VI</w:t>
      </w:r>
      <w:bookmarkEnd w:id="31"/>
    </w:p>
    <w:p w14:paraId="477D8B44" w14:textId="77777777" w:rsidR="000C7C2E" w:rsidRPr="003B0DBA" w:rsidRDefault="000C7C2E" w:rsidP="000C7C2E">
      <w:pPr>
        <w:pStyle w:val="Ttulo1"/>
        <w:ind w:left="0"/>
      </w:pPr>
      <w:bookmarkStart w:id="32" w:name="_Toc73960346"/>
      <w:r>
        <w:t>HECHOS</w:t>
      </w:r>
      <w:bookmarkEnd w:id="32"/>
    </w:p>
    <w:p w14:paraId="3654795C" w14:textId="77777777" w:rsidR="000C7C2E" w:rsidRDefault="000C7C2E" w:rsidP="000C7C2E">
      <w:pPr>
        <w:pStyle w:val="Prrafodelista"/>
        <w:tabs>
          <w:tab w:val="left" w:pos="965"/>
        </w:tabs>
        <w:ind w:left="0"/>
        <w:rPr>
          <w:sz w:val="20"/>
        </w:rPr>
      </w:pPr>
    </w:p>
    <w:p w14:paraId="61C0871A" w14:textId="77777777" w:rsidR="000C7C2E" w:rsidRDefault="000C7C2E" w:rsidP="000C7C2E">
      <w:pPr>
        <w:pStyle w:val="Prrafodelista"/>
        <w:numPr>
          <w:ilvl w:val="0"/>
          <w:numId w:val="1"/>
        </w:numPr>
        <w:tabs>
          <w:tab w:val="left" w:pos="965"/>
        </w:tabs>
        <w:ind w:left="0" w:firstLine="0"/>
        <w:rPr>
          <w:sz w:val="20"/>
        </w:rPr>
      </w:pPr>
      <w:r w:rsidRPr="00DF616D">
        <w:rPr>
          <w:sz w:val="20"/>
        </w:rPr>
        <w:t>La Corte, en lo que sigue, establecerá los hechos del caso. Lo hará con base en el marco fáctico sometido al conocimiento del Tribunal por la Comisión. Te</w:t>
      </w:r>
      <w:r>
        <w:rPr>
          <w:sz w:val="20"/>
        </w:rPr>
        <w:t xml:space="preserve">ndrá en cuenta la aceptación </w:t>
      </w:r>
      <w:proofErr w:type="gramStart"/>
      <w:r>
        <w:rPr>
          <w:sz w:val="20"/>
        </w:rPr>
        <w:t>del</w:t>
      </w:r>
      <w:r w:rsidRPr="00DF616D">
        <w:rPr>
          <w:sz w:val="20"/>
        </w:rPr>
        <w:t xml:space="preserve"> mismo</w:t>
      </w:r>
      <w:proofErr w:type="gramEnd"/>
      <w:r w:rsidRPr="00DF616D">
        <w:rPr>
          <w:sz w:val="20"/>
        </w:rPr>
        <w:t xml:space="preserve"> p</w:t>
      </w:r>
      <w:r>
        <w:rPr>
          <w:sz w:val="20"/>
        </w:rPr>
        <w:t>or el Estado, en los términos ya expuestos (</w:t>
      </w:r>
      <w:r>
        <w:rPr>
          <w:i/>
          <w:sz w:val="20"/>
        </w:rPr>
        <w:t xml:space="preserve">supra </w:t>
      </w:r>
      <w:proofErr w:type="spellStart"/>
      <w:r>
        <w:rPr>
          <w:sz w:val="20"/>
        </w:rPr>
        <w:t>párrs</w:t>
      </w:r>
      <w:proofErr w:type="spellEnd"/>
      <w:r>
        <w:rPr>
          <w:sz w:val="20"/>
        </w:rPr>
        <w:t>. 8, 14, 19 a 25 y 31)</w:t>
      </w:r>
      <w:r w:rsidRPr="00DF616D">
        <w:rPr>
          <w:sz w:val="20"/>
        </w:rPr>
        <w:t xml:space="preserve">, así como </w:t>
      </w:r>
      <w:r w:rsidRPr="00A5438A">
        <w:rPr>
          <w:sz w:val="20"/>
        </w:rPr>
        <w:t>el acervo probatorio y que</w:t>
      </w:r>
      <w:r w:rsidRPr="00DF616D">
        <w:rPr>
          <w:sz w:val="20"/>
        </w:rPr>
        <w:t xml:space="preserve"> Venezuela no controvirtió</w:t>
      </w:r>
      <w:r>
        <w:rPr>
          <w:sz w:val="20"/>
        </w:rPr>
        <w:t xml:space="preserve"> en forma expresa</w:t>
      </w:r>
      <w:r w:rsidRPr="00DF616D">
        <w:rPr>
          <w:sz w:val="20"/>
        </w:rPr>
        <w:t xml:space="preserve"> </w:t>
      </w:r>
      <w:r>
        <w:rPr>
          <w:sz w:val="20"/>
        </w:rPr>
        <w:t xml:space="preserve">aseveraciones sobre hechos efectuadas </w:t>
      </w:r>
      <w:r w:rsidRPr="00DF616D">
        <w:rPr>
          <w:sz w:val="20"/>
        </w:rPr>
        <w:t>por los representantes</w:t>
      </w:r>
      <w:r>
        <w:rPr>
          <w:rStyle w:val="Refdenotaalpie"/>
          <w:sz w:val="20"/>
        </w:rPr>
        <w:footnoteReference w:id="27"/>
      </w:r>
      <w:r w:rsidRPr="00DF616D">
        <w:rPr>
          <w:sz w:val="20"/>
        </w:rPr>
        <w:t>.</w:t>
      </w:r>
    </w:p>
    <w:p w14:paraId="320BD1A1" w14:textId="77777777" w:rsidR="000C7C2E" w:rsidRPr="00F640B7" w:rsidRDefault="000C7C2E" w:rsidP="000C7C2E">
      <w:pPr>
        <w:pStyle w:val="Prrafodelista"/>
        <w:rPr>
          <w:sz w:val="20"/>
        </w:rPr>
      </w:pPr>
    </w:p>
    <w:p w14:paraId="0A75D785" w14:textId="77777777" w:rsidR="000C7C2E" w:rsidRDefault="000C7C2E" w:rsidP="000C7C2E">
      <w:pPr>
        <w:pStyle w:val="Prrafodelista"/>
        <w:numPr>
          <w:ilvl w:val="0"/>
          <w:numId w:val="1"/>
        </w:numPr>
        <w:tabs>
          <w:tab w:val="left" w:pos="965"/>
        </w:tabs>
        <w:ind w:left="0" w:firstLine="0"/>
        <w:rPr>
          <w:sz w:val="20"/>
        </w:rPr>
      </w:pPr>
      <w:r>
        <w:rPr>
          <w:sz w:val="20"/>
        </w:rPr>
        <w:t xml:space="preserve">A continuación, se expondrán los hechos establecidos en el siguiente orden: a) contexto; b) hechos previos a las muertes de Jimmy Guerrero y Ramón Molina; c) las muertes de Jimmy Guerrero y Ramón Molina, y d) investigaciones y actuaciones judiciales. </w:t>
      </w:r>
    </w:p>
    <w:p w14:paraId="65D9CE79" w14:textId="77777777" w:rsidR="000C7C2E" w:rsidRDefault="000C7C2E" w:rsidP="000C7C2E">
      <w:pPr>
        <w:pStyle w:val="Prrafodelista"/>
        <w:rPr>
          <w:sz w:val="20"/>
        </w:rPr>
      </w:pPr>
    </w:p>
    <w:p w14:paraId="6FD2EAE5" w14:textId="77777777" w:rsidR="000C7C2E" w:rsidRPr="00F640B7" w:rsidRDefault="000C7C2E" w:rsidP="000F2503">
      <w:pPr>
        <w:pStyle w:val="Prrafodelista"/>
        <w:numPr>
          <w:ilvl w:val="0"/>
          <w:numId w:val="7"/>
        </w:numPr>
        <w:ind w:left="284" w:firstLine="0"/>
        <w:outlineLvl w:val="1"/>
        <w:rPr>
          <w:b/>
          <w:i/>
          <w:sz w:val="20"/>
        </w:rPr>
      </w:pPr>
      <w:bookmarkStart w:id="33" w:name="_Toc73960347"/>
      <w:r w:rsidRPr="00F640B7">
        <w:rPr>
          <w:b/>
          <w:i/>
          <w:sz w:val="20"/>
        </w:rPr>
        <w:t>Contexto</w:t>
      </w:r>
      <w:bookmarkEnd w:id="33"/>
    </w:p>
    <w:p w14:paraId="098A4576" w14:textId="77777777" w:rsidR="000C7C2E" w:rsidRPr="00FF2962" w:rsidRDefault="000C7C2E" w:rsidP="000C7C2E">
      <w:pPr>
        <w:rPr>
          <w:sz w:val="20"/>
        </w:rPr>
      </w:pPr>
    </w:p>
    <w:p w14:paraId="1897737F" w14:textId="77777777" w:rsidR="000C7C2E" w:rsidRPr="00542071" w:rsidRDefault="000C7C2E" w:rsidP="000C7C2E">
      <w:pPr>
        <w:pStyle w:val="Prrafodelista"/>
        <w:numPr>
          <w:ilvl w:val="0"/>
          <w:numId w:val="1"/>
        </w:numPr>
        <w:tabs>
          <w:tab w:val="left" w:pos="965"/>
        </w:tabs>
        <w:ind w:left="0" w:firstLine="0"/>
        <w:rPr>
          <w:sz w:val="20"/>
        </w:rPr>
      </w:pPr>
      <w:r>
        <w:rPr>
          <w:sz w:val="20"/>
        </w:rPr>
        <w:t>Como ha quedado establecido, dados los términos de su reconocimiento de responsabilidad internacional, el Estado aceptó las indicaciones sobre una situación contextual formulada por la Comisión (</w:t>
      </w:r>
      <w:r>
        <w:rPr>
          <w:i/>
          <w:sz w:val="20"/>
        </w:rPr>
        <w:t xml:space="preserve">supra </w:t>
      </w:r>
      <w:proofErr w:type="spellStart"/>
      <w:r>
        <w:rPr>
          <w:sz w:val="20"/>
        </w:rPr>
        <w:t>párrs</w:t>
      </w:r>
      <w:proofErr w:type="spellEnd"/>
      <w:r>
        <w:rPr>
          <w:sz w:val="20"/>
        </w:rPr>
        <w:t>. 14, 20 y 21). La misma refiere al acaecimiento de actos de violencia policial y denuncias de ejecuciones extrajudiciales contra personas en situación de pobreza, en particular de hombres jóvenes</w:t>
      </w:r>
      <w:r>
        <w:rPr>
          <w:rStyle w:val="Refdenotaalpie"/>
          <w:sz w:val="20"/>
        </w:rPr>
        <w:footnoteReference w:id="28"/>
      </w:r>
      <w:r>
        <w:rPr>
          <w:sz w:val="20"/>
        </w:rPr>
        <w:t xml:space="preserve">. También se refiere a la falta de investigación de tales acontecimientos. </w:t>
      </w:r>
      <w:r w:rsidRPr="00542071">
        <w:rPr>
          <w:rFonts w:eastAsia="Batang"/>
          <w:sz w:val="20"/>
          <w:szCs w:val="20"/>
        </w:rPr>
        <w:t>La Corte, a continuación, precisará la situación contextual referida, atinente a la época de los hechos del caso</w:t>
      </w:r>
      <w:r>
        <w:rPr>
          <w:rStyle w:val="Refdenotaalpie"/>
          <w:rFonts w:eastAsia="Batang"/>
          <w:sz w:val="20"/>
          <w:szCs w:val="20"/>
        </w:rPr>
        <w:footnoteReference w:id="29"/>
      </w:r>
      <w:r w:rsidRPr="00542071">
        <w:rPr>
          <w:rFonts w:eastAsia="Batang"/>
          <w:sz w:val="20"/>
          <w:szCs w:val="20"/>
        </w:rPr>
        <w:t>.</w:t>
      </w:r>
    </w:p>
    <w:p w14:paraId="05368863" w14:textId="77777777" w:rsidR="000C7C2E" w:rsidRDefault="000C7C2E" w:rsidP="000C7C2E">
      <w:pPr>
        <w:pStyle w:val="Prrafodelista"/>
        <w:tabs>
          <w:tab w:val="left" w:pos="965"/>
        </w:tabs>
        <w:ind w:left="0"/>
        <w:rPr>
          <w:sz w:val="20"/>
          <w:szCs w:val="20"/>
        </w:rPr>
      </w:pPr>
    </w:p>
    <w:p w14:paraId="181AE8C0" w14:textId="2E6CE297" w:rsidR="000C7C2E" w:rsidRPr="00094930" w:rsidRDefault="000C7C2E" w:rsidP="000C7C2E">
      <w:pPr>
        <w:pStyle w:val="Prrafodelista"/>
        <w:tabs>
          <w:tab w:val="left" w:pos="965"/>
        </w:tabs>
        <w:ind w:left="567"/>
        <w:outlineLvl w:val="2"/>
        <w:rPr>
          <w:i/>
          <w:sz w:val="20"/>
          <w:szCs w:val="20"/>
        </w:rPr>
      </w:pPr>
      <w:bookmarkStart w:id="34" w:name="_Toc73960348"/>
      <w:r w:rsidRPr="00094930">
        <w:rPr>
          <w:i/>
          <w:sz w:val="20"/>
          <w:szCs w:val="20"/>
        </w:rPr>
        <w:t xml:space="preserve">A.1 </w:t>
      </w:r>
      <w:r w:rsidRPr="00094930">
        <w:rPr>
          <w:i/>
          <w:sz w:val="20"/>
          <w:szCs w:val="20"/>
          <w:u w:val="single"/>
        </w:rPr>
        <w:t xml:space="preserve">Violencia policial </w:t>
      </w:r>
      <w:r w:rsidR="003D4BE1">
        <w:rPr>
          <w:i/>
          <w:sz w:val="20"/>
          <w:szCs w:val="20"/>
          <w:u w:val="single"/>
        </w:rPr>
        <w:t>en Venezuela y el E</w:t>
      </w:r>
      <w:r w:rsidRPr="00094930">
        <w:rPr>
          <w:i/>
          <w:sz w:val="20"/>
          <w:szCs w:val="20"/>
          <w:u w:val="single"/>
        </w:rPr>
        <w:t>stado Falcón</w:t>
      </w:r>
      <w:bookmarkEnd w:id="34"/>
    </w:p>
    <w:p w14:paraId="5B5FDCB9" w14:textId="77777777" w:rsidR="000C7C2E" w:rsidRPr="007A3A2E" w:rsidRDefault="000C7C2E" w:rsidP="000C7C2E">
      <w:pPr>
        <w:pStyle w:val="Prrafodelista"/>
        <w:tabs>
          <w:tab w:val="left" w:pos="965"/>
        </w:tabs>
        <w:ind w:left="0"/>
        <w:rPr>
          <w:sz w:val="20"/>
          <w:szCs w:val="20"/>
        </w:rPr>
      </w:pPr>
    </w:p>
    <w:p w14:paraId="07A39049" w14:textId="77777777" w:rsidR="000C7C2E" w:rsidRDefault="000C7C2E" w:rsidP="000C7C2E">
      <w:pPr>
        <w:pStyle w:val="Prrafodelista"/>
        <w:numPr>
          <w:ilvl w:val="0"/>
          <w:numId w:val="1"/>
        </w:numPr>
        <w:tabs>
          <w:tab w:val="left" w:pos="965"/>
        </w:tabs>
        <w:ind w:left="0" w:firstLine="0"/>
        <w:rPr>
          <w:sz w:val="20"/>
          <w:szCs w:val="20"/>
        </w:rPr>
      </w:pPr>
      <w:r w:rsidRPr="007A3A2E">
        <w:rPr>
          <w:sz w:val="20"/>
          <w:szCs w:val="20"/>
        </w:rPr>
        <w:t xml:space="preserve">La Corte, en su decisión sobre el caso </w:t>
      </w:r>
      <w:r w:rsidRPr="009538AA">
        <w:rPr>
          <w:i/>
          <w:sz w:val="20"/>
          <w:szCs w:val="20"/>
        </w:rPr>
        <w:t>Hermanos Landaeta Mejías y otros Vs. Venezuela</w:t>
      </w:r>
      <w:r w:rsidRPr="007A3A2E">
        <w:rPr>
          <w:sz w:val="20"/>
          <w:szCs w:val="20"/>
        </w:rPr>
        <w:t>, a partir de contar con “elementos de convicción suficientes”, “</w:t>
      </w:r>
      <w:proofErr w:type="spellStart"/>
      <w:r w:rsidRPr="007A3A2E">
        <w:rPr>
          <w:sz w:val="20"/>
          <w:szCs w:val="20"/>
        </w:rPr>
        <w:t>concl</w:t>
      </w:r>
      <w:r>
        <w:rPr>
          <w:sz w:val="20"/>
          <w:szCs w:val="20"/>
        </w:rPr>
        <w:t>u</w:t>
      </w:r>
      <w:proofErr w:type="spellEnd"/>
      <w:r w:rsidRPr="007A3A2E">
        <w:rPr>
          <w:sz w:val="20"/>
          <w:szCs w:val="20"/>
        </w:rPr>
        <w:t>[</w:t>
      </w:r>
      <w:proofErr w:type="spellStart"/>
      <w:r w:rsidRPr="007A3A2E">
        <w:rPr>
          <w:sz w:val="20"/>
          <w:szCs w:val="20"/>
        </w:rPr>
        <w:t>yó</w:t>
      </w:r>
      <w:proofErr w:type="spellEnd"/>
      <w:r w:rsidRPr="007A3A2E">
        <w:rPr>
          <w:sz w:val="20"/>
          <w:szCs w:val="20"/>
        </w:rPr>
        <w:t xml:space="preserve">] que en Venezuela, durante la época de los hechos </w:t>
      </w:r>
      <w:proofErr w:type="gramStart"/>
      <w:r w:rsidRPr="007A3A2E">
        <w:rPr>
          <w:sz w:val="20"/>
          <w:szCs w:val="20"/>
        </w:rPr>
        <w:t>de[</w:t>
      </w:r>
      <w:proofErr w:type="gramEnd"/>
      <w:r w:rsidRPr="007A3A2E">
        <w:rPr>
          <w:sz w:val="20"/>
          <w:szCs w:val="20"/>
        </w:rPr>
        <w:t xml:space="preserve"> ese] caso, [cuyas circunstancias centrales ocurrieron en el segundo semestre de 1996,] existía una seria problemática de abusos policiales, localizada en diversos estados”</w:t>
      </w:r>
      <w:r w:rsidRPr="007A3A2E">
        <w:rPr>
          <w:rStyle w:val="Refdenotaalpie"/>
          <w:sz w:val="20"/>
          <w:szCs w:val="20"/>
        </w:rPr>
        <w:footnoteReference w:id="30"/>
      </w:r>
      <w:r w:rsidRPr="007A3A2E">
        <w:rPr>
          <w:sz w:val="20"/>
          <w:szCs w:val="20"/>
        </w:rPr>
        <w:t xml:space="preserve">. </w:t>
      </w:r>
    </w:p>
    <w:p w14:paraId="28E2E34A" w14:textId="77777777" w:rsidR="000C7C2E" w:rsidRPr="00A458C4" w:rsidRDefault="000C7C2E" w:rsidP="000C7C2E">
      <w:pPr>
        <w:pStyle w:val="Prrafodelista"/>
        <w:rPr>
          <w:sz w:val="20"/>
          <w:szCs w:val="20"/>
        </w:rPr>
      </w:pPr>
    </w:p>
    <w:p w14:paraId="23364C26" w14:textId="54763492" w:rsidR="000C7C2E" w:rsidRPr="00C50C4A" w:rsidRDefault="000C7C2E" w:rsidP="000C7C2E">
      <w:pPr>
        <w:pStyle w:val="Prrafodelista"/>
        <w:numPr>
          <w:ilvl w:val="0"/>
          <w:numId w:val="1"/>
        </w:numPr>
        <w:tabs>
          <w:tab w:val="left" w:pos="965"/>
        </w:tabs>
        <w:ind w:left="0" w:firstLine="0"/>
      </w:pPr>
      <w:r>
        <w:rPr>
          <w:sz w:val="20"/>
          <w:szCs w:val="20"/>
        </w:rPr>
        <w:t>Esa situación tuvo continuidad en años siguientes. En</w:t>
      </w:r>
      <w:r w:rsidRPr="007A3A2E">
        <w:rPr>
          <w:sz w:val="20"/>
          <w:szCs w:val="20"/>
        </w:rPr>
        <w:t xml:space="preserve"> la misma sentencia</w:t>
      </w:r>
      <w:r>
        <w:rPr>
          <w:sz w:val="20"/>
          <w:szCs w:val="20"/>
        </w:rPr>
        <w:t xml:space="preserve"> recién citada, este Tribunal </w:t>
      </w:r>
      <w:r w:rsidRPr="007A3A2E">
        <w:rPr>
          <w:sz w:val="20"/>
          <w:szCs w:val="20"/>
        </w:rPr>
        <w:t>consignó documentos</w:t>
      </w:r>
      <w:r>
        <w:rPr>
          <w:sz w:val="20"/>
          <w:szCs w:val="20"/>
        </w:rPr>
        <w:t xml:space="preserve"> de 1999 y 2001,</w:t>
      </w:r>
      <w:r w:rsidRPr="007A3A2E">
        <w:rPr>
          <w:sz w:val="20"/>
          <w:szCs w:val="20"/>
        </w:rPr>
        <w:t xml:space="preserve"> emitidos en el ámbito de la Organización de las Naciones Unidas</w:t>
      </w:r>
      <w:r>
        <w:rPr>
          <w:sz w:val="20"/>
          <w:szCs w:val="20"/>
        </w:rPr>
        <w:t>, que a</w:t>
      </w:r>
      <w:r w:rsidRPr="007A3A2E">
        <w:rPr>
          <w:sz w:val="20"/>
          <w:szCs w:val="20"/>
        </w:rPr>
        <w:t>dvertían sobre denuncias de “muertes extrajudiciales de menores por miembros de las fuerzas policiales”</w:t>
      </w:r>
      <w:r>
        <w:rPr>
          <w:sz w:val="20"/>
          <w:szCs w:val="20"/>
        </w:rPr>
        <w:t>, así como</w:t>
      </w:r>
      <w:r w:rsidRPr="007A3A2E">
        <w:rPr>
          <w:sz w:val="20"/>
          <w:szCs w:val="20"/>
        </w:rPr>
        <w:t xml:space="preserve"> “de tortura y de uso excesivo de la fuerza por parte de la policía y otras fuerzas de seguridad”</w:t>
      </w:r>
      <w:r w:rsidRPr="007A3A2E">
        <w:rPr>
          <w:rStyle w:val="Refdenotaalpie"/>
          <w:sz w:val="20"/>
          <w:szCs w:val="20"/>
        </w:rPr>
        <w:footnoteReference w:id="31"/>
      </w:r>
      <w:r w:rsidRPr="007A3A2E">
        <w:rPr>
          <w:sz w:val="20"/>
          <w:szCs w:val="20"/>
        </w:rPr>
        <w:t xml:space="preserve">. </w:t>
      </w:r>
      <w:proofErr w:type="gramStart"/>
      <w:r>
        <w:rPr>
          <w:sz w:val="20"/>
          <w:szCs w:val="20"/>
        </w:rPr>
        <w:t>D</w:t>
      </w:r>
      <w:r w:rsidRPr="00C50C4A">
        <w:rPr>
          <w:sz w:val="20"/>
          <w:szCs w:val="20"/>
        </w:rPr>
        <w:t>e acuerdo a</w:t>
      </w:r>
      <w:proofErr w:type="gramEnd"/>
      <w:r>
        <w:rPr>
          <w:sz w:val="20"/>
          <w:szCs w:val="20"/>
        </w:rPr>
        <w:t xml:space="preserve"> aseveraciones del perito Briceño León y datos consignados por é</w:t>
      </w:r>
      <w:r w:rsidRPr="00C50C4A">
        <w:rPr>
          <w:sz w:val="20"/>
          <w:szCs w:val="20"/>
        </w:rPr>
        <w:t xml:space="preserve">l, </w:t>
      </w:r>
      <w:r>
        <w:rPr>
          <w:sz w:val="20"/>
          <w:szCs w:val="20"/>
        </w:rPr>
        <w:t xml:space="preserve">la violencia y “letalidad policial” se vio incrementada luego de 1999, </w:t>
      </w:r>
      <w:r w:rsidRPr="00C50C4A">
        <w:rPr>
          <w:sz w:val="20"/>
          <w:szCs w:val="20"/>
        </w:rPr>
        <w:t xml:space="preserve">en </w:t>
      </w:r>
      <w:r>
        <w:rPr>
          <w:sz w:val="20"/>
          <w:szCs w:val="20"/>
        </w:rPr>
        <w:t xml:space="preserve">el marco de </w:t>
      </w:r>
      <w:r w:rsidRPr="00C50C4A">
        <w:rPr>
          <w:sz w:val="20"/>
          <w:szCs w:val="20"/>
        </w:rPr>
        <w:t xml:space="preserve">un </w:t>
      </w:r>
      <w:r>
        <w:rPr>
          <w:sz w:val="20"/>
          <w:szCs w:val="20"/>
        </w:rPr>
        <w:t xml:space="preserve">aumento </w:t>
      </w:r>
      <w:r w:rsidRPr="00C50C4A">
        <w:rPr>
          <w:sz w:val="20"/>
          <w:szCs w:val="20"/>
        </w:rPr>
        <w:t>los homicidios</w:t>
      </w:r>
      <w:r>
        <w:rPr>
          <w:sz w:val="20"/>
          <w:szCs w:val="20"/>
        </w:rPr>
        <w:t xml:space="preserve"> en Venezuela, cuya proporción respecto a la población creció en un 76%</w:t>
      </w:r>
      <w:r w:rsidRPr="00C50C4A">
        <w:rPr>
          <w:sz w:val="20"/>
          <w:szCs w:val="20"/>
        </w:rPr>
        <w:t xml:space="preserve"> entre 1999 y 2003</w:t>
      </w:r>
      <w:r>
        <w:rPr>
          <w:rStyle w:val="Refdenotaalpie"/>
          <w:sz w:val="20"/>
          <w:szCs w:val="20"/>
        </w:rPr>
        <w:footnoteReference w:id="32"/>
      </w:r>
      <w:r w:rsidRPr="00C50C4A">
        <w:rPr>
          <w:sz w:val="20"/>
          <w:szCs w:val="20"/>
        </w:rPr>
        <w:t>.</w:t>
      </w:r>
      <w:r>
        <w:rPr>
          <w:sz w:val="20"/>
          <w:szCs w:val="20"/>
        </w:rPr>
        <w:t xml:space="preserve"> </w:t>
      </w:r>
      <w:r w:rsidRPr="00A5438A">
        <w:rPr>
          <w:sz w:val="20"/>
          <w:szCs w:val="20"/>
        </w:rPr>
        <w:t>En el mismo sentido, la Corte ya ha tenido en cuenta estudios estatales, realizados en 2006 por la Comisión Para la Reforma Policial (CONAREPOL), que indicaron que la situación a la que se había llegado para ese año denotaba extralimitaciones en el uso de la fuerza por parte de “cuerpos policiales”. Así, el documento respectivo dio cuenta de que el “uso de la fuerza física” por parte de tales cuerpos, los que preservaban un “componente militar” que propiciaba “abuso[s]” y “patrones operativos agresivos e ineficientes como métodos de lucha contra el delito”, se había “convertido en un medio de afirmación de su autoridad”, en un contexto de escasa supervisión y ausencia de protocolos de actuación</w:t>
      </w:r>
      <w:r w:rsidRPr="00A5438A">
        <w:rPr>
          <w:rStyle w:val="Refdenotaalpie"/>
          <w:sz w:val="20"/>
          <w:szCs w:val="20"/>
        </w:rPr>
        <w:footnoteReference w:id="33"/>
      </w:r>
      <w:r w:rsidRPr="00A5438A">
        <w:rPr>
          <w:sz w:val="20"/>
          <w:szCs w:val="20"/>
        </w:rPr>
        <w:t>.</w:t>
      </w:r>
      <w:r w:rsidRPr="00542071">
        <w:rPr>
          <w:sz w:val="20"/>
          <w:szCs w:val="20"/>
        </w:rPr>
        <w:t xml:space="preserve">  </w:t>
      </w:r>
    </w:p>
    <w:p w14:paraId="75142578" w14:textId="77777777" w:rsidR="000C7C2E" w:rsidRDefault="000C7C2E" w:rsidP="000C7C2E">
      <w:pPr>
        <w:pStyle w:val="Prrafodelista"/>
        <w:rPr>
          <w:sz w:val="20"/>
          <w:szCs w:val="20"/>
        </w:rPr>
      </w:pPr>
    </w:p>
    <w:p w14:paraId="20EE5A5E" w14:textId="77777777" w:rsidR="000C7C2E" w:rsidRPr="00170AF5" w:rsidRDefault="000C7C2E" w:rsidP="000C7C2E">
      <w:pPr>
        <w:pStyle w:val="Prrafodelista"/>
        <w:numPr>
          <w:ilvl w:val="0"/>
          <w:numId w:val="1"/>
        </w:numPr>
        <w:tabs>
          <w:tab w:val="left" w:pos="965"/>
        </w:tabs>
        <w:ind w:left="0" w:firstLine="0"/>
      </w:pPr>
      <w:r w:rsidRPr="005D6B10">
        <w:rPr>
          <w:sz w:val="20"/>
          <w:szCs w:val="20"/>
        </w:rPr>
        <w:t>De modo concordante, al decidir un caso cuyos hechos centrales ocurrieron en el Estado Falcón, este Tribunal señaló que, para inicios de 2001, en Venezuela “ocurrían ejecuciones extrajudiciales y otros abusos por parte de las fuerzas policiales, en particular por las policías estaduales y municipales”</w:t>
      </w:r>
      <w:r w:rsidRPr="005D6B10">
        <w:rPr>
          <w:rStyle w:val="Refdenotaalpie"/>
          <w:sz w:val="20"/>
          <w:szCs w:val="20"/>
        </w:rPr>
        <w:footnoteReference w:id="34"/>
      </w:r>
      <w:r w:rsidRPr="005D6B10">
        <w:rPr>
          <w:sz w:val="20"/>
          <w:szCs w:val="20"/>
        </w:rPr>
        <w:t>. La Corte también ha considerado señalamientos, efectuados en 2003, sobre la “</w:t>
      </w:r>
      <w:proofErr w:type="gramStart"/>
      <w:r w:rsidRPr="005D6B10">
        <w:rPr>
          <w:sz w:val="20"/>
          <w:szCs w:val="20"/>
        </w:rPr>
        <w:t>proliferación[</w:t>
      </w:r>
      <w:proofErr w:type="gramEnd"/>
      <w:r w:rsidRPr="005D6B10">
        <w:rPr>
          <w:sz w:val="20"/>
          <w:szCs w:val="20"/>
        </w:rPr>
        <w:t xml:space="preserve">,] en diversos </w:t>
      </w:r>
      <w:r>
        <w:rPr>
          <w:sz w:val="20"/>
          <w:szCs w:val="20"/>
        </w:rPr>
        <w:t>[E]</w:t>
      </w:r>
      <w:proofErr w:type="spellStart"/>
      <w:r w:rsidRPr="005D6B10">
        <w:rPr>
          <w:sz w:val="20"/>
          <w:szCs w:val="20"/>
        </w:rPr>
        <w:t>stados</w:t>
      </w:r>
      <w:proofErr w:type="spellEnd"/>
      <w:r w:rsidRPr="005D6B10">
        <w:rPr>
          <w:sz w:val="20"/>
          <w:szCs w:val="20"/>
        </w:rPr>
        <w:t xml:space="preserve"> [de Venezuela,] de grupos de exterminio vinculados a las organizaciones policiales, </w:t>
      </w:r>
      <w:r>
        <w:rPr>
          <w:sz w:val="20"/>
          <w:szCs w:val="20"/>
        </w:rPr>
        <w:t xml:space="preserve">[una de] </w:t>
      </w:r>
      <w:r w:rsidRPr="005D6B10">
        <w:rPr>
          <w:sz w:val="20"/>
          <w:szCs w:val="20"/>
        </w:rPr>
        <w:t>cuyas modalidades de actuación consistía</w:t>
      </w:r>
      <w:r>
        <w:rPr>
          <w:sz w:val="20"/>
          <w:szCs w:val="20"/>
        </w:rPr>
        <w:t xml:space="preserve"> […] </w:t>
      </w:r>
      <w:r w:rsidRPr="005D6B10">
        <w:rPr>
          <w:sz w:val="20"/>
          <w:szCs w:val="20"/>
        </w:rPr>
        <w:t>en una ejecución mediante enfrentamientos simulados</w:t>
      </w:r>
      <w:r>
        <w:rPr>
          <w:sz w:val="20"/>
          <w:szCs w:val="20"/>
        </w:rPr>
        <w:t>”</w:t>
      </w:r>
      <w:r w:rsidRPr="005D6B10">
        <w:rPr>
          <w:rStyle w:val="Refdenotaalpie"/>
          <w:sz w:val="20"/>
          <w:szCs w:val="20"/>
        </w:rPr>
        <w:footnoteReference w:id="35"/>
      </w:r>
      <w:r w:rsidRPr="005D6B10">
        <w:rPr>
          <w:sz w:val="20"/>
          <w:szCs w:val="20"/>
        </w:rPr>
        <w:t xml:space="preserve">. </w:t>
      </w:r>
    </w:p>
    <w:p w14:paraId="730D7FAB" w14:textId="77777777" w:rsidR="000C7C2E" w:rsidRPr="00170AF5" w:rsidRDefault="000C7C2E" w:rsidP="000C7C2E">
      <w:pPr>
        <w:pStyle w:val="Prrafodelista"/>
        <w:rPr>
          <w:sz w:val="20"/>
          <w:szCs w:val="20"/>
        </w:rPr>
      </w:pPr>
    </w:p>
    <w:p w14:paraId="67E7B3D0" w14:textId="75784917" w:rsidR="000C7C2E" w:rsidRDefault="000C7C2E" w:rsidP="000C7C2E">
      <w:pPr>
        <w:pStyle w:val="Prrafodelista"/>
        <w:numPr>
          <w:ilvl w:val="0"/>
          <w:numId w:val="1"/>
        </w:numPr>
        <w:tabs>
          <w:tab w:val="left" w:pos="965"/>
        </w:tabs>
        <w:ind w:left="0" w:firstLine="0"/>
      </w:pPr>
      <w:r>
        <w:rPr>
          <w:sz w:val="20"/>
          <w:szCs w:val="20"/>
        </w:rPr>
        <w:t>De acuerdo</w:t>
      </w:r>
      <w:r w:rsidR="00DE7C1A">
        <w:rPr>
          <w:sz w:val="20"/>
          <w:szCs w:val="20"/>
        </w:rPr>
        <w:t xml:space="preserve"> con</w:t>
      </w:r>
      <w:r>
        <w:rPr>
          <w:sz w:val="20"/>
          <w:szCs w:val="20"/>
        </w:rPr>
        <w:t xml:space="preserve"> afirmaciones de la Defensoría del Pueblo de Venezuela, efectuadas respecto a</w:t>
      </w:r>
      <w:r w:rsidR="001E76FC">
        <w:rPr>
          <w:sz w:val="20"/>
          <w:szCs w:val="20"/>
        </w:rPr>
        <w:t>l año</w:t>
      </w:r>
      <w:r>
        <w:rPr>
          <w:sz w:val="20"/>
          <w:szCs w:val="20"/>
        </w:rPr>
        <w:t xml:space="preserve"> 2003, el </w:t>
      </w:r>
      <w:r>
        <w:rPr>
          <w:i/>
          <w:sz w:val="20"/>
          <w:szCs w:val="20"/>
        </w:rPr>
        <w:t>modus operandi</w:t>
      </w:r>
      <w:r>
        <w:rPr>
          <w:sz w:val="20"/>
          <w:szCs w:val="20"/>
        </w:rPr>
        <w:t xml:space="preserve"> de estas ejecuciones, aun no siendo igual en todos los casos, incluía con frecuencia la simulación de un enfrentamiento; la intercepción de la víctima cerca o </w:t>
      </w:r>
      <w:r w:rsidR="0088259B">
        <w:rPr>
          <w:sz w:val="20"/>
          <w:szCs w:val="20"/>
        </w:rPr>
        <w:t>a</w:t>
      </w:r>
      <w:r>
        <w:rPr>
          <w:sz w:val="20"/>
          <w:szCs w:val="20"/>
        </w:rPr>
        <w:t xml:space="preserve">dentro de su residencia, o en el transcurso de operativos policiales; la presencia de testigos; el uso de armas de fuego, disparadas varias veces sobre el cuerpo de la víctima; la alteración de la escena del crimen; el traslado de la víctima a un lugar diferente del de los hechos; el ocultamiento, por pasamontañas, de la identidad del funcionario, así como el empleo de vehículos sin placas o taxis, y las amenazas u hostigamientos a familiares o testigos que denunciaran </w:t>
      </w:r>
      <w:r>
        <w:rPr>
          <w:sz w:val="20"/>
          <w:szCs w:val="20"/>
        </w:rPr>
        <w:lastRenderedPageBreak/>
        <w:t>los hechos</w:t>
      </w:r>
      <w:r>
        <w:rPr>
          <w:rStyle w:val="Refdenotaalpie"/>
          <w:sz w:val="20"/>
          <w:szCs w:val="20"/>
        </w:rPr>
        <w:footnoteReference w:id="36"/>
      </w:r>
      <w:r>
        <w:rPr>
          <w:sz w:val="20"/>
          <w:szCs w:val="20"/>
        </w:rPr>
        <w:t xml:space="preserve">. </w:t>
      </w:r>
    </w:p>
    <w:p w14:paraId="3EEA1398" w14:textId="77777777" w:rsidR="000C7C2E" w:rsidRDefault="000C7C2E" w:rsidP="000C7C2E"/>
    <w:p w14:paraId="34FE90AD" w14:textId="0448D3E6" w:rsidR="000C7C2E" w:rsidRPr="00454E46" w:rsidRDefault="000C7C2E" w:rsidP="000C7C2E">
      <w:pPr>
        <w:pStyle w:val="Prrafodelista"/>
        <w:numPr>
          <w:ilvl w:val="0"/>
          <w:numId w:val="1"/>
        </w:numPr>
        <w:tabs>
          <w:tab w:val="left" w:pos="965"/>
        </w:tabs>
        <w:ind w:left="0" w:right="49" w:firstLine="0"/>
        <w:rPr>
          <w:sz w:val="16"/>
          <w:szCs w:val="16"/>
        </w:rPr>
      </w:pPr>
      <w:r w:rsidRPr="00454E46">
        <w:rPr>
          <w:sz w:val="20"/>
          <w:szCs w:val="20"/>
        </w:rPr>
        <w:t>Las víctimas de la violencia policial descripta consistían mayormente en hombres jóvenes en condición de pobreza</w:t>
      </w:r>
      <w:r w:rsidRPr="005D6B10">
        <w:rPr>
          <w:rStyle w:val="Refdenotaalpie"/>
          <w:sz w:val="20"/>
          <w:szCs w:val="20"/>
        </w:rPr>
        <w:footnoteReference w:id="37"/>
      </w:r>
      <w:r w:rsidRPr="00454E46">
        <w:rPr>
          <w:sz w:val="20"/>
          <w:szCs w:val="20"/>
        </w:rPr>
        <w:t xml:space="preserve">. El perito </w:t>
      </w:r>
      <w:proofErr w:type="spellStart"/>
      <w:r w:rsidRPr="00454E46">
        <w:rPr>
          <w:sz w:val="20"/>
          <w:szCs w:val="20"/>
        </w:rPr>
        <w:t>Alston</w:t>
      </w:r>
      <w:proofErr w:type="spellEnd"/>
      <w:r w:rsidRPr="00454E46">
        <w:rPr>
          <w:sz w:val="20"/>
          <w:szCs w:val="20"/>
        </w:rPr>
        <w:t xml:space="preserve"> afirmó que “el hecho de ser joven hace que la situación de pobreza se agrave”, y que se incrementen las posibilidades de maltrato por parte de autoridades</w:t>
      </w:r>
      <w:r>
        <w:rPr>
          <w:rStyle w:val="Refdenotaalpie"/>
          <w:sz w:val="20"/>
          <w:szCs w:val="20"/>
        </w:rPr>
        <w:footnoteReference w:id="38"/>
      </w:r>
      <w:r w:rsidRPr="00454E46">
        <w:rPr>
          <w:sz w:val="20"/>
          <w:szCs w:val="20"/>
        </w:rPr>
        <w:t>. En forma similar, el perito Briceño León aseveró que “[e]n Venezuela la violencia se ha ensañado con un segmento particular de la población: los hombres jóvenes en situación de pobreza”</w:t>
      </w:r>
      <w:r>
        <w:rPr>
          <w:rStyle w:val="Refdenotaalpie"/>
          <w:sz w:val="20"/>
          <w:szCs w:val="20"/>
        </w:rPr>
        <w:footnoteReference w:id="39"/>
      </w:r>
      <w:r w:rsidRPr="00454E46">
        <w:rPr>
          <w:sz w:val="20"/>
          <w:szCs w:val="20"/>
        </w:rPr>
        <w:t>. E</w:t>
      </w:r>
      <w:r w:rsidR="009557A6">
        <w:rPr>
          <w:sz w:val="20"/>
          <w:szCs w:val="20"/>
        </w:rPr>
        <w:t>n la declaración ya citada e</w:t>
      </w:r>
      <w:r w:rsidRPr="00454E46">
        <w:rPr>
          <w:sz w:val="20"/>
          <w:szCs w:val="20"/>
        </w:rPr>
        <w:t xml:space="preserve">l perito </w:t>
      </w:r>
      <w:proofErr w:type="spellStart"/>
      <w:r w:rsidRPr="00454E46">
        <w:rPr>
          <w:sz w:val="20"/>
          <w:szCs w:val="20"/>
        </w:rPr>
        <w:t>Alston</w:t>
      </w:r>
      <w:proofErr w:type="spellEnd"/>
      <w:r w:rsidRPr="00454E46">
        <w:rPr>
          <w:sz w:val="20"/>
          <w:szCs w:val="20"/>
        </w:rPr>
        <w:t xml:space="preserve"> efectuó manifestaciones concordantes, indicando la estigmatización </w:t>
      </w:r>
      <w:r>
        <w:rPr>
          <w:sz w:val="20"/>
          <w:szCs w:val="20"/>
        </w:rPr>
        <w:t>padecida por</w:t>
      </w:r>
      <w:r w:rsidRPr="00454E46">
        <w:rPr>
          <w:sz w:val="20"/>
          <w:szCs w:val="20"/>
        </w:rPr>
        <w:t xml:space="preserve"> las personas pertenecientes al sector de la población aludido</w:t>
      </w:r>
      <w:r>
        <w:rPr>
          <w:sz w:val="20"/>
          <w:szCs w:val="20"/>
        </w:rPr>
        <w:t>,</w:t>
      </w:r>
      <w:r w:rsidRPr="00454E46">
        <w:rPr>
          <w:sz w:val="20"/>
          <w:szCs w:val="20"/>
        </w:rPr>
        <w:t xml:space="preserve"> como </w:t>
      </w:r>
      <w:r>
        <w:rPr>
          <w:sz w:val="20"/>
          <w:szCs w:val="20"/>
        </w:rPr>
        <w:t xml:space="preserve">presuntamente vinculadas a </w:t>
      </w:r>
      <w:r w:rsidRPr="00454E46">
        <w:rPr>
          <w:sz w:val="20"/>
          <w:szCs w:val="20"/>
        </w:rPr>
        <w:t>actividad</w:t>
      </w:r>
      <w:r>
        <w:rPr>
          <w:sz w:val="20"/>
          <w:szCs w:val="20"/>
        </w:rPr>
        <w:t>es</w:t>
      </w:r>
      <w:r w:rsidRPr="00454E46">
        <w:rPr>
          <w:sz w:val="20"/>
          <w:szCs w:val="20"/>
        </w:rPr>
        <w:t xml:space="preserve"> delictiva</w:t>
      </w:r>
      <w:r>
        <w:rPr>
          <w:sz w:val="20"/>
          <w:szCs w:val="20"/>
        </w:rPr>
        <w:t>s</w:t>
      </w:r>
      <w:r w:rsidRPr="00454E46">
        <w:rPr>
          <w:sz w:val="20"/>
          <w:szCs w:val="20"/>
        </w:rPr>
        <w:t>.</w:t>
      </w:r>
      <w:r w:rsidRPr="00454E46">
        <w:rPr>
          <w:sz w:val="16"/>
          <w:szCs w:val="16"/>
        </w:rPr>
        <w:t xml:space="preserve"> </w:t>
      </w:r>
    </w:p>
    <w:p w14:paraId="25010A40" w14:textId="77777777" w:rsidR="000C7C2E" w:rsidRPr="00594408" w:rsidRDefault="000C7C2E" w:rsidP="000C7C2E">
      <w:pPr>
        <w:pStyle w:val="Prrafodelista"/>
        <w:rPr>
          <w:sz w:val="20"/>
          <w:szCs w:val="20"/>
        </w:rPr>
      </w:pPr>
    </w:p>
    <w:p w14:paraId="33F30514" w14:textId="72C3AAAC" w:rsidR="000C7C2E" w:rsidRPr="005A4BC4" w:rsidRDefault="000C7C2E" w:rsidP="000C7C2E">
      <w:pPr>
        <w:pStyle w:val="Prrafodelista"/>
        <w:numPr>
          <w:ilvl w:val="0"/>
          <w:numId w:val="1"/>
        </w:numPr>
        <w:tabs>
          <w:tab w:val="left" w:pos="965"/>
        </w:tabs>
        <w:ind w:left="0" w:firstLine="0"/>
        <w:rPr>
          <w:sz w:val="20"/>
          <w:szCs w:val="20"/>
        </w:rPr>
      </w:pPr>
      <w:r>
        <w:rPr>
          <w:sz w:val="20"/>
          <w:szCs w:val="20"/>
        </w:rPr>
        <w:t>En ese sentido, el informe de la Defensoría del Pueblo antes citado (</w:t>
      </w:r>
      <w:r>
        <w:rPr>
          <w:i/>
          <w:sz w:val="20"/>
          <w:szCs w:val="20"/>
        </w:rPr>
        <w:t xml:space="preserve">supra </w:t>
      </w:r>
      <w:r>
        <w:rPr>
          <w:sz w:val="20"/>
          <w:szCs w:val="20"/>
        </w:rPr>
        <w:t>párr. 49) señala que “[e]l 99</w:t>
      </w:r>
      <w:r w:rsidRPr="00CA439D">
        <w:rPr>
          <w:sz w:val="20"/>
          <w:szCs w:val="20"/>
        </w:rPr>
        <w:t xml:space="preserve">% de las víctimas </w:t>
      </w:r>
      <w:r>
        <w:rPr>
          <w:sz w:val="20"/>
          <w:szCs w:val="20"/>
        </w:rPr>
        <w:t>[fueron]</w:t>
      </w:r>
      <w:r w:rsidRPr="00CA439D">
        <w:rPr>
          <w:sz w:val="20"/>
          <w:szCs w:val="20"/>
        </w:rPr>
        <w:t xml:space="preserve"> de sexo masculino</w:t>
      </w:r>
      <w:r>
        <w:rPr>
          <w:sz w:val="20"/>
          <w:szCs w:val="20"/>
        </w:rPr>
        <w:t>”, y que el 77% fueron</w:t>
      </w:r>
      <w:r w:rsidRPr="00CA439D">
        <w:rPr>
          <w:sz w:val="20"/>
          <w:szCs w:val="20"/>
        </w:rPr>
        <w:t xml:space="preserve"> </w:t>
      </w:r>
      <w:r>
        <w:rPr>
          <w:sz w:val="20"/>
          <w:szCs w:val="20"/>
        </w:rPr>
        <w:t>menores de</w:t>
      </w:r>
      <w:r w:rsidRPr="00CA439D">
        <w:rPr>
          <w:sz w:val="20"/>
          <w:szCs w:val="20"/>
        </w:rPr>
        <w:t xml:space="preserve"> 28</w:t>
      </w:r>
      <w:r>
        <w:rPr>
          <w:sz w:val="20"/>
          <w:szCs w:val="20"/>
        </w:rPr>
        <w:t xml:space="preserve"> </w:t>
      </w:r>
      <w:proofErr w:type="gramStart"/>
      <w:r w:rsidRPr="00CA439D">
        <w:rPr>
          <w:sz w:val="20"/>
          <w:szCs w:val="20"/>
        </w:rPr>
        <w:t>años</w:t>
      </w:r>
      <w:r>
        <w:rPr>
          <w:sz w:val="20"/>
          <w:szCs w:val="20"/>
        </w:rPr>
        <w:t xml:space="preserve"> de edad</w:t>
      </w:r>
      <w:proofErr w:type="gramEnd"/>
      <w:r>
        <w:rPr>
          <w:sz w:val="20"/>
          <w:szCs w:val="20"/>
        </w:rPr>
        <w:t>. El mismo documento agrega que “[l]</w:t>
      </w:r>
      <w:r w:rsidRPr="00CA439D">
        <w:rPr>
          <w:sz w:val="20"/>
          <w:szCs w:val="20"/>
        </w:rPr>
        <w:t>a mayoría de los ajusticiamientos ocurren en zonas urbanas de escasos recursos</w:t>
      </w:r>
      <w:r>
        <w:rPr>
          <w:sz w:val="20"/>
          <w:szCs w:val="20"/>
        </w:rPr>
        <w:t xml:space="preserve">”. También </w:t>
      </w:r>
      <w:r w:rsidRPr="00C93409">
        <w:rPr>
          <w:sz w:val="20"/>
          <w:szCs w:val="20"/>
        </w:rPr>
        <w:t xml:space="preserve">advirtió que en 2003 había aumentado, respecto del año anterior, el número de denuncias de “muertes por ejecuciones”, y que la policía del estado Falcón </w:t>
      </w:r>
      <w:r>
        <w:rPr>
          <w:sz w:val="20"/>
          <w:szCs w:val="20"/>
        </w:rPr>
        <w:t xml:space="preserve">fue </w:t>
      </w:r>
      <w:r w:rsidRPr="00C93409">
        <w:rPr>
          <w:sz w:val="20"/>
          <w:szCs w:val="20"/>
        </w:rPr>
        <w:t>la segunda más denunciada</w:t>
      </w:r>
      <w:r>
        <w:rPr>
          <w:sz w:val="20"/>
          <w:szCs w:val="20"/>
        </w:rPr>
        <w:t xml:space="preserve"> del país</w:t>
      </w:r>
      <w:r>
        <w:rPr>
          <w:rStyle w:val="Refdenotaalpie"/>
          <w:sz w:val="20"/>
          <w:szCs w:val="20"/>
        </w:rPr>
        <w:footnoteReference w:id="40"/>
      </w:r>
      <w:r w:rsidRPr="00C93409">
        <w:rPr>
          <w:sz w:val="20"/>
          <w:szCs w:val="20"/>
        </w:rPr>
        <w:t>.</w:t>
      </w:r>
      <w:r>
        <w:rPr>
          <w:sz w:val="20"/>
          <w:szCs w:val="20"/>
        </w:rPr>
        <w:t xml:space="preserve"> </w:t>
      </w:r>
      <w:r w:rsidRPr="005A4BC4">
        <w:rPr>
          <w:sz w:val="20"/>
          <w:szCs w:val="20"/>
        </w:rPr>
        <w:t xml:space="preserve">En 2003, el Defensor del Pueblo expresó </w:t>
      </w:r>
      <w:r w:rsidRPr="005A4BC4">
        <w:rPr>
          <w:rFonts w:eastAsiaTheme="minorHAnsi" w:cs="ArialMT"/>
          <w:sz w:val="20"/>
          <w:szCs w:val="20"/>
          <w:lang w:val="es-CR"/>
        </w:rPr>
        <w:t>“gran pre</w:t>
      </w:r>
      <w:r w:rsidRPr="005A4BC4">
        <w:rPr>
          <w:rFonts w:eastAsiaTheme="minorHAnsi" w:cs="Arial"/>
          <w:sz w:val="20"/>
          <w:szCs w:val="20"/>
          <w:lang w:val="es-CR"/>
        </w:rPr>
        <w:t>ocupación por el exagerado incremento de denuncias de</w:t>
      </w:r>
      <w:r w:rsidRPr="005A4BC4">
        <w:rPr>
          <w:sz w:val="20"/>
          <w:szCs w:val="20"/>
        </w:rPr>
        <w:t xml:space="preserve"> </w:t>
      </w:r>
      <w:r w:rsidRPr="005A4BC4">
        <w:rPr>
          <w:rFonts w:eastAsiaTheme="minorHAnsi" w:cs="ArialMT"/>
          <w:sz w:val="20"/>
          <w:szCs w:val="20"/>
          <w:lang w:val="es-CR"/>
        </w:rPr>
        <w:t xml:space="preserve">abuso policial en el Estado [Falcón]”, y durante </w:t>
      </w:r>
      <w:r w:rsidRPr="005A4BC4">
        <w:rPr>
          <w:rFonts w:eastAsiaTheme="minorHAnsi" w:cs="ArialMT"/>
          <w:sz w:val="20"/>
          <w:szCs w:val="20"/>
          <w:lang w:val="es-CR"/>
        </w:rPr>
        <w:lastRenderedPageBreak/>
        <w:t>ese año y el siguiente solicitó una “</w:t>
      </w:r>
      <w:r w:rsidRPr="005A4BC4">
        <w:rPr>
          <w:sz w:val="20"/>
          <w:szCs w:val="20"/>
        </w:rPr>
        <w:t xml:space="preserve">profunda revisión administrativa del personal adscrito a las Fuerzas Armadas Policiales del </w:t>
      </w:r>
      <w:r w:rsidR="003D4BE1">
        <w:rPr>
          <w:sz w:val="20"/>
          <w:szCs w:val="20"/>
        </w:rPr>
        <w:t>[E]</w:t>
      </w:r>
      <w:proofErr w:type="spellStart"/>
      <w:r w:rsidRPr="005A4BC4">
        <w:rPr>
          <w:sz w:val="20"/>
          <w:szCs w:val="20"/>
        </w:rPr>
        <w:t>stado</w:t>
      </w:r>
      <w:proofErr w:type="spellEnd"/>
      <w:r w:rsidRPr="005A4BC4">
        <w:rPr>
          <w:sz w:val="20"/>
          <w:szCs w:val="20"/>
        </w:rPr>
        <w:t xml:space="preserve"> [Falcón]”</w:t>
      </w:r>
      <w:r w:rsidRPr="005A4BC4">
        <w:rPr>
          <w:rStyle w:val="Refdenotaalpie"/>
          <w:rFonts w:eastAsiaTheme="minorHAnsi" w:cs="ArialMT"/>
          <w:sz w:val="20"/>
          <w:szCs w:val="20"/>
          <w:lang w:val="es-CR"/>
        </w:rPr>
        <w:footnoteReference w:id="41"/>
      </w:r>
      <w:r w:rsidRPr="005A4BC4">
        <w:rPr>
          <w:sz w:val="20"/>
          <w:szCs w:val="20"/>
        </w:rPr>
        <w:t xml:space="preserve">. </w:t>
      </w:r>
    </w:p>
    <w:p w14:paraId="0D16A337" w14:textId="77777777" w:rsidR="000C7C2E" w:rsidRPr="002016BF" w:rsidRDefault="000C7C2E" w:rsidP="000C7C2E">
      <w:pPr>
        <w:rPr>
          <w:sz w:val="20"/>
        </w:rPr>
      </w:pPr>
    </w:p>
    <w:p w14:paraId="38802B61" w14:textId="77777777" w:rsidR="000C7C2E" w:rsidRPr="001247CB" w:rsidRDefault="000C7C2E" w:rsidP="000C7C2E">
      <w:pPr>
        <w:pStyle w:val="Prrafodelista"/>
        <w:tabs>
          <w:tab w:val="left" w:pos="965"/>
        </w:tabs>
        <w:ind w:left="567"/>
        <w:outlineLvl w:val="2"/>
        <w:rPr>
          <w:i/>
          <w:sz w:val="20"/>
        </w:rPr>
      </w:pPr>
      <w:bookmarkStart w:id="35" w:name="_Toc73960349"/>
      <w:r w:rsidRPr="001247CB">
        <w:rPr>
          <w:i/>
          <w:sz w:val="20"/>
        </w:rPr>
        <w:t xml:space="preserve">A.2. </w:t>
      </w:r>
      <w:r w:rsidRPr="001247CB">
        <w:rPr>
          <w:i/>
          <w:sz w:val="20"/>
          <w:u w:val="single"/>
        </w:rPr>
        <w:t>Impunidad de actos de violencia policial</w:t>
      </w:r>
      <w:bookmarkEnd w:id="35"/>
    </w:p>
    <w:p w14:paraId="280CFD22" w14:textId="77777777" w:rsidR="000C7C2E" w:rsidRPr="001247CB" w:rsidRDefault="000C7C2E" w:rsidP="000C7C2E">
      <w:pPr>
        <w:pStyle w:val="Prrafodelista"/>
        <w:tabs>
          <w:tab w:val="left" w:pos="965"/>
        </w:tabs>
        <w:ind w:left="0"/>
        <w:rPr>
          <w:i/>
          <w:sz w:val="20"/>
        </w:rPr>
      </w:pPr>
    </w:p>
    <w:p w14:paraId="1557D37A" w14:textId="77777777" w:rsidR="000C7C2E" w:rsidRDefault="000C7C2E" w:rsidP="000C7C2E">
      <w:pPr>
        <w:pStyle w:val="Prrafodelista"/>
        <w:numPr>
          <w:ilvl w:val="0"/>
          <w:numId w:val="1"/>
        </w:numPr>
        <w:tabs>
          <w:tab w:val="left" w:pos="965"/>
        </w:tabs>
        <w:ind w:left="0" w:firstLine="0"/>
        <w:rPr>
          <w:sz w:val="20"/>
          <w:szCs w:val="20"/>
        </w:rPr>
      </w:pPr>
      <w:r w:rsidRPr="00A43FCE">
        <w:rPr>
          <w:sz w:val="20"/>
          <w:szCs w:val="20"/>
        </w:rPr>
        <w:t>La Corte, con base en señalamientos de entidades de la Organización de las Naciones Unidas de 1999 y 2001, ya ha advertido que, hacia fines de la década de 1990, en Venezuela se presentaban demoras en la actuación de organismos estatales en la “</w:t>
      </w:r>
      <w:proofErr w:type="spellStart"/>
      <w:r w:rsidRPr="00A43FCE">
        <w:rPr>
          <w:sz w:val="20"/>
          <w:szCs w:val="20"/>
        </w:rPr>
        <w:t>reacci</w:t>
      </w:r>
      <w:proofErr w:type="spellEnd"/>
      <w:r w:rsidRPr="00A43FCE">
        <w:rPr>
          <w:sz w:val="20"/>
          <w:szCs w:val="20"/>
        </w:rPr>
        <w:t>[</w:t>
      </w:r>
      <w:proofErr w:type="spellStart"/>
      <w:r w:rsidRPr="00A43FCE">
        <w:rPr>
          <w:sz w:val="20"/>
          <w:szCs w:val="20"/>
        </w:rPr>
        <w:t>ón</w:t>
      </w:r>
      <w:proofErr w:type="spellEnd"/>
      <w:r w:rsidRPr="00A43FCE">
        <w:rPr>
          <w:sz w:val="20"/>
          <w:szCs w:val="20"/>
        </w:rPr>
        <w:t xml:space="preserve">]” frente a hechos de violencia policial, así como la “ausencia de mecanismos independientes” para la investigación de </w:t>
      </w:r>
      <w:proofErr w:type="gramStart"/>
      <w:r w:rsidRPr="00A43FCE">
        <w:rPr>
          <w:sz w:val="20"/>
          <w:szCs w:val="20"/>
        </w:rPr>
        <w:t>los mismos</w:t>
      </w:r>
      <w:proofErr w:type="gramEnd"/>
      <w:r w:rsidRPr="00A43FCE">
        <w:rPr>
          <w:rStyle w:val="Refdenotaalpie"/>
          <w:sz w:val="20"/>
          <w:szCs w:val="20"/>
        </w:rPr>
        <w:footnoteReference w:id="42"/>
      </w:r>
      <w:r w:rsidRPr="00A43FCE">
        <w:rPr>
          <w:sz w:val="20"/>
          <w:szCs w:val="20"/>
        </w:rPr>
        <w:t xml:space="preserve">. </w:t>
      </w:r>
      <w:r>
        <w:rPr>
          <w:sz w:val="20"/>
          <w:szCs w:val="20"/>
        </w:rPr>
        <w:t>Este Tribunal</w:t>
      </w:r>
      <w:r w:rsidRPr="00A43FCE">
        <w:rPr>
          <w:sz w:val="20"/>
          <w:szCs w:val="20"/>
        </w:rPr>
        <w:t xml:space="preserve"> ha tenido en cuenta también información estatal que indica que “en el período de 2000 a 2007 existían 6</w:t>
      </w:r>
      <w:r>
        <w:rPr>
          <w:sz w:val="20"/>
          <w:szCs w:val="20"/>
        </w:rPr>
        <w:t>,</w:t>
      </w:r>
      <w:r w:rsidRPr="00A43FCE">
        <w:rPr>
          <w:sz w:val="20"/>
          <w:szCs w:val="20"/>
        </w:rPr>
        <w:t>405 casos de violación de derechos humanos, delito de homicidio, enfrentamientos o ajusticiamientos, de los cuales solo existían 436 acusaciones”</w:t>
      </w:r>
      <w:r w:rsidRPr="00A43FCE">
        <w:rPr>
          <w:rStyle w:val="Refdenotaalpie"/>
          <w:sz w:val="20"/>
          <w:szCs w:val="20"/>
        </w:rPr>
        <w:footnoteReference w:id="43"/>
      </w:r>
      <w:r w:rsidRPr="00A43FCE">
        <w:rPr>
          <w:sz w:val="20"/>
          <w:szCs w:val="20"/>
        </w:rPr>
        <w:t xml:space="preserve">. De conformidad a datos de la </w:t>
      </w:r>
      <w:proofErr w:type="gramStart"/>
      <w:r w:rsidRPr="00A43FCE">
        <w:rPr>
          <w:sz w:val="20"/>
          <w:szCs w:val="20"/>
        </w:rPr>
        <w:t>Fiscalía General</w:t>
      </w:r>
      <w:proofErr w:type="gramEnd"/>
      <w:r w:rsidRPr="00A43FCE">
        <w:rPr>
          <w:sz w:val="20"/>
          <w:szCs w:val="20"/>
        </w:rPr>
        <w:t>, entre 2001 y julio de 2003 habían ocurrido al menos 1,541 presuntas ejecuciones, habiéndose dictado 17 sentencias condenatorias. La Defensoría del Pueblo consideró que ese número resultaba “ínfimo” en comparación con la cantidad de causas</w:t>
      </w:r>
      <w:r w:rsidRPr="00A43FCE">
        <w:rPr>
          <w:rStyle w:val="Refdenotaalpie"/>
          <w:sz w:val="20"/>
          <w:szCs w:val="20"/>
        </w:rPr>
        <w:footnoteReference w:id="44"/>
      </w:r>
      <w:r w:rsidRPr="00A43FCE">
        <w:rPr>
          <w:sz w:val="20"/>
          <w:szCs w:val="20"/>
        </w:rPr>
        <w:t xml:space="preserve">, representando, respecto de los hechos de posibles ejecuciones, un </w:t>
      </w:r>
      <w:r>
        <w:rPr>
          <w:sz w:val="20"/>
          <w:szCs w:val="20"/>
        </w:rPr>
        <w:t>1.</w:t>
      </w:r>
      <w:r w:rsidRPr="00A43FCE">
        <w:rPr>
          <w:sz w:val="20"/>
          <w:szCs w:val="20"/>
        </w:rPr>
        <w:t xml:space="preserve">1%. </w:t>
      </w:r>
    </w:p>
    <w:p w14:paraId="6558A5CB" w14:textId="77777777" w:rsidR="000C7C2E" w:rsidRDefault="000C7C2E" w:rsidP="000C7C2E">
      <w:pPr>
        <w:pStyle w:val="Prrafodelista"/>
        <w:tabs>
          <w:tab w:val="left" w:pos="965"/>
        </w:tabs>
        <w:ind w:left="0"/>
        <w:rPr>
          <w:sz w:val="20"/>
          <w:szCs w:val="20"/>
        </w:rPr>
      </w:pPr>
    </w:p>
    <w:p w14:paraId="14DD389C" w14:textId="77777777" w:rsidR="000C7C2E" w:rsidRPr="001247CB" w:rsidRDefault="000C7C2E" w:rsidP="000C7C2E">
      <w:pPr>
        <w:pStyle w:val="Prrafodelista"/>
        <w:tabs>
          <w:tab w:val="left" w:pos="965"/>
        </w:tabs>
        <w:ind w:left="567"/>
        <w:outlineLvl w:val="2"/>
        <w:rPr>
          <w:i/>
          <w:sz w:val="20"/>
        </w:rPr>
      </w:pPr>
      <w:bookmarkStart w:id="36" w:name="_Toc73960350"/>
      <w:r>
        <w:rPr>
          <w:i/>
          <w:sz w:val="20"/>
        </w:rPr>
        <w:t>A.3</w:t>
      </w:r>
      <w:r w:rsidRPr="001247CB">
        <w:rPr>
          <w:i/>
          <w:sz w:val="20"/>
        </w:rPr>
        <w:t xml:space="preserve"> </w:t>
      </w:r>
      <w:r>
        <w:rPr>
          <w:i/>
          <w:sz w:val="20"/>
          <w:u w:val="single"/>
        </w:rPr>
        <w:t>Conclusión sobre la situación de contexto</w:t>
      </w:r>
      <w:bookmarkEnd w:id="36"/>
    </w:p>
    <w:p w14:paraId="05D186AD" w14:textId="77777777" w:rsidR="000C7C2E" w:rsidRDefault="000C7C2E" w:rsidP="000C7C2E">
      <w:pPr>
        <w:pStyle w:val="Prrafodelista"/>
        <w:tabs>
          <w:tab w:val="left" w:pos="965"/>
        </w:tabs>
        <w:ind w:left="0"/>
        <w:rPr>
          <w:sz w:val="20"/>
          <w:szCs w:val="20"/>
        </w:rPr>
      </w:pPr>
    </w:p>
    <w:p w14:paraId="522851B2" w14:textId="77777777" w:rsidR="000C7C2E" w:rsidRPr="00B36DDA" w:rsidRDefault="000C7C2E" w:rsidP="000C7C2E">
      <w:pPr>
        <w:pStyle w:val="Prrafodelista"/>
        <w:numPr>
          <w:ilvl w:val="0"/>
          <w:numId w:val="1"/>
        </w:numPr>
        <w:tabs>
          <w:tab w:val="left" w:pos="965"/>
        </w:tabs>
        <w:ind w:left="0" w:firstLine="0"/>
        <w:rPr>
          <w:sz w:val="20"/>
          <w:szCs w:val="20"/>
        </w:rPr>
      </w:pPr>
      <w:r>
        <w:rPr>
          <w:sz w:val="20"/>
          <w:szCs w:val="20"/>
        </w:rPr>
        <w:t>Dado lo expuesto, la Corte entiende que, para 2003, cuando ocurrieron los hechos centrales del presente caso, existía en Venezuela, así como en el Estado Falcón en particular, una situación de incremento de ho</w:t>
      </w:r>
      <w:r w:rsidRPr="00B36DDA">
        <w:rPr>
          <w:sz w:val="20"/>
          <w:szCs w:val="20"/>
        </w:rPr>
        <w:t xml:space="preserve">micidios y de la violencia policial, que afectaba en mayor medida a hombres jóvenes en situación de pobreza. A su vez, existía un alto grado de impunidad respecto a dicha violencia. </w:t>
      </w:r>
    </w:p>
    <w:p w14:paraId="0A9AF020" w14:textId="47F1B484" w:rsidR="00CF0121" w:rsidRDefault="00CF0121"/>
    <w:p w14:paraId="3800138F" w14:textId="77777777" w:rsidR="00685A14" w:rsidRPr="00255CDB" w:rsidRDefault="00685A14" w:rsidP="000F2503">
      <w:pPr>
        <w:pStyle w:val="Prrafodelista"/>
        <w:numPr>
          <w:ilvl w:val="0"/>
          <w:numId w:val="7"/>
        </w:numPr>
        <w:tabs>
          <w:tab w:val="left" w:pos="965"/>
        </w:tabs>
        <w:ind w:left="284" w:firstLine="0"/>
        <w:outlineLvl w:val="1"/>
        <w:rPr>
          <w:b/>
          <w:i/>
          <w:sz w:val="20"/>
        </w:rPr>
      </w:pPr>
      <w:bookmarkStart w:id="37" w:name="_Toc73960351"/>
      <w:r>
        <w:rPr>
          <w:b/>
          <w:i/>
          <w:sz w:val="20"/>
        </w:rPr>
        <w:t xml:space="preserve">Hechos </w:t>
      </w:r>
      <w:r w:rsidRPr="00DF19A7">
        <w:rPr>
          <w:b/>
          <w:i/>
          <w:sz w:val="20"/>
        </w:rPr>
        <w:t>del caso</w:t>
      </w:r>
      <w:bookmarkEnd w:id="37"/>
    </w:p>
    <w:p w14:paraId="75FB1C81" w14:textId="77777777" w:rsidR="00685A14" w:rsidRDefault="00685A14" w:rsidP="00685A14">
      <w:pPr>
        <w:pStyle w:val="Prrafodelista"/>
        <w:rPr>
          <w:sz w:val="20"/>
        </w:rPr>
      </w:pPr>
    </w:p>
    <w:p w14:paraId="3D816C9C" w14:textId="724CBB12" w:rsidR="00685A14" w:rsidRPr="005E273F" w:rsidRDefault="00685A14" w:rsidP="00685A14">
      <w:pPr>
        <w:pStyle w:val="Prrafodelista"/>
        <w:numPr>
          <w:ilvl w:val="0"/>
          <w:numId w:val="29"/>
        </w:numPr>
        <w:tabs>
          <w:tab w:val="left" w:pos="0"/>
        </w:tabs>
        <w:ind w:left="0" w:firstLine="0"/>
        <w:rPr>
          <w:rFonts w:eastAsiaTheme="minorHAnsi" w:cs="Arial"/>
          <w:sz w:val="20"/>
          <w:szCs w:val="20"/>
          <w:lang w:val="es-CR"/>
        </w:rPr>
      </w:pPr>
      <w:r w:rsidRPr="005E273F">
        <w:rPr>
          <w:rFonts w:eastAsiaTheme="minorHAnsi" w:cs="Arial"/>
          <w:sz w:val="20"/>
          <w:szCs w:val="20"/>
          <w:lang w:val="es-CR"/>
        </w:rPr>
        <w:t xml:space="preserve">Jimmy Rafael Guerrero Meléndez, nació el 19 de abril de 1976. </w:t>
      </w:r>
      <w:r>
        <w:rPr>
          <w:rFonts w:eastAsiaTheme="minorHAnsi" w:cs="Arial"/>
          <w:sz w:val="20"/>
          <w:szCs w:val="20"/>
          <w:lang w:val="es-CR"/>
        </w:rPr>
        <w:t>C</w:t>
      </w:r>
      <w:r w:rsidRPr="005E273F">
        <w:rPr>
          <w:rFonts w:eastAsiaTheme="minorHAnsi" w:cs="Arial"/>
          <w:sz w:val="20"/>
          <w:szCs w:val="20"/>
          <w:lang w:val="es-CR"/>
        </w:rPr>
        <w:t xml:space="preserve">ontaba con 26 </w:t>
      </w:r>
      <w:proofErr w:type="gramStart"/>
      <w:r w:rsidRPr="005E273F">
        <w:rPr>
          <w:rFonts w:eastAsiaTheme="minorHAnsi" w:cs="Arial"/>
          <w:sz w:val="20"/>
          <w:szCs w:val="20"/>
          <w:lang w:val="es-CR"/>
        </w:rPr>
        <w:t>años de edad</w:t>
      </w:r>
      <w:proofErr w:type="gramEnd"/>
      <w:r>
        <w:rPr>
          <w:rFonts w:eastAsiaTheme="minorHAnsi" w:cs="Arial"/>
          <w:sz w:val="20"/>
          <w:szCs w:val="20"/>
          <w:lang w:val="es-CR"/>
        </w:rPr>
        <w:t xml:space="preserve"> al momento de su muerte</w:t>
      </w:r>
      <w:r w:rsidRPr="005E273F">
        <w:rPr>
          <w:rFonts w:eastAsiaTheme="minorHAnsi" w:cs="Arial"/>
          <w:sz w:val="20"/>
          <w:szCs w:val="20"/>
          <w:lang w:val="es-CR"/>
        </w:rPr>
        <w:t>. Trabajaba como taxista y vendedor ambulante en la ciudad de Coro. Ramón Antonio Molina Pérez nació el 1 de enero de 1954. Al momento de su muerte tenía 49 años, era conductor de vehículos para una empresa, y el sostén de su familia. Ramón era muy cercano a la familia Guerrero, en particular al señor Nieves</w:t>
      </w:r>
      <w:r w:rsidR="00981E0C">
        <w:rPr>
          <w:rFonts w:eastAsiaTheme="minorHAnsi" w:cs="Arial"/>
          <w:sz w:val="20"/>
          <w:szCs w:val="20"/>
          <w:lang w:val="es-CR"/>
        </w:rPr>
        <w:t xml:space="preserve"> Ramón</w:t>
      </w:r>
      <w:r w:rsidRPr="005E273F">
        <w:rPr>
          <w:rFonts w:eastAsiaTheme="minorHAnsi" w:cs="Arial"/>
          <w:sz w:val="20"/>
          <w:szCs w:val="20"/>
          <w:lang w:val="es-CR"/>
        </w:rPr>
        <w:t xml:space="preserve"> Guerrero</w:t>
      </w:r>
      <w:r w:rsidR="00981E0C">
        <w:rPr>
          <w:rFonts w:eastAsiaTheme="minorHAnsi" w:cs="Arial"/>
          <w:sz w:val="20"/>
          <w:szCs w:val="20"/>
          <w:lang w:val="es-CR"/>
        </w:rPr>
        <w:t xml:space="preserve"> Pérez</w:t>
      </w:r>
      <w:r>
        <w:rPr>
          <w:rFonts w:eastAsiaTheme="minorHAnsi" w:cs="Arial"/>
          <w:sz w:val="20"/>
          <w:szCs w:val="20"/>
          <w:lang w:val="es-CR"/>
        </w:rPr>
        <w:t>, padre de Jimmy</w:t>
      </w:r>
      <w:r w:rsidRPr="00761D24">
        <w:rPr>
          <w:rFonts w:eastAsiaTheme="minorHAnsi" w:cs="Arial"/>
          <w:sz w:val="20"/>
          <w:szCs w:val="20"/>
          <w:lang w:val="es-CR"/>
        </w:rPr>
        <w:t>, de quien era primo hermano;</w:t>
      </w:r>
      <w:r w:rsidRPr="005E273F">
        <w:rPr>
          <w:rFonts w:eastAsiaTheme="minorHAnsi" w:cs="Arial"/>
          <w:sz w:val="20"/>
          <w:szCs w:val="20"/>
          <w:lang w:val="es-CR"/>
        </w:rPr>
        <w:t xml:space="preserve"> por ello, era considerado como un tío</w:t>
      </w:r>
      <w:r w:rsidRPr="00BE35CE">
        <w:rPr>
          <w:rStyle w:val="Refdenotaalpie"/>
          <w:rFonts w:eastAsiaTheme="minorHAnsi" w:cs="Arial"/>
          <w:sz w:val="20"/>
          <w:szCs w:val="20"/>
          <w:lang w:val="es-CR"/>
        </w:rPr>
        <w:footnoteReference w:id="45"/>
      </w:r>
      <w:r w:rsidRPr="00BE35CE">
        <w:rPr>
          <w:rFonts w:eastAsiaTheme="minorHAnsi" w:cs="Arial"/>
          <w:sz w:val="20"/>
          <w:szCs w:val="20"/>
          <w:lang w:val="es-CR"/>
        </w:rPr>
        <w:t>.</w:t>
      </w:r>
      <w:r w:rsidRPr="005E273F">
        <w:rPr>
          <w:rFonts w:eastAsiaTheme="minorHAnsi" w:cs="Arial"/>
          <w:sz w:val="20"/>
          <w:szCs w:val="20"/>
          <w:lang w:val="es-CR"/>
        </w:rPr>
        <w:t xml:space="preserve"> Los familiares de Jimmy Guerrero y Ramón Molina, </w:t>
      </w:r>
      <w:r w:rsidRPr="005E273F">
        <w:rPr>
          <w:rFonts w:eastAsiaTheme="minorHAnsi" w:cs="Arial"/>
          <w:sz w:val="20"/>
          <w:szCs w:val="20"/>
          <w:lang w:val="es-CR"/>
        </w:rPr>
        <w:lastRenderedPageBreak/>
        <w:t>también víctimas en este caso, se indican más adelante (</w:t>
      </w:r>
      <w:r w:rsidRPr="005E273F">
        <w:rPr>
          <w:rFonts w:eastAsiaTheme="minorHAnsi" w:cs="Arial"/>
          <w:i/>
          <w:sz w:val="20"/>
          <w:szCs w:val="20"/>
          <w:lang w:val="es-CR"/>
        </w:rPr>
        <w:t xml:space="preserve">infra </w:t>
      </w:r>
      <w:r w:rsidRPr="005E273F">
        <w:rPr>
          <w:rFonts w:eastAsiaTheme="minorHAnsi" w:cs="Arial"/>
          <w:sz w:val="20"/>
          <w:szCs w:val="20"/>
          <w:lang w:val="es-CR"/>
        </w:rPr>
        <w:t xml:space="preserve">párr. </w:t>
      </w:r>
      <w:r>
        <w:rPr>
          <w:rFonts w:eastAsiaTheme="minorHAnsi" w:cs="Arial"/>
          <w:sz w:val="20"/>
          <w:szCs w:val="20"/>
          <w:lang w:val="es-CR"/>
        </w:rPr>
        <w:t>165</w:t>
      </w:r>
      <w:r w:rsidRPr="005E273F">
        <w:rPr>
          <w:rFonts w:eastAsiaTheme="minorHAnsi" w:cs="Arial"/>
          <w:sz w:val="20"/>
          <w:szCs w:val="20"/>
          <w:lang w:val="es-CR"/>
        </w:rPr>
        <w:t xml:space="preserve">). </w:t>
      </w:r>
    </w:p>
    <w:p w14:paraId="29307E4E" w14:textId="77777777" w:rsidR="00685A14" w:rsidRDefault="00685A14" w:rsidP="00685A14">
      <w:pPr>
        <w:pStyle w:val="Prrafodelista"/>
        <w:tabs>
          <w:tab w:val="left" w:pos="0"/>
        </w:tabs>
        <w:ind w:left="0"/>
        <w:rPr>
          <w:sz w:val="20"/>
        </w:rPr>
      </w:pPr>
    </w:p>
    <w:p w14:paraId="446A43D0" w14:textId="77777777" w:rsidR="00685A14" w:rsidRPr="00500D56" w:rsidRDefault="00685A14" w:rsidP="000F2503">
      <w:pPr>
        <w:pStyle w:val="Prrafodelista"/>
        <w:ind w:left="567"/>
        <w:outlineLvl w:val="2"/>
        <w:rPr>
          <w:i/>
          <w:sz w:val="20"/>
          <w:szCs w:val="20"/>
        </w:rPr>
      </w:pPr>
      <w:bookmarkStart w:id="38" w:name="_Toc61358630"/>
      <w:bookmarkStart w:id="39" w:name="_Toc73960352"/>
      <w:r w:rsidRPr="00C81169">
        <w:rPr>
          <w:i/>
          <w:sz w:val="20"/>
          <w:szCs w:val="20"/>
        </w:rPr>
        <w:t xml:space="preserve">B.1. </w:t>
      </w:r>
      <w:r w:rsidRPr="00500D56">
        <w:rPr>
          <w:i/>
          <w:sz w:val="20"/>
          <w:szCs w:val="20"/>
          <w:u w:val="single"/>
        </w:rPr>
        <w:t>Hechos previos a la</w:t>
      </w:r>
      <w:r>
        <w:rPr>
          <w:i/>
          <w:sz w:val="20"/>
          <w:szCs w:val="20"/>
          <w:u w:val="single"/>
        </w:rPr>
        <w:t>s</w:t>
      </w:r>
      <w:r w:rsidRPr="00500D56">
        <w:rPr>
          <w:i/>
          <w:sz w:val="20"/>
          <w:szCs w:val="20"/>
          <w:u w:val="single"/>
        </w:rPr>
        <w:t xml:space="preserve"> muerte</w:t>
      </w:r>
      <w:r>
        <w:rPr>
          <w:i/>
          <w:sz w:val="20"/>
          <w:szCs w:val="20"/>
          <w:u w:val="single"/>
        </w:rPr>
        <w:t>s</w:t>
      </w:r>
      <w:r w:rsidRPr="00500D56">
        <w:rPr>
          <w:i/>
          <w:sz w:val="20"/>
          <w:szCs w:val="20"/>
          <w:u w:val="single"/>
        </w:rPr>
        <w:t xml:space="preserve"> de Jimmy Guerrero y Ramón Antonio Molina</w:t>
      </w:r>
      <w:bookmarkEnd w:id="38"/>
      <w:bookmarkEnd w:id="39"/>
    </w:p>
    <w:p w14:paraId="3BB8555C" w14:textId="77777777" w:rsidR="00685A14" w:rsidRPr="009472D9" w:rsidRDefault="00685A14" w:rsidP="00685A14">
      <w:pPr>
        <w:pStyle w:val="Prrafodelista"/>
        <w:tabs>
          <w:tab w:val="left" w:pos="965"/>
        </w:tabs>
        <w:ind w:left="0"/>
        <w:rPr>
          <w:sz w:val="20"/>
        </w:rPr>
      </w:pPr>
    </w:p>
    <w:p w14:paraId="29AF7940" w14:textId="4E765375" w:rsidR="00685A14" w:rsidRPr="00A5438A" w:rsidRDefault="00685A14" w:rsidP="00685A14">
      <w:pPr>
        <w:pStyle w:val="Prrafodelista"/>
        <w:numPr>
          <w:ilvl w:val="0"/>
          <w:numId w:val="29"/>
        </w:numPr>
        <w:tabs>
          <w:tab w:val="left" w:pos="965"/>
        </w:tabs>
        <w:ind w:left="0" w:firstLine="0"/>
        <w:rPr>
          <w:sz w:val="20"/>
        </w:rPr>
      </w:pPr>
      <w:r w:rsidRPr="00255CDB">
        <w:rPr>
          <w:sz w:val="20"/>
          <w:szCs w:val="20"/>
        </w:rPr>
        <w:t>Jimmy Guerrero, en distintas ocasiones, ante entidades estatales y ante la prensa, denunció actos de hostigamiento</w:t>
      </w:r>
      <w:r w:rsidR="00B27F60">
        <w:rPr>
          <w:sz w:val="20"/>
          <w:szCs w:val="20"/>
        </w:rPr>
        <w:t>,</w:t>
      </w:r>
      <w:r w:rsidRPr="00255CDB">
        <w:rPr>
          <w:sz w:val="20"/>
          <w:szCs w:val="20"/>
        </w:rPr>
        <w:t xml:space="preserve"> detención, amenazas y agresiones por parte de funcionarios policiales contra él y sus familiares. </w:t>
      </w:r>
      <w:proofErr w:type="gramStart"/>
      <w:r w:rsidRPr="00A5438A">
        <w:rPr>
          <w:sz w:val="20"/>
          <w:szCs w:val="20"/>
        </w:rPr>
        <w:t>De acuerdo a</w:t>
      </w:r>
      <w:proofErr w:type="gramEnd"/>
      <w:r w:rsidRPr="00A5438A">
        <w:rPr>
          <w:sz w:val="20"/>
          <w:szCs w:val="20"/>
        </w:rPr>
        <w:t xml:space="preserve"> declaraciones de algunos de éstos, tales acciones contra Jimmy Guerrero tuvieron como antecedente que, antes de las mismas, funcionarios policiales tuvieron sospechas de que él podría haber estado involucrado en un acto ilícito y que, a partir de eso, en palabras de su padre, “lo culpaban por todo lo que ocurría”</w:t>
      </w:r>
      <w:r w:rsidRPr="00A5438A">
        <w:rPr>
          <w:rStyle w:val="Refdenotaalpie"/>
          <w:sz w:val="20"/>
          <w:szCs w:val="20"/>
        </w:rPr>
        <w:footnoteReference w:id="46"/>
      </w:r>
      <w:r w:rsidRPr="00A5438A">
        <w:rPr>
          <w:sz w:val="20"/>
          <w:szCs w:val="20"/>
        </w:rPr>
        <w:t xml:space="preserve">.  </w:t>
      </w:r>
    </w:p>
    <w:p w14:paraId="4BCB4306" w14:textId="77777777" w:rsidR="00685A14" w:rsidRPr="00542071" w:rsidRDefault="00685A14" w:rsidP="00685A14">
      <w:pPr>
        <w:pStyle w:val="Prrafodelista"/>
        <w:tabs>
          <w:tab w:val="left" w:pos="965"/>
        </w:tabs>
        <w:ind w:left="0"/>
        <w:rPr>
          <w:sz w:val="20"/>
        </w:rPr>
      </w:pPr>
    </w:p>
    <w:p w14:paraId="4FD70E8D" w14:textId="45D5AC72" w:rsidR="00685A14" w:rsidRPr="00255CDB" w:rsidRDefault="00685A14" w:rsidP="00685A14">
      <w:pPr>
        <w:pStyle w:val="Prrafodelista"/>
        <w:numPr>
          <w:ilvl w:val="0"/>
          <w:numId w:val="29"/>
        </w:numPr>
        <w:tabs>
          <w:tab w:val="left" w:pos="965"/>
        </w:tabs>
        <w:ind w:left="0" w:firstLine="0"/>
        <w:rPr>
          <w:sz w:val="20"/>
        </w:rPr>
      </w:pPr>
      <w:r w:rsidRPr="00255CDB">
        <w:rPr>
          <w:sz w:val="20"/>
          <w:szCs w:val="20"/>
        </w:rPr>
        <w:t xml:space="preserve">Así, </w:t>
      </w:r>
      <w:r>
        <w:rPr>
          <w:sz w:val="20"/>
          <w:szCs w:val="20"/>
        </w:rPr>
        <w:t xml:space="preserve">Jimmy Guerrero </w:t>
      </w:r>
      <w:r w:rsidRPr="00255CDB">
        <w:rPr>
          <w:sz w:val="20"/>
          <w:szCs w:val="20"/>
        </w:rPr>
        <w:t xml:space="preserve">efectuó tres denuncias ante </w:t>
      </w:r>
      <w:r w:rsidR="00FE329B">
        <w:rPr>
          <w:sz w:val="20"/>
          <w:szCs w:val="20"/>
        </w:rPr>
        <w:t xml:space="preserve">órganos fiscales </w:t>
      </w:r>
      <w:r w:rsidRPr="00255CDB">
        <w:rPr>
          <w:sz w:val="20"/>
          <w:szCs w:val="20"/>
        </w:rPr>
        <w:t>y dos presentaciones ante la Defensoría del Pueblo. También efectuó una declaración ante esa entidad, luego de una presentación previa sobre hechos en su contra realizada por una vecina de él. La Defensoría del Pueblo solicitó medidas de protección a favor del señor Guerrero y la investigación de posibles violaciones a sus derechos.</w:t>
      </w:r>
      <w:r w:rsidRPr="00255CDB">
        <w:rPr>
          <w:b/>
          <w:sz w:val="16"/>
          <w:szCs w:val="20"/>
        </w:rPr>
        <w:t xml:space="preserve"> </w:t>
      </w:r>
      <w:r w:rsidRPr="00255CDB">
        <w:rPr>
          <w:sz w:val="20"/>
          <w:szCs w:val="20"/>
        </w:rPr>
        <w:t xml:space="preserve">Estas circunstancias, así como la información, indicada por la Comisión o las partes, sobre las actuaciones subsiguientes a las mismas, se precisan a continuación. </w:t>
      </w:r>
      <w:r w:rsidRPr="00761D24">
        <w:rPr>
          <w:sz w:val="20"/>
          <w:szCs w:val="20"/>
        </w:rPr>
        <w:t>Se aclara que, en todos los casos, la Corte no cuenta con datos sobre tr</w:t>
      </w:r>
      <w:r w:rsidR="009A1CFE">
        <w:rPr>
          <w:sz w:val="20"/>
          <w:szCs w:val="20"/>
        </w:rPr>
        <w:t>á</w:t>
      </w:r>
      <w:r w:rsidRPr="00761D24">
        <w:rPr>
          <w:sz w:val="20"/>
          <w:szCs w:val="20"/>
        </w:rPr>
        <w:t>mites posteriores a los últimos que se indican respecto a cada denuncia</w:t>
      </w:r>
      <w:r>
        <w:rPr>
          <w:sz w:val="20"/>
          <w:szCs w:val="20"/>
        </w:rPr>
        <w:t xml:space="preserve"> o presentación</w:t>
      </w:r>
      <w:r w:rsidRPr="00761D24">
        <w:rPr>
          <w:sz w:val="20"/>
          <w:szCs w:val="20"/>
        </w:rPr>
        <w:t>.</w:t>
      </w:r>
      <w:r w:rsidRPr="00620163">
        <w:rPr>
          <w:sz w:val="20"/>
          <w:szCs w:val="20"/>
        </w:rPr>
        <w:t xml:space="preserve"> </w:t>
      </w:r>
    </w:p>
    <w:p w14:paraId="08561B1B" w14:textId="77777777" w:rsidR="00685A14" w:rsidRDefault="00685A14" w:rsidP="00685A14">
      <w:pPr>
        <w:pStyle w:val="Prrafodelista"/>
        <w:tabs>
          <w:tab w:val="left" w:pos="965"/>
        </w:tabs>
        <w:ind w:left="0"/>
        <w:rPr>
          <w:sz w:val="20"/>
        </w:rPr>
      </w:pPr>
    </w:p>
    <w:p w14:paraId="6A5A9327" w14:textId="2F996041" w:rsidR="00685A14" w:rsidRPr="00255CDB" w:rsidRDefault="00685A14" w:rsidP="00685A14">
      <w:pPr>
        <w:pStyle w:val="Prrafodelista"/>
        <w:numPr>
          <w:ilvl w:val="0"/>
          <w:numId w:val="29"/>
        </w:numPr>
        <w:tabs>
          <w:tab w:val="left" w:pos="965"/>
        </w:tabs>
        <w:ind w:left="0" w:firstLine="0"/>
        <w:rPr>
          <w:sz w:val="20"/>
        </w:rPr>
      </w:pPr>
      <w:r w:rsidRPr="00255CDB">
        <w:rPr>
          <w:i/>
          <w:sz w:val="20"/>
          <w:szCs w:val="20"/>
        </w:rPr>
        <w:t xml:space="preserve">Primera denuncia. - </w:t>
      </w:r>
      <w:r w:rsidRPr="00255CDB">
        <w:rPr>
          <w:sz w:val="20"/>
          <w:szCs w:val="20"/>
        </w:rPr>
        <w:t>El 16 de agosto de 2001 Jimmy Guerrero denunció</w:t>
      </w:r>
      <w:r w:rsidR="002115ED">
        <w:rPr>
          <w:sz w:val="20"/>
          <w:szCs w:val="20"/>
        </w:rPr>
        <w:t xml:space="preserve"> “</w:t>
      </w:r>
      <w:r w:rsidRPr="00255CDB">
        <w:rPr>
          <w:sz w:val="20"/>
          <w:szCs w:val="20"/>
        </w:rPr>
        <w:t>acosamiento policial</w:t>
      </w:r>
      <w:r w:rsidR="002115ED">
        <w:rPr>
          <w:sz w:val="20"/>
          <w:szCs w:val="20"/>
        </w:rPr>
        <w:t>”</w:t>
      </w:r>
      <w:r w:rsidRPr="00255CDB">
        <w:rPr>
          <w:sz w:val="20"/>
          <w:szCs w:val="20"/>
        </w:rPr>
        <w:t xml:space="preserve"> ante la Fiscalía Superior d</w:t>
      </w:r>
      <w:r>
        <w:rPr>
          <w:sz w:val="20"/>
          <w:szCs w:val="20"/>
        </w:rPr>
        <w:t xml:space="preserve">el </w:t>
      </w:r>
      <w:r w:rsidRPr="00255CDB">
        <w:rPr>
          <w:sz w:val="20"/>
          <w:szCs w:val="20"/>
        </w:rPr>
        <w:t>Estado Falcón (en adelante “Fiscalía Superior”). Señaló que</w:t>
      </w:r>
      <w:r w:rsidR="00382156">
        <w:rPr>
          <w:sz w:val="20"/>
          <w:szCs w:val="20"/>
        </w:rPr>
        <w:t>,</w:t>
      </w:r>
      <w:r w:rsidRPr="00255CDB">
        <w:rPr>
          <w:sz w:val="20"/>
          <w:szCs w:val="20"/>
        </w:rPr>
        <w:t xml:space="preserve"> en la noche del 13 de agosto de 2001</w:t>
      </w:r>
      <w:r w:rsidR="00382156">
        <w:rPr>
          <w:sz w:val="20"/>
          <w:szCs w:val="20"/>
        </w:rPr>
        <w:t>,</w:t>
      </w:r>
      <w:r w:rsidRPr="00255CDB">
        <w:rPr>
          <w:sz w:val="20"/>
          <w:szCs w:val="20"/>
        </w:rPr>
        <w:t xml:space="preserve"> </w:t>
      </w:r>
      <w:r w:rsidR="002115ED">
        <w:rPr>
          <w:sz w:val="20"/>
          <w:szCs w:val="20"/>
        </w:rPr>
        <w:t>“</w:t>
      </w:r>
      <w:r w:rsidRPr="00255CDB">
        <w:rPr>
          <w:sz w:val="20"/>
          <w:szCs w:val="20"/>
        </w:rPr>
        <w:t xml:space="preserve">un motorizado se acercó y [le] amenazó de </w:t>
      </w:r>
      <w:proofErr w:type="gramStart"/>
      <w:r w:rsidRPr="00255CDB">
        <w:rPr>
          <w:sz w:val="20"/>
          <w:szCs w:val="20"/>
        </w:rPr>
        <w:t>muerte[</w:t>
      </w:r>
      <w:proofErr w:type="gramEnd"/>
      <w:r w:rsidRPr="00255CDB">
        <w:rPr>
          <w:sz w:val="20"/>
          <w:szCs w:val="20"/>
        </w:rPr>
        <w:t>,] advirtiendo[le] que siempre ande acompañado porque en lo que [lo] viera s</w:t>
      </w:r>
      <w:r>
        <w:rPr>
          <w:sz w:val="20"/>
          <w:szCs w:val="20"/>
        </w:rPr>
        <w:t>o</w:t>
      </w:r>
      <w:r w:rsidRPr="00255CDB">
        <w:rPr>
          <w:sz w:val="20"/>
          <w:szCs w:val="20"/>
        </w:rPr>
        <w:t>lo [lo] iba a matar</w:t>
      </w:r>
      <w:r w:rsidR="002115ED">
        <w:rPr>
          <w:sz w:val="20"/>
          <w:szCs w:val="20"/>
        </w:rPr>
        <w:t>”</w:t>
      </w:r>
      <w:r>
        <w:rPr>
          <w:rStyle w:val="Refdenotaalpie"/>
          <w:sz w:val="20"/>
          <w:szCs w:val="20"/>
        </w:rPr>
        <w:footnoteReference w:id="47"/>
      </w:r>
      <w:r>
        <w:rPr>
          <w:sz w:val="20"/>
          <w:szCs w:val="20"/>
        </w:rPr>
        <w:t xml:space="preserve">. </w:t>
      </w:r>
      <w:r w:rsidRPr="00255CDB">
        <w:rPr>
          <w:sz w:val="20"/>
          <w:szCs w:val="20"/>
        </w:rPr>
        <w:t>Documentación emitida con posterioridad por la Defensoría del Pueblo indica que la amenaza provenía de un funcionario policial</w:t>
      </w:r>
      <w:r>
        <w:rPr>
          <w:rStyle w:val="Refdenotaalpie"/>
          <w:sz w:val="20"/>
          <w:szCs w:val="20"/>
        </w:rPr>
        <w:footnoteReference w:id="48"/>
      </w:r>
      <w:r w:rsidRPr="00255CDB">
        <w:rPr>
          <w:sz w:val="20"/>
          <w:szCs w:val="20"/>
        </w:rPr>
        <w:t xml:space="preserve">. </w:t>
      </w:r>
    </w:p>
    <w:p w14:paraId="2FCC2FC9" w14:textId="77777777" w:rsidR="00685A14" w:rsidRPr="00B32983" w:rsidRDefault="00685A14" w:rsidP="00685A14">
      <w:pPr>
        <w:pStyle w:val="Prrafodelista"/>
        <w:ind w:left="0"/>
        <w:rPr>
          <w:sz w:val="20"/>
          <w:szCs w:val="20"/>
        </w:rPr>
      </w:pPr>
    </w:p>
    <w:p w14:paraId="47520C15" w14:textId="7E47314F" w:rsidR="00685A14" w:rsidRPr="00B32983" w:rsidRDefault="00685A14" w:rsidP="00685A14">
      <w:pPr>
        <w:pStyle w:val="Prrafodelista"/>
        <w:widowControl/>
        <w:numPr>
          <w:ilvl w:val="0"/>
          <w:numId w:val="29"/>
        </w:numPr>
        <w:autoSpaceDE/>
        <w:autoSpaceDN/>
        <w:spacing w:after="200"/>
        <w:ind w:left="0" w:firstLine="0"/>
        <w:contextualSpacing/>
        <w:rPr>
          <w:sz w:val="20"/>
          <w:szCs w:val="20"/>
        </w:rPr>
      </w:pPr>
      <w:r w:rsidRPr="00B32983">
        <w:rPr>
          <w:sz w:val="20"/>
          <w:szCs w:val="20"/>
        </w:rPr>
        <w:lastRenderedPageBreak/>
        <w:t>El 19 de agosto de 2002 la Fiscalía Superior abrió la causa No. 2202-02, por el delito de amenazas de supuestos funcionarios policiales</w:t>
      </w:r>
      <w:r>
        <w:rPr>
          <w:sz w:val="20"/>
          <w:szCs w:val="20"/>
        </w:rPr>
        <w:t>, remitiendo la misma a la Fiscalía Primera del Estado Falcón (en adelante “Fiscalía 1”). E</w:t>
      </w:r>
      <w:r w:rsidRPr="00B32983">
        <w:rPr>
          <w:sz w:val="20"/>
          <w:szCs w:val="20"/>
        </w:rPr>
        <w:t xml:space="preserve">l 13 de septiembre de 2002 </w:t>
      </w:r>
      <w:r>
        <w:rPr>
          <w:sz w:val="20"/>
          <w:szCs w:val="20"/>
        </w:rPr>
        <w:t xml:space="preserve">la Fiscalía 1 remitió el expediente a la </w:t>
      </w:r>
      <w:r w:rsidRPr="00B32983">
        <w:rPr>
          <w:sz w:val="20"/>
          <w:szCs w:val="20"/>
        </w:rPr>
        <w:t>Fiscalía</w:t>
      </w:r>
      <w:r w:rsidR="00BA3295">
        <w:rPr>
          <w:sz w:val="20"/>
          <w:szCs w:val="20"/>
        </w:rPr>
        <w:t xml:space="preserve"> Segunda del Estado Falcón (en adelante “Fiscalía</w:t>
      </w:r>
      <w:r>
        <w:rPr>
          <w:sz w:val="20"/>
          <w:szCs w:val="20"/>
        </w:rPr>
        <w:t xml:space="preserve"> 2</w:t>
      </w:r>
      <w:r w:rsidR="00BA3295">
        <w:rPr>
          <w:sz w:val="20"/>
          <w:szCs w:val="20"/>
        </w:rPr>
        <w:t>”)</w:t>
      </w:r>
      <w:r>
        <w:rPr>
          <w:sz w:val="20"/>
          <w:szCs w:val="20"/>
        </w:rPr>
        <w:t>, dado que ante la primera cursaba una averiguación contra Jimmy Guerrero relacionada con los mismos hechos</w:t>
      </w:r>
      <w:r w:rsidRPr="00B32983">
        <w:rPr>
          <w:sz w:val="20"/>
          <w:szCs w:val="20"/>
        </w:rPr>
        <w:t xml:space="preserve">. </w:t>
      </w:r>
      <w:r>
        <w:rPr>
          <w:b/>
          <w:sz w:val="16"/>
          <w:szCs w:val="20"/>
        </w:rPr>
        <w:t xml:space="preserve"> </w:t>
      </w:r>
    </w:p>
    <w:p w14:paraId="31A66835" w14:textId="77777777" w:rsidR="00685A14" w:rsidRPr="00ED212C" w:rsidRDefault="00685A14" w:rsidP="00685A14">
      <w:pPr>
        <w:pStyle w:val="Prrafodelista"/>
        <w:ind w:left="0"/>
        <w:rPr>
          <w:sz w:val="20"/>
          <w:szCs w:val="20"/>
        </w:rPr>
      </w:pPr>
    </w:p>
    <w:p w14:paraId="57F88647" w14:textId="45296CBE" w:rsidR="00685A14" w:rsidRPr="002B143D" w:rsidRDefault="00685A14" w:rsidP="00685A14">
      <w:pPr>
        <w:pStyle w:val="Prrafodelista"/>
        <w:widowControl/>
        <w:numPr>
          <w:ilvl w:val="0"/>
          <w:numId w:val="29"/>
        </w:numPr>
        <w:autoSpaceDE/>
        <w:autoSpaceDN/>
        <w:spacing w:after="200"/>
        <w:ind w:left="0" w:firstLine="0"/>
        <w:contextualSpacing/>
        <w:rPr>
          <w:sz w:val="20"/>
          <w:szCs w:val="20"/>
        </w:rPr>
      </w:pPr>
      <w:r>
        <w:rPr>
          <w:i/>
          <w:sz w:val="20"/>
          <w:szCs w:val="20"/>
        </w:rPr>
        <w:t xml:space="preserve">Segunda denuncia. - </w:t>
      </w:r>
      <w:r>
        <w:rPr>
          <w:sz w:val="20"/>
          <w:szCs w:val="20"/>
        </w:rPr>
        <w:t xml:space="preserve">El 27 de septiembre de 2002 </w:t>
      </w:r>
      <w:r w:rsidRPr="00ED212C">
        <w:rPr>
          <w:sz w:val="20"/>
          <w:szCs w:val="20"/>
        </w:rPr>
        <w:t>Jimmy Guerrero</w:t>
      </w:r>
      <w:r>
        <w:rPr>
          <w:sz w:val="20"/>
          <w:szCs w:val="20"/>
        </w:rPr>
        <w:t xml:space="preserve"> denunció</w:t>
      </w:r>
      <w:r w:rsidRPr="00ED212C">
        <w:rPr>
          <w:sz w:val="20"/>
          <w:szCs w:val="20"/>
        </w:rPr>
        <w:t xml:space="preserve"> ante la Fiscalía Superior nuevos hechos de </w:t>
      </w:r>
      <w:r w:rsidR="00382156">
        <w:rPr>
          <w:sz w:val="20"/>
          <w:szCs w:val="20"/>
        </w:rPr>
        <w:t>“</w:t>
      </w:r>
      <w:r w:rsidRPr="00ED212C">
        <w:rPr>
          <w:sz w:val="20"/>
          <w:szCs w:val="20"/>
        </w:rPr>
        <w:t>acoso policial</w:t>
      </w:r>
      <w:r w:rsidR="00382156">
        <w:rPr>
          <w:sz w:val="20"/>
          <w:szCs w:val="20"/>
        </w:rPr>
        <w:t>”</w:t>
      </w:r>
      <w:r w:rsidRPr="00ED212C">
        <w:rPr>
          <w:sz w:val="20"/>
          <w:szCs w:val="20"/>
        </w:rPr>
        <w:t xml:space="preserve">. </w:t>
      </w:r>
      <w:r>
        <w:rPr>
          <w:sz w:val="20"/>
          <w:szCs w:val="20"/>
        </w:rPr>
        <w:t>Refirió que e</w:t>
      </w:r>
      <w:r w:rsidRPr="002B143D">
        <w:rPr>
          <w:sz w:val="20"/>
          <w:szCs w:val="20"/>
        </w:rPr>
        <w:t xml:space="preserve">se día </w:t>
      </w:r>
      <w:r>
        <w:rPr>
          <w:sz w:val="20"/>
          <w:szCs w:val="20"/>
        </w:rPr>
        <w:t>funcionarios policiales</w:t>
      </w:r>
      <w:r w:rsidRPr="00C92002">
        <w:rPr>
          <w:rFonts w:cs="Arial"/>
          <w:sz w:val="20"/>
          <w:szCs w:val="20"/>
        </w:rPr>
        <w:t xml:space="preserve"> preguntaron por </w:t>
      </w:r>
      <w:r>
        <w:rPr>
          <w:rFonts w:cs="Arial"/>
          <w:sz w:val="20"/>
          <w:szCs w:val="20"/>
        </w:rPr>
        <w:t>él</w:t>
      </w:r>
      <w:r w:rsidRPr="00C92002">
        <w:rPr>
          <w:rFonts w:cs="Arial"/>
          <w:sz w:val="20"/>
          <w:szCs w:val="20"/>
        </w:rPr>
        <w:t xml:space="preserve"> en su casa. Él no estaba allí en ese momento, pero sí su madre y su hermana</w:t>
      </w:r>
      <w:r>
        <w:rPr>
          <w:rFonts w:cs="Arial"/>
          <w:sz w:val="20"/>
          <w:szCs w:val="20"/>
        </w:rPr>
        <w:t xml:space="preserve">, </w:t>
      </w:r>
      <w:r w:rsidRPr="005C0CD1">
        <w:rPr>
          <w:rFonts w:cs="Arial"/>
          <w:sz w:val="20"/>
          <w:szCs w:val="20"/>
        </w:rPr>
        <w:t xml:space="preserve">Emilia </w:t>
      </w:r>
      <w:r w:rsidR="00981E0C">
        <w:rPr>
          <w:rFonts w:cs="Arial"/>
          <w:sz w:val="20"/>
          <w:szCs w:val="20"/>
        </w:rPr>
        <w:t xml:space="preserve">Coromoto </w:t>
      </w:r>
      <w:r w:rsidRPr="005C0CD1">
        <w:rPr>
          <w:rFonts w:cs="Arial"/>
          <w:sz w:val="20"/>
          <w:szCs w:val="20"/>
        </w:rPr>
        <w:t>Meléndez</w:t>
      </w:r>
      <w:r>
        <w:rPr>
          <w:rFonts w:cs="Arial"/>
          <w:sz w:val="20"/>
          <w:szCs w:val="20"/>
        </w:rPr>
        <w:t xml:space="preserve"> y Yarelis </w:t>
      </w:r>
      <w:r w:rsidR="00981E0C">
        <w:rPr>
          <w:rFonts w:cs="Arial"/>
          <w:sz w:val="20"/>
          <w:szCs w:val="20"/>
        </w:rPr>
        <w:t xml:space="preserve">Mercedes </w:t>
      </w:r>
      <w:r>
        <w:rPr>
          <w:rFonts w:cs="Arial"/>
          <w:sz w:val="20"/>
          <w:szCs w:val="20"/>
        </w:rPr>
        <w:t>Guerrero</w:t>
      </w:r>
      <w:r w:rsidR="00981E0C">
        <w:rPr>
          <w:rFonts w:cs="Arial"/>
          <w:sz w:val="20"/>
          <w:szCs w:val="20"/>
        </w:rPr>
        <w:t xml:space="preserve"> Meléndez</w:t>
      </w:r>
      <w:r>
        <w:rPr>
          <w:rFonts w:cs="Arial"/>
          <w:sz w:val="20"/>
          <w:szCs w:val="20"/>
        </w:rPr>
        <w:t>,</w:t>
      </w:r>
      <w:r w:rsidRPr="005C0CD1">
        <w:rPr>
          <w:rFonts w:cs="Arial"/>
          <w:sz w:val="20"/>
          <w:szCs w:val="20"/>
        </w:rPr>
        <w:t xml:space="preserve"> respectivamente</w:t>
      </w:r>
      <w:r w:rsidRPr="00C92002">
        <w:rPr>
          <w:rFonts w:cs="Arial"/>
          <w:sz w:val="20"/>
          <w:szCs w:val="20"/>
        </w:rPr>
        <w:t xml:space="preserve">. </w:t>
      </w:r>
      <w:proofErr w:type="gramStart"/>
      <w:r w:rsidRPr="00C92002">
        <w:rPr>
          <w:rFonts w:cs="Arial"/>
          <w:sz w:val="20"/>
          <w:szCs w:val="20"/>
        </w:rPr>
        <w:t>De acuerdo a</w:t>
      </w:r>
      <w:proofErr w:type="gramEnd"/>
      <w:r w:rsidRPr="00C92002">
        <w:rPr>
          <w:rFonts w:cs="Arial"/>
          <w:sz w:val="20"/>
          <w:szCs w:val="20"/>
        </w:rPr>
        <w:t xml:space="preserve"> lo informado por los representantes, la hermana de Jimmy Guerrero solicitó a los funcionarios </w:t>
      </w:r>
      <w:r>
        <w:rPr>
          <w:rFonts w:cs="Arial"/>
          <w:sz w:val="20"/>
          <w:szCs w:val="20"/>
        </w:rPr>
        <w:t xml:space="preserve">que </w:t>
      </w:r>
      <w:r w:rsidRPr="00C92002">
        <w:rPr>
          <w:rFonts w:cs="Arial"/>
          <w:sz w:val="20"/>
          <w:szCs w:val="20"/>
        </w:rPr>
        <w:t>presentaran la orden judicial de allanamiento correspondiente, pero éstos no la exhibieron.</w:t>
      </w:r>
    </w:p>
    <w:p w14:paraId="74444781" w14:textId="77777777" w:rsidR="00685A14" w:rsidRPr="00C92002" w:rsidRDefault="00685A14" w:rsidP="00685A14">
      <w:pPr>
        <w:pStyle w:val="Prrafodelista"/>
        <w:ind w:left="0"/>
        <w:rPr>
          <w:sz w:val="20"/>
          <w:szCs w:val="20"/>
        </w:rPr>
      </w:pPr>
    </w:p>
    <w:p w14:paraId="7A780769" w14:textId="5BD9D88F" w:rsidR="00685A14" w:rsidRPr="00F55065" w:rsidRDefault="00685A14" w:rsidP="00685A14">
      <w:pPr>
        <w:pStyle w:val="Prrafodelista"/>
        <w:widowControl/>
        <w:numPr>
          <w:ilvl w:val="0"/>
          <w:numId w:val="29"/>
        </w:numPr>
        <w:autoSpaceDE/>
        <w:autoSpaceDN/>
        <w:ind w:left="0" w:firstLine="0"/>
        <w:contextualSpacing/>
        <w:rPr>
          <w:sz w:val="20"/>
          <w:szCs w:val="20"/>
        </w:rPr>
      </w:pPr>
      <w:r w:rsidRPr="00F55065">
        <w:rPr>
          <w:rFonts w:cs="Arial"/>
          <w:sz w:val="20"/>
          <w:szCs w:val="20"/>
        </w:rPr>
        <w:t>Los funcionarios policiales, que indicaron haber encontrado un rev</w:t>
      </w:r>
      <w:r w:rsidR="00FA08BE">
        <w:rPr>
          <w:rFonts w:cs="Arial"/>
          <w:sz w:val="20"/>
          <w:szCs w:val="20"/>
        </w:rPr>
        <w:t>ó</w:t>
      </w:r>
      <w:r w:rsidRPr="00F55065">
        <w:rPr>
          <w:rFonts w:cs="Arial"/>
          <w:sz w:val="20"/>
          <w:szCs w:val="20"/>
        </w:rPr>
        <w:t xml:space="preserve">lver en la vivienda, se llevaron detenidas a la señora Emilia </w:t>
      </w:r>
      <w:r w:rsidR="00981E0C">
        <w:rPr>
          <w:rFonts w:cs="Arial"/>
          <w:sz w:val="20"/>
          <w:szCs w:val="20"/>
        </w:rPr>
        <w:t xml:space="preserve">Coromoto </w:t>
      </w:r>
      <w:r w:rsidRPr="00F55065">
        <w:rPr>
          <w:rFonts w:cs="Arial"/>
          <w:sz w:val="20"/>
          <w:szCs w:val="20"/>
        </w:rPr>
        <w:t>Meléndez y a Yarelis</w:t>
      </w:r>
      <w:r w:rsidR="00981E0C">
        <w:rPr>
          <w:rFonts w:cs="Arial"/>
          <w:sz w:val="20"/>
          <w:szCs w:val="20"/>
        </w:rPr>
        <w:t xml:space="preserve"> Mercedes </w:t>
      </w:r>
      <w:r w:rsidRPr="00F55065">
        <w:rPr>
          <w:rFonts w:cs="Arial"/>
          <w:sz w:val="20"/>
          <w:szCs w:val="20"/>
        </w:rPr>
        <w:t>Guerrero</w:t>
      </w:r>
      <w:r w:rsidR="00981E0C">
        <w:rPr>
          <w:rFonts w:cs="Arial"/>
          <w:sz w:val="20"/>
          <w:szCs w:val="20"/>
        </w:rPr>
        <w:t xml:space="preserve"> Meléndez</w:t>
      </w:r>
      <w:r w:rsidRPr="00F55065">
        <w:rPr>
          <w:rFonts w:cs="Arial"/>
          <w:sz w:val="20"/>
          <w:szCs w:val="20"/>
        </w:rPr>
        <w:t xml:space="preserve">. Ellas permanecieron detenidas tres días en dependencias del </w:t>
      </w:r>
      <w:r w:rsidRPr="00F55065">
        <w:rPr>
          <w:sz w:val="20"/>
          <w:szCs w:val="20"/>
        </w:rPr>
        <w:t>Cuerpo de Investigaciones Científicas, Penales y Criminalísticas de la Policía</w:t>
      </w:r>
      <w:r w:rsidRPr="00F55065">
        <w:rPr>
          <w:rFonts w:cs="Arial"/>
          <w:sz w:val="20"/>
          <w:szCs w:val="20"/>
        </w:rPr>
        <w:t xml:space="preserve"> (</w:t>
      </w:r>
      <w:r w:rsidR="001E42EB">
        <w:rPr>
          <w:rFonts w:cs="Arial"/>
          <w:sz w:val="20"/>
          <w:szCs w:val="20"/>
        </w:rPr>
        <w:t xml:space="preserve">en adelante </w:t>
      </w:r>
      <w:r w:rsidR="00176E89">
        <w:rPr>
          <w:rFonts w:cs="Arial"/>
          <w:sz w:val="20"/>
          <w:szCs w:val="20"/>
        </w:rPr>
        <w:t>“</w:t>
      </w:r>
      <w:r w:rsidRPr="00F55065">
        <w:rPr>
          <w:rFonts w:cs="Arial"/>
          <w:sz w:val="20"/>
          <w:szCs w:val="20"/>
        </w:rPr>
        <w:t>CICPC</w:t>
      </w:r>
      <w:r w:rsidR="00176E89">
        <w:rPr>
          <w:rFonts w:cs="Arial"/>
          <w:sz w:val="20"/>
          <w:szCs w:val="20"/>
        </w:rPr>
        <w:t>”</w:t>
      </w:r>
      <w:r w:rsidRPr="00F55065">
        <w:rPr>
          <w:rFonts w:cs="Arial"/>
          <w:sz w:val="20"/>
          <w:szCs w:val="20"/>
        </w:rPr>
        <w:t xml:space="preserve">). </w:t>
      </w:r>
      <w:proofErr w:type="gramStart"/>
      <w:r w:rsidRPr="00F55065">
        <w:rPr>
          <w:rFonts w:cs="Arial"/>
          <w:sz w:val="20"/>
          <w:szCs w:val="20"/>
        </w:rPr>
        <w:t>De acuerdo a</w:t>
      </w:r>
      <w:proofErr w:type="gramEnd"/>
      <w:r w:rsidRPr="00F55065">
        <w:rPr>
          <w:rFonts w:cs="Arial"/>
          <w:sz w:val="20"/>
          <w:szCs w:val="20"/>
        </w:rPr>
        <w:t xml:space="preserve"> aseveraciones de los representantes, “Yarelis Guerrero se adjudicó la posesión de un arma ante la fuerte presión</w:t>
      </w:r>
      <w:r w:rsidRPr="00F55065">
        <w:rPr>
          <w:sz w:val="20"/>
          <w:szCs w:val="20"/>
        </w:rPr>
        <w:t xml:space="preserve"> </w:t>
      </w:r>
      <w:r w:rsidRPr="00F55065">
        <w:rPr>
          <w:rFonts w:cs="Arial"/>
          <w:sz w:val="20"/>
          <w:szCs w:val="20"/>
        </w:rPr>
        <w:t>psicológica a la que fue sometida”. Jean Carlos Guerrero declaró en el mismo sentido ante la Comisión</w:t>
      </w:r>
      <w:r w:rsidRPr="00F55065">
        <w:rPr>
          <w:rStyle w:val="Refdenotaalpie"/>
          <w:rFonts w:cs="Arial"/>
          <w:sz w:val="20"/>
          <w:szCs w:val="20"/>
        </w:rPr>
        <w:footnoteReference w:id="49"/>
      </w:r>
      <w:r w:rsidRPr="00F55065">
        <w:rPr>
          <w:rFonts w:cs="Arial"/>
          <w:sz w:val="20"/>
          <w:szCs w:val="20"/>
        </w:rPr>
        <w:t>.</w:t>
      </w:r>
    </w:p>
    <w:p w14:paraId="69C1488B" w14:textId="77777777" w:rsidR="00685A14" w:rsidRPr="00E064FA" w:rsidRDefault="00685A14" w:rsidP="00685A14">
      <w:pPr>
        <w:pStyle w:val="Prrafodelista"/>
        <w:ind w:left="0"/>
        <w:rPr>
          <w:sz w:val="20"/>
          <w:szCs w:val="20"/>
        </w:rPr>
      </w:pPr>
    </w:p>
    <w:p w14:paraId="3708F103" w14:textId="3E8F39AA" w:rsidR="00685A14" w:rsidRPr="002B143D" w:rsidRDefault="00685A14" w:rsidP="00685A14">
      <w:pPr>
        <w:pStyle w:val="Prrafodelista"/>
        <w:widowControl/>
        <w:numPr>
          <w:ilvl w:val="0"/>
          <w:numId w:val="29"/>
        </w:numPr>
        <w:autoSpaceDE/>
        <w:autoSpaceDN/>
        <w:ind w:left="0" w:firstLine="0"/>
        <w:contextualSpacing/>
        <w:rPr>
          <w:sz w:val="20"/>
          <w:szCs w:val="20"/>
        </w:rPr>
      </w:pPr>
      <w:r>
        <w:rPr>
          <w:sz w:val="20"/>
          <w:szCs w:val="20"/>
        </w:rPr>
        <w:t>El 5 de noviembre de 2002 la Fiscalía 1 recibió, de parte de la Fiscalía Superior, la denuncia presentada el 27 de septiembre del mismo año por Jimmy Guerrer</w:t>
      </w:r>
      <w:r w:rsidRPr="00F55065">
        <w:rPr>
          <w:sz w:val="20"/>
          <w:szCs w:val="20"/>
        </w:rPr>
        <w:t>o</w:t>
      </w:r>
      <w:r w:rsidRPr="00F55065">
        <w:rPr>
          <w:rStyle w:val="Refdenotaalpie"/>
          <w:sz w:val="20"/>
          <w:szCs w:val="20"/>
        </w:rPr>
        <w:footnoteReference w:id="50"/>
      </w:r>
      <w:r w:rsidRPr="00F55065">
        <w:rPr>
          <w:sz w:val="20"/>
          <w:szCs w:val="20"/>
        </w:rPr>
        <w:t>.</w:t>
      </w:r>
      <w:r>
        <w:rPr>
          <w:sz w:val="20"/>
          <w:szCs w:val="20"/>
        </w:rPr>
        <w:t xml:space="preserve"> </w:t>
      </w:r>
    </w:p>
    <w:p w14:paraId="6D12C4DF" w14:textId="77777777" w:rsidR="00685A14" w:rsidRDefault="00685A14" w:rsidP="00685A14">
      <w:pPr>
        <w:rPr>
          <w:sz w:val="20"/>
          <w:szCs w:val="20"/>
        </w:rPr>
      </w:pPr>
    </w:p>
    <w:p w14:paraId="0417957A" w14:textId="7B32CAD2" w:rsidR="00685A14" w:rsidRPr="006C7283" w:rsidRDefault="00685A14" w:rsidP="00685A14">
      <w:pPr>
        <w:pStyle w:val="Prrafodelista"/>
        <w:widowControl/>
        <w:numPr>
          <w:ilvl w:val="0"/>
          <w:numId w:val="29"/>
        </w:numPr>
        <w:autoSpaceDE/>
        <w:autoSpaceDN/>
        <w:spacing w:after="200"/>
        <w:ind w:left="0" w:firstLine="0"/>
        <w:contextualSpacing/>
        <w:rPr>
          <w:sz w:val="20"/>
          <w:szCs w:val="20"/>
        </w:rPr>
      </w:pPr>
      <w:r>
        <w:rPr>
          <w:rFonts w:cs="Times New Roman"/>
          <w:i/>
          <w:sz w:val="20"/>
          <w:szCs w:val="20"/>
        </w:rPr>
        <w:t xml:space="preserve">Tercera denuncia. - </w:t>
      </w:r>
      <w:r>
        <w:rPr>
          <w:rFonts w:cs="Times New Roman"/>
          <w:sz w:val="20"/>
          <w:szCs w:val="20"/>
        </w:rPr>
        <w:t>E</w:t>
      </w:r>
      <w:r w:rsidRPr="00ED212C">
        <w:rPr>
          <w:rFonts w:cs="Times New Roman"/>
          <w:sz w:val="20"/>
          <w:szCs w:val="20"/>
        </w:rPr>
        <w:t xml:space="preserve">l 28 de octubre de 2002 Jimmy Guerrero </w:t>
      </w:r>
      <w:r>
        <w:rPr>
          <w:rFonts w:cs="Times New Roman"/>
          <w:sz w:val="20"/>
          <w:szCs w:val="20"/>
        </w:rPr>
        <w:t>hizo una denuncia a</w:t>
      </w:r>
      <w:r w:rsidR="00C8170B">
        <w:rPr>
          <w:rFonts w:cs="Times New Roman"/>
          <w:sz w:val="20"/>
          <w:szCs w:val="20"/>
        </w:rPr>
        <w:t>nte</w:t>
      </w:r>
      <w:r>
        <w:rPr>
          <w:rFonts w:cs="Times New Roman"/>
          <w:sz w:val="20"/>
          <w:szCs w:val="20"/>
        </w:rPr>
        <w:t xml:space="preserve"> la Defensoría del Pueblo. Señaló que los días 23 y 25 de ese mes </w:t>
      </w:r>
      <w:r w:rsidRPr="00ED212C">
        <w:rPr>
          <w:rFonts w:cs="Times New Roman"/>
          <w:sz w:val="20"/>
          <w:szCs w:val="20"/>
        </w:rPr>
        <w:t xml:space="preserve">había sido </w:t>
      </w:r>
      <w:r>
        <w:rPr>
          <w:rFonts w:cs="Times New Roman"/>
          <w:sz w:val="20"/>
          <w:szCs w:val="20"/>
        </w:rPr>
        <w:t>“</w:t>
      </w:r>
      <w:r w:rsidRPr="00ED212C">
        <w:rPr>
          <w:rFonts w:cs="Times New Roman"/>
          <w:sz w:val="20"/>
          <w:szCs w:val="20"/>
        </w:rPr>
        <w:t>detenido</w:t>
      </w:r>
      <w:r>
        <w:rPr>
          <w:rFonts w:cs="Times New Roman"/>
          <w:sz w:val="20"/>
          <w:szCs w:val="20"/>
        </w:rPr>
        <w:t>”, en la primera</w:t>
      </w:r>
      <w:r w:rsidRPr="00ED212C">
        <w:rPr>
          <w:rFonts w:cs="Times New Roman"/>
          <w:sz w:val="20"/>
          <w:szCs w:val="20"/>
        </w:rPr>
        <w:t xml:space="preserve"> ocasión por </w:t>
      </w:r>
      <w:r>
        <w:rPr>
          <w:rFonts w:cs="Times New Roman"/>
          <w:sz w:val="20"/>
          <w:szCs w:val="20"/>
        </w:rPr>
        <w:t>personal del CICPC del E</w:t>
      </w:r>
      <w:r w:rsidRPr="00ED212C">
        <w:rPr>
          <w:rFonts w:cs="Times New Roman"/>
          <w:sz w:val="20"/>
          <w:szCs w:val="20"/>
        </w:rPr>
        <w:t xml:space="preserve">stado Falcón, y en </w:t>
      </w:r>
      <w:r>
        <w:rPr>
          <w:rFonts w:cs="Times New Roman"/>
          <w:sz w:val="20"/>
          <w:szCs w:val="20"/>
        </w:rPr>
        <w:t>la segunda</w:t>
      </w:r>
      <w:r w:rsidRPr="00ED212C">
        <w:rPr>
          <w:rFonts w:cs="Times New Roman"/>
          <w:sz w:val="20"/>
          <w:szCs w:val="20"/>
        </w:rPr>
        <w:t xml:space="preserve"> por un </w:t>
      </w:r>
      <w:r w:rsidR="00CF0B89">
        <w:rPr>
          <w:rFonts w:cs="Times New Roman"/>
          <w:sz w:val="20"/>
          <w:szCs w:val="20"/>
        </w:rPr>
        <w:t>“</w:t>
      </w:r>
      <w:r w:rsidRPr="00ED212C">
        <w:rPr>
          <w:rFonts w:cs="Times New Roman"/>
          <w:sz w:val="20"/>
          <w:szCs w:val="20"/>
        </w:rPr>
        <w:t xml:space="preserve">grupo de motorizados de la </w:t>
      </w:r>
      <w:r>
        <w:rPr>
          <w:rFonts w:cs="Times New Roman"/>
          <w:sz w:val="20"/>
          <w:szCs w:val="20"/>
        </w:rPr>
        <w:t>[P]</w:t>
      </w:r>
      <w:proofErr w:type="spellStart"/>
      <w:r w:rsidRPr="00ED212C">
        <w:rPr>
          <w:rFonts w:cs="Times New Roman"/>
          <w:sz w:val="20"/>
          <w:szCs w:val="20"/>
        </w:rPr>
        <w:t>olicía</w:t>
      </w:r>
      <w:proofErr w:type="spellEnd"/>
      <w:r w:rsidRPr="00ED212C">
        <w:rPr>
          <w:rFonts w:cs="Times New Roman"/>
          <w:sz w:val="20"/>
          <w:szCs w:val="20"/>
        </w:rPr>
        <w:t xml:space="preserve"> de Coro</w:t>
      </w:r>
      <w:r w:rsidR="00CF0B89">
        <w:rPr>
          <w:rFonts w:cs="Times New Roman"/>
          <w:sz w:val="20"/>
          <w:szCs w:val="20"/>
        </w:rPr>
        <w:t>”</w:t>
      </w:r>
      <w:r>
        <w:rPr>
          <w:rFonts w:cs="Times New Roman"/>
          <w:sz w:val="20"/>
          <w:szCs w:val="20"/>
        </w:rPr>
        <w:t>. Narró que, en la primera oportunidad, él explicó a los funcionarios policiales que había perdido su documento de identidad, y que éstos lo “reseñaron”, le sacaron fotos y lo dejaron en libertad. Respecto al segundo hecho, mencionó que lo interrogaron respecto al robo de un taxista, y que lo liberaron el 27 de octubre de 2020. Indicó</w:t>
      </w:r>
      <w:r w:rsidRPr="00ED212C">
        <w:rPr>
          <w:rFonts w:cs="Times New Roman"/>
          <w:sz w:val="20"/>
          <w:szCs w:val="20"/>
        </w:rPr>
        <w:t xml:space="preserve"> que podía reconocer a los funcionarios que lo detuvieron</w:t>
      </w:r>
      <w:r>
        <w:rPr>
          <w:rFonts w:cs="Times New Roman"/>
          <w:sz w:val="20"/>
          <w:szCs w:val="20"/>
        </w:rPr>
        <w:t xml:space="preserve">. Afirmó </w:t>
      </w:r>
      <w:r w:rsidRPr="00ED212C">
        <w:rPr>
          <w:rFonts w:cs="Times New Roman"/>
          <w:sz w:val="20"/>
          <w:szCs w:val="20"/>
        </w:rPr>
        <w:t xml:space="preserve">que </w:t>
      </w:r>
      <w:r w:rsidR="00CF0B89">
        <w:rPr>
          <w:rFonts w:cs="Times New Roman"/>
          <w:sz w:val="20"/>
          <w:szCs w:val="20"/>
        </w:rPr>
        <w:t>“</w:t>
      </w:r>
      <w:r w:rsidRPr="00ED212C">
        <w:rPr>
          <w:rFonts w:cs="Times New Roman"/>
          <w:sz w:val="20"/>
          <w:szCs w:val="20"/>
        </w:rPr>
        <w:t xml:space="preserve">siempre que </w:t>
      </w:r>
      <w:r>
        <w:rPr>
          <w:rFonts w:cs="Times New Roman"/>
          <w:sz w:val="20"/>
          <w:szCs w:val="20"/>
        </w:rPr>
        <w:t>[lo]</w:t>
      </w:r>
      <w:r w:rsidRPr="00ED212C">
        <w:rPr>
          <w:rFonts w:cs="Times New Roman"/>
          <w:sz w:val="20"/>
          <w:szCs w:val="20"/>
        </w:rPr>
        <w:t xml:space="preserve"> ve</w:t>
      </w:r>
      <w:r>
        <w:rPr>
          <w:rFonts w:cs="Times New Roman"/>
          <w:sz w:val="20"/>
          <w:szCs w:val="20"/>
        </w:rPr>
        <w:t>[</w:t>
      </w:r>
      <w:proofErr w:type="spellStart"/>
      <w:r>
        <w:rPr>
          <w:rFonts w:cs="Times New Roman"/>
          <w:sz w:val="20"/>
          <w:szCs w:val="20"/>
        </w:rPr>
        <w:t>ían</w:t>
      </w:r>
      <w:proofErr w:type="spellEnd"/>
      <w:r>
        <w:rPr>
          <w:rFonts w:cs="Times New Roman"/>
          <w:sz w:val="20"/>
          <w:szCs w:val="20"/>
        </w:rPr>
        <w:t>]</w:t>
      </w:r>
      <w:r w:rsidRPr="00ED212C">
        <w:rPr>
          <w:rFonts w:cs="Times New Roman"/>
          <w:sz w:val="20"/>
          <w:szCs w:val="20"/>
        </w:rPr>
        <w:t xml:space="preserve"> en la calle </w:t>
      </w:r>
      <w:r>
        <w:rPr>
          <w:rFonts w:cs="Times New Roman"/>
          <w:sz w:val="20"/>
          <w:szCs w:val="20"/>
        </w:rPr>
        <w:t>[lo]</w:t>
      </w:r>
      <w:r w:rsidRPr="00ED212C">
        <w:rPr>
          <w:rFonts w:cs="Times New Roman"/>
          <w:sz w:val="20"/>
          <w:szCs w:val="20"/>
        </w:rPr>
        <w:t xml:space="preserve"> </w:t>
      </w:r>
      <w:proofErr w:type="spellStart"/>
      <w:r w:rsidRPr="00ED212C">
        <w:rPr>
          <w:rFonts w:cs="Times New Roman"/>
          <w:sz w:val="20"/>
          <w:szCs w:val="20"/>
        </w:rPr>
        <w:t>det</w:t>
      </w:r>
      <w:proofErr w:type="spellEnd"/>
      <w:r>
        <w:rPr>
          <w:rFonts w:cs="Times New Roman"/>
          <w:sz w:val="20"/>
          <w:szCs w:val="20"/>
        </w:rPr>
        <w:t>[</w:t>
      </w:r>
      <w:proofErr w:type="spellStart"/>
      <w:r>
        <w:rPr>
          <w:rFonts w:cs="Times New Roman"/>
          <w:sz w:val="20"/>
          <w:szCs w:val="20"/>
        </w:rPr>
        <w:t>enían</w:t>
      </w:r>
      <w:proofErr w:type="spellEnd"/>
      <w:r>
        <w:rPr>
          <w:rFonts w:cs="Times New Roman"/>
          <w:sz w:val="20"/>
          <w:szCs w:val="20"/>
        </w:rPr>
        <w:t>]</w:t>
      </w:r>
      <w:r w:rsidR="00CF0B89">
        <w:rPr>
          <w:rFonts w:cs="Times New Roman"/>
          <w:sz w:val="20"/>
          <w:szCs w:val="20"/>
        </w:rPr>
        <w:t>”</w:t>
      </w:r>
      <w:r>
        <w:rPr>
          <w:rStyle w:val="Refdenotaalpie"/>
          <w:rFonts w:cs="Times New Roman"/>
          <w:sz w:val="20"/>
          <w:szCs w:val="20"/>
        </w:rPr>
        <w:footnoteReference w:id="51"/>
      </w:r>
      <w:r w:rsidRPr="00ED212C">
        <w:rPr>
          <w:rFonts w:cs="Arial"/>
          <w:sz w:val="20"/>
          <w:szCs w:val="20"/>
        </w:rPr>
        <w:t xml:space="preserve">. </w:t>
      </w:r>
    </w:p>
    <w:p w14:paraId="17CE238B" w14:textId="77777777" w:rsidR="00685A14" w:rsidRPr="006C7283" w:rsidRDefault="00685A14" w:rsidP="00685A14">
      <w:pPr>
        <w:pStyle w:val="Prrafodelista"/>
        <w:ind w:left="0"/>
        <w:rPr>
          <w:rFonts w:cs="Times New Roman"/>
          <w:sz w:val="20"/>
          <w:szCs w:val="20"/>
        </w:rPr>
      </w:pPr>
    </w:p>
    <w:p w14:paraId="5A364424" w14:textId="77C6B15E" w:rsidR="00685A14" w:rsidRPr="003F00B8" w:rsidRDefault="00685A14" w:rsidP="00685A14">
      <w:pPr>
        <w:pStyle w:val="Prrafodelista"/>
        <w:widowControl/>
        <w:numPr>
          <w:ilvl w:val="0"/>
          <w:numId w:val="29"/>
        </w:numPr>
        <w:autoSpaceDE/>
        <w:autoSpaceDN/>
        <w:ind w:left="0" w:firstLine="0"/>
        <w:contextualSpacing/>
        <w:rPr>
          <w:sz w:val="20"/>
          <w:szCs w:val="20"/>
        </w:rPr>
      </w:pPr>
      <w:r w:rsidRPr="003F00B8">
        <w:rPr>
          <w:rFonts w:cs="Times New Roman"/>
          <w:sz w:val="20"/>
          <w:szCs w:val="20"/>
        </w:rPr>
        <w:t>El mismo 28 de octubre de 2002 la Defensoría del Pueblo</w:t>
      </w:r>
      <w:r w:rsidRPr="003F00B8">
        <w:rPr>
          <w:sz w:val="20"/>
          <w:szCs w:val="20"/>
        </w:rPr>
        <w:t xml:space="preserve"> </w:t>
      </w:r>
      <w:r w:rsidRPr="003F00B8">
        <w:rPr>
          <w:rFonts w:cs="Times New Roman"/>
          <w:sz w:val="20"/>
          <w:szCs w:val="20"/>
        </w:rPr>
        <w:t>remitió la denuncia presentada por Jimmy Guerrero a la Fiscalía Superior.</w:t>
      </w:r>
      <w:r w:rsidRPr="003F00B8">
        <w:rPr>
          <w:b/>
          <w:sz w:val="16"/>
          <w:szCs w:val="20"/>
        </w:rPr>
        <w:t xml:space="preserve"> </w:t>
      </w:r>
      <w:r w:rsidRPr="003F00B8">
        <w:rPr>
          <w:sz w:val="20"/>
          <w:szCs w:val="20"/>
        </w:rPr>
        <w:t xml:space="preserve">El día 8 del mes siguiente la Defensoría del Pueblo solicitó a la Fiscalía 2 </w:t>
      </w:r>
      <w:r w:rsidR="00D925AB">
        <w:rPr>
          <w:sz w:val="20"/>
          <w:szCs w:val="20"/>
        </w:rPr>
        <w:t xml:space="preserve">el inicio de la </w:t>
      </w:r>
      <w:r w:rsidRPr="003F00B8">
        <w:rPr>
          <w:sz w:val="20"/>
          <w:szCs w:val="20"/>
        </w:rPr>
        <w:t>investigación, y adjuntó una nota de prensa del día anterior,</w:t>
      </w:r>
      <w:r w:rsidRPr="003F00B8">
        <w:rPr>
          <w:b/>
          <w:sz w:val="16"/>
          <w:szCs w:val="20"/>
        </w:rPr>
        <w:t xml:space="preserve"> </w:t>
      </w:r>
      <w:r w:rsidRPr="003F00B8">
        <w:rPr>
          <w:sz w:val="20"/>
          <w:szCs w:val="20"/>
        </w:rPr>
        <w:t>que</w:t>
      </w:r>
      <w:r w:rsidRPr="003F00B8">
        <w:rPr>
          <w:rFonts w:cs="Times New Roman"/>
          <w:sz w:val="20"/>
          <w:szCs w:val="20"/>
        </w:rPr>
        <w:t xml:space="preserve"> expresa que Jimmy Guerrero</w:t>
      </w:r>
      <w:r w:rsidRPr="003F00B8">
        <w:rPr>
          <w:sz w:val="20"/>
          <w:szCs w:val="20"/>
        </w:rPr>
        <w:t xml:space="preserve"> </w:t>
      </w:r>
      <w:r w:rsidRPr="003F00B8">
        <w:rPr>
          <w:rFonts w:cs="Times New Roman"/>
          <w:sz w:val="20"/>
          <w:szCs w:val="20"/>
        </w:rPr>
        <w:t xml:space="preserve">denunció </w:t>
      </w:r>
      <w:r w:rsidR="00CF0B89">
        <w:rPr>
          <w:rFonts w:cs="Times New Roman"/>
          <w:sz w:val="20"/>
          <w:szCs w:val="20"/>
        </w:rPr>
        <w:t>“</w:t>
      </w:r>
      <w:r w:rsidRPr="003F00B8">
        <w:rPr>
          <w:rFonts w:cs="Times New Roman"/>
          <w:sz w:val="20"/>
          <w:szCs w:val="20"/>
        </w:rPr>
        <w:t>acoso por parte de organismos de seguridad</w:t>
      </w:r>
      <w:r w:rsidR="00CF0B89">
        <w:rPr>
          <w:rFonts w:cs="Times New Roman"/>
          <w:sz w:val="20"/>
          <w:szCs w:val="20"/>
        </w:rPr>
        <w:t>”</w:t>
      </w:r>
      <w:r w:rsidRPr="003F00B8">
        <w:rPr>
          <w:rFonts w:cs="Times New Roman"/>
          <w:sz w:val="20"/>
          <w:szCs w:val="20"/>
        </w:rPr>
        <w:t xml:space="preserve">, señalando frecuentes “abuso[s] de autoridad” por </w:t>
      </w:r>
      <w:r w:rsidRPr="003F00B8">
        <w:rPr>
          <w:rFonts w:cs="Times New Roman"/>
          <w:sz w:val="20"/>
          <w:szCs w:val="20"/>
        </w:rPr>
        <w:lastRenderedPageBreak/>
        <w:t>parte de las Fuerzas Armadas Policiales y el CICPC. Manifestó, en ese sentido, que “siempre [lo] lleva[</w:t>
      </w:r>
      <w:proofErr w:type="spellStart"/>
      <w:r w:rsidRPr="003F00B8">
        <w:rPr>
          <w:rFonts w:cs="Times New Roman"/>
          <w:sz w:val="20"/>
          <w:szCs w:val="20"/>
        </w:rPr>
        <w:t>ban</w:t>
      </w:r>
      <w:proofErr w:type="spellEnd"/>
      <w:r w:rsidRPr="003F00B8">
        <w:rPr>
          <w:rFonts w:cs="Times New Roman"/>
          <w:sz w:val="20"/>
          <w:szCs w:val="20"/>
        </w:rPr>
        <w:t xml:space="preserve">] preso sin dar[le] ninguna razón y </w:t>
      </w:r>
      <w:proofErr w:type="spellStart"/>
      <w:r w:rsidRPr="003F00B8">
        <w:rPr>
          <w:rFonts w:cs="Times New Roman"/>
          <w:sz w:val="20"/>
          <w:szCs w:val="20"/>
        </w:rPr>
        <w:t>permane</w:t>
      </w:r>
      <w:proofErr w:type="spellEnd"/>
      <w:r w:rsidRPr="003F00B8">
        <w:rPr>
          <w:rFonts w:cs="Times New Roman"/>
          <w:sz w:val="20"/>
          <w:szCs w:val="20"/>
        </w:rPr>
        <w:t>[</w:t>
      </w:r>
      <w:proofErr w:type="spellStart"/>
      <w:r w:rsidRPr="003F00B8">
        <w:rPr>
          <w:rFonts w:cs="Times New Roman"/>
          <w:sz w:val="20"/>
          <w:szCs w:val="20"/>
        </w:rPr>
        <w:t>cía</w:t>
      </w:r>
      <w:proofErr w:type="spellEnd"/>
      <w:r w:rsidRPr="003F00B8">
        <w:rPr>
          <w:rFonts w:cs="Times New Roman"/>
          <w:sz w:val="20"/>
          <w:szCs w:val="20"/>
        </w:rPr>
        <w:t>] detenido por varios días”</w:t>
      </w:r>
      <w:r w:rsidRPr="003F00B8">
        <w:rPr>
          <w:rStyle w:val="Refdenotaalpie"/>
          <w:rFonts w:cs="Times New Roman"/>
          <w:sz w:val="20"/>
          <w:szCs w:val="20"/>
        </w:rPr>
        <w:footnoteReference w:id="52"/>
      </w:r>
      <w:r w:rsidRPr="003F00B8">
        <w:rPr>
          <w:rFonts w:cs="Times New Roman"/>
          <w:sz w:val="20"/>
          <w:szCs w:val="20"/>
        </w:rPr>
        <w:t xml:space="preserve">. </w:t>
      </w:r>
      <w:r w:rsidRPr="003F00B8">
        <w:rPr>
          <w:sz w:val="20"/>
          <w:szCs w:val="20"/>
        </w:rPr>
        <w:t>El 11 de noviembre de 2002 la Fiscalía 2 respondió que se había abierto la causa No.2202-02 por amenazas contra Jimmy Guerrero y que se estaban realizando tareas de investigación</w:t>
      </w:r>
      <w:r w:rsidRPr="003F00B8">
        <w:rPr>
          <w:rStyle w:val="Refdenotaalpie"/>
          <w:sz w:val="20"/>
          <w:szCs w:val="20"/>
        </w:rPr>
        <w:footnoteReference w:id="53"/>
      </w:r>
      <w:r w:rsidRPr="003F00B8">
        <w:rPr>
          <w:sz w:val="20"/>
          <w:szCs w:val="20"/>
        </w:rPr>
        <w:t>.</w:t>
      </w:r>
    </w:p>
    <w:p w14:paraId="6EE0FF34" w14:textId="77777777" w:rsidR="00685A14" w:rsidRPr="0093059D" w:rsidRDefault="00685A14" w:rsidP="00685A14">
      <w:pPr>
        <w:rPr>
          <w:sz w:val="20"/>
          <w:szCs w:val="20"/>
        </w:rPr>
      </w:pPr>
    </w:p>
    <w:p w14:paraId="48AB5DD5" w14:textId="5E79C6C0" w:rsidR="00685A14" w:rsidRPr="00ED212C" w:rsidRDefault="00685A14" w:rsidP="00685A14">
      <w:pPr>
        <w:pStyle w:val="Prrafodelista"/>
        <w:widowControl/>
        <w:numPr>
          <w:ilvl w:val="0"/>
          <w:numId w:val="29"/>
        </w:numPr>
        <w:autoSpaceDE/>
        <w:autoSpaceDN/>
        <w:ind w:left="0" w:firstLine="0"/>
        <w:contextualSpacing/>
        <w:rPr>
          <w:sz w:val="20"/>
          <w:szCs w:val="20"/>
        </w:rPr>
      </w:pPr>
      <w:r>
        <w:rPr>
          <w:i/>
          <w:sz w:val="20"/>
          <w:szCs w:val="20"/>
        </w:rPr>
        <w:t xml:space="preserve">Cuarta denuncia. - </w:t>
      </w:r>
      <w:r>
        <w:rPr>
          <w:sz w:val="20"/>
          <w:szCs w:val="20"/>
        </w:rPr>
        <w:t>E</w:t>
      </w:r>
      <w:r w:rsidRPr="00ED212C">
        <w:rPr>
          <w:sz w:val="20"/>
          <w:szCs w:val="20"/>
        </w:rPr>
        <w:t xml:space="preserve">l 4 de noviembre de 2002 Jimmy Guerrero </w:t>
      </w:r>
      <w:r>
        <w:rPr>
          <w:sz w:val="20"/>
          <w:szCs w:val="20"/>
        </w:rPr>
        <w:t xml:space="preserve">presentó una denuncia ante </w:t>
      </w:r>
      <w:r w:rsidRPr="00ED212C">
        <w:rPr>
          <w:sz w:val="20"/>
          <w:szCs w:val="20"/>
        </w:rPr>
        <w:t>l</w:t>
      </w:r>
      <w:r>
        <w:rPr>
          <w:sz w:val="20"/>
          <w:szCs w:val="20"/>
        </w:rPr>
        <w:t>a</w:t>
      </w:r>
      <w:r w:rsidRPr="00ED212C">
        <w:rPr>
          <w:sz w:val="20"/>
          <w:szCs w:val="20"/>
        </w:rPr>
        <w:t xml:space="preserve"> Fiscal</w:t>
      </w:r>
      <w:r>
        <w:rPr>
          <w:sz w:val="20"/>
          <w:szCs w:val="20"/>
        </w:rPr>
        <w:t>ía</w:t>
      </w:r>
      <w:r w:rsidRPr="00ED212C">
        <w:rPr>
          <w:sz w:val="20"/>
          <w:szCs w:val="20"/>
        </w:rPr>
        <w:t xml:space="preserve"> </w:t>
      </w:r>
      <w:r>
        <w:rPr>
          <w:sz w:val="20"/>
          <w:szCs w:val="20"/>
        </w:rPr>
        <w:t>2. Afirmó que</w:t>
      </w:r>
      <w:r w:rsidRPr="00ED212C">
        <w:rPr>
          <w:sz w:val="20"/>
          <w:szCs w:val="20"/>
        </w:rPr>
        <w:t xml:space="preserve"> </w:t>
      </w:r>
      <w:r>
        <w:rPr>
          <w:sz w:val="20"/>
          <w:szCs w:val="20"/>
        </w:rPr>
        <w:t>entre los días 2 y 3 del mismo mes</w:t>
      </w:r>
      <w:r w:rsidRPr="00ED212C">
        <w:rPr>
          <w:sz w:val="20"/>
          <w:szCs w:val="20"/>
        </w:rPr>
        <w:t xml:space="preserve"> </w:t>
      </w:r>
      <w:r>
        <w:rPr>
          <w:sz w:val="20"/>
          <w:szCs w:val="20"/>
        </w:rPr>
        <w:t>había permanecido detenido, “a la orden del inspector” de la Dirección de la Policía del Estado (</w:t>
      </w:r>
      <w:r w:rsidR="007E2817">
        <w:rPr>
          <w:sz w:val="20"/>
          <w:szCs w:val="20"/>
        </w:rPr>
        <w:t xml:space="preserve">en adelante </w:t>
      </w:r>
      <w:r>
        <w:rPr>
          <w:sz w:val="20"/>
          <w:szCs w:val="20"/>
        </w:rPr>
        <w:t xml:space="preserve">DIPE), </w:t>
      </w:r>
      <w:r w:rsidRPr="00ED212C">
        <w:rPr>
          <w:sz w:val="20"/>
          <w:szCs w:val="20"/>
        </w:rPr>
        <w:t>sin que se le diera conocimiento del motivo</w:t>
      </w:r>
      <w:r>
        <w:rPr>
          <w:sz w:val="20"/>
          <w:szCs w:val="20"/>
        </w:rPr>
        <w:t>. Adujo, en la misma ocasión,</w:t>
      </w:r>
      <w:r w:rsidRPr="00ED212C">
        <w:rPr>
          <w:sz w:val="20"/>
          <w:szCs w:val="20"/>
        </w:rPr>
        <w:t xml:space="preserve"> que era </w:t>
      </w:r>
      <w:r w:rsidR="00084537">
        <w:rPr>
          <w:sz w:val="20"/>
          <w:szCs w:val="20"/>
        </w:rPr>
        <w:t>“</w:t>
      </w:r>
      <w:r w:rsidRPr="00ED212C">
        <w:rPr>
          <w:sz w:val="20"/>
          <w:szCs w:val="20"/>
        </w:rPr>
        <w:t>frecuente que [l</w:t>
      </w:r>
      <w:r>
        <w:rPr>
          <w:sz w:val="20"/>
          <w:szCs w:val="20"/>
        </w:rPr>
        <w:t>o</w:t>
      </w:r>
      <w:r w:rsidRPr="00ED212C">
        <w:rPr>
          <w:sz w:val="20"/>
          <w:szCs w:val="20"/>
        </w:rPr>
        <w:t xml:space="preserve"> detuvieran] sin motivos</w:t>
      </w:r>
      <w:r w:rsidR="00084537">
        <w:rPr>
          <w:sz w:val="20"/>
          <w:szCs w:val="20"/>
        </w:rPr>
        <w:t>”</w:t>
      </w:r>
      <w:r>
        <w:rPr>
          <w:rStyle w:val="Refdenotaalpie"/>
          <w:sz w:val="20"/>
          <w:szCs w:val="20"/>
        </w:rPr>
        <w:footnoteReference w:id="54"/>
      </w:r>
      <w:r w:rsidRPr="00ED212C">
        <w:rPr>
          <w:sz w:val="20"/>
          <w:szCs w:val="20"/>
        </w:rPr>
        <w:t>.</w:t>
      </w:r>
      <w:r>
        <w:rPr>
          <w:b/>
          <w:sz w:val="16"/>
          <w:szCs w:val="20"/>
        </w:rPr>
        <w:t xml:space="preserve"> </w:t>
      </w:r>
    </w:p>
    <w:p w14:paraId="713B9C9A" w14:textId="77777777" w:rsidR="00685A14" w:rsidRPr="006155A2" w:rsidRDefault="00685A14" w:rsidP="00685A14">
      <w:pPr>
        <w:rPr>
          <w:sz w:val="20"/>
          <w:szCs w:val="20"/>
        </w:rPr>
      </w:pPr>
    </w:p>
    <w:p w14:paraId="16F3B330" w14:textId="424873AB" w:rsidR="00685A14" w:rsidRPr="005428F4" w:rsidRDefault="00685A14" w:rsidP="00685A14">
      <w:pPr>
        <w:pStyle w:val="Prrafodelista"/>
        <w:widowControl/>
        <w:numPr>
          <w:ilvl w:val="0"/>
          <w:numId w:val="29"/>
        </w:numPr>
        <w:autoSpaceDE/>
        <w:autoSpaceDN/>
        <w:ind w:left="0" w:firstLine="0"/>
        <w:contextualSpacing/>
      </w:pPr>
      <w:r>
        <w:rPr>
          <w:i/>
          <w:sz w:val="20"/>
          <w:szCs w:val="20"/>
        </w:rPr>
        <w:t xml:space="preserve">Quinta denuncia. - </w:t>
      </w:r>
      <w:r w:rsidRPr="00ED212C">
        <w:rPr>
          <w:sz w:val="20"/>
          <w:szCs w:val="20"/>
        </w:rPr>
        <w:t xml:space="preserve"> </w:t>
      </w:r>
      <w:r w:rsidRPr="00323B43">
        <w:rPr>
          <w:rFonts w:cs="Arial"/>
          <w:sz w:val="20"/>
          <w:szCs w:val="20"/>
        </w:rPr>
        <w:t>El 18 de febrero de 2003 Jimmy Guerrero declaró ante la Defensoría del</w:t>
      </w:r>
      <w:r w:rsidRPr="00323B43">
        <w:rPr>
          <w:sz w:val="20"/>
          <w:szCs w:val="20"/>
        </w:rPr>
        <w:t xml:space="preserve"> </w:t>
      </w:r>
      <w:r w:rsidRPr="00323B43">
        <w:rPr>
          <w:rFonts w:cs="Arial"/>
          <w:sz w:val="20"/>
          <w:szCs w:val="20"/>
        </w:rPr>
        <w:t>Pueblo, dando cuenta de hechos ocurridos el día anterior. Tale</w:t>
      </w:r>
      <w:r>
        <w:rPr>
          <w:rFonts w:cs="Arial"/>
          <w:sz w:val="20"/>
          <w:szCs w:val="20"/>
        </w:rPr>
        <w:t>s hechos habían sido referidos</w:t>
      </w:r>
      <w:r w:rsidRPr="00323B43">
        <w:rPr>
          <w:rFonts w:cs="Arial"/>
          <w:sz w:val="20"/>
          <w:szCs w:val="20"/>
        </w:rPr>
        <w:t xml:space="preserve"> a la misma institución el 17 de febrero de 2003</w:t>
      </w:r>
      <w:r>
        <w:rPr>
          <w:rFonts w:cs="Arial"/>
          <w:sz w:val="20"/>
          <w:szCs w:val="20"/>
        </w:rPr>
        <w:t>,</w:t>
      </w:r>
      <w:r w:rsidRPr="00323B43">
        <w:rPr>
          <w:rFonts w:cs="Arial"/>
          <w:sz w:val="20"/>
          <w:szCs w:val="20"/>
        </w:rPr>
        <w:t xml:space="preserve"> por</w:t>
      </w:r>
      <w:r>
        <w:rPr>
          <w:rFonts w:cs="Arial"/>
          <w:sz w:val="20"/>
          <w:szCs w:val="20"/>
        </w:rPr>
        <w:t xml:space="preserve"> una presentación de</w:t>
      </w:r>
      <w:r w:rsidRPr="00323B43">
        <w:rPr>
          <w:rFonts w:cs="Arial"/>
          <w:sz w:val="20"/>
          <w:szCs w:val="20"/>
        </w:rPr>
        <w:t xml:space="preserve"> </w:t>
      </w:r>
      <w:r>
        <w:rPr>
          <w:rFonts w:cs="Arial"/>
          <w:sz w:val="20"/>
          <w:szCs w:val="20"/>
        </w:rPr>
        <w:t xml:space="preserve">E.L., </w:t>
      </w:r>
      <w:r w:rsidRPr="00323B43">
        <w:rPr>
          <w:rFonts w:cs="Arial"/>
          <w:sz w:val="20"/>
          <w:szCs w:val="20"/>
        </w:rPr>
        <w:t>una vecina del señor Guerrero</w:t>
      </w:r>
      <w:r w:rsidRPr="007E5577">
        <w:rPr>
          <w:rStyle w:val="Refdenotaalpie"/>
          <w:sz w:val="20"/>
          <w:szCs w:val="20"/>
        </w:rPr>
        <w:footnoteReference w:id="55"/>
      </w:r>
      <w:r w:rsidR="00C61055">
        <w:rPr>
          <w:rFonts w:cs="Arial"/>
          <w:sz w:val="20"/>
          <w:szCs w:val="20"/>
        </w:rPr>
        <w:t>.</w:t>
      </w:r>
      <w:r w:rsidRPr="005428F4">
        <w:rPr>
          <w:rFonts w:cs="Arial"/>
          <w:sz w:val="20"/>
          <w:szCs w:val="24"/>
        </w:rPr>
        <w:t xml:space="preserve"> El mismo 17 de febrero personal de la Defensoría del Pueblo se trasladó a la comandancia policial y constató la detención de Jimmy Guerrero</w:t>
      </w:r>
      <w:r w:rsidRPr="007E5577">
        <w:rPr>
          <w:rStyle w:val="Refdenotaalpie"/>
          <w:sz w:val="20"/>
          <w:szCs w:val="20"/>
        </w:rPr>
        <w:footnoteReference w:id="56"/>
      </w:r>
      <w:r w:rsidRPr="005428F4">
        <w:rPr>
          <w:rFonts w:cs="Arial"/>
          <w:sz w:val="20"/>
          <w:szCs w:val="24"/>
        </w:rPr>
        <w:t xml:space="preserve">. </w:t>
      </w:r>
      <w:proofErr w:type="gramStart"/>
      <w:r w:rsidRPr="005428F4">
        <w:rPr>
          <w:rFonts w:cs="Arial"/>
          <w:sz w:val="20"/>
          <w:szCs w:val="24"/>
        </w:rPr>
        <w:t>De acuerdo a</w:t>
      </w:r>
      <w:proofErr w:type="gramEnd"/>
      <w:r w:rsidRPr="005428F4">
        <w:rPr>
          <w:rFonts w:cs="Arial"/>
          <w:sz w:val="20"/>
          <w:szCs w:val="24"/>
        </w:rPr>
        <w:t xml:space="preserve"> lo indicado por los representantes, al momento de la detención los funcionarios policiales se refirieron “vagamente” a la ocurrencia de un robo.</w:t>
      </w:r>
    </w:p>
    <w:p w14:paraId="1E2DFA01" w14:textId="77777777" w:rsidR="00685A14" w:rsidRPr="007E5577" w:rsidRDefault="00685A14" w:rsidP="00685A14">
      <w:pPr>
        <w:pStyle w:val="Prrafodelista"/>
        <w:ind w:left="0"/>
        <w:rPr>
          <w:sz w:val="20"/>
          <w:szCs w:val="20"/>
        </w:rPr>
      </w:pPr>
    </w:p>
    <w:p w14:paraId="64DCA95D" w14:textId="77777777" w:rsidR="00685A14" w:rsidRDefault="00685A14" w:rsidP="00685A14">
      <w:pPr>
        <w:pStyle w:val="Prrafodelista"/>
        <w:widowControl/>
        <w:numPr>
          <w:ilvl w:val="0"/>
          <w:numId w:val="29"/>
        </w:numPr>
        <w:autoSpaceDE/>
        <w:autoSpaceDN/>
        <w:spacing w:after="200"/>
        <w:ind w:left="0" w:firstLine="0"/>
        <w:contextualSpacing/>
        <w:rPr>
          <w:sz w:val="20"/>
          <w:szCs w:val="20"/>
        </w:rPr>
      </w:pPr>
      <w:r>
        <w:rPr>
          <w:sz w:val="20"/>
          <w:szCs w:val="20"/>
        </w:rPr>
        <w:t xml:space="preserve">En su declaración de 18 de febrero de 2003 Jimmy Guerrero expresó lo que sigue: </w:t>
      </w:r>
    </w:p>
    <w:p w14:paraId="005A4D0D" w14:textId="77777777" w:rsidR="00685A14" w:rsidRPr="00B21412" w:rsidRDefault="00685A14" w:rsidP="00685A14">
      <w:pPr>
        <w:pStyle w:val="Prrafodelista"/>
        <w:rPr>
          <w:sz w:val="16"/>
          <w:szCs w:val="16"/>
        </w:rPr>
      </w:pPr>
    </w:p>
    <w:p w14:paraId="234A8D4B" w14:textId="77777777" w:rsidR="00685A14" w:rsidRPr="00B21412" w:rsidRDefault="00685A14" w:rsidP="00685A14">
      <w:pPr>
        <w:pStyle w:val="Prrafodelista"/>
        <w:ind w:left="284" w:right="333"/>
        <w:rPr>
          <w:sz w:val="16"/>
          <w:szCs w:val="16"/>
        </w:rPr>
      </w:pPr>
      <w:r>
        <w:rPr>
          <w:sz w:val="16"/>
          <w:szCs w:val="16"/>
        </w:rPr>
        <w:t>E</w:t>
      </w:r>
      <w:r w:rsidRPr="00B21412">
        <w:rPr>
          <w:sz w:val="16"/>
          <w:szCs w:val="16"/>
        </w:rPr>
        <w:t xml:space="preserve">l </w:t>
      </w:r>
      <w:proofErr w:type="gramStart"/>
      <w:r w:rsidRPr="00B21412">
        <w:rPr>
          <w:sz w:val="16"/>
          <w:szCs w:val="16"/>
        </w:rPr>
        <w:t>día lunes</w:t>
      </w:r>
      <w:proofErr w:type="gramEnd"/>
      <w:r w:rsidRPr="00B21412">
        <w:rPr>
          <w:sz w:val="16"/>
          <w:szCs w:val="16"/>
        </w:rPr>
        <w:t xml:space="preserve"> 17 </w:t>
      </w:r>
      <w:r>
        <w:rPr>
          <w:sz w:val="16"/>
          <w:szCs w:val="16"/>
        </w:rPr>
        <w:t>[</w:t>
      </w:r>
      <w:r w:rsidRPr="00B21412">
        <w:rPr>
          <w:sz w:val="16"/>
          <w:szCs w:val="16"/>
        </w:rPr>
        <w:t>de febrero de 2003</w:t>
      </w:r>
      <w:r>
        <w:rPr>
          <w:sz w:val="16"/>
          <w:szCs w:val="16"/>
        </w:rPr>
        <w:t>]</w:t>
      </w:r>
      <w:r w:rsidRPr="00B21412">
        <w:rPr>
          <w:sz w:val="16"/>
          <w:szCs w:val="16"/>
        </w:rPr>
        <w:t xml:space="preserve">, siendo las 3:15 pm, […] sin ninguna orden de detención en mi contra las </w:t>
      </w:r>
      <w:r>
        <w:rPr>
          <w:sz w:val="16"/>
          <w:szCs w:val="16"/>
        </w:rPr>
        <w:t>[</w:t>
      </w:r>
      <w:r w:rsidRPr="00B21412">
        <w:rPr>
          <w:sz w:val="16"/>
          <w:szCs w:val="16"/>
        </w:rPr>
        <w:t>Fuerzas Armadas Policiales</w:t>
      </w:r>
      <w:r>
        <w:rPr>
          <w:sz w:val="16"/>
          <w:szCs w:val="16"/>
        </w:rPr>
        <w:t>]</w:t>
      </w:r>
      <w:r w:rsidRPr="00B21412">
        <w:rPr>
          <w:sz w:val="16"/>
          <w:szCs w:val="16"/>
        </w:rPr>
        <w:t xml:space="preserve"> llegaron hasta mi casa, se metieron revisando mi hogar […] No mostraron orden de allanamiento ni de un tribunal […]. Los policías cargaban un palo de cepillo y con eso me pegaron en la cabeza y en varios sitios del cuerpo delante de los vecinos de la comunidad. Me montaron en el vehículo y se dirigieron conmigo hacía el módulo policial ubicado en la calle dos de la Urbanización Cruz Verde. Procedieron a golpearme y me pusieron un paño en la cabeza para no identificar a los agentes </w:t>
      </w:r>
      <w:r w:rsidRPr="00B21412">
        <w:rPr>
          <w:rFonts w:cs="Arial"/>
          <w:sz w:val="16"/>
          <w:szCs w:val="16"/>
        </w:rPr>
        <w:t xml:space="preserve">que me estaban golpeando. Me dieron una patada en el ojo derecho y me echaban gas lacrimógeno y me dieron con su armamento en la cabeza. Los efectivos me quitaron la llave de mi casa y mi cédula de identidad al momento de requisarme y no me la entregaron, no puedo identificar quienes eran porque me tenían contra el piso diciéndome delante de los vecinos que yo era </w:t>
      </w:r>
      <w:r w:rsidRPr="00B21412">
        <w:rPr>
          <w:rFonts w:cs="Arial"/>
          <w:sz w:val="16"/>
          <w:szCs w:val="16"/>
        </w:rPr>
        <w:lastRenderedPageBreak/>
        <w:t>un</w:t>
      </w:r>
      <w:r w:rsidRPr="00B21412">
        <w:rPr>
          <w:sz w:val="16"/>
          <w:szCs w:val="16"/>
        </w:rPr>
        <w:t xml:space="preserve"> </w:t>
      </w:r>
      <w:r w:rsidRPr="00B21412">
        <w:rPr>
          <w:rFonts w:cs="Arial"/>
          <w:sz w:val="16"/>
          <w:szCs w:val="16"/>
        </w:rPr>
        <w:t>antisocial muy peligroso […]</w:t>
      </w:r>
      <w:r>
        <w:rPr>
          <w:rStyle w:val="Refdenotaalpie"/>
          <w:rFonts w:cs="Arial"/>
          <w:sz w:val="16"/>
          <w:szCs w:val="16"/>
        </w:rPr>
        <w:footnoteReference w:id="57"/>
      </w:r>
      <w:r w:rsidRPr="00B21412">
        <w:rPr>
          <w:rFonts w:cs="Arial"/>
          <w:sz w:val="16"/>
          <w:szCs w:val="16"/>
        </w:rPr>
        <w:t>.</w:t>
      </w:r>
      <w:r>
        <w:rPr>
          <w:sz w:val="16"/>
          <w:szCs w:val="16"/>
        </w:rPr>
        <w:t xml:space="preserve"> </w:t>
      </w:r>
    </w:p>
    <w:p w14:paraId="7E1B381B" w14:textId="77777777" w:rsidR="00685A14" w:rsidRPr="00677189" w:rsidRDefault="00685A14" w:rsidP="00685A14">
      <w:pPr>
        <w:pStyle w:val="Prrafodelista"/>
        <w:ind w:left="0"/>
        <w:rPr>
          <w:sz w:val="20"/>
          <w:szCs w:val="20"/>
        </w:rPr>
      </w:pPr>
    </w:p>
    <w:p w14:paraId="7544656E" w14:textId="7B03964F" w:rsidR="00685A14" w:rsidRDefault="00685A14" w:rsidP="00685A14">
      <w:pPr>
        <w:pStyle w:val="Prrafodelista"/>
        <w:widowControl/>
        <w:numPr>
          <w:ilvl w:val="0"/>
          <w:numId w:val="29"/>
        </w:numPr>
        <w:autoSpaceDE/>
        <w:autoSpaceDN/>
        <w:ind w:left="0" w:firstLine="0"/>
        <w:contextualSpacing/>
        <w:rPr>
          <w:sz w:val="20"/>
          <w:szCs w:val="20"/>
        </w:rPr>
      </w:pPr>
      <w:r>
        <w:rPr>
          <w:sz w:val="20"/>
          <w:szCs w:val="20"/>
        </w:rPr>
        <w:t>El</w:t>
      </w:r>
      <w:r w:rsidRPr="00ED212C">
        <w:rPr>
          <w:sz w:val="20"/>
          <w:szCs w:val="20"/>
        </w:rPr>
        <w:t xml:space="preserve"> </w:t>
      </w:r>
      <w:r>
        <w:rPr>
          <w:sz w:val="20"/>
          <w:szCs w:val="20"/>
        </w:rPr>
        <w:t>día siguiente, cuando el señor Guerrero había ya recuperado su libertad</w:t>
      </w:r>
      <w:r>
        <w:rPr>
          <w:rStyle w:val="Refdenotaalpie"/>
          <w:sz w:val="20"/>
          <w:szCs w:val="20"/>
        </w:rPr>
        <w:footnoteReference w:id="58"/>
      </w:r>
      <w:r>
        <w:rPr>
          <w:sz w:val="20"/>
          <w:szCs w:val="20"/>
        </w:rPr>
        <w:t>,</w:t>
      </w:r>
      <w:r w:rsidRPr="00ED212C">
        <w:rPr>
          <w:sz w:val="20"/>
          <w:szCs w:val="20"/>
        </w:rPr>
        <w:t xml:space="preserve"> </w:t>
      </w:r>
      <w:r>
        <w:rPr>
          <w:sz w:val="20"/>
          <w:szCs w:val="20"/>
        </w:rPr>
        <w:t xml:space="preserve">se realizó un reconocimiento médico legal, que </w:t>
      </w:r>
      <w:r w:rsidRPr="00ED212C">
        <w:rPr>
          <w:sz w:val="20"/>
          <w:szCs w:val="20"/>
        </w:rPr>
        <w:t>determinó la existencia</w:t>
      </w:r>
      <w:r>
        <w:rPr>
          <w:sz w:val="20"/>
          <w:szCs w:val="20"/>
        </w:rPr>
        <w:t xml:space="preserve"> de:</w:t>
      </w:r>
      <w:r w:rsidRPr="00ED212C">
        <w:rPr>
          <w:sz w:val="20"/>
          <w:szCs w:val="20"/>
        </w:rPr>
        <w:t xml:space="preserve"> </w:t>
      </w:r>
      <w:r w:rsidR="00352AC1">
        <w:rPr>
          <w:sz w:val="20"/>
          <w:szCs w:val="20"/>
        </w:rPr>
        <w:t>“</w:t>
      </w:r>
      <w:r>
        <w:rPr>
          <w:sz w:val="20"/>
          <w:szCs w:val="20"/>
        </w:rPr>
        <w:t>[</w:t>
      </w:r>
      <w:r w:rsidRPr="00ED212C">
        <w:rPr>
          <w:sz w:val="20"/>
          <w:szCs w:val="20"/>
        </w:rPr>
        <w:t>e</w:t>
      </w:r>
      <w:r>
        <w:rPr>
          <w:sz w:val="20"/>
          <w:szCs w:val="20"/>
        </w:rPr>
        <w:t>]</w:t>
      </w:r>
      <w:proofErr w:type="spellStart"/>
      <w:r w:rsidRPr="00ED212C">
        <w:rPr>
          <w:sz w:val="20"/>
          <w:szCs w:val="20"/>
        </w:rPr>
        <w:t>dema</w:t>
      </w:r>
      <w:proofErr w:type="spellEnd"/>
      <w:r w:rsidRPr="00ED212C">
        <w:rPr>
          <w:sz w:val="20"/>
          <w:szCs w:val="20"/>
        </w:rPr>
        <w:t xml:space="preserve"> traumático a nivel de región frontal</w:t>
      </w:r>
      <w:r>
        <w:rPr>
          <w:sz w:val="20"/>
          <w:szCs w:val="20"/>
        </w:rPr>
        <w:t>”</w:t>
      </w:r>
      <w:r w:rsidRPr="00ED212C">
        <w:rPr>
          <w:sz w:val="20"/>
          <w:szCs w:val="20"/>
        </w:rPr>
        <w:t xml:space="preserve">; </w:t>
      </w:r>
      <w:r>
        <w:rPr>
          <w:sz w:val="20"/>
          <w:szCs w:val="20"/>
        </w:rPr>
        <w:t>“[e]</w:t>
      </w:r>
      <w:proofErr w:type="spellStart"/>
      <w:r w:rsidRPr="00ED212C">
        <w:rPr>
          <w:sz w:val="20"/>
          <w:szCs w:val="20"/>
        </w:rPr>
        <w:t>quimosis</w:t>
      </w:r>
      <w:proofErr w:type="spellEnd"/>
      <w:r w:rsidRPr="00ED212C">
        <w:rPr>
          <w:sz w:val="20"/>
          <w:szCs w:val="20"/>
        </w:rPr>
        <w:t xml:space="preserve"> </w:t>
      </w:r>
      <w:proofErr w:type="spellStart"/>
      <w:r w:rsidRPr="00ED212C">
        <w:rPr>
          <w:sz w:val="20"/>
          <w:szCs w:val="20"/>
        </w:rPr>
        <w:t>suborbitaria</w:t>
      </w:r>
      <w:proofErr w:type="spellEnd"/>
      <w:r w:rsidRPr="00ED212C">
        <w:rPr>
          <w:sz w:val="20"/>
          <w:szCs w:val="20"/>
        </w:rPr>
        <w:t xml:space="preserve"> derecha</w:t>
      </w:r>
      <w:r>
        <w:rPr>
          <w:sz w:val="20"/>
          <w:szCs w:val="20"/>
        </w:rPr>
        <w:t>”</w:t>
      </w:r>
      <w:r w:rsidRPr="00ED212C">
        <w:rPr>
          <w:sz w:val="20"/>
          <w:szCs w:val="20"/>
        </w:rPr>
        <w:t xml:space="preserve">; </w:t>
      </w:r>
      <w:r>
        <w:rPr>
          <w:sz w:val="20"/>
          <w:szCs w:val="20"/>
        </w:rPr>
        <w:t>“[</w:t>
      </w:r>
      <w:r w:rsidRPr="00ED212C">
        <w:rPr>
          <w:sz w:val="20"/>
          <w:szCs w:val="20"/>
        </w:rPr>
        <w:t>t</w:t>
      </w:r>
      <w:r>
        <w:rPr>
          <w:sz w:val="20"/>
          <w:szCs w:val="20"/>
        </w:rPr>
        <w:t>]</w:t>
      </w:r>
      <w:proofErr w:type="spellStart"/>
      <w:r w:rsidRPr="00ED212C">
        <w:rPr>
          <w:sz w:val="20"/>
          <w:szCs w:val="20"/>
        </w:rPr>
        <w:t>raumatismo</w:t>
      </w:r>
      <w:proofErr w:type="spellEnd"/>
      <w:r w:rsidRPr="00ED212C">
        <w:rPr>
          <w:sz w:val="20"/>
          <w:szCs w:val="20"/>
        </w:rPr>
        <w:t xml:space="preserve"> torácico cerrado, complicado con una neuritis intercostal</w:t>
      </w:r>
      <w:r>
        <w:rPr>
          <w:sz w:val="20"/>
          <w:szCs w:val="20"/>
        </w:rPr>
        <w:t>”, y “</w:t>
      </w:r>
      <w:r w:rsidRPr="00ED212C">
        <w:rPr>
          <w:sz w:val="20"/>
          <w:szCs w:val="20"/>
        </w:rPr>
        <w:t>lesiones producidas por instrumento contundente</w:t>
      </w:r>
      <w:r w:rsidR="00352AC1">
        <w:rPr>
          <w:sz w:val="20"/>
          <w:szCs w:val="20"/>
        </w:rPr>
        <w:t>”</w:t>
      </w:r>
      <w:r>
        <w:rPr>
          <w:sz w:val="20"/>
          <w:szCs w:val="20"/>
        </w:rPr>
        <w:t>, de “carácter leve”. El examen médico concluyó también la ausencia de “secuelas”</w:t>
      </w:r>
      <w:r>
        <w:rPr>
          <w:rStyle w:val="Refdenotaalpie"/>
          <w:sz w:val="20"/>
          <w:szCs w:val="20"/>
        </w:rPr>
        <w:footnoteReference w:id="59"/>
      </w:r>
      <w:r w:rsidRPr="00ED212C">
        <w:rPr>
          <w:sz w:val="20"/>
          <w:szCs w:val="20"/>
        </w:rPr>
        <w:t>.</w:t>
      </w:r>
      <w:r>
        <w:rPr>
          <w:sz w:val="20"/>
          <w:szCs w:val="20"/>
        </w:rPr>
        <w:t xml:space="preserve"> </w:t>
      </w:r>
    </w:p>
    <w:p w14:paraId="5BF43674" w14:textId="77777777" w:rsidR="00685A14" w:rsidRPr="001F21C3" w:rsidRDefault="00685A14" w:rsidP="00685A14">
      <w:pPr>
        <w:rPr>
          <w:rFonts w:cs="Arial"/>
          <w:sz w:val="20"/>
          <w:szCs w:val="20"/>
        </w:rPr>
      </w:pPr>
    </w:p>
    <w:p w14:paraId="42D9E5F8" w14:textId="66007545" w:rsidR="00685A14" w:rsidRPr="0041391C" w:rsidRDefault="00685A14" w:rsidP="00685A14">
      <w:pPr>
        <w:pStyle w:val="Prrafodelista"/>
        <w:widowControl/>
        <w:numPr>
          <w:ilvl w:val="0"/>
          <w:numId w:val="29"/>
        </w:numPr>
        <w:autoSpaceDE/>
        <w:autoSpaceDN/>
        <w:ind w:left="0" w:firstLine="0"/>
        <w:contextualSpacing/>
        <w:rPr>
          <w:sz w:val="20"/>
          <w:szCs w:val="20"/>
        </w:rPr>
      </w:pPr>
      <w:r w:rsidRPr="00ED212C">
        <w:rPr>
          <w:rFonts w:cs="Arial"/>
          <w:sz w:val="20"/>
          <w:szCs w:val="20"/>
        </w:rPr>
        <w:t>El 25 de febrero de 2003 la Defensoría del Pueblo, solicitó a</w:t>
      </w:r>
      <w:r>
        <w:rPr>
          <w:rFonts w:cs="Arial"/>
          <w:sz w:val="20"/>
          <w:szCs w:val="20"/>
        </w:rPr>
        <w:t xml:space="preserve"> </w:t>
      </w:r>
      <w:r w:rsidRPr="00ED212C">
        <w:rPr>
          <w:rFonts w:cs="Arial"/>
          <w:sz w:val="20"/>
          <w:szCs w:val="20"/>
        </w:rPr>
        <w:t>l</w:t>
      </w:r>
      <w:r>
        <w:rPr>
          <w:rFonts w:cs="Arial"/>
          <w:sz w:val="20"/>
          <w:szCs w:val="20"/>
        </w:rPr>
        <w:t>a</w:t>
      </w:r>
      <w:r w:rsidRPr="00ED212C">
        <w:rPr>
          <w:rFonts w:cs="Arial"/>
          <w:sz w:val="20"/>
          <w:szCs w:val="20"/>
        </w:rPr>
        <w:t xml:space="preserve"> Fiscal</w:t>
      </w:r>
      <w:r>
        <w:rPr>
          <w:rFonts w:cs="Arial"/>
          <w:sz w:val="20"/>
          <w:szCs w:val="20"/>
        </w:rPr>
        <w:t>ía</w:t>
      </w:r>
      <w:r w:rsidRPr="00ED212C">
        <w:rPr>
          <w:rFonts w:cs="Arial"/>
          <w:sz w:val="20"/>
          <w:szCs w:val="20"/>
        </w:rPr>
        <w:t xml:space="preserve"> Superior y la Fiscal</w:t>
      </w:r>
      <w:r>
        <w:rPr>
          <w:rFonts w:cs="Arial"/>
          <w:sz w:val="20"/>
          <w:szCs w:val="20"/>
        </w:rPr>
        <w:t>ía</w:t>
      </w:r>
      <w:r w:rsidRPr="00ED212C">
        <w:rPr>
          <w:rFonts w:cs="Arial"/>
          <w:sz w:val="20"/>
          <w:szCs w:val="20"/>
        </w:rPr>
        <w:t xml:space="preserve"> </w:t>
      </w:r>
      <w:r>
        <w:rPr>
          <w:rFonts w:cs="Arial"/>
          <w:sz w:val="20"/>
          <w:szCs w:val="20"/>
        </w:rPr>
        <w:t>2</w:t>
      </w:r>
      <w:r w:rsidRPr="00ED212C">
        <w:rPr>
          <w:rFonts w:cs="Arial"/>
          <w:sz w:val="20"/>
          <w:szCs w:val="20"/>
        </w:rPr>
        <w:t xml:space="preserve"> medidas de protección a favor de Jimmy Guerrero,</w:t>
      </w:r>
      <w:r>
        <w:rPr>
          <w:rFonts w:cs="Arial"/>
          <w:sz w:val="20"/>
          <w:szCs w:val="20"/>
        </w:rPr>
        <w:t xml:space="preserve"> así como la investigación de lo sucedido. Dos días después remitió a la segunda copia del informe médico legal realizado al señor Guerrero. </w:t>
      </w:r>
      <w:r w:rsidRPr="0041391C">
        <w:rPr>
          <w:sz w:val="20"/>
          <w:szCs w:val="20"/>
        </w:rPr>
        <w:t xml:space="preserve">El 11 de marzo de 2003 la Defensoría del Pueblo </w:t>
      </w:r>
      <w:r>
        <w:rPr>
          <w:sz w:val="20"/>
          <w:szCs w:val="20"/>
        </w:rPr>
        <w:t xml:space="preserve">requirió a la Fiscalía 2 </w:t>
      </w:r>
      <w:r w:rsidRPr="0041391C">
        <w:rPr>
          <w:sz w:val="20"/>
          <w:szCs w:val="20"/>
        </w:rPr>
        <w:t>información sobre diligencias realizadas a partir de la solicitud de 25 de febrero de 2003</w:t>
      </w:r>
      <w:r>
        <w:rPr>
          <w:rStyle w:val="Refdenotaalpie"/>
          <w:rFonts w:cs="Arial"/>
          <w:sz w:val="20"/>
          <w:szCs w:val="20"/>
        </w:rPr>
        <w:footnoteReference w:id="60"/>
      </w:r>
      <w:r w:rsidRPr="0041391C">
        <w:rPr>
          <w:sz w:val="20"/>
          <w:szCs w:val="20"/>
        </w:rPr>
        <w:t xml:space="preserve">. </w:t>
      </w:r>
    </w:p>
    <w:p w14:paraId="3C582F2A" w14:textId="77777777" w:rsidR="00685A14" w:rsidRPr="00ED212C" w:rsidRDefault="00685A14" w:rsidP="00685A14">
      <w:pPr>
        <w:pStyle w:val="Prrafodelista"/>
        <w:ind w:left="0"/>
        <w:rPr>
          <w:sz w:val="20"/>
          <w:szCs w:val="20"/>
        </w:rPr>
      </w:pPr>
    </w:p>
    <w:p w14:paraId="1E163075" w14:textId="22DF6AFE" w:rsidR="00685A14" w:rsidRPr="0041391C" w:rsidRDefault="00685A14" w:rsidP="00685A14">
      <w:pPr>
        <w:pStyle w:val="Prrafodelista"/>
        <w:widowControl/>
        <w:numPr>
          <w:ilvl w:val="0"/>
          <w:numId w:val="29"/>
        </w:numPr>
        <w:autoSpaceDE/>
        <w:autoSpaceDN/>
        <w:ind w:left="0" w:firstLine="0"/>
        <w:contextualSpacing/>
        <w:rPr>
          <w:sz w:val="20"/>
          <w:szCs w:val="20"/>
        </w:rPr>
      </w:pPr>
      <w:r>
        <w:rPr>
          <w:i/>
          <w:sz w:val="20"/>
          <w:szCs w:val="20"/>
        </w:rPr>
        <w:t xml:space="preserve">Sexta denuncia. - </w:t>
      </w:r>
      <w:r w:rsidRPr="00ED212C">
        <w:rPr>
          <w:sz w:val="20"/>
          <w:szCs w:val="20"/>
        </w:rPr>
        <w:t>El 6 de marzo de 2003 Jim</w:t>
      </w:r>
      <w:r>
        <w:rPr>
          <w:sz w:val="20"/>
          <w:szCs w:val="20"/>
        </w:rPr>
        <w:t>my Guerrero hizo una presentación ante</w:t>
      </w:r>
      <w:r w:rsidRPr="00ED212C">
        <w:rPr>
          <w:sz w:val="20"/>
          <w:szCs w:val="20"/>
        </w:rPr>
        <w:t xml:space="preserve"> la Defensoría</w:t>
      </w:r>
      <w:r>
        <w:rPr>
          <w:sz w:val="20"/>
          <w:szCs w:val="20"/>
        </w:rPr>
        <w:t xml:space="preserve"> del Pueblo. Relató que el día anterior advirtió que dos policías estaban cerca de su casa, sin que él conociera sus intenciones, y que los funcionarios se escondieron, intentando que él no los divisara. Señaló que funcionarios policiales “se la pasa[</w:t>
      </w:r>
      <w:proofErr w:type="spellStart"/>
      <w:r>
        <w:rPr>
          <w:sz w:val="20"/>
          <w:szCs w:val="20"/>
        </w:rPr>
        <w:t>ban</w:t>
      </w:r>
      <w:proofErr w:type="spellEnd"/>
      <w:r>
        <w:rPr>
          <w:sz w:val="20"/>
          <w:szCs w:val="20"/>
        </w:rPr>
        <w:t xml:space="preserve">] dando vueltas por el sector” de su residencia en horas de la madrugada. Dijo también que cinco o seis días antes de su presentación la policía había llegado a su casa, luego de un atraco que sucedió en un lugar cercano, indagando sobre ese hecho. El 11 de marzo </w:t>
      </w:r>
      <w:r w:rsidR="00C61055">
        <w:rPr>
          <w:sz w:val="20"/>
          <w:szCs w:val="20"/>
        </w:rPr>
        <w:t xml:space="preserve">de 2003 </w:t>
      </w:r>
      <w:r>
        <w:rPr>
          <w:sz w:val="20"/>
          <w:szCs w:val="20"/>
        </w:rPr>
        <w:t>la presentación del señor Guerrero</w:t>
      </w:r>
      <w:r w:rsidRPr="00ED212C">
        <w:rPr>
          <w:sz w:val="20"/>
          <w:szCs w:val="20"/>
        </w:rPr>
        <w:t xml:space="preserve"> fue remitida a la Fiscalía </w:t>
      </w:r>
      <w:r>
        <w:rPr>
          <w:sz w:val="20"/>
          <w:szCs w:val="20"/>
        </w:rPr>
        <w:t>2</w:t>
      </w:r>
      <w:r>
        <w:rPr>
          <w:rStyle w:val="Refdenotaalpie"/>
          <w:sz w:val="20"/>
          <w:szCs w:val="20"/>
        </w:rPr>
        <w:footnoteReference w:id="61"/>
      </w:r>
      <w:r w:rsidRPr="00ED212C">
        <w:rPr>
          <w:sz w:val="20"/>
          <w:szCs w:val="20"/>
        </w:rPr>
        <w:t>.</w:t>
      </w:r>
    </w:p>
    <w:p w14:paraId="544DB5F2" w14:textId="77777777" w:rsidR="00685A14" w:rsidRPr="00FE7C5D" w:rsidRDefault="00685A14" w:rsidP="00685A14">
      <w:pPr>
        <w:rPr>
          <w:sz w:val="20"/>
          <w:szCs w:val="20"/>
        </w:rPr>
      </w:pPr>
    </w:p>
    <w:p w14:paraId="4449DCA8" w14:textId="77777777" w:rsidR="00685A14" w:rsidRPr="00500D56" w:rsidRDefault="00685A14" w:rsidP="000F2503">
      <w:pPr>
        <w:pStyle w:val="Prrafodelista"/>
        <w:ind w:left="567"/>
        <w:outlineLvl w:val="2"/>
        <w:rPr>
          <w:i/>
          <w:sz w:val="20"/>
          <w:szCs w:val="20"/>
        </w:rPr>
      </w:pPr>
      <w:bookmarkStart w:id="40" w:name="_Toc61358631"/>
      <w:bookmarkStart w:id="41" w:name="_Toc73960353"/>
      <w:r>
        <w:rPr>
          <w:i/>
          <w:sz w:val="20"/>
          <w:szCs w:val="20"/>
        </w:rPr>
        <w:t>B.2</w:t>
      </w:r>
      <w:r w:rsidRPr="00500D56">
        <w:rPr>
          <w:i/>
          <w:sz w:val="20"/>
          <w:szCs w:val="20"/>
        </w:rPr>
        <w:t xml:space="preserve"> </w:t>
      </w:r>
      <w:r w:rsidRPr="00500D56">
        <w:rPr>
          <w:i/>
          <w:sz w:val="20"/>
          <w:szCs w:val="20"/>
          <w:u w:val="single"/>
        </w:rPr>
        <w:t>La</w:t>
      </w:r>
      <w:r>
        <w:rPr>
          <w:i/>
          <w:sz w:val="20"/>
          <w:szCs w:val="20"/>
          <w:u w:val="single"/>
        </w:rPr>
        <w:t>s</w:t>
      </w:r>
      <w:r w:rsidRPr="00500D56">
        <w:rPr>
          <w:i/>
          <w:sz w:val="20"/>
          <w:szCs w:val="20"/>
          <w:u w:val="single"/>
        </w:rPr>
        <w:t xml:space="preserve"> muerte</w:t>
      </w:r>
      <w:r>
        <w:rPr>
          <w:i/>
          <w:sz w:val="20"/>
          <w:szCs w:val="20"/>
          <w:u w:val="single"/>
        </w:rPr>
        <w:t>s</w:t>
      </w:r>
      <w:r w:rsidRPr="00500D56">
        <w:rPr>
          <w:i/>
          <w:sz w:val="20"/>
          <w:szCs w:val="20"/>
          <w:u w:val="single"/>
        </w:rPr>
        <w:t xml:space="preserve"> de Jimmy Guerrero y Ramón Molina</w:t>
      </w:r>
      <w:bookmarkEnd w:id="40"/>
      <w:bookmarkEnd w:id="41"/>
    </w:p>
    <w:p w14:paraId="60A2E768" w14:textId="77777777" w:rsidR="00685A14" w:rsidRPr="000A27D3" w:rsidRDefault="00685A14" w:rsidP="00685A14">
      <w:pPr>
        <w:pStyle w:val="Prrafodelista"/>
        <w:rPr>
          <w:sz w:val="20"/>
          <w:szCs w:val="20"/>
        </w:rPr>
      </w:pPr>
    </w:p>
    <w:p w14:paraId="64945A78" w14:textId="6ECEA94B" w:rsidR="00685A14" w:rsidRDefault="00685A14" w:rsidP="00685A14">
      <w:pPr>
        <w:pStyle w:val="Prrafodelista"/>
        <w:widowControl/>
        <w:numPr>
          <w:ilvl w:val="0"/>
          <w:numId w:val="29"/>
        </w:numPr>
        <w:autoSpaceDE/>
        <w:autoSpaceDN/>
        <w:spacing w:after="200"/>
        <w:ind w:left="0" w:firstLine="0"/>
        <w:contextualSpacing/>
        <w:rPr>
          <w:sz w:val="20"/>
          <w:szCs w:val="20"/>
        </w:rPr>
      </w:pPr>
      <w:r>
        <w:rPr>
          <w:sz w:val="20"/>
          <w:szCs w:val="20"/>
        </w:rPr>
        <w:t xml:space="preserve">La noche del </w:t>
      </w:r>
      <w:r w:rsidRPr="000A27D3">
        <w:rPr>
          <w:sz w:val="20"/>
          <w:szCs w:val="20"/>
        </w:rPr>
        <w:t xml:space="preserve">29 de </w:t>
      </w:r>
      <w:r>
        <w:rPr>
          <w:sz w:val="20"/>
          <w:szCs w:val="20"/>
        </w:rPr>
        <w:t xml:space="preserve">marzo de 2003, Jimmy Guerrero, </w:t>
      </w:r>
      <w:r w:rsidRPr="00C65D8E">
        <w:rPr>
          <w:sz w:val="20"/>
          <w:szCs w:val="20"/>
        </w:rPr>
        <w:t xml:space="preserve">su hermana Yarelis Guerrero y un vecino, </w:t>
      </w:r>
      <w:r>
        <w:rPr>
          <w:sz w:val="20"/>
          <w:szCs w:val="20"/>
        </w:rPr>
        <w:t xml:space="preserve">J.L., </w:t>
      </w:r>
      <w:r w:rsidRPr="00C65D8E">
        <w:rPr>
          <w:sz w:val="20"/>
          <w:szCs w:val="20"/>
        </w:rPr>
        <w:t>se trasladaron de Coro a Punto F</w:t>
      </w:r>
      <w:r>
        <w:rPr>
          <w:sz w:val="20"/>
          <w:szCs w:val="20"/>
        </w:rPr>
        <w:t>ijo para asistir al vel</w:t>
      </w:r>
      <w:r w:rsidR="00DC4619">
        <w:rPr>
          <w:sz w:val="20"/>
          <w:szCs w:val="20"/>
        </w:rPr>
        <w:t>at</w:t>
      </w:r>
      <w:r>
        <w:rPr>
          <w:sz w:val="20"/>
          <w:szCs w:val="20"/>
        </w:rPr>
        <w:t xml:space="preserve">orio de Jaime Rafael Molina, hijo de Ramón Molina. </w:t>
      </w:r>
      <w:r w:rsidRPr="00C65D8E">
        <w:rPr>
          <w:sz w:val="20"/>
          <w:szCs w:val="20"/>
        </w:rPr>
        <w:t>En el trayecto</w:t>
      </w:r>
      <w:r w:rsidR="00DC4619">
        <w:rPr>
          <w:sz w:val="20"/>
          <w:szCs w:val="20"/>
        </w:rPr>
        <w:t>,</w:t>
      </w:r>
      <w:r w:rsidRPr="00C65D8E">
        <w:rPr>
          <w:sz w:val="20"/>
          <w:szCs w:val="20"/>
        </w:rPr>
        <w:t xml:space="preserve"> el vehículo en que se trasladaban fue abordado por una </w:t>
      </w:r>
      <w:r>
        <w:rPr>
          <w:sz w:val="20"/>
          <w:szCs w:val="20"/>
        </w:rPr>
        <w:t>patrulla policial</w:t>
      </w:r>
      <w:r w:rsidRPr="00C65D8E">
        <w:rPr>
          <w:sz w:val="20"/>
          <w:szCs w:val="20"/>
        </w:rPr>
        <w:t>, que les preguntó su destino, y luego los dejó continuar</w:t>
      </w:r>
      <w:r>
        <w:rPr>
          <w:rStyle w:val="Refdenotaalpie"/>
          <w:sz w:val="20"/>
          <w:szCs w:val="20"/>
        </w:rPr>
        <w:footnoteReference w:id="62"/>
      </w:r>
      <w:r w:rsidRPr="00C65D8E">
        <w:rPr>
          <w:sz w:val="20"/>
          <w:szCs w:val="20"/>
        </w:rPr>
        <w:t>.</w:t>
      </w:r>
    </w:p>
    <w:p w14:paraId="2A5F97B2" w14:textId="77777777" w:rsidR="00685A14" w:rsidRDefault="00685A14" w:rsidP="00685A14">
      <w:pPr>
        <w:pStyle w:val="Prrafodelista"/>
        <w:ind w:left="0"/>
        <w:rPr>
          <w:sz w:val="20"/>
          <w:szCs w:val="20"/>
        </w:rPr>
      </w:pPr>
    </w:p>
    <w:p w14:paraId="304B42EF" w14:textId="77777777" w:rsidR="00685A14" w:rsidRPr="000F3EE7" w:rsidRDefault="00685A14" w:rsidP="00685A14">
      <w:pPr>
        <w:pStyle w:val="Prrafodelista"/>
        <w:widowControl/>
        <w:numPr>
          <w:ilvl w:val="0"/>
          <w:numId w:val="29"/>
        </w:numPr>
        <w:autoSpaceDE/>
        <w:autoSpaceDN/>
        <w:spacing w:after="200"/>
        <w:ind w:left="0" w:firstLine="0"/>
        <w:contextualSpacing/>
        <w:rPr>
          <w:sz w:val="20"/>
          <w:szCs w:val="20"/>
        </w:rPr>
      </w:pPr>
      <w:r>
        <w:rPr>
          <w:sz w:val="20"/>
          <w:szCs w:val="20"/>
        </w:rPr>
        <w:t xml:space="preserve">Más tarde, en la madrugada del 30 de marzo de 2003, </w:t>
      </w:r>
      <w:r w:rsidRPr="00C65D8E">
        <w:rPr>
          <w:sz w:val="20"/>
          <w:szCs w:val="20"/>
        </w:rPr>
        <w:t>Jimmy Guerrero, Ramón Molina y</w:t>
      </w:r>
      <w:r>
        <w:rPr>
          <w:sz w:val="20"/>
          <w:szCs w:val="20"/>
        </w:rPr>
        <w:t xml:space="preserve"> J.L. </w:t>
      </w:r>
      <w:r w:rsidRPr="00C65D8E">
        <w:rPr>
          <w:sz w:val="20"/>
          <w:szCs w:val="20"/>
        </w:rPr>
        <w:t>se dirigieron a realizar unas compras</w:t>
      </w:r>
      <w:r>
        <w:rPr>
          <w:sz w:val="20"/>
          <w:szCs w:val="20"/>
        </w:rPr>
        <w:t>.</w:t>
      </w:r>
    </w:p>
    <w:p w14:paraId="5253984D" w14:textId="77777777" w:rsidR="00685A14" w:rsidRPr="00C856BD" w:rsidRDefault="00685A14" w:rsidP="00685A14">
      <w:pPr>
        <w:pStyle w:val="Prrafodelista"/>
        <w:ind w:left="0"/>
        <w:rPr>
          <w:sz w:val="20"/>
          <w:szCs w:val="20"/>
        </w:rPr>
      </w:pPr>
    </w:p>
    <w:p w14:paraId="6C0694C4" w14:textId="0195A8CE" w:rsidR="00685A14" w:rsidRPr="00F24F6E" w:rsidRDefault="00685A14" w:rsidP="00685A14">
      <w:pPr>
        <w:pStyle w:val="Prrafodelista"/>
        <w:widowControl/>
        <w:numPr>
          <w:ilvl w:val="0"/>
          <w:numId w:val="29"/>
        </w:numPr>
        <w:autoSpaceDE/>
        <w:autoSpaceDN/>
        <w:spacing w:after="200"/>
        <w:ind w:left="0" w:firstLine="0"/>
        <w:contextualSpacing/>
        <w:rPr>
          <w:sz w:val="20"/>
          <w:szCs w:val="20"/>
        </w:rPr>
      </w:pPr>
      <w:r>
        <w:rPr>
          <w:sz w:val="20"/>
          <w:szCs w:val="20"/>
        </w:rPr>
        <w:t>Al llegar a una</w:t>
      </w:r>
      <w:r w:rsidRPr="00ED212C">
        <w:rPr>
          <w:sz w:val="20"/>
          <w:szCs w:val="20"/>
        </w:rPr>
        <w:t xml:space="preserve"> licorería</w:t>
      </w:r>
      <w:r>
        <w:rPr>
          <w:sz w:val="20"/>
          <w:szCs w:val="20"/>
        </w:rPr>
        <w:t>, situada en la urbanización Santa Irene de la ciudad de Punto Fijo, del Estado Falcón</w:t>
      </w:r>
      <w:r>
        <w:rPr>
          <w:rStyle w:val="Refdenotaalpie"/>
          <w:sz w:val="20"/>
          <w:szCs w:val="20"/>
        </w:rPr>
        <w:footnoteReference w:id="63"/>
      </w:r>
      <w:r w:rsidRPr="00ED212C">
        <w:rPr>
          <w:sz w:val="20"/>
          <w:szCs w:val="20"/>
        </w:rPr>
        <w:t>, Jimmy Guerrero</w:t>
      </w:r>
      <w:r>
        <w:rPr>
          <w:sz w:val="20"/>
          <w:szCs w:val="20"/>
        </w:rPr>
        <w:t>, quien conducía el automóvil,</w:t>
      </w:r>
      <w:r w:rsidRPr="00ED212C">
        <w:rPr>
          <w:sz w:val="20"/>
          <w:szCs w:val="20"/>
        </w:rPr>
        <w:t xml:space="preserve"> se bajó</w:t>
      </w:r>
      <w:r>
        <w:rPr>
          <w:sz w:val="20"/>
          <w:szCs w:val="20"/>
        </w:rPr>
        <w:t xml:space="preserve"> del mismo. El señor J.L. pasó al asiento del conductor, pues reemplazaría al señor Guerrero en el camino de regreso. En ese momento llegó al lugar un vehículo, del cual descendieron al menos dos personas</w:t>
      </w:r>
      <w:r>
        <w:rPr>
          <w:rStyle w:val="Refdenotaalpie"/>
          <w:sz w:val="20"/>
          <w:szCs w:val="20"/>
        </w:rPr>
        <w:footnoteReference w:id="64"/>
      </w:r>
      <w:r>
        <w:rPr>
          <w:sz w:val="20"/>
          <w:szCs w:val="20"/>
        </w:rPr>
        <w:t xml:space="preserve"> vestidas con uniforme policial. Una asió a Jimmy Guerrero, cuando él estaba en la puerta de la licorería, y le disparó; otra se dirigió al carro en el que se encontraban los señores J.L. y Molina y disparó </w:t>
      </w:r>
      <w:r w:rsidR="00237338">
        <w:rPr>
          <w:sz w:val="20"/>
          <w:szCs w:val="20"/>
        </w:rPr>
        <w:t xml:space="preserve">con </w:t>
      </w:r>
      <w:r>
        <w:rPr>
          <w:sz w:val="20"/>
          <w:szCs w:val="20"/>
        </w:rPr>
        <w:t>arma de fuego hacia ellos.</w:t>
      </w:r>
      <w:r w:rsidRPr="00ED212C">
        <w:rPr>
          <w:sz w:val="20"/>
          <w:szCs w:val="20"/>
        </w:rPr>
        <w:t xml:space="preserve"> El señor </w:t>
      </w:r>
      <w:r>
        <w:rPr>
          <w:sz w:val="20"/>
          <w:szCs w:val="20"/>
        </w:rPr>
        <w:t xml:space="preserve">J.L. intentó bajarse del automóvil y </w:t>
      </w:r>
      <w:r w:rsidRPr="00ED212C">
        <w:rPr>
          <w:sz w:val="20"/>
          <w:szCs w:val="20"/>
        </w:rPr>
        <w:t>fue herido</w:t>
      </w:r>
      <w:r>
        <w:rPr>
          <w:sz w:val="20"/>
          <w:szCs w:val="20"/>
        </w:rPr>
        <w:t>, al igual que el señor Molina.</w:t>
      </w:r>
      <w:r w:rsidRPr="00ED212C">
        <w:rPr>
          <w:sz w:val="20"/>
          <w:szCs w:val="20"/>
        </w:rPr>
        <w:t xml:space="preserve"> </w:t>
      </w:r>
      <w:r>
        <w:rPr>
          <w:sz w:val="20"/>
          <w:szCs w:val="20"/>
        </w:rPr>
        <w:t>El señor J.L. se acercó al cuerpo del señor Molina para “hacerse el muerto”, según más adelante explicó</w:t>
      </w:r>
      <w:r w:rsidRPr="00ED212C">
        <w:rPr>
          <w:sz w:val="20"/>
          <w:szCs w:val="20"/>
        </w:rPr>
        <w:t xml:space="preserve">. </w:t>
      </w:r>
      <w:r>
        <w:rPr>
          <w:sz w:val="20"/>
          <w:szCs w:val="20"/>
        </w:rPr>
        <w:t>Estando así, el señor J.L., quien había recibido un disparo en un brazo, pudo ver c</w:t>
      </w:r>
      <w:r w:rsidR="00237338">
        <w:rPr>
          <w:sz w:val="20"/>
          <w:szCs w:val="20"/>
        </w:rPr>
        <w:t>ó</w:t>
      </w:r>
      <w:r>
        <w:rPr>
          <w:sz w:val="20"/>
          <w:szCs w:val="20"/>
        </w:rPr>
        <w:t>mo dieron patadas al cuerpo del señor Guerrero, así como</w:t>
      </w:r>
      <w:r w:rsidR="00237338">
        <w:rPr>
          <w:sz w:val="20"/>
          <w:szCs w:val="20"/>
        </w:rPr>
        <w:t xml:space="preserve"> “</w:t>
      </w:r>
      <w:r w:rsidRPr="00ED212C">
        <w:rPr>
          <w:sz w:val="20"/>
          <w:szCs w:val="20"/>
        </w:rPr>
        <w:t>dos disparos</w:t>
      </w:r>
      <w:r>
        <w:rPr>
          <w:sz w:val="20"/>
          <w:szCs w:val="20"/>
        </w:rPr>
        <w:t xml:space="preserve"> […]</w:t>
      </w:r>
      <w:r w:rsidRPr="00ED212C">
        <w:rPr>
          <w:sz w:val="20"/>
          <w:szCs w:val="20"/>
        </w:rPr>
        <w:t xml:space="preserve"> y se lo llevaron de arrastra</w:t>
      </w:r>
      <w:r>
        <w:rPr>
          <w:sz w:val="20"/>
          <w:szCs w:val="20"/>
        </w:rPr>
        <w:t xml:space="preserve"> </w:t>
      </w:r>
      <w:r w:rsidRPr="00ED212C">
        <w:rPr>
          <w:sz w:val="20"/>
          <w:szCs w:val="20"/>
        </w:rPr>
        <w:t>por los pies</w:t>
      </w:r>
      <w:r w:rsidR="00237338">
        <w:rPr>
          <w:sz w:val="20"/>
          <w:szCs w:val="20"/>
        </w:rPr>
        <w:t>”</w:t>
      </w:r>
      <w:r>
        <w:rPr>
          <w:rStyle w:val="Refdenotaalpie"/>
          <w:sz w:val="20"/>
          <w:szCs w:val="20"/>
        </w:rPr>
        <w:footnoteReference w:id="65"/>
      </w:r>
      <w:r w:rsidRPr="00ED212C">
        <w:rPr>
          <w:sz w:val="20"/>
          <w:szCs w:val="20"/>
        </w:rPr>
        <w:t>.</w:t>
      </w:r>
      <w:r>
        <w:rPr>
          <w:b/>
          <w:sz w:val="16"/>
          <w:szCs w:val="20"/>
        </w:rPr>
        <w:t xml:space="preserve"> </w:t>
      </w:r>
    </w:p>
    <w:p w14:paraId="53861864" w14:textId="77777777" w:rsidR="00685A14" w:rsidRPr="00F24F6E" w:rsidRDefault="00685A14" w:rsidP="00685A14">
      <w:pPr>
        <w:pStyle w:val="Prrafodelista"/>
        <w:ind w:left="0"/>
        <w:rPr>
          <w:sz w:val="20"/>
          <w:szCs w:val="20"/>
        </w:rPr>
      </w:pPr>
    </w:p>
    <w:p w14:paraId="5A629176" w14:textId="77777777" w:rsidR="00685A14" w:rsidRDefault="00685A14" w:rsidP="00685A14">
      <w:pPr>
        <w:pStyle w:val="Prrafodelista"/>
        <w:widowControl/>
        <w:numPr>
          <w:ilvl w:val="0"/>
          <w:numId w:val="29"/>
        </w:numPr>
        <w:autoSpaceDE/>
        <w:autoSpaceDN/>
        <w:spacing w:after="200"/>
        <w:ind w:left="0" w:firstLine="0"/>
        <w:contextualSpacing/>
        <w:rPr>
          <w:sz w:val="20"/>
          <w:szCs w:val="20"/>
        </w:rPr>
      </w:pPr>
      <w:r>
        <w:rPr>
          <w:sz w:val="20"/>
          <w:szCs w:val="20"/>
        </w:rPr>
        <w:t>U</w:t>
      </w:r>
      <w:r w:rsidRPr="00F645BF">
        <w:rPr>
          <w:sz w:val="20"/>
          <w:szCs w:val="20"/>
        </w:rPr>
        <w:t xml:space="preserve">n </w:t>
      </w:r>
      <w:proofErr w:type="gramStart"/>
      <w:r w:rsidRPr="00F645BF">
        <w:rPr>
          <w:sz w:val="20"/>
          <w:szCs w:val="20"/>
        </w:rPr>
        <w:t>testigo presencial</w:t>
      </w:r>
      <w:proofErr w:type="gramEnd"/>
      <w:r>
        <w:rPr>
          <w:sz w:val="20"/>
          <w:szCs w:val="20"/>
        </w:rPr>
        <w:t>, que atendía la licorería, relató los hechos en forma concordante a lo señalado. Precisó que, luego que los atacantes se dieran a la fuga en el vehículo blanco en el que habían llegado, escoltado por otro azul,</w:t>
      </w:r>
      <w:r w:rsidDel="00E32414">
        <w:rPr>
          <w:sz w:val="20"/>
          <w:szCs w:val="20"/>
        </w:rPr>
        <w:t xml:space="preserve"> </w:t>
      </w:r>
      <w:r>
        <w:rPr>
          <w:sz w:val="20"/>
          <w:szCs w:val="20"/>
        </w:rPr>
        <w:t xml:space="preserve">llegó un tercero, color “ladrillo claro”, que </w:t>
      </w:r>
      <w:r w:rsidRPr="00F645BF">
        <w:rPr>
          <w:sz w:val="20"/>
          <w:szCs w:val="20"/>
        </w:rPr>
        <w:t>pasó por encima del cuerpo del señor Guerrero</w:t>
      </w:r>
      <w:r>
        <w:rPr>
          <w:sz w:val="20"/>
          <w:szCs w:val="20"/>
        </w:rPr>
        <w:t>. Agregó que una persona bajó de ese carro, amarró con un mecate una de las piernas del cuerpo del señor Guerrero al parachoques, y se lo llevó, arrastrándolo con el vehículo</w:t>
      </w:r>
      <w:r>
        <w:rPr>
          <w:rStyle w:val="Refdenotaalpie"/>
          <w:sz w:val="20"/>
          <w:szCs w:val="20"/>
        </w:rPr>
        <w:footnoteReference w:id="66"/>
      </w:r>
      <w:r w:rsidRPr="005428F4">
        <w:rPr>
          <w:sz w:val="20"/>
          <w:szCs w:val="20"/>
        </w:rPr>
        <w:t>.</w:t>
      </w:r>
    </w:p>
    <w:p w14:paraId="1273539B" w14:textId="77777777" w:rsidR="00685A14" w:rsidRPr="005428F4" w:rsidRDefault="00685A14" w:rsidP="00685A14">
      <w:pPr>
        <w:pStyle w:val="Prrafodelista"/>
        <w:widowControl/>
        <w:autoSpaceDE/>
        <w:autoSpaceDN/>
        <w:spacing w:after="200"/>
        <w:ind w:left="0"/>
        <w:contextualSpacing/>
        <w:rPr>
          <w:sz w:val="20"/>
          <w:szCs w:val="20"/>
        </w:rPr>
      </w:pPr>
      <w:r w:rsidRPr="005428F4">
        <w:rPr>
          <w:sz w:val="20"/>
          <w:szCs w:val="20"/>
        </w:rPr>
        <w:t xml:space="preserve"> </w:t>
      </w:r>
    </w:p>
    <w:p w14:paraId="6D5B1ED3" w14:textId="6B6EC63D" w:rsidR="00685A14" w:rsidRPr="00F24F6E" w:rsidRDefault="00685A14" w:rsidP="00685A14">
      <w:pPr>
        <w:pStyle w:val="Prrafodelista"/>
        <w:widowControl/>
        <w:numPr>
          <w:ilvl w:val="0"/>
          <w:numId w:val="29"/>
        </w:numPr>
        <w:autoSpaceDE/>
        <w:autoSpaceDN/>
        <w:spacing w:after="200"/>
        <w:ind w:left="0" w:firstLine="0"/>
        <w:contextualSpacing/>
        <w:rPr>
          <w:sz w:val="20"/>
          <w:szCs w:val="20"/>
        </w:rPr>
      </w:pPr>
      <w:r>
        <w:rPr>
          <w:sz w:val="20"/>
          <w:szCs w:val="20"/>
        </w:rPr>
        <w:t>El señor J.L</w:t>
      </w:r>
      <w:r w:rsidRPr="00F55065">
        <w:rPr>
          <w:sz w:val="20"/>
          <w:szCs w:val="20"/>
        </w:rPr>
        <w:t>.</w:t>
      </w:r>
      <w:r w:rsidR="001D72E3">
        <w:rPr>
          <w:sz w:val="20"/>
          <w:szCs w:val="20"/>
        </w:rPr>
        <w:t>, después</w:t>
      </w:r>
      <w:r>
        <w:rPr>
          <w:sz w:val="20"/>
          <w:szCs w:val="20"/>
        </w:rPr>
        <w:t xml:space="preserve"> de un tiempo, se incorporó y se trasladó a una bomba de gasolina, en dónde había un</w:t>
      </w:r>
      <w:r w:rsidR="00D925AB">
        <w:rPr>
          <w:sz w:val="20"/>
          <w:szCs w:val="20"/>
        </w:rPr>
        <w:t>a</w:t>
      </w:r>
      <w:r>
        <w:rPr>
          <w:sz w:val="20"/>
          <w:szCs w:val="20"/>
        </w:rPr>
        <w:t xml:space="preserve">s </w:t>
      </w:r>
      <w:r w:rsidR="00D925AB">
        <w:rPr>
          <w:sz w:val="20"/>
          <w:szCs w:val="20"/>
        </w:rPr>
        <w:t xml:space="preserve">personas </w:t>
      </w:r>
      <w:r>
        <w:rPr>
          <w:sz w:val="20"/>
          <w:szCs w:val="20"/>
        </w:rPr>
        <w:t>que llamaron a una ambulancia. Luego lo transportaron a un hospital</w:t>
      </w:r>
      <w:r>
        <w:rPr>
          <w:rStyle w:val="Refdenotaalpie"/>
          <w:sz w:val="20"/>
          <w:szCs w:val="20"/>
        </w:rPr>
        <w:footnoteReference w:id="67"/>
      </w:r>
      <w:r>
        <w:rPr>
          <w:sz w:val="20"/>
          <w:szCs w:val="20"/>
        </w:rPr>
        <w:t xml:space="preserve">. </w:t>
      </w:r>
    </w:p>
    <w:p w14:paraId="5BBA635C" w14:textId="77777777" w:rsidR="00685A14" w:rsidRDefault="00685A14" w:rsidP="00685A14">
      <w:pPr>
        <w:pStyle w:val="Prrafodelista"/>
        <w:ind w:left="0"/>
        <w:rPr>
          <w:sz w:val="20"/>
          <w:szCs w:val="20"/>
        </w:rPr>
      </w:pPr>
    </w:p>
    <w:p w14:paraId="1882B10B" w14:textId="77777777" w:rsidR="00685A14" w:rsidRDefault="00685A14" w:rsidP="00685A14">
      <w:pPr>
        <w:pStyle w:val="Prrafodelista"/>
        <w:widowControl/>
        <w:numPr>
          <w:ilvl w:val="0"/>
          <w:numId w:val="29"/>
        </w:numPr>
        <w:autoSpaceDE/>
        <w:autoSpaceDN/>
        <w:ind w:left="0" w:firstLine="0"/>
        <w:contextualSpacing/>
        <w:rPr>
          <w:sz w:val="20"/>
          <w:szCs w:val="20"/>
        </w:rPr>
      </w:pPr>
      <w:r>
        <w:rPr>
          <w:sz w:val="20"/>
          <w:szCs w:val="20"/>
        </w:rPr>
        <w:t xml:space="preserve">Los señores Molina y Guerrero fallecieron a causa de las agresiones que sufrieron. El </w:t>
      </w:r>
      <w:r w:rsidRPr="000A27D3">
        <w:rPr>
          <w:sz w:val="20"/>
          <w:szCs w:val="20"/>
        </w:rPr>
        <w:t xml:space="preserve">cuerpo de </w:t>
      </w:r>
      <w:r>
        <w:rPr>
          <w:sz w:val="20"/>
          <w:szCs w:val="20"/>
        </w:rPr>
        <w:t xml:space="preserve">Ramón Molina fue encontrado en las inmediaciones de licorería, en “callejón Buenos Aires […] con prolongación Girardot”; el de </w:t>
      </w:r>
      <w:r w:rsidRPr="000A27D3">
        <w:rPr>
          <w:sz w:val="20"/>
          <w:szCs w:val="20"/>
        </w:rPr>
        <w:t>Jimmy Guerrero</w:t>
      </w:r>
      <w:r>
        <w:rPr>
          <w:sz w:val="20"/>
          <w:szCs w:val="20"/>
        </w:rPr>
        <w:t>, a cerca de 300 metros de allí,</w:t>
      </w:r>
      <w:r w:rsidRPr="000A27D3">
        <w:rPr>
          <w:sz w:val="20"/>
          <w:szCs w:val="20"/>
        </w:rPr>
        <w:t xml:space="preserve"> en </w:t>
      </w:r>
      <w:r>
        <w:rPr>
          <w:sz w:val="20"/>
          <w:szCs w:val="20"/>
        </w:rPr>
        <w:t xml:space="preserve">el estacionamiento de </w:t>
      </w:r>
      <w:r w:rsidRPr="000A27D3">
        <w:rPr>
          <w:sz w:val="20"/>
          <w:szCs w:val="20"/>
        </w:rPr>
        <w:t xml:space="preserve">la </w:t>
      </w:r>
      <w:r>
        <w:rPr>
          <w:sz w:val="20"/>
          <w:szCs w:val="20"/>
        </w:rPr>
        <w:t>estación de servicio Santa Irene, ubicada en la urbanización del mismo nombre</w:t>
      </w:r>
      <w:r>
        <w:rPr>
          <w:rStyle w:val="Refdenotaalpie"/>
          <w:sz w:val="20"/>
          <w:szCs w:val="20"/>
        </w:rPr>
        <w:footnoteReference w:id="68"/>
      </w:r>
      <w:r>
        <w:rPr>
          <w:sz w:val="20"/>
          <w:szCs w:val="20"/>
        </w:rPr>
        <w:t>.</w:t>
      </w:r>
      <w:r w:rsidRPr="000A27D3">
        <w:rPr>
          <w:sz w:val="20"/>
          <w:szCs w:val="20"/>
        </w:rPr>
        <w:t xml:space="preserve"> </w:t>
      </w:r>
    </w:p>
    <w:p w14:paraId="68CEA6B2" w14:textId="77777777" w:rsidR="00685A14" w:rsidRPr="00624BEC" w:rsidRDefault="00685A14" w:rsidP="00685A14">
      <w:pPr>
        <w:rPr>
          <w:sz w:val="20"/>
          <w:szCs w:val="20"/>
        </w:rPr>
      </w:pPr>
    </w:p>
    <w:p w14:paraId="5ADDE13D" w14:textId="77777777" w:rsidR="00685A14" w:rsidRDefault="00685A14" w:rsidP="000F2503">
      <w:pPr>
        <w:pStyle w:val="Prrafodelista"/>
        <w:ind w:left="567"/>
        <w:rPr>
          <w:sz w:val="20"/>
          <w:szCs w:val="20"/>
          <w:u w:val="single"/>
        </w:rPr>
      </w:pPr>
      <w:r w:rsidRPr="00624BEC">
        <w:rPr>
          <w:i/>
          <w:sz w:val="20"/>
          <w:szCs w:val="20"/>
        </w:rPr>
        <w:t>B.3</w:t>
      </w:r>
      <w:r>
        <w:rPr>
          <w:sz w:val="20"/>
          <w:szCs w:val="20"/>
        </w:rPr>
        <w:t xml:space="preserve"> </w:t>
      </w:r>
      <w:r>
        <w:rPr>
          <w:i/>
          <w:sz w:val="20"/>
          <w:szCs w:val="20"/>
          <w:u w:val="single"/>
        </w:rPr>
        <w:t>Investigaciones y actuaciones judiciales relativas a</w:t>
      </w:r>
      <w:r w:rsidRPr="00500D56">
        <w:rPr>
          <w:i/>
          <w:sz w:val="20"/>
          <w:szCs w:val="20"/>
          <w:u w:val="single"/>
        </w:rPr>
        <w:t xml:space="preserve"> la</w:t>
      </w:r>
      <w:r>
        <w:rPr>
          <w:i/>
          <w:sz w:val="20"/>
          <w:szCs w:val="20"/>
          <w:u w:val="single"/>
        </w:rPr>
        <w:t>s</w:t>
      </w:r>
      <w:r w:rsidRPr="00500D56">
        <w:rPr>
          <w:i/>
          <w:sz w:val="20"/>
          <w:szCs w:val="20"/>
          <w:u w:val="single"/>
        </w:rPr>
        <w:t xml:space="preserve"> muerte</w:t>
      </w:r>
      <w:r>
        <w:rPr>
          <w:i/>
          <w:sz w:val="20"/>
          <w:szCs w:val="20"/>
          <w:u w:val="single"/>
        </w:rPr>
        <w:t>s</w:t>
      </w:r>
      <w:r w:rsidRPr="00500D56">
        <w:rPr>
          <w:i/>
          <w:sz w:val="20"/>
          <w:szCs w:val="20"/>
          <w:u w:val="single"/>
        </w:rPr>
        <w:t xml:space="preserve"> de Jimmy Guerrero y Ramón Molina</w:t>
      </w:r>
    </w:p>
    <w:p w14:paraId="0D16D48E" w14:textId="77777777" w:rsidR="00685A14" w:rsidRPr="009E6317" w:rsidRDefault="00685A14" w:rsidP="00685A14">
      <w:pPr>
        <w:rPr>
          <w:sz w:val="20"/>
          <w:szCs w:val="20"/>
          <w:u w:val="single"/>
        </w:rPr>
      </w:pPr>
    </w:p>
    <w:p w14:paraId="3FE4F492" w14:textId="77777777" w:rsidR="00685A14" w:rsidRPr="002D43CC" w:rsidRDefault="00685A14" w:rsidP="00685A14">
      <w:pPr>
        <w:pStyle w:val="Prrafodelista"/>
        <w:widowControl/>
        <w:numPr>
          <w:ilvl w:val="0"/>
          <w:numId w:val="29"/>
        </w:numPr>
        <w:autoSpaceDE/>
        <w:autoSpaceDN/>
        <w:ind w:left="0" w:firstLine="0"/>
        <w:contextualSpacing/>
        <w:rPr>
          <w:sz w:val="20"/>
          <w:szCs w:val="20"/>
        </w:rPr>
      </w:pPr>
      <w:r>
        <w:rPr>
          <w:sz w:val="20"/>
          <w:szCs w:val="20"/>
        </w:rPr>
        <w:t xml:space="preserve">El 30 de marzo de 2003 </w:t>
      </w:r>
      <w:r w:rsidRPr="00D31981">
        <w:rPr>
          <w:sz w:val="20"/>
          <w:szCs w:val="20"/>
        </w:rPr>
        <w:t>l</w:t>
      </w:r>
      <w:r>
        <w:rPr>
          <w:sz w:val="20"/>
          <w:szCs w:val="20"/>
        </w:rPr>
        <w:t>a</w:t>
      </w:r>
      <w:r w:rsidRPr="00D31981">
        <w:rPr>
          <w:sz w:val="20"/>
          <w:szCs w:val="20"/>
        </w:rPr>
        <w:t xml:space="preserve"> Fiscal</w:t>
      </w:r>
      <w:r>
        <w:rPr>
          <w:sz w:val="20"/>
          <w:szCs w:val="20"/>
        </w:rPr>
        <w:t>ía Sexta del Estado Falcón (en adelante Fiscalía</w:t>
      </w:r>
      <w:r w:rsidRPr="00D31981">
        <w:rPr>
          <w:sz w:val="20"/>
          <w:szCs w:val="20"/>
        </w:rPr>
        <w:t xml:space="preserve"> </w:t>
      </w:r>
      <w:r>
        <w:rPr>
          <w:sz w:val="20"/>
          <w:szCs w:val="20"/>
        </w:rPr>
        <w:t>6)</w:t>
      </w:r>
      <w:r w:rsidRPr="00D31981">
        <w:rPr>
          <w:sz w:val="20"/>
          <w:szCs w:val="20"/>
        </w:rPr>
        <w:t xml:space="preserve"> orden</w:t>
      </w:r>
      <w:r>
        <w:rPr>
          <w:sz w:val="20"/>
          <w:szCs w:val="20"/>
        </w:rPr>
        <w:t>ó</w:t>
      </w:r>
      <w:r w:rsidRPr="00D31981">
        <w:rPr>
          <w:sz w:val="20"/>
          <w:szCs w:val="20"/>
        </w:rPr>
        <w:t xml:space="preserve"> </w:t>
      </w:r>
      <w:r>
        <w:rPr>
          <w:sz w:val="20"/>
          <w:szCs w:val="20"/>
        </w:rPr>
        <w:t>la</w:t>
      </w:r>
      <w:r w:rsidRPr="00D31981">
        <w:rPr>
          <w:sz w:val="20"/>
          <w:szCs w:val="20"/>
        </w:rPr>
        <w:t xml:space="preserve"> apertura de</w:t>
      </w:r>
      <w:r>
        <w:rPr>
          <w:sz w:val="20"/>
          <w:szCs w:val="20"/>
        </w:rPr>
        <w:t xml:space="preserve"> la investigación. Ese día se</w:t>
      </w:r>
      <w:r w:rsidRPr="00D31981">
        <w:rPr>
          <w:sz w:val="20"/>
          <w:szCs w:val="20"/>
        </w:rPr>
        <w:t xml:space="preserve"> practicaron </w:t>
      </w:r>
      <w:r>
        <w:rPr>
          <w:sz w:val="20"/>
          <w:szCs w:val="20"/>
        </w:rPr>
        <w:t xml:space="preserve">inspecciones en la vía pública, </w:t>
      </w:r>
      <w:r w:rsidRPr="00D31981">
        <w:rPr>
          <w:sz w:val="20"/>
          <w:szCs w:val="20"/>
        </w:rPr>
        <w:t>en la estación de servicio</w:t>
      </w:r>
      <w:r>
        <w:rPr>
          <w:sz w:val="20"/>
          <w:szCs w:val="20"/>
        </w:rPr>
        <w:t xml:space="preserve"> y a los</w:t>
      </w:r>
      <w:r w:rsidRPr="00F8251C">
        <w:rPr>
          <w:sz w:val="20"/>
          <w:szCs w:val="20"/>
        </w:rPr>
        <w:t xml:space="preserve"> cadáveres. </w:t>
      </w:r>
      <w:r>
        <w:rPr>
          <w:sz w:val="20"/>
          <w:szCs w:val="20"/>
        </w:rPr>
        <w:t>Además,</w:t>
      </w:r>
      <w:r w:rsidRPr="002D43CC">
        <w:rPr>
          <w:sz w:val="20"/>
          <w:szCs w:val="20"/>
        </w:rPr>
        <w:t xml:space="preserve"> </w:t>
      </w:r>
      <w:r>
        <w:rPr>
          <w:sz w:val="20"/>
          <w:szCs w:val="20"/>
        </w:rPr>
        <w:t>a partir de una</w:t>
      </w:r>
      <w:r w:rsidRPr="002D43CC">
        <w:rPr>
          <w:sz w:val="20"/>
          <w:szCs w:val="20"/>
        </w:rPr>
        <w:t xml:space="preserve"> “denuncia ciudadana”, se encontró</w:t>
      </w:r>
      <w:r>
        <w:rPr>
          <w:sz w:val="20"/>
          <w:szCs w:val="20"/>
        </w:rPr>
        <w:t xml:space="preserve"> debajo de un automóvil</w:t>
      </w:r>
      <w:r w:rsidRPr="002D43CC">
        <w:rPr>
          <w:sz w:val="20"/>
          <w:szCs w:val="20"/>
        </w:rPr>
        <w:t>, en las inmediaciones de la escena del crimen</w:t>
      </w:r>
      <w:r>
        <w:rPr>
          <w:sz w:val="20"/>
          <w:szCs w:val="20"/>
        </w:rPr>
        <w:t>, un arma de fuego.</w:t>
      </w:r>
    </w:p>
    <w:p w14:paraId="4D876C97" w14:textId="77777777" w:rsidR="00685A14" w:rsidRPr="00C63402" w:rsidRDefault="00685A14" w:rsidP="00685A14">
      <w:pPr>
        <w:rPr>
          <w:sz w:val="20"/>
          <w:szCs w:val="20"/>
        </w:rPr>
      </w:pPr>
    </w:p>
    <w:p w14:paraId="5F5DB7BE" w14:textId="77777777" w:rsidR="00685A14" w:rsidRPr="00060B3C" w:rsidRDefault="00685A14" w:rsidP="00685A14">
      <w:pPr>
        <w:pStyle w:val="Prrafodelista"/>
        <w:widowControl/>
        <w:numPr>
          <w:ilvl w:val="0"/>
          <w:numId w:val="29"/>
        </w:numPr>
        <w:autoSpaceDE/>
        <w:autoSpaceDN/>
        <w:spacing w:after="200"/>
        <w:ind w:left="0" w:firstLine="0"/>
        <w:contextualSpacing/>
        <w:rPr>
          <w:sz w:val="20"/>
          <w:szCs w:val="20"/>
        </w:rPr>
      </w:pPr>
      <w:r w:rsidRPr="00060B3C">
        <w:rPr>
          <w:sz w:val="20"/>
          <w:szCs w:val="20"/>
        </w:rPr>
        <w:t>El 2 de abril de 2003 el Tribunal Penal de Control de Punto Fijo dictó orden de allanamiento de una propiedad, con la finalidad</w:t>
      </w:r>
      <w:r>
        <w:rPr>
          <w:sz w:val="20"/>
          <w:szCs w:val="20"/>
        </w:rPr>
        <w:t xml:space="preserve"> de localizar armas de fuego y </w:t>
      </w:r>
      <w:r w:rsidRPr="00060B3C">
        <w:rPr>
          <w:sz w:val="20"/>
          <w:szCs w:val="20"/>
        </w:rPr>
        <w:t>un vehículo identificado por testigos. La misma se ejecutó al día siguiente</w:t>
      </w:r>
      <w:r>
        <w:rPr>
          <w:sz w:val="20"/>
          <w:szCs w:val="20"/>
        </w:rPr>
        <w:t>:</w:t>
      </w:r>
      <w:r w:rsidRPr="00060B3C">
        <w:rPr>
          <w:sz w:val="20"/>
          <w:szCs w:val="20"/>
        </w:rPr>
        <w:t xml:space="preserve"> no se encontraron armas, pero sí se ubicó e incautó el vehículo.</w:t>
      </w:r>
    </w:p>
    <w:p w14:paraId="295EDA87" w14:textId="77777777" w:rsidR="00685A14" w:rsidRPr="00ED212C" w:rsidRDefault="00685A14" w:rsidP="00685A14">
      <w:pPr>
        <w:pStyle w:val="Prrafodelista"/>
        <w:ind w:left="0"/>
        <w:rPr>
          <w:rFonts w:cs="Arial"/>
          <w:sz w:val="20"/>
          <w:szCs w:val="20"/>
        </w:rPr>
      </w:pPr>
    </w:p>
    <w:p w14:paraId="36F2331A" w14:textId="340C733F" w:rsidR="00685A14" w:rsidRPr="00542071" w:rsidRDefault="00685A14" w:rsidP="00685A14">
      <w:pPr>
        <w:pStyle w:val="Prrafodelista"/>
        <w:widowControl/>
        <w:numPr>
          <w:ilvl w:val="0"/>
          <w:numId w:val="29"/>
        </w:numPr>
        <w:autoSpaceDE/>
        <w:autoSpaceDN/>
        <w:spacing w:after="200"/>
        <w:ind w:left="0" w:firstLine="0"/>
        <w:contextualSpacing/>
        <w:rPr>
          <w:sz w:val="20"/>
          <w:szCs w:val="20"/>
        </w:rPr>
      </w:pPr>
      <w:r>
        <w:rPr>
          <w:rFonts w:cs="Arial"/>
          <w:sz w:val="20"/>
          <w:szCs w:val="20"/>
        </w:rPr>
        <w:t xml:space="preserve">Los días </w:t>
      </w:r>
      <w:r w:rsidRPr="00ED212C">
        <w:rPr>
          <w:rFonts w:cs="Arial"/>
          <w:sz w:val="20"/>
          <w:szCs w:val="20"/>
        </w:rPr>
        <w:t>1 y 2 de abril de 2003 Jean Carlos Guerrero</w:t>
      </w:r>
      <w:r w:rsidR="001D72E3">
        <w:rPr>
          <w:rFonts w:cs="Arial"/>
          <w:sz w:val="20"/>
          <w:szCs w:val="20"/>
        </w:rPr>
        <w:t xml:space="preserve"> Meléndez</w:t>
      </w:r>
      <w:r>
        <w:rPr>
          <w:rFonts w:cs="Arial"/>
          <w:sz w:val="20"/>
          <w:szCs w:val="20"/>
        </w:rPr>
        <w:t xml:space="preserve"> efectuó</w:t>
      </w:r>
      <w:r w:rsidRPr="00ED212C">
        <w:rPr>
          <w:rFonts w:cs="Arial"/>
          <w:sz w:val="20"/>
          <w:szCs w:val="20"/>
        </w:rPr>
        <w:t xml:space="preserve"> co</w:t>
      </w:r>
      <w:r>
        <w:rPr>
          <w:rFonts w:cs="Arial"/>
          <w:sz w:val="20"/>
          <w:szCs w:val="20"/>
        </w:rPr>
        <w:t>municacio</w:t>
      </w:r>
      <w:r w:rsidRPr="00ED212C">
        <w:rPr>
          <w:rFonts w:cs="Arial"/>
          <w:sz w:val="20"/>
          <w:szCs w:val="20"/>
        </w:rPr>
        <w:t>n</w:t>
      </w:r>
      <w:r>
        <w:rPr>
          <w:rFonts w:cs="Arial"/>
          <w:sz w:val="20"/>
          <w:szCs w:val="20"/>
        </w:rPr>
        <w:t>es</w:t>
      </w:r>
      <w:r w:rsidRPr="00ED212C">
        <w:rPr>
          <w:rFonts w:cs="Arial"/>
          <w:sz w:val="20"/>
          <w:szCs w:val="20"/>
        </w:rPr>
        <w:t xml:space="preserve"> a</w:t>
      </w:r>
      <w:r>
        <w:rPr>
          <w:rFonts w:cs="Arial"/>
          <w:sz w:val="20"/>
          <w:szCs w:val="20"/>
        </w:rPr>
        <w:t xml:space="preserve"> </w:t>
      </w:r>
      <w:r w:rsidRPr="00ED212C">
        <w:rPr>
          <w:rFonts w:cs="Arial"/>
          <w:sz w:val="20"/>
          <w:szCs w:val="20"/>
        </w:rPr>
        <w:t>l</w:t>
      </w:r>
      <w:r>
        <w:rPr>
          <w:rFonts w:cs="Arial"/>
          <w:sz w:val="20"/>
          <w:szCs w:val="20"/>
        </w:rPr>
        <w:t>a</w:t>
      </w:r>
      <w:r w:rsidRPr="00ED212C">
        <w:rPr>
          <w:rFonts w:cs="Arial"/>
          <w:sz w:val="20"/>
          <w:szCs w:val="20"/>
        </w:rPr>
        <w:t xml:space="preserve"> Fiscal</w:t>
      </w:r>
      <w:r>
        <w:rPr>
          <w:rFonts w:cs="Arial"/>
          <w:sz w:val="20"/>
          <w:szCs w:val="20"/>
        </w:rPr>
        <w:t>ía</w:t>
      </w:r>
      <w:r w:rsidRPr="00ED212C">
        <w:rPr>
          <w:rFonts w:cs="Arial"/>
          <w:sz w:val="20"/>
          <w:szCs w:val="20"/>
        </w:rPr>
        <w:t xml:space="preserve"> Superior, a</w:t>
      </w:r>
      <w:r>
        <w:rPr>
          <w:rFonts w:cs="Arial"/>
          <w:sz w:val="20"/>
          <w:szCs w:val="20"/>
        </w:rPr>
        <w:t xml:space="preserve"> </w:t>
      </w:r>
      <w:r w:rsidRPr="00ED212C">
        <w:rPr>
          <w:rFonts w:cs="Arial"/>
          <w:sz w:val="20"/>
          <w:szCs w:val="20"/>
        </w:rPr>
        <w:t>l</w:t>
      </w:r>
      <w:r>
        <w:rPr>
          <w:rFonts w:cs="Arial"/>
          <w:sz w:val="20"/>
          <w:szCs w:val="20"/>
        </w:rPr>
        <w:t>a</w:t>
      </w:r>
      <w:r w:rsidRPr="00ED212C">
        <w:rPr>
          <w:rFonts w:cs="Arial"/>
          <w:sz w:val="20"/>
          <w:szCs w:val="20"/>
        </w:rPr>
        <w:t xml:space="preserve"> Fiscal</w:t>
      </w:r>
      <w:r>
        <w:rPr>
          <w:rFonts w:cs="Arial"/>
          <w:sz w:val="20"/>
          <w:szCs w:val="20"/>
        </w:rPr>
        <w:t xml:space="preserve">ía 2 y </w:t>
      </w:r>
      <w:r w:rsidRPr="00ED212C">
        <w:rPr>
          <w:rFonts w:cs="Arial"/>
          <w:sz w:val="20"/>
          <w:szCs w:val="20"/>
        </w:rPr>
        <w:t>a</w:t>
      </w:r>
      <w:r>
        <w:rPr>
          <w:rFonts w:cs="Arial"/>
          <w:sz w:val="20"/>
          <w:szCs w:val="20"/>
        </w:rPr>
        <w:t xml:space="preserve"> </w:t>
      </w:r>
      <w:r w:rsidRPr="00ED212C">
        <w:rPr>
          <w:rFonts w:cs="Arial"/>
          <w:sz w:val="20"/>
          <w:szCs w:val="20"/>
        </w:rPr>
        <w:t>l</w:t>
      </w:r>
      <w:r>
        <w:rPr>
          <w:rFonts w:cs="Arial"/>
          <w:sz w:val="20"/>
          <w:szCs w:val="20"/>
        </w:rPr>
        <w:t>a</w:t>
      </w:r>
      <w:r w:rsidRPr="00ED212C">
        <w:rPr>
          <w:rFonts w:cs="Arial"/>
          <w:sz w:val="20"/>
          <w:szCs w:val="20"/>
        </w:rPr>
        <w:t xml:space="preserve"> Defensor</w:t>
      </w:r>
      <w:r>
        <w:rPr>
          <w:rFonts w:cs="Arial"/>
          <w:sz w:val="20"/>
          <w:szCs w:val="20"/>
        </w:rPr>
        <w:t>ía</w:t>
      </w:r>
      <w:r w:rsidRPr="00ED212C">
        <w:rPr>
          <w:rFonts w:cs="Arial"/>
          <w:sz w:val="20"/>
          <w:szCs w:val="20"/>
        </w:rPr>
        <w:t xml:space="preserve"> del Pueblo, </w:t>
      </w:r>
      <w:r>
        <w:rPr>
          <w:rFonts w:cs="Arial"/>
          <w:sz w:val="20"/>
          <w:szCs w:val="20"/>
        </w:rPr>
        <w:t xml:space="preserve">denunciando que Jimmy Guerrero y </w:t>
      </w:r>
      <w:r w:rsidRPr="00ED212C">
        <w:rPr>
          <w:rFonts w:cs="Arial"/>
          <w:sz w:val="20"/>
          <w:szCs w:val="20"/>
        </w:rPr>
        <w:t>Ramón Molina fueron ejecutados extrajudicialmente</w:t>
      </w:r>
      <w:r>
        <w:rPr>
          <w:rFonts w:cs="Arial"/>
          <w:sz w:val="20"/>
          <w:szCs w:val="20"/>
        </w:rPr>
        <w:t xml:space="preserve"> por integrantes de la Policía del Estado Falcón (en adelante “la Policía”)</w:t>
      </w:r>
      <w:r w:rsidRPr="00ED212C">
        <w:rPr>
          <w:rFonts w:cs="Arial"/>
          <w:sz w:val="20"/>
          <w:szCs w:val="20"/>
        </w:rPr>
        <w:t>.</w:t>
      </w:r>
      <w:r>
        <w:rPr>
          <w:rFonts w:cs="Arial"/>
          <w:sz w:val="20"/>
          <w:szCs w:val="20"/>
        </w:rPr>
        <w:t xml:space="preserve"> Afirmó que su hermano antes había recibido amenazas de muerte por parte de funcionarios policiales</w:t>
      </w:r>
      <w:r>
        <w:rPr>
          <w:rStyle w:val="Refdenotaalpie"/>
          <w:rFonts w:cs="ArialMT"/>
          <w:sz w:val="20"/>
          <w:szCs w:val="20"/>
        </w:rPr>
        <w:footnoteReference w:id="69"/>
      </w:r>
      <w:r w:rsidRPr="00ED212C">
        <w:rPr>
          <w:rFonts w:cs="ArialMT"/>
          <w:sz w:val="20"/>
          <w:szCs w:val="20"/>
        </w:rPr>
        <w:t>.</w:t>
      </w:r>
      <w:r>
        <w:rPr>
          <w:rFonts w:cs="ArialMT"/>
          <w:sz w:val="20"/>
          <w:szCs w:val="20"/>
        </w:rPr>
        <w:t xml:space="preserve"> Con posterioridad, s</w:t>
      </w:r>
      <w:r w:rsidRPr="00ED212C">
        <w:rPr>
          <w:rFonts w:cs="ArialMT"/>
          <w:sz w:val="20"/>
          <w:szCs w:val="20"/>
        </w:rPr>
        <w:t>olicitó “abrir una investigación</w:t>
      </w:r>
      <w:r>
        <w:rPr>
          <w:rFonts w:cs="ArialMT"/>
          <w:sz w:val="20"/>
          <w:szCs w:val="20"/>
        </w:rPr>
        <w:t xml:space="preserve">” </w:t>
      </w:r>
      <w:r w:rsidR="000F3630">
        <w:rPr>
          <w:rFonts w:cs="ArialMT"/>
          <w:sz w:val="20"/>
          <w:szCs w:val="20"/>
        </w:rPr>
        <w:t>contra</w:t>
      </w:r>
      <w:r>
        <w:rPr>
          <w:rFonts w:cs="ArialMT"/>
          <w:sz w:val="20"/>
          <w:szCs w:val="20"/>
        </w:rPr>
        <w:t xml:space="preserve"> un Comisario, </w:t>
      </w:r>
      <w:r w:rsidRPr="00ED10F4">
        <w:rPr>
          <w:rFonts w:cs="ArialMT"/>
          <w:sz w:val="20"/>
          <w:szCs w:val="20"/>
        </w:rPr>
        <w:t>F.R.</w:t>
      </w:r>
      <w:r w:rsidRPr="00ED10F4">
        <w:rPr>
          <w:rFonts w:cs="Arial"/>
          <w:sz w:val="20"/>
          <w:szCs w:val="20"/>
        </w:rPr>
        <w:t>, pues afirmó que fue una de las personas que, “en varias oportunidades”, había amenazado de muerte a Jimmy Guerrero</w:t>
      </w:r>
      <w:r>
        <w:rPr>
          <w:rFonts w:cs="Arial"/>
          <w:sz w:val="20"/>
          <w:szCs w:val="20"/>
        </w:rPr>
        <w:t>, y señaló también a O.R., un “</w:t>
      </w:r>
      <w:proofErr w:type="gramStart"/>
      <w:r>
        <w:rPr>
          <w:rFonts w:cs="Arial"/>
          <w:sz w:val="20"/>
          <w:szCs w:val="20"/>
        </w:rPr>
        <w:t>Comandante</w:t>
      </w:r>
      <w:proofErr w:type="gramEnd"/>
      <w:r>
        <w:rPr>
          <w:rFonts w:cs="Arial"/>
          <w:sz w:val="20"/>
          <w:szCs w:val="20"/>
        </w:rPr>
        <w:t>” de la Policía</w:t>
      </w:r>
      <w:r>
        <w:rPr>
          <w:rStyle w:val="Refdenotaalpie"/>
          <w:rFonts w:cs="ArialMT"/>
          <w:sz w:val="20"/>
          <w:szCs w:val="20"/>
        </w:rPr>
        <w:footnoteReference w:id="70"/>
      </w:r>
      <w:r>
        <w:rPr>
          <w:rFonts w:cs="Arial"/>
          <w:sz w:val="20"/>
          <w:szCs w:val="20"/>
        </w:rPr>
        <w:t>.</w:t>
      </w:r>
      <w:r w:rsidRPr="00ED212C">
        <w:rPr>
          <w:rFonts w:cs="Arial"/>
          <w:sz w:val="20"/>
          <w:szCs w:val="20"/>
        </w:rPr>
        <w:t xml:space="preserve"> </w:t>
      </w:r>
      <w:r>
        <w:rPr>
          <w:rFonts w:cs="Arial"/>
          <w:sz w:val="20"/>
          <w:szCs w:val="20"/>
        </w:rPr>
        <w:t>Más adelante</w:t>
      </w:r>
      <w:r w:rsidR="001F64B5">
        <w:rPr>
          <w:rFonts w:cs="Arial"/>
          <w:sz w:val="20"/>
          <w:szCs w:val="20"/>
        </w:rPr>
        <w:t>,</w:t>
      </w:r>
      <w:r w:rsidRPr="00DB5BE9">
        <w:rPr>
          <w:rFonts w:cs="Arial"/>
          <w:sz w:val="20"/>
          <w:szCs w:val="20"/>
        </w:rPr>
        <w:t xml:space="preserve"> Jean Carlos Guerrero señaló que</w:t>
      </w:r>
      <w:r>
        <w:rPr>
          <w:rFonts w:cs="Arial"/>
          <w:sz w:val="20"/>
          <w:szCs w:val="20"/>
        </w:rPr>
        <w:t xml:space="preserve"> </w:t>
      </w:r>
      <w:r w:rsidRPr="00DB5BE9">
        <w:rPr>
          <w:rFonts w:cs="Arial"/>
          <w:sz w:val="20"/>
          <w:szCs w:val="20"/>
        </w:rPr>
        <w:t xml:space="preserve">familiares suyos </w:t>
      </w:r>
      <w:r>
        <w:rPr>
          <w:rFonts w:cs="Arial"/>
          <w:sz w:val="20"/>
          <w:szCs w:val="20"/>
        </w:rPr>
        <w:t xml:space="preserve">y él </w:t>
      </w:r>
      <w:r w:rsidRPr="00DB5BE9">
        <w:rPr>
          <w:rFonts w:cs="Arial"/>
          <w:sz w:val="20"/>
          <w:szCs w:val="20"/>
        </w:rPr>
        <w:t>recibieron amenazas, y en distintas oportunidades solicitó información y documentación a las autoridades. Ello se refiere más adelante (</w:t>
      </w:r>
      <w:r w:rsidRPr="00DB5BE9">
        <w:rPr>
          <w:rFonts w:cs="Arial"/>
          <w:i/>
          <w:sz w:val="20"/>
          <w:szCs w:val="20"/>
        </w:rPr>
        <w:t xml:space="preserve">infra </w:t>
      </w:r>
      <w:proofErr w:type="spellStart"/>
      <w:r w:rsidRPr="00DB5BE9">
        <w:rPr>
          <w:rFonts w:cs="Arial"/>
          <w:sz w:val="20"/>
          <w:szCs w:val="20"/>
        </w:rPr>
        <w:t>párrs</w:t>
      </w:r>
      <w:proofErr w:type="spellEnd"/>
      <w:r w:rsidRPr="00DB5BE9">
        <w:rPr>
          <w:rFonts w:cs="Arial"/>
          <w:sz w:val="20"/>
          <w:szCs w:val="20"/>
        </w:rPr>
        <w:t>.</w:t>
      </w:r>
      <w:r>
        <w:rPr>
          <w:rFonts w:cs="Arial"/>
          <w:sz w:val="20"/>
          <w:szCs w:val="20"/>
        </w:rPr>
        <w:t xml:space="preserve"> 150 y 151</w:t>
      </w:r>
      <w:r w:rsidRPr="00DB5BE9">
        <w:rPr>
          <w:rFonts w:cs="Arial"/>
          <w:sz w:val="20"/>
          <w:szCs w:val="20"/>
        </w:rPr>
        <w:t>)</w:t>
      </w:r>
      <w:r>
        <w:rPr>
          <w:rFonts w:cs="Arial"/>
          <w:sz w:val="20"/>
          <w:szCs w:val="20"/>
        </w:rPr>
        <w:t>.</w:t>
      </w:r>
    </w:p>
    <w:p w14:paraId="049F3FEB" w14:textId="77777777" w:rsidR="00685A14" w:rsidRDefault="00685A14" w:rsidP="00685A14">
      <w:pPr>
        <w:pStyle w:val="Prrafodelista"/>
        <w:widowControl/>
        <w:autoSpaceDE/>
        <w:autoSpaceDN/>
        <w:spacing w:after="200"/>
        <w:ind w:left="0"/>
        <w:contextualSpacing/>
        <w:rPr>
          <w:sz w:val="20"/>
          <w:szCs w:val="20"/>
        </w:rPr>
      </w:pPr>
    </w:p>
    <w:p w14:paraId="6C63DB2F" w14:textId="77777777" w:rsidR="00685A14" w:rsidRPr="004A5A40" w:rsidRDefault="00685A14" w:rsidP="00685A14">
      <w:pPr>
        <w:pStyle w:val="Prrafodelista"/>
        <w:widowControl/>
        <w:numPr>
          <w:ilvl w:val="0"/>
          <w:numId w:val="29"/>
        </w:numPr>
        <w:autoSpaceDE/>
        <w:autoSpaceDN/>
        <w:spacing w:after="200"/>
        <w:ind w:left="0" w:firstLine="0"/>
        <w:contextualSpacing/>
        <w:rPr>
          <w:sz w:val="20"/>
          <w:szCs w:val="20"/>
        </w:rPr>
      </w:pPr>
      <w:r w:rsidRPr="004A5A40">
        <w:rPr>
          <w:sz w:val="20"/>
          <w:szCs w:val="20"/>
        </w:rPr>
        <w:t>Además de las circunstancias antes señaladas, entre la apertura de la investigación y julio de 2007</w:t>
      </w:r>
      <w:r>
        <w:rPr>
          <w:sz w:val="20"/>
          <w:szCs w:val="20"/>
        </w:rPr>
        <w:t>, así como también con posterioridad a ese mes, en el que se cambió la Fiscalía asignada a la causa (</w:t>
      </w:r>
      <w:r>
        <w:rPr>
          <w:i/>
          <w:sz w:val="20"/>
          <w:szCs w:val="20"/>
        </w:rPr>
        <w:t xml:space="preserve">infra </w:t>
      </w:r>
      <w:r>
        <w:rPr>
          <w:sz w:val="20"/>
          <w:szCs w:val="20"/>
        </w:rPr>
        <w:t>párr. 80),</w:t>
      </w:r>
      <w:r w:rsidRPr="004A5A40">
        <w:rPr>
          <w:sz w:val="20"/>
          <w:szCs w:val="20"/>
        </w:rPr>
        <w:t xml:space="preserve"> se dispusieron otras acciones de investigación, que no se efectuaron o se realizaron tardíamente. De ello se da cuenta más adelante (</w:t>
      </w:r>
      <w:r w:rsidRPr="004A5A40">
        <w:rPr>
          <w:i/>
          <w:sz w:val="20"/>
          <w:szCs w:val="20"/>
        </w:rPr>
        <w:t xml:space="preserve">infra </w:t>
      </w:r>
      <w:proofErr w:type="spellStart"/>
      <w:r w:rsidRPr="004A5A40">
        <w:rPr>
          <w:sz w:val="20"/>
          <w:szCs w:val="20"/>
        </w:rPr>
        <w:t>párrs</w:t>
      </w:r>
      <w:proofErr w:type="spellEnd"/>
      <w:r w:rsidRPr="004A5A40">
        <w:rPr>
          <w:sz w:val="20"/>
          <w:szCs w:val="20"/>
        </w:rPr>
        <w:t xml:space="preserve">. </w:t>
      </w:r>
      <w:r>
        <w:rPr>
          <w:sz w:val="20"/>
          <w:szCs w:val="20"/>
        </w:rPr>
        <w:t>147 a 149</w:t>
      </w:r>
      <w:r w:rsidRPr="004A5A40">
        <w:rPr>
          <w:sz w:val="20"/>
          <w:szCs w:val="20"/>
        </w:rPr>
        <w:t xml:space="preserve">). </w:t>
      </w:r>
    </w:p>
    <w:p w14:paraId="4DDC787C" w14:textId="77777777" w:rsidR="00685A14" w:rsidRPr="00542071" w:rsidRDefault="00685A14" w:rsidP="00685A14">
      <w:pPr>
        <w:pStyle w:val="Prrafodelista"/>
        <w:rPr>
          <w:sz w:val="20"/>
          <w:szCs w:val="20"/>
        </w:rPr>
      </w:pPr>
    </w:p>
    <w:p w14:paraId="1E0701CB" w14:textId="58C7A01D" w:rsidR="00685A14" w:rsidRPr="00542071" w:rsidRDefault="00685A14" w:rsidP="00685A14">
      <w:pPr>
        <w:pStyle w:val="Prrafodelista"/>
        <w:widowControl/>
        <w:numPr>
          <w:ilvl w:val="0"/>
          <w:numId w:val="29"/>
        </w:numPr>
        <w:autoSpaceDE/>
        <w:autoSpaceDN/>
        <w:spacing w:after="200"/>
        <w:ind w:left="0" w:firstLine="0"/>
        <w:contextualSpacing/>
        <w:rPr>
          <w:sz w:val="20"/>
          <w:szCs w:val="20"/>
        </w:rPr>
      </w:pPr>
      <w:r w:rsidRPr="00072BBE">
        <w:rPr>
          <w:sz w:val="20"/>
          <w:szCs w:val="20"/>
        </w:rPr>
        <w:t xml:space="preserve">El 18 de julio de 2007 el </w:t>
      </w:r>
      <w:proofErr w:type="gramStart"/>
      <w:r w:rsidRPr="00072BBE">
        <w:rPr>
          <w:sz w:val="20"/>
          <w:szCs w:val="20"/>
        </w:rPr>
        <w:t>Fiscal General</w:t>
      </w:r>
      <w:proofErr w:type="gramEnd"/>
      <w:r w:rsidRPr="00072BBE">
        <w:rPr>
          <w:sz w:val="20"/>
          <w:szCs w:val="20"/>
        </w:rPr>
        <w:t xml:space="preserve"> reasignó la causa penal a la Fiscalía Décima Séptima del Ministerio</w:t>
      </w:r>
      <w:r w:rsidRPr="00542071">
        <w:rPr>
          <w:sz w:val="20"/>
          <w:szCs w:val="20"/>
        </w:rPr>
        <w:t xml:space="preserve"> Público del Estado Falcón (en adelante </w:t>
      </w:r>
      <w:r w:rsidR="00341881">
        <w:rPr>
          <w:sz w:val="20"/>
          <w:szCs w:val="20"/>
        </w:rPr>
        <w:t>“</w:t>
      </w:r>
      <w:r w:rsidRPr="00542071">
        <w:rPr>
          <w:sz w:val="20"/>
          <w:szCs w:val="20"/>
        </w:rPr>
        <w:t>Fiscalía 17</w:t>
      </w:r>
      <w:r w:rsidR="00341881">
        <w:rPr>
          <w:sz w:val="20"/>
          <w:szCs w:val="20"/>
        </w:rPr>
        <w:t>”</w:t>
      </w:r>
      <w:r w:rsidRPr="00542071">
        <w:rPr>
          <w:sz w:val="20"/>
          <w:szCs w:val="20"/>
        </w:rPr>
        <w:t xml:space="preserve">). </w:t>
      </w:r>
      <w:r>
        <w:rPr>
          <w:sz w:val="20"/>
          <w:szCs w:val="16"/>
        </w:rPr>
        <w:t>É</w:t>
      </w:r>
      <w:r w:rsidRPr="00CD2F12">
        <w:rPr>
          <w:sz w:val="20"/>
          <w:szCs w:val="16"/>
        </w:rPr>
        <w:t>sta</w:t>
      </w:r>
      <w:r w:rsidRPr="00542071">
        <w:rPr>
          <w:b/>
          <w:sz w:val="16"/>
          <w:szCs w:val="16"/>
        </w:rPr>
        <w:t xml:space="preserve">, </w:t>
      </w:r>
      <w:r w:rsidRPr="00542071">
        <w:rPr>
          <w:rFonts w:cs="Arial"/>
          <w:sz w:val="20"/>
          <w:szCs w:val="20"/>
        </w:rPr>
        <w:t xml:space="preserve">el 4 de noviembre de 2008, solicitó al CICPC realizar diversas diligencias de investigación que, en su mayoría, habían sido </w:t>
      </w:r>
      <w:r>
        <w:rPr>
          <w:rFonts w:cs="Arial"/>
          <w:sz w:val="20"/>
          <w:szCs w:val="20"/>
        </w:rPr>
        <w:t>antes</w:t>
      </w:r>
      <w:r w:rsidRPr="00542071">
        <w:rPr>
          <w:rFonts w:cs="Arial"/>
          <w:sz w:val="20"/>
          <w:szCs w:val="20"/>
        </w:rPr>
        <w:t xml:space="preserve"> requeridas por la Fiscalía 6</w:t>
      </w:r>
      <w:r>
        <w:rPr>
          <w:rStyle w:val="Refdenotaalpie"/>
          <w:rFonts w:cs="Arial"/>
          <w:sz w:val="20"/>
          <w:szCs w:val="20"/>
        </w:rPr>
        <w:footnoteReference w:id="71"/>
      </w:r>
      <w:r w:rsidRPr="00542071">
        <w:rPr>
          <w:rFonts w:cs="Arial"/>
          <w:sz w:val="20"/>
          <w:szCs w:val="20"/>
        </w:rPr>
        <w:t>.</w:t>
      </w:r>
    </w:p>
    <w:p w14:paraId="0DDC8CEF" w14:textId="77777777" w:rsidR="00685A14" w:rsidRPr="00B0657D" w:rsidRDefault="00685A14" w:rsidP="00685A14">
      <w:pPr>
        <w:pStyle w:val="Prrafodelista"/>
        <w:ind w:left="0"/>
        <w:rPr>
          <w:sz w:val="20"/>
          <w:szCs w:val="20"/>
        </w:rPr>
      </w:pPr>
    </w:p>
    <w:p w14:paraId="61176B8A" w14:textId="77777777" w:rsidR="00685A14" w:rsidRPr="007D02A2" w:rsidRDefault="00685A14" w:rsidP="00685A14">
      <w:pPr>
        <w:pStyle w:val="Prrafodelista"/>
        <w:widowControl/>
        <w:numPr>
          <w:ilvl w:val="0"/>
          <w:numId w:val="29"/>
        </w:numPr>
        <w:autoSpaceDE/>
        <w:autoSpaceDN/>
        <w:spacing w:after="200"/>
        <w:ind w:left="0" w:firstLine="0"/>
        <w:contextualSpacing/>
      </w:pPr>
      <w:r>
        <w:rPr>
          <w:sz w:val="20"/>
          <w:szCs w:val="20"/>
        </w:rPr>
        <w:lastRenderedPageBreak/>
        <w:t>Los días 5 de abril y 11 de agosto de 2009 la Fiscalía 17 t</w:t>
      </w:r>
      <w:r w:rsidRPr="00B0657D">
        <w:rPr>
          <w:sz w:val="20"/>
          <w:szCs w:val="20"/>
        </w:rPr>
        <w:t>omó entrevista a</w:t>
      </w:r>
      <w:r>
        <w:rPr>
          <w:sz w:val="20"/>
          <w:szCs w:val="20"/>
        </w:rPr>
        <w:t xml:space="preserve">l dueño de la licorería en cuyas inmediaciones ocurrieron los hechos y a </w:t>
      </w:r>
      <w:proofErr w:type="gramStart"/>
      <w:r>
        <w:rPr>
          <w:sz w:val="20"/>
          <w:szCs w:val="20"/>
        </w:rPr>
        <w:t>J.L</w:t>
      </w:r>
      <w:proofErr w:type="gramEnd"/>
      <w:r>
        <w:rPr>
          <w:rStyle w:val="Refdenotaalpie"/>
          <w:sz w:val="20"/>
          <w:szCs w:val="20"/>
        </w:rPr>
        <w:footnoteReference w:id="72"/>
      </w:r>
      <w:r w:rsidRPr="007D02A2">
        <w:rPr>
          <w:sz w:val="20"/>
          <w:szCs w:val="20"/>
        </w:rPr>
        <w:t>.</w:t>
      </w:r>
    </w:p>
    <w:p w14:paraId="5A85683F" w14:textId="77777777" w:rsidR="00685A14" w:rsidRPr="00ED212C" w:rsidRDefault="00685A14" w:rsidP="00685A14">
      <w:pPr>
        <w:pStyle w:val="Prrafodelista"/>
        <w:ind w:left="0"/>
        <w:rPr>
          <w:rFonts w:cs="Arial"/>
          <w:sz w:val="20"/>
          <w:szCs w:val="20"/>
        </w:rPr>
      </w:pPr>
    </w:p>
    <w:p w14:paraId="4AFD0DEE" w14:textId="448AC77C" w:rsidR="00685A14" w:rsidRPr="00985A10" w:rsidRDefault="00685A14" w:rsidP="00685A14">
      <w:pPr>
        <w:pStyle w:val="Prrafodelista"/>
        <w:widowControl/>
        <w:numPr>
          <w:ilvl w:val="0"/>
          <w:numId w:val="29"/>
        </w:numPr>
        <w:autoSpaceDE/>
        <w:autoSpaceDN/>
        <w:ind w:left="0" w:firstLine="0"/>
        <w:contextualSpacing/>
        <w:rPr>
          <w:sz w:val="20"/>
          <w:szCs w:val="20"/>
        </w:rPr>
      </w:pPr>
      <w:r>
        <w:rPr>
          <w:rFonts w:cs="Arial"/>
          <w:sz w:val="20"/>
          <w:szCs w:val="20"/>
        </w:rPr>
        <w:t>El 27 de marzo de 2014 la Fiscalía 17</w:t>
      </w:r>
      <w:r w:rsidRPr="00ED212C">
        <w:rPr>
          <w:rFonts w:cs="Arial"/>
          <w:sz w:val="20"/>
          <w:szCs w:val="20"/>
        </w:rPr>
        <w:t xml:space="preserve"> solicit</w:t>
      </w:r>
      <w:r>
        <w:rPr>
          <w:rFonts w:cs="Arial"/>
          <w:sz w:val="20"/>
          <w:szCs w:val="20"/>
        </w:rPr>
        <w:t xml:space="preserve">ó </w:t>
      </w:r>
      <w:r w:rsidRPr="00ED212C">
        <w:rPr>
          <w:rFonts w:cs="Arial"/>
          <w:sz w:val="20"/>
          <w:szCs w:val="20"/>
        </w:rPr>
        <w:t>a</w:t>
      </w:r>
      <w:r>
        <w:rPr>
          <w:rFonts w:cs="Arial"/>
          <w:sz w:val="20"/>
          <w:szCs w:val="20"/>
        </w:rPr>
        <w:t xml:space="preserve"> </w:t>
      </w:r>
      <w:r w:rsidRPr="00ED212C">
        <w:rPr>
          <w:rFonts w:cs="Arial"/>
          <w:sz w:val="20"/>
          <w:szCs w:val="20"/>
        </w:rPr>
        <w:t>l</w:t>
      </w:r>
      <w:r>
        <w:rPr>
          <w:rFonts w:cs="Arial"/>
          <w:sz w:val="20"/>
          <w:szCs w:val="20"/>
        </w:rPr>
        <w:t>a Policía</w:t>
      </w:r>
      <w:r w:rsidRPr="00ED212C">
        <w:rPr>
          <w:rFonts w:cs="Arial"/>
          <w:sz w:val="20"/>
          <w:szCs w:val="20"/>
        </w:rPr>
        <w:t xml:space="preserve"> los nombres</w:t>
      </w:r>
      <w:r>
        <w:rPr>
          <w:rFonts w:cs="Arial"/>
          <w:sz w:val="20"/>
          <w:szCs w:val="20"/>
        </w:rPr>
        <w:t>,</w:t>
      </w:r>
      <w:r w:rsidRPr="00ED212C">
        <w:rPr>
          <w:rFonts w:cs="Arial"/>
          <w:sz w:val="20"/>
          <w:szCs w:val="20"/>
        </w:rPr>
        <w:t xml:space="preserve"> jerarquías y ubicaci</w:t>
      </w:r>
      <w:r>
        <w:rPr>
          <w:rFonts w:cs="Arial"/>
          <w:sz w:val="20"/>
          <w:szCs w:val="20"/>
        </w:rPr>
        <w:t>o</w:t>
      </w:r>
      <w:r w:rsidRPr="00ED212C">
        <w:rPr>
          <w:rFonts w:cs="Arial"/>
          <w:sz w:val="20"/>
          <w:szCs w:val="20"/>
        </w:rPr>
        <w:t>n</w:t>
      </w:r>
      <w:r>
        <w:rPr>
          <w:rFonts w:cs="Arial"/>
          <w:sz w:val="20"/>
          <w:szCs w:val="20"/>
        </w:rPr>
        <w:t>es</w:t>
      </w:r>
      <w:r w:rsidRPr="00ED212C">
        <w:rPr>
          <w:rFonts w:cs="Arial"/>
          <w:sz w:val="20"/>
          <w:szCs w:val="20"/>
        </w:rPr>
        <w:t xml:space="preserve"> administrativas de los funcionarios que se encontraban de guardia el 30 de marzo de 2003 y también copia del libro de Registro del Parque de Armas</w:t>
      </w:r>
      <w:r>
        <w:rPr>
          <w:rStyle w:val="Refdenotaalpie"/>
          <w:rFonts w:cs="Arial"/>
          <w:sz w:val="20"/>
          <w:szCs w:val="20"/>
        </w:rPr>
        <w:footnoteReference w:id="73"/>
      </w:r>
      <w:r w:rsidRPr="00ED212C">
        <w:rPr>
          <w:rFonts w:cs="Arial"/>
          <w:sz w:val="20"/>
          <w:szCs w:val="20"/>
        </w:rPr>
        <w:t>. Mediante acta policial de</w:t>
      </w:r>
      <w:r>
        <w:rPr>
          <w:rFonts w:cs="Arial"/>
          <w:sz w:val="20"/>
          <w:szCs w:val="20"/>
        </w:rPr>
        <w:t>l mismo 27 de marzo</w:t>
      </w:r>
      <w:r w:rsidR="00F20371">
        <w:rPr>
          <w:rFonts w:cs="Arial"/>
          <w:sz w:val="20"/>
          <w:szCs w:val="20"/>
        </w:rPr>
        <w:t>,</w:t>
      </w:r>
      <w:r w:rsidRPr="00ED212C">
        <w:rPr>
          <w:rFonts w:cs="Arial"/>
          <w:sz w:val="20"/>
          <w:szCs w:val="20"/>
        </w:rPr>
        <w:t xml:space="preserve"> </w:t>
      </w:r>
      <w:r>
        <w:rPr>
          <w:rFonts w:cs="Arial"/>
          <w:sz w:val="20"/>
          <w:szCs w:val="20"/>
        </w:rPr>
        <w:t>la Policía</w:t>
      </w:r>
      <w:r w:rsidRPr="00ED212C">
        <w:rPr>
          <w:rFonts w:cs="ArialMT"/>
          <w:sz w:val="20"/>
          <w:szCs w:val="20"/>
        </w:rPr>
        <w:t xml:space="preserve"> indicó que</w:t>
      </w:r>
      <w:r>
        <w:rPr>
          <w:rFonts w:cs="ArialMT"/>
          <w:sz w:val="20"/>
          <w:szCs w:val="20"/>
        </w:rPr>
        <w:t>,</w:t>
      </w:r>
      <w:r w:rsidRPr="00ED212C">
        <w:rPr>
          <w:rFonts w:cs="ArialMT"/>
          <w:sz w:val="20"/>
          <w:szCs w:val="20"/>
        </w:rPr>
        <w:t xml:space="preserve"> “como </w:t>
      </w:r>
      <w:r w:rsidRPr="00ED212C">
        <w:rPr>
          <w:rFonts w:cs="Arial"/>
          <w:sz w:val="20"/>
          <w:szCs w:val="20"/>
        </w:rPr>
        <w:t>consecuencias de las precipitaciones atmosféricas del año 2010, gran parte del</w:t>
      </w:r>
      <w:r w:rsidRPr="00ED212C">
        <w:rPr>
          <w:sz w:val="20"/>
          <w:szCs w:val="20"/>
        </w:rPr>
        <w:t xml:space="preserve"> </w:t>
      </w:r>
      <w:r w:rsidRPr="00ED212C">
        <w:rPr>
          <w:rFonts w:cs="ArialMT"/>
          <w:sz w:val="20"/>
          <w:szCs w:val="20"/>
        </w:rPr>
        <w:t>material [requerido …] se vio afectado en su totalidad”</w:t>
      </w:r>
      <w:r>
        <w:rPr>
          <w:rStyle w:val="Refdenotaalpie"/>
          <w:rFonts w:cs="ArialMT"/>
          <w:sz w:val="20"/>
          <w:szCs w:val="20"/>
        </w:rPr>
        <w:footnoteReference w:id="74"/>
      </w:r>
      <w:r w:rsidRPr="00ED212C">
        <w:rPr>
          <w:rFonts w:cs="Arial"/>
          <w:sz w:val="20"/>
          <w:szCs w:val="20"/>
        </w:rPr>
        <w:t xml:space="preserve">. </w:t>
      </w:r>
    </w:p>
    <w:p w14:paraId="690C4384" w14:textId="77777777" w:rsidR="00685A14" w:rsidRPr="00985A10" w:rsidRDefault="00685A14" w:rsidP="00685A14">
      <w:pPr>
        <w:pStyle w:val="Prrafodelista"/>
        <w:ind w:left="0"/>
        <w:rPr>
          <w:sz w:val="20"/>
          <w:szCs w:val="20"/>
        </w:rPr>
      </w:pPr>
    </w:p>
    <w:p w14:paraId="168719EA" w14:textId="14712136" w:rsidR="00685A14" w:rsidRPr="007B1E40" w:rsidRDefault="00685A14" w:rsidP="00685A14">
      <w:pPr>
        <w:pStyle w:val="Prrafodelista"/>
        <w:widowControl/>
        <w:numPr>
          <w:ilvl w:val="0"/>
          <w:numId w:val="29"/>
        </w:numPr>
        <w:autoSpaceDE/>
        <w:autoSpaceDN/>
        <w:ind w:left="0" w:firstLine="0"/>
        <w:contextualSpacing/>
        <w:rPr>
          <w:sz w:val="20"/>
          <w:szCs w:val="20"/>
        </w:rPr>
      </w:pPr>
      <w:r w:rsidRPr="00ED212C">
        <w:rPr>
          <w:sz w:val="20"/>
          <w:szCs w:val="20"/>
        </w:rPr>
        <w:t>En los primeros meses de</w:t>
      </w:r>
      <w:r>
        <w:rPr>
          <w:sz w:val="20"/>
          <w:szCs w:val="20"/>
        </w:rPr>
        <w:t xml:space="preserve"> </w:t>
      </w:r>
      <w:r w:rsidRPr="00ED212C">
        <w:rPr>
          <w:sz w:val="20"/>
          <w:szCs w:val="20"/>
        </w:rPr>
        <w:t>2016</w:t>
      </w:r>
      <w:r w:rsidR="00F20371">
        <w:rPr>
          <w:sz w:val="20"/>
          <w:szCs w:val="20"/>
        </w:rPr>
        <w:t>,</w:t>
      </w:r>
      <w:r w:rsidRPr="00ED212C">
        <w:rPr>
          <w:sz w:val="20"/>
          <w:szCs w:val="20"/>
        </w:rPr>
        <w:t xml:space="preserve"> la Fiscalía </w:t>
      </w:r>
      <w:r>
        <w:rPr>
          <w:sz w:val="20"/>
          <w:szCs w:val="20"/>
        </w:rPr>
        <w:t>17</w:t>
      </w:r>
      <w:r w:rsidRPr="00ED212C">
        <w:rPr>
          <w:sz w:val="20"/>
          <w:szCs w:val="20"/>
        </w:rPr>
        <w:t xml:space="preserve"> envió varias comunicaciones a </w:t>
      </w:r>
      <w:r>
        <w:rPr>
          <w:sz w:val="20"/>
          <w:szCs w:val="20"/>
        </w:rPr>
        <w:t xml:space="preserve">distintas entidades. Así, requirió a la </w:t>
      </w:r>
      <w:r w:rsidRPr="00ED212C">
        <w:rPr>
          <w:sz w:val="20"/>
          <w:szCs w:val="20"/>
        </w:rPr>
        <w:t xml:space="preserve">Unidad </w:t>
      </w:r>
      <w:r>
        <w:rPr>
          <w:sz w:val="20"/>
          <w:szCs w:val="20"/>
        </w:rPr>
        <w:t xml:space="preserve">de </w:t>
      </w:r>
      <w:r w:rsidRPr="00ED212C">
        <w:rPr>
          <w:sz w:val="20"/>
          <w:szCs w:val="20"/>
        </w:rPr>
        <w:t xml:space="preserve">Criminalística </w:t>
      </w:r>
      <w:r>
        <w:rPr>
          <w:sz w:val="20"/>
          <w:szCs w:val="20"/>
        </w:rPr>
        <w:t>contra la Vulneración de Derechos Fundamentales del Ministerio Público del Estado Lara la</w:t>
      </w:r>
      <w:r w:rsidRPr="00ED212C">
        <w:rPr>
          <w:sz w:val="20"/>
          <w:szCs w:val="20"/>
        </w:rPr>
        <w:t xml:space="preserve"> conformación de una comisión para realizar varias diligencias</w:t>
      </w:r>
      <w:r>
        <w:rPr>
          <w:rStyle w:val="Refdenotaalpie"/>
          <w:sz w:val="20"/>
          <w:szCs w:val="20"/>
        </w:rPr>
        <w:footnoteReference w:id="75"/>
      </w:r>
      <w:r w:rsidRPr="00ED212C">
        <w:rPr>
          <w:sz w:val="20"/>
          <w:szCs w:val="20"/>
        </w:rPr>
        <w:t xml:space="preserve">; </w:t>
      </w:r>
      <w:r>
        <w:rPr>
          <w:sz w:val="20"/>
          <w:szCs w:val="20"/>
        </w:rPr>
        <w:t xml:space="preserve">solicitó </w:t>
      </w:r>
      <w:r w:rsidRPr="00ED212C">
        <w:rPr>
          <w:sz w:val="20"/>
          <w:szCs w:val="20"/>
        </w:rPr>
        <w:t>a</w:t>
      </w:r>
      <w:r>
        <w:rPr>
          <w:sz w:val="20"/>
          <w:szCs w:val="20"/>
        </w:rPr>
        <w:t xml:space="preserve"> </w:t>
      </w:r>
      <w:r w:rsidRPr="00ED212C">
        <w:rPr>
          <w:sz w:val="20"/>
          <w:szCs w:val="20"/>
        </w:rPr>
        <w:t>l</w:t>
      </w:r>
      <w:r>
        <w:rPr>
          <w:sz w:val="20"/>
          <w:szCs w:val="20"/>
        </w:rPr>
        <w:t>a Policía, en relación con la causa penal,</w:t>
      </w:r>
      <w:r w:rsidRPr="00ED212C">
        <w:rPr>
          <w:sz w:val="20"/>
          <w:szCs w:val="20"/>
        </w:rPr>
        <w:t xml:space="preserve"> el registro de armas </w:t>
      </w:r>
      <w:r>
        <w:rPr>
          <w:sz w:val="20"/>
          <w:szCs w:val="20"/>
        </w:rPr>
        <w:t>“</w:t>
      </w:r>
      <w:r w:rsidRPr="00ED212C">
        <w:rPr>
          <w:sz w:val="20"/>
          <w:szCs w:val="20"/>
        </w:rPr>
        <w:t xml:space="preserve">9 mm y 40 </w:t>
      </w:r>
      <w:r>
        <w:rPr>
          <w:sz w:val="20"/>
          <w:szCs w:val="20"/>
        </w:rPr>
        <w:t xml:space="preserve">auto” </w:t>
      </w:r>
      <w:r w:rsidRPr="00ED212C">
        <w:rPr>
          <w:sz w:val="20"/>
          <w:szCs w:val="20"/>
        </w:rPr>
        <w:t>con las que contaba ese cuerpo policial y a qui</w:t>
      </w:r>
      <w:r>
        <w:rPr>
          <w:sz w:val="20"/>
          <w:szCs w:val="20"/>
        </w:rPr>
        <w:t>é</w:t>
      </w:r>
      <w:r w:rsidRPr="00ED212C">
        <w:rPr>
          <w:sz w:val="20"/>
          <w:szCs w:val="20"/>
        </w:rPr>
        <w:t>nes estaban asignadas</w:t>
      </w:r>
      <w:r>
        <w:rPr>
          <w:sz w:val="20"/>
          <w:szCs w:val="20"/>
        </w:rPr>
        <w:t>, y</w:t>
      </w:r>
      <w:r w:rsidRPr="00ED212C">
        <w:rPr>
          <w:sz w:val="20"/>
          <w:szCs w:val="20"/>
        </w:rPr>
        <w:t xml:space="preserve"> se comunicó con el Jefe de la Brigada de Homicidio</w:t>
      </w:r>
      <w:r w:rsidR="001D72E3">
        <w:rPr>
          <w:sz w:val="20"/>
          <w:szCs w:val="20"/>
        </w:rPr>
        <w:t>s</w:t>
      </w:r>
      <w:r w:rsidRPr="00ED212C">
        <w:rPr>
          <w:sz w:val="20"/>
          <w:szCs w:val="20"/>
        </w:rPr>
        <w:t xml:space="preserve"> del CIC</w:t>
      </w:r>
      <w:r>
        <w:rPr>
          <w:sz w:val="20"/>
          <w:szCs w:val="20"/>
        </w:rPr>
        <w:t>PC del Estado Falcón a fin de que remita</w:t>
      </w:r>
      <w:r w:rsidRPr="00ED212C">
        <w:rPr>
          <w:sz w:val="20"/>
          <w:szCs w:val="20"/>
        </w:rPr>
        <w:t xml:space="preserve"> todas las actuaciones originales</w:t>
      </w:r>
      <w:r>
        <w:rPr>
          <w:sz w:val="20"/>
          <w:szCs w:val="20"/>
        </w:rPr>
        <w:t xml:space="preserve"> del expediente “del año 2003” relativo al caso</w:t>
      </w:r>
      <w:r>
        <w:rPr>
          <w:rStyle w:val="Refdenotaalpie"/>
          <w:sz w:val="20"/>
          <w:szCs w:val="20"/>
        </w:rPr>
        <w:footnoteReference w:id="76"/>
      </w:r>
      <w:r w:rsidRPr="00ED212C">
        <w:rPr>
          <w:sz w:val="20"/>
          <w:szCs w:val="20"/>
        </w:rPr>
        <w:t>.</w:t>
      </w:r>
    </w:p>
    <w:p w14:paraId="57F9DC41" w14:textId="77777777" w:rsidR="00685A14" w:rsidRPr="00ED212C" w:rsidRDefault="00685A14" w:rsidP="00685A14">
      <w:pPr>
        <w:pStyle w:val="Prrafodelista"/>
        <w:ind w:left="0"/>
        <w:rPr>
          <w:sz w:val="20"/>
          <w:szCs w:val="20"/>
        </w:rPr>
      </w:pPr>
    </w:p>
    <w:p w14:paraId="278396EF" w14:textId="77777777" w:rsidR="00685A14" w:rsidRPr="00DB2FB4" w:rsidRDefault="00685A14" w:rsidP="00685A14">
      <w:pPr>
        <w:pStyle w:val="Prrafodelista"/>
        <w:widowControl/>
        <w:numPr>
          <w:ilvl w:val="0"/>
          <w:numId w:val="29"/>
        </w:numPr>
        <w:autoSpaceDE/>
        <w:autoSpaceDN/>
        <w:spacing w:after="200"/>
        <w:ind w:left="0" w:firstLine="0"/>
        <w:contextualSpacing/>
        <w:rPr>
          <w:sz w:val="20"/>
          <w:szCs w:val="20"/>
        </w:rPr>
      </w:pPr>
      <w:r w:rsidRPr="00ED212C">
        <w:rPr>
          <w:sz w:val="20"/>
          <w:szCs w:val="20"/>
        </w:rPr>
        <w:t xml:space="preserve">El 1 de abril de 2016 la Fiscalía </w:t>
      </w:r>
      <w:r>
        <w:rPr>
          <w:sz w:val="20"/>
          <w:szCs w:val="20"/>
        </w:rPr>
        <w:t>17</w:t>
      </w:r>
      <w:r w:rsidRPr="00ED212C">
        <w:rPr>
          <w:sz w:val="20"/>
          <w:szCs w:val="20"/>
        </w:rPr>
        <w:t xml:space="preserve"> </w:t>
      </w:r>
      <w:r>
        <w:rPr>
          <w:sz w:val="20"/>
          <w:szCs w:val="20"/>
        </w:rPr>
        <w:t xml:space="preserve">solicitó la emisión de una </w:t>
      </w:r>
      <w:r w:rsidRPr="00ED212C">
        <w:rPr>
          <w:sz w:val="20"/>
          <w:szCs w:val="20"/>
        </w:rPr>
        <w:t>orden de aprehensión contra el policía</w:t>
      </w:r>
      <w:r>
        <w:rPr>
          <w:sz w:val="20"/>
          <w:szCs w:val="20"/>
        </w:rPr>
        <w:t xml:space="preserve"> F.R. El mismo día el </w:t>
      </w:r>
      <w:r w:rsidRPr="00ED212C">
        <w:rPr>
          <w:sz w:val="20"/>
          <w:szCs w:val="20"/>
        </w:rPr>
        <w:t xml:space="preserve">Tribunal Penal de Primera Instancia en funciones de Control profirió </w:t>
      </w:r>
      <w:r>
        <w:rPr>
          <w:sz w:val="20"/>
          <w:szCs w:val="20"/>
        </w:rPr>
        <w:t>esa orden</w:t>
      </w:r>
      <w:r>
        <w:rPr>
          <w:rStyle w:val="Refdenotaalpie"/>
          <w:sz w:val="20"/>
          <w:szCs w:val="20"/>
        </w:rPr>
        <w:footnoteReference w:id="77"/>
      </w:r>
      <w:r>
        <w:rPr>
          <w:sz w:val="20"/>
          <w:szCs w:val="20"/>
        </w:rPr>
        <w:t xml:space="preserve">. El día 5 del mismo mes personal policial acudió al domicilio de F.R. </w:t>
      </w:r>
      <w:r w:rsidRPr="00ED212C">
        <w:rPr>
          <w:sz w:val="20"/>
          <w:szCs w:val="20"/>
        </w:rPr>
        <w:t>para ejecutar la orden de aprehensión</w:t>
      </w:r>
      <w:r>
        <w:rPr>
          <w:sz w:val="20"/>
          <w:szCs w:val="20"/>
        </w:rPr>
        <w:t>,</w:t>
      </w:r>
      <w:r w:rsidRPr="00ED212C">
        <w:rPr>
          <w:sz w:val="20"/>
          <w:szCs w:val="20"/>
        </w:rPr>
        <w:t xml:space="preserve"> </w:t>
      </w:r>
      <w:r>
        <w:rPr>
          <w:sz w:val="20"/>
          <w:szCs w:val="20"/>
        </w:rPr>
        <w:t>pero fue</w:t>
      </w:r>
      <w:r w:rsidRPr="00ED212C">
        <w:rPr>
          <w:sz w:val="20"/>
          <w:szCs w:val="20"/>
        </w:rPr>
        <w:t xml:space="preserve"> inform</w:t>
      </w:r>
      <w:r>
        <w:rPr>
          <w:sz w:val="20"/>
          <w:szCs w:val="20"/>
        </w:rPr>
        <w:t xml:space="preserve">ado de </w:t>
      </w:r>
      <w:r w:rsidRPr="00ED212C">
        <w:rPr>
          <w:sz w:val="20"/>
          <w:szCs w:val="20"/>
        </w:rPr>
        <w:t xml:space="preserve">que </w:t>
      </w:r>
      <w:r>
        <w:rPr>
          <w:sz w:val="20"/>
          <w:szCs w:val="20"/>
        </w:rPr>
        <w:t>él</w:t>
      </w:r>
      <w:r w:rsidRPr="00ED212C">
        <w:rPr>
          <w:sz w:val="20"/>
          <w:szCs w:val="20"/>
        </w:rPr>
        <w:t xml:space="preserve"> se encontraba de viaje.</w:t>
      </w:r>
    </w:p>
    <w:p w14:paraId="7E42292F" w14:textId="77777777" w:rsidR="00685A14" w:rsidRPr="00DB2FB4" w:rsidRDefault="00685A14" w:rsidP="00685A14">
      <w:pPr>
        <w:pStyle w:val="Prrafodelista"/>
        <w:ind w:left="0"/>
        <w:rPr>
          <w:rFonts w:cs="Arial"/>
          <w:sz w:val="20"/>
          <w:szCs w:val="20"/>
        </w:rPr>
      </w:pPr>
    </w:p>
    <w:p w14:paraId="4B32F286" w14:textId="4B11014A" w:rsidR="00685A14" w:rsidRPr="00DB2FB4" w:rsidRDefault="00685A14" w:rsidP="00685A14">
      <w:pPr>
        <w:pStyle w:val="Prrafodelista"/>
        <w:widowControl/>
        <w:numPr>
          <w:ilvl w:val="0"/>
          <w:numId w:val="29"/>
        </w:numPr>
        <w:autoSpaceDE/>
        <w:autoSpaceDN/>
        <w:spacing w:after="200"/>
        <w:ind w:left="0" w:firstLine="0"/>
        <w:contextualSpacing/>
        <w:rPr>
          <w:rFonts w:cs="Arial"/>
          <w:sz w:val="20"/>
          <w:szCs w:val="20"/>
        </w:rPr>
      </w:pPr>
      <w:r w:rsidRPr="00DB2FB4">
        <w:rPr>
          <w:rFonts w:cs="Arial"/>
          <w:sz w:val="20"/>
          <w:szCs w:val="20"/>
        </w:rPr>
        <w:t xml:space="preserve">El 14 de agosto de 2017 </w:t>
      </w:r>
      <w:r>
        <w:rPr>
          <w:rFonts w:cs="Arial"/>
          <w:sz w:val="20"/>
          <w:szCs w:val="20"/>
        </w:rPr>
        <w:t xml:space="preserve">F.R. </w:t>
      </w:r>
      <w:r w:rsidRPr="00DB2FB4">
        <w:rPr>
          <w:rFonts w:cs="Arial"/>
          <w:sz w:val="20"/>
          <w:szCs w:val="20"/>
        </w:rPr>
        <w:t>se presentó ante el</w:t>
      </w:r>
      <w:r w:rsidR="001D72E3">
        <w:rPr>
          <w:rFonts w:cs="Arial"/>
          <w:sz w:val="20"/>
          <w:szCs w:val="20"/>
        </w:rPr>
        <w:t xml:space="preserve"> Centro </w:t>
      </w:r>
      <w:r w:rsidR="003119FA">
        <w:rPr>
          <w:rFonts w:cs="Arial"/>
          <w:sz w:val="20"/>
          <w:szCs w:val="20"/>
        </w:rPr>
        <w:t xml:space="preserve">de </w:t>
      </w:r>
      <w:r w:rsidR="001D72E3">
        <w:rPr>
          <w:rFonts w:cs="Arial"/>
          <w:sz w:val="20"/>
          <w:szCs w:val="20"/>
        </w:rPr>
        <w:t xml:space="preserve">Coordinación Policial No. </w:t>
      </w:r>
      <w:r w:rsidRPr="00DB2FB4">
        <w:rPr>
          <w:rFonts w:cs="Arial"/>
          <w:sz w:val="20"/>
          <w:szCs w:val="20"/>
        </w:rPr>
        <w:t>02 de</w:t>
      </w:r>
      <w:r>
        <w:rPr>
          <w:rFonts w:cs="Arial"/>
          <w:sz w:val="20"/>
          <w:szCs w:val="20"/>
        </w:rPr>
        <w:t xml:space="preserve"> </w:t>
      </w:r>
      <w:r w:rsidRPr="00DB2FB4">
        <w:rPr>
          <w:rFonts w:cs="Arial"/>
          <w:sz w:val="20"/>
          <w:szCs w:val="20"/>
        </w:rPr>
        <w:t>Punto Fijo y</w:t>
      </w:r>
      <w:r>
        <w:rPr>
          <w:rFonts w:cs="Arial"/>
          <w:sz w:val="20"/>
          <w:szCs w:val="20"/>
        </w:rPr>
        <w:t>, por determinación judicial,</w:t>
      </w:r>
      <w:r w:rsidRPr="00DB2FB4">
        <w:rPr>
          <w:rFonts w:cs="Arial"/>
          <w:sz w:val="20"/>
          <w:szCs w:val="20"/>
        </w:rPr>
        <w:t xml:space="preserve"> se fijó audiencia para el día siguiente</w:t>
      </w:r>
      <w:r>
        <w:rPr>
          <w:rStyle w:val="Refdenotaalpie"/>
          <w:rFonts w:cs="Arial"/>
          <w:sz w:val="20"/>
          <w:szCs w:val="20"/>
        </w:rPr>
        <w:footnoteReference w:id="78"/>
      </w:r>
      <w:r w:rsidRPr="00DB2FB4">
        <w:rPr>
          <w:rFonts w:cs="Arial"/>
          <w:sz w:val="20"/>
          <w:szCs w:val="20"/>
        </w:rPr>
        <w:t>.</w:t>
      </w:r>
      <w:r>
        <w:rPr>
          <w:rFonts w:cs="Arial"/>
          <w:sz w:val="20"/>
          <w:szCs w:val="20"/>
        </w:rPr>
        <w:t xml:space="preserve"> </w:t>
      </w:r>
      <w:r w:rsidRPr="00DB2FB4">
        <w:rPr>
          <w:rFonts w:cs="Arial"/>
          <w:sz w:val="20"/>
          <w:szCs w:val="20"/>
        </w:rPr>
        <w:t xml:space="preserve">En la </w:t>
      </w:r>
      <w:r>
        <w:rPr>
          <w:rFonts w:cs="Arial"/>
          <w:sz w:val="20"/>
          <w:szCs w:val="20"/>
        </w:rPr>
        <w:t>misma</w:t>
      </w:r>
      <w:r w:rsidR="00D24272">
        <w:rPr>
          <w:rFonts w:cs="Arial"/>
          <w:sz w:val="20"/>
          <w:szCs w:val="20"/>
        </w:rPr>
        <w:t>,</w:t>
      </w:r>
      <w:r>
        <w:rPr>
          <w:rFonts w:cs="Arial"/>
          <w:sz w:val="20"/>
          <w:szCs w:val="20"/>
        </w:rPr>
        <w:t xml:space="preserve"> </w:t>
      </w:r>
      <w:r w:rsidRPr="00DB2FB4">
        <w:rPr>
          <w:rFonts w:cs="Arial"/>
          <w:sz w:val="20"/>
          <w:szCs w:val="20"/>
        </w:rPr>
        <w:t>el abogado defensor</w:t>
      </w:r>
      <w:r>
        <w:rPr>
          <w:rFonts w:cs="Arial"/>
          <w:sz w:val="20"/>
          <w:szCs w:val="20"/>
        </w:rPr>
        <w:t xml:space="preserve"> de F.R. solicitó su</w:t>
      </w:r>
      <w:r w:rsidRPr="00DB2FB4">
        <w:rPr>
          <w:rFonts w:cs="Arial"/>
          <w:sz w:val="20"/>
          <w:szCs w:val="20"/>
        </w:rPr>
        <w:t xml:space="preserve"> sobreseimiento</w:t>
      </w:r>
      <w:r>
        <w:rPr>
          <w:rFonts w:cs="Arial"/>
          <w:sz w:val="20"/>
          <w:szCs w:val="20"/>
        </w:rPr>
        <w:t>, por</w:t>
      </w:r>
      <w:r w:rsidRPr="00DB2FB4">
        <w:rPr>
          <w:rFonts w:cs="Arial"/>
          <w:sz w:val="20"/>
          <w:szCs w:val="20"/>
        </w:rPr>
        <w:t xml:space="preserve"> considerar que “no </w:t>
      </w:r>
      <w:proofErr w:type="spellStart"/>
      <w:r w:rsidRPr="00DB2FB4">
        <w:rPr>
          <w:rFonts w:cs="Arial"/>
          <w:sz w:val="20"/>
          <w:szCs w:val="20"/>
        </w:rPr>
        <w:t>exist</w:t>
      </w:r>
      <w:proofErr w:type="spellEnd"/>
      <w:r>
        <w:rPr>
          <w:rFonts w:cs="Arial"/>
          <w:sz w:val="20"/>
          <w:szCs w:val="20"/>
        </w:rPr>
        <w:t>[</w:t>
      </w:r>
      <w:proofErr w:type="spellStart"/>
      <w:r>
        <w:rPr>
          <w:rFonts w:cs="Arial"/>
          <w:sz w:val="20"/>
          <w:szCs w:val="20"/>
        </w:rPr>
        <w:t>ían</w:t>
      </w:r>
      <w:proofErr w:type="spellEnd"/>
      <w:r>
        <w:rPr>
          <w:rFonts w:cs="Arial"/>
          <w:sz w:val="20"/>
          <w:szCs w:val="20"/>
        </w:rPr>
        <w:t>]</w:t>
      </w:r>
      <w:r w:rsidRPr="00DB2FB4">
        <w:rPr>
          <w:rFonts w:cs="Arial"/>
          <w:sz w:val="20"/>
          <w:szCs w:val="20"/>
        </w:rPr>
        <w:t xml:space="preserve"> elementos de </w:t>
      </w:r>
      <w:r>
        <w:rPr>
          <w:rFonts w:cs="Arial"/>
          <w:sz w:val="20"/>
          <w:szCs w:val="20"/>
        </w:rPr>
        <w:t xml:space="preserve">convicción”. El señor F.R. </w:t>
      </w:r>
      <w:r w:rsidRPr="00DB2FB4">
        <w:rPr>
          <w:rFonts w:cs="Arial"/>
          <w:sz w:val="20"/>
          <w:szCs w:val="20"/>
        </w:rPr>
        <w:t>se negó a declarar. La Jueza</w:t>
      </w:r>
      <w:r>
        <w:rPr>
          <w:rFonts w:cs="Arial"/>
          <w:sz w:val="20"/>
          <w:szCs w:val="20"/>
        </w:rPr>
        <w:t xml:space="preserve"> interviniente le </w:t>
      </w:r>
      <w:r w:rsidRPr="00DB2FB4">
        <w:rPr>
          <w:rFonts w:cs="Arial"/>
          <w:sz w:val="20"/>
          <w:szCs w:val="20"/>
        </w:rPr>
        <w:t>imputó el delito de “homicidio calificado cometido</w:t>
      </w:r>
      <w:r>
        <w:rPr>
          <w:rFonts w:cs="Arial"/>
          <w:sz w:val="20"/>
          <w:szCs w:val="20"/>
        </w:rPr>
        <w:t xml:space="preserve"> </w:t>
      </w:r>
      <w:r w:rsidRPr="00DB2FB4">
        <w:rPr>
          <w:rFonts w:cs="Arial"/>
          <w:sz w:val="20"/>
          <w:szCs w:val="20"/>
        </w:rPr>
        <w:t xml:space="preserve">con motivo </w:t>
      </w:r>
      <w:r w:rsidRPr="00DB2FB4">
        <w:rPr>
          <w:rFonts w:cs="Arial"/>
          <w:sz w:val="20"/>
          <w:szCs w:val="20"/>
        </w:rPr>
        <w:lastRenderedPageBreak/>
        <w:t>fútil” y ordenó</w:t>
      </w:r>
      <w:r>
        <w:rPr>
          <w:rFonts w:cs="Arial"/>
          <w:sz w:val="20"/>
          <w:szCs w:val="20"/>
        </w:rPr>
        <w:t xml:space="preserve"> su libertad inmediata y que se presentara cada 30 días ante el</w:t>
      </w:r>
      <w:r w:rsidRPr="00DB2FB4">
        <w:rPr>
          <w:rFonts w:cs="Arial"/>
          <w:sz w:val="20"/>
          <w:szCs w:val="20"/>
        </w:rPr>
        <w:t xml:space="preserve"> </w:t>
      </w:r>
      <w:r>
        <w:rPr>
          <w:rFonts w:cs="Arial"/>
          <w:sz w:val="20"/>
          <w:szCs w:val="20"/>
        </w:rPr>
        <w:t>órgano judicial</w:t>
      </w:r>
      <w:r>
        <w:rPr>
          <w:rStyle w:val="Refdenotaalpie"/>
          <w:rFonts w:cs="Arial"/>
          <w:sz w:val="20"/>
          <w:szCs w:val="20"/>
        </w:rPr>
        <w:footnoteReference w:id="79"/>
      </w:r>
      <w:r w:rsidRPr="00DB2FB4">
        <w:rPr>
          <w:rFonts w:cs="Arial"/>
          <w:sz w:val="20"/>
          <w:szCs w:val="20"/>
        </w:rPr>
        <w:t>.</w:t>
      </w:r>
    </w:p>
    <w:p w14:paraId="7C8EE1A8" w14:textId="77777777" w:rsidR="00685A14" w:rsidRDefault="00685A14" w:rsidP="00685A14">
      <w:pPr>
        <w:pStyle w:val="Prrafodelista"/>
        <w:ind w:left="0"/>
        <w:rPr>
          <w:rFonts w:cs="Arial"/>
          <w:sz w:val="20"/>
          <w:szCs w:val="20"/>
        </w:rPr>
      </w:pPr>
    </w:p>
    <w:p w14:paraId="1073E837" w14:textId="77777777" w:rsidR="00685A14" w:rsidRPr="001539C6" w:rsidRDefault="00685A14" w:rsidP="00685A14">
      <w:pPr>
        <w:pStyle w:val="Prrafodelista"/>
        <w:widowControl/>
        <w:numPr>
          <w:ilvl w:val="0"/>
          <w:numId w:val="29"/>
        </w:numPr>
        <w:autoSpaceDE/>
        <w:autoSpaceDN/>
        <w:spacing w:after="200"/>
        <w:ind w:left="0" w:firstLine="0"/>
        <w:contextualSpacing/>
        <w:rPr>
          <w:rFonts w:cs="Arial"/>
          <w:sz w:val="20"/>
          <w:szCs w:val="20"/>
        </w:rPr>
      </w:pPr>
      <w:r w:rsidRPr="00DB2FB4">
        <w:rPr>
          <w:rFonts w:cs="Arial"/>
          <w:sz w:val="20"/>
          <w:szCs w:val="20"/>
        </w:rPr>
        <w:t>El</w:t>
      </w:r>
      <w:r>
        <w:rPr>
          <w:rFonts w:cs="Arial"/>
          <w:sz w:val="20"/>
          <w:szCs w:val="20"/>
        </w:rPr>
        <w:t xml:space="preserve"> 12 o el </w:t>
      </w:r>
      <w:r w:rsidRPr="00DB2FB4">
        <w:rPr>
          <w:rFonts w:cs="Arial"/>
          <w:sz w:val="20"/>
          <w:szCs w:val="20"/>
        </w:rPr>
        <w:t>16 de septiembre de 20</w:t>
      </w:r>
      <w:r>
        <w:rPr>
          <w:rFonts w:cs="Arial"/>
          <w:sz w:val="20"/>
          <w:szCs w:val="20"/>
        </w:rPr>
        <w:t xml:space="preserve">17 </w:t>
      </w:r>
      <w:r w:rsidRPr="00DB2FB4">
        <w:rPr>
          <w:rFonts w:cs="Arial"/>
          <w:sz w:val="20"/>
          <w:szCs w:val="20"/>
        </w:rPr>
        <w:t>l</w:t>
      </w:r>
      <w:r>
        <w:rPr>
          <w:rFonts w:cs="Arial"/>
          <w:sz w:val="20"/>
          <w:szCs w:val="20"/>
        </w:rPr>
        <w:t xml:space="preserve">a Fiscalía 17 </w:t>
      </w:r>
      <w:r w:rsidRPr="00DB2FB4">
        <w:rPr>
          <w:rFonts w:cs="Arial"/>
          <w:sz w:val="20"/>
          <w:szCs w:val="20"/>
        </w:rPr>
        <w:t>solicitó el sobreseimiento de</w:t>
      </w:r>
      <w:r w:rsidRPr="00DB2FB4">
        <w:rPr>
          <w:sz w:val="20"/>
          <w:szCs w:val="20"/>
        </w:rPr>
        <w:t xml:space="preserve"> </w:t>
      </w:r>
      <w:r>
        <w:rPr>
          <w:sz w:val="20"/>
          <w:szCs w:val="20"/>
        </w:rPr>
        <w:t>F.R.</w:t>
      </w:r>
      <w:r w:rsidRPr="001539C6">
        <w:rPr>
          <w:rFonts w:cs="Arial"/>
          <w:sz w:val="20"/>
          <w:szCs w:val="20"/>
        </w:rPr>
        <w:t>, por enten</w:t>
      </w:r>
      <w:r>
        <w:rPr>
          <w:rFonts w:cs="Arial"/>
          <w:sz w:val="20"/>
          <w:szCs w:val="20"/>
        </w:rPr>
        <w:t>d</w:t>
      </w:r>
      <w:r w:rsidRPr="001539C6">
        <w:rPr>
          <w:rFonts w:cs="Arial"/>
          <w:sz w:val="20"/>
          <w:szCs w:val="20"/>
        </w:rPr>
        <w:t xml:space="preserve">er que “no </w:t>
      </w:r>
      <w:proofErr w:type="spellStart"/>
      <w:r w:rsidRPr="001539C6">
        <w:rPr>
          <w:rFonts w:cs="Arial"/>
          <w:sz w:val="20"/>
          <w:szCs w:val="20"/>
        </w:rPr>
        <w:t>exist</w:t>
      </w:r>
      <w:proofErr w:type="spellEnd"/>
      <w:r w:rsidRPr="001539C6">
        <w:rPr>
          <w:rFonts w:cs="Arial"/>
          <w:sz w:val="20"/>
          <w:szCs w:val="20"/>
        </w:rPr>
        <w:t>[</w:t>
      </w:r>
      <w:proofErr w:type="spellStart"/>
      <w:r w:rsidRPr="001539C6">
        <w:rPr>
          <w:rFonts w:cs="Arial"/>
          <w:sz w:val="20"/>
          <w:szCs w:val="20"/>
        </w:rPr>
        <w:t>ían</w:t>
      </w:r>
      <w:proofErr w:type="spellEnd"/>
      <w:r w:rsidRPr="001539C6">
        <w:rPr>
          <w:rFonts w:cs="Arial"/>
          <w:sz w:val="20"/>
          <w:szCs w:val="20"/>
        </w:rPr>
        <w:t xml:space="preserve">] suficientes elementos de convicción que [le] </w:t>
      </w:r>
      <w:proofErr w:type="spellStart"/>
      <w:r w:rsidRPr="001539C6">
        <w:rPr>
          <w:rFonts w:cs="Arial"/>
          <w:sz w:val="20"/>
          <w:szCs w:val="20"/>
        </w:rPr>
        <w:t>permit</w:t>
      </w:r>
      <w:proofErr w:type="spellEnd"/>
      <w:r w:rsidRPr="001539C6">
        <w:rPr>
          <w:rFonts w:cs="Arial"/>
          <w:sz w:val="20"/>
          <w:szCs w:val="20"/>
        </w:rPr>
        <w:t>[</w:t>
      </w:r>
      <w:proofErr w:type="spellStart"/>
      <w:r w:rsidRPr="001539C6">
        <w:rPr>
          <w:rFonts w:cs="Arial"/>
          <w:sz w:val="20"/>
          <w:szCs w:val="20"/>
        </w:rPr>
        <w:t>ieran</w:t>
      </w:r>
      <w:proofErr w:type="spellEnd"/>
      <w:r w:rsidRPr="001539C6">
        <w:rPr>
          <w:rFonts w:cs="Arial"/>
          <w:sz w:val="20"/>
          <w:szCs w:val="20"/>
        </w:rPr>
        <w:t>] fundamentar un [a]</w:t>
      </w:r>
      <w:proofErr w:type="spellStart"/>
      <w:r w:rsidRPr="001539C6">
        <w:rPr>
          <w:rFonts w:cs="Arial"/>
          <w:sz w:val="20"/>
          <w:szCs w:val="20"/>
        </w:rPr>
        <w:t>cto</w:t>
      </w:r>
      <w:proofErr w:type="spellEnd"/>
      <w:r w:rsidRPr="001539C6">
        <w:rPr>
          <w:rFonts w:cs="Arial"/>
          <w:sz w:val="20"/>
          <w:szCs w:val="20"/>
        </w:rPr>
        <w:t xml:space="preserve"> conclusivo [a]</w:t>
      </w:r>
      <w:proofErr w:type="spellStart"/>
      <w:r w:rsidRPr="001539C6">
        <w:rPr>
          <w:rFonts w:cs="Arial"/>
          <w:sz w:val="20"/>
          <w:szCs w:val="20"/>
        </w:rPr>
        <w:t>cusatorio</w:t>
      </w:r>
      <w:proofErr w:type="spellEnd"/>
      <w:r w:rsidRPr="001539C6">
        <w:rPr>
          <w:rFonts w:cs="Arial"/>
          <w:sz w:val="20"/>
          <w:szCs w:val="20"/>
        </w:rPr>
        <w:t xml:space="preserve"> en contra de funcionario alguno”</w:t>
      </w:r>
      <w:r>
        <w:rPr>
          <w:rStyle w:val="Refdenotaalpie"/>
          <w:rFonts w:cs="Arial"/>
          <w:sz w:val="20"/>
          <w:szCs w:val="20"/>
        </w:rPr>
        <w:footnoteReference w:id="80"/>
      </w:r>
      <w:r w:rsidRPr="001539C6">
        <w:rPr>
          <w:rFonts w:cs="Arial"/>
          <w:sz w:val="20"/>
          <w:szCs w:val="20"/>
        </w:rPr>
        <w:t xml:space="preserve">. </w:t>
      </w:r>
      <w:r>
        <w:rPr>
          <w:rFonts w:cs="Arial"/>
          <w:sz w:val="20"/>
          <w:szCs w:val="20"/>
        </w:rPr>
        <w:t>E</w:t>
      </w:r>
      <w:r w:rsidRPr="001539C6">
        <w:rPr>
          <w:rFonts w:cs="Arial"/>
          <w:sz w:val="20"/>
          <w:szCs w:val="20"/>
        </w:rPr>
        <w:t xml:space="preserve">ntre sus consideraciones, sostuvo que, </w:t>
      </w:r>
    </w:p>
    <w:p w14:paraId="49A034F6" w14:textId="77777777" w:rsidR="00685A14" w:rsidRPr="00DB2FB4" w:rsidRDefault="00685A14" w:rsidP="00685A14">
      <w:pPr>
        <w:pStyle w:val="Prrafodelista"/>
        <w:rPr>
          <w:rFonts w:cs="Arial"/>
          <w:sz w:val="20"/>
          <w:szCs w:val="20"/>
        </w:rPr>
      </w:pPr>
    </w:p>
    <w:p w14:paraId="221C96F0" w14:textId="77777777" w:rsidR="00685A14" w:rsidRPr="00333EBB" w:rsidRDefault="00685A14" w:rsidP="00685A14">
      <w:pPr>
        <w:pStyle w:val="Prrafodelista"/>
        <w:ind w:left="284" w:right="333"/>
        <w:rPr>
          <w:rFonts w:cs="Arial"/>
          <w:sz w:val="16"/>
          <w:szCs w:val="16"/>
        </w:rPr>
      </w:pPr>
      <w:r w:rsidRPr="00DB2FB4">
        <w:rPr>
          <w:rFonts w:cs="Arial"/>
          <w:sz w:val="16"/>
          <w:szCs w:val="16"/>
        </w:rPr>
        <w:t xml:space="preserve">[…] </w:t>
      </w:r>
      <w:proofErr w:type="gramStart"/>
      <w:r w:rsidRPr="00DB2FB4">
        <w:rPr>
          <w:rFonts w:cs="Arial"/>
          <w:sz w:val="16"/>
          <w:szCs w:val="16"/>
        </w:rPr>
        <w:t>de acuerdo a</w:t>
      </w:r>
      <w:proofErr w:type="gramEnd"/>
      <w:r w:rsidRPr="00DB2FB4">
        <w:rPr>
          <w:rFonts w:cs="Arial"/>
          <w:sz w:val="16"/>
          <w:szCs w:val="16"/>
        </w:rPr>
        <w:t xml:space="preserve"> las diligencias de investigaciones que se obtuvieron y recopilaron se hace muy difícil</w:t>
      </w:r>
      <w:r>
        <w:rPr>
          <w:rFonts w:cs="Arial"/>
          <w:sz w:val="16"/>
          <w:szCs w:val="16"/>
        </w:rPr>
        <w:t xml:space="preserve"> […]</w:t>
      </w:r>
      <w:r w:rsidRPr="00DB2FB4">
        <w:rPr>
          <w:rFonts w:cs="Arial"/>
          <w:sz w:val="16"/>
          <w:szCs w:val="16"/>
        </w:rPr>
        <w:t xml:space="preserve">determinar e individualizar la participación y ejecución como participe de funcionario o persona alguna, aunado al hecho que por el tiempo transcurrido </w:t>
      </w:r>
      <w:r>
        <w:rPr>
          <w:rFonts w:cs="Arial"/>
          <w:sz w:val="16"/>
          <w:szCs w:val="16"/>
        </w:rPr>
        <w:t>[s]</w:t>
      </w:r>
      <w:r w:rsidRPr="00DB2FB4">
        <w:rPr>
          <w:rFonts w:cs="Arial"/>
          <w:sz w:val="16"/>
          <w:szCs w:val="16"/>
        </w:rPr>
        <w:t>e imposibilita efectuar nuevas diligencias científicas, balísticas, planimetrías a las armas y al sitio del suceso, las primeras por cuanto de forma sorpresiva desaparecie</w:t>
      </w:r>
      <w:r>
        <w:rPr>
          <w:rFonts w:cs="Arial"/>
          <w:sz w:val="16"/>
          <w:szCs w:val="16"/>
        </w:rPr>
        <w:t>ron del sitio de resguardo […].</w:t>
      </w:r>
    </w:p>
    <w:p w14:paraId="3DD7394C" w14:textId="77777777" w:rsidR="00685A14" w:rsidRPr="00DB2FB4" w:rsidRDefault="00685A14" w:rsidP="00685A14">
      <w:pPr>
        <w:pStyle w:val="Prrafodelista"/>
        <w:ind w:left="0"/>
        <w:rPr>
          <w:sz w:val="20"/>
          <w:szCs w:val="20"/>
        </w:rPr>
      </w:pPr>
    </w:p>
    <w:p w14:paraId="04BDF6B9" w14:textId="0A9EBE14" w:rsidR="00685A14" w:rsidRPr="00542071" w:rsidRDefault="00685A14" w:rsidP="00685A14">
      <w:pPr>
        <w:pStyle w:val="Prrafodelista"/>
        <w:widowControl/>
        <w:numPr>
          <w:ilvl w:val="0"/>
          <w:numId w:val="29"/>
        </w:numPr>
        <w:autoSpaceDE/>
        <w:autoSpaceDN/>
        <w:spacing w:after="200"/>
        <w:ind w:left="0" w:firstLine="0"/>
        <w:contextualSpacing/>
        <w:rPr>
          <w:sz w:val="20"/>
          <w:szCs w:val="20"/>
        </w:rPr>
      </w:pPr>
      <w:r>
        <w:rPr>
          <w:rFonts w:cs="Arial"/>
          <w:sz w:val="20"/>
          <w:szCs w:val="20"/>
        </w:rPr>
        <w:t>E</w:t>
      </w:r>
      <w:r w:rsidRPr="00ED212C">
        <w:rPr>
          <w:rFonts w:cs="Arial"/>
          <w:sz w:val="20"/>
          <w:szCs w:val="20"/>
        </w:rPr>
        <w:t>l 25 de septiembre de 2017 el Tribunal Penal de Primera Instancia Estadales y Municipales</w:t>
      </w:r>
      <w:r>
        <w:rPr>
          <w:rFonts w:cs="Arial"/>
          <w:sz w:val="20"/>
          <w:szCs w:val="20"/>
        </w:rPr>
        <w:t xml:space="preserve"> en funciones de Control</w:t>
      </w:r>
      <w:r w:rsidRPr="00ED212C">
        <w:rPr>
          <w:rFonts w:cs="Arial"/>
          <w:sz w:val="20"/>
          <w:szCs w:val="20"/>
        </w:rPr>
        <w:t xml:space="preserve"> decretó el sobreseimiento</w:t>
      </w:r>
      <w:r>
        <w:rPr>
          <w:rFonts w:cs="Arial"/>
          <w:sz w:val="20"/>
          <w:szCs w:val="20"/>
        </w:rPr>
        <w:t xml:space="preserve"> de F.R.</w:t>
      </w:r>
      <w:r>
        <w:rPr>
          <w:rStyle w:val="Refdenotaalpie"/>
          <w:rFonts w:cs="Arial"/>
          <w:sz w:val="20"/>
          <w:szCs w:val="20"/>
        </w:rPr>
        <w:footnoteReference w:id="81"/>
      </w:r>
      <w:r w:rsidRPr="00ED212C">
        <w:rPr>
          <w:rFonts w:cs="Arial"/>
          <w:sz w:val="20"/>
          <w:szCs w:val="20"/>
        </w:rPr>
        <w:t xml:space="preserve"> </w:t>
      </w:r>
      <w:r w:rsidRPr="001539C6">
        <w:rPr>
          <w:rFonts w:cs="Arial"/>
          <w:sz w:val="20"/>
          <w:szCs w:val="20"/>
        </w:rPr>
        <w:t xml:space="preserve">El 11 de octubre </w:t>
      </w:r>
      <w:r>
        <w:rPr>
          <w:rFonts w:cs="Arial"/>
          <w:sz w:val="20"/>
          <w:szCs w:val="20"/>
        </w:rPr>
        <w:t xml:space="preserve">siguiente </w:t>
      </w:r>
      <w:r w:rsidRPr="001539C6">
        <w:rPr>
          <w:rFonts w:cs="Arial"/>
          <w:sz w:val="20"/>
          <w:szCs w:val="20"/>
        </w:rPr>
        <w:t>remitió al Archivo Judicial de Punto Fij</w:t>
      </w:r>
      <w:r w:rsidRPr="001539C6">
        <w:rPr>
          <w:rFonts w:cs="ArialMT"/>
          <w:sz w:val="20"/>
          <w:szCs w:val="20"/>
        </w:rPr>
        <w:t>o copia de su decisión e indicó</w:t>
      </w:r>
      <w:r>
        <w:rPr>
          <w:rFonts w:cs="ArialMT"/>
          <w:sz w:val="20"/>
          <w:szCs w:val="20"/>
        </w:rPr>
        <w:t xml:space="preserve"> que</w:t>
      </w:r>
      <w:r w:rsidRPr="001539C6">
        <w:rPr>
          <w:rFonts w:cs="ArialMT"/>
          <w:sz w:val="20"/>
          <w:szCs w:val="20"/>
        </w:rPr>
        <w:t xml:space="preserve"> “</w:t>
      </w:r>
      <w:r>
        <w:rPr>
          <w:rFonts w:cs="ArialMT"/>
          <w:sz w:val="20"/>
          <w:szCs w:val="20"/>
        </w:rPr>
        <w:t>[</w:t>
      </w:r>
      <w:r w:rsidRPr="001539C6">
        <w:rPr>
          <w:rFonts w:cs="ArialMT"/>
          <w:sz w:val="20"/>
          <w:szCs w:val="20"/>
        </w:rPr>
        <w:t>d</w:t>
      </w:r>
      <w:r>
        <w:rPr>
          <w:rFonts w:cs="ArialMT"/>
          <w:sz w:val="20"/>
          <w:szCs w:val="20"/>
        </w:rPr>
        <w:t>]</w:t>
      </w:r>
      <w:proofErr w:type="spellStart"/>
      <w:r w:rsidRPr="001539C6">
        <w:rPr>
          <w:rFonts w:cs="ArialMT"/>
          <w:sz w:val="20"/>
          <w:szCs w:val="20"/>
        </w:rPr>
        <w:t>eclara</w:t>
      </w:r>
      <w:proofErr w:type="spellEnd"/>
      <w:r w:rsidRPr="001539C6">
        <w:rPr>
          <w:sz w:val="20"/>
          <w:szCs w:val="20"/>
        </w:rPr>
        <w:t xml:space="preserve"> </w:t>
      </w:r>
      <w:r w:rsidRPr="001539C6">
        <w:rPr>
          <w:rFonts w:cs="Arial"/>
          <w:sz w:val="20"/>
          <w:szCs w:val="20"/>
        </w:rPr>
        <w:t xml:space="preserve">definitivamente firme </w:t>
      </w:r>
      <w:r>
        <w:rPr>
          <w:rFonts w:cs="Arial"/>
          <w:sz w:val="20"/>
          <w:szCs w:val="20"/>
        </w:rPr>
        <w:t xml:space="preserve">[el] </w:t>
      </w:r>
      <w:r w:rsidRPr="001539C6">
        <w:rPr>
          <w:rFonts w:cs="Arial"/>
          <w:sz w:val="20"/>
          <w:szCs w:val="20"/>
        </w:rPr>
        <w:t>Auto de Sentencia publicad</w:t>
      </w:r>
      <w:r>
        <w:rPr>
          <w:rFonts w:cs="Arial"/>
          <w:sz w:val="20"/>
          <w:szCs w:val="20"/>
        </w:rPr>
        <w:t>[o]</w:t>
      </w:r>
      <w:r w:rsidRPr="001539C6">
        <w:rPr>
          <w:rFonts w:cs="Arial"/>
          <w:sz w:val="20"/>
          <w:szCs w:val="20"/>
        </w:rPr>
        <w:t xml:space="preserve"> en fecha 25-09-</w:t>
      </w:r>
      <w:r w:rsidRPr="001539C6">
        <w:rPr>
          <w:rFonts w:cs="ArialMT"/>
          <w:sz w:val="20"/>
          <w:szCs w:val="20"/>
        </w:rPr>
        <w:t>2012”</w:t>
      </w:r>
      <w:r>
        <w:rPr>
          <w:rStyle w:val="Refdenotaalpie"/>
          <w:rFonts w:cs="ArialMT"/>
          <w:sz w:val="20"/>
          <w:szCs w:val="20"/>
        </w:rPr>
        <w:footnoteReference w:id="82"/>
      </w:r>
      <w:r w:rsidRPr="001539C6">
        <w:rPr>
          <w:rFonts w:cs="Arial"/>
          <w:sz w:val="20"/>
          <w:szCs w:val="20"/>
        </w:rPr>
        <w:t xml:space="preserve">. </w:t>
      </w:r>
      <w:r w:rsidRPr="009E6317">
        <w:rPr>
          <w:rFonts w:cs="Arial"/>
          <w:sz w:val="20"/>
          <w:szCs w:val="20"/>
        </w:rPr>
        <w:t>No se han indicado actuaciones judiciales internas posteriores</w:t>
      </w:r>
      <w:r w:rsidRPr="009E6317">
        <w:rPr>
          <w:rStyle w:val="Refdenotaalpie"/>
          <w:rFonts w:cs="Arial"/>
          <w:sz w:val="20"/>
          <w:szCs w:val="20"/>
        </w:rPr>
        <w:footnoteReference w:id="83"/>
      </w:r>
      <w:r w:rsidRPr="009E6317">
        <w:rPr>
          <w:rFonts w:cs="Arial"/>
          <w:sz w:val="20"/>
          <w:szCs w:val="20"/>
        </w:rPr>
        <w:t>.</w:t>
      </w:r>
    </w:p>
    <w:p w14:paraId="06AED015" w14:textId="77777777" w:rsidR="00685A14" w:rsidRDefault="00685A14" w:rsidP="00685A14">
      <w:pPr>
        <w:pStyle w:val="Prrafodelista"/>
        <w:rPr>
          <w:sz w:val="20"/>
          <w:szCs w:val="20"/>
        </w:rPr>
      </w:pPr>
    </w:p>
    <w:p w14:paraId="7B7163EE" w14:textId="77777777" w:rsidR="00685A14" w:rsidRPr="003D1141" w:rsidRDefault="00685A14" w:rsidP="00685A14">
      <w:pPr>
        <w:pStyle w:val="Prrafodelista"/>
        <w:jc w:val="center"/>
        <w:outlineLvl w:val="0"/>
        <w:rPr>
          <w:b/>
          <w:sz w:val="20"/>
          <w:szCs w:val="20"/>
        </w:rPr>
      </w:pPr>
      <w:bookmarkStart w:id="42" w:name="_Toc73960354"/>
      <w:r w:rsidRPr="003D1141">
        <w:rPr>
          <w:b/>
          <w:sz w:val="20"/>
          <w:szCs w:val="20"/>
        </w:rPr>
        <w:t>V</w:t>
      </w:r>
      <w:r>
        <w:rPr>
          <w:b/>
          <w:sz w:val="20"/>
          <w:szCs w:val="20"/>
        </w:rPr>
        <w:t>II</w:t>
      </w:r>
      <w:bookmarkEnd w:id="42"/>
    </w:p>
    <w:p w14:paraId="4813AB67" w14:textId="77777777" w:rsidR="00685A14" w:rsidRPr="003D1141" w:rsidRDefault="00685A14" w:rsidP="00685A14">
      <w:pPr>
        <w:pStyle w:val="Prrafodelista"/>
        <w:jc w:val="center"/>
        <w:outlineLvl w:val="0"/>
        <w:rPr>
          <w:b/>
          <w:sz w:val="20"/>
          <w:szCs w:val="20"/>
        </w:rPr>
      </w:pPr>
      <w:bookmarkStart w:id="43" w:name="_Toc73960355"/>
      <w:r>
        <w:rPr>
          <w:b/>
          <w:sz w:val="20"/>
          <w:szCs w:val="20"/>
        </w:rPr>
        <w:t>FONDO</w:t>
      </w:r>
      <w:bookmarkEnd w:id="43"/>
    </w:p>
    <w:p w14:paraId="35A377B1" w14:textId="77777777" w:rsidR="00685A14" w:rsidRPr="003D1141" w:rsidRDefault="00685A14" w:rsidP="00685A14">
      <w:pPr>
        <w:pStyle w:val="Prrafodelista"/>
        <w:rPr>
          <w:sz w:val="20"/>
          <w:szCs w:val="20"/>
        </w:rPr>
      </w:pPr>
    </w:p>
    <w:p w14:paraId="5B33A302" w14:textId="77777777" w:rsidR="00685A14" w:rsidRDefault="00685A14" w:rsidP="00685A14">
      <w:pPr>
        <w:pStyle w:val="Prrafodelista"/>
        <w:widowControl/>
        <w:numPr>
          <w:ilvl w:val="0"/>
          <w:numId w:val="29"/>
        </w:numPr>
        <w:autoSpaceDE/>
        <w:autoSpaceDN/>
        <w:spacing w:after="200"/>
        <w:ind w:left="0" w:firstLine="0"/>
        <w:contextualSpacing/>
        <w:rPr>
          <w:sz w:val="20"/>
          <w:szCs w:val="20"/>
        </w:rPr>
      </w:pPr>
      <w:r>
        <w:rPr>
          <w:sz w:val="20"/>
          <w:szCs w:val="20"/>
        </w:rPr>
        <w:t xml:space="preserve">El caso que se examina en la presente Sentencia versa sobre las ejecuciones </w:t>
      </w:r>
      <w:r w:rsidRPr="00D64A29">
        <w:rPr>
          <w:sz w:val="20"/>
          <w:szCs w:val="20"/>
        </w:rPr>
        <w:t>sin proceso o extrajudiciales de Jimmy Guerrero y Ramón Molina, las que, conforme ha aceptado el Estado, y ya ha quedado establecido (</w:t>
      </w:r>
      <w:r w:rsidRPr="00D64A29">
        <w:rPr>
          <w:i/>
          <w:sz w:val="20"/>
          <w:szCs w:val="20"/>
        </w:rPr>
        <w:t>supra</w:t>
      </w:r>
      <w:r w:rsidRPr="00D64A29">
        <w:rPr>
          <w:sz w:val="20"/>
          <w:szCs w:val="20"/>
        </w:rPr>
        <w:t xml:space="preserve"> </w:t>
      </w:r>
      <w:proofErr w:type="spellStart"/>
      <w:r w:rsidRPr="00D64A29">
        <w:rPr>
          <w:sz w:val="20"/>
          <w:szCs w:val="20"/>
        </w:rPr>
        <w:t>párr</w:t>
      </w:r>
      <w:r>
        <w:rPr>
          <w:sz w:val="20"/>
          <w:szCs w:val="20"/>
        </w:rPr>
        <w:t>s</w:t>
      </w:r>
      <w:proofErr w:type="spellEnd"/>
      <w:r w:rsidRPr="00D64A29">
        <w:rPr>
          <w:sz w:val="20"/>
          <w:szCs w:val="20"/>
        </w:rPr>
        <w:t xml:space="preserve">. </w:t>
      </w:r>
      <w:r>
        <w:rPr>
          <w:sz w:val="20"/>
          <w:szCs w:val="20"/>
        </w:rPr>
        <w:t>26 y 32</w:t>
      </w:r>
      <w:r w:rsidRPr="00D64A29">
        <w:rPr>
          <w:sz w:val="20"/>
          <w:szCs w:val="20"/>
        </w:rPr>
        <w:t>)</w:t>
      </w:r>
      <w:r>
        <w:rPr>
          <w:sz w:val="20"/>
          <w:szCs w:val="20"/>
        </w:rPr>
        <w:t>, resultaron violatorias del derecho a la vida. Trata también sobre la aducida responsabilidad del Estado por padecimientos de las personas nombradas en los instantes previos a sus muertes. Comprende, asimismo, el acoso u hostigamiento policial que el señor Guerrero habría sufrido, por medio de diversos actos, inclusive agresiones físicas y detenciones de él y algunos de sus familiares. I</w:t>
      </w:r>
      <w:r w:rsidRPr="00C95393">
        <w:rPr>
          <w:sz w:val="20"/>
          <w:szCs w:val="20"/>
        </w:rPr>
        <w:t>ncl</w:t>
      </w:r>
      <w:r>
        <w:rPr>
          <w:sz w:val="20"/>
          <w:szCs w:val="20"/>
        </w:rPr>
        <w:t xml:space="preserve">uye la responsabilidad estatal, no controvertida por Venezuela, </w:t>
      </w:r>
      <w:r w:rsidRPr="00C95393">
        <w:rPr>
          <w:sz w:val="20"/>
          <w:szCs w:val="20"/>
        </w:rPr>
        <w:t>por la falta de acciones efectivas para l</w:t>
      </w:r>
      <w:r>
        <w:rPr>
          <w:sz w:val="20"/>
          <w:szCs w:val="20"/>
        </w:rPr>
        <w:t>a determinación</w:t>
      </w:r>
      <w:r w:rsidRPr="00C95393">
        <w:rPr>
          <w:sz w:val="20"/>
          <w:szCs w:val="20"/>
        </w:rPr>
        <w:t xml:space="preserve"> de los hechos y de las responsabilidades correspondientes, en perjuicio de los derechos a las garantías judiciales y a la protección judici</w:t>
      </w:r>
      <w:r>
        <w:rPr>
          <w:sz w:val="20"/>
          <w:szCs w:val="20"/>
        </w:rPr>
        <w:t>al. Abarca</w:t>
      </w:r>
      <w:r w:rsidRPr="00D64A29">
        <w:rPr>
          <w:sz w:val="20"/>
          <w:szCs w:val="20"/>
        </w:rPr>
        <w:t xml:space="preserve"> igualmente, por último, la responsabilidad </w:t>
      </w:r>
      <w:r>
        <w:rPr>
          <w:sz w:val="20"/>
          <w:szCs w:val="20"/>
        </w:rPr>
        <w:t xml:space="preserve">de </w:t>
      </w:r>
      <w:r>
        <w:rPr>
          <w:sz w:val="20"/>
          <w:szCs w:val="20"/>
        </w:rPr>
        <w:lastRenderedPageBreak/>
        <w:t>Venezuela</w:t>
      </w:r>
      <w:r w:rsidRPr="00D64A29">
        <w:rPr>
          <w:sz w:val="20"/>
          <w:szCs w:val="20"/>
        </w:rPr>
        <w:t>, ya establecida (</w:t>
      </w:r>
      <w:r w:rsidRPr="00D64A29">
        <w:rPr>
          <w:i/>
          <w:sz w:val="20"/>
          <w:szCs w:val="20"/>
        </w:rPr>
        <w:t xml:space="preserve">supra </w:t>
      </w:r>
      <w:r w:rsidRPr="00D64A29">
        <w:rPr>
          <w:sz w:val="20"/>
          <w:szCs w:val="20"/>
        </w:rPr>
        <w:t>párr.</w:t>
      </w:r>
      <w:r>
        <w:rPr>
          <w:sz w:val="20"/>
          <w:szCs w:val="20"/>
        </w:rPr>
        <w:t xml:space="preserve"> 32</w:t>
      </w:r>
      <w:r w:rsidRPr="00D64A29">
        <w:rPr>
          <w:sz w:val="20"/>
          <w:szCs w:val="20"/>
        </w:rPr>
        <w:t>), por la</w:t>
      </w:r>
      <w:r>
        <w:rPr>
          <w:sz w:val="20"/>
          <w:szCs w:val="20"/>
        </w:rPr>
        <w:t xml:space="preserve"> </w:t>
      </w:r>
      <w:r w:rsidRPr="00C95393">
        <w:rPr>
          <w:sz w:val="20"/>
          <w:szCs w:val="20"/>
        </w:rPr>
        <w:t>afectación</w:t>
      </w:r>
      <w:r>
        <w:rPr>
          <w:sz w:val="20"/>
          <w:szCs w:val="20"/>
        </w:rPr>
        <w:t xml:space="preserve"> que los hechos produjeron</w:t>
      </w:r>
      <w:r w:rsidRPr="00C95393">
        <w:rPr>
          <w:sz w:val="20"/>
          <w:szCs w:val="20"/>
        </w:rPr>
        <w:t xml:space="preserve"> a </w:t>
      </w:r>
      <w:r>
        <w:rPr>
          <w:sz w:val="20"/>
          <w:szCs w:val="20"/>
        </w:rPr>
        <w:t xml:space="preserve">la integridad personal de </w:t>
      </w:r>
      <w:r w:rsidRPr="00C95393">
        <w:rPr>
          <w:sz w:val="20"/>
          <w:szCs w:val="20"/>
        </w:rPr>
        <w:t>familiares</w:t>
      </w:r>
      <w:r>
        <w:rPr>
          <w:sz w:val="20"/>
          <w:szCs w:val="20"/>
        </w:rPr>
        <w:t xml:space="preserve"> de los señores Guerrero y Molina.</w:t>
      </w:r>
    </w:p>
    <w:p w14:paraId="6701582B" w14:textId="77777777" w:rsidR="00685A14" w:rsidRDefault="00685A14" w:rsidP="00685A14">
      <w:pPr>
        <w:pStyle w:val="Prrafodelista"/>
        <w:widowControl/>
        <w:autoSpaceDE/>
        <w:autoSpaceDN/>
        <w:spacing w:after="200"/>
        <w:ind w:left="0"/>
        <w:contextualSpacing/>
        <w:rPr>
          <w:sz w:val="20"/>
          <w:szCs w:val="20"/>
        </w:rPr>
      </w:pPr>
    </w:p>
    <w:p w14:paraId="39A05EA9" w14:textId="77777777" w:rsidR="00685A14" w:rsidRDefault="00685A14" w:rsidP="00685A14">
      <w:pPr>
        <w:pStyle w:val="Prrafodelista"/>
        <w:widowControl/>
        <w:numPr>
          <w:ilvl w:val="0"/>
          <w:numId w:val="29"/>
        </w:numPr>
        <w:autoSpaceDE/>
        <w:autoSpaceDN/>
        <w:spacing w:after="200"/>
        <w:ind w:left="0" w:firstLine="0"/>
        <w:contextualSpacing/>
        <w:rPr>
          <w:sz w:val="20"/>
          <w:szCs w:val="20"/>
        </w:rPr>
      </w:pPr>
      <w:r>
        <w:rPr>
          <w:sz w:val="20"/>
          <w:szCs w:val="20"/>
        </w:rPr>
        <w:t xml:space="preserve">La Corte, en primer término, efectuará consideraciones sobre la obligación estatal de respetar y garantizar sin discriminación los derechos convencionales. Luego, en segundo y tercer lugar, examinará las violaciones aducidas a los derechos a la libertad e integridad personales de Jimmy Guerrero, por circunstancias anteriores a su muerte. En cuarto término, efectuará las consideraciones correspondientes sobre </w:t>
      </w:r>
      <w:r w:rsidRPr="00D64A29">
        <w:rPr>
          <w:sz w:val="20"/>
          <w:szCs w:val="20"/>
        </w:rPr>
        <w:t>el derecho</w:t>
      </w:r>
      <w:r>
        <w:rPr>
          <w:sz w:val="20"/>
          <w:szCs w:val="20"/>
        </w:rPr>
        <w:t xml:space="preserve"> a la integridad personal de los señores Guerrero y Molina, considerando las circunstancias que derivaron en sus muertes. Más adelante, evaluará lo atinente a los derechos a las garantías judiciales y a la protección judicial, en relación con la investigación de los hechos</w:t>
      </w:r>
      <w:r>
        <w:rPr>
          <w:rStyle w:val="Refdenotaalpie"/>
          <w:sz w:val="20"/>
          <w:szCs w:val="20"/>
        </w:rPr>
        <w:footnoteReference w:id="84"/>
      </w:r>
      <w:r w:rsidRPr="00D64A29">
        <w:rPr>
          <w:sz w:val="20"/>
          <w:szCs w:val="20"/>
        </w:rPr>
        <w:t>.</w:t>
      </w:r>
    </w:p>
    <w:p w14:paraId="5BCD5A43" w14:textId="77777777" w:rsidR="000F2503" w:rsidRDefault="000F2503" w:rsidP="00685A14">
      <w:pPr>
        <w:pStyle w:val="Prrafodelista"/>
        <w:rPr>
          <w:sz w:val="20"/>
          <w:szCs w:val="20"/>
        </w:rPr>
      </w:pPr>
    </w:p>
    <w:p w14:paraId="6759C8D5" w14:textId="77777777" w:rsidR="00685A14" w:rsidRPr="003D1141" w:rsidRDefault="00685A14" w:rsidP="00685A14">
      <w:pPr>
        <w:pStyle w:val="Prrafodelista"/>
        <w:jc w:val="center"/>
        <w:outlineLvl w:val="0"/>
        <w:rPr>
          <w:b/>
          <w:sz w:val="20"/>
          <w:szCs w:val="20"/>
        </w:rPr>
      </w:pPr>
      <w:bookmarkStart w:id="44" w:name="_Toc67333122"/>
      <w:bookmarkStart w:id="45" w:name="_Toc69197743"/>
      <w:bookmarkStart w:id="46" w:name="_Toc73960356"/>
      <w:r w:rsidRPr="003D1141">
        <w:rPr>
          <w:b/>
          <w:sz w:val="20"/>
          <w:szCs w:val="20"/>
        </w:rPr>
        <w:t>V</w:t>
      </w:r>
      <w:r>
        <w:rPr>
          <w:b/>
          <w:sz w:val="20"/>
          <w:szCs w:val="20"/>
        </w:rPr>
        <w:t>II.1</w:t>
      </w:r>
      <w:bookmarkEnd w:id="44"/>
      <w:bookmarkEnd w:id="45"/>
      <w:bookmarkEnd w:id="46"/>
    </w:p>
    <w:p w14:paraId="7A7A7681" w14:textId="77777777" w:rsidR="00685A14" w:rsidRPr="003D1141" w:rsidRDefault="00685A14" w:rsidP="00685A14">
      <w:pPr>
        <w:pStyle w:val="Prrafodelista"/>
        <w:jc w:val="center"/>
        <w:outlineLvl w:val="0"/>
        <w:rPr>
          <w:b/>
          <w:sz w:val="20"/>
          <w:szCs w:val="20"/>
        </w:rPr>
      </w:pPr>
      <w:bookmarkStart w:id="47" w:name="_Toc73960357"/>
      <w:r>
        <w:rPr>
          <w:b/>
          <w:sz w:val="20"/>
          <w:szCs w:val="20"/>
        </w:rPr>
        <w:t>CONSIDERACIONES GENERALES SOBRE LA OBLIGACIÓN DE RESPETAR Y GARANTIZAR LOS DERECHOS HUMANOS SIN DISCRIMINACIÓN</w:t>
      </w:r>
      <w:r w:rsidRPr="00194E0A">
        <w:rPr>
          <w:rStyle w:val="Refdenotaalpie"/>
          <w:sz w:val="20"/>
          <w:szCs w:val="20"/>
        </w:rPr>
        <w:footnoteReference w:id="85"/>
      </w:r>
      <w:bookmarkEnd w:id="47"/>
    </w:p>
    <w:p w14:paraId="47213EFB" w14:textId="77777777" w:rsidR="00685A14" w:rsidRPr="0049739E" w:rsidRDefault="00685A14" w:rsidP="00685A14">
      <w:pPr>
        <w:rPr>
          <w:sz w:val="20"/>
          <w:szCs w:val="20"/>
        </w:rPr>
      </w:pPr>
    </w:p>
    <w:p w14:paraId="6179F06F" w14:textId="77777777" w:rsidR="00685A14" w:rsidRPr="0070260A" w:rsidRDefault="00685A14" w:rsidP="00685A14">
      <w:pPr>
        <w:pStyle w:val="Prrafodelista"/>
        <w:widowControl/>
        <w:numPr>
          <w:ilvl w:val="0"/>
          <w:numId w:val="29"/>
        </w:numPr>
        <w:autoSpaceDE/>
        <w:autoSpaceDN/>
        <w:spacing w:after="200"/>
        <w:ind w:left="0" w:firstLine="0"/>
        <w:contextualSpacing/>
        <w:rPr>
          <w:sz w:val="20"/>
          <w:szCs w:val="20"/>
        </w:rPr>
      </w:pPr>
      <w:r>
        <w:rPr>
          <w:sz w:val="20"/>
          <w:szCs w:val="20"/>
        </w:rPr>
        <w:t xml:space="preserve">Este Tribunal estima conveniente, antes de exponer su evaluación de las distintas violaciones a derechos aducidas, presentar consideraciones generales sobre el argumento de los </w:t>
      </w:r>
      <w:r w:rsidRPr="00620163">
        <w:rPr>
          <w:b/>
          <w:i/>
          <w:sz w:val="20"/>
          <w:szCs w:val="20"/>
        </w:rPr>
        <w:t xml:space="preserve">representantes </w:t>
      </w:r>
      <w:r>
        <w:rPr>
          <w:sz w:val="20"/>
          <w:szCs w:val="20"/>
        </w:rPr>
        <w:t>respecto a la conducta estatal discriminatoria. Éstos s</w:t>
      </w:r>
      <w:r w:rsidRPr="0049739E">
        <w:rPr>
          <w:sz w:val="20"/>
          <w:szCs w:val="20"/>
        </w:rPr>
        <w:t xml:space="preserve">eñalaron que </w:t>
      </w:r>
      <w:r>
        <w:rPr>
          <w:sz w:val="20"/>
          <w:szCs w:val="20"/>
        </w:rPr>
        <w:t xml:space="preserve">todas </w:t>
      </w:r>
      <w:r w:rsidRPr="0049739E">
        <w:rPr>
          <w:sz w:val="20"/>
          <w:szCs w:val="20"/>
        </w:rPr>
        <w:t>las violaciones a derechos</w:t>
      </w:r>
      <w:r>
        <w:rPr>
          <w:sz w:val="20"/>
          <w:szCs w:val="20"/>
        </w:rPr>
        <w:t xml:space="preserve"> humanos que adujeron respecto al caso</w:t>
      </w:r>
      <w:r w:rsidRPr="0049739E">
        <w:rPr>
          <w:sz w:val="20"/>
          <w:szCs w:val="20"/>
        </w:rPr>
        <w:t xml:space="preserve"> “se vieron atravesadas por la </w:t>
      </w:r>
      <w:r w:rsidRPr="00620163">
        <w:rPr>
          <w:sz w:val="20"/>
          <w:szCs w:val="20"/>
        </w:rPr>
        <w:t>discriminación</w:t>
      </w:r>
      <w:r w:rsidRPr="00703661">
        <w:rPr>
          <w:sz w:val="20"/>
          <w:szCs w:val="20"/>
        </w:rPr>
        <w:t>”</w:t>
      </w:r>
      <w:r w:rsidRPr="0049739E">
        <w:rPr>
          <w:sz w:val="20"/>
          <w:szCs w:val="20"/>
        </w:rPr>
        <w:t>, dada la “normalización […] de la violencia que se ejercía en contra de hombres jóvenes en situación de vulnerabil</w:t>
      </w:r>
      <w:r>
        <w:rPr>
          <w:sz w:val="20"/>
          <w:szCs w:val="20"/>
        </w:rPr>
        <w:t>i</w:t>
      </w:r>
      <w:r w:rsidRPr="0049739E">
        <w:rPr>
          <w:sz w:val="20"/>
          <w:szCs w:val="20"/>
        </w:rPr>
        <w:t>dad y pobreza”. Sostuvieron, por eso, que dichas violaciones tienen relación con el incumplimiento del artículo 1.1 de la Convención</w:t>
      </w:r>
      <w:r>
        <w:rPr>
          <w:sz w:val="20"/>
          <w:szCs w:val="20"/>
        </w:rPr>
        <w:t>,</w:t>
      </w:r>
      <w:r w:rsidRPr="0049739E">
        <w:rPr>
          <w:sz w:val="20"/>
          <w:szCs w:val="20"/>
        </w:rPr>
        <w:t xml:space="preserve"> en lo atinente a la “obligación de respetar sin discriminación los derechos </w:t>
      </w:r>
      <w:r>
        <w:rPr>
          <w:sz w:val="20"/>
          <w:szCs w:val="20"/>
        </w:rPr>
        <w:t xml:space="preserve">humanos </w:t>
      </w:r>
      <w:r w:rsidRPr="0049739E">
        <w:rPr>
          <w:sz w:val="20"/>
          <w:szCs w:val="20"/>
        </w:rPr>
        <w:t>de las [presuntas] víctimas”.</w:t>
      </w:r>
    </w:p>
    <w:p w14:paraId="1E09B695" w14:textId="77777777" w:rsidR="00685A14" w:rsidRPr="0070260A" w:rsidRDefault="00685A14" w:rsidP="00685A14">
      <w:pPr>
        <w:pStyle w:val="Prrafodelista"/>
        <w:rPr>
          <w:sz w:val="20"/>
          <w:szCs w:val="20"/>
        </w:rPr>
      </w:pPr>
    </w:p>
    <w:p w14:paraId="75AE26F3" w14:textId="77777777" w:rsidR="00685A14" w:rsidRPr="00620163" w:rsidRDefault="00685A14" w:rsidP="00685A14">
      <w:pPr>
        <w:pStyle w:val="Prrafodelista"/>
        <w:widowControl/>
        <w:numPr>
          <w:ilvl w:val="0"/>
          <w:numId w:val="29"/>
        </w:numPr>
        <w:autoSpaceDE/>
        <w:autoSpaceDN/>
        <w:spacing w:after="200"/>
        <w:ind w:left="0" w:firstLine="0"/>
        <w:contextualSpacing/>
        <w:rPr>
          <w:sz w:val="20"/>
          <w:szCs w:val="20"/>
        </w:rPr>
      </w:pPr>
      <w:r>
        <w:rPr>
          <w:sz w:val="20"/>
          <w:szCs w:val="20"/>
        </w:rPr>
        <w:t xml:space="preserve">La </w:t>
      </w:r>
      <w:r w:rsidRPr="0070260A">
        <w:rPr>
          <w:b/>
          <w:i/>
          <w:sz w:val="20"/>
          <w:szCs w:val="20"/>
        </w:rPr>
        <w:t>Corte</w:t>
      </w:r>
      <w:r>
        <w:rPr>
          <w:sz w:val="20"/>
          <w:szCs w:val="20"/>
        </w:rPr>
        <w:t xml:space="preserve"> nota que la Convención Americana, en su artículo 1.1, manda a los Estados a respetar los derechos y libertades que reconoce, y a garantizar su pleno ejercicio a “toda persona que esté sujeta a su jurisdicción, </w:t>
      </w:r>
      <w:r w:rsidRPr="0070260A">
        <w:rPr>
          <w:sz w:val="20"/>
          <w:szCs w:val="20"/>
        </w:rPr>
        <w:t>sin discriminación</w:t>
      </w:r>
      <w:r>
        <w:rPr>
          <w:sz w:val="20"/>
          <w:szCs w:val="20"/>
        </w:rPr>
        <w:t xml:space="preserve"> </w:t>
      </w:r>
      <w:r w:rsidRPr="0070260A">
        <w:rPr>
          <w:sz w:val="20"/>
          <w:szCs w:val="20"/>
        </w:rPr>
        <w:t>alguna por motivos de raza, color, sexo, idioma, religión, opiniones políticas o de cualquier</w:t>
      </w:r>
      <w:r>
        <w:rPr>
          <w:sz w:val="20"/>
          <w:szCs w:val="20"/>
        </w:rPr>
        <w:t xml:space="preserve"> </w:t>
      </w:r>
      <w:r w:rsidRPr="0070260A">
        <w:rPr>
          <w:sz w:val="20"/>
          <w:szCs w:val="20"/>
        </w:rPr>
        <w:t>otra índole, origen nacional o social, posición económica, nacimiento o cualquier otra condición</w:t>
      </w:r>
      <w:r>
        <w:rPr>
          <w:sz w:val="20"/>
          <w:szCs w:val="20"/>
        </w:rPr>
        <w:t xml:space="preserve"> </w:t>
      </w:r>
      <w:r w:rsidRPr="0070260A">
        <w:rPr>
          <w:sz w:val="20"/>
          <w:szCs w:val="20"/>
        </w:rPr>
        <w:t>social</w:t>
      </w:r>
      <w:r w:rsidRPr="00294CCA">
        <w:rPr>
          <w:sz w:val="20"/>
          <w:szCs w:val="20"/>
        </w:rPr>
        <w:t>”. Se trata de una norma de carácter general, cuyo contenido se extiende a todas las disposiciones del tratado. De ese modo, como ya ha advertido este Tribunal, “[c]</w:t>
      </w:r>
      <w:proofErr w:type="spellStart"/>
      <w:r w:rsidRPr="00294CCA">
        <w:rPr>
          <w:sz w:val="20"/>
          <w:szCs w:val="20"/>
        </w:rPr>
        <w:t>ualquiera</w:t>
      </w:r>
      <w:proofErr w:type="spellEnd"/>
      <w:r w:rsidRPr="00294CCA">
        <w:rPr>
          <w:sz w:val="20"/>
          <w:szCs w:val="20"/>
        </w:rPr>
        <w:t xml:space="preserve"> que sea el origen o la forma que asuma</w:t>
      </w:r>
      <w:r>
        <w:rPr>
          <w:sz w:val="20"/>
          <w:szCs w:val="20"/>
        </w:rPr>
        <w:t>, todo</w:t>
      </w:r>
      <w:r w:rsidRPr="00294CCA">
        <w:rPr>
          <w:sz w:val="20"/>
          <w:szCs w:val="20"/>
        </w:rPr>
        <w:t xml:space="preserve"> tratamiento que pueda ser considerado discriminatorio respecto del ejercicio de los derechos garantizados en la Convención, es </w:t>
      </w:r>
      <w:r w:rsidRPr="00294CCA">
        <w:rPr>
          <w:i/>
          <w:sz w:val="20"/>
          <w:szCs w:val="20"/>
        </w:rPr>
        <w:t>per se</w:t>
      </w:r>
      <w:r w:rsidRPr="00294CCA">
        <w:rPr>
          <w:sz w:val="20"/>
          <w:szCs w:val="20"/>
        </w:rPr>
        <w:t xml:space="preserve"> incompatible con </w:t>
      </w:r>
      <w:r>
        <w:rPr>
          <w:sz w:val="20"/>
          <w:szCs w:val="20"/>
        </w:rPr>
        <w:t>la misma</w:t>
      </w:r>
      <w:r w:rsidRPr="00294CCA">
        <w:rPr>
          <w:sz w:val="20"/>
          <w:szCs w:val="20"/>
        </w:rPr>
        <w:t>”</w:t>
      </w:r>
      <w:r w:rsidRPr="00294CCA">
        <w:rPr>
          <w:rStyle w:val="Refdenotaalpie"/>
          <w:sz w:val="20"/>
          <w:szCs w:val="20"/>
        </w:rPr>
        <w:footnoteReference w:id="86"/>
      </w:r>
      <w:r w:rsidRPr="00294CCA">
        <w:rPr>
          <w:sz w:val="20"/>
          <w:szCs w:val="20"/>
        </w:rPr>
        <w:t xml:space="preserve">. Por ello, la inobservancia del Estado </w:t>
      </w:r>
      <w:r w:rsidRPr="00294CCA">
        <w:rPr>
          <w:sz w:val="20"/>
          <w:szCs w:val="20"/>
        </w:rPr>
        <w:lastRenderedPageBreak/>
        <w:t>de las obligaciones previstas en el artículo 1.1 citado, por medio de cualquier tratamiento discriminatorio, genera la responsabilidad estatal</w:t>
      </w:r>
      <w:r w:rsidRPr="00294CCA">
        <w:rPr>
          <w:rStyle w:val="Refdenotaalpie"/>
          <w:sz w:val="20"/>
          <w:szCs w:val="20"/>
        </w:rPr>
        <w:footnoteReference w:id="87"/>
      </w:r>
      <w:r w:rsidRPr="00294CCA">
        <w:rPr>
          <w:sz w:val="20"/>
          <w:szCs w:val="20"/>
        </w:rPr>
        <w:t>.</w:t>
      </w:r>
      <w:r>
        <w:rPr>
          <w:sz w:val="20"/>
          <w:szCs w:val="20"/>
        </w:rPr>
        <w:t xml:space="preserve"> </w:t>
      </w:r>
    </w:p>
    <w:p w14:paraId="35193AA7" w14:textId="77777777" w:rsidR="00685A14" w:rsidRPr="0070260A" w:rsidRDefault="00685A14" w:rsidP="00685A14">
      <w:pPr>
        <w:pStyle w:val="Prrafodelista"/>
        <w:rPr>
          <w:sz w:val="20"/>
          <w:szCs w:val="20"/>
        </w:rPr>
      </w:pPr>
    </w:p>
    <w:p w14:paraId="23EBF49B" w14:textId="289A9AD1" w:rsidR="00685A14" w:rsidRDefault="00685A14" w:rsidP="00685A14">
      <w:pPr>
        <w:pStyle w:val="Prrafodelista"/>
        <w:widowControl/>
        <w:numPr>
          <w:ilvl w:val="0"/>
          <w:numId w:val="29"/>
        </w:numPr>
        <w:autoSpaceDE/>
        <w:autoSpaceDN/>
        <w:ind w:left="0" w:firstLine="0"/>
        <w:contextualSpacing/>
        <w:rPr>
          <w:sz w:val="20"/>
          <w:szCs w:val="20"/>
        </w:rPr>
      </w:pPr>
      <w:r>
        <w:rPr>
          <w:sz w:val="20"/>
          <w:szCs w:val="20"/>
        </w:rPr>
        <w:t xml:space="preserve">La Corte ha señalado que resultan discriminatorias las lesiones a derechos basadas en la pertenencia, real o supuesta, de una persona a un grupo con características determinadas. </w:t>
      </w:r>
      <w:r w:rsidRPr="00240F41">
        <w:rPr>
          <w:sz w:val="20"/>
          <w:szCs w:val="20"/>
        </w:rPr>
        <w:t xml:space="preserve">En este sentido, </w:t>
      </w:r>
      <w:r>
        <w:rPr>
          <w:sz w:val="20"/>
          <w:szCs w:val="20"/>
        </w:rPr>
        <w:t>conforme ha expresado este Tribunal, “</w:t>
      </w:r>
      <w:r w:rsidRPr="00240F41">
        <w:rPr>
          <w:sz w:val="20"/>
          <w:szCs w:val="20"/>
        </w:rPr>
        <w:t xml:space="preserve">la discriminación efectuada </w:t>
      </w:r>
      <w:proofErr w:type="gramStart"/>
      <w:r w:rsidRPr="00240F41">
        <w:rPr>
          <w:sz w:val="20"/>
          <w:szCs w:val="20"/>
        </w:rPr>
        <w:t>en razón de</w:t>
      </w:r>
      <w:proofErr w:type="gramEnd"/>
      <w:r w:rsidRPr="00240F41">
        <w:rPr>
          <w:sz w:val="20"/>
          <w:szCs w:val="20"/>
        </w:rPr>
        <w:t xml:space="preserve"> una de las categorías señaladas a título ilustrativo en el artículo 1.1 de la Convención</w:t>
      </w:r>
      <w:r>
        <w:rPr>
          <w:rStyle w:val="Refdenotaalpie"/>
          <w:sz w:val="20"/>
          <w:szCs w:val="20"/>
        </w:rPr>
        <w:footnoteReference w:id="88"/>
      </w:r>
      <w:r w:rsidRPr="00240F41">
        <w:rPr>
          <w:sz w:val="20"/>
          <w:szCs w:val="20"/>
        </w:rPr>
        <w:t>, amerita una particular o peculiar consideración</w:t>
      </w:r>
      <w:r>
        <w:rPr>
          <w:sz w:val="20"/>
          <w:szCs w:val="20"/>
        </w:rPr>
        <w:t>”</w:t>
      </w:r>
      <w:r w:rsidRPr="00240F41">
        <w:rPr>
          <w:sz w:val="20"/>
          <w:szCs w:val="20"/>
        </w:rPr>
        <w:t xml:space="preserve">, </w:t>
      </w:r>
      <w:r>
        <w:rPr>
          <w:sz w:val="20"/>
          <w:szCs w:val="20"/>
        </w:rPr>
        <w:t xml:space="preserve">en tanto que </w:t>
      </w:r>
      <w:r w:rsidRPr="00240F41">
        <w:rPr>
          <w:sz w:val="20"/>
          <w:szCs w:val="20"/>
        </w:rPr>
        <w:t xml:space="preserve">el respectivo hecho ilícito que su ejercicio significa tiene lugar en razón de </w:t>
      </w:r>
      <w:r>
        <w:rPr>
          <w:sz w:val="20"/>
          <w:szCs w:val="20"/>
        </w:rPr>
        <w:t>características de la víctima, o de lo que ella</w:t>
      </w:r>
      <w:r w:rsidRPr="00240F41">
        <w:rPr>
          <w:sz w:val="20"/>
          <w:szCs w:val="20"/>
        </w:rPr>
        <w:t xml:space="preserve"> </w:t>
      </w:r>
      <w:r>
        <w:rPr>
          <w:sz w:val="20"/>
          <w:szCs w:val="20"/>
        </w:rPr>
        <w:t>“</w:t>
      </w:r>
      <w:r w:rsidRPr="00240F41">
        <w:rPr>
          <w:sz w:val="20"/>
          <w:szCs w:val="20"/>
        </w:rPr>
        <w:t>representa o parece ser y que es lo que la distingue de las demás personas”</w:t>
      </w:r>
      <w:r>
        <w:rPr>
          <w:rStyle w:val="Refdenotaalpie"/>
          <w:sz w:val="20"/>
          <w:szCs w:val="20"/>
        </w:rPr>
        <w:footnoteReference w:id="89"/>
      </w:r>
      <w:r w:rsidRPr="00240F41">
        <w:rPr>
          <w:sz w:val="20"/>
          <w:szCs w:val="20"/>
        </w:rPr>
        <w:t xml:space="preserve">. </w:t>
      </w:r>
      <w:r>
        <w:rPr>
          <w:sz w:val="20"/>
          <w:szCs w:val="20"/>
        </w:rPr>
        <w:t>Así, por ejemplo, la Corte ha indicado que la violencia contra la mujer por su condición de tal resulta discriminatoria</w:t>
      </w:r>
      <w:r>
        <w:rPr>
          <w:rStyle w:val="Refdenotaalpie"/>
          <w:sz w:val="20"/>
          <w:szCs w:val="20"/>
        </w:rPr>
        <w:footnoteReference w:id="90"/>
      </w:r>
      <w:r>
        <w:rPr>
          <w:sz w:val="20"/>
          <w:szCs w:val="20"/>
        </w:rPr>
        <w:t xml:space="preserve">, y que tienen también ese carácter la lesión a derechos de una persona por su </w:t>
      </w:r>
      <w:r w:rsidR="005C05F5">
        <w:rPr>
          <w:sz w:val="20"/>
          <w:szCs w:val="20"/>
        </w:rPr>
        <w:t xml:space="preserve">identidad de género, </w:t>
      </w:r>
      <w:r>
        <w:rPr>
          <w:sz w:val="20"/>
          <w:szCs w:val="20"/>
        </w:rPr>
        <w:t>expresión de genero u orientación sexual</w:t>
      </w:r>
      <w:r>
        <w:rPr>
          <w:rStyle w:val="Refdenotaalpie"/>
          <w:sz w:val="20"/>
          <w:szCs w:val="20"/>
        </w:rPr>
        <w:footnoteReference w:id="91"/>
      </w:r>
      <w:r>
        <w:rPr>
          <w:sz w:val="20"/>
          <w:szCs w:val="20"/>
        </w:rPr>
        <w:t>, o con base en perfiles raciales</w:t>
      </w:r>
      <w:r>
        <w:rPr>
          <w:rStyle w:val="Refdenotaalpie"/>
          <w:sz w:val="20"/>
          <w:szCs w:val="20"/>
        </w:rPr>
        <w:footnoteReference w:id="92"/>
      </w:r>
      <w:r>
        <w:rPr>
          <w:sz w:val="20"/>
          <w:szCs w:val="20"/>
        </w:rPr>
        <w:t xml:space="preserve">, entre otros. </w:t>
      </w:r>
    </w:p>
    <w:p w14:paraId="2E13B347" w14:textId="77777777" w:rsidR="00685A14" w:rsidRPr="00BD3ED5" w:rsidRDefault="00685A14" w:rsidP="00685A14">
      <w:pPr>
        <w:pStyle w:val="Prrafodelista"/>
        <w:widowControl/>
        <w:autoSpaceDE/>
        <w:autoSpaceDN/>
        <w:ind w:left="0"/>
        <w:contextualSpacing/>
        <w:rPr>
          <w:sz w:val="20"/>
          <w:szCs w:val="20"/>
        </w:rPr>
      </w:pPr>
    </w:p>
    <w:p w14:paraId="44D183E2" w14:textId="77777777" w:rsidR="00685A14" w:rsidRPr="00D64A29" w:rsidRDefault="00685A14" w:rsidP="00685A14">
      <w:pPr>
        <w:pStyle w:val="Prrafodelista"/>
        <w:widowControl/>
        <w:numPr>
          <w:ilvl w:val="0"/>
          <w:numId w:val="29"/>
        </w:numPr>
        <w:autoSpaceDE/>
        <w:autoSpaceDN/>
        <w:ind w:left="0" w:firstLine="0"/>
        <w:contextualSpacing/>
        <w:rPr>
          <w:sz w:val="20"/>
          <w:szCs w:val="20"/>
        </w:rPr>
      </w:pPr>
      <w:r w:rsidRPr="00294CCA">
        <w:rPr>
          <w:sz w:val="20"/>
          <w:szCs w:val="20"/>
        </w:rPr>
        <w:t>En relación con lo anterior, la pobreza es una condición que adquiere protección contra la discriminación a través del artículo 1.1 de la Convención Americana. En ese sentido, se vincula a la “posición económica”, señalada en forma expresa por la disposición normativa, así como a otras categorías de protección aludidas por la misma, como el “origen […] social” u “otra condición social”</w:t>
      </w:r>
      <w:r w:rsidRPr="00294CCA">
        <w:rPr>
          <w:rStyle w:val="Refdenotaalpie"/>
          <w:sz w:val="20"/>
          <w:szCs w:val="20"/>
        </w:rPr>
        <w:footnoteReference w:id="93"/>
      </w:r>
      <w:r>
        <w:rPr>
          <w:sz w:val="20"/>
          <w:szCs w:val="20"/>
        </w:rPr>
        <w:t xml:space="preserve">. </w:t>
      </w:r>
      <w:r w:rsidRPr="00D64A29">
        <w:rPr>
          <w:sz w:val="20"/>
          <w:szCs w:val="20"/>
        </w:rPr>
        <w:t xml:space="preserve">Del mismo modo, la edad </w:t>
      </w:r>
      <w:r w:rsidRPr="00D64A29">
        <w:rPr>
          <w:sz w:val="20"/>
          <w:szCs w:val="20"/>
        </w:rPr>
        <w:lastRenderedPageBreak/>
        <w:t>configura también una “condición social” y, por tanto, una categoría protegida por la disposición indicada</w:t>
      </w:r>
      <w:r w:rsidRPr="00D64A29">
        <w:rPr>
          <w:rStyle w:val="Refdenotaalpie"/>
          <w:sz w:val="20"/>
          <w:szCs w:val="20"/>
        </w:rPr>
        <w:footnoteReference w:id="94"/>
      </w:r>
      <w:r w:rsidRPr="00D64A29">
        <w:rPr>
          <w:sz w:val="20"/>
          <w:szCs w:val="20"/>
        </w:rPr>
        <w:t xml:space="preserve">. En este sentido, la prohibición de discriminación relacionada con personas </w:t>
      </w:r>
      <w:proofErr w:type="gramStart"/>
      <w:r w:rsidRPr="00D64A29">
        <w:rPr>
          <w:sz w:val="20"/>
          <w:szCs w:val="20"/>
        </w:rPr>
        <w:t>jóvenes,</w:t>
      </w:r>
      <w:proofErr w:type="gramEnd"/>
      <w:r w:rsidRPr="00D64A29">
        <w:rPr>
          <w:sz w:val="20"/>
          <w:szCs w:val="20"/>
        </w:rPr>
        <w:t xml:space="preserve"> se encuentra tutelada por la Convención Americana. Al respecto, la Corte advierte que los hechos del caso, vinculados al contexto establecido de violencia policial contra hombres jóvenes en situación de pobreza, muestran que las violaciones a derechos humanos cometidas contra Jimmy Guerrero tuvieron por base la percepción de que él pertenecía al grupo poblacional determinado por esas características.</w:t>
      </w:r>
    </w:p>
    <w:p w14:paraId="34BD4DD1" w14:textId="77777777" w:rsidR="00685A14" w:rsidRDefault="00685A14" w:rsidP="00685A14">
      <w:pPr>
        <w:pStyle w:val="Prrafodelista"/>
        <w:widowControl/>
        <w:autoSpaceDE/>
        <w:autoSpaceDN/>
        <w:ind w:left="0"/>
        <w:contextualSpacing/>
        <w:rPr>
          <w:sz w:val="20"/>
          <w:szCs w:val="20"/>
        </w:rPr>
      </w:pPr>
    </w:p>
    <w:p w14:paraId="5D5F2729" w14:textId="5A04C43F" w:rsidR="00685A14" w:rsidRDefault="00685A14" w:rsidP="00685A14">
      <w:pPr>
        <w:pStyle w:val="Prrafodelista"/>
        <w:widowControl/>
        <w:numPr>
          <w:ilvl w:val="0"/>
          <w:numId w:val="29"/>
        </w:numPr>
        <w:autoSpaceDE/>
        <w:autoSpaceDN/>
        <w:spacing w:after="200"/>
        <w:ind w:left="0" w:firstLine="0"/>
        <w:contextualSpacing/>
        <w:rPr>
          <w:sz w:val="20"/>
          <w:szCs w:val="20"/>
        </w:rPr>
      </w:pPr>
      <w:r>
        <w:rPr>
          <w:sz w:val="20"/>
          <w:szCs w:val="20"/>
        </w:rPr>
        <w:t>Resulta pertinente en el caso, por otra parte, recordar que este Tribunal ha advertido que “[e]</w:t>
      </w:r>
      <w:r w:rsidRPr="009A6BB6">
        <w:rPr>
          <w:sz w:val="20"/>
          <w:szCs w:val="20"/>
        </w:rPr>
        <w:t>l</w:t>
      </w:r>
      <w:r>
        <w:rPr>
          <w:sz w:val="20"/>
          <w:szCs w:val="20"/>
        </w:rPr>
        <w:t xml:space="preserve"> </w:t>
      </w:r>
      <w:r w:rsidRPr="009A6BB6">
        <w:rPr>
          <w:sz w:val="20"/>
          <w:szCs w:val="20"/>
        </w:rPr>
        <w:t>empleo de razonamientos estereotipados por parte de las fuerzas de seguridad puede dar</w:t>
      </w:r>
      <w:r>
        <w:rPr>
          <w:sz w:val="20"/>
          <w:szCs w:val="20"/>
        </w:rPr>
        <w:t xml:space="preserve"> </w:t>
      </w:r>
      <w:r w:rsidRPr="009A6BB6">
        <w:rPr>
          <w:sz w:val="20"/>
          <w:szCs w:val="20"/>
        </w:rPr>
        <w:t>lugar a actuaciones discriminatorias</w:t>
      </w:r>
      <w:r>
        <w:rPr>
          <w:sz w:val="20"/>
          <w:szCs w:val="20"/>
        </w:rPr>
        <w:t>”</w:t>
      </w:r>
      <w:r>
        <w:rPr>
          <w:rStyle w:val="Refdenotaalpie"/>
          <w:sz w:val="20"/>
          <w:szCs w:val="20"/>
        </w:rPr>
        <w:footnoteReference w:id="95"/>
      </w:r>
      <w:r w:rsidRPr="009A6BB6">
        <w:rPr>
          <w:sz w:val="20"/>
          <w:szCs w:val="20"/>
        </w:rPr>
        <w:t>.</w:t>
      </w:r>
      <w:r>
        <w:rPr>
          <w:sz w:val="20"/>
          <w:szCs w:val="20"/>
        </w:rPr>
        <w:t xml:space="preserve"> En ese sentido, que tales fuerzas sustenten de hecho su actuación en “perfiles” de las personas basados en estereotipos</w:t>
      </w:r>
      <w:r>
        <w:rPr>
          <w:rStyle w:val="Refdenotaalpie"/>
          <w:sz w:val="20"/>
          <w:szCs w:val="20"/>
        </w:rPr>
        <w:footnoteReference w:id="96"/>
      </w:r>
      <w:r>
        <w:rPr>
          <w:sz w:val="20"/>
          <w:szCs w:val="20"/>
        </w:rPr>
        <w:t>, tal como puede ser atribuir a alguien la sospecha de un comportamiento ilícito por ser joven o pobre, puede dar lugar a acciones discriminatorias lesivas de los derechos</w:t>
      </w:r>
      <w:r w:rsidR="00182649">
        <w:rPr>
          <w:sz w:val="20"/>
          <w:szCs w:val="20"/>
        </w:rPr>
        <w:t xml:space="preserve"> de la </w:t>
      </w:r>
      <w:r w:rsidR="005C05F5">
        <w:rPr>
          <w:sz w:val="20"/>
          <w:szCs w:val="20"/>
        </w:rPr>
        <w:t>persona a</w:t>
      </w:r>
      <w:r w:rsidR="00182649">
        <w:rPr>
          <w:sz w:val="20"/>
          <w:szCs w:val="20"/>
        </w:rPr>
        <w:t>fectada</w:t>
      </w:r>
      <w:r>
        <w:rPr>
          <w:rStyle w:val="Refdenotaalpie"/>
          <w:sz w:val="20"/>
          <w:szCs w:val="20"/>
        </w:rPr>
        <w:footnoteReference w:id="97"/>
      </w:r>
      <w:r>
        <w:rPr>
          <w:sz w:val="20"/>
          <w:szCs w:val="20"/>
        </w:rPr>
        <w:t>. Las mismas pueden implicar el irrespeto directo de los derechos o también su falta de garantía, inclusive en el marco de procesos judiciales, por ejemplo, cuando la falta de actuación respecto a violaciones a derechos humanos sufridas por ciertas personas se debe a una normalización o naturalización de las condiciones o actos discriminatorios a los que frecuentemente se ven sometidas</w:t>
      </w:r>
      <w:r>
        <w:rPr>
          <w:rStyle w:val="Refdenotaalpie"/>
          <w:sz w:val="20"/>
          <w:szCs w:val="20"/>
        </w:rPr>
        <w:footnoteReference w:id="98"/>
      </w:r>
      <w:r>
        <w:rPr>
          <w:sz w:val="20"/>
          <w:szCs w:val="20"/>
        </w:rPr>
        <w:t xml:space="preserve">. </w:t>
      </w:r>
    </w:p>
    <w:p w14:paraId="266E40BD" w14:textId="77777777" w:rsidR="00685A14" w:rsidRPr="00F5292C" w:rsidRDefault="00685A14" w:rsidP="00685A14">
      <w:pPr>
        <w:pStyle w:val="Prrafodelista"/>
        <w:rPr>
          <w:sz w:val="20"/>
          <w:szCs w:val="20"/>
        </w:rPr>
      </w:pPr>
    </w:p>
    <w:p w14:paraId="6EB65B43" w14:textId="77777777" w:rsidR="00685A14" w:rsidRDefault="00685A14" w:rsidP="00685A14">
      <w:pPr>
        <w:pStyle w:val="Prrafodelista"/>
        <w:widowControl/>
        <w:numPr>
          <w:ilvl w:val="0"/>
          <w:numId w:val="29"/>
        </w:numPr>
        <w:autoSpaceDE/>
        <w:autoSpaceDN/>
        <w:spacing w:after="200"/>
        <w:ind w:left="0" w:firstLine="0"/>
        <w:contextualSpacing/>
        <w:rPr>
          <w:sz w:val="20"/>
          <w:szCs w:val="20"/>
        </w:rPr>
      </w:pPr>
      <w:r>
        <w:rPr>
          <w:sz w:val="20"/>
          <w:szCs w:val="20"/>
        </w:rPr>
        <w:t xml:space="preserve">En línea con lo anterior, el perito </w:t>
      </w:r>
      <w:proofErr w:type="spellStart"/>
      <w:r>
        <w:rPr>
          <w:sz w:val="20"/>
          <w:szCs w:val="20"/>
        </w:rPr>
        <w:t>Alston</w:t>
      </w:r>
      <w:proofErr w:type="spellEnd"/>
      <w:r>
        <w:rPr>
          <w:sz w:val="20"/>
          <w:szCs w:val="20"/>
        </w:rPr>
        <w:t xml:space="preserve"> explicó que “la brutalidad policial afecta en gran medida a </w:t>
      </w:r>
      <w:proofErr w:type="gramStart"/>
      <w:r>
        <w:rPr>
          <w:sz w:val="20"/>
          <w:szCs w:val="20"/>
        </w:rPr>
        <w:t>l[</w:t>
      </w:r>
      <w:proofErr w:type="gramEnd"/>
      <w:r>
        <w:rPr>
          <w:sz w:val="20"/>
          <w:szCs w:val="20"/>
        </w:rPr>
        <w:t xml:space="preserve">as personas] pobres” debido a “varios factores”, entre ellos, </w:t>
      </w:r>
      <w:r w:rsidRPr="00EB505A">
        <w:rPr>
          <w:sz w:val="20"/>
          <w:szCs w:val="20"/>
        </w:rPr>
        <w:t>“el hecho de que los funcionarios encargados de hacer cumplir la ley suelen utilizar la ‘pobreza’, la ‘falta de vivienda’ o la ‘desventaja’ como indicador de delincuencia”. El perito agregó que</w:t>
      </w:r>
    </w:p>
    <w:p w14:paraId="64D819EA" w14:textId="77777777" w:rsidR="00685A14" w:rsidRPr="00EB505A" w:rsidRDefault="00685A14" w:rsidP="00685A14">
      <w:pPr>
        <w:pStyle w:val="Prrafodelista"/>
        <w:widowControl/>
        <w:autoSpaceDE/>
        <w:autoSpaceDN/>
        <w:spacing w:after="200"/>
        <w:ind w:left="0"/>
        <w:contextualSpacing/>
        <w:rPr>
          <w:sz w:val="20"/>
          <w:szCs w:val="20"/>
        </w:rPr>
      </w:pPr>
    </w:p>
    <w:p w14:paraId="51671A85" w14:textId="77777777" w:rsidR="00685A14" w:rsidRPr="00EB505A" w:rsidRDefault="00685A14" w:rsidP="00182649">
      <w:pPr>
        <w:pStyle w:val="Prrafodelista"/>
        <w:ind w:left="284" w:right="333"/>
        <w:rPr>
          <w:sz w:val="16"/>
          <w:szCs w:val="16"/>
        </w:rPr>
      </w:pPr>
      <w:r w:rsidRPr="00F5292C">
        <w:rPr>
          <w:sz w:val="16"/>
          <w:szCs w:val="16"/>
        </w:rPr>
        <w:t xml:space="preserve">[e]n varios informes se ha documentado </w:t>
      </w:r>
      <w:r>
        <w:rPr>
          <w:sz w:val="16"/>
          <w:szCs w:val="16"/>
        </w:rPr>
        <w:t xml:space="preserve">[cómo] </w:t>
      </w:r>
      <w:r w:rsidRPr="00F5292C">
        <w:rPr>
          <w:sz w:val="16"/>
          <w:szCs w:val="16"/>
        </w:rPr>
        <w:t xml:space="preserve">violaciones graves de los derechos humanos, como la tortura, las ejecuciones extrajudiciales y las desapariciones forzadas, afectan mucho más drásticamente a los grupos de bajos ingresos y a </w:t>
      </w:r>
      <w:r>
        <w:rPr>
          <w:sz w:val="16"/>
          <w:szCs w:val="16"/>
        </w:rPr>
        <w:t>[quienes]</w:t>
      </w:r>
      <w:r w:rsidRPr="00F5292C">
        <w:rPr>
          <w:sz w:val="16"/>
          <w:szCs w:val="16"/>
        </w:rPr>
        <w:t xml:space="preserve"> viven en la pobreza. Es más probable que las personas en situación de pobreza sean el blanco de estas violaciones dado que tienen menos posibilidades de defenderse, menos posibilidades de obtener apoyo en esas </w:t>
      </w:r>
      <w:proofErr w:type="gramStart"/>
      <w:r w:rsidRPr="00F5292C">
        <w:rPr>
          <w:sz w:val="16"/>
          <w:szCs w:val="16"/>
        </w:rPr>
        <w:t>situaciones[</w:t>
      </w:r>
      <w:proofErr w:type="gramEnd"/>
      <w:r w:rsidRPr="00F5292C">
        <w:rPr>
          <w:sz w:val="16"/>
          <w:szCs w:val="16"/>
        </w:rPr>
        <w:t>. …] Esto también disminuye la posibilidad de que las víctimas en situación de pobreza presenten denuncias y asegura que cuando lo hacen, es mucho menos probable que sus alegaciones sean tomadas en serio</w:t>
      </w:r>
      <w:r>
        <w:rPr>
          <w:sz w:val="16"/>
          <w:szCs w:val="16"/>
        </w:rPr>
        <w:t xml:space="preserve">. […] Por otra parte, </w:t>
      </w:r>
      <w:r w:rsidRPr="00EB505A">
        <w:rPr>
          <w:sz w:val="16"/>
          <w:szCs w:val="16"/>
        </w:rPr>
        <w:t>aunque la policía suele ser excesivamente activa en la aplicación de</w:t>
      </w:r>
      <w:r>
        <w:rPr>
          <w:sz w:val="16"/>
          <w:szCs w:val="16"/>
        </w:rPr>
        <w:t xml:space="preserve"> </w:t>
      </w:r>
      <w:r w:rsidRPr="00EB505A">
        <w:rPr>
          <w:sz w:val="16"/>
          <w:szCs w:val="16"/>
        </w:rPr>
        <w:t xml:space="preserve">la ley contra </w:t>
      </w:r>
      <w:r>
        <w:rPr>
          <w:sz w:val="16"/>
          <w:szCs w:val="16"/>
        </w:rPr>
        <w:t>[las personas]</w:t>
      </w:r>
      <w:r w:rsidRPr="00EB505A">
        <w:rPr>
          <w:sz w:val="16"/>
          <w:szCs w:val="16"/>
        </w:rPr>
        <w:t xml:space="preserve"> pobres, en general es poco activa en la prevención e investigación</w:t>
      </w:r>
      <w:r>
        <w:rPr>
          <w:sz w:val="16"/>
          <w:szCs w:val="16"/>
        </w:rPr>
        <w:t xml:space="preserve"> </w:t>
      </w:r>
      <w:r w:rsidRPr="00EB505A">
        <w:rPr>
          <w:sz w:val="16"/>
          <w:szCs w:val="16"/>
        </w:rPr>
        <w:t xml:space="preserve">de las violaciones del </w:t>
      </w:r>
      <w:r w:rsidRPr="00EB505A">
        <w:rPr>
          <w:sz w:val="16"/>
          <w:szCs w:val="16"/>
        </w:rPr>
        <w:lastRenderedPageBreak/>
        <w:t>derecho a la seguridad de las personas que viven en zonas de</w:t>
      </w:r>
      <w:r>
        <w:rPr>
          <w:sz w:val="16"/>
          <w:szCs w:val="16"/>
        </w:rPr>
        <w:t xml:space="preserve"> </w:t>
      </w:r>
      <w:r w:rsidRPr="00EB505A">
        <w:rPr>
          <w:sz w:val="16"/>
          <w:szCs w:val="16"/>
        </w:rPr>
        <w:t>gran pobreza</w:t>
      </w:r>
      <w:r>
        <w:rPr>
          <w:rStyle w:val="Refdenotaalpie"/>
          <w:sz w:val="16"/>
          <w:szCs w:val="16"/>
        </w:rPr>
        <w:footnoteReference w:id="99"/>
      </w:r>
      <w:r w:rsidRPr="00EB505A">
        <w:rPr>
          <w:sz w:val="16"/>
          <w:szCs w:val="16"/>
        </w:rPr>
        <w:t>.</w:t>
      </w:r>
    </w:p>
    <w:p w14:paraId="7B714B76" w14:textId="77777777" w:rsidR="00685A14" w:rsidRPr="00D05A8A" w:rsidRDefault="00685A14" w:rsidP="00685A14">
      <w:pPr>
        <w:pStyle w:val="Prrafodelista"/>
        <w:rPr>
          <w:sz w:val="20"/>
          <w:szCs w:val="20"/>
        </w:rPr>
      </w:pPr>
    </w:p>
    <w:p w14:paraId="4468E454" w14:textId="18C78147" w:rsidR="00685A14" w:rsidRDefault="00685A14" w:rsidP="00685A14">
      <w:pPr>
        <w:pStyle w:val="Prrafodelista"/>
        <w:widowControl/>
        <w:numPr>
          <w:ilvl w:val="0"/>
          <w:numId w:val="29"/>
        </w:numPr>
        <w:autoSpaceDE/>
        <w:autoSpaceDN/>
        <w:ind w:left="0" w:firstLine="0"/>
        <w:contextualSpacing/>
        <w:rPr>
          <w:sz w:val="20"/>
          <w:szCs w:val="20"/>
        </w:rPr>
      </w:pPr>
      <w:r>
        <w:rPr>
          <w:sz w:val="20"/>
          <w:szCs w:val="20"/>
        </w:rPr>
        <w:t xml:space="preserve"> </w:t>
      </w:r>
      <w:r w:rsidRPr="007A400D">
        <w:rPr>
          <w:sz w:val="20"/>
          <w:szCs w:val="20"/>
        </w:rPr>
        <w:t>Como se ha referido, y ha sido aceptado por el Estado (</w:t>
      </w:r>
      <w:r w:rsidRPr="007A400D">
        <w:rPr>
          <w:i/>
          <w:sz w:val="20"/>
          <w:szCs w:val="20"/>
        </w:rPr>
        <w:t xml:space="preserve">supra </w:t>
      </w:r>
      <w:proofErr w:type="spellStart"/>
      <w:r w:rsidRPr="007A400D">
        <w:rPr>
          <w:sz w:val="20"/>
          <w:szCs w:val="20"/>
        </w:rPr>
        <w:t>párr</w:t>
      </w:r>
      <w:r>
        <w:rPr>
          <w:sz w:val="20"/>
          <w:szCs w:val="20"/>
        </w:rPr>
        <w:t>s</w:t>
      </w:r>
      <w:proofErr w:type="spellEnd"/>
      <w:r w:rsidRPr="007A400D">
        <w:rPr>
          <w:sz w:val="20"/>
          <w:szCs w:val="20"/>
        </w:rPr>
        <w:t xml:space="preserve">. </w:t>
      </w:r>
      <w:r w:rsidR="00182649">
        <w:rPr>
          <w:sz w:val="20"/>
          <w:szCs w:val="20"/>
        </w:rPr>
        <w:t xml:space="preserve">8, </w:t>
      </w:r>
      <w:r>
        <w:rPr>
          <w:sz w:val="20"/>
        </w:rPr>
        <w:t>14, 20, 21 y 45 a 53</w:t>
      </w:r>
      <w:r w:rsidRPr="007A400D">
        <w:rPr>
          <w:sz w:val="20"/>
          <w:szCs w:val="20"/>
        </w:rPr>
        <w:t xml:space="preserve">), el presente caso se inserta en un contexto de violencia policial contra hombres jóvenes en situación de pobreza, y de altos índices de impunidad de </w:t>
      </w:r>
      <w:proofErr w:type="gramStart"/>
      <w:r w:rsidRPr="007A400D">
        <w:rPr>
          <w:sz w:val="20"/>
          <w:szCs w:val="20"/>
        </w:rPr>
        <w:t>la misma</w:t>
      </w:r>
      <w:proofErr w:type="gramEnd"/>
      <w:r w:rsidRPr="007A400D">
        <w:rPr>
          <w:sz w:val="20"/>
          <w:szCs w:val="20"/>
        </w:rPr>
        <w:t xml:space="preserve">. </w:t>
      </w:r>
    </w:p>
    <w:p w14:paraId="070C4B1A" w14:textId="77777777" w:rsidR="00685A14" w:rsidRDefault="00685A14" w:rsidP="00685A14">
      <w:pPr>
        <w:pStyle w:val="Prrafodelista"/>
        <w:widowControl/>
        <w:autoSpaceDE/>
        <w:autoSpaceDN/>
        <w:ind w:left="0"/>
        <w:contextualSpacing/>
        <w:rPr>
          <w:sz w:val="20"/>
          <w:szCs w:val="20"/>
        </w:rPr>
      </w:pPr>
    </w:p>
    <w:p w14:paraId="7DA9DD16" w14:textId="6D4457CA" w:rsidR="00685A14" w:rsidRDefault="00685A14" w:rsidP="00685A14">
      <w:pPr>
        <w:pStyle w:val="Prrafodelista"/>
        <w:widowControl/>
        <w:numPr>
          <w:ilvl w:val="0"/>
          <w:numId w:val="29"/>
        </w:numPr>
        <w:autoSpaceDE/>
        <w:autoSpaceDN/>
        <w:ind w:left="0" w:firstLine="0"/>
        <w:contextualSpacing/>
        <w:rPr>
          <w:sz w:val="20"/>
          <w:szCs w:val="20"/>
        </w:rPr>
      </w:pPr>
      <w:r w:rsidRPr="007A400D">
        <w:rPr>
          <w:sz w:val="20"/>
          <w:szCs w:val="20"/>
        </w:rPr>
        <w:t>La Corte entiende que los actos cometidos contra Jimmy Guerrero se vincularon con ese contexto</w:t>
      </w:r>
      <w:r>
        <w:rPr>
          <w:sz w:val="20"/>
          <w:szCs w:val="20"/>
        </w:rPr>
        <w:t xml:space="preserve">. </w:t>
      </w:r>
      <w:r w:rsidRPr="00A5438A">
        <w:rPr>
          <w:sz w:val="20"/>
          <w:szCs w:val="20"/>
        </w:rPr>
        <w:t>En ese marco, la serie de actuaciones policiales que se analiza</w:t>
      </w:r>
      <w:r w:rsidR="008E7889">
        <w:rPr>
          <w:sz w:val="20"/>
          <w:szCs w:val="20"/>
        </w:rPr>
        <w:t>n</w:t>
      </w:r>
      <w:r w:rsidRPr="00A5438A">
        <w:rPr>
          <w:sz w:val="20"/>
          <w:szCs w:val="20"/>
        </w:rPr>
        <w:t xml:space="preserve"> en esta Sentencia involucr</w:t>
      </w:r>
      <w:r w:rsidR="005A5D4C">
        <w:rPr>
          <w:sz w:val="20"/>
          <w:szCs w:val="20"/>
        </w:rPr>
        <w:t>an</w:t>
      </w:r>
      <w:r w:rsidRPr="00A5438A">
        <w:rPr>
          <w:sz w:val="20"/>
          <w:szCs w:val="20"/>
        </w:rPr>
        <w:t xml:space="preserve"> hechos carentes de sustento legal, respecto a los cuales, por tal razón y por el modo en que se produjeron, resulta razonable asumir que estuvieron motivados en la percepción de los funcionarios policiales de que el señor Guerrero podría presentar algún peligro o merecía ser castigado o maltratado. Así, como ha quedado expuesto (</w:t>
      </w:r>
      <w:r w:rsidRPr="00A5438A">
        <w:rPr>
          <w:i/>
          <w:sz w:val="20"/>
          <w:szCs w:val="20"/>
        </w:rPr>
        <w:t xml:space="preserve">supra </w:t>
      </w:r>
      <w:proofErr w:type="spellStart"/>
      <w:r w:rsidRPr="00A5438A">
        <w:rPr>
          <w:sz w:val="20"/>
          <w:szCs w:val="20"/>
        </w:rPr>
        <w:t>párrs</w:t>
      </w:r>
      <w:proofErr w:type="spellEnd"/>
      <w:r w:rsidRPr="00A5438A">
        <w:rPr>
          <w:sz w:val="20"/>
          <w:szCs w:val="20"/>
        </w:rPr>
        <w:t xml:space="preserve">. </w:t>
      </w:r>
      <w:r>
        <w:rPr>
          <w:sz w:val="20"/>
          <w:szCs w:val="20"/>
        </w:rPr>
        <w:t>55 a 69</w:t>
      </w:r>
      <w:r w:rsidRPr="00A5438A">
        <w:rPr>
          <w:i/>
          <w:sz w:val="20"/>
          <w:szCs w:val="20"/>
        </w:rPr>
        <w:t>)</w:t>
      </w:r>
      <w:r w:rsidRPr="00A5438A">
        <w:rPr>
          <w:sz w:val="20"/>
          <w:szCs w:val="20"/>
        </w:rPr>
        <w:t xml:space="preserve">, el señor Guerrero fue detenido en múltiples oportunidades por la policía, que en distintas ocasiones lo interrogó por hechos ilícitos, y sufrió amenazas y agresiones por parte de personal policial. De las circunstancias del caso surge, entonces, que la conducta policial contra Jimmy Guerrero, que resultó lesiva de sus derechos, conforme se precisa más adelante, tuvo por base concepciones estereotipadas, que </w:t>
      </w:r>
      <w:r>
        <w:rPr>
          <w:sz w:val="20"/>
          <w:szCs w:val="20"/>
        </w:rPr>
        <w:t>resultaban de</w:t>
      </w:r>
      <w:r w:rsidRPr="00A5438A">
        <w:rPr>
          <w:sz w:val="20"/>
          <w:szCs w:val="20"/>
        </w:rPr>
        <w:t xml:space="preserve"> atribuir a hombre</w:t>
      </w:r>
      <w:r w:rsidR="007672FC">
        <w:rPr>
          <w:sz w:val="20"/>
          <w:szCs w:val="20"/>
        </w:rPr>
        <w:t>s jó</w:t>
      </w:r>
      <w:r w:rsidRPr="00A5438A">
        <w:rPr>
          <w:sz w:val="20"/>
          <w:szCs w:val="20"/>
        </w:rPr>
        <w:t>ven</w:t>
      </w:r>
      <w:r w:rsidR="007672FC">
        <w:rPr>
          <w:sz w:val="20"/>
          <w:szCs w:val="20"/>
        </w:rPr>
        <w:t>es</w:t>
      </w:r>
      <w:r w:rsidRPr="00A5438A">
        <w:rPr>
          <w:sz w:val="20"/>
          <w:szCs w:val="20"/>
        </w:rPr>
        <w:t xml:space="preserve"> en situación de pobreza</w:t>
      </w:r>
      <w:r w:rsidRPr="007A400D">
        <w:rPr>
          <w:sz w:val="20"/>
          <w:szCs w:val="20"/>
        </w:rPr>
        <w:t xml:space="preserve"> una supuesta peligrosidad, o la probable realización de conductas ilícitas. </w:t>
      </w:r>
    </w:p>
    <w:p w14:paraId="7893A17B" w14:textId="77777777" w:rsidR="00685A14" w:rsidRDefault="00685A14" w:rsidP="00685A14">
      <w:pPr>
        <w:pStyle w:val="Prrafodelista"/>
        <w:widowControl/>
        <w:autoSpaceDE/>
        <w:autoSpaceDN/>
        <w:ind w:left="0"/>
        <w:contextualSpacing/>
        <w:rPr>
          <w:sz w:val="20"/>
          <w:szCs w:val="20"/>
        </w:rPr>
      </w:pPr>
    </w:p>
    <w:p w14:paraId="52A6DBB3" w14:textId="77777777" w:rsidR="00685A14" w:rsidRPr="00D64A29" w:rsidRDefault="00685A14" w:rsidP="00685A14">
      <w:pPr>
        <w:pStyle w:val="Prrafodelista"/>
        <w:widowControl/>
        <w:numPr>
          <w:ilvl w:val="0"/>
          <w:numId w:val="29"/>
        </w:numPr>
        <w:autoSpaceDE/>
        <w:autoSpaceDN/>
        <w:ind w:left="0" w:firstLine="0"/>
        <w:contextualSpacing/>
        <w:rPr>
          <w:sz w:val="20"/>
          <w:szCs w:val="20"/>
        </w:rPr>
      </w:pPr>
      <w:r w:rsidRPr="00A5438A">
        <w:rPr>
          <w:sz w:val="20"/>
          <w:szCs w:val="20"/>
        </w:rPr>
        <w:t xml:space="preserve">En relación con lo anterior, conforme ya ha advertido este Tribunal, en atención al principio de no discriminación, los Estados “no puede[n] permitir por parte de sus agentes, ni fomentar en la </w:t>
      </w:r>
      <w:proofErr w:type="gramStart"/>
      <w:r w:rsidRPr="00A5438A">
        <w:rPr>
          <w:sz w:val="20"/>
          <w:szCs w:val="20"/>
        </w:rPr>
        <w:t>sociedad[</w:t>
      </w:r>
      <w:proofErr w:type="gramEnd"/>
      <w:r w:rsidRPr="00A5438A">
        <w:rPr>
          <w:sz w:val="20"/>
          <w:szCs w:val="20"/>
        </w:rPr>
        <w:t xml:space="preserve">,] prácticas que reproduzcan el estigma de que […] jóvenes pobres están condicionados a la delincuencia, o necesariamente vinculados al aumento de la inseguridad ciudadana”. Por el </w:t>
      </w:r>
      <w:proofErr w:type="spellStart"/>
      <w:r w:rsidRPr="00A5438A">
        <w:rPr>
          <w:sz w:val="20"/>
          <w:szCs w:val="20"/>
        </w:rPr>
        <w:t>contario</w:t>
      </w:r>
      <w:proofErr w:type="spellEnd"/>
      <w:r w:rsidRPr="00A5438A">
        <w:rPr>
          <w:sz w:val="20"/>
          <w:szCs w:val="20"/>
        </w:rPr>
        <w:t>: tienen “la obligación de asegurar la protección de los […] jóvenes afectados por la pobreza que estén socialmente marginados y, especialmente, evitar su estigmatización social como delincuentes”</w:t>
      </w:r>
      <w:r w:rsidRPr="00A5438A">
        <w:rPr>
          <w:rStyle w:val="Refdenotaalpie"/>
          <w:sz w:val="20"/>
          <w:szCs w:val="20"/>
        </w:rPr>
        <w:footnoteReference w:id="100"/>
      </w:r>
      <w:r w:rsidRPr="00A5438A">
        <w:rPr>
          <w:sz w:val="20"/>
          <w:szCs w:val="20"/>
        </w:rPr>
        <w:t xml:space="preserve">. La Corte considera que el presente caso refleja el incumplimiento de estos deberes, y que los hechos que </w:t>
      </w:r>
      <w:r w:rsidRPr="00D64A29">
        <w:rPr>
          <w:sz w:val="20"/>
          <w:szCs w:val="20"/>
        </w:rPr>
        <w:t>vulneraron los derechos de</w:t>
      </w:r>
      <w:r>
        <w:rPr>
          <w:sz w:val="20"/>
          <w:szCs w:val="20"/>
        </w:rPr>
        <w:t xml:space="preserve"> </w:t>
      </w:r>
      <w:r w:rsidRPr="00A5438A">
        <w:rPr>
          <w:sz w:val="20"/>
          <w:szCs w:val="20"/>
        </w:rPr>
        <w:t xml:space="preserve">Jimmy Guerrero </w:t>
      </w:r>
      <w:r w:rsidRPr="00D64A29">
        <w:rPr>
          <w:sz w:val="20"/>
          <w:szCs w:val="20"/>
        </w:rPr>
        <w:t xml:space="preserve">tuvieron un sustento discriminatorio, en el que confluyeron, de modo </w:t>
      </w:r>
      <w:proofErr w:type="spellStart"/>
      <w:r w:rsidRPr="00D64A29">
        <w:rPr>
          <w:sz w:val="20"/>
          <w:szCs w:val="20"/>
        </w:rPr>
        <w:t>interseccional</w:t>
      </w:r>
      <w:proofErr w:type="spellEnd"/>
      <w:r w:rsidRPr="00D64A29">
        <w:rPr>
          <w:rStyle w:val="Refdenotaalpie"/>
          <w:sz w:val="20"/>
          <w:szCs w:val="20"/>
        </w:rPr>
        <w:footnoteReference w:id="101"/>
      </w:r>
      <w:r w:rsidRPr="00D64A29">
        <w:rPr>
          <w:sz w:val="20"/>
          <w:szCs w:val="20"/>
        </w:rPr>
        <w:t xml:space="preserve">, factores diversos, vinculados a la pobreza y a la edad, que hacen a la “condición social” atribuida a la víctima, en los términos del artículo 1.1 de la Convención. </w:t>
      </w:r>
    </w:p>
    <w:p w14:paraId="66475125" w14:textId="77777777" w:rsidR="00685A14" w:rsidRDefault="00685A14" w:rsidP="00685A14">
      <w:pPr>
        <w:pStyle w:val="Prrafodelista"/>
        <w:widowControl/>
        <w:autoSpaceDE/>
        <w:autoSpaceDN/>
        <w:ind w:left="0"/>
        <w:contextualSpacing/>
        <w:rPr>
          <w:sz w:val="20"/>
          <w:szCs w:val="20"/>
        </w:rPr>
      </w:pPr>
    </w:p>
    <w:p w14:paraId="5900E097" w14:textId="2FA04C46" w:rsidR="00685A14" w:rsidRPr="00EA616B" w:rsidRDefault="00685A14" w:rsidP="00685A14">
      <w:pPr>
        <w:pStyle w:val="Prrafodelista"/>
        <w:widowControl/>
        <w:numPr>
          <w:ilvl w:val="0"/>
          <w:numId w:val="29"/>
        </w:numPr>
        <w:autoSpaceDE/>
        <w:autoSpaceDN/>
        <w:ind w:left="0" w:firstLine="0"/>
        <w:contextualSpacing/>
        <w:rPr>
          <w:sz w:val="20"/>
          <w:szCs w:val="20"/>
        </w:rPr>
      </w:pPr>
      <w:r w:rsidRPr="007A400D">
        <w:rPr>
          <w:sz w:val="20"/>
          <w:szCs w:val="20"/>
        </w:rPr>
        <w:t>Las consideraciones puntuales sobre la discriminación contra el señor Guerrero se expondrán en el marco del análisis de las lesiones a sus derechos señaladas por las partes y la Comisión. Este Tribunal no encuentra elementos para abordar la inobservancia del deber de no discriminar respecto a otras víctimas del caso</w:t>
      </w:r>
      <w:r w:rsidRPr="00EA616B">
        <w:rPr>
          <w:sz w:val="20"/>
          <w:szCs w:val="20"/>
        </w:rPr>
        <w:t xml:space="preserve">. </w:t>
      </w:r>
    </w:p>
    <w:p w14:paraId="1EA70E43" w14:textId="4BBA2240" w:rsidR="00685A14" w:rsidRDefault="00685A14"/>
    <w:p w14:paraId="3EC0DD39" w14:textId="2D403F69" w:rsidR="00F3492A" w:rsidRDefault="00F3492A"/>
    <w:p w14:paraId="14CD69A0" w14:textId="502BC7A3" w:rsidR="00F3492A" w:rsidRDefault="00F3492A"/>
    <w:p w14:paraId="3A96A3D0" w14:textId="6BD175C2" w:rsidR="00F3492A" w:rsidRDefault="00F3492A"/>
    <w:p w14:paraId="5D9F9387" w14:textId="77777777" w:rsidR="00F3492A" w:rsidRDefault="00F3492A"/>
    <w:p w14:paraId="6C6B382B" w14:textId="77777777" w:rsidR="00685A14" w:rsidRPr="003D1141" w:rsidRDefault="00685A14" w:rsidP="00685A14">
      <w:pPr>
        <w:pStyle w:val="Prrafodelista"/>
        <w:jc w:val="center"/>
        <w:outlineLvl w:val="0"/>
        <w:rPr>
          <w:b/>
          <w:sz w:val="20"/>
          <w:szCs w:val="20"/>
        </w:rPr>
      </w:pPr>
      <w:bookmarkStart w:id="48" w:name="_Toc73960358"/>
      <w:r w:rsidRPr="003D1141">
        <w:rPr>
          <w:b/>
          <w:sz w:val="20"/>
          <w:szCs w:val="20"/>
        </w:rPr>
        <w:lastRenderedPageBreak/>
        <w:t>V</w:t>
      </w:r>
      <w:r>
        <w:rPr>
          <w:b/>
          <w:sz w:val="20"/>
          <w:szCs w:val="20"/>
        </w:rPr>
        <w:t>II.2</w:t>
      </w:r>
      <w:bookmarkEnd w:id="48"/>
    </w:p>
    <w:p w14:paraId="6856B8D0" w14:textId="77777777" w:rsidR="00685A14" w:rsidRPr="003D1141" w:rsidRDefault="00685A14" w:rsidP="00685A14">
      <w:pPr>
        <w:pStyle w:val="Prrafodelista"/>
        <w:jc w:val="center"/>
        <w:outlineLvl w:val="0"/>
        <w:rPr>
          <w:b/>
          <w:sz w:val="20"/>
          <w:szCs w:val="20"/>
        </w:rPr>
      </w:pPr>
      <w:bookmarkStart w:id="49" w:name="_Toc73960359"/>
      <w:r>
        <w:rPr>
          <w:b/>
          <w:sz w:val="20"/>
          <w:szCs w:val="20"/>
        </w:rPr>
        <w:t>DERECHO A LA LIBERTAD PERSONAL</w:t>
      </w:r>
      <w:r w:rsidRPr="00754F8B">
        <w:rPr>
          <w:rStyle w:val="Refdenotaalpie"/>
          <w:sz w:val="20"/>
          <w:szCs w:val="20"/>
        </w:rPr>
        <w:footnoteReference w:id="102"/>
      </w:r>
      <w:r>
        <w:rPr>
          <w:b/>
          <w:sz w:val="20"/>
          <w:szCs w:val="20"/>
        </w:rPr>
        <w:t xml:space="preserve"> RESPECTO A JIMMY GUERRERO</w:t>
      </w:r>
      <w:bookmarkEnd w:id="49"/>
    </w:p>
    <w:p w14:paraId="61FCF2AE" w14:textId="77777777" w:rsidR="00685A14" w:rsidRDefault="00685A14" w:rsidP="00685A14">
      <w:pPr>
        <w:rPr>
          <w:sz w:val="20"/>
          <w:szCs w:val="20"/>
        </w:rPr>
      </w:pPr>
    </w:p>
    <w:p w14:paraId="3FF6E55D" w14:textId="77777777" w:rsidR="00685A14" w:rsidRPr="00754F8B" w:rsidRDefault="00685A14" w:rsidP="000F2503">
      <w:pPr>
        <w:pStyle w:val="Prrafodelista"/>
        <w:numPr>
          <w:ilvl w:val="0"/>
          <w:numId w:val="11"/>
        </w:numPr>
        <w:ind w:left="284" w:firstLine="0"/>
        <w:outlineLvl w:val="1"/>
        <w:rPr>
          <w:b/>
          <w:i/>
          <w:sz w:val="20"/>
          <w:szCs w:val="20"/>
        </w:rPr>
      </w:pPr>
      <w:bookmarkStart w:id="50" w:name="_Toc73960360"/>
      <w:r w:rsidRPr="00754F8B">
        <w:rPr>
          <w:b/>
          <w:i/>
          <w:sz w:val="20"/>
          <w:szCs w:val="20"/>
        </w:rPr>
        <w:t>A</w:t>
      </w:r>
      <w:r>
        <w:rPr>
          <w:b/>
          <w:i/>
          <w:sz w:val="20"/>
          <w:szCs w:val="20"/>
        </w:rPr>
        <w:t>rgumentos de los representantes</w:t>
      </w:r>
      <w:r w:rsidRPr="00127A01">
        <w:rPr>
          <w:rStyle w:val="Refdenotaalpie"/>
          <w:sz w:val="20"/>
          <w:szCs w:val="20"/>
        </w:rPr>
        <w:footnoteReference w:id="103"/>
      </w:r>
      <w:bookmarkEnd w:id="50"/>
    </w:p>
    <w:p w14:paraId="7DC9E6B1" w14:textId="77777777" w:rsidR="00685A14" w:rsidRPr="00754F8B" w:rsidRDefault="00685A14" w:rsidP="00685A14">
      <w:pPr>
        <w:rPr>
          <w:sz w:val="20"/>
          <w:szCs w:val="20"/>
        </w:rPr>
      </w:pPr>
    </w:p>
    <w:p w14:paraId="45A40033" w14:textId="0110FCA1" w:rsidR="00685A14" w:rsidRPr="00321532" w:rsidRDefault="00685A14" w:rsidP="00685A14">
      <w:pPr>
        <w:pStyle w:val="Prrafodelista"/>
        <w:widowControl/>
        <w:numPr>
          <w:ilvl w:val="0"/>
          <w:numId w:val="30"/>
        </w:numPr>
        <w:autoSpaceDE/>
        <w:autoSpaceDN/>
        <w:spacing w:after="200"/>
        <w:ind w:left="0" w:firstLine="0"/>
        <w:contextualSpacing/>
        <w:rPr>
          <w:sz w:val="20"/>
          <w:szCs w:val="20"/>
        </w:rPr>
      </w:pPr>
      <w:r w:rsidRPr="00754F8B">
        <w:rPr>
          <w:sz w:val="20"/>
          <w:szCs w:val="20"/>
        </w:rPr>
        <w:t xml:space="preserve">Los </w:t>
      </w:r>
      <w:r w:rsidRPr="00754F8B">
        <w:rPr>
          <w:b/>
          <w:i/>
          <w:sz w:val="20"/>
          <w:szCs w:val="20"/>
        </w:rPr>
        <w:t>representantes</w:t>
      </w:r>
      <w:r w:rsidRPr="00754F8B">
        <w:rPr>
          <w:sz w:val="20"/>
          <w:szCs w:val="20"/>
        </w:rPr>
        <w:t xml:space="preserve"> señalaron </w:t>
      </w:r>
      <w:r w:rsidRPr="00321532">
        <w:rPr>
          <w:sz w:val="20"/>
          <w:szCs w:val="20"/>
        </w:rPr>
        <w:t>que las detenciones de Jimmy Guerrero del 25 al 27 de octubre de 2001, del 2 al 3 de noviembre de 2002 y del 17 al 18 de febrero de 2003 fueron violatorias del derecho a la libertad personal, y resaltaron que las mismas se dieron</w:t>
      </w:r>
      <w:r w:rsidRPr="00321532">
        <w:rPr>
          <w:rFonts w:cs="Arial"/>
          <w:sz w:val="20"/>
          <w:szCs w:val="20"/>
        </w:rPr>
        <w:t xml:space="preserve"> “en un contexto de acoso y abusos</w:t>
      </w:r>
      <w:r w:rsidRPr="00321532">
        <w:rPr>
          <w:sz w:val="20"/>
          <w:szCs w:val="20"/>
        </w:rPr>
        <w:t xml:space="preserve"> </w:t>
      </w:r>
      <w:r w:rsidRPr="00321532">
        <w:rPr>
          <w:rFonts w:cs="Arial"/>
          <w:sz w:val="20"/>
          <w:szCs w:val="20"/>
        </w:rPr>
        <w:t xml:space="preserve">por las fuerzas policiales”. </w:t>
      </w:r>
    </w:p>
    <w:p w14:paraId="3FA86D95" w14:textId="77777777" w:rsidR="00685A14" w:rsidRPr="00321532" w:rsidRDefault="00685A14" w:rsidP="00685A14">
      <w:pPr>
        <w:pStyle w:val="Prrafodelista"/>
        <w:widowControl/>
        <w:autoSpaceDE/>
        <w:autoSpaceDN/>
        <w:spacing w:after="200"/>
        <w:ind w:left="0"/>
        <w:contextualSpacing/>
        <w:rPr>
          <w:sz w:val="20"/>
          <w:szCs w:val="20"/>
        </w:rPr>
      </w:pPr>
    </w:p>
    <w:p w14:paraId="3B80CACA" w14:textId="77777777" w:rsidR="00685A14" w:rsidRPr="00321532" w:rsidRDefault="00685A14" w:rsidP="00685A14">
      <w:pPr>
        <w:pStyle w:val="Prrafodelista"/>
        <w:widowControl/>
        <w:numPr>
          <w:ilvl w:val="0"/>
          <w:numId w:val="30"/>
        </w:numPr>
        <w:autoSpaceDE/>
        <w:autoSpaceDN/>
        <w:ind w:left="0" w:firstLine="0"/>
        <w:contextualSpacing/>
        <w:rPr>
          <w:sz w:val="20"/>
          <w:szCs w:val="20"/>
        </w:rPr>
      </w:pPr>
      <w:r w:rsidRPr="00321532">
        <w:rPr>
          <w:sz w:val="20"/>
          <w:szCs w:val="20"/>
        </w:rPr>
        <w:t xml:space="preserve">Los representantes adujeron que las detenciones fueron ilegales: </w:t>
      </w:r>
      <w:r w:rsidRPr="00321532">
        <w:rPr>
          <w:rFonts w:cs="Arial"/>
          <w:sz w:val="20"/>
          <w:szCs w:val="20"/>
        </w:rPr>
        <w:t xml:space="preserve">sostuvieron que, en contra de lo que manda la Constitución venezolana, en ninguno de los tres casos existió una orden judicial ni el señor Guerrero estaba cometiendo un delito en flagrancia. </w:t>
      </w:r>
      <w:r w:rsidRPr="00321532">
        <w:rPr>
          <w:rFonts w:cs="Arial"/>
          <w:b/>
          <w:sz w:val="20"/>
          <w:szCs w:val="20"/>
        </w:rPr>
        <w:t xml:space="preserve"> </w:t>
      </w:r>
      <w:r w:rsidRPr="00321532">
        <w:rPr>
          <w:rFonts w:cs="Arial"/>
          <w:sz w:val="20"/>
          <w:szCs w:val="20"/>
        </w:rPr>
        <w:t>Afirmaron también que fueron arbitrarias, pues “[no] existían indicios suficientes para demostrar que la [presunta] víctima estaba involucrada en un hecho delictivo, ni mucho menos que su detención era necesaria”</w:t>
      </w:r>
      <w:r w:rsidRPr="00321532">
        <w:rPr>
          <w:rFonts w:cs="Arial"/>
          <w:b/>
          <w:sz w:val="16"/>
          <w:szCs w:val="20"/>
        </w:rPr>
        <w:t xml:space="preserve">. </w:t>
      </w:r>
      <w:r w:rsidRPr="00321532">
        <w:rPr>
          <w:rFonts w:cs="Arial"/>
          <w:sz w:val="20"/>
          <w:szCs w:val="20"/>
        </w:rPr>
        <w:t>Por otra parte, sostuvieron que los tres casos hubo una omisión en comunicar las razones de la detención</w:t>
      </w:r>
      <w:r w:rsidRPr="00321532">
        <w:rPr>
          <w:rFonts w:cs="Arial"/>
          <w:b/>
          <w:sz w:val="16"/>
          <w:szCs w:val="20"/>
        </w:rPr>
        <w:t xml:space="preserve"> </w:t>
      </w:r>
      <w:r w:rsidRPr="00321532">
        <w:rPr>
          <w:rFonts w:cs="Arial"/>
          <w:sz w:val="20"/>
          <w:szCs w:val="20"/>
        </w:rPr>
        <w:t>y una ausencia de control judicial inmediato. Por lo dicho, sostuvieron que el Estado es responsable por incumplir los artículos 7.1, 7.2, 7.3, 7.4 y 7.5 de la Convención, en relación con su artículo 1.1.</w:t>
      </w:r>
    </w:p>
    <w:p w14:paraId="56F0832B" w14:textId="77777777" w:rsidR="00685A14" w:rsidRPr="00AF26A9" w:rsidRDefault="00685A14" w:rsidP="00685A14">
      <w:pPr>
        <w:rPr>
          <w:sz w:val="20"/>
          <w:szCs w:val="20"/>
        </w:rPr>
      </w:pPr>
    </w:p>
    <w:p w14:paraId="63E4F604" w14:textId="77777777" w:rsidR="00685A14" w:rsidRPr="004249A3" w:rsidRDefault="00685A14" w:rsidP="000F2503">
      <w:pPr>
        <w:pStyle w:val="Prrafodelista"/>
        <w:widowControl/>
        <w:numPr>
          <w:ilvl w:val="0"/>
          <w:numId w:val="11"/>
        </w:numPr>
        <w:autoSpaceDE/>
        <w:autoSpaceDN/>
        <w:ind w:left="284" w:firstLine="0"/>
        <w:contextualSpacing/>
        <w:outlineLvl w:val="1"/>
        <w:rPr>
          <w:b/>
          <w:i/>
          <w:sz w:val="20"/>
          <w:szCs w:val="20"/>
        </w:rPr>
      </w:pPr>
      <w:bookmarkStart w:id="51" w:name="_Toc73960361"/>
      <w:r w:rsidRPr="00F8654B">
        <w:rPr>
          <w:b/>
          <w:i/>
          <w:sz w:val="20"/>
          <w:szCs w:val="20"/>
        </w:rPr>
        <w:t>Consideraciones de la Corte</w:t>
      </w:r>
      <w:bookmarkEnd w:id="51"/>
    </w:p>
    <w:p w14:paraId="61BED8C9" w14:textId="77777777" w:rsidR="00685A14" w:rsidRDefault="00685A14" w:rsidP="00685A14">
      <w:pPr>
        <w:pStyle w:val="Prrafodelista"/>
        <w:widowControl/>
        <w:autoSpaceDE/>
        <w:autoSpaceDN/>
        <w:spacing w:after="200"/>
        <w:ind w:left="0"/>
        <w:contextualSpacing/>
        <w:rPr>
          <w:sz w:val="20"/>
          <w:szCs w:val="20"/>
        </w:rPr>
      </w:pPr>
    </w:p>
    <w:p w14:paraId="718F6EFC" w14:textId="77777777" w:rsidR="00685A14" w:rsidRPr="00A77FD7" w:rsidRDefault="00685A14" w:rsidP="00685A14">
      <w:pPr>
        <w:pStyle w:val="Prrafodelista"/>
        <w:widowControl/>
        <w:numPr>
          <w:ilvl w:val="0"/>
          <w:numId w:val="30"/>
        </w:numPr>
        <w:autoSpaceDE/>
        <w:autoSpaceDN/>
        <w:ind w:left="0" w:firstLine="0"/>
        <w:contextualSpacing/>
        <w:rPr>
          <w:sz w:val="20"/>
          <w:szCs w:val="20"/>
        </w:rPr>
      </w:pPr>
      <w:r w:rsidRPr="00A77FD7">
        <w:rPr>
          <w:sz w:val="20"/>
          <w:szCs w:val="20"/>
        </w:rPr>
        <w:t xml:space="preserve">La Corte ha señalado que el contenido esencial del artículo 7 de la Convención es la protección de la libertad del individuo contra toda interferencia arbitraria o ilegal del </w:t>
      </w:r>
      <w:r w:rsidRPr="00A77FD7">
        <w:rPr>
          <w:sz w:val="20"/>
          <w:szCs w:val="20"/>
          <w:lang w:val="es-CO"/>
        </w:rPr>
        <w:t>Estado</w:t>
      </w:r>
      <w:r w:rsidRPr="00A77FD7">
        <w:rPr>
          <w:rStyle w:val="Refdenotaalpie"/>
          <w:sz w:val="20"/>
          <w:szCs w:val="20"/>
        </w:rPr>
        <w:footnoteReference w:id="104"/>
      </w:r>
      <w:r w:rsidRPr="00A77FD7">
        <w:rPr>
          <w:sz w:val="20"/>
          <w:szCs w:val="20"/>
        </w:rPr>
        <w:t>. Ha advertido también que un “incorrecto actuar” de funcionarios policiales</w:t>
      </w:r>
      <w:r>
        <w:rPr>
          <w:sz w:val="20"/>
          <w:szCs w:val="20"/>
        </w:rPr>
        <w:t>,</w:t>
      </w:r>
      <w:r w:rsidRPr="00A77FD7">
        <w:rPr>
          <w:sz w:val="20"/>
          <w:szCs w:val="20"/>
        </w:rPr>
        <w:t xml:space="preserve"> “en su interacción con las personas a quienes deben proteger, representa una de las principales amenazas al derecho a la libertad personal”, que</w:t>
      </w:r>
      <w:r>
        <w:rPr>
          <w:sz w:val="20"/>
          <w:szCs w:val="20"/>
        </w:rPr>
        <w:t xml:space="preserve"> </w:t>
      </w:r>
      <w:r w:rsidRPr="00A77FD7">
        <w:rPr>
          <w:sz w:val="20"/>
          <w:szCs w:val="20"/>
        </w:rPr>
        <w:t>cuando se concreta</w:t>
      </w:r>
      <w:r>
        <w:rPr>
          <w:sz w:val="20"/>
          <w:szCs w:val="20"/>
        </w:rPr>
        <w:t xml:space="preserve"> </w:t>
      </w:r>
      <w:r w:rsidRPr="00A77FD7">
        <w:rPr>
          <w:sz w:val="20"/>
          <w:szCs w:val="20"/>
        </w:rPr>
        <w:t>“genera un riesgo de que se produzca la vulneración de otros derechos, como la integridad personal y, en algunos casos, la vida”. En ese sentido, para conminar dicha amenaza, resulta imprescindible que el Estado, a través de sus agentes, observe su “</w:t>
      </w:r>
      <w:r w:rsidRPr="00A77FD7">
        <w:rPr>
          <w:sz w:val="20"/>
          <w:szCs w:val="20"/>
          <w:lang w:val="es-CR"/>
        </w:rPr>
        <w:t>deber de aplicar en todo momento procedimientos conformes a Derecho y respetuosos de los derechos fundamentales, a todo individuo que se encuentre bajo su jurisdicción”</w:t>
      </w:r>
      <w:r w:rsidRPr="00A77FD7">
        <w:rPr>
          <w:rStyle w:val="Refdenotaalpie"/>
          <w:sz w:val="20"/>
          <w:szCs w:val="20"/>
          <w:lang w:val="es-CR"/>
        </w:rPr>
        <w:footnoteReference w:id="105"/>
      </w:r>
      <w:r w:rsidRPr="00A77FD7">
        <w:rPr>
          <w:sz w:val="20"/>
          <w:szCs w:val="20"/>
          <w:lang w:val="es-CR"/>
        </w:rPr>
        <w:t>.</w:t>
      </w:r>
    </w:p>
    <w:p w14:paraId="26A19CD4" w14:textId="77777777" w:rsidR="00685A14" w:rsidRPr="00A77FD7" w:rsidRDefault="00685A14" w:rsidP="00685A14">
      <w:pPr>
        <w:pStyle w:val="Prrafodelista"/>
        <w:widowControl/>
        <w:autoSpaceDE/>
        <w:autoSpaceDN/>
        <w:ind w:left="0"/>
        <w:contextualSpacing/>
        <w:rPr>
          <w:sz w:val="20"/>
          <w:szCs w:val="20"/>
        </w:rPr>
      </w:pPr>
    </w:p>
    <w:p w14:paraId="210A3E6B" w14:textId="77777777" w:rsidR="00685A14" w:rsidRDefault="00685A14" w:rsidP="00685A14">
      <w:pPr>
        <w:pStyle w:val="Prrafodelista"/>
        <w:widowControl/>
        <w:numPr>
          <w:ilvl w:val="0"/>
          <w:numId w:val="30"/>
        </w:numPr>
        <w:autoSpaceDE/>
        <w:autoSpaceDN/>
        <w:ind w:left="0" w:firstLine="0"/>
        <w:contextualSpacing/>
        <w:rPr>
          <w:sz w:val="20"/>
          <w:szCs w:val="20"/>
        </w:rPr>
      </w:pPr>
      <w:r>
        <w:rPr>
          <w:sz w:val="20"/>
          <w:szCs w:val="20"/>
        </w:rPr>
        <w:t xml:space="preserve">El artículo mencionado, como se ha hecho notar en diversas oportunidades anteriores, </w:t>
      </w:r>
    </w:p>
    <w:p w14:paraId="21095AB3" w14:textId="77777777" w:rsidR="00685A14" w:rsidRPr="00A77FD7" w:rsidRDefault="00685A14" w:rsidP="00685A14">
      <w:pPr>
        <w:pStyle w:val="Prrafodelista"/>
        <w:widowControl/>
        <w:autoSpaceDE/>
        <w:autoSpaceDN/>
        <w:ind w:left="0"/>
        <w:contextualSpacing/>
        <w:rPr>
          <w:sz w:val="20"/>
          <w:szCs w:val="20"/>
        </w:rPr>
      </w:pPr>
    </w:p>
    <w:p w14:paraId="7EE957F8" w14:textId="77777777" w:rsidR="00685A14" w:rsidRPr="0058528C" w:rsidRDefault="00685A14" w:rsidP="00685A14">
      <w:pPr>
        <w:widowControl/>
        <w:autoSpaceDE/>
        <w:autoSpaceDN/>
        <w:ind w:left="284" w:right="333"/>
        <w:jc w:val="both"/>
        <w:rPr>
          <w:rFonts w:ascii="Times New Roman" w:eastAsiaTheme="minorHAnsi" w:hAnsi="Times New Roman" w:cs="Times New Roman"/>
          <w:sz w:val="16"/>
          <w:szCs w:val="16"/>
          <w:lang w:val="es-CR" w:eastAsia="es-CR"/>
        </w:rPr>
      </w:pPr>
      <w:r w:rsidRPr="0058528C">
        <w:rPr>
          <w:sz w:val="16"/>
          <w:szCs w:val="16"/>
        </w:rPr>
        <w:t>tiene dos tipos de regulaciones bien diferenciadas entre sí, una general y otra específica</w:t>
      </w:r>
      <w:r w:rsidRPr="0058528C">
        <w:rPr>
          <w:rFonts w:eastAsia="Calibri"/>
          <w:sz w:val="16"/>
          <w:szCs w:val="16"/>
        </w:rPr>
        <w:t xml:space="preserve">. La general se encuentra en el primer numeral: “[t]oda persona tiene el derecho a la libertad y a la seguridad personales”. </w:t>
      </w:r>
      <w:r>
        <w:rPr>
          <w:rFonts w:eastAsia="Calibri"/>
          <w:sz w:val="16"/>
          <w:szCs w:val="16"/>
        </w:rPr>
        <w:t>[…L]</w:t>
      </w:r>
      <w:r w:rsidRPr="0058528C">
        <w:rPr>
          <w:rFonts w:eastAsia="Calibri"/>
          <w:sz w:val="16"/>
          <w:szCs w:val="16"/>
        </w:rPr>
        <w:t xml:space="preserve">a específica está compuesta por una serie de garantías que protegen el derecho a no ser privado de la libertad ilegalmente (artículo 7.2) o arbitrariamente (artículo 7.3), a conocer las </w:t>
      </w:r>
      <w:r w:rsidRPr="0058528C">
        <w:rPr>
          <w:rFonts w:eastAsia="Calibri"/>
          <w:sz w:val="16"/>
          <w:szCs w:val="16"/>
        </w:rPr>
        <w:lastRenderedPageBreak/>
        <w:t>razones de la detención y los cargos formulados en contra del detenido (artículo 7.4), al control judicial de la privación de la libertad y la razonabilidad del plazo de la prisión preventiva (artículo 7.5), a impugnar la legalidad de la detención (artículo 7.6) y a no ser detenido por deudas (artículo 7.7). Cualquier violación de los numerales 2 al 7 del artículo 7 de la Convención acarreará necesariamente la violación del artículo 7.1 de la misma</w:t>
      </w:r>
      <w:r w:rsidRPr="0058528C">
        <w:rPr>
          <w:rFonts w:eastAsia="Calibri"/>
          <w:sz w:val="16"/>
          <w:szCs w:val="16"/>
          <w:vertAlign w:val="superscript"/>
        </w:rPr>
        <w:footnoteReference w:id="106"/>
      </w:r>
      <w:r w:rsidRPr="0058528C">
        <w:rPr>
          <w:rFonts w:eastAsia="Calibri"/>
          <w:sz w:val="16"/>
          <w:szCs w:val="16"/>
        </w:rPr>
        <w:t>.</w:t>
      </w:r>
      <w:r w:rsidRPr="0058528C">
        <w:rPr>
          <w:rFonts w:ascii="Times New Roman" w:eastAsiaTheme="minorHAnsi" w:hAnsi="Times New Roman"/>
          <w:sz w:val="16"/>
          <w:szCs w:val="16"/>
          <w:lang w:val="es-CR" w:eastAsia="es-CR"/>
        </w:rPr>
        <w:t xml:space="preserve"> </w:t>
      </w:r>
    </w:p>
    <w:p w14:paraId="58E0C838" w14:textId="77777777" w:rsidR="00685A14" w:rsidRDefault="00685A14" w:rsidP="00685A14">
      <w:pPr>
        <w:pStyle w:val="Prrafodelista"/>
        <w:widowControl/>
        <w:autoSpaceDE/>
        <w:autoSpaceDN/>
        <w:ind w:left="0"/>
        <w:contextualSpacing/>
        <w:rPr>
          <w:sz w:val="20"/>
          <w:szCs w:val="20"/>
        </w:rPr>
      </w:pPr>
    </w:p>
    <w:p w14:paraId="426DE163" w14:textId="77777777" w:rsidR="00685A14" w:rsidRDefault="00685A14" w:rsidP="00685A14">
      <w:pPr>
        <w:pStyle w:val="Prrafodelista"/>
        <w:widowControl/>
        <w:numPr>
          <w:ilvl w:val="0"/>
          <w:numId w:val="30"/>
        </w:numPr>
        <w:autoSpaceDE/>
        <w:autoSpaceDN/>
        <w:ind w:left="0" w:firstLine="0"/>
        <w:contextualSpacing/>
        <w:rPr>
          <w:sz w:val="20"/>
          <w:szCs w:val="20"/>
        </w:rPr>
      </w:pPr>
      <w:r w:rsidRPr="00B276B5">
        <w:rPr>
          <w:sz w:val="20"/>
          <w:szCs w:val="20"/>
        </w:rPr>
        <w:t xml:space="preserve">La </w:t>
      </w:r>
      <w:r w:rsidRPr="00B276B5">
        <w:rPr>
          <w:i/>
          <w:sz w:val="20"/>
          <w:szCs w:val="20"/>
        </w:rPr>
        <w:t>ilegalidad</w:t>
      </w:r>
      <w:r w:rsidRPr="00B276B5">
        <w:rPr>
          <w:sz w:val="20"/>
          <w:szCs w:val="20"/>
        </w:rPr>
        <w:t xml:space="preserve"> de una privación de libertad se presenta cuando no se observa la normativa interna aplicable, tanto en el aspecto material como formal</w:t>
      </w:r>
      <w:r w:rsidRPr="00B276B5">
        <w:rPr>
          <w:rStyle w:val="Refdenotaalpie"/>
          <w:sz w:val="20"/>
          <w:szCs w:val="20"/>
        </w:rPr>
        <w:footnoteReference w:id="107"/>
      </w:r>
      <w:r w:rsidRPr="00B276B5">
        <w:rPr>
          <w:sz w:val="20"/>
          <w:szCs w:val="20"/>
        </w:rPr>
        <w:t xml:space="preserve">. La </w:t>
      </w:r>
      <w:r w:rsidRPr="00B276B5">
        <w:rPr>
          <w:i/>
          <w:sz w:val="20"/>
          <w:szCs w:val="20"/>
        </w:rPr>
        <w:t>arbitrariedad</w:t>
      </w:r>
      <w:r w:rsidRPr="00B276B5">
        <w:rPr>
          <w:sz w:val="20"/>
          <w:szCs w:val="20"/>
        </w:rPr>
        <w:t xml:space="preserve">, por su parte, no se </w:t>
      </w:r>
      <w:proofErr w:type="gramStart"/>
      <w:r w:rsidRPr="00B276B5">
        <w:rPr>
          <w:sz w:val="20"/>
          <w:szCs w:val="20"/>
        </w:rPr>
        <w:t>equipara</w:t>
      </w:r>
      <w:proofErr w:type="gramEnd"/>
      <w:r w:rsidRPr="00B276B5">
        <w:rPr>
          <w:sz w:val="20"/>
          <w:szCs w:val="20"/>
        </w:rPr>
        <w:t xml:space="preserve"> a la contradicción con la ley, sino que resulta más amplia, pues incluye elementos de incorrección, injusticia e imprevisibilidad. Así, resulta arbitraria la privación de libertad ejecutada por “causas y métodos que -aun calificados de legales- puedan reputarse como incompatibles con el respeto a los derechos fundamentales del individuo por ser, entre otras cosas, irrazonables, imprevisibles o faltos de proporcionalidad”</w:t>
      </w:r>
      <w:r w:rsidRPr="00B276B5">
        <w:rPr>
          <w:rStyle w:val="Refdenotaalpie"/>
          <w:sz w:val="20"/>
          <w:szCs w:val="20"/>
        </w:rPr>
        <w:footnoteReference w:id="108"/>
      </w:r>
      <w:r w:rsidRPr="00B276B5">
        <w:rPr>
          <w:sz w:val="20"/>
          <w:szCs w:val="20"/>
        </w:rPr>
        <w:t xml:space="preserve">. </w:t>
      </w:r>
      <w:r>
        <w:rPr>
          <w:sz w:val="20"/>
          <w:szCs w:val="20"/>
        </w:rPr>
        <w:t>E</w:t>
      </w:r>
      <w:r w:rsidRPr="001E4B0E">
        <w:rPr>
          <w:sz w:val="20"/>
          <w:szCs w:val="20"/>
        </w:rPr>
        <w:t>l uso de preconceptos sobre una persona o su comportamiento, o el empleo de razonamientos estereotipados por parte de las fuerzas de seguridad, por ejemplo, sobre la supuesta peligrosidad de ciertos grupos sociales y la pertenencia de una persona a los mismos, puede dar lugar a actuaciones discriminatorias que serán, por consiguiente, manifiestamente irrazonables y arbitrarias</w:t>
      </w:r>
      <w:r>
        <w:rPr>
          <w:rStyle w:val="Refdenotaalpie"/>
          <w:sz w:val="20"/>
          <w:szCs w:val="20"/>
        </w:rPr>
        <w:footnoteReference w:id="109"/>
      </w:r>
      <w:r w:rsidRPr="001E4B0E">
        <w:rPr>
          <w:sz w:val="20"/>
          <w:szCs w:val="20"/>
        </w:rPr>
        <w:t xml:space="preserve">. </w:t>
      </w:r>
    </w:p>
    <w:p w14:paraId="0C6C7307" w14:textId="77777777" w:rsidR="00685A14" w:rsidRDefault="00685A14" w:rsidP="00685A14">
      <w:pPr>
        <w:pStyle w:val="Prrafodelista"/>
        <w:widowControl/>
        <w:autoSpaceDE/>
        <w:autoSpaceDN/>
        <w:spacing w:after="200"/>
        <w:ind w:left="0"/>
        <w:contextualSpacing/>
        <w:rPr>
          <w:sz w:val="20"/>
          <w:szCs w:val="20"/>
        </w:rPr>
      </w:pPr>
    </w:p>
    <w:p w14:paraId="378581C6" w14:textId="02F87F0C" w:rsidR="00685A14" w:rsidRDefault="00685A14" w:rsidP="00685A14">
      <w:pPr>
        <w:pStyle w:val="Prrafodelista"/>
        <w:widowControl/>
        <w:numPr>
          <w:ilvl w:val="0"/>
          <w:numId w:val="30"/>
        </w:numPr>
        <w:autoSpaceDE/>
        <w:autoSpaceDN/>
        <w:spacing w:after="200"/>
        <w:ind w:left="0" w:firstLine="0"/>
        <w:contextualSpacing/>
        <w:rPr>
          <w:sz w:val="16"/>
          <w:szCs w:val="16"/>
        </w:rPr>
      </w:pPr>
      <w:r>
        <w:rPr>
          <w:sz w:val="20"/>
          <w:szCs w:val="20"/>
        </w:rPr>
        <w:t xml:space="preserve">A fin de evitar detenciones </w:t>
      </w:r>
      <w:r w:rsidR="007E2817">
        <w:rPr>
          <w:sz w:val="20"/>
          <w:szCs w:val="20"/>
        </w:rPr>
        <w:t xml:space="preserve">ilegales o </w:t>
      </w:r>
      <w:r>
        <w:rPr>
          <w:sz w:val="20"/>
          <w:szCs w:val="20"/>
        </w:rPr>
        <w:t xml:space="preserve">arbitrarias, el artículo 7 de la Convención prevé, en sus numerales 4 y 5, la </w:t>
      </w:r>
      <w:r w:rsidRPr="002E7808">
        <w:rPr>
          <w:i/>
          <w:sz w:val="20"/>
          <w:szCs w:val="20"/>
        </w:rPr>
        <w:t>notificación de las razones de la detención</w:t>
      </w:r>
      <w:r>
        <w:rPr>
          <w:sz w:val="20"/>
          <w:szCs w:val="20"/>
        </w:rPr>
        <w:t xml:space="preserve"> y su </w:t>
      </w:r>
      <w:r w:rsidRPr="002E7808">
        <w:rPr>
          <w:i/>
          <w:sz w:val="20"/>
          <w:szCs w:val="20"/>
        </w:rPr>
        <w:t>control judicial</w:t>
      </w:r>
      <w:r>
        <w:rPr>
          <w:sz w:val="20"/>
          <w:szCs w:val="20"/>
        </w:rPr>
        <w:t xml:space="preserve">. Lo primero </w:t>
      </w:r>
      <w:r w:rsidRPr="00F55409">
        <w:rPr>
          <w:sz w:val="20"/>
          <w:szCs w:val="20"/>
        </w:rPr>
        <w:t xml:space="preserve">“alude a dos garantías para la persona que está siendo detenida: i) la información en forma oral o escrita sobre las razones de la detención, y </w:t>
      </w:r>
      <w:proofErr w:type="spellStart"/>
      <w:r w:rsidRPr="00F55409">
        <w:rPr>
          <w:sz w:val="20"/>
          <w:szCs w:val="20"/>
        </w:rPr>
        <w:t>ii</w:t>
      </w:r>
      <w:proofErr w:type="spellEnd"/>
      <w:r w:rsidRPr="00F55409">
        <w:rPr>
          <w:sz w:val="20"/>
          <w:szCs w:val="20"/>
        </w:rPr>
        <w:t>) la notificación, que debe ser por escrito, de los cargos”</w:t>
      </w:r>
      <w:r w:rsidRPr="00F55409">
        <w:rPr>
          <w:rStyle w:val="Refdenotaalpie"/>
          <w:sz w:val="20"/>
          <w:szCs w:val="20"/>
        </w:rPr>
        <w:footnoteReference w:id="110"/>
      </w:r>
      <w:r w:rsidRPr="00F55409">
        <w:rPr>
          <w:sz w:val="20"/>
          <w:szCs w:val="20"/>
        </w:rPr>
        <w:t xml:space="preserve">. La información </w:t>
      </w:r>
      <w:r>
        <w:rPr>
          <w:sz w:val="20"/>
          <w:szCs w:val="20"/>
        </w:rPr>
        <w:t xml:space="preserve">sobre </w:t>
      </w:r>
      <w:r w:rsidRPr="00F55409">
        <w:rPr>
          <w:sz w:val="20"/>
          <w:szCs w:val="20"/>
        </w:rPr>
        <w:t>l</w:t>
      </w:r>
      <w:r>
        <w:rPr>
          <w:sz w:val="20"/>
          <w:szCs w:val="20"/>
        </w:rPr>
        <w:t>a</w:t>
      </w:r>
      <w:r w:rsidRPr="00F55409">
        <w:rPr>
          <w:sz w:val="20"/>
          <w:szCs w:val="20"/>
        </w:rPr>
        <w:t>s razones de la detención debe darse</w:t>
      </w:r>
      <w:r>
        <w:rPr>
          <w:sz w:val="20"/>
          <w:szCs w:val="20"/>
        </w:rPr>
        <w:t xml:space="preserve"> </w:t>
      </w:r>
      <w:r w:rsidRPr="00F55409">
        <w:rPr>
          <w:sz w:val="20"/>
          <w:szCs w:val="20"/>
        </w:rPr>
        <w:t>cuando ésta se produce</w:t>
      </w:r>
      <w:r w:rsidRPr="00F55409">
        <w:rPr>
          <w:rStyle w:val="Refdenotaalpie"/>
          <w:sz w:val="20"/>
          <w:szCs w:val="20"/>
        </w:rPr>
        <w:footnoteReference w:id="111"/>
      </w:r>
      <w:r>
        <w:rPr>
          <w:sz w:val="20"/>
          <w:szCs w:val="20"/>
        </w:rPr>
        <w:t xml:space="preserve">. Lo segundo, el control judicial, </w:t>
      </w:r>
      <w:r>
        <w:rPr>
          <w:sz w:val="20"/>
          <w:szCs w:val="20"/>
        </w:rPr>
        <w:lastRenderedPageBreak/>
        <w:t>para constituir una salvaguarda efectiva contra las detenciones ilegales o arbitrarias, debe darse “sin demora</w:t>
      </w:r>
      <w:r w:rsidRPr="007D0D58">
        <w:rPr>
          <w:sz w:val="20"/>
          <w:szCs w:val="20"/>
        </w:rPr>
        <w:t>”</w:t>
      </w:r>
      <w:r w:rsidRPr="002E20FB">
        <w:rPr>
          <w:rStyle w:val="Refdenotaalpie"/>
          <w:rFonts w:cs="Arial"/>
          <w:sz w:val="20"/>
          <w:szCs w:val="20"/>
        </w:rPr>
        <w:footnoteReference w:id="112"/>
      </w:r>
      <w:r w:rsidRPr="002E20FB">
        <w:rPr>
          <w:rFonts w:cs="Arial"/>
          <w:sz w:val="20"/>
          <w:szCs w:val="20"/>
        </w:rPr>
        <w:t>.</w:t>
      </w:r>
    </w:p>
    <w:p w14:paraId="17D0658B" w14:textId="77777777" w:rsidR="00685A14" w:rsidRPr="005B3712" w:rsidRDefault="00685A14" w:rsidP="00685A14">
      <w:pPr>
        <w:pStyle w:val="Prrafodelista"/>
        <w:rPr>
          <w:sz w:val="20"/>
          <w:szCs w:val="20"/>
          <w:lang w:val="es-CR"/>
        </w:rPr>
      </w:pPr>
    </w:p>
    <w:p w14:paraId="30D44C74" w14:textId="77777777" w:rsidR="00685A14" w:rsidRPr="00620163" w:rsidRDefault="00685A14" w:rsidP="00685A14">
      <w:pPr>
        <w:pStyle w:val="Prrafodelista"/>
        <w:widowControl/>
        <w:numPr>
          <w:ilvl w:val="0"/>
          <w:numId w:val="30"/>
        </w:numPr>
        <w:autoSpaceDE/>
        <w:autoSpaceDN/>
        <w:spacing w:after="200"/>
        <w:ind w:left="0" w:firstLine="0"/>
        <w:contextualSpacing/>
        <w:rPr>
          <w:sz w:val="16"/>
          <w:szCs w:val="16"/>
        </w:rPr>
      </w:pPr>
      <w:r>
        <w:rPr>
          <w:sz w:val="20"/>
          <w:szCs w:val="20"/>
          <w:lang w:val="es-CR"/>
        </w:rPr>
        <w:t>Corresponde tener presente, además, que l</w:t>
      </w:r>
      <w:r w:rsidRPr="005B3712">
        <w:rPr>
          <w:sz w:val="20"/>
          <w:szCs w:val="20"/>
          <w:lang w:val="es-CR"/>
        </w:rPr>
        <w:t>a Constitución de Venezuela</w:t>
      </w:r>
      <w:r>
        <w:rPr>
          <w:sz w:val="20"/>
          <w:szCs w:val="20"/>
          <w:lang w:val="es-CR"/>
        </w:rPr>
        <w:t xml:space="preserve"> </w:t>
      </w:r>
      <w:r w:rsidRPr="00D64A29">
        <w:rPr>
          <w:sz w:val="20"/>
          <w:szCs w:val="20"/>
          <w:lang w:val="es-CR"/>
        </w:rPr>
        <w:t>adoptada en 1999, vigente al momento de los hechos,</w:t>
      </w:r>
      <w:r w:rsidRPr="005B3712">
        <w:rPr>
          <w:sz w:val="20"/>
          <w:szCs w:val="20"/>
          <w:lang w:val="es-CR"/>
        </w:rPr>
        <w:t xml:space="preserve"> señala en su artículo 44, en lo pertinente: </w:t>
      </w:r>
    </w:p>
    <w:p w14:paraId="5B85D881" w14:textId="77777777" w:rsidR="00685A14" w:rsidRPr="00620163" w:rsidRDefault="00685A14" w:rsidP="00685A14">
      <w:pPr>
        <w:pStyle w:val="Prrafodelista"/>
        <w:rPr>
          <w:sz w:val="20"/>
          <w:szCs w:val="20"/>
          <w:lang w:val="es-CR"/>
        </w:rPr>
      </w:pPr>
    </w:p>
    <w:p w14:paraId="38CFA8F3" w14:textId="77777777" w:rsidR="00685A14" w:rsidRPr="00703661" w:rsidRDefault="00685A14" w:rsidP="00685A14">
      <w:pPr>
        <w:pStyle w:val="Prrafodelista"/>
        <w:widowControl/>
        <w:autoSpaceDE/>
        <w:autoSpaceDN/>
        <w:spacing w:after="200"/>
        <w:ind w:left="284" w:right="333"/>
        <w:contextualSpacing/>
        <w:rPr>
          <w:sz w:val="16"/>
          <w:szCs w:val="16"/>
        </w:rPr>
      </w:pPr>
      <w:r w:rsidRPr="00620163">
        <w:rPr>
          <w:rFonts w:cs="Arial"/>
          <w:sz w:val="16"/>
          <w:szCs w:val="16"/>
          <w:lang w:val="es-CR"/>
        </w:rPr>
        <w:t>La libertad personal es inviolable; en consecuencia:1. Ninguna persona puede ser arrestada o detenida sino en virtud de una</w:t>
      </w:r>
      <w:r w:rsidRPr="00620163">
        <w:rPr>
          <w:sz w:val="16"/>
          <w:szCs w:val="16"/>
          <w:lang w:val="es-CR"/>
        </w:rPr>
        <w:t xml:space="preserve"> </w:t>
      </w:r>
      <w:r w:rsidRPr="00620163">
        <w:rPr>
          <w:rFonts w:cs="Arial"/>
          <w:sz w:val="16"/>
          <w:szCs w:val="16"/>
          <w:lang w:val="es-CR"/>
        </w:rPr>
        <w:t xml:space="preserve">orden judicial, a menos que sea sorprendida </w:t>
      </w:r>
      <w:r w:rsidRPr="002E20FB">
        <w:rPr>
          <w:rFonts w:cs="Arial"/>
          <w:i/>
          <w:sz w:val="16"/>
          <w:szCs w:val="16"/>
          <w:lang w:val="es-CR"/>
        </w:rPr>
        <w:t>in fraganti</w:t>
      </w:r>
      <w:r w:rsidRPr="00620163">
        <w:rPr>
          <w:rFonts w:cs="Arial"/>
          <w:sz w:val="16"/>
          <w:szCs w:val="16"/>
          <w:lang w:val="es-CR"/>
        </w:rPr>
        <w:t>. En este caso será</w:t>
      </w:r>
      <w:r w:rsidRPr="00620163">
        <w:rPr>
          <w:sz w:val="16"/>
          <w:szCs w:val="16"/>
          <w:lang w:val="es-CR"/>
        </w:rPr>
        <w:t xml:space="preserve"> </w:t>
      </w:r>
      <w:r w:rsidRPr="00620163">
        <w:rPr>
          <w:rFonts w:cs="Arial"/>
          <w:sz w:val="16"/>
          <w:szCs w:val="16"/>
          <w:lang w:val="es-CR"/>
        </w:rPr>
        <w:t>llevada ante una autoridad judicial en un tiempo no mayor de cuarenta y ocho</w:t>
      </w:r>
      <w:r w:rsidRPr="00620163">
        <w:rPr>
          <w:sz w:val="16"/>
          <w:szCs w:val="16"/>
          <w:lang w:val="es-CR"/>
        </w:rPr>
        <w:t xml:space="preserve"> </w:t>
      </w:r>
      <w:r w:rsidRPr="00620163">
        <w:rPr>
          <w:rFonts w:cs="Arial"/>
          <w:sz w:val="16"/>
          <w:szCs w:val="16"/>
          <w:lang w:val="es-CR"/>
        </w:rPr>
        <w:t>horas a partir del momento de la detención. Será juzgada en libertad, excepto</w:t>
      </w:r>
      <w:r w:rsidRPr="00620163">
        <w:rPr>
          <w:sz w:val="16"/>
          <w:szCs w:val="16"/>
          <w:lang w:val="es-CR"/>
        </w:rPr>
        <w:t xml:space="preserve"> </w:t>
      </w:r>
      <w:r w:rsidRPr="00620163">
        <w:rPr>
          <w:rFonts w:cs="Arial"/>
          <w:sz w:val="16"/>
          <w:szCs w:val="16"/>
          <w:lang w:val="es-CR"/>
        </w:rPr>
        <w:t>por las razones determinadas por la ley y apreciadas por el juez o jueza en</w:t>
      </w:r>
      <w:r w:rsidRPr="00620163">
        <w:rPr>
          <w:sz w:val="16"/>
          <w:szCs w:val="16"/>
          <w:lang w:val="es-CR"/>
        </w:rPr>
        <w:t xml:space="preserve"> </w:t>
      </w:r>
      <w:r w:rsidRPr="00620163">
        <w:rPr>
          <w:rFonts w:cs="Arial"/>
          <w:sz w:val="16"/>
          <w:szCs w:val="16"/>
          <w:lang w:val="es-CR"/>
        </w:rPr>
        <w:t>cada caso.</w:t>
      </w:r>
    </w:p>
    <w:p w14:paraId="11915530" w14:textId="77777777" w:rsidR="00685A14" w:rsidRPr="005B3712" w:rsidRDefault="00685A14" w:rsidP="00685A14">
      <w:pPr>
        <w:pStyle w:val="Prrafodelista"/>
        <w:rPr>
          <w:rFonts w:cs="Arial"/>
          <w:sz w:val="20"/>
          <w:szCs w:val="20"/>
          <w:lang w:val="es-CR"/>
        </w:rPr>
      </w:pPr>
    </w:p>
    <w:p w14:paraId="0F7DBCED" w14:textId="5CEF51D1" w:rsidR="00685A14" w:rsidRPr="005B3712" w:rsidRDefault="00685A14" w:rsidP="00685A14">
      <w:pPr>
        <w:pStyle w:val="Prrafodelista"/>
        <w:widowControl/>
        <w:numPr>
          <w:ilvl w:val="0"/>
          <w:numId w:val="30"/>
        </w:numPr>
        <w:autoSpaceDE/>
        <w:autoSpaceDN/>
        <w:spacing w:after="200"/>
        <w:ind w:left="0" w:firstLine="0"/>
        <w:contextualSpacing/>
        <w:rPr>
          <w:sz w:val="16"/>
          <w:szCs w:val="16"/>
        </w:rPr>
      </w:pPr>
      <w:r>
        <w:rPr>
          <w:rFonts w:cs="Arial"/>
          <w:sz w:val="20"/>
          <w:szCs w:val="20"/>
          <w:lang w:val="es-CR"/>
        </w:rPr>
        <w:t xml:space="preserve">En el caso, </w:t>
      </w:r>
      <w:r w:rsidRPr="005B3712">
        <w:rPr>
          <w:rFonts w:cs="Arial"/>
          <w:sz w:val="20"/>
          <w:szCs w:val="20"/>
          <w:lang w:val="es-CR"/>
        </w:rPr>
        <w:t>Jimmy Guerrero fue detenido por funcionarios policiales del 25 al 27 de octubre de 2002, del 2 al 3 de noviembre de 2002 y del 17 al 18 de febrero de 2003</w:t>
      </w:r>
      <w:r w:rsidRPr="00EB70C7">
        <w:rPr>
          <w:rStyle w:val="Refdenotaalpie"/>
          <w:rFonts w:cs="Arial"/>
          <w:sz w:val="20"/>
          <w:szCs w:val="20"/>
          <w:lang w:val="es-CR"/>
        </w:rPr>
        <w:footnoteReference w:id="113"/>
      </w:r>
      <w:r w:rsidRPr="005B3712">
        <w:rPr>
          <w:rFonts w:cs="Arial"/>
          <w:sz w:val="20"/>
          <w:szCs w:val="20"/>
          <w:lang w:val="es-CR"/>
        </w:rPr>
        <w:t>. En la primera ocasión, fue interrogado por el robo de un taxista</w:t>
      </w:r>
      <w:r>
        <w:rPr>
          <w:rFonts w:cs="Arial"/>
          <w:sz w:val="20"/>
          <w:szCs w:val="20"/>
          <w:lang w:val="es-CR"/>
        </w:rPr>
        <w:t xml:space="preserve"> (</w:t>
      </w:r>
      <w:r>
        <w:rPr>
          <w:rFonts w:cs="Arial"/>
          <w:i/>
          <w:sz w:val="20"/>
          <w:szCs w:val="20"/>
          <w:lang w:val="es-CR"/>
        </w:rPr>
        <w:t xml:space="preserve">supra </w:t>
      </w:r>
      <w:r>
        <w:rPr>
          <w:rFonts w:cs="Arial"/>
          <w:sz w:val="20"/>
          <w:szCs w:val="20"/>
          <w:lang w:val="es-CR"/>
        </w:rPr>
        <w:t>párr. 62)</w:t>
      </w:r>
      <w:r w:rsidRPr="005B3712">
        <w:rPr>
          <w:rFonts w:cs="Arial"/>
          <w:sz w:val="20"/>
          <w:szCs w:val="20"/>
          <w:lang w:val="es-CR"/>
        </w:rPr>
        <w:t xml:space="preserve">. En la segunda </w:t>
      </w:r>
      <w:r w:rsidRPr="005B3712">
        <w:rPr>
          <w:sz w:val="20"/>
          <w:szCs w:val="20"/>
        </w:rPr>
        <w:t>permaneció detenido “a la orden del inspector” de la DIPE</w:t>
      </w:r>
      <w:r>
        <w:rPr>
          <w:sz w:val="20"/>
          <w:szCs w:val="20"/>
        </w:rPr>
        <w:t xml:space="preserve"> (</w:t>
      </w:r>
      <w:r>
        <w:rPr>
          <w:i/>
          <w:sz w:val="20"/>
          <w:szCs w:val="20"/>
        </w:rPr>
        <w:t xml:space="preserve">supra </w:t>
      </w:r>
      <w:r>
        <w:rPr>
          <w:sz w:val="20"/>
          <w:szCs w:val="20"/>
        </w:rPr>
        <w:t>párr. 64)</w:t>
      </w:r>
      <w:r w:rsidRPr="005B3712">
        <w:rPr>
          <w:sz w:val="20"/>
          <w:szCs w:val="20"/>
        </w:rPr>
        <w:t>. En la tercera, fue aprehendido mediante agresiones cuando estaba en su residencia (</w:t>
      </w:r>
      <w:r w:rsidRPr="005B3712">
        <w:rPr>
          <w:i/>
          <w:sz w:val="20"/>
          <w:szCs w:val="20"/>
        </w:rPr>
        <w:t xml:space="preserve">supra </w:t>
      </w:r>
      <w:proofErr w:type="spellStart"/>
      <w:r w:rsidRPr="005B3712">
        <w:rPr>
          <w:sz w:val="20"/>
          <w:szCs w:val="20"/>
        </w:rPr>
        <w:t>párrs</w:t>
      </w:r>
      <w:proofErr w:type="spellEnd"/>
      <w:r>
        <w:rPr>
          <w:sz w:val="20"/>
          <w:szCs w:val="20"/>
        </w:rPr>
        <w:t>.</w:t>
      </w:r>
      <w:r w:rsidRPr="005B3712">
        <w:rPr>
          <w:sz w:val="20"/>
          <w:szCs w:val="20"/>
        </w:rPr>
        <w:t xml:space="preserve"> </w:t>
      </w:r>
      <w:r>
        <w:rPr>
          <w:sz w:val="20"/>
          <w:szCs w:val="20"/>
        </w:rPr>
        <w:t>65 y 66</w:t>
      </w:r>
      <w:r w:rsidRPr="005B3712">
        <w:rPr>
          <w:sz w:val="20"/>
          <w:szCs w:val="20"/>
        </w:rPr>
        <w:t>). En esta última ocasión los funcionarios intervinientes habrían, en el acto de la detención, aludido a un robo (</w:t>
      </w:r>
      <w:r w:rsidRPr="005B3712">
        <w:rPr>
          <w:i/>
          <w:sz w:val="20"/>
          <w:szCs w:val="20"/>
        </w:rPr>
        <w:t xml:space="preserve">supra </w:t>
      </w:r>
      <w:r w:rsidRPr="005B3712">
        <w:rPr>
          <w:sz w:val="20"/>
          <w:szCs w:val="20"/>
        </w:rPr>
        <w:t xml:space="preserve">párr. </w:t>
      </w:r>
      <w:r>
        <w:rPr>
          <w:sz w:val="20"/>
          <w:szCs w:val="20"/>
        </w:rPr>
        <w:t>65</w:t>
      </w:r>
      <w:r w:rsidRPr="005B3712">
        <w:rPr>
          <w:sz w:val="20"/>
          <w:szCs w:val="20"/>
        </w:rPr>
        <w:t xml:space="preserve">). </w:t>
      </w:r>
    </w:p>
    <w:p w14:paraId="65C58332" w14:textId="77777777" w:rsidR="00685A14" w:rsidRPr="005B3712" w:rsidRDefault="00685A14" w:rsidP="00685A14">
      <w:pPr>
        <w:pStyle w:val="Prrafodelista"/>
        <w:rPr>
          <w:sz w:val="20"/>
          <w:szCs w:val="20"/>
        </w:rPr>
      </w:pPr>
    </w:p>
    <w:p w14:paraId="654710B8" w14:textId="77777777" w:rsidR="00685A14" w:rsidRPr="005B3712" w:rsidRDefault="00685A14" w:rsidP="00685A14">
      <w:pPr>
        <w:pStyle w:val="Prrafodelista"/>
        <w:widowControl/>
        <w:numPr>
          <w:ilvl w:val="0"/>
          <w:numId w:val="30"/>
        </w:numPr>
        <w:autoSpaceDE/>
        <w:autoSpaceDN/>
        <w:spacing w:after="200"/>
        <w:ind w:left="0" w:firstLine="0"/>
        <w:contextualSpacing/>
        <w:rPr>
          <w:sz w:val="16"/>
          <w:szCs w:val="16"/>
        </w:rPr>
      </w:pPr>
      <w:r w:rsidRPr="005B3712">
        <w:rPr>
          <w:sz w:val="20"/>
          <w:szCs w:val="20"/>
        </w:rPr>
        <w:t>De conformidad con los hechos, no consta que en ninguna de las tres oportunidades los funcionarios policiales hubieran actuado con base en una orden judicial, ni que el señor Guerrero fuera sorprendido en delito flagrante. Por otra parte, aunque en la primera y tercera ocasión los agentes estatales habrían expresado que su actuación se vinculaba con un hecho ilícito previo, las circunstancias descriptas no resulta</w:t>
      </w:r>
      <w:r>
        <w:rPr>
          <w:sz w:val="20"/>
          <w:szCs w:val="20"/>
        </w:rPr>
        <w:t>n</w:t>
      </w:r>
      <w:r w:rsidRPr="005B3712">
        <w:rPr>
          <w:sz w:val="20"/>
          <w:szCs w:val="20"/>
        </w:rPr>
        <w:t xml:space="preserve"> suficientes para tener por acreditado que hubo una comunicación adecuada de las razones de la detención. Tampoco surge de los hechos que el señor Guerrero fuera llevado sin demora ante una autoridad judicial en alguna de las tres oportunidades. </w:t>
      </w:r>
      <w:r>
        <w:rPr>
          <w:sz w:val="20"/>
          <w:szCs w:val="20"/>
        </w:rPr>
        <w:t>Por ello, las detenciones no observaron el requisito de legalidad, ni cumplieron con las salvaguardas de notificación de sus razones y control judicial.</w:t>
      </w:r>
    </w:p>
    <w:p w14:paraId="725950D6" w14:textId="77777777" w:rsidR="00685A14" w:rsidRPr="005B3712" w:rsidRDefault="00685A14" w:rsidP="00685A14">
      <w:pPr>
        <w:pStyle w:val="Prrafodelista"/>
        <w:rPr>
          <w:sz w:val="20"/>
          <w:szCs w:val="20"/>
        </w:rPr>
      </w:pPr>
    </w:p>
    <w:p w14:paraId="677F1475" w14:textId="4D643A49" w:rsidR="00685A14" w:rsidRPr="005B3712" w:rsidRDefault="00685A14" w:rsidP="00685A14">
      <w:pPr>
        <w:pStyle w:val="Prrafodelista"/>
        <w:widowControl/>
        <w:numPr>
          <w:ilvl w:val="0"/>
          <w:numId w:val="30"/>
        </w:numPr>
        <w:autoSpaceDE/>
        <w:autoSpaceDN/>
        <w:spacing w:after="200"/>
        <w:ind w:left="0" w:firstLine="0"/>
        <w:contextualSpacing/>
        <w:rPr>
          <w:sz w:val="16"/>
          <w:szCs w:val="16"/>
        </w:rPr>
      </w:pPr>
      <w:r w:rsidRPr="005B3712">
        <w:rPr>
          <w:sz w:val="20"/>
          <w:szCs w:val="20"/>
        </w:rPr>
        <w:t>Las detenciones fueron</w:t>
      </w:r>
      <w:r>
        <w:rPr>
          <w:sz w:val="20"/>
          <w:szCs w:val="20"/>
        </w:rPr>
        <w:t>,</w:t>
      </w:r>
      <w:r w:rsidRPr="005B3712">
        <w:rPr>
          <w:sz w:val="20"/>
          <w:szCs w:val="20"/>
        </w:rPr>
        <w:t xml:space="preserve"> además</w:t>
      </w:r>
      <w:r>
        <w:rPr>
          <w:sz w:val="20"/>
          <w:szCs w:val="20"/>
        </w:rPr>
        <w:t>,</w:t>
      </w:r>
      <w:r w:rsidRPr="005B3712">
        <w:rPr>
          <w:sz w:val="20"/>
          <w:szCs w:val="20"/>
        </w:rPr>
        <w:t xml:space="preserve"> arbitrarias.</w:t>
      </w:r>
      <w:r w:rsidR="007E2817">
        <w:rPr>
          <w:sz w:val="20"/>
          <w:szCs w:val="20"/>
        </w:rPr>
        <w:t xml:space="preserve"> E</w:t>
      </w:r>
      <w:r w:rsidRPr="005B3712">
        <w:rPr>
          <w:sz w:val="20"/>
          <w:szCs w:val="20"/>
        </w:rPr>
        <w:t xml:space="preserve">n primer </w:t>
      </w:r>
      <w:proofErr w:type="gramStart"/>
      <w:r w:rsidRPr="005B3712">
        <w:rPr>
          <w:sz w:val="20"/>
          <w:szCs w:val="20"/>
        </w:rPr>
        <w:t>término</w:t>
      </w:r>
      <w:proofErr w:type="gramEnd"/>
      <w:r w:rsidR="007E2817">
        <w:rPr>
          <w:sz w:val="20"/>
          <w:szCs w:val="20"/>
        </w:rPr>
        <w:t xml:space="preserve"> porque</w:t>
      </w:r>
      <w:r w:rsidRPr="005B3712">
        <w:rPr>
          <w:sz w:val="20"/>
          <w:szCs w:val="20"/>
        </w:rPr>
        <w:t xml:space="preserve">, aunado a lo ya expuesto, se realizaron de modo imprevisible y, al menos en el último caso, por </w:t>
      </w:r>
      <w:r>
        <w:rPr>
          <w:sz w:val="20"/>
          <w:szCs w:val="20"/>
        </w:rPr>
        <w:t xml:space="preserve">medio de </w:t>
      </w:r>
      <w:r w:rsidRPr="005B3712">
        <w:rPr>
          <w:sz w:val="20"/>
          <w:szCs w:val="20"/>
        </w:rPr>
        <w:t>agresiones físicas que resultaron un medio desproporcionado para ejecutar la detención</w:t>
      </w:r>
      <w:r w:rsidR="00123A31">
        <w:rPr>
          <w:rStyle w:val="Refdenotaalpie"/>
          <w:sz w:val="20"/>
          <w:szCs w:val="20"/>
        </w:rPr>
        <w:footnoteReference w:id="114"/>
      </w:r>
      <w:r w:rsidRPr="005B3712">
        <w:rPr>
          <w:sz w:val="20"/>
          <w:szCs w:val="20"/>
        </w:rPr>
        <w:t xml:space="preserve">. Además, en segundo lugar, las detenciones se insertaron en una serie más amplia de actos cometidos por funcionarios policiales, que, a su vez, son </w:t>
      </w:r>
      <w:r w:rsidRPr="00D64A29">
        <w:rPr>
          <w:sz w:val="20"/>
          <w:szCs w:val="20"/>
        </w:rPr>
        <w:t>acordes</w:t>
      </w:r>
      <w:r w:rsidRPr="005B3712">
        <w:rPr>
          <w:sz w:val="20"/>
          <w:szCs w:val="20"/>
        </w:rPr>
        <w:t xml:space="preserve"> con una situación contextual de violencia policial contra hombres jóvenes en situación de pobreza (</w:t>
      </w:r>
      <w:r w:rsidRPr="005B3712">
        <w:rPr>
          <w:i/>
          <w:sz w:val="20"/>
          <w:szCs w:val="20"/>
        </w:rPr>
        <w:t xml:space="preserve">supra </w:t>
      </w:r>
      <w:r w:rsidRPr="005B3712">
        <w:rPr>
          <w:sz w:val="20"/>
          <w:szCs w:val="20"/>
        </w:rPr>
        <w:t xml:space="preserve">párr. </w:t>
      </w:r>
      <w:r>
        <w:rPr>
          <w:sz w:val="20"/>
          <w:szCs w:val="20"/>
        </w:rPr>
        <w:t>53</w:t>
      </w:r>
      <w:r w:rsidRPr="005B3712">
        <w:rPr>
          <w:sz w:val="20"/>
          <w:szCs w:val="20"/>
        </w:rPr>
        <w:t>)</w:t>
      </w:r>
      <w:r w:rsidRPr="00EB70C7">
        <w:rPr>
          <w:rStyle w:val="Refdenotaalpie"/>
          <w:sz w:val="20"/>
          <w:szCs w:val="20"/>
        </w:rPr>
        <w:footnoteReference w:id="115"/>
      </w:r>
      <w:r w:rsidRPr="005B3712">
        <w:rPr>
          <w:sz w:val="20"/>
          <w:szCs w:val="20"/>
        </w:rPr>
        <w:t xml:space="preserve">. La Corte, por ende, entiende que el actuar policial en las </w:t>
      </w:r>
      <w:r w:rsidRPr="005B3712">
        <w:rPr>
          <w:sz w:val="20"/>
          <w:szCs w:val="20"/>
        </w:rPr>
        <w:lastRenderedPageBreak/>
        <w:t xml:space="preserve">tres detenciones analizadas obedeció a preconceptos sobre Jimmy Guerrero, que implicaban considerarlo, en forma injustificada, como delincuente o peligroso, </w:t>
      </w:r>
      <w:r>
        <w:rPr>
          <w:sz w:val="20"/>
          <w:szCs w:val="20"/>
        </w:rPr>
        <w:t>con base en percibir</w:t>
      </w:r>
      <w:r w:rsidRPr="005B3712">
        <w:rPr>
          <w:sz w:val="20"/>
          <w:szCs w:val="20"/>
        </w:rPr>
        <w:t xml:space="preserve"> su pertenencia a un grupo </w:t>
      </w:r>
      <w:r w:rsidRPr="00D64A29">
        <w:rPr>
          <w:sz w:val="20"/>
          <w:szCs w:val="20"/>
        </w:rPr>
        <w:t>etario, económico y</w:t>
      </w:r>
      <w:r>
        <w:rPr>
          <w:sz w:val="20"/>
          <w:szCs w:val="20"/>
        </w:rPr>
        <w:t xml:space="preserve"> </w:t>
      </w:r>
      <w:r w:rsidRPr="005B3712">
        <w:rPr>
          <w:sz w:val="20"/>
          <w:szCs w:val="20"/>
        </w:rPr>
        <w:t xml:space="preserve">social. Las tres detenciones, entonces, resultaron discriminatorias y arbitrarias. </w:t>
      </w:r>
    </w:p>
    <w:p w14:paraId="1140A9F1" w14:textId="77777777" w:rsidR="00685A14" w:rsidRPr="005B3712" w:rsidRDefault="00685A14" w:rsidP="00685A14">
      <w:pPr>
        <w:pStyle w:val="Prrafodelista"/>
        <w:rPr>
          <w:sz w:val="16"/>
          <w:szCs w:val="16"/>
        </w:rPr>
      </w:pPr>
    </w:p>
    <w:p w14:paraId="78C4496E" w14:textId="6E26D28F" w:rsidR="00685A14" w:rsidRPr="00EA616B" w:rsidRDefault="00685A14" w:rsidP="00685A14">
      <w:pPr>
        <w:pStyle w:val="Prrafodelista"/>
        <w:widowControl/>
        <w:numPr>
          <w:ilvl w:val="0"/>
          <w:numId w:val="30"/>
        </w:numPr>
        <w:autoSpaceDE/>
        <w:autoSpaceDN/>
        <w:spacing w:after="200"/>
        <w:ind w:left="0" w:firstLine="0"/>
        <w:contextualSpacing/>
      </w:pPr>
      <w:r w:rsidRPr="005B3712">
        <w:rPr>
          <w:sz w:val="20"/>
          <w:szCs w:val="20"/>
        </w:rPr>
        <w:t>Por lo expuesto, la Corte concluye que el Estado violó el derecho a la libertad personal del señor Jimmy</w:t>
      </w:r>
      <w:r w:rsidR="00FC6F68">
        <w:rPr>
          <w:sz w:val="20"/>
          <w:szCs w:val="20"/>
        </w:rPr>
        <w:t xml:space="preserve"> Rafael</w:t>
      </w:r>
      <w:r w:rsidRPr="005B3712">
        <w:rPr>
          <w:sz w:val="20"/>
          <w:szCs w:val="20"/>
        </w:rPr>
        <w:t xml:space="preserve"> Guerrero</w:t>
      </w:r>
      <w:r w:rsidR="00FC6F68">
        <w:rPr>
          <w:sz w:val="20"/>
          <w:szCs w:val="20"/>
        </w:rPr>
        <w:t xml:space="preserve"> Meléndez</w:t>
      </w:r>
      <w:r w:rsidRPr="005B3712">
        <w:rPr>
          <w:sz w:val="20"/>
          <w:szCs w:val="20"/>
        </w:rPr>
        <w:t xml:space="preserve">, </w:t>
      </w:r>
      <w:r w:rsidRPr="00D64A29">
        <w:rPr>
          <w:sz w:val="20"/>
          <w:szCs w:val="20"/>
        </w:rPr>
        <w:t>previsto en</w:t>
      </w:r>
      <w:r w:rsidRPr="005B3712">
        <w:rPr>
          <w:sz w:val="20"/>
          <w:szCs w:val="20"/>
        </w:rPr>
        <w:t xml:space="preserve"> el artículo 7 de la Convención Americana, en sus numerales 1, 2, 3, 4 y 5, en relación con la obligación de respetar los derechos humanos sin discriminación</w:t>
      </w:r>
      <w:r>
        <w:rPr>
          <w:sz w:val="20"/>
          <w:szCs w:val="20"/>
        </w:rPr>
        <w:t>,</w:t>
      </w:r>
      <w:r w:rsidRPr="005B3712">
        <w:rPr>
          <w:sz w:val="20"/>
          <w:szCs w:val="20"/>
        </w:rPr>
        <w:t xml:space="preserve"> que surge del artículo 1.1 del mismo tratado. </w:t>
      </w:r>
    </w:p>
    <w:p w14:paraId="1969C5E9" w14:textId="77777777" w:rsidR="000F2503" w:rsidRDefault="000F2503" w:rsidP="00685A14">
      <w:pPr>
        <w:pStyle w:val="Prrafodelista"/>
        <w:rPr>
          <w:sz w:val="20"/>
          <w:szCs w:val="20"/>
        </w:rPr>
      </w:pPr>
    </w:p>
    <w:p w14:paraId="0DEA02DF" w14:textId="77777777" w:rsidR="00685A14" w:rsidRPr="003D1141" w:rsidRDefault="00685A14" w:rsidP="00685A14">
      <w:pPr>
        <w:pStyle w:val="Prrafodelista"/>
        <w:jc w:val="center"/>
        <w:outlineLvl w:val="0"/>
        <w:rPr>
          <w:b/>
          <w:sz w:val="20"/>
          <w:szCs w:val="20"/>
        </w:rPr>
      </w:pPr>
      <w:bookmarkStart w:id="52" w:name="_Toc67333128"/>
      <w:bookmarkStart w:id="53" w:name="_Toc69197749"/>
      <w:bookmarkStart w:id="54" w:name="_Toc73960362"/>
      <w:r w:rsidRPr="003D1141">
        <w:rPr>
          <w:b/>
          <w:sz w:val="20"/>
          <w:szCs w:val="20"/>
        </w:rPr>
        <w:t>V</w:t>
      </w:r>
      <w:r>
        <w:rPr>
          <w:b/>
          <w:sz w:val="20"/>
          <w:szCs w:val="20"/>
        </w:rPr>
        <w:t>II.3</w:t>
      </w:r>
      <w:bookmarkEnd w:id="52"/>
      <w:bookmarkEnd w:id="53"/>
      <w:bookmarkEnd w:id="54"/>
    </w:p>
    <w:p w14:paraId="657CD497" w14:textId="135B3F54" w:rsidR="00685A14" w:rsidRPr="004249A3" w:rsidRDefault="00685A14" w:rsidP="00685A14">
      <w:pPr>
        <w:pStyle w:val="Prrafodelista"/>
        <w:jc w:val="center"/>
        <w:outlineLvl w:val="0"/>
        <w:rPr>
          <w:b/>
          <w:sz w:val="20"/>
          <w:szCs w:val="20"/>
        </w:rPr>
      </w:pPr>
      <w:bookmarkStart w:id="55" w:name="_Toc73960363"/>
      <w:r>
        <w:rPr>
          <w:b/>
          <w:sz w:val="20"/>
          <w:szCs w:val="20"/>
        </w:rPr>
        <w:t>DERECHO A LA INTEGRIDAD PERSONAL</w:t>
      </w:r>
      <w:r w:rsidRPr="00754F8B">
        <w:rPr>
          <w:rStyle w:val="Refdenotaalpie"/>
          <w:sz w:val="20"/>
          <w:szCs w:val="20"/>
        </w:rPr>
        <w:footnoteReference w:id="116"/>
      </w:r>
      <w:r>
        <w:rPr>
          <w:b/>
          <w:sz w:val="20"/>
          <w:szCs w:val="20"/>
        </w:rPr>
        <w:t xml:space="preserve"> </w:t>
      </w:r>
      <w:r w:rsidR="00B4652D">
        <w:rPr>
          <w:b/>
          <w:sz w:val="20"/>
          <w:szCs w:val="20"/>
        </w:rPr>
        <w:t>Y</w:t>
      </w:r>
      <w:r>
        <w:rPr>
          <w:b/>
          <w:sz w:val="20"/>
          <w:szCs w:val="20"/>
        </w:rPr>
        <w:t xml:space="preserve"> LA PROHIBICIÓN DE ACTOS DE TORTURA</w:t>
      </w:r>
      <w:r w:rsidRPr="00754F8B">
        <w:rPr>
          <w:rStyle w:val="Refdenotaalpie"/>
          <w:sz w:val="20"/>
          <w:szCs w:val="20"/>
        </w:rPr>
        <w:footnoteReference w:id="117"/>
      </w:r>
      <w:r>
        <w:rPr>
          <w:b/>
          <w:sz w:val="20"/>
          <w:szCs w:val="20"/>
        </w:rPr>
        <w:t xml:space="preserve"> RESPECTO A JIMMY GUERRERO</w:t>
      </w:r>
      <w:bookmarkEnd w:id="55"/>
    </w:p>
    <w:p w14:paraId="00F4A2D0" w14:textId="77777777" w:rsidR="00685A14" w:rsidRDefault="00685A14" w:rsidP="00685A14">
      <w:pPr>
        <w:rPr>
          <w:sz w:val="20"/>
          <w:szCs w:val="20"/>
        </w:rPr>
      </w:pPr>
    </w:p>
    <w:p w14:paraId="4416C600" w14:textId="77777777" w:rsidR="00685A14" w:rsidRPr="00754F8B" w:rsidRDefault="00685A14" w:rsidP="000F2503">
      <w:pPr>
        <w:pStyle w:val="Prrafodelista"/>
        <w:numPr>
          <w:ilvl w:val="0"/>
          <w:numId w:val="15"/>
        </w:numPr>
        <w:ind w:left="284" w:firstLine="0"/>
        <w:outlineLvl w:val="1"/>
        <w:rPr>
          <w:b/>
          <w:i/>
          <w:sz w:val="20"/>
          <w:szCs w:val="20"/>
        </w:rPr>
      </w:pPr>
      <w:bookmarkStart w:id="56" w:name="_Toc73960364"/>
      <w:r w:rsidRPr="00754F8B">
        <w:rPr>
          <w:b/>
          <w:i/>
          <w:sz w:val="20"/>
          <w:szCs w:val="20"/>
        </w:rPr>
        <w:t>A</w:t>
      </w:r>
      <w:r>
        <w:rPr>
          <w:b/>
          <w:i/>
          <w:sz w:val="20"/>
          <w:szCs w:val="20"/>
        </w:rPr>
        <w:t>rgumentos de los representantes</w:t>
      </w:r>
      <w:r w:rsidRPr="00127A01">
        <w:rPr>
          <w:rStyle w:val="Refdenotaalpie"/>
          <w:sz w:val="20"/>
          <w:szCs w:val="20"/>
        </w:rPr>
        <w:footnoteReference w:id="118"/>
      </w:r>
      <w:bookmarkEnd w:id="56"/>
    </w:p>
    <w:p w14:paraId="38B6CFEF" w14:textId="77777777" w:rsidR="00685A14" w:rsidRPr="00754F8B" w:rsidRDefault="00685A14" w:rsidP="00685A14">
      <w:pPr>
        <w:rPr>
          <w:sz w:val="20"/>
          <w:szCs w:val="20"/>
        </w:rPr>
      </w:pPr>
    </w:p>
    <w:p w14:paraId="5853D246" w14:textId="77777777" w:rsidR="00685A14" w:rsidRPr="00C526A1" w:rsidRDefault="00685A14" w:rsidP="00685A14">
      <w:pPr>
        <w:pStyle w:val="Prrafodelista"/>
        <w:widowControl/>
        <w:numPr>
          <w:ilvl w:val="0"/>
          <w:numId w:val="31"/>
        </w:numPr>
        <w:autoSpaceDE/>
        <w:autoSpaceDN/>
        <w:ind w:left="0" w:firstLine="0"/>
        <w:contextualSpacing/>
        <w:rPr>
          <w:sz w:val="20"/>
          <w:szCs w:val="20"/>
        </w:rPr>
      </w:pPr>
      <w:r w:rsidRPr="00754F8B">
        <w:rPr>
          <w:sz w:val="20"/>
          <w:szCs w:val="20"/>
        </w:rPr>
        <w:t xml:space="preserve">Los </w:t>
      </w:r>
      <w:r w:rsidRPr="00754F8B">
        <w:rPr>
          <w:b/>
          <w:i/>
          <w:sz w:val="20"/>
          <w:szCs w:val="20"/>
        </w:rPr>
        <w:t>representantes</w:t>
      </w:r>
      <w:r>
        <w:rPr>
          <w:sz w:val="20"/>
          <w:szCs w:val="20"/>
        </w:rPr>
        <w:t xml:space="preserve"> adujeron que</w:t>
      </w:r>
      <w:r w:rsidRPr="004249A3">
        <w:rPr>
          <w:sz w:val="20"/>
          <w:szCs w:val="20"/>
        </w:rPr>
        <w:t xml:space="preserve">, antes del día de su muerte, Jimmy Guerrero fue objeto de “una serie de hechos, entre </w:t>
      </w:r>
      <w:proofErr w:type="spellStart"/>
      <w:r w:rsidRPr="004249A3">
        <w:rPr>
          <w:sz w:val="20"/>
          <w:szCs w:val="20"/>
        </w:rPr>
        <w:t>ell</w:t>
      </w:r>
      <w:proofErr w:type="spellEnd"/>
      <w:r w:rsidRPr="004249A3">
        <w:rPr>
          <w:sz w:val="20"/>
          <w:szCs w:val="20"/>
        </w:rPr>
        <w:t>[o]s amenazas y graves lesiones físicas […], en manos de agentes estatales que, en su conjunto, son tortura”</w:t>
      </w:r>
      <w:r>
        <w:rPr>
          <w:rStyle w:val="Refdenotaalpie"/>
          <w:sz w:val="20"/>
          <w:szCs w:val="20"/>
        </w:rPr>
        <w:footnoteReference w:id="119"/>
      </w:r>
      <w:r w:rsidRPr="004249A3">
        <w:rPr>
          <w:sz w:val="20"/>
          <w:szCs w:val="20"/>
        </w:rPr>
        <w:t xml:space="preserve">. </w:t>
      </w:r>
      <w:r>
        <w:rPr>
          <w:sz w:val="20"/>
          <w:szCs w:val="20"/>
        </w:rPr>
        <w:t>S</w:t>
      </w:r>
      <w:r w:rsidRPr="00C1792F">
        <w:rPr>
          <w:sz w:val="20"/>
          <w:szCs w:val="20"/>
        </w:rPr>
        <w:t xml:space="preserve">ostuvieron que lo sufrido por Jimmy Guerrero cumple con los requisitos para que se configuren actos de tortura, a saber: </w:t>
      </w:r>
      <w:r>
        <w:rPr>
          <w:rFonts w:cs="Arial"/>
          <w:sz w:val="20"/>
          <w:szCs w:val="20"/>
        </w:rPr>
        <w:t xml:space="preserve">a) </w:t>
      </w:r>
      <w:r w:rsidRPr="00C1792F">
        <w:rPr>
          <w:rFonts w:cs="Arial"/>
          <w:sz w:val="20"/>
          <w:szCs w:val="20"/>
        </w:rPr>
        <w:t>intencional</w:t>
      </w:r>
      <w:r>
        <w:rPr>
          <w:rFonts w:cs="Arial"/>
          <w:sz w:val="20"/>
          <w:szCs w:val="20"/>
        </w:rPr>
        <w:t>idad; b) causación de</w:t>
      </w:r>
      <w:r w:rsidRPr="00C1792F">
        <w:rPr>
          <w:rFonts w:cs="Arial"/>
          <w:sz w:val="20"/>
          <w:szCs w:val="20"/>
        </w:rPr>
        <w:t xml:space="preserve"> severos sufrimientos físicos </w:t>
      </w:r>
      <w:r>
        <w:rPr>
          <w:rFonts w:cs="Arial"/>
          <w:sz w:val="20"/>
          <w:szCs w:val="20"/>
        </w:rPr>
        <w:t>y</w:t>
      </w:r>
      <w:r w:rsidRPr="00C1792F">
        <w:rPr>
          <w:rFonts w:cs="Arial"/>
          <w:sz w:val="20"/>
          <w:szCs w:val="20"/>
        </w:rPr>
        <w:t xml:space="preserve"> mentales (destacaron el “impacto psicológico” de las amenazas de muerte</w:t>
      </w:r>
      <w:r>
        <w:rPr>
          <w:rFonts w:cs="Arial"/>
          <w:sz w:val="20"/>
          <w:szCs w:val="20"/>
        </w:rPr>
        <w:t>,</w:t>
      </w:r>
      <w:r w:rsidRPr="00C1792F">
        <w:rPr>
          <w:rFonts w:cs="Arial"/>
          <w:sz w:val="20"/>
          <w:szCs w:val="20"/>
        </w:rPr>
        <w:t xml:space="preserve"> así como la “vulnerabilidad” de Jimmy Guerrero) y c) </w:t>
      </w:r>
      <w:r>
        <w:rPr>
          <w:rFonts w:cs="Arial"/>
          <w:sz w:val="20"/>
          <w:szCs w:val="20"/>
        </w:rPr>
        <w:t>comisión</w:t>
      </w:r>
      <w:r w:rsidRPr="00C1792F">
        <w:rPr>
          <w:rFonts w:cs="Arial"/>
          <w:sz w:val="20"/>
          <w:szCs w:val="20"/>
        </w:rPr>
        <w:t xml:space="preserve"> con cualquier fin o</w:t>
      </w:r>
      <w:r w:rsidRPr="00C1792F">
        <w:rPr>
          <w:sz w:val="20"/>
          <w:szCs w:val="20"/>
        </w:rPr>
        <w:t xml:space="preserve"> </w:t>
      </w:r>
      <w:r>
        <w:rPr>
          <w:rFonts w:cs="ArialMT"/>
          <w:sz w:val="20"/>
          <w:szCs w:val="20"/>
        </w:rPr>
        <w:t>propósito</w:t>
      </w:r>
      <w:r w:rsidRPr="00C1792F">
        <w:rPr>
          <w:rFonts w:cs="Arial"/>
          <w:sz w:val="20"/>
          <w:szCs w:val="20"/>
        </w:rPr>
        <w:t>. El fin de estos actos, según los representantes,</w:t>
      </w:r>
      <w:r>
        <w:rPr>
          <w:rFonts w:cs="Arial"/>
          <w:sz w:val="20"/>
          <w:szCs w:val="20"/>
        </w:rPr>
        <w:t xml:space="preserve"> fue</w:t>
      </w:r>
      <w:r w:rsidRPr="00C1792F">
        <w:rPr>
          <w:rFonts w:cs="Arial"/>
          <w:sz w:val="20"/>
          <w:szCs w:val="20"/>
        </w:rPr>
        <w:t xml:space="preserve"> </w:t>
      </w:r>
      <w:r>
        <w:rPr>
          <w:rFonts w:cs="Arial"/>
          <w:sz w:val="20"/>
          <w:szCs w:val="20"/>
        </w:rPr>
        <w:t>“</w:t>
      </w:r>
      <w:r w:rsidRPr="00C1792F">
        <w:rPr>
          <w:rFonts w:cs="Arial"/>
          <w:sz w:val="20"/>
          <w:szCs w:val="20"/>
        </w:rPr>
        <w:t>causar temor en la víctima y castigarla por su supuesto</w:t>
      </w:r>
      <w:r w:rsidRPr="00C1792F">
        <w:rPr>
          <w:sz w:val="20"/>
          <w:szCs w:val="20"/>
        </w:rPr>
        <w:t xml:space="preserve"> </w:t>
      </w:r>
      <w:r w:rsidRPr="00C1792F">
        <w:rPr>
          <w:rFonts w:cs="Arial"/>
          <w:sz w:val="20"/>
          <w:szCs w:val="20"/>
        </w:rPr>
        <w:t>involucramiento en actos delictivos</w:t>
      </w:r>
      <w:r>
        <w:rPr>
          <w:rFonts w:cs="Arial"/>
          <w:sz w:val="20"/>
          <w:szCs w:val="20"/>
        </w:rPr>
        <w:t>”</w:t>
      </w:r>
      <w:r w:rsidRPr="00C1792F">
        <w:rPr>
          <w:rFonts w:cs="Arial"/>
          <w:sz w:val="20"/>
          <w:szCs w:val="20"/>
        </w:rPr>
        <w:t>.</w:t>
      </w:r>
      <w:r w:rsidRPr="00C1792F">
        <w:rPr>
          <w:rFonts w:cs="Arial"/>
          <w:b/>
          <w:sz w:val="16"/>
          <w:szCs w:val="20"/>
        </w:rPr>
        <w:t xml:space="preserve"> </w:t>
      </w:r>
      <w:r w:rsidRPr="00C1792F">
        <w:rPr>
          <w:sz w:val="20"/>
          <w:szCs w:val="20"/>
        </w:rPr>
        <w:t>Aseveraron, por lo anterior, que el Estado es responsable por la violación del derecho a la integridad personal, reconocido en el artículo 5 de la Convención</w:t>
      </w:r>
      <w:r>
        <w:rPr>
          <w:sz w:val="20"/>
          <w:szCs w:val="20"/>
        </w:rPr>
        <w:t xml:space="preserve"> Americana</w:t>
      </w:r>
      <w:r w:rsidRPr="00C1792F">
        <w:rPr>
          <w:sz w:val="20"/>
          <w:szCs w:val="20"/>
        </w:rPr>
        <w:t xml:space="preserve">, en “concordancia con el incumplimiento de [la] obligación contenida en </w:t>
      </w:r>
      <w:r>
        <w:rPr>
          <w:sz w:val="20"/>
          <w:szCs w:val="20"/>
        </w:rPr>
        <w:t>[su]</w:t>
      </w:r>
      <w:r w:rsidRPr="00C1792F">
        <w:rPr>
          <w:sz w:val="20"/>
          <w:szCs w:val="20"/>
        </w:rPr>
        <w:t xml:space="preserve"> artículo 1.1</w:t>
      </w:r>
      <w:r>
        <w:rPr>
          <w:sz w:val="20"/>
          <w:szCs w:val="20"/>
        </w:rPr>
        <w:t xml:space="preserve"> […]</w:t>
      </w:r>
      <w:r w:rsidRPr="00C1792F">
        <w:rPr>
          <w:sz w:val="20"/>
          <w:szCs w:val="20"/>
        </w:rPr>
        <w:t xml:space="preserve"> y los artículos 1</w:t>
      </w:r>
      <w:r>
        <w:rPr>
          <w:sz w:val="20"/>
          <w:szCs w:val="20"/>
        </w:rPr>
        <w:t xml:space="preserve"> y</w:t>
      </w:r>
      <w:r w:rsidRPr="00C1792F">
        <w:rPr>
          <w:sz w:val="20"/>
          <w:szCs w:val="20"/>
        </w:rPr>
        <w:t xml:space="preserve"> 6</w:t>
      </w:r>
      <w:r>
        <w:rPr>
          <w:sz w:val="20"/>
          <w:szCs w:val="20"/>
        </w:rPr>
        <w:t xml:space="preserve"> de la </w:t>
      </w:r>
      <w:r w:rsidRPr="00C1792F">
        <w:rPr>
          <w:sz w:val="20"/>
          <w:szCs w:val="20"/>
        </w:rPr>
        <w:t>C</w:t>
      </w:r>
      <w:r>
        <w:rPr>
          <w:sz w:val="20"/>
          <w:szCs w:val="20"/>
        </w:rPr>
        <w:t>onvención Interamericana para Prevenir y Sancionar la Tortura”</w:t>
      </w:r>
      <w:r w:rsidRPr="00C1792F">
        <w:rPr>
          <w:sz w:val="20"/>
          <w:szCs w:val="20"/>
        </w:rPr>
        <w:t>.</w:t>
      </w:r>
    </w:p>
    <w:p w14:paraId="22B6A817" w14:textId="77777777" w:rsidR="00685A14" w:rsidRPr="00AF26A9" w:rsidRDefault="00685A14" w:rsidP="00685A14">
      <w:pPr>
        <w:rPr>
          <w:sz w:val="20"/>
          <w:szCs w:val="20"/>
        </w:rPr>
      </w:pPr>
    </w:p>
    <w:p w14:paraId="545B39F8" w14:textId="77777777" w:rsidR="00685A14" w:rsidRPr="00F8654B" w:rsidRDefault="00685A14" w:rsidP="000F2503">
      <w:pPr>
        <w:pStyle w:val="Prrafodelista"/>
        <w:widowControl/>
        <w:numPr>
          <w:ilvl w:val="0"/>
          <w:numId w:val="15"/>
        </w:numPr>
        <w:autoSpaceDE/>
        <w:autoSpaceDN/>
        <w:ind w:left="284" w:firstLine="0"/>
        <w:contextualSpacing/>
        <w:outlineLvl w:val="1"/>
        <w:rPr>
          <w:b/>
          <w:i/>
          <w:sz w:val="20"/>
          <w:szCs w:val="20"/>
        </w:rPr>
      </w:pPr>
      <w:bookmarkStart w:id="57" w:name="_Toc73960365"/>
      <w:r w:rsidRPr="00F8654B">
        <w:rPr>
          <w:b/>
          <w:i/>
          <w:sz w:val="20"/>
          <w:szCs w:val="20"/>
        </w:rPr>
        <w:t>Consideraciones de la Corte</w:t>
      </w:r>
      <w:bookmarkEnd w:id="57"/>
    </w:p>
    <w:p w14:paraId="4ACBC11A" w14:textId="77777777" w:rsidR="00685A14" w:rsidRPr="004249A3" w:rsidRDefault="00685A14" w:rsidP="00685A14">
      <w:pPr>
        <w:rPr>
          <w:sz w:val="20"/>
          <w:szCs w:val="20"/>
        </w:rPr>
      </w:pPr>
    </w:p>
    <w:p w14:paraId="05BBCC67" w14:textId="11EA331C" w:rsidR="00685A14" w:rsidRPr="00294CCA" w:rsidRDefault="00685A14" w:rsidP="00685A14">
      <w:pPr>
        <w:pStyle w:val="Prrafodelista"/>
        <w:widowControl/>
        <w:numPr>
          <w:ilvl w:val="0"/>
          <w:numId w:val="31"/>
        </w:numPr>
        <w:autoSpaceDE/>
        <w:autoSpaceDN/>
        <w:ind w:left="0" w:firstLine="0"/>
        <w:contextualSpacing/>
        <w:rPr>
          <w:sz w:val="16"/>
          <w:szCs w:val="16"/>
        </w:rPr>
      </w:pPr>
      <w:r w:rsidRPr="00294CCA">
        <w:rPr>
          <w:rFonts w:eastAsia="Batang"/>
          <w:sz w:val="20"/>
          <w:szCs w:val="20"/>
        </w:rPr>
        <w:t xml:space="preserve">La Corte ha explicado que la violación al derecho a la integridad personal puede tener distinta intensidad y producirse mediante la comisión de distintos tipos de </w:t>
      </w:r>
      <w:r w:rsidRPr="00294CCA">
        <w:rPr>
          <w:rFonts w:eastAsia="Batang"/>
          <w:sz w:val="20"/>
          <w:szCs w:val="20"/>
        </w:rPr>
        <w:lastRenderedPageBreak/>
        <w:t>vejámenes, que abarcan desde la tortura hasta otro tipo de actos o tratos, que pueden resultar crueles, inhumanos o degradantes</w:t>
      </w:r>
      <w:r w:rsidRPr="00294CCA">
        <w:rPr>
          <w:sz w:val="16"/>
          <w:szCs w:val="16"/>
          <w:vertAlign w:val="superscript"/>
          <w:lang w:bidi="en-US"/>
        </w:rPr>
        <w:footnoteReference w:id="120"/>
      </w:r>
      <w:r w:rsidRPr="00294CCA">
        <w:rPr>
          <w:rFonts w:eastAsia="Batang"/>
          <w:sz w:val="16"/>
          <w:szCs w:val="16"/>
        </w:rPr>
        <w:t>.</w:t>
      </w:r>
    </w:p>
    <w:p w14:paraId="109D499D" w14:textId="77777777" w:rsidR="00685A14" w:rsidRPr="00AF26A9" w:rsidRDefault="00685A14" w:rsidP="00685A14">
      <w:pPr>
        <w:rPr>
          <w:sz w:val="20"/>
          <w:szCs w:val="20"/>
        </w:rPr>
      </w:pPr>
    </w:p>
    <w:p w14:paraId="7D1DB65E" w14:textId="77777777" w:rsidR="00685A14" w:rsidRDefault="00685A14" w:rsidP="00685A14">
      <w:pPr>
        <w:pStyle w:val="Prrafodelista"/>
        <w:widowControl/>
        <w:numPr>
          <w:ilvl w:val="0"/>
          <w:numId w:val="31"/>
        </w:numPr>
        <w:autoSpaceDE/>
        <w:autoSpaceDN/>
        <w:ind w:left="0" w:firstLine="0"/>
        <w:contextualSpacing/>
        <w:rPr>
          <w:sz w:val="20"/>
          <w:szCs w:val="20"/>
        </w:rPr>
      </w:pPr>
      <w:r>
        <w:rPr>
          <w:sz w:val="20"/>
          <w:szCs w:val="20"/>
        </w:rPr>
        <w:t>También ha entendido que es con el “máximo rigor” que debe efectuarse la “categorización” de un acto como tortura, en tanto que ésta resulta “particularmente grave y reprochable” y presenta especificidades propias, pues la persona que la perpetra, en forma “</w:t>
      </w:r>
      <w:r w:rsidRPr="00AF26A9">
        <w:rPr>
          <w:sz w:val="20"/>
          <w:szCs w:val="20"/>
        </w:rPr>
        <w:t>deliberada</w:t>
      </w:r>
      <w:r>
        <w:rPr>
          <w:sz w:val="20"/>
          <w:szCs w:val="20"/>
        </w:rPr>
        <w:t xml:space="preserve">[,] </w:t>
      </w:r>
      <w:r w:rsidRPr="00AF26A9">
        <w:rPr>
          <w:sz w:val="20"/>
          <w:szCs w:val="20"/>
        </w:rPr>
        <w:t>inflige un dolor o sufrimiento severo, o ejerce un método tendiente a anular la personalidad o disminuir la capacidad física o mental, en una víctima que se encuentra en una situación de vulnerabilidad, haciéndolo para lograr, de ese modo, un propósito específico”</w:t>
      </w:r>
      <w:r>
        <w:rPr>
          <w:rStyle w:val="Refdenotaalpie"/>
          <w:sz w:val="20"/>
          <w:szCs w:val="20"/>
        </w:rPr>
        <w:footnoteReference w:id="121"/>
      </w:r>
      <w:r w:rsidRPr="00AF26A9">
        <w:rPr>
          <w:sz w:val="20"/>
          <w:szCs w:val="20"/>
        </w:rPr>
        <w:t>.</w:t>
      </w:r>
      <w:r>
        <w:rPr>
          <w:sz w:val="20"/>
          <w:szCs w:val="20"/>
        </w:rPr>
        <w:t xml:space="preserve"> El entendimiento del </w:t>
      </w:r>
      <w:r w:rsidRPr="00E71313">
        <w:rPr>
          <w:sz w:val="20"/>
          <w:szCs w:val="20"/>
        </w:rPr>
        <w:t>artículo 5.2 de la Convención</w:t>
      </w:r>
      <w:r>
        <w:rPr>
          <w:sz w:val="20"/>
          <w:szCs w:val="20"/>
        </w:rPr>
        <w:t>, en cuanto a su concepto de “tortura”, debe efectuarse de modo acorde con lo dicho,</w:t>
      </w:r>
      <w:r w:rsidRPr="00E71313">
        <w:rPr>
          <w:sz w:val="20"/>
          <w:szCs w:val="20"/>
        </w:rPr>
        <w:t xml:space="preserve"> </w:t>
      </w:r>
      <w:r>
        <w:rPr>
          <w:sz w:val="20"/>
          <w:szCs w:val="20"/>
        </w:rPr>
        <w:t>y debe colegirse</w:t>
      </w:r>
      <w:r w:rsidRPr="00E71313">
        <w:rPr>
          <w:sz w:val="20"/>
          <w:szCs w:val="20"/>
        </w:rPr>
        <w:t xml:space="preserve"> </w:t>
      </w:r>
      <w:r>
        <w:rPr>
          <w:sz w:val="20"/>
          <w:szCs w:val="20"/>
        </w:rPr>
        <w:t>que el mismo abarca actos de maltrato que</w:t>
      </w:r>
      <w:r w:rsidRPr="00E71313">
        <w:rPr>
          <w:sz w:val="20"/>
          <w:szCs w:val="20"/>
        </w:rPr>
        <w:t>: i) sea</w:t>
      </w:r>
      <w:r>
        <w:rPr>
          <w:sz w:val="20"/>
          <w:szCs w:val="20"/>
        </w:rPr>
        <w:t>n</w:t>
      </w:r>
      <w:r w:rsidRPr="00E71313">
        <w:rPr>
          <w:sz w:val="20"/>
          <w:szCs w:val="20"/>
        </w:rPr>
        <w:t xml:space="preserve"> intencional</w:t>
      </w:r>
      <w:r>
        <w:rPr>
          <w:sz w:val="20"/>
          <w:szCs w:val="20"/>
        </w:rPr>
        <w:t>es</w:t>
      </w:r>
      <w:r w:rsidRPr="00E71313">
        <w:rPr>
          <w:sz w:val="20"/>
          <w:szCs w:val="20"/>
        </w:rPr>
        <w:t xml:space="preserve">; </w:t>
      </w:r>
      <w:proofErr w:type="spellStart"/>
      <w:r w:rsidRPr="00E71313">
        <w:rPr>
          <w:sz w:val="20"/>
          <w:szCs w:val="20"/>
        </w:rPr>
        <w:t>ii</w:t>
      </w:r>
      <w:proofErr w:type="spellEnd"/>
      <w:r w:rsidRPr="00E71313">
        <w:rPr>
          <w:sz w:val="20"/>
          <w:szCs w:val="20"/>
        </w:rPr>
        <w:t>) cause</w:t>
      </w:r>
      <w:r>
        <w:rPr>
          <w:sz w:val="20"/>
          <w:szCs w:val="20"/>
        </w:rPr>
        <w:t>n</w:t>
      </w:r>
      <w:r w:rsidRPr="00E71313">
        <w:rPr>
          <w:sz w:val="20"/>
          <w:szCs w:val="20"/>
        </w:rPr>
        <w:t xml:space="preserve"> severos sufrimientos físicos o mentales, y </w:t>
      </w:r>
      <w:proofErr w:type="spellStart"/>
      <w:r w:rsidRPr="00E71313">
        <w:rPr>
          <w:sz w:val="20"/>
          <w:szCs w:val="20"/>
        </w:rPr>
        <w:t>iii</w:t>
      </w:r>
      <w:proofErr w:type="spellEnd"/>
      <w:r w:rsidRPr="00E71313">
        <w:rPr>
          <w:sz w:val="20"/>
          <w:szCs w:val="20"/>
        </w:rPr>
        <w:t>) se cometa</w:t>
      </w:r>
      <w:r>
        <w:rPr>
          <w:sz w:val="20"/>
          <w:szCs w:val="20"/>
        </w:rPr>
        <w:t>n</w:t>
      </w:r>
      <w:r w:rsidRPr="00E71313">
        <w:rPr>
          <w:sz w:val="20"/>
          <w:szCs w:val="20"/>
        </w:rPr>
        <w:t xml:space="preserve"> con cualquier fin o propósito</w:t>
      </w:r>
      <w:r w:rsidRPr="00DD7005">
        <w:rPr>
          <w:vertAlign w:val="superscript"/>
        </w:rPr>
        <w:footnoteReference w:id="122"/>
      </w:r>
      <w:r>
        <w:rPr>
          <w:sz w:val="20"/>
          <w:szCs w:val="20"/>
        </w:rPr>
        <w:t xml:space="preserve">. </w:t>
      </w:r>
    </w:p>
    <w:p w14:paraId="77EA2609" w14:textId="77777777" w:rsidR="00685A14" w:rsidRDefault="00685A14" w:rsidP="00685A14">
      <w:pPr>
        <w:pStyle w:val="Prrafodelista"/>
        <w:widowControl/>
        <w:autoSpaceDE/>
        <w:autoSpaceDN/>
        <w:ind w:left="0"/>
        <w:contextualSpacing/>
        <w:rPr>
          <w:sz w:val="20"/>
          <w:szCs w:val="20"/>
        </w:rPr>
      </w:pPr>
    </w:p>
    <w:p w14:paraId="6CC22B11" w14:textId="77777777" w:rsidR="00685A14" w:rsidRPr="00B703C5" w:rsidRDefault="00685A14" w:rsidP="00685A14">
      <w:pPr>
        <w:pStyle w:val="Prrafodelista"/>
        <w:widowControl/>
        <w:numPr>
          <w:ilvl w:val="0"/>
          <w:numId w:val="31"/>
        </w:numPr>
        <w:autoSpaceDE/>
        <w:autoSpaceDN/>
        <w:ind w:left="0" w:firstLine="0"/>
        <w:contextualSpacing/>
        <w:rPr>
          <w:sz w:val="20"/>
          <w:szCs w:val="20"/>
        </w:rPr>
      </w:pPr>
      <w:r>
        <w:rPr>
          <w:sz w:val="20"/>
          <w:szCs w:val="20"/>
        </w:rPr>
        <w:t>L</w:t>
      </w:r>
      <w:r w:rsidRPr="00996440">
        <w:rPr>
          <w:sz w:val="20"/>
          <w:szCs w:val="20"/>
        </w:rPr>
        <w:t>a violación del artículo 5.2 señalado implicará necesariamente la lesión al artículo 5.1, pues éste reconoce</w:t>
      </w:r>
      <w:r>
        <w:rPr>
          <w:sz w:val="20"/>
          <w:szCs w:val="20"/>
        </w:rPr>
        <w:t>,</w:t>
      </w:r>
      <w:r w:rsidRPr="00996440">
        <w:rPr>
          <w:sz w:val="20"/>
          <w:szCs w:val="20"/>
        </w:rPr>
        <w:t xml:space="preserve"> en términos generales</w:t>
      </w:r>
      <w:r>
        <w:rPr>
          <w:sz w:val="20"/>
          <w:szCs w:val="20"/>
        </w:rPr>
        <w:t>,</w:t>
      </w:r>
      <w:r w:rsidRPr="00996440">
        <w:rPr>
          <w:sz w:val="20"/>
          <w:szCs w:val="20"/>
        </w:rPr>
        <w:t xml:space="preserve"> el derecho a la integridad personal, y aquél prevé prohibiciones específicas para su tutela</w:t>
      </w:r>
      <w:r>
        <w:rPr>
          <w:rStyle w:val="Refdenotaalpie"/>
          <w:sz w:val="20"/>
          <w:szCs w:val="20"/>
        </w:rPr>
        <w:footnoteReference w:id="123"/>
      </w:r>
      <w:r w:rsidRPr="00996440">
        <w:rPr>
          <w:sz w:val="20"/>
          <w:szCs w:val="20"/>
        </w:rPr>
        <w:t>. Por otra parte</w:t>
      </w:r>
      <w:r>
        <w:rPr>
          <w:sz w:val="20"/>
          <w:szCs w:val="20"/>
        </w:rPr>
        <w:t>,</w:t>
      </w:r>
      <w:r w:rsidRPr="00996440">
        <w:rPr>
          <w:sz w:val="20"/>
          <w:szCs w:val="20"/>
        </w:rPr>
        <w:t xml:space="preserve"> las obligaciones generales que se derivan del artículo 5 de la Convención son, en lo pertinente, </w:t>
      </w:r>
      <w:r>
        <w:rPr>
          <w:sz w:val="20"/>
          <w:szCs w:val="20"/>
        </w:rPr>
        <w:t>“</w:t>
      </w:r>
      <w:r w:rsidRPr="00996440">
        <w:rPr>
          <w:sz w:val="20"/>
          <w:szCs w:val="20"/>
        </w:rPr>
        <w:t xml:space="preserve">reforzadas por las obligaciones específicas derivadas de la </w:t>
      </w:r>
      <w:r>
        <w:rPr>
          <w:sz w:val="20"/>
          <w:szCs w:val="20"/>
        </w:rPr>
        <w:t>[</w:t>
      </w:r>
      <w:r w:rsidRPr="00996440">
        <w:rPr>
          <w:sz w:val="20"/>
          <w:szCs w:val="20"/>
        </w:rPr>
        <w:t>C</w:t>
      </w:r>
      <w:r>
        <w:rPr>
          <w:sz w:val="20"/>
          <w:szCs w:val="20"/>
        </w:rPr>
        <w:t xml:space="preserve">IPST. Sus] </w:t>
      </w:r>
      <w:r w:rsidRPr="00B703C5">
        <w:rPr>
          <w:sz w:val="20"/>
          <w:szCs w:val="20"/>
        </w:rPr>
        <w:t xml:space="preserve">artículos 1 y 6 </w:t>
      </w:r>
      <w:r>
        <w:rPr>
          <w:sz w:val="20"/>
          <w:szCs w:val="20"/>
        </w:rPr>
        <w:t xml:space="preserve">[…] </w:t>
      </w:r>
      <w:r w:rsidRPr="00B703C5">
        <w:rPr>
          <w:sz w:val="20"/>
          <w:szCs w:val="20"/>
        </w:rPr>
        <w:t>refuerzan la prohibición absoluta de la tortura y las obligaciones del Estados para prevenir y sancionar todo acto o intento de tortura y otros tratos crueles, inhumanos y degradantes en el ámbito de su jurisdicción</w:t>
      </w:r>
      <w:r>
        <w:rPr>
          <w:sz w:val="20"/>
          <w:szCs w:val="20"/>
        </w:rPr>
        <w:t>”</w:t>
      </w:r>
      <w:r>
        <w:rPr>
          <w:rStyle w:val="Refdenotaalpie"/>
          <w:sz w:val="20"/>
          <w:szCs w:val="20"/>
        </w:rPr>
        <w:footnoteReference w:id="124"/>
      </w:r>
      <w:r w:rsidRPr="00B703C5">
        <w:rPr>
          <w:sz w:val="20"/>
          <w:szCs w:val="20"/>
        </w:rPr>
        <w:t>.</w:t>
      </w:r>
      <w:r>
        <w:rPr>
          <w:sz w:val="20"/>
          <w:szCs w:val="20"/>
        </w:rPr>
        <w:t xml:space="preserve"> </w:t>
      </w:r>
    </w:p>
    <w:p w14:paraId="6FFB187E" w14:textId="77777777" w:rsidR="00685A14" w:rsidRDefault="00685A14" w:rsidP="00685A14">
      <w:pPr>
        <w:pStyle w:val="Prrafodelista"/>
        <w:widowControl/>
        <w:autoSpaceDE/>
        <w:autoSpaceDN/>
        <w:ind w:left="0"/>
        <w:contextualSpacing/>
        <w:rPr>
          <w:sz w:val="20"/>
          <w:szCs w:val="20"/>
        </w:rPr>
      </w:pPr>
    </w:p>
    <w:p w14:paraId="0EE79A94" w14:textId="5A80F2D7" w:rsidR="00685A14" w:rsidRPr="00795D5E" w:rsidRDefault="00685A14" w:rsidP="00685A14">
      <w:pPr>
        <w:pStyle w:val="Prrafodelista"/>
        <w:widowControl/>
        <w:numPr>
          <w:ilvl w:val="0"/>
          <w:numId w:val="31"/>
        </w:numPr>
        <w:autoSpaceDE/>
        <w:autoSpaceDN/>
        <w:ind w:left="0" w:firstLine="0"/>
        <w:contextualSpacing/>
        <w:rPr>
          <w:rFonts w:ascii="Arial" w:hAnsi="Arial" w:cs="Arial"/>
          <w:sz w:val="20"/>
          <w:szCs w:val="24"/>
        </w:rPr>
      </w:pPr>
      <w:r w:rsidRPr="00795D5E">
        <w:rPr>
          <w:sz w:val="20"/>
          <w:szCs w:val="20"/>
        </w:rPr>
        <w:t>Ahora bien, la Corte entiende que</w:t>
      </w:r>
      <w:r>
        <w:rPr>
          <w:sz w:val="20"/>
          <w:szCs w:val="20"/>
        </w:rPr>
        <w:t>,</w:t>
      </w:r>
      <w:r w:rsidRPr="00795D5E">
        <w:rPr>
          <w:sz w:val="20"/>
          <w:szCs w:val="20"/>
        </w:rPr>
        <w:t xml:space="preserve"> de los hechos del caso</w:t>
      </w:r>
      <w:r>
        <w:rPr>
          <w:sz w:val="20"/>
          <w:szCs w:val="20"/>
        </w:rPr>
        <w:t>,</w:t>
      </w:r>
      <w:r w:rsidRPr="00795D5E">
        <w:rPr>
          <w:sz w:val="20"/>
          <w:szCs w:val="20"/>
        </w:rPr>
        <w:t xml:space="preserve"> no se desprende que las distintas circunstancias denunciadas </w:t>
      </w:r>
      <w:r>
        <w:rPr>
          <w:sz w:val="20"/>
          <w:szCs w:val="20"/>
        </w:rPr>
        <w:t xml:space="preserve">o expuestas </w:t>
      </w:r>
      <w:r w:rsidRPr="00795D5E">
        <w:rPr>
          <w:sz w:val="20"/>
          <w:szCs w:val="20"/>
        </w:rPr>
        <w:t xml:space="preserve">por el señor Guerrero entre el 16 de agosto de 2001 y el 6 de marzo de 2003 consistentes en amenazas, hostigamientos, detenciones, o allanamientos, puedan ser susceptibles, en sí mismas, de generar sufrimientos físicos o mentales de la severidad requerida para configurar torturas. No </w:t>
      </w:r>
      <w:r w:rsidR="00F978CD">
        <w:rPr>
          <w:sz w:val="20"/>
          <w:szCs w:val="20"/>
        </w:rPr>
        <w:t>obstante,</w:t>
      </w:r>
      <w:r w:rsidRPr="00795D5E">
        <w:rPr>
          <w:sz w:val="20"/>
          <w:szCs w:val="20"/>
        </w:rPr>
        <w:t xml:space="preserve"> las agresiones que sufrió el 17 de febrero de 2003 sí merecen ser analizadas a efectos de determinar si se cometieron actos vedados por el artículo 5.2 de la Convención. El resto de los hechos referidos y anteriores a esa fecha no resultan por ello irrelevantes. En ese sentido</w:t>
      </w:r>
      <w:r>
        <w:rPr>
          <w:sz w:val="20"/>
          <w:szCs w:val="20"/>
        </w:rPr>
        <w:t xml:space="preserve">, lo </w:t>
      </w:r>
      <w:r w:rsidRPr="00294CCA">
        <w:rPr>
          <w:sz w:val="20"/>
          <w:szCs w:val="20"/>
        </w:rPr>
        <w:t xml:space="preserve">sucedido ese día forma parte de una serie de actos cometidos contra el señor Guerrero por personal policial. Dadas las circunstancias particulares del caso, la Corte considera razonable entender que tales actos coadyuvan, como se señalará a continuación, a dar cuenta del propósito de las agresiones cometidas el 17 de febrero de 2003, así como </w:t>
      </w:r>
      <w:r w:rsidR="0042724D">
        <w:rPr>
          <w:sz w:val="20"/>
          <w:szCs w:val="20"/>
        </w:rPr>
        <w:t>de</w:t>
      </w:r>
      <w:r w:rsidRPr="00294CCA">
        <w:rPr>
          <w:sz w:val="20"/>
          <w:szCs w:val="20"/>
        </w:rPr>
        <w:t xml:space="preserve"> la severidad del sufrimiento mental que produjeron</w:t>
      </w:r>
      <w:r>
        <w:rPr>
          <w:sz w:val="20"/>
          <w:szCs w:val="20"/>
        </w:rPr>
        <w:t xml:space="preserve">. </w:t>
      </w:r>
    </w:p>
    <w:p w14:paraId="6621DC88" w14:textId="77777777" w:rsidR="00685A14" w:rsidRPr="002D7B40" w:rsidRDefault="00685A14" w:rsidP="00685A14">
      <w:pPr>
        <w:pStyle w:val="Prrafodelista"/>
        <w:widowControl/>
        <w:autoSpaceDE/>
        <w:autoSpaceDN/>
        <w:ind w:left="0"/>
        <w:contextualSpacing/>
        <w:rPr>
          <w:rFonts w:ascii="Arial" w:hAnsi="Arial" w:cs="Arial"/>
          <w:sz w:val="20"/>
          <w:szCs w:val="24"/>
        </w:rPr>
      </w:pPr>
    </w:p>
    <w:p w14:paraId="0AF5B8C8" w14:textId="77777777" w:rsidR="00685A14" w:rsidRDefault="00685A14" w:rsidP="00685A14">
      <w:pPr>
        <w:pStyle w:val="Prrafodelista"/>
        <w:widowControl/>
        <w:numPr>
          <w:ilvl w:val="0"/>
          <w:numId w:val="31"/>
        </w:numPr>
        <w:autoSpaceDE/>
        <w:autoSpaceDN/>
        <w:spacing w:after="200"/>
        <w:ind w:left="0" w:firstLine="0"/>
        <w:contextualSpacing/>
        <w:rPr>
          <w:sz w:val="20"/>
          <w:szCs w:val="20"/>
        </w:rPr>
      </w:pPr>
      <w:r>
        <w:rPr>
          <w:rFonts w:cs="Arial"/>
          <w:sz w:val="20"/>
          <w:szCs w:val="24"/>
        </w:rPr>
        <w:lastRenderedPageBreak/>
        <w:t>La Corte nota que el 17 de febrero de 2003 el señor Guerrero, siendo detenido en forma ilegal y arbitraria (</w:t>
      </w:r>
      <w:r>
        <w:rPr>
          <w:rFonts w:cs="Arial"/>
          <w:i/>
          <w:sz w:val="20"/>
          <w:szCs w:val="24"/>
        </w:rPr>
        <w:t xml:space="preserve">supra </w:t>
      </w:r>
      <w:proofErr w:type="spellStart"/>
      <w:r>
        <w:rPr>
          <w:rFonts w:cs="Arial"/>
          <w:sz w:val="20"/>
          <w:szCs w:val="24"/>
        </w:rPr>
        <w:t>párrs</w:t>
      </w:r>
      <w:proofErr w:type="spellEnd"/>
      <w:r>
        <w:rPr>
          <w:rFonts w:cs="Arial"/>
          <w:sz w:val="20"/>
          <w:szCs w:val="24"/>
        </w:rPr>
        <w:t xml:space="preserve">. </w:t>
      </w:r>
      <w:r w:rsidRPr="00AB5088">
        <w:rPr>
          <w:rFonts w:cs="Arial"/>
          <w:sz w:val="20"/>
          <w:szCs w:val="24"/>
        </w:rPr>
        <w:t>65, 66 y 102 a 110</w:t>
      </w:r>
      <w:r>
        <w:rPr>
          <w:rFonts w:cs="Arial"/>
          <w:sz w:val="20"/>
          <w:szCs w:val="24"/>
        </w:rPr>
        <w:t xml:space="preserve">), fue apuntado con un arma de fuego y golpeado “salvajemente” con un palo en la cabeza y en varias partes del cuerpo, frente a otras personas. Luego, al ser trasladado de ese lugar por la policía, le pusieron un paño en la cabeza que no le permitía ver y lo siguieron golpeando. Le dieron </w:t>
      </w:r>
      <w:r w:rsidRPr="00941340">
        <w:rPr>
          <w:rFonts w:cs="Arial"/>
          <w:sz w:val="20"/>
          <w:szCs w:val="24"/>
        </w:rPr>
        <w:t>una patada en un ojo y le arrojaron gas lacrimógeno. El personal policial, mientras lo agredía, le decía que él era una persona “antisocial” y “peligrosa”</w:t>
      </w:r>
      <w:r w:rsidRPr="00941340">
        <w:rPr>
          <w:rStyle w:val="Refdenotaalpie"/>
          <w:rFonts w:cs="Arial"/>
          <w:sz w:val="20"/>
          <w:szCs w:val="24"/>
        </w:rPr>
        <w:footnoteReference w:id="125"/>
      </w:r>
      <w:r w:rsidRPr="00941340">
        <w:rPr>
          <w:rFonts w:cs="Arial"/>
          <w:sz w:val="20"/>
          <w:szCs w:val="24"/>
        </w:rPr>
        <w:t xml:space="preserve">. </w:t>
      </w:r>
    </w:p>
    <w:p w14:paraId="1D01E97F" w14:textId="77777777" w:rsidR="00685A14" w:rsidRPr="00685A14" w:rsidRDefault="00685A14" w:rsidP="00685A14">
      <w:pPr>
        <w:pStyle w:val="Prrafodelista"/>
        <w:rPr>
          <w:sz w:val="20"/>
          <w:szCs w:val="20"/>
        </w:rPr>
      </w:pPr>
    </w:p>
    <w:p w14:paraId="3AB578FF" w14:textId="7A08A040" w:rsidR="00685A14" w:rsidRPr="00685A14" w:rsidRDefault="00685A14" w:rsidP="00685A14">
      <w:pPr>
        <w:pStyle w:val="Prrafodelista"/>
        <w:widowControl/>
        <w:numPr>
          <w:ilvl w:val="0"/>
          <w:numId w:val="31"/>
        </w:numPr>
        <w:autoSpaceDE/>
        <w:autoSpaceDN/>
        <w:spacing w:after="200"/>
        <w:ind w:left="0" w:firstLine="0"/>
        <w:contextualSpacing/>
        <w:rPr>
          <w:sz w:val="20"/>
          <w:szCs w:val="20"/>
        </w:rPr>
      </w:pPr>
      <w:r w:rsidRPr="00685A14">
        <w:rPr>
          <w:sz w:val="20"/>
          <w:szCs w:val="20"/>
        </w:rPr>
        <w:t xml:space="preserve">En cuanto a la </w:t>
      </w:r>
      <w:r w:rsidRPr="00685A14">
        <w:rPr>
          <w:i/>
          <w:sz w:val="20"/>
          <w:szCs w:val="20"/>
        </w:rPr>
        <w:t>severidad</w:t>
      </w:r>
      <w:r w:rsidRPr="00685A14">
        <w:rPr>
          <w:sz w:val="20"/>
          <w:szCs w:val="20"/>
        </w:rPr>
        <w:t xml:space="preserve"> de las agresiones, si bien el examen médico realizado señaló lesiones de carácter “leve” y ausencia de secuelas (</w:t>
      </w:r>
      <w:r w:rsidRPr="00685A14">
        <w:rPr>
          <w:i/>
          <w:sz w:val="20"/>
          <w:szCs w:val="20"/>
        </w:rPr>
        <w:t>supra</w:t>
      </w:r>
      <w:r w:rsidRPr="00685A14">
        <w:rPr>
          <w:sz w:val="20"/>
          <w:szCs w:val="20"/>
        </w:rPr>
        <w:t xml:space="preserve"> párr. 67), ello, por sí mismo, no descarta la posibilidad de padecimientos graves, que no deben ser considerados solo en su carácter físico. En este último aspecto, por cierto, los hechos muestran que el señor Guerrero sufrió fuertes agresiones, que tuvieron que causarle intensos dolores y malestar. Además, debe recabarse en el alto grado de angustia y temor que produjeron. Jimmy Guerrero no solo fue golpeado (en primer término, frente a sus vecinos, lo que resulta humillante), sino que también fue apuntado por un arma cuyo uso resulta potencialmente letal, y fue impedido de ver mientras era trasladado y agredido, sin conocer los motivos de su aprehensión y, por ende, tampoco las intenciones de sus agresores. Todo lo anterior se inserta </w:t>
      </w:r>
      <w:r w:rsidR="00B72297">
        <w:rPr>
          <w:sz w:val="20"/>
          <w:szCs w:val="20"/>
        </w:rPr>
        <w:t xml:space="preserve">en </w:t>
      </w:r>
      <w:r w:rsidRPr="00685A14">
        <w:rPr>
          <w:sz w:val="20"/>
          <w:szCs w:val="20"/>
        </w:rPr>
        <w:t>una serie de actos cometidos por personal policial contra él o sus familiares (</w:t>
      </w:r>
      <w:r w:rsidRPr="00685A14">
        <w:rPr>
          <w:i/>
          <w:sz w:val="20"/>
          <w:szCs w:val="20"/>
        </w:rPr>
        <w:t xml:space="preserve">supra </w:t>
      </w:r>
      <w:proofErr w:type="spellStart"/>
      <w:r w:rsidRPr="00685A14">
        <w:rPr>
          <w:sz w:val="20"/>
          <w:szCs w:val="20"/>
        </w:rPr>
        <w:t>párrs</w:t>
      </w:r>
      <w:proofErr w:type="spellEnd"/>
      <w:r w:rsidRPr="00685A14">
        <w:rPr>
          <w:sz w:val="20"/>
          <w:szCs w:val="20"/>
        </w:rPr>
        <w:t>. 55 a 64), que incluyeron amenazas de muerte. Por lo referido, es razonable asumir que Jimmy Guerrero experimentó un profundo temor de ser privado de su vida</w:t>
      </w:r>
      <w:r w:rsidRPr="00327076">
        <w:rPr>
          <w:rStyle w:val="Refdenotaalpie"/>
          <w:sz w:val="20"/>
          <w:szCs w:val="20"/>
        </w:rPr>
        <w:footnoteReference w:id="126"/>
      </w:r>
      <w:r w:rsidRPr="00685A14">
        <w:rPr>
          <w:sz w:val="20"/>
          <w:szCs w:val="20"/>
        </w:rPr>
        <w:t>. Las dolencias físicas que tuvo, entonces, se vieron complementadas con graves sufrimientos mentales, dado el impacto psicológico causado por el modo en el que se cometieron las agresiones y la situación en la que se insertaron</w:t>
      </w:r>
      <w:r w:rsidRPr="00F55065">
        <w:rPr>
          <w:rStyle w:val="Refdenotaalpie"/>
          <w:sz w:val="20"/>
          <w:szCs w:val="20"/>
        </w:rPr>
        <w:footnoteReference w:id="127"/>
      </w:r>
      <w:r w:rsidRPr="00685A14">
        <w:rPr>
          <w:sz w:val="20"/>
          <w:szCs w:val="20"/>
        </w:rPr>
        <w:t>.</w:t>
      </w:r>
    </w:p>
    <w:p w14:paraId="5EEFA4F4" w14:textId="77777777" w:rsidR="00685A14" w:rsidRDefault="00685A14" w:rsidP="00685A14">
      <w:pPr>
        <w:pStyle w:val="Prrafodelista"/>
        <w:widowControl/>
        <w:autoSpaceDE/>
        <w:autoSpaceDN/>
        <w:spacing w:after="200"/>
        <w:ind w:left="0"/>
        <w:contextualSpacing/>
        <w:rPr>
          <w:sz w:val="20"/>
          <w:szCs w:val="20"/>
        </w:rPr>
      </w:pPr>
    </w:p>
    <w:p w14:paraId="2A980812" w14:textId="77D1EECE" w:rsidR="00685A14" w:rsidRDefault="0028235E" w:rsidP="00685A14">
      <w:pPr>
        <w:pStyle w:val="Prrafodelista"/>
        <w:widowControl/>
        <w:numPr>
          <w:ilvl w:val="0"/>
          <w:numId w:val="31"/>
        </w:numPr>
        <w:autoSpaceDE/>
        <w:autoSpaceDN/>
        <w:spacing w:after="200"/>
        <w:ind w:left="0" w:firstLine="0"/>
        <w:contextualSpacing/>
        <w:rPr>
          <w:sz w:val="20"/>
          <w:szCs w:val="20"/>
        </w:rPr>
      </w:pPr>
      <w:r>
        <w:rPr>
          <w:sz w:val="20"/>
          <w:szCs w:val="20"/>
        </w:rPr>
        <w:t xml:space="preserve">Es evidente </w:t>
      </w:r>
      <w:r w:rsidR="00685A14">
        <w:rPr>
          <w:sz w:val="20"/>
          <w:szCs w:val="20"/>
        </w:rPr>
        <w:t xml:space="preserve">la </w:t>
      </w:r>
      <w:r w:rsidR="00685A14" w:rsidRPr="00873F64">
        <w:rPr>
          <w:i/>
          <w:sz w:val="20"/>
          <w:szCs w:val="20"/>
        </w:rPr>
        <w:t>intencionalidad</w:t>
      </w:r>
      <w:r w:rsidR="00685A14">
        <w:rPr>
          <w:sz w:val="20"/>
          <w:szCs w:val="20"/>
        </w:rPr>
        <w:t xml:space="preserve"> de los vejámenes infringidos al señor Guerrero. Tuvie</w:t>
      </w:r>
      <w:r w:rsidR="00685A14" w:rsidRPr="00A5438A">
        <w:rPr>
          <w:sz w:val="20"/>
          <w:szCs w:val="20"/>
        </w:rPr>
        <w:t xml:space="preserve">ron, además, una </w:t>
      </w:r>
      <w:r w:rsidR="00685A14" w:rsidRPr="00A5438A">
        <w:rPr>
          <w:i/>
          <w:sz w:val="20"/>
          <w:szCs w:val="20"/>
        </w:rPr>
        <w:t>finalidad o propósito</w:t>
      </w:r>
      <w:r w:rsidR="00685A14" w:rsidRPr="00A5438A">
        <w:rPr>
          <w:sz w:val="20"/>
          <w:szCs w:val="20"/>
        </w:rPr>
        <w:t xml:space="preserve"> específico. Al respecto, lo sucedido se enmarca en un contexto de violencia policial contra hombres jóvenes en situación de pobreza. El mismo tenía por base el prejuicio de que tales personas, por su pertenencia a un sector social, resultaban “peligrosas”. Lo acontecido el 17 de febrero de 2003 se insertó en tal contexto y fue una manifestación </w:t>
      </w:r>
      <w:proofErr w:type="gramStart"/>
      <w:r w:rsidR="00685A14" w:rsidRPr="00A5438A">
        <w:rPr>
          <w:sz w:val="20"/>
          <w:szCs w:val="20"/>
        </w:rPr>
        <w:t>del mismo</w:t>
      </w:r>
      <w:proofErr w:type="gramEnd"/>
      <w:r w:rsidR="00685A14" w:rsidRPr="00A5438A">
        <w:rPr>
          <w:sz w:val="20"/>
          <w:szCs w:val="20"/>
        </w:rPr>
        <w:t>, pues los vejámenes a que fue sometido Jimmy Guerrero estuvieron motivados en una animadversión y ensañamiento contra él</w:t>
      </w:r>
      <w:r w:rsidR="00685A14">
        <w:rPr>
          <w:sz w:val="20"/>
          <w:szCs w:val="20"/>
        </w:rPr>
        <w:t>,</w:t>
      </w:r>
      <w:r w:rsidR="00685A14" w:rsidRPr="00A5438A">
        <w:rPr>
          <w:sz w:val="20"/>
          <w:szCs w:val="20"/>
        </w:rPr>
        <w:t xml:space="preserve"> por considerarlo un riesgo para la sociedad. Esto se muestra </w:t>
      </w:r>
      <w:r w:rsidR="00685A14">
        <w:rPr>
          <w:sz w:val="20"/>
          <w:szCs w:val="20"/>
        </w:rPr>
        <w:t>dado</w:t>
      </w:r>
      <w:r w:rsidR="00685A14" w:rsidRPr="00A5438A">
        <w:rPr>
          <w:sz w:val="20"/>
          <w:szCs w:val="20"/>
        </w:rPr>
        <w:t xml:space="preserve"> que tales agresiones tuvieron como antecedentes varios otros actos policiales de </w:t>
      </w:r>
      <w:r w:rsidR="00685A14" w:rsidRPr="00A5438A">
        <w:rPr>
          <w:sz w:val="20"/>
          <w:szCs w:val="20"/>
        </w:rPr>
        <w:lastRenderedPageBreak/>
        <w:t>hostigamiento y violación de los derechos de Jimmy Guerrero, y queda confirmado por el hecho de que el personal policial, al agredirlo, le decía que él era “antisocial” y “peligroso”. El</w:t>
      </w:r>
      <w:r w:rsidR="00685A14">
        <w:rPr>
          <w:sz w:val="20"/>
          <w:szCs w:val="20"/>
        </w:rPr>
        <w:t xml:space="preserve"> ataque, entonces, tuvo un sustento discriminatorio, siendo que los funcionarios policiales buscaron amedrentar y castigar al señor Guerrero con</w:t>
      </w:r>
      <w:r>
        <w:rPr>
          <w:sz w:val="20"/>
          <w:szCs w:val="20"/>
        </w:rPr>
        <w:t xml:space="preserve"> base en preconceptos ligados la</w:t>
      </w:r>
      <w:r w:rsidR="00685A14">
        <w:rPr>
          <w:sz w:val="20"/>
          <w:szCs w:val="20"/>
        </w:rPr>
        <w:t xml:space="preserve"> posición económica y condición social.</w:t>
      </w:r>
    </w:p>
    <w:p w14:paraId="257A75CE" w14:textId="77777777" w:rsidR="00685A14" w:rsidRDefault="00685A14" w:rsidP="00685A14">
      <w:pPr>
        <w:pStyle w:val="Prrafodelista"/>
        <w:widowControl/>
        <w:autoSpaceDE/>
        <w:autoSpaceDN/>
        <w:spacing w:after="200"/>
        <w:ind w:left="0"/>
        <w:contextualSpacing/>
        <w:rPr>
          <w:sz w:val="20"/>
          <w:szCs w:val="20"/>
        </w:rPr>
      </w:pPr>
    </w:p>
    <w:p w14:paraId="66061C73" w14:textId="477E7F5F" w:rsidR="00685A14" w:rsidRPr="004249A3" w:rsidRDefault="00685A14" w:rsidP="00685A14">
      <w:pPr>
        <w:pStyle w:val="Prrafodelista"/>
        <w:widowControl/>
        <w:numPr>
          <w:ilvl w:val="0"/>
          <w:numId w:val="31"/>
        </w:numPr>
        <w:autoSpaceDE/>
        <w:autoSpaceDN/>
        <w:spacing w:after="200"/>
        <w:ind w:left="0" w:firstLine="0"/>
        <w:contextualSpacing/>
        <w:rPr>
          <w:sz w:val="20"/>
          <w:szCs w:val="20"/>
        </w:rPr>
      </w:pPr>
      <w:r w:rsidRPr="000940BC">
        <w:rPr>
          <w:sz w:val="20"/>
          <w:szCs w:val="20"/>
        </w:rPr>
        <w:t xml:space="preserve">Por lo expuesto, la Corte concluye que </w:t>
      </w:r>
      <w:r>
        <w:rPr>
          <w:sz w:val="20"/>
          <w:szCs w:val="20"/>
        </w:rPr>
        <w:t xml:space="preserve">Jimmy </w:t>
      </w:r>
      <w:r w:rsidRPr="000940BC">
        <w:rPr>
          <w:sz w:val="20"/>
          <w:szCs w:val="20"/>
        </w:rPr>
        <w:t>Guerrero fue sometido a tortura</w:t>
      </w:r>
      <w:r w:rsidR="0097539A">
        <w:rPr>
          <w:sz w:val="20"/>
          <w:szCs w:val="20"/>
        </w:rPr>
        <w:t xml:space="preserve"> </w:t>
      </w:r>
      <w:r w:rsidR="0097539A" w:rsidRPr="00A5438A">
        <w:rPr>
          <w:sz w:val="20"/>
          <w:szCs w:val="20"/>
        </w:rPr>
        <w:t>el 17 de febrero de 2003</w:t>
      </w:r>
      <w:r w:rsidRPr="000940BC">
        <w:rPr>
          <w:sz w:val="20"/>
          <w:szCs w:val="20"/>
        </w:rPr>
        <w:t>. En su perjuicio, el Estado violó el artículo</w:t>
      </w:r>
      <w:r>
        <w:rPr>
          <w:sz w:val="20"/>
          <w:szCs w:val="20"/>
        </w:rPr>
        <w:t xml:space="preserve"> 5 </w:t>
      </w:r>
      <w:r w:rsidRPr="000940BC">
        <w:rPr>
          <w:sz w:val="20"/>
          <w:szCs w:val="20"/>
        </w:rPr>
        <w:t xml:space="preserve">de la Convención Americana, </w:t>
      </w:r>
      <w:r>
        <w:rPr>
          <w:sz w:val="20"/>
          <w:szCs w:val="20"/>
        </w:rPr>
        <w:t xml:space="preserve">en sus numerales 1 y 2, </w:t>
      </w:r>
      <w:r w:rsidRPr="000940BC">
        <w:rPr>
          <w:sz w:val="20"/>
          <w:szCs w:val="20"/>
        </w:rPr>
        <w:t>en relación con su obligación de respetar los derechos sin discriminación, prevista en el artículo 1.1 del mismo tratado</w:t>
      </w:r>
      <w:r>
        <w:rPr>
          <w:sz w:val="20"/>
          <w:szCs w:val="20"/>
        </w:rPr>
        <w:t>,</w:t>
      </w:r>
      <w:r w:rsidRPr="000940BC">
        <w:rPr>
          <w:sz w:val="20"/>
          <w:szCs w:val="20"/>
        </w:rPr>
        <w:t xml:space="preserve"> y los artículos 1 y 6 de la Convención Interamericana para Prevenir y Sancionar la Tortura.</w:t>
      </w:r>
    </w:p>
    <w:p w14:paraId="3D8116F5" w14:textId="77777777" w:rsidR="000F2503" w:rsidRDefault="000F2503" w:rsidP="00ED0E0E">
      <w:pPr>
        <w:pStyle w:val="Prrafodelista"/>
        <w:rPr>
          <w:rFonts w:cs="Arial"/>
          <w:sz w:val="20"/>
          <w:szCs w:val="24"/>
        </w:rPr>
      </w:pPr>
    </w:p>
    <w:p w14:paraId="57B2852F" w14:textId="77777777" w:rsidR="00ED0E0E" w:rsidRPr="003D1141" w:rsidRDefault="00ED0E0E" w:rsidP="00ED0E0E">
      <w:pPr>
        <w:pStyle w:val="Prrafodelista"/>
        <w:jc w:val="center"/>
        <w:outlineLvl w:val="0"/>
        <w:rPr>
          <w:b/>
          <w:sz w:val="20"/>
          <w:szCs w:val="20"/>
        </w:rPr>
      </w:pPr>
      <w:bookmarkStart w:id="58" w:name="_Toc67333132"/>
      <w:bookmarkStart w:id="59" w:name="_Toc69197753"/>
      <w:bookmarkStart w:id="60" w:name="_Toc73960366"/>
      <w:r w:rsidRPr="003D1141">
        <w:rPr>
          <w:b/>
          <w:sz w:val="20"/>
          <w:szCs w:val="20"/>
        </w:rPr>
        <w:t>V</w:t>
      </w:r>
      <w:r>
        <w:rPr>
          <w:b/>
          <w:sz w:val="20"/>
          <w:szCs w:val="20"/>
        </w:rPr>
        <w:t>II.4</w:t>
      </w:r>
      <w:bookmarkEnd w:id="58"/>
      <w:bookmarkEnd w:id="59"/>
      <w:bookmarkEnd w:id="60"/>
    </w:p>
    <w:p w14:paraId="76AC4173" w14:textId="77777777" w:rsidR="00ED0E0E" w:rsidRPr="003D1141" w:rsidRDefault="00ED0E0E" w:rsidP="00ED0E0E">
      <w:pPr>
        <w:pStyle w:val="Prrafodelista"/>
        <w:jc w:val="center"/>
        <w:outlineLvl w:val="0"/>
        <w:rPr>
          <w:b/>
          <w:sz w:val="20"/>
          <w:szCs w:val="20"/>
        </w:rPr>
      </w:pPr>
      <w:bookmarkStart w:id="61" w:name="_Toc73960367"/>
      <w:r>
        <w:rPr>
          <w:b/>
          <w:sz w:val="20"/>
          <w:szCs w:val="20"/>
        </w:rPr>
        <w:t>DERECHO</w:t>
      </w:r>
      <w:r w:rsidRPr="00D64A29">
        <w:rPr>
          <w:b/>
          <w:sz w:val="20"/>
          <w:szCs w:val="20"/>
        </w:rPr>
        <w:t xml:space="preserve"> A </w:t>
      </w:r>
      <w:r>
        <w:rPr>
          <w:b/>
          <w:sz w:val="20"/>
          <w:szCs w:val="20"/>
        </w:rPr>
        <w:t>LA INTEGRIDAD PERSONAL RESPECTO A JIMMY GUERRERO Y RAMÓN MOLINA</w:t>
      </w:r>
      <w:bookmarkEnd w:id="61"/>
    </w:p>
    <w:p w14:paraId="4957CFC3" w14:textId="77777777" w:rsidR="00ED0E0E" w:rsidRPr="00097E73" w:rsidRDefault="00ED0E0E" w:rsidP="00ED0E0E">
      <w:pPr>
        <w:pStyle w:val="Prrafodelista"/>
        <w:rPr>
          <w:rFonts w:cs="Arial"/>
          <w:sz w:val="20"/>
          <w:szCs w:val="24"/>
        </w:rPr>
      </w:pPr>
    </w:p>
    <w:p w14:paraId="48CA56C3" w14:textId="77777777" w:rsidR="00ED0E0E" w:rsidRDefault="00ED0E0E" w:rsidP="000F2503">
      <w:pPr>
        <w:pStyle w:val="Prrafodelista"/>
        <w:numPr>
          <w:ilvl w:val="0"/>
          <w:numId w:val="16"/>
        </w:numPr>
        <w:ind w:left="284" w:firstLine="0"/>
        <w:outlineLvl w:val="1"/>
        <w:rPr>
          <w:sz w:val="20"/>
          <w:szCs w:val="20"/>
        </w:rPr>
      </w:pPr>
      <w:bookmarkStart w:id="62" w:name="_Toc73960368"/>
      <w:r w:rsidRPr="00754F8B">
        <w:rPr>
          <w:b/>
          <w:i/>
          <w:sz w:val="20"/>
          <w:szCs w:val="20"/>
        </w:rPr>
        <w:t>A</w:t>
      </w:r>
      <w:r>
        <w:rPr>
          <w:b/>
          <w:i/>
          <w:sz w:val="20"/>
          <w:szCs w:val="20"/>
        </w:rPr>
        <w:t>rgumentos de la Comisión y las partes</w:t>
      </w:r>
      <w:bookmarkEnd w:id="62"/>
    </w:p>
    <w:p w14:paraId="156F5866" w14:textId="77777777" w:rsidR="00ED0E0E" w:rsidRPr="00E05F7F" w:rsidRDefault="00ED0E0E" w:rsidP="00ED0E0E">
      <w:pPr>
        <w:rPr>
          <w:sz w:val="20"/>
          <w:szCs w:val="20"/>
        </w:rPr>
      </w:pPr>
    </w:p>
    <w:p w14:paraId="6B9F078F" w14:textId="3A1B7553" w:rsidR="00ED0E0E" w:rsidRPr="00D53224" w:rsidRDefault="00ED0E0E" w:rsidP="00ED0E0E">
      <w:pPr>
        <w:pStyle w:val="Prrafodelista"/>
        <w:widowControl/>
        <w:numPr>
          <w:ilvl w:val="0"/>
          <w:numId w:val="32"/>
        </w:numPr>
        <w:autoSpaceDE/>
        <w:autoSpaceDN/>
        <w:spacing w:after="200"/>
        <w:ind w:left="0" w:firstLine="0"/>
        <w:contextualSpacing/>
        <w:rPr>
          <w:sz w:val="20"/>
          <w:szCs w:val="20"/>
        </w:rPr>
      </w:pPr>
      <w:r>
        <w:rPr>
          <w:sz w:val="20"/>
          <w:szCs w:val="20"/>
        </w:rPr>
        <w:t xml:space="preserve">La </w:t>
      </w:r>
      <w:r w:rsidRPr="00E05F7F">
        <w:rPr>
          <w:b/>
          <w:i/>
          <w:sz w:val="20"/>
          <w:szCs w:val="20"/>
        </w:rPr>
        <w:t>Comisión</w:t>
      </w:r>
      <w:r>
        <w:rPr>
          <w:sz w:val="20"/>
          <w:szCs w:val="20"/>
        </w:rPr>
        <w:t xml:space="preserve"> </w:t>
      </w:r>
      <w:r w:rsidRPr="00284223">
        <w:rPr>
          <w:sz w:val="20"/>
          <w:szCs w:val="20"/>
        </w:rPr>
        <w:t xml:space="preserve">señaló que </w:t>
      </w:r>
      <w:r>
        <w:rPr>
          <w:sz w:val="20"/>
          <w:szCs w:val="20"/>
        </w:rPr>
        <w:t>los señores</w:t>
      </w:r>
      <w:r w:rsidRPr="00284223">
        <w:rPr>
          <w:sz w:val="20"/>
          <w:szCs w:val="20"/>
        </w:rPr>
        <w:t xml:space="preserve"> Guerrero y Molina sufrieron un</w:t>
      </w:r>
      <w:r>
        <w:rPr>
          <w:sz w:val="20"/>
          <w:szCs w:val="20"/>
        </w:rPr>
        <w:t>a violación a su derecho a la integridad personal por el</w:t>
      </w:r>
      <w:r w:rsidRPr="00284223">
        <w:rPr>
          <w:sz w:val="20"/>
          <w:szCs w:val="20"/>
        </w:rPr>
        <w:t xml:space="preserve"> profundo miedo durante la situación de violencia que derivó en su muerte. </w:t>
      </w:r>
      <w:r>
        <w:rPr>
          <w:sz w:val="20"/>
          <w:szCs w:val="20"/>
        </w:rPr>
        <w:t>Además, en sus observaciones finales escrita</w:t>
      </w:r>
      <w:r w:rsidRPr="00D53224">
        <w:rPr>
          <w:sz w:val="20"/>
          <w:szCs w:val="20"/>
        </w:rPr>
        <w:t xml:space="preserve">s, </w:t>
      </w:r>
      <w:r>
        <w:rPr>
          <w:sz w:val="20"/>
          <w:szCs w:val="20"/>
        </w:rPr>
        <w:t xml:space="preserve">consideró </w:t>
      </w:r>
      <w:r w:rsidRPr="00D53224">
        <w:rPr>
          <w:sz w:val="20"/>
          <w:szCs w:val="20"/>
        </w:rPr>
        <w:t>que “</w:t>
      </w:r>
      <w:r w:rsidRPr="00D53224">
        <w:rPr>
          <w:rFonts w:eastAsiaTheme="minorHAnsi" w:cs="Cambria"/>
          <w:sz w:val="20"/>
          <w:szCs w:val="20"/>
          <w:lang w:val="es-CR"/>
        </w:rPr>
        <w:t xml:space="preserve">con los elementos aportados al proceso resulta posible </w:t>
      </w:r>
      <w:r>
        <w:rPr>
          <w:rFonts w:eastAsiaTheme="minorHAnsi" w:cs="Cambria"/>
          <w:sz w:val="20"/>
          <w:szCs w:val="20"/>
          <w:lang w:val="es-CR"/>
        </w:rPr>
        <w:t xml:space="preserve">[…] </w:t>
      </w:r>
      <w:proofErr w:type="spellStart"/>
      <w:r w:rsidRPr="00D53224">
        <w:rPr>
          <w:rFonts w:eastAsiaTheme="minorHAnsi" w:cs="Cambria"/>
          <w:sz w:val="20"/>
          <w:szCs w:val="20"/>
          <w:lang w:val="es-CR"/>
        </w:rPr>
        <w:t>verifi</w:t>
      </w:r>
      <w:proofErr w:type="spellEnd"/>
      <w:r>
        <w:rPr>
          <w:rFonts w:eastAsiaTheme="minorHAnsi" w:cs="Cambria"/>
          <w:sz w:val="20"/>
          <w:szCs w:val="20"/>
          <w:lang w:val="es-CR"/>
        </w:rPr>
        <w:t>[car]</w:t>
      </w:r>
      <w:r w:rsidRPr="00D53224">
        <w:rPr>
          <w:rFonts w:eastAsiaTheme="minorHAnsi" w:cs="Cambria"/>
          <w:sz w:val="20"/>
          <w:szCs w:val="20"/>
          <w:lang w:val="es-CR"/>
        </w:rPr>
        <w:t xml:space="preserve"> los elementos de la tortura en perjuicio [de Jimmy Guerrero], dado que un análisis integral del caso permite considerar que la situación de violencia durante el ataque que acabó con [su] vida […] fue dirigida a causarle de manera deliberada un profundo miedo y sufrimiento”</w:t>
      </w:r>
      <w:r>
        <w:rPr>
          <w:rStyle w:val="Refdenotaalpie"/>
          <w:rFonts w:eastAsiaTheme="minorHAnsi" w:cs="Cambria"/>
          <w:sz w:val="20"/>
          <w:szCs w:val="20"/>
          <w:lang w:val="es-CR"/>
        </w:rPr>
        <w:footnoteReference w:id="128"/>
      </w:r>
      <w:r w:rsidRPr="00D53224">
        <w:rPr>
          <w:rFonts w:eastAsiaTheme="minorHAnsi" w:cs="Cambria"/>
          <w:sz w:val="20"/>
          <w:szCs w:val="20"/>
          <w:lang w:val="es-CR"/>
        </w:rPr>
        <w:t>.</w:t>
      </w:r>
    </w:p>
    <w:p w14:paraId="4EF1F63B" w14:textId="77777777" w:rsidR="00ED0E0E" w:rsidRPr="00EC5F62" w:rsidRDefault="00ED0E0E" w:rsidP="00ED0E0E">
      <w:pPr>
        <w:pStyle w:val="Prrafodelista"/>
        <w:widowControl/>
        <w:autoSpaceDE/>
        <w:autoSpaceDN/>
        <w:spacing w:after="200"/>
        <w:ind w:left="0"/>
        <w:contextualSpacing/>
        <w:rPr>
          <w:sz w:val="20"/>
          <w:szCs w:val="20"/>
        </w:rPr>
      </w:pPr>
    </w:p>
    <w:p w14:paraId="338003E2" w14:textId="76CE6C65" w:rsidR="00ED0E0E" w:rsidRPr="007675A6" w:rsidRDefault="00ED0E0E" w:rsidP="00ED0E0E">
      <w:pPr>
        <w:pStyle w:val="Prrafodelista"/>
        <w:widowControl/>
        <w:numPr>
          <w:ilvl w:val="0"/>
          <w:numId w:val="32"/>
        </w:numPr>
        <w:autoSpaceDE/>
        <w:autoSpaceDN/>
        <w:spacing w:after="200"/>
        <w:ind w:left="0" w:firstLine="0"/>
        <w:contextualSpacing/>
        <w:rPr>
          <w:sz w:val="20"/>
          <w:szCs w:val="20"/>
        </w:rPr>
      </w:pPr>
      <w:r w:rsidRPr="00EC5F62">
        <w:rPr>
          <w:sz w:val="20"/>
          <w:szCs w:val="20"/>
        </w:rPr>
        <w:t xml:space="preserve">La Comisión encontró, </w:t>
      </w:r>
      <w:r>
        <w:rPr>
          <w:sz w:val="20"/>
          <w:szCs w:val="20"/>
        </w:rPr>
        <w:t xml:space="preserve">en el Informe de Fondo, </w:t>
      </w:r>
      <w:r w:rsidRPr="00EC5F62">
        <w:rPr>
          <w:sz w:val="20"/>
          <w:szCs w:val="20"/>
        </w:rPr>
        <w:t xml:space="preserve">que el Estado violó </w:t>
      </w:r>
      <w:r w:rsidRPr="00D64A29">
        <w:rPr>
          <w:sz w:val="20"/>
          <w:szCs w:val="20"/>
        </w:rPr>
        <w:t>el artículo</w:t>
      </w:r>
      <w:r>
        <w:rPr>
          <w:strike/>
          <w:sz w:val="20"/>
          <w:szCs w:val="20"/>
        </w:rPr>
        <w:t xml:space="preserve"> </w:t>
      </w:r>
      <w:r w:rsidRPr="00EC5F62">
        <w:rPr>
          <w:sz w:val="20"/>
          <w:szCs w:val="20"/>
        </w:rPr>
        <w:t>5.1 de la Convención en perjuicio de Jimmy Guerrero y Ramón Molina, en relación con el artículo 1.1 del tratado.</w:t>
      </w:r>
    </w:p>
    <w:p w14:paraId="5121D5C2" w14:textId="77777777" w:rsidR="00ED0E0E" w:rsidRPr="00806301" w:rsidRDefault="00ED0E0E" w:rsidP="00ED0E0E">
      <w:pPr>
        <w:pStyle w:val="Prrafodelista"/>
        <w:widowControl/>
        <w:autoSpaceDE/>
        <w:autoSpaceDN/>
        <w:spacing w:after="200"/>
        <w:ind w:left="0"/>
        <w:contextualSpacing/>
        <w:rPr>
          <w:sz w:val="20"/>
          <w:szCs w:val="20"/>
        </w:rPr>
      </w:pPr>
    </w:p>
    <w:p w14:paraId="1A125975" w14:textId="77777777" w:rsidR="00ED0E0E" w:rsidRPr="007675A6" w:rsidRDefault="00ED0E0E" w:rsidP="00ED0E0E">
      <w:pPr>
        <w:pStyle w:val="Prrafodelista"/>
        <w:widowControl/>
        <w:numPr>
          <w:ilvl w:val="0"/>
          <w:numId w:val="32"/>
        </w:numPr>
        <w:autoSpaceDE/>
        <w:autoSpaceDN/>
        <w:spacing w:after="200"/>
        <w:ind w:left="0" w:firstLine="0"/>
        <w:contextualSpacing/>
        <w:rPr>
          <w:sz w:val="20"/>
          <w:szCs w:val="20"/>
        </w:rPr>
      </w:pPr>
      <w:r>
        <w:rPr>
          <w:sz w:val="20"/>
          <w:szCs w:val="20"/>
        </w:rPr>
        <w:t xml:space="preserve">Los </w:t>
      </w:r>
      <w:r w:rsidRPr="00284223">
        <w:rPr>
          <w:b/>
          <w:i/>
          <w:sz w:val="20"/>
          <w:szCs w:val="20"/>
        </w:rPr>
        <w:t>representantes</w:t>
      </w:r>
      <w:r>
        <w:rPr>
          <w:sz w:val="20"/>
          <w:szCs w:val="20"/>
        </w:rPr>
        <w:t xml:space="preserve"> sostuvieron, </w:t>
      </w:r>
      <w:r w:rsidRPr="007675A6">
        <w:rPr>
          <w:sz w:val="20"/>
          <w:szCs w:val="20"/>
        </w:rPr>
        <w:t>en su escrito de alegatos finales, que “Jimmy Guerrero fue arrastrado, golpeado y atropellado de manera intencional momento previos a su muerte”, y que ello constituyó “tortura”</w:t>
      </w:r>
      <w:r>
        <w:rPr>
          <w:rStyle w:val="Refdenotaalpie"/>
          <w:sz w:val="20"/>
          <w:szCs w:val="20"/>
        </w:rPr>
        <w:footnoteReference w:id="129"/>
      </w:r>
      <w:r w:rsidRPr="007675A6">
        <w:rPr>
          <w:sz w:val="20"/>
          <w:szCs w:val="20"/>
        </w:rPr>
        <w:t>.</w:t>
      </w:r>
      <w:r w:rsidRPr="007675A6">
        <w:rPr>
          <w:sz w:val="16"/>
          <w:szCs w:val="16"/>
        </w:rPr>
        <w:t xml:space="preserve"> </w:t>
      </w:r>
      <w:r w:rsidRPr="00B3404B">
        <w:rPr>
          <w:sz w:val="20"/>
          <w:szCs w:val="20"/>
        </w:rPr>
        <w:t>Aseveraron, entonces, que Venezuela es responsable por la violación al artículo 5 de la Convención en relación con su artículo 1.1 y con los artículos 1 y 6 de la CIPST</w:t>
      </w:r>
      <w:r>
        <w:rPr>
          <w:sz w:val="16"/>
          <w:szCs w:val="16"/>
        </w:rPr>
        <w:t>.</w:t>
      </w:r>
    </w:p>
    <w:p w14:paraId="4CFE9925" w14:textId="77777777" w:rsidR="00ED0E0E" w:rsidRPr="001B2DBC" w:rsidRDefault="00ED0E0E" w:rsidP="00ED0E0E">
      <w:pPr>
        <w:pStyle w:val="Prrafodelista"/>
        <w:widowControl/>
        <w:autoSpaceDE/>
        <w:autoSpaceDN/>
        <w:spacing w:after="200"/>
        <w:ind w:left="0"/>
        <w:contextualSpacing/>
        <w:rPr>
          <w:sz w:val="20"/>
          <w:szCs w:val="20"/>
        </w:rPr>
      </w:pPr>
    </w:p>
    <w:p w14:paraId="5E4610C2" w14:textId="77777777" w:rsidR="00ED0E0E" w:rsidRPr="001B2DBC" w:rsidRDefault="00ED0E0E" w:rsidP="00ED0E0E">
      <w:pPr>
        <w:pStyle w:val="Prrafodelista"/>
        <w:widowControl/>
        <w:numPr>
          <w:ilvl w:val="0"/>
          <w:numId w:val="32"/>
        </w:numPr>
        <w:autoSpaceDE/>
        <w:autoSpaceDN/>
        <w:ind w:left="0" w:firstLine="0"/>
        <w:contextualSpacing/>
        <w:rPr>
          <w:sz w:val="20"/>
          <w:szCs w:val="20"/>
        </w:rPr>
      </w:pPr>
      <w:r w:rsidRPr="001B2DBC">
        <w:rPr>
          <w:sz w:val="20"/>
          <w:szCs w:val="20"/>
        </w:rPr>
        <w:t xml:space="preserve"> El </w:t>
      </w:r>
      <w:r w:rsidRPr="001B2DBC">
        <w:rPr>
          <w:b/>
          <w:i/>
          <w:sz w:val="20"/>
          <w:szCs w:val="20"/>
        </w:rPr>
        <w:t>Estado</w:t>
      </w:r>
      <w:r w:rsidRPr="001B2DBC">
        <w:rPr>
          <w:sz w:val="20"/>
          <w:szCs w:val="20"/>
        </w:rPr>
        <w:t>, como se ha señalado (</w:t>
      </w:r>
      <w:r w:rsidRPr="001B2DBC">
        <w:rPr>
          <w:i/>
          <w:sz w:val="20"/>
          <w:szCs w:val="20"/>
        </w:rPr>
        <w:t xml:space="preserve">supra </w:t>
      </w:r>
      <w:proofErr w:type="spellStart"/>
      <w:r w:rsidRPr="001B2DBC">
        <w:rPr>
          <w:sz w:val="20"/>
          <w:szCs w:val="20"/>
        </w:rPr>
        <w:t>párr</w:t>
      </w:r>
      <w:r>
        <w:rPr>
          <w:sz w:val="20"/>
          <w:szCs w:val="20"/>
        </w:rPr>
        <w:t>s</w:t>
      </w:r>
      <w:proofErr w:type="spellEnd"/>
      <w:r w:rsidRPr="001B2DBC">
        <w:rPr>
          <w:sz w:val="20"/>
          <w:szCs w:val="20"/>
        </w:rPr>
        <w:t>.</w:t>
      </w:r>
      <w:r>
        <w:rPr>
          <w:sz w:val="20"/>
          <w:szCs w:val="20"/>
        </w:rPr>
        <w:t xml:space="preserve"> 8, 14, 26 y 31</w:t>
      </w:r>
      <w:r w:rsidRPr="001B2DBC">
        <w:rPr>
          <w:sz w:val="20"/>
          <w:szCs w:val="20"/>
        </w:rPr>
        <w:t>),</w:t>
      </w:r>
      <w:r>
        <w:rPr>
          <w:sz w:val="20"/>
          <w:szCs w:val="20"/>
        </w:rPr>
        <w:t xml:space="preserve"> r</w:t>
      </w:r>
      <w:r w:rsidRPr="001B2DBC">
        <w:rPr>
          <w:sz w:val="20"/>
          <w:szCs w:val="20"/>
        </w:rPr>
        <w:t xml:space="preserve">econoció su responsabilidad internacional, en los términos del Informe de Fondo, sobre </w:t>
      </w:r>
      <w:r w:rsidRPr="00D64A29">
        <w:rPr>
          <w:sz w:val="20"/>
          <w:szCs w:val="20"/>
        </w:rPr>
        <w:t>el derecho contenido en el artículo</w:t>
      </w:r>
      <w:r>
        <w:rPr>
          <w:sz w:val="20"/>
          <w:szCs w:val="20"/>
        </w:rPr>
        <w:t xml:space="preserve"> </w:t>
      </w:r>
      <w:r w:rsidRPr="001B2DBC">
        <w:rPr>
          <w:sz w:val="20"/>
          <w:szCs w:val="20"/>
        </w:rPr>
        <w:t>5.1</w:t>
      </w:r>
      <w:r>
        <w:rPr>
          <w:sz w:val="20"/>
          <w:szCs w:val="20"/>
        </w:rPr>
        <w:t xml:space="preserve"> </w:t>
      </w:r>
      <w:r w:rsidRPr="00D64A29">
        <w:rPr>
          <w:sz w:val="20"/>
          <w:szCs w:val="20"/>
        </w:rPr>
        <w:t>de la Convención</w:t>
      </w:r>
      <w:r w:rsidRPr="001B2DBC">
        <w:rPr>
          <w:sz w:val="20"/>
          <w:szCs w:val="20"/>
        </w:rPr>
        <w:t xml:space="preserve">, en relación con el artículo 1.1 </w:t>
      </w:r>
      <w:r w:rsidRPr="00D64A29">
        <w:rPr>
          <w:sz w:val="20"/>
          <w:szCs w:val="20"/>
        </w:rPr>
        <w:t>del mismo tratado</w:t>
      </w:r>
      <w:r w:rsidRPr="001B2DBC">
        <w:rPr>
          <w:sz w:val="20"/>
          <w:szCs w:val="20"/>
        </w:rPr>
        <w:t>.</w:t>
      </w:r>
      <w:r>
        <w:rPr>
          <w:sz w:val="20"/>
          <w:szCs w:val="20"/>
        </w:rPr>
        <w:t xml:space="preserve"> No lo hizo respecto de la CIPST. </w:t>
      </w:r>
    </w:p>
    <w:p w14:paraId="40FDC708" w14:textId="77777777" w:rsidR="00ED0E0E" w:rsidRPr="00097E73" w:rsidRDefault="00ED0E0E" w:rsidP="00ED0E0E">
      <w:pPr>
        <w:pStyle w:val="Prrafodelista"/>
        <w:rPr>
          <w:rFonts w:cs="Arial"/>
          <w:sz w:val="20"/>
          <w:szCs w:val="24"/>
        </w:rPr>
      </w:pPr>
    </w:p>
    <w:p w14:paraId="62C94E9A" w14:textId="77777777" w:rsidR="00ED0E0E" w:rsidRDefault="00ED0E0E" w:rsidP="00ED0E0E">
      <w:pPr>
        <w:pStyle w:val="Prrafodelista"/>
        <w:numPr>
          <w:ilvl w:val="0"/>
          <w:numId w:val="16"/>
        </w:numPr>
        <w:ind w:left="284" w:firstLine="0"/>
        <w:outlineLvl w:val="1"/>
        <w:rPr>
          <w:sz w:val="20"/>
          <w:szCs w:val="20"/>
        </w:rPr>
      </w:pPr>
      <w:bookmarkStart w:id="63" w:name="_Toc73960369"/>
      <w:r>
        <w:rPr>
          <w:b/>
          <w:i/>
          <w:sz w:val="20"/>
          <w:szCs w:val="20"/>
        </w:rPr>
        <w:t>Consideraciones de la Corte</w:t>
      </w:r>
      <w:bookmarkEnd w:id="63"/>
    </w:p>
    <w:p w14:paraId="5FD95BD6" w14:textId="77777777" w:rsidR="00ED0E0E" w:rsidRDefault="00ED0E0E" w:rsidP="00ED0E0E">
      <w:pPr>
        <w:pStyle w:val="Prrafodelista"/>
        <w:widowControl/>
        <w:autoSpaceDE/>
        <w:autoSpaceDN/>
        <w:ind w:left="0"/>
        <w:contextualSpacing/>
        <w:rPr>
          <w:sz w:val="20"/>
          <w:szCs w:val="20"/>
        </w:rPr>
      </w:pPr>
    </w:p>
    <w:p w14:paraId="30A4FE2E" w14:textId="77777777" w:rsidR="00ED0E0E" w:rsidRDefault="00ED0E0E" w:rsidP="00ED0E0E">
      <w:pPr>
        <w:pStyle w:val="Prrafodelista"/>
        <w:widowControl/>
        <w:numPr>
          <w:ilvl w:val="0"/>
          <w:numId w:val="32"/>
        </w:numPr>
        <w:autoSpaceDE/>
        <w:autoSpaceDN/>
        <w:ind w:left="0" w:firstLine="0"/>
        <w:contextualSpacing/>
        <w:rPr>
          <w:sz w:val="20"/>
          <w:szCs w:val="20"/>
        </w:rPr>
      </w:pPr>
      <w:r>
        <w:rPr>
          <w:sz w:val="20"/>
          <w:szCs w:val="20"/>
        </w:rPr>
        <w:t xml:space="preserve">Este Tribunal ha conocido circunstancias respecto de las que determinó que personas que fueron ejecutadas extrajudicialmente vieron lesionado, además de su </w:t>
      </w:r>
      <w:r>
        <w:rPr>
          <w:sz w:val="20"/>
          <w:szCs w:val="20"/>
        </w:rPr>
        <w:lastRenderedPageBreak/>
        <w:t>derec</w:t>
      </w:r>
      <w:r w:rsidRPr="00600EB8">
        <w:rPr>
          <w:sz w:val="20"/>
          <w:szCs w:val="20"/>
        </w:rPr>
        <w:t>ho a la vida, su derecho a la integridad personal, por el “temor profundo ante el peligro real e inminente de que [las agresiones] culminaría[n] con su propia muerte”</w:t>
      </w:r>
      <w:r>
        <w:rPr>
          <w:rStyle w:val="Refdenotaalpie"/>
          <w:sz w:val="20"/>
          <w:szCs w:val="20"/>
        </w:rPr>
        <w:footnoteReference w:id="130"/>
      </w:r>
      <w:r w:rsidRPr="00600EB8">
        <w:rPr>
          <w:sz w:val="20"/>
          <w:szCs w:val="20"/>
        </w:rPr>
        <w:t>.</w:t>
      </w:r>
    </w:p>
    <w:p w14:paraId="44B7F198" w14:textId="77777777" w:rsidR="00ED0E0E" w:rsidRDefault="00ED0E0E" w:rsidP="00ED0E0E">
      <w:pPr>
        <w:pStyle w:val="Prrafodelista"/>
        <w:widowControl/>
        <w:autoSpaceDE/>
        <w:autoSpaceDN/>
        <w:ind w:left="0"/>
        <w:contextualSpacing/>
        <w:rPr>
          <w:sz w:val="20"/>
          <w:szCs w:val="20"/>
        </w:rPr>
      </w:pPr>
    </w:p>
    <w:p w14:paraId="5FBC279D" w14:textId="2B717E2E" w:rsidR="00ED0E0E" w:rsidRDefault="00ED0E0E" w:rsidP="00ED0E0E">
      <w:pPr>
        <w:pStyle w:val="Prrafodelista"/>
        <w:widowControl/>
        <w:numPr>
          <w:ilvl w:val="0"/>
          <w:numId w:val="32"/>
        </w:numPr>
        <w:autoSpaceDE/>
        <w:autoSpaceDN/>
        <w:ind w:left="0" w:firstLine="0"/>
        <w:contextualSpacing/>
        <w:rPr>
          <w:sz w:val="20"/>
          <w:szCs w:val="20"/>
        </w:rPr>
      </w:pPr>
      <w:r>
        <w:rPr>
          <w:sz w:val="20"/>
          <w:szCs w:val="20"/>
        </w:rPr>
        <w:t>En el presente caso, no obstante, la forma en que se produjeron los hechos muestra que hubo una continuidad casi inmediata entre el inicio del ataque contra los señores Guerrero y Molina y los primeros impactos de bala</w:t>
      </w:r>
      <w:r w:rsidR="0056662D">
        <w:rPr>
          <w:sz w:val="20"/>
          <w:szCs w:val="20"/>
        </w:rPr>
        <w:t xml:space="preserve"> que recibieron</w:t>
      </w:r>
      <w:r>
        <w:rPr>
          <w:sz w:val="20"/>
          <w:szCs w:val="20"/>
        </w:rPr>
        <w:t>. Dadas tales particulares circunstancias, el temor que ellos probablemente experimentaron, en esos momentos iniciales del ataque, no puede contemplarse como una lesión distinta a la propia agresión homicida que sufrieron</w:t>
      </w:r>
      <w:r>
        <w:rPr>
          <w:rStyle w:val="Refdenotaalpie"/>
          <w:sz w:val="20"/>
          <w:szCs w:val="20"/>
        </w:rPr>
        <w:footnoteReference w:id="131"/>
      </w:r>
      <w:r>
        <w:rPr>
          <w:sz w:val="20"/>
          <w:szCs w:val="20"/>
        </w:rPr>
        <w:t>. Por lo tanto, la responsabilidad estatal por tal sufrimiento queda comprendida en la violación de Venezuela al derecho a la vida de ambas víctimas, y no configura un incumplimiento propio de las obligaciones estatales respecto al derecho la integridad personal.</w:t>
      </w:r>
    </w:p>
    <w:p w14:paraId="5048923E" w14:textId="77777777" w:rsidR="00ED0E0E" w:rsidRDefault="00ED0E0E" w:rsidP="00ED0E0E">
      <w:pPr>
        <w:pStyle w:val="Prrafodelista"/>
        <w:widowControl/>
        <w:autoSpaceDE/>
        <w:autoSpaceDN/>
        <w:ind w:left="0"/>
        <w:contextualSpacing/>
        <w:rPr>
          <w:sz w:val="20"/>
          <w:szCs w:val="20"/>
        </w:rPr>
      </w:pPr>
    </w:p>
    <w:p w14:paraId="0B1F370F" w14:textId="2C2A9E71" w:rsidR="00ED0E0E" w:rsidRDefault="00ED0E0E" w:rsidP="00ED0E0E">
      <w:pPr>
        <w:pStyle w:val="Prrafodelista"/>
        <w:widowControl/>
        <w:numPr>
          <w:ilvl w:val="0"/>
          <w:numId w:val="32"/>
        </w:numPr>
        <w:autoSpaceDE/>
        <w:autoSpaceDN/>
        <w:ind w:left="0" w:firstLine="0"/>
        <w:contextualSpacing/>
        <w:rPr>
          <w:sz w:val="20"/>
          <w:szCs w:val="20"/>
        </w:rPr>
      </w:pPr>
      <w:r w:rsidRPr="00294CCA">
        <w:rPr>
          <w:sz w:val="20"/>
          <w:szCs w:val="20"/>
        </w:rPr>
        <w:t>Por otra parte, la Comisión y los representantes arguyeron que el Estado es responsable por actos de tortura respecto a Jimmy Guerrero por</w:t>
      </w:r>
      <w:r w:rsidR="00522FC4">
        <w:rPr>
          <w:sz w:val="20"/>
          <w:szCs w:val="20"/>
        </w:rPr>
        <w:t xml:space="preserve"> las</w:t>
      </w:r>
      <w:r w:rsidRPr="00294CCA">
        <w:rPr>
          <w:sz w:val="20"/>
          <w:szCs w:val="20"/>
        </w:rPr>
        <w:t xml:space="preserve"> agresiones contra el cuerpo de Jimmy Guerrero posteriores el primer disparo que recibió, que incluye</w:t>
      </w:r>
      <w:r w:rsidR="00522FC4">
        <w:rPr>
          <w:sz w:val="20"/>
          <w:szCs w:val="20"/>
        </w:rPr>
        <w:t>ro</w:t>
      </w:r>
      <w:r w:rsidRPr="00294CCA">
        <w:rPr>
          <w:sz w:val="20"/>
          <w:szCs w:val="20"/>
        </w:rPr>
        <w:t>n patadas y ser arrastrado por un automóvil</w:t>
      </w:r>
      <w:r w:rsidR="0033631F">
        <w:rPr>
          <w:sz w:val="20"/>
          <w:szCs w:val="20"/>
        </w:rPr>
        <w:t xml:space="preserve"> (</w:t>
      </w:r>
      <w:r w:rsidR="0033631F">
        <w:rPr>
          <w:i/>
          <w:sz w:val="20"/>
          <w:szCs w:val="20"/>
        </w:rPr>
        <w:t>supra</w:t>
      </w:r>
      <w:r w:rsidR="0033631F">
        <w:rPr>
          <w:sz w:val="20"/>
          <w:szCs w:val="20"/>
        </w:rPr>
        <w:t xml:space="preserve"> </w:t>
      </w:r>
      <w:proofErr w:type="spellStart"/>
      <w:r w:rsidR="0033631F">
        <w:rPr>
          <w:sz w:val="20"/>
          <w:szCs w:val="20"/>
        </w:rPr>
        <w:t>párrs</w:t>
      </w:r>
      <w:proofErr w:type="spellEnd"/>
      <w:r w:rsidR="0033631F">
        <w:rPr>
          <w:sz w:val="20"/>
          <w:szCs w:val="20"/>
        </w:rPr>
        <w:t>. 72 y 73)</w:t>
      </w:r>
      <w:r w:rsidRPr="00294CCA">
        <w:rPr>
          <w:sz w:val="20"/>
          <w:szCs w:val="20"/>
        </w:rPr>
        <w:t>. Aunque este alegato, expresado en las presentaciones finales escritas ante este Tribunal, pretende basarse en prueba producida ante la Corte, ésta no cuenta con elementos suficientes para examinarlo. Del acervo probatorio surgen indicaciones diversas sobre el lugar del cuerpo en que el señor Guerrero recibió el primer impacto de bala, una de las cuales señala que fue en la cabeza</w:t>
      </w:r>
      <w:r w:rsidRPr="00294CCA">
        <w:rPr>
          <w:rStyle w:val="Refdenotaalpie"/>
          <w:sz w:val="20"/>
          <w:szCs w:val="20"/>
        </w:rPr>
        <w:footnoteReference w:id="132"/>
      </w:r>
      <w:r w:rsidRPr="00294CCA">
        <w:rPr>
          <w:sz w:val="20"/>
          <w:szCs w:val="20"/>
        </w:rPr>
        <w:t>. La prueba, entonces, no resulta suficiente para concluir que él permaneciera con vida y con capacidad de experimentar sufrimiento luego de ese primer impacto. Por ello, no es posible para este Tribunal internacional determinar que se hubieran cometido actos de tortura contra el señor Guerrero. Esto no obsta el deber de las autoridades estatales correspondientes de investigar esa posibilidad, cuestión que se examina más adelante (</w:t>
      </w:r>
      <w:r w:rsidRPr="00294CCA">
        <w:rPr>
          <w:i/>
          <w:sz w:val="20"/>
          <w:szCs w:val="20"/>
        </w:rPr>
        <w:t xml:space="preserve">infra </w:t>
      </w:r>
      <w:r w:rsidRPr="00294CCA">
        <w:rPr>
          <w:sz w:val="20"/>
          <w:szCs w:val="20"/>
        </w:rPr>
        <w:t xml:space="preserve">Capítulo </w:t>
      </w:r>
      <w:r>
        <w:rPr>
          <w:sz w:val="20"/>
          <w:szCs w:val="20"/>
        </w:rPr>
        <w:t>VII.5</w:t>
      </w:r>
      <w:r w:rsidRPr="00294CCA">
        <w:rPr>
          <w:sz w:val="20"/>
          <w:szCs w:val="20"/>
        </w:rPr>
        <w:t xml:space="preserve">). </w:t>
      </w:r>
    </w:p>
    <w:p w14:paraId="478FE874" w14:textId="77777777" w:rsidR="00ED0E0E" w:rsidRDefault="00ED0E0E" w:rsidP="00ED0E0E">
      <w:pPr>
        <w:pStyle w:val="Prrafodelista"/>
        <w:widowControl/>
        <w:autoSpaceDE/>
        <w:autoSpaceDN/>
        <w:ind w:left="0"/>
        <w:contextualSpacing/>
        <w:rPr>
          <w:sz w:val="20"/>
          <w:szCs w:val="20"/>
        </w:rPr>
      </w:pPr>
    </w:p>
    <w:p w14:paraId="76D59835" w14:textId="489E754B" w:rsidR="00ED0E0E" w:rsidRPr="00D64A29" w:rsidRDefault="00171826" w:rsidP="00ED0E0E">
      <w:pPr>
        <w:pStyle w:val="Prrafodelista"/>
        <w:widowControl/>
        <w:numPr>
          <w:ilvl w:val="0"/>
          <w:numId w:val="32"/>
        </w:numPr>
        <w:autoSpaceDE/>
        <w:autoSpaceDN/>
        <w:ind w:left="0" w:firstLine="0"/>
        <w:contextualSpacing/>
        <w:rPr>
          <w:sz w:val="20"/>
          <w:szCs w:val="20"/>
        </w:rPr>
      </w:pPr>
      <w:r>
        <w:rPr>
          <w:sz w:val="20"/>
          <w:szCs w:val="20"/>
        </w:rPr>
        <w:t>Sin que obste</w:t>
      </w:r>
      <w:r w:rsidR="00ED0E0E">
        <w:rPr>
          <w:sz w:val="20"/>
          <w:szCs w:val="20"/>
        </w:rPr>
        <w:t xml:space="preserve"> a lo expresado</w:t>
      </w:r>
      <w:r w:rsidR="00ED0E0E" w:rsidRPr="00D64A29">
        <w:rPr>
          <w:sz w:val="20"/>
          <w:szCs w:val="20"/>
        </w:rPr>
        <w:t xml:space="preserve">, resulta particularmente grave el ensañamiento de los funcionarios policiales con el cuerpo del señor Guerrero, lo cual es otra manifestación de la violencia policial contra hombres jóvenes en situación de pobreza, y además refleja la convicción de los agresores de que su conducta no les acarrearía consecuencias ulteriores, debido al alto grado de impunidad </w:t>
      </w:r>
      <w:r w:rsidR="0056662D">
        <w:rPr>
          <w:sz w:val="20"/>
          <w:szCs w:val="20"/>
        </w:rPr>
        <w:t>que caracterizaba</w:t>
      </w:r>
      <w:r w:rsidR="00ED0E0E" w:rsidRPr="00D64A29">
        <w:rPr>
          <w:sz w:val="20"/>
          <w:szCs w:val="20"/>
        </w:rPr>
        <w:t xml:space="preserve"> estas agresiones (</w:t>
      </w:r>
      <w:r w:rsidR="00ED0E0E" w:rsidRPr="00D64A29">
        <w:rPr>
          <w:i/>
          <w:sz w:val="20"/>
          <w:szCs w:val="20"/>
        </w:rPr>
        <w:t>supra</w:t>
      </w:r>
      <w:r w:rsidR="00ED0E0E" w:rsidRPr="00D64A29">
        <w:rPr>
          <w:sz w:val="20"/>
          <w:szCs w:val="20"/>
        </w:rPr>
        <w:t xml:space="preserve"> </w:t>
      </w:r>
      <w:proofErr w:type="spellStart"/>
      <w:r w:rsidR="00ED0E0E">
        <w:rPr>
          <w:sz w:val="20"/>
          <w:szCs w:val="20"/>
        </w:rPr>
        <w:t>párr</w:t>
      </w:r>
      <w:r w:rsidR="00B74836">
        <w:rPr>
          <w:sz w:val="20"/>
          <w:szCs w:val="20"/>
        </w:rPr>
        <w:t>s</w:t>
      </w:r>
      <w:proofErr w:type="spellEnd"/>
      <w:r w:rsidR="00ED0E0E">
        <w:rPr>
          <w:sz w:val="20"/>
          <w:szCs w:val="20"/>
        </w:rPr>
        <w:t xml:space="preserve">. </w:t>
      </w:r>
      <w:r w:rsidR="00B74836">
        <w:rPr>
          <w:sz w:val="20"/>
          <w:szCs w:val="20"/>
        </w:rPr>
        <w:t>52 y</w:t>
      </w:r>
      <w:r w:rsidR="00ED0E0E">
        <w:rPr>
          <w:sz w:val="20"/>
          <w:szCs w:val="20"/>
        </w:rPr>
        <w:t xml:space="preserve"> 53</w:t>
      </w:r>
      <w:r w:rsidR="00ED0E0E" w:rsidRPr="00D64A29">
        <w:rPr>
          <w:sz w:val="20"/>
          <w:szCs w:val="20"/>
        </w:rPr>
        <w:t xml:space="preserve">). Los actos en </w:t>
      </w:r>
      <w:proofErr w:type="gramStart"/>
      <w:r w:rsidR="00ED0E0E" w:rsidRPr="00D64A29">
        <w:rPr>
          <w:sz w:val="20"/>
          <w:szCs w:val="20"/>
        </w:rPr>
        <w:t>cuestión,</w:t>
      </w:r>
      <w:proofErr w:type="gramEnd"/>
      <w:r w:rsidR="00ED0E0E" w:rsidRPr="00D64A29">
        <w:rPr>
          <w:sz w:val="20"/>
          <w:szCs w:val="20"/>
        </w:rPr>
        <w:t xml:space="preserve"> muestran que los funcionarios policiales infligieron un trato denigrante al cuerpo de Jimmy Guerrero al golpearlo y arrastrarlo atado a un automóvil. La Corte ya ha indicado que el modo en que se trate a cuerpos de personas fallecidas puede, según las circunstancias del caso, dar cuenta de un trato denigrante</w:t>
      </w:r>
      <w:r w:rsidR="007531C1">
        <w:rPr>
          <w:sz w:val="20"/>
          <w:szCs w:val="20"/>
        </w:rPr>
        <w:t xml:space="preserve"> </w:t>
      </w:r>
      <w:r w:rsidR="007531C1" w:rsidRPr="007531C1">
        <w:rPr>
          <w:sz w:val="20"/>
          <w:szCs w:val="20"/>
        </w:rPr>
        <w:lastRenderedPageBreak/>
        <w:t>en perjuicio de la persona fallecida, así como de sus familiares</w:t>
      </w:r>
      <w:r w:rsidR="00ED0E0E" w:rsidRPr="00D64A29">
        <w:rPr>
          <w:rStyle w:val="Refdenotaalpie"/>
          <w:sz w:val="20"/>
          <w:szCs w:val="20"/>
        </w:rPr>
        <w:footnoteReference w:id="133"/>
      </w:r>
      <w:r w:rsidR="00ED0E0E" w:rsidRPr="00D64A29">
        <w:rPr>
          <w:sz w:val="20"/>
          <w:szCs w:val="20"/>
        </w:rPr>
        <w:t xml:space="preserve">, y entiende que es lo que ha ocurrido en este caso. </w:t>
      </w:r>
    </w:p>
    <w:p w14:paraId="7B3D22EF" w14:textId="77777777" w:rsidR="00ED0E0E" w:rsidRPr="00D64A29" w:rsidRDefault="00ED0E0E" w:rsidP="00ED0E0E">
      <w:pPr>
        <w:pStyle w:val="Prrafodelista"/>
        <w:widowControl/>
        <w:autoSpaceDE/>
        <w:autoSpaceDN/>
        <w:ind w:left="0"/>
        <w:contextualSpacing/>
        <w:rPr>
          <w:sz w:val="20"/>
          <w:szCs w:val="20"/>
        </w:rPr>
      </w:pPr>
    </w:p>
    <w:p w14:paraId="365B6A33" w14:textId="4002CC25" w:rsidR="00ED0E0E" w:rsidRDefault="00ED0E0E" w:rsidP="00ED0E0E">
      <w:pPr>
        <w:pStyle w:val="Prrafodelista"/>
        <w:widowControl/>
        <w:numPr>
          <w:ilvl w:val="0"/>
          <w:numId w:val="32"/>
        </w:numPr>
        <w:autoSpaceDE/>
        <w:autoSpaceDN/>
        <w:ind w:left="0" w:firstLine="0"/>
        <w:contextualSpacing/>
        <w:rPr>
          <w:sz w:val="20"/>
          <w:szCs w:val="20"/>
        </w:rPr>
      </w:pPr>
      <w:r w:rsidRPr="00D64A29">
        <w:rPr>
          <w:sz w:val="20"/>
          <w:szCs w:val="20"/>
        </w:rPr>
        <w:t>Venezuela</w:t>
      </w:r>
      <w:r>
        <w:rPr>
          <w:sz w:val="20"/>
          <w:szCs w:val="20"/>
        </w:rPr>
        <w:t xml:space="preserve">, </w:t>
      </w:r>
      <w:r w:rsidRPr="00E41A5E">
        <w:rPr>
          <w:sz w:val="20"/>
          <w:szCs w:val="20"/>
        </w:rPr>
        <w:t>por tanto, es responsable por la violación al derecho a la integridad personal del señor Jimmy Guerrero, previsto en el artículo 5.1 de la Convención, en relación con la obliga</w:t>
      </w:r>
      <w:r w:rsidR="00E53745" w:rsidRPr="00E41A5E">
        <w:rPr>
          <w:sz w:val="20"/>
          <w:szCs w:val="20"/>
        </w:rPr>
        <w:t>ción de respetar los derechos si</w:t>
      </w:r>
      <w:r w:rsidRPr="00E41A5E">
        <w:rPr>
          <w:sz w:val="20"/>
          <w:szCs w:val="20"/>
        </w:rPr>
        <w:t>n discriminación, preceptuada por el artículo 1.1 del mismo</w:t>
      </w:r>
      <w:r w:rsidRPr="00D64A29">
        <w:rPr>
          <w:sz w:val="20"/>
          <w:szCs w:val="20"/>
        </w:rPr>
        <w:t xml:space="preserve"> tratado. </w:t>
      </w:r>
      <w:r w:rsidR="00E41A5E" w:rsidRPr="00E41A5E">
        <w:rPr>
          <w:iCs/>
          <w:sz w:val="20"/>
          <w:szCs w:val="20"/>
        </w:rPr>
        <w:t>El trato denigrante dado al cuerpo del señor Guerrero constituye, además, parte de los hechos que dieron lugar a la violación de la integridad personal de sus familiares, ya determinada en la presente sentencia (supra párr. 3</w:t>
      </w:r>
      <w:r w:rsidR="00E41A5E">
        <w:rPr>
          <w:iCs/>
          <w:sz w:val="20"/>
          <w:szCs w:val="20"/>
        </w:rPr>
        <w:t>2).</w:t>
      </w:r>
      <w:r w:rsidR="00E41A5E">
        <w:rPr>
          <w:rStyle w:val="Refdecomentario"/>
        </w:rPr>
        <w:t xml:space="preserve"> </w:t>
      </w:r>
    </w:p>
    <w:p w14:paraId="2BBA0511" w14:textId="77777777" w:rsidR="00ED0E0E" w:rsidRPr="00ED0E0E" w:rsidRDefault="00ED0E0E" w:rsidP="00ED0E0E">
      <w:pPr>
        <w:pStyle w:val="Prrafodelista"/>
        <w:rPr>
          <w:sz w:val="20"/>
          <w:szCs w:val="20"/>
        </w:rPr>
      </w:pPr>
    </w:p>
    <w:p w14:paraId="22E2814B" w14:textId="6D48FE5C" w:rsidR="005877BE" w:rsidRDefault="00ED0E0E" w:rsidP="005877BE">
      <w:pPr>
        <w:pStyle w:val="Prrafodelista"/>
        <w:widowControl/>
        <w:numPr>
          <w:ilvl w:val="0"/>
          <w:numId w:val="32"/>
        </w:numPr>
        <w:autoSpaceDE/>
        <w:autoSpaceDN/>
        <w:ind w:left="0" w:firstLine="0"/>
        <w:contextualSpacing/>
        <w:rPr>
          <w:sz w:val="20"/>
          <w:szCs w:val="20"/>
        </w:rPr>
      </w:pPr>
      <w:r w:rsidRPr="00ED0E0E">
        <w:rPr>
          <w:sz w:val="20"/>
          <w:szCs w:val="20"/>
        </w:rPr>
        <w:t xml:space="preserve">Venezuela </w:t>
      </w:r>
      <w:r w:rsidRPr="00E41A5E">
        <w:rPr>
          <w:sz w:val="20"/>
          <w:szCs w:val="20"/>
        </w:rPr>
        <w:t xml:space="preserve">no es responsable por la violación al derecho a la integridad personal, reconocido en el artículo 5.1, en perjuicio de Ramón </w:t>
      </w:r>
      <w:r w:rsidR="00244AEA" w:rsidRPr="00E41A5E">
        <w:rPr>
          <w:sz w:val="20"/>
          <w:szCs w:val="20"/>
        </w:rPr>
        <w:t xml:space="preserve">Antonio </w:t>
      </w:r>
      <w:r w:rsidRPr="00E41A5E">
        <w:rPr>
          <w:sz w:val="20"/>
          <w:szCs w:val="20"/>
        </w:rPr>
        <w:t>Molina</w:t>
      </w:r>
      <w:r w:rsidR="00244AEA" w:rsidRPr="00E41A5E">
        <w:rPr>
          <w:sz w:val="20"/>
          <w:szCs w:val="20"/>
        </w:rPr>
        <w:t xml:space="preserve"> Pérez</w:t>
      </w:r>
      <w:r w:rsidRPr="00E41A5E">
        <w:rPr>
          <w:sz w:val="20"/>
          <w:szCs w:val="20"/>
        </w:rPr>
        <w:t xml:space="preserve">. Tampoco es responsable por la violación a ese derecho, conforme el artículo 5.2 de la Convención, en perjuicio de Jimmy </w:t>
      </w:r>
      <w:r w:rsidR="00244AEA" w:rsidRPr="00E41A5E">
        <w:rPr>
          <w:sz w:val="20"/>
          <w:szCs w:val="20"/>
        </w:rPr>
        <w:t xml:space="preserve">Rafael </w:t>
      </w:r>
      <w:r w:rsidRPr="00E41A5E">
        <w:rPr>
          <w:sz w:val="20"/>
          <w:szCs w:val="20"/>
        </w:rPr>
        <w:t>Guerrero</w:t>
      </w:r>
      <w:r w:rsidR="00244AEA" w:rsidRPr="00E41A5E">
        <w:rPr>
          <w:sz w:val="20"/>
          <w:szCs w:val="20"/>
        </w:rPr>
        <w:t xml:space="preserve"> Meléndez</w:t>
      </w:r>
      <w:r w:rsidRPr="00E41A5E">
        <w:rPr>
          <w:sz w:val="20"/>
          <w:szCs w:val="20"/>
        </w:rPr>
        <w:t>, ni por el incumplimiento de los artículos 1 y 6 de la Convención Interamericana para Prevenir y Sancionar</w:t>
      </w:r>
      <w:r w:rsidRPr="00ED0E0E">
        <w:rPr>
          <w:sz w:val="20"/>
          <w:szCs w:val="20"/>
        </w:rPr>
        <w:t xml:space="preserve"> la Tortura.</w:t>
      </w:r>
    </w:p>
    <w:p w14:paraId="7B0E49DB" w14:textId="77777777" w:rsidR="004E64A8" w:rsidRDefault="004E64A8" w:rsidP="004E64A8">
      <w:pPr>
        <w:pStyle w:val="Prrafodelista"/>
        <w:rPr>
          <w:sz w:val="20"/>
          <w:szCs w:val="20"/>
        </w:rPr>
      </w:pPr>
    </w:p>
    <w:p w14:paraId="6E344EE4" w14:textId="77777777" w:rsidR="004E64A8" w:rsidRPr="003D1141" w:rsidRDefault="004E64A8" w:rsidP="004E64A8">
      <w:pPr>
        <w:pStyle w:val="Prrafodelista"/>
        <w:jc w:val="center"/>
        <w:outlineLvl w:val="0"/>
        <w:rPr>
          <w:b/>
          <w:sz w:val="20"/>
          <w:szCs w:val="20"/>
        </w:rPr>
      </w:pPr>
      <w:bookmarkStart w:id="64" w:name="_Toc67333141"/>
      <w:bookmarkStart w:id="65" w:name="_Toc69197760"/>
      <w:bookmarkStart w:id="66" w:name="_Toc73960371"/>
      <w:r w:rsidRPr="003D1141">
        <w:rPr>
          <w:b/>
          <w:sz w:val="20"/>
          <w:szCs w:val="20"/>
        </w:rPr>
        <w:t>V</w:t>
      </w:r>
      <w:r>
        <w:rPr>
          <w:b/>
          <w:sz w:val="20"/>
          <w:szCs w:val="20"/>
        </w:rPr>
        <w:t>II.5</w:t>
      </w:r>
      <w:bookmarkEnd w:id="64"/>
      <w:bookmarkEnd w:id="65"/>
      <w:bookmarkEnd w:id="66"/>
    </w:p>
    <w:p w14:paraId="67C3763D" w14:textId="77777777" w:rsidR="004E64A8" w:rsidRPr="003D1141" w:rsidRDefault="004E64A8" w:rsidP="004E64A8">
      <w:pPr>
        <w:pStyle w:val="Prrafodelista"/>
        <w:jc w:val="center"/>
        <w:outlineLvl w:val="0"/>
        <w:rPr>
          <w:b/>
          <w:sz w:val="20"/>
          <w:szCs w:val="20"/>
        </w:rPr>
      </w:pPr>
      <w:bookmarkStart w:id="67" w:name="_Toc73960372"/>
      <w:r w:rsidRPr="00294CCA">
        <w:rPr>
          <w:b/>
          <w:sz w:val="20"/>
          <w:szCs w:val="20"/>
        </w:rPr>
        <w:t>DERECHOS A LAS GARANTÍAS JUDICIALES</w:t>
      </w:r>
      <w:r w:rsidRPr="002D3568">
        <w:rPr>
          <w:rStyle w:val="Refdenotaalpie"/>
          <w:sz w:val="20"/>
          <w:szCs w:val="20"/>
        </w:rPr>
        <w:footnoteReference w:id="134"/>
      </w:r>
      <w:r w:rsidRPr="00294CCA">
        <w:rPr>
          <w:b/>
          <w:sz w:val="20"/>
          <w:szCs w:val="20"/>
        </w:rPr>
        <w:t xml:space="preserve"> Y A LA PROTECCION JUDICIAL</w:t>
      </w:r>
      <w:r w:rsidRPr="002D3568">
        <w:rPr>
          <w:rStyle w:val="Refdenotaalpie"/>
          <w:sz w:val="20"/>
          <w:szCs w:val="20"/>
        </w:rPr>
        <w:footnoteReference w:id="135"/>
      </w:r>
      <w:r w:rsidRPr="00294CCA">
        <w:rPr>
          <w:b/>
          <w:sz w:val="20"/>
          <w:szCs w:val="20"/>
        </w:rPr>
        <w:t xml:space="preserve"> RESPECTO A JIMMY GUERRERO Y </w:t>
      </w:r>
      <w:r>
        <w:rPr>
          <w:b/>
          <w:sz w:val="20"/>
          <w:szCs w:val="20"/>
        </w:rPr>
        <w:t>SUS</w:t>
      </w:r>
      <w:r w:rsidRPr="00294CCA">
        <w:rPr>
          <w:b/>
          <w:sz w:val="20"/>
          <w:szCs w:val="20"/>
        </w:rPr>
        <w:t xml:space="preserve"> FAMILIARES Y</w:t>
      </w:r>
      <w:r>
        <w:rPr>
          <w:b/>
          <w:sz w:val="20"/>
          <w:szCs w:val="20"/>
        </w:rPr>
        <w:t xml:space="preserve"> LOS</w:t>
      </w:r>
      <w:r w:rsidRPr="00294CCA">
        <w:rPr>
          <w:b/>
          <w:sz w:val="20"/>
          <w:szCs w:val="20"/>
        </w:rPr>
        <w:t xml:space="preserve"> DE RAMÓN MOLINA</w:t>
      </w:r>
      <w:bookmarkEnd w:id="67"/>
    </w:p>
    <w:p w14:paraId="509BF446" w14:textId="77777777" w:rsidR="004E64A8" w:rsidRDefault="004E64A8" w:rsidP="004E64A8">
      <w:pPr>
        <w:rPr>
          <w:sz w:val="20"/>
          <w:szCs w:val="20"/>
        </w:rPr>
      </w:pPr>
    </w:p>
    <w:p w14:paraId="09F713C6" w14:textId="77777777" w:rsidR="004E64A8" w:rsidRPr="00625DE0" w:rsidRDefault="004E64A8" w:rsidP="000F2503">
      <w:pPr>
        <w:pStyle w:val="Prrafodelista"/>
        <w:numPr>
          <w:ilvl w:val="0"/>
          <w:numId w:val="18"/>
        </w:numPr>
        <w:ind w:left="284" w:firstLine="0"/>
        <w:outlineLvl w:val="1"/>
        <w:rPr>
          <w:b/>
          <w:i/>
          <w:sz w:val="20"/>
          <w:szCs w:val="20"/>
        </w:rPr>
      </w:pPr>
      <w:bookmarkStart w:id="68" w:name="_Toc73960373"/>
      <w:r w:rsidRPr="00625DE0">
        <w:rPr>
          <w:b/>
          <w:i/>
          <w:sz w:val="20"/>
          <w:szCs w:val="20"/>
        </w:rPr>
        <w:t>Argumentos de la Comisión y de las partes</w:t>
      </w:r>
      <w:bookmarkEnd w:id="68"/>
    </w:p>
    <w:p w14:paraId="2097148D" w14:textId="77777777" w:rsidR="004E64A8" w:rsidRPr="004E64A8" w:rsidRDefault="004E64A8" w:rsidP="004E64A8">
      <w:pPr>
        <w:pStyle w:val="Prrafodelista"/>
        <w:rPr>
          <w:sz w:val="20"/>
          <w:szCs w:val="20"/>
        </w:rPr>
      </w:pPr>
    </w:p>
    <w:p w14:paraId="53FF2EB6" w14:textId="072315BF" w:rsidR="004E64A8" w:rsidRPr="004E64A8" w:rsidRDefault="004E64A8" w:rsidP="004E64A8">
      <w:pPr>
        <w:pStyle w:val="Prrafodelista"/>
        <w:widowControl/>
        <w:numPr>
          <w:ilvl w:val="0"/>
          <w:numId w:val="32"/>
        </w:numPr>
        <w:autoSpaceDE/>
        <w:autoSpaceDN/>
        <w:ind w:left="0" w:firstLine="0"/>
        <w:contextualSpacing/>
        <w:rPr>
          <w:sz w:val="20"/>
          <w:szCs w:val="20"/>
        </w:rPr>
      </w:pPr>
      <w:r w:rsidRPr="004E64A8">
        <w:rPr>
          <w:sz w:val="20"/>
          <w:szCs w:val="20"/>
        </w:rPr>
        <w:t xml:space="preserve">La </w:t>
      </w:r>
      <w:r w:rsidRPr="004E64A8">
        <w:rPr>
          <w:b/>
          <w:i/>
          <w:sz w:val="20"/>
          <w:szCs w:val="20"/>
        </w:rPr>
        <w:t>Comisión</w:t>
      </w:r>
      <w:r w:rsidRPr="004E64A8">
        <w:rPr>
          <w:sz w:val="20"/>
          <w:szCs w:val="20"/>
        </w:rPr>
        <w:t xml:space="preserve"> </w:t>
      </w:r>
      <w:r w:rsidR="008E47EB">
        <w:rPr>
          <w:sz w:val="20"/>
          <w:szCs w:val="20"/>
        </w:rPr>
        <w:t xml:space="preserve">indicó que </w:t>
      </w:r>
      <w:r w:rsidRPr="00E41A5E">
        <w:rPr>
          <w:sz w:val="20"/>
          <w:szCs w:val="20"/>
        </w:rPr>
        <w:t>no se siguieron líneas lógicas de investigación</w:t>
      </w:r>
      <w:r w:rsidR="0056662D">
        <w:rPr>
          <w:i/>
          <w:sz w:val="20"/>
          <w:szCs w:val="20"/>
        </w:rPr>
        <w:t xml:space="preserve"> </w:t>
      </w:r>
      <w:r w:rsidR="0056662D">
        <w:rPr>
          <w:sz w:val="20"/>
          <w:szCs w:val="20"/>
        </w:rPr>
        <w:t xml:space="preserve">de </w:t>
      </w:r>
      <w:r w:rsidR="0056662D" w:rsidRPr="004E64A8">
        <w:rPr>
          <w:sz w:val="20"/>
          <w:szCs w:val="20"/>
        </w:rPr>
        <w:t>las muertes de Jimmy Guerrero y Ramón Molina</w:t>
      </w:r>
      <w:r w:rsidRPr="004E64A8">
        <w:rPr>
          <w:sz w:val="20"/>
          <w:szCs w:val="20"/>
        </w:rPr>
        <w:t xml:space="preserve">. </w:t>
      </w:r>
      <w:r w:rsidR="00F53554">
        <w:rPr>
          <w:sz w:val="20"/>
          <w:szCs w:val="20"/>
        </w:rPr>
        <w:t>A</w:t>
      </w:r>
      <w:r w:rsidRPr="004E64A8">
        <w:rPr>
          <w:sz w:val="20"/>
          <w:szCs w:val="20"/>
        </w:rPr>
        <w:t>firmó que no se tomaron en consideración “evidentes elementos contextuales”. Arguyó, asimismo, que en las investigaciones internas constan testimonios que indicaron la presencia de personal que vestía ropa policial, pero qué, sin embargo, esta evidencia no activó algún tipo de exploración inmediata de la mencionada hipótesis de autoría criminal. Notó que fue recién 13 años después de ocurridos los hechos, en 2016, que se dictó una orden de aprehensión, cuando mucha de la prueba ya se encontraba perdida o era imposible de ser colectada</w:t>
      </w:r>
      <w:r>
        <w:rPr>
          <w:rStyle w:val="Refdenotaalpie"/>
          <w:sz w:val="20"/>
          <w:szCs w:val="20"/>
        </w:rPr>
        <w:footnoteReference w:id="136"/>
      </w:r>
      <w:r w:rsidRPr="004E64A8">
        <w:rPr>
          <w:sz w:val="20"/>
          <w:szCs w:val="20"/>
        </w:rPr>
        <w:t>. En relación con lo anterior,</w:t>
      </w:r>
      <w:r w:rsidRPr="004E64A8">
        <w:rPr>
          <w:b/>
          <w:sz w:val="20"/>
          <w:szCs w:val="20"/>
        </w:rPr>
        <w:t xml:space="preserve"> </w:t>
      </w:r>
      <w:r w:rsidRPr="004E64A8">
        <w:rPr>
          <w:sz w:val="20"/>
          <w:szCs w:val="20"/>
        </w:rPr>
        <w:t xml:space="preserve">advirtió </w:t>
      </w:r>
      <w:r w:rsidRPr="00E41A5E">
        <w:rPr>
          <w:sz w:val="20"/>
          <w:szCs w:val="20"/>
        </w:rPr>
        <w:t>demoras en actividad probatoria y pérdidas de prueba</w:t>
      </w:r>
      <w:r w:rsidRPr="004E64A8">
        <w:rPr>
          <w:sz w:val="20"/>
          <w:szCs w:val="20"/>
        </w:rPr>
        <w:t xml:space="preserve">, que consideró “una forma de encubrimiento”. Observó que entre 2003 y 2005 las autoridades a cargo de la investigación solicitaron a la Policía diversa información, pero ésta recién respondió en 2015, indicando que la documentación relevante se había perdido a causa de la lluvia. Notó también que, luego de 2007, fue recién en 2016 que la investigación “retomó impulso procesal significativo”, cuando mucha prueba “ya </w:t>
      </w:r>
      <w:proofErr w:type="spellStart"/>
      <w:r w:rsidRPr="004E64A8">
        <w:rPr>
          <w:sz w:val="20"/>
          <w:szCs w:val="20"/>
        </w:rPr>
        <w:lastRenderedPageBreak/>
        <w:t>est</w:t>
      </w:r>
      <w:proofErr w:type="spellEnd"/>
      <w:r w:rsidRPr="004E64A8">
        <w:rPr>
          <w:sz w:val="20"/>
          <w:szCs w:val="20"/>
        </w:rPr>
        <w:t>[aba] perdida o e[</w:t>
      </w:r>
      <w:proofErr w:type="spellStart"/>
      <w:r w:rsidRPr="004E64A8">
        <w:rPr>
          <w:sz w:val="20"/>
          <w:szCs w:val="20"/>
        </w:rPr>
        <w:t>ra</w:t>
      </w:r>
      <w:proofErr w:type="spellEnd"/>
      <w:r w:rsidRPr="004E64A8">
        <w:rPr>
          <w:sz w:val="20"/>
          <w:szCs w:val="20"/>
        </w:rPr>
        <w:t xml:space="preserve">] imposible de recabar”. Por último, determinó que el tiempo insumido en las actuaciones conllevó una </w:t>
      </w:r>
      <w:r w:rsidRPr="00E41A5E">
        <w:rPr>
          <w:sz w:val="20"/>
          <w:szCs w:val="20"/>
        </w:rPr>
        <w:t>vulneración de un plazo razonable</w:t>
      </w:r>
      <w:r w:rsidRPr="004E64A8">
        <w:rPr>
          <w:sz w:val="20"/>
          <w:szCs w:val="20"/>
        </w:rPr>
        <w:t>, teniendo en cuenta los más de 15 años de investigación, al momento de emisión del Informe de Fondo, sin el esclarecimiento de lo sucedido, y considerando las circunstancias ya expuestas.</w:t>
      </w:r>
    </w:p>
    <w:p w14:paraId="7FAFE769" w14:textId="77777777" w:rsidR="004E64A8" w:rsidRPr="00FD7052" w:rsidRDefault="004E64A8" w:rsidP="004E64A8">
      <w:pPr>
        <w:pStyle w:val="Prrafodelista"/>
        <w:widowControl/>
        <w:autoSpaceDE/>
        <w:autoSpaceDN/>
        <w:spacing w:after="200"/>
        <w:ind w:left="0"/>
        <w:contextualSpacing/>
        <w:rPr>
          <w:sz w:val="20"/>
          <w:szCs w:val="20"/>
        </w:rPr>
      </w:pPr>
    </w:p>
    <w:p w14:paraId="1A4DAB8C" w14:textId="421EB9DE" w:rsidR="004E64A8" w:rsidRPr="006240A7" w:rsidRDefault="004E64A8" w:rsidP="004E64A8">
      <w:pPr>
        <w:pStyle w:val="Prrafodelista"/>
        <w:widowControl/>
        <w:numPr>
          <w:ilvl w:val="0"/>
          <w:numId w:val="33"/>
        </w:numPr>
        <w:autoSpaceDE/>
        <w:autoSpaceDN/>
        <w:spacing w:after="200"/>
        <w:ind w:left="0" w:firstLine="0"/>
        <w:contextualSpacing/>
        <w:rPr>
          <w:sz w:val="20"/>
          <w:szCs w:val="20"/>
        </w:rPr>
      </w:pPr>
      <w:r w:rsidRPr="00794F27">
        <w:rPr>
          <w:sz w:val="20"/>
          <w:szCs w:val="20"/>
        </w:rPr>
        <w:t xml:space="preserve">Por lo anterior, la Comisión </w:t>
      </w:r>
      <w:r w:rsidR="00DC07DB">
        <w:rPr>
          <w:sz w:val="20"/>
          <w:szCs w:val="20"/>
        </w:rPr>
        <w:t>concluyó</w:t>
      </w:r>
      <w:r w:rsidR="00DC07DB" w:rsidRPr="00794F27">
        <w:rPr>
          <w:sz w:val="20"/>
          <w:szCs w:val="20"/>
        </w:rPr>
        <w:t xml:space="preserve"> </w:t>
      </w:r>
      <w:r w:rsidRPr="00794F27">
        <w:rPr>
          <w:sz w:val="20"/>
          <w:szCs w:val="20"/>
        </w:rPr>
        <w:t>que el Estado es responsable por la violación de los derechos a las garantías judiciales y a la protección judic</w:t>
      </w:r>
      <w:r w:rsidR="006A38ED">
        <w:rPr>
          <w:sz w:val="20"/>
          <w:szCs w:val="20"/>
        </w:rPr>
        <w:t xml:space="preserve">ial establecidos en los </w:t>
      </w:r>
      <w:r w:rsidR="00623CC2">
        <w:rPr>
          <w:sz w:val="20"/>
          <w:szCs w:val="20"/>
        </w:rPr>
        <w:t>artículo</w:t>
      </w:r>
      <w:r w:rsidR="00623CC2" w:rsidRPr="00794F27">
        <w:rPr>
          <w:sz w:val="20"/>
          <w:szCs w:val="20"/>
        </w:rPr>
        <w:t>s</w:t>
      </w:r>
      <w:r w:rsidRPr="00794F27">
        <w:rPr>
          <w:sz w:val="20"/>
          <w:szCs w:val="20"/>
        </w:rPr>
        <w:t xml:space="preserve"> 8.1 y 25.1 de la Convención Americana</w:t>
      </w:r>
      <w:r w:rsidR="00DC07DB">
        <w:rPr>
          <w:sz w:val="20"/>
          <w:szCs w:val="20"/>
        </w:rPr>
        <w:t>,</w:t>
      </w:r>
      <w:r w:rsidRPr="00794F27">
        <w:rPr>
          <w:sz w:val="20"/>
          <w:szCs w:val="20"/>
        </w:rPr>
        <w:t xml:space="preserve"> en relación con las obligaciones consagradas en el artículo 1.1 del mismo instrumento, en perjuicio de los familiares de Jimmy Guerrero y Ramón Molina.</w:t>
      </w:r>
      <w:r>
        <w:rPr>
          <w:sz w:val="20"/>
          <w:szCs w:val="20"/>
        </w:rPr>
        <w:t xml:space="preserve"> Como se indicó (</w:t>
      </w:r>
      <w:r>
        <w:rPr>
          <w:i/>
          <w:sz w:val="20"/>
          <w:szCs w:val="20"/>
        </w:rPr>
        <w:t xml:space="preserve">supra </w:t>
      </w:r>
      <w:r>
        <w:rPr>
          <w:sz w:val="20"/>
          <w:szCs w:val="20"/>
        </w:rPr>
        <w:t>párr. 29), la Comisión también adujo que el Estado i</w:t>
      </w:r>
      <w:r w:rsidRPr="006240A7">
        <w:rPr>
          <w:sz w:val="20"/>
          <w:szCs w:val="20"/>
        </w:rPr>
        <w:t xml:space="preserve">ncumplió la obligación de investigar de oficio posibles actos de tortura, </w:t>
      </w:r>
      <w:proofErr w:type="gramStart"/>
      <w:r w:rsidRPr="006240A7">
        <w:rPr>
          <w:sz w:val="20"/>
          <w:szCs w:val="20"/>
        </w:rPr>
        <w:t>de acuerdo a</w:t>
      </w:r>
      <w:proofErr w:type="gramEnd"/>
      <w:r w:rsidRPr="006240A7">
        <w:rPr>
          <w:sz w:val="20"/>
          <w:szCs w:val="20"/>
        </w:rPr>
        <w:t xml:space="preserve"> los artículos 1, 6 y 8 de la CIPST</w:t>
      </w:r>
      <w:r>
        <w:rPr>
          <w:sz w:val="20"/>
          <w:szCs w:val="20"/>
        </w:rPr>
        <w:t>, respecto a agresiones sobre el cuerpo de Jimmy Guerrero en el curso del ataque que derivó en su muerte.</w:t>
      </w:r>
      <w:r w:rsidRPr="006240A7">
        <w:rPr>
          <w:sz w:val="16"/>
          <w:szCs w:val="16"/>
        </w:rPr>
        <w:t xml:space="preserve"> </w:t>
      </w:r>
    </w:p>
    <w:p w14:paraId="30BACBD6" w14:textId="77777777" w:rsidR="004E64A8" w:rsidRPr="00794F27" w:rsidRDefault="004E64A8" w:rsidP="004E64A8">
      <w:pPr>
        <w:pStyle w:val="Prrafodelista"/>
        <w:rPr>
          <w:sz w:val="20"/>
          <w:szCs w:val="20"/>
        </w:rPr>
      </w:pPr>
    </w:p>
    <w:p w14:paraId="092AB081" w14:textId="77777777" w:rsidR="004E64A8" w:rsidRPr="00B01B7E" w:rsidRDefault="004E64A8" w:rsidP="004E64A8">
      <w:pPr>
        <w:pStyle w:val="Prrafodelista"/>
        <w:widowControl/>
        <w:numPr>
          <w:ilvl w:val="0"/>
          <w:numId w:val="33"/>
        </w:numPr>
        <w:autoSpaceDE/>
        <w:autoSpaceDN/>
        <w:spacing w:after="200"/>
        <w:ind w:left="0" w:firstLine="0"/>
        <w:contextualSpacing/>
        <w:rPr>
          <w:sz w:val="20"/>
          <w:szCs w:val="20"/>
        </w:rPr>
      </w:pPr>
      <w:r w:rsidRPr="00794F27">
        <w:rPr>
          <w:sz w:val="20"/>
          <w:szCs w:val="20"/>
        </w:rPr>
        <w:t xml:space="preserve">Los </w:t>
      </w:r>
      <w:r w:rsidRPr="00966844">
        <w:rPr>
          <w:b/>
          <w:i/>
          <w:sz w:val="20"/>
          <w:szCs w:val="20"/>
        </w:rPr>
        <w:t>representantes</w:t>
      </w:r>
      <w:r w:rsidRPr="00794F27">
        <w:rPr>
          <w:sz w:val="20"/>
          <w:szCs w:val="20"/>
        </w:rPr>
        <w:t xml:space="preserve"> </w:t>
      </w:r>
      <w:r>
        <w:rPr>
          <w:sz w:val="20"/>
          <w:szCs w:val="20"/>
        </w:rPr>
        <w:t>afirmaron, respecto a las muertes de los señores Guerrero y Molina, que e</w:t>
      </w:r>
      <w:r w:rsidRPr="00B01B7E">
        <w:rPr>
          <w:sz w:val="20"/>
          <w:szCs w:val="20"/>
        </w:rPr>
        <w:t>l Estado no</w:t>
      </w:r>
      <w:r>
        <w:rPr>
          <w:sz w:val="20"/>
          <w:szCs w:val="20"/>
        </w:rPr>
        <w:t xml:space="preserve"> ha</w:t>
      </w:r>
      <w:r w:rsidRPr="00B01B7E">
        <w:rPr>
          <w:sz w:val="20"/>
          <w:szCs w:val="20"/>
        </w:rPr>
        <w:t xml:space="preserve"> “tomado las acciones relevantes” para determinar las responsabilidades intelectuales y materiales de los hechos, y que el único funcionario policial investigado fue sobreseído en 2017. </w:t>
      </w:r>
      <w:r>
        <w:rPr>
          <w:sz w:val="20"/>
          <w:szCs w:val="20"/>
        </w:rPr>
        <w:t>S</w:t>
      </w:r>
      <w:r w:rsidRPr="00B01B7E">
        <w:rPr>
          <w:sz w:val="20"/>
          <w:szCs w:val="20"/>
        </w:rPr>
        <w:t>ostuvieron que el Estado incurrió en una serie de obstaculizaciones y falta de diligencia, generando que</w:t>
      </w:r>
      <w:r>
        <w:rPr>
          <w:sz w:val="20"/>
          <w:szCs w:val="20"/>
        </w:rPr>
        <w:t xml:space="preserve"> </w:t>
      </w:r>
      <w:r w:rsidRPr="00B01B7E">
        <w:rPr>
          <w:sz w:val="20"/>
          <w:szCs w:val="20"/>
        </w:rPr>
        <w:t xml:space="preserve">los hechos permanezcan en impunidad. Coincidieron, en lo sustancial, con los argumentos de la Comisión respecto a la </w:t>
      </w:r>
      <w:r w:rsidRPr="00E41A5E">
        <w:rPr>
          <w:sz w:val="20"/>
          <w:szCs w:val="20"/>
        </w:rPr>
        <w:t>falta de seguimiento de líneas lógicas de investigación</w:t>
      </w:r>
      <w:r w:rsidRPr="005E3238">
        <w:rPr>
          <w:sz w:val="20"/>
          <w:szCs w:val="20"/>
        </w:rPr>
        <w:t xml:space="preserve">, </w:t>
      </w:r>
      <w:r w:rsidRPr="00E41A5E">
        <w:rPr>
          <w:sz w:val="20"/>
          <w:szCs w:val="20"/>
        </w:rPr>
        <w:t>demoras en la actividad probatoria y pérdida de prueba</w:t>
      </w:r>
      <w:r w:rsidRPr="005E3238">
        <w:rPr>
          <w:sz w:val="20"/>
          <w:szCs w:val="20"/>
        </w:rPr>
        <w:t xml:space="preserve">, y la </w:t>
      </w:r>
      <w:r w:rsidRPr="00E41A5E">
        <w:rPr>
          <w:sz w:val="20"/>
          <w:szCs w:val="20"/>
        </w:rPr>
        <w:t>vulneración de un plazo razonable</w:t>
      </w:r>
      <w:r w:rsidRPr="00B01B7E">
        <w:rPr>
          <w:sz w:val="20"/>
          <w:szCs w:val="20"/>
        </w:rPr>
        <w:t xml:space="preserve">. </w:t>
      </w:r>
      <w:r>
        <w:rPr>
          <w:sz w:val="20"/>
          <w:szCs w:val="20"/>
        </w:rPr>
        <w:t>En ese marco, aseveraron</w:t>
      </w:r>
      <w:r w:rsidRPr="00B01B7E">
        <w:rPr>
          <w:sz w:val="20"/>
          <w:szCs w:val="20"/>
        </w:rPr>
        <w:t xml:space="preserve"> lo </w:t>
      </w:r>
      <w:r>
        <w:rPr>
          <w:sz w:val="20"/>
          <w:szCs w:val="20"/>
        </w:rPr>
        <w:t xml:space="preserve">que </w:t>
      </w:r>
      <w:r w:rsidRPr="00B01B7E">
        <w:rPr>
          <w:sz w:val="20"/>
          <w:szCs w:val="20"/>
        </w:rPr>
        <w:t xml:space="preserve">sigue: </w:t>
      </w:r>
    </w:p>
    <w:p w14:paraId="45C1FD95" w14:textId="77777777" w:rsidR="004E64A8" w:rsidRDefault="004E64A8" w:rsidP="004E64A8">
      <w:pPr>
        <w:pStyle w:val="Prrafodelista"/>
        <w:rPr>
          <w:sz w:val="20"/>
          <w:szCs w:val="20"/>
        </w:rPr>
      </w:pPr>
    </w:p>
    <w:p w14:paraId="3E2A2A3A" w14:textId="77777777" w:rsidR="004E64A8" w:rsidRPr="004C4CCF" w:rsidRDefault="004E64A8" w:rsidP="004E64A8">
      <w:pPr>
        <w:pStyle w:val="Prrafodelista"/>
        <w:widowControl/>
        <w:autoSpaceDE/>
        <w:autoSpaceDN/>
        <w:spacing w:after="200"/>
        <w:ind w:left="284"/>
        <w:contextualSpacing/>
        <w:rPr>
          <w:sz w:val="20"/>
          <w:szCs w:val="20"/>
        </w:rPr>
      </w:pPr>
      <w:r w:rsidRPr="00B74836">
        <w:rPr>
          <w:sz w:val="20"/>
          <w:szCs w:val="20"/>
        </w:rPr>
        <w:t>a)</w:t>
      </w:r>
      <w:r>
        <w:rPr>
          <w:i/>
          <w:sz w:val="20"/>
          <w:szCs w:val="20"/>
        </w:rPr>
        <w:t xml:space="preserve"> Falta de independencia. -  </w:t>
      </w:r>
      <w:r>
        <w:rPr>
          <w:sz w:val="20"/>
          <w:szCs w:val="20"/>
        </w:rPr>
        <w:t xml:space="preserve">Hubo falta de independencia en las autoridades a cargo de investigación, ya que Jimmy Guerrero había sido hostigado por agentes estatales, inclusive del CICPC, que luego fue el principal órgano de investigación. </w:t>
      </w:r>
    </w:p>
    <w:p w14:paraId="72A2B887" w14:textId="77777777" w:rsidR="004E64A8" w:rsidRPr="004C4CCF" w:rsidRDefault="004E64A8" w:rsidP="004E64A8">
      <w:pPr>
        <w:pStyle w:val="Prrafodelista"/>
        <w:widowControl/>
        <w:autoSpaceDE/>
        <w:autoSpaceDN/>
        <w:spacing w:after="200"/>
        <w:ind w:left="284"/>
        <w:contextualSpacing/>
        <w:rPr>
          <w:sz w:val="20"/>
          <w:szCs w:val="20"/>
        </w:rPr>
      </w:pPr>
      <w:r w:rsidRPr="00B74836">
        <w:rPr>
          <w:sz w:val="20"/>
          <w:szCs w:val="20"/>
        </w:rPr>
        <w:t>b)</w:t>
      </w:r>
      <w:r>
        <w:rPr>
          <w:i/>
          <w:sz w:val="20"/>
          <w:szCs w:val="20"/>
        </w:rPr>
        <w:t xml:space="preserve"> </w:t>
      </w:r>
      <w:r w:rsidRPr="00B34A5F">
        <w:rPr>
          <w:i/>
          <w:sz w:val="20"/>
          <w:szCs w:val="20"/>
        </w:rPr>
        <w:t>Falta de imparcialidad.</w:t>
      </w:r>
      <w:r w:rsidRPr="00B34A5F">
        <w:rPr>
          <w:sz w:val="20"/>
          <w:szCs w:val="20"/>
        </w:rPr>
        <w:t xml:space="preserve"> - </w:t>
      </w:r>
      <w:r>
        <w:rPr>
          <w:sz w:val="20"/>
          <w:szCs w:val="20"/>
        </w:rPr>
        <w:t>S</w:t>
      </w:r>
      <w:r w:rsidRPr="00B34A5F">
        <w:rPr>
          <w:sz w:val="20"/>
          <w:szCs w:val="20"/>
        </w:rPr>
        <w:t>e vulneró el requisito de imparcialidad en la investigación, pues “dado que existían elementos que indicaban que miembros del CIPCPC podían haber estado involucrados en los hechos, los funcionarios involucrados en la realización de las investigaciones podrían tener intereses directos en el resultado del proceso de investigación”. Agregaron que, además,</w:t>
      </w:r>
      <w:r>
        <w:rPr>
          <w:sz w:val="20"/>
          <w:szCs w:val="20"/>
        </w:rPr>
        <w:t xml:space="preserve"> el</w:t>
      </w:r>
      <w:r w:rsidRPr="00B34A5F">
        <w:rPr>
          <w:sz w:val="20"/>
          <w:szCs w:val="20"/>
        </w:rPr>
        <w:t xml:space="preserve"> “CICPC no ofreció garantías suficientes de índole </w:t>
      </w:r>
      <w:proofErr w:type="spellStart"/>
      <w:r w:rsidRPr="00B34A5F">
        <w:rPr>
          <w:sz w:val="20"/>
          <w:szCs w:val="20"/>
        </w:rPr>
        <w:t>objetiv</w:t>
      </w:r>
      <w:proofErr w:type="spellEnd"/>
      <w:r>
        <w:rPr>
          <w:sz w:val="20"/>
          <w:szCs w:val="20"/>
        </w:rPr>
        <w:t>[as]</w:t>
      </w:r>
      <w:r w:rsidRPr="00B34A5F">
        <w:rPr>
          <w:sz w:val="20"/>
          <w:szCs w:val="20"/>
        </w:rPr>
        <w:t xml:space="preserve"> que pudieran despejar la existencia de dudas por la falta de imparcialidad”.</w:t>
      </w:r>
      <w:r w:rsidRPr="00C526A1">
        <w:rPr>
          <w:sz w:val="20"/>
          <w:szCs w:val="20"/>
        </w:rPr>
        <w:t xml:space="preserve"> </w:t>
      </w:r>
    </w:p>
    <w:p w14:paraId="678DFB7E" w14:textId="77777777" w:rsidR="004E64A8" w:rsidRPr="004C4CCF" w:rsidRDefault="004E64A8" w:rsidP="004E64A8">
      <w:pPr>
        <w:pStyle w:val="Prrafodelista"/>
        <w:widowControl/>
        <w:autoSpaceDE/>
        <w:autoSpaceDN/>
        <w:spacing w:after="200"/>
        <w:ind w:left="284"/>
        <w:contextualSpacing/>
        <w:rPr>
          <w:b/>
          <w:sz w:val="16"/>
          <w:szCs w:val="16"/>
        </w:rPr>
      </w:pPr>
      <w:r>
        <w:rPr>
          <w:sz w:val="20"/>
          <w:szCs w:val="20"/>
        </w:rPr>
        <w:t xml:space="preserve">c) </w:t>
      </w:r>
      <w:r w:rsidRPr="00A234F5">
        <w:rPr>
          <w:i/>
          <w:sz w:val="20"/>
          <w:szCs w:val="20"/>
        </w:rPr>
        <w:t xml:space="preserve">Obstaculización de la investigación. - </w:t>
      </w:r>
      <w:r>
        <w:rPr>
          <w:sz w:val="20"/>
          <w:szCs w:val="20"/>
        </w:rPr>
        <w:t>E</w:t>
      </w:r>
      <w:r w:rsidRPr="00A234F5">
        <w:rPr>
          <w:sz w:val="20"/>
          <w:szCs w:val="20"/>
        </w:rPr>
        <w:t xml:space="preserve">l CICPC y la Policía “omitieron en más de una oportunidad responder a solicitudes de </w:t>
      </w:r>
      <w:r>
        <w:rPr>
          <w:sz w:val="20"/>
          <w:szCs w:val="20"/>
        </w:rPr>
        <w:t>la Fiscalía y del propio CICPC”, obstaculizando la investigación.</w:t>
      </w:r>
      <w:r w:rsidRPr="00A234F5">
        <w:rPr>
          <w:sz w:val="20"/>
          <w:szCs w:val="20"/>
        </w:rPr>
        <w:t xml:space="preserve"> </w:t>
      </w:r>
      <w:r>
        <w:rPr>
          <w:sz w:val="20"/>
          <w:szCs w:val="20"/>
        </w:rPr>
        <w:t>T</w:t>
      </w:r>
      <w:r w:rsidRPr="00A234F5">
        <w:rPr>
          <w:sz w:val="20"/>
          <w:szCs w:val="20"/>
        </w:rPr>
        <w:t xml:space="preserve">ambién </w:t>
      </w:r>
      <w:r>
        <w:rPr>
          <w:sz w:val="20"/>
          <w:szCs w:val="20"/>
        </w:rPr>
        <w:t>hubo</w:t>
      </w:r>
      <w:r w:rsidRPr="00A234F5">
        <w:rPr>
          <w:sz w:val="20"/>
          <w:szCs w:val="20"/>
        </w:rPr>
        <w:t xml:space="preserve"> </w:t>
      </w:r>
      <w:r>
        <w:rPr>
          <w:sz w:val="20"/>
          <w:szCs w:val="20"/>
        </w:rPr>
        <w:t>“</w:t>
      </w:r>
      <w:r w:rsidRPr="00A234F5">
        <w:rPr>
          <w:sz w:val="20"/>
          <w:szCs w:val="20"/>
        </w:rPr>
        <w:t xml:space="preserve">actos de intimidación al testigo </w:t>
      </w:r>
      <w:r>
        <w:rPr>
          <w:sz w:val="20"/>
          <w:szCs w:val="20"/>
        </w:rPr>
        <w:t xml:space="preserve">[J.L.] </w:t>
      </w:r>
      <w:r w:rsidRPr="00A234F5">
        <w:rPr>
          <w:sz w:val="20"/>
          <w:szCs w:val="20"/>
        </w:rPr>
        <w:t>y a los familiares de Jimmy Guerrero”</w:t>
      </w:r>
      <w:r>
        <w:rPr>
          <w:rStyle w:val="Refdenotaalpie"/>
          <w:sz w:val="20"/>
          <w:szCs w:val="20"/>
        </w:rPr>
        <w:footnoteReference w:id="137"/>
      </w:r>
      <w:r w:rsidRPr="00A234F5">
        <w:rPr>
          <w:sz w:val="20"/>
          <w:szCs w:val="20"/>
        </w:rPr>
        <w:t>.</w:t>
      </w:r>
    </w:p>
    <w:p w14:paraId="4CF5F2B4" w14:textId="58439E74" w:rsidR="004E64A8" w:rsidRPr="004C4CCF" w:rsidRDefault="004E64A8" w:rsidP="004E64A8">
      <w:pPr>
        <w:pStyle w:val="Prrafodelista"/>
        <w:widowControl/>
        <w:autoSpaceDE/>
        <w:autoSpaceDN/>
        <w:spacing w:after="200"/>
        <w:ind w:left="284"/>
        <w:contextualSpacing/>
        <w:rPr>
          <w:sz w:val="20"/>
          <w:szCs w:val="20"/>
        </w:rPr>
      </w:pPr>
      <w:r>
        <w:rPr>
          <w:sz w:val="20"/>
          <w:szCs w:val="20"/>
        </w:rPr>
        <w:t xml:space="preserve">d) </w:t>
      </w:r>
      <w:r w:rsidRPr="00310B86">
        <w:rPr>
          <w:i/>
          <w:sz w:val="20"/>
          <w:szCs w:val="20"/>
        </w:rPr>
        <w:t xml:space="preserve">Obstáculos a la participación de familiares. - </w:t>
      </w:r>
      <w:r w:rsidRPr="00310B86">
        <w:rPr>
          <w:sz w:val="20"/>
          <w:szCs w:val="20"/>
        </w:rPr>
        <w:t>“</w:t>
      </w:r>
      <w:r>
        <w:rPr>
          <w:sz w:val="20"/>
          <w:szCs w:val="20"/>
        </w:rPr>
        <w:t>[L]</w:t>
      </w:r>
      <w:r w:rsidRPr="00310B86">
        <w:rPr>
          <w:sz w:val="20"/>
          <w:szCs w:val="20"/>
        </w:rPr>
        <w:t xml:space="preserve"> as familias de las víctimas de este caso no han tenido un acceso pleno al proceso judicial en cuestión ni un conocimiento oportuno de lo que ocurrió</w:t>
      </w:r>
      <w:r>
        <w:rPr>
          <w:sz w:val="20"/>
          <w:szCs w:val="20"/>
        </w:rPr>
        <w:t xml:space="preserve"> </w:t>
      </w:r>
      <w:r w:rsidRPr="00310B86">
        <w:rPr>
          <w:sz w:val="20"/>
          <w:szCs w:val="20"/>
        </w:rPr>
        <w:t>en el proceso penal hasta el día de hoy</w:t>
      </w:r>
      <w:r>
        <w:rPr>
          <w:sz w:val="20"/>
          <w:szCs w:val="20"/>
        </w:rPr>
        <w:t>”</w:t>
      </w:r>
      <w:r>
        <w:rPr>
          <w:rStyle w:val="Refdenotaalpie"/>
          <w:sz w:val="20"/>
          <w:szCs w:val="20"/>
        </w:rPr>
        <w:footnoteReference w:id="138"/>
      </w:r>
      <w:r>
        <w:rPr>
          <w:sz w:val="20"/>
          <w:szCs w:val="20"/>
        </w:rPr>
        <w:t xml:space="preserve">. </w:t>
      </w:r>
    </w:p>
    <w:p w14:paraId="126CCCBE" w14:textId="77777777" w:rsidR="004E64A8" w:rsidRDefault="004E64A8" w:rsidP="004E64A8">
      <w:pPr>
        <w:pStyle w:val="Prrafodelista"/>
        <w:widowControl/>
        <w:autoSpaceDE/>
        <w:autoSpaceDN/>
        <w:spacing w:after="200"/>
        <w:ind w:left="284"/>
        <w:contextualSpacing/>
        <w:rPr>
          <w:rFonts w:cs="Arial"/>
          <w:b/>
          <w:sz w:val="16"/>
          <w:szCs w:val="16"/>
        </w:rPr>
      </w:pPr>
    </w:p>
    <w:p w14:paraId="72F75755" w14:textId="4D0E9D9E" w:rsidR="004E64A8" w:rsidRPr="004C4CCF" w:rsidRDefault="004E64A8" w:rsidP="004E64A8">
      <w:pPr>
        <w:pStyle w:val="Prrafodelista"/>
        <w:widowControl/>
        <w:numPr>
          <w:ilvl w:val="0"/>
          <w:numId w:val="33"/>
        </w:numPr>
        <w:autoSpaceDE/>
        <w:autoSpaceDN/>
        <w:ind w:left="0" w:firstLine="0"/>
        <w:contextualSpacing/>
        <w:rPr>
          <w:sz w:val="20"/>
          <w:szCs w:val="20"/>
        </w:rPr>
      </w:pPr>
      <w:r w:rsidRPr="004C4CCF">
        <w:rPr>
          <w:sz w:val="20"/>
          <w:szCs w:val="20"/>
        </w:rPr>
        <w:t xml:space="preserve">Por otro lado, los representantes se refirieron a la </w:t>
      </w:r>
      <w:r w:rsidRPr="00E41A5E">
        <w:rPr>
          <w:sz w:val="20"/>
          <w:szCs w:val="20"/>
        </w:rPr>
        <w:t>falta de investigación de otros hechos</w:t>
      </w:r>
      <w:r w:rsidRPr="004C4CCF">
        <w:rPr>
          <w:sz w:val="20"/>
          <w:szCs w:val="20"/>
        </w:rPr>
        <w:t xml:space="preserve">. Señalaron que el Estado no inició investigaciones acerca de las torturas a las que fue sometido Jimmy Guerrero a pesar de tener conocimiento de </w:t>
      </w:r>
      <w:proofErr w:type="gramStart"/>
      <w:r w:rsidRPr="004C4CCF">
        <w:rPr>
          <w:sz w:val="20"/>
          <w:szCs w:val="20"/>
        </w:rPr>
        <w:t>las mismas</w:t>
      </w:r>
      <w:proofErr w:type="gramEnd"/>
      <w:r w:rsidRPr="004C4CCF">
        <w:rPr>
          <w:sz w:val="20"/>
          <w:szCs w:val="20"/>
        </w:rPr>
        <w:t xml:space="preserve">. </w:t>
      </w:r>
      <w:r w:rsidRPr="00294CCA">
        <w:rPr>
          <w:sz w:val="20"/>
          <w:szCs w:val="20"/>
        </w:rPr>
        <w:t xml:space="preserve">Aludieron tanto a la ausencia de investigación </w:t>
      </w:r>
      <w:r w:rsidR="00B66AD3">
        <w:rPr>
          <w:sz w:val="20"/>
          <w:szCs w:val="20"/>
        </w:rPr>
        <w:t xml:space="preserve">de los </w:t>
      </w:r>
      <w:r w:rsidRPr="00294CCA">
        <w:rPr>
          <w:sz w:val="20"/>
          <w:szCs w:val="20"/>
        </w:rPr>
        <w:t>hechos previos al ataque que produjo la muerte del señor Guerrero como a las alegadas torturas contra él en las circunstancias de esa agresión letal. Por otro lado, afirmaron que Venezuela no investigó actos de intimidación, amenaza, allanamiento y detención que fueron denunciados</w:t>
      </w:r>
      <w:r w:rsidRPr="004C4CCF">
        <w:rPr>
          <w:sz w:val="20"/>
          <w:szCs w:val="20"/>
        </w:rPr>
        <w:t xml:space="preserve"> por Jimmy Guerrero en forma previa a su muerte.</w:t>
      </w:r>
    </w:p>
    <w:p w14:paraId="15DE4E91" w14:textId="77777777" w:rsidR="004E64A8" w:rsidRDefault="004E64A8" w:rsidP="004E64A8">
      <w:pPr>
        <w:pStyle w:val="Prrafodelista"/>
        <w:widowControl/>
        <w:autoSpaceDE/>
        <w:autoSpaceDN/>
        <w:spacing w:after="200"/>
        <w:ind w:left="0"/>
        <w:contextualSpacing/>
        <w:rPr>
          <w:sz w:val="20"/>
          <w:szCs w:val="20"/>
        </w:rPr>
      </w:pPr>
    </w:p>
    <w:p w14:paraId="0C78DFBB" w14:textId="77777777" w:rsidR="004E64A8" w:rsidRDefault="004E64A8" w:rsidP="004E64A8">
      <w:pPr>
        <w:pStyle w:val="Prrafodelista"/>
        <w:widowControl/>
        <w:numPr>
          <w:ilvl w:val="0"/>
          <w:numId w:val="33"/>
        </w:numPr>
        <w:autoSpaceDE/>
        <w:autoSpaceDN/>
        <w:spacing w:after="200"/>
        <w:ind w:left="0" w:firstLine="0"/>
        <w:contextualSpacing/>
        <w:rPr>
          <w:sz w:val="20"/>
          <w:szCs w:val="20"/>
        </w:rPr>
      </w:pPr>
      <w:r w:rsidRPr="004C4CCF">
        <w:rPr>
          <w:sz w:val="20"/>
          <w:szCs w:val="20"/>
        </w:rPr>
        <w:t>Los representantes solicitaron a la Corte que declare que el Estado es responsable por la violación de los derechos a la</w:t>
      </w:r>
      <w:r>
        <w:rPr>
          <w:sz w:val="20"/>
          <w:szCs w:val="20"/>
        </w:rPr>
        <w:t>s garantías judiciales y a la</w:t>
      </w:r>
      <w:r w:rsidRPr="004C4CCF">
        <w:rPr>
          <w:sz w:val="20"/>
          <w:szCs w:val="20"/>
        </w:rPr>
        <w:t xml:space="preserve"> protección judicial</w:t>
      </w:r>
      <w:r>
        <w:rPr>
          <w:sz w:val="20"/>
          <w:szCs w:val="20"/>
        </w:rPr>
        <w:t xml:space="preserve"> de Jimmy Guerrero, así como de sus familiares y de los de</w:t>
      </w:r>
      <w:r w:rsidRPr="004C4CCF">
        <w:rPr>
          <w:sz w:val="20"/>
          <w:szCs w:val="20"/>
        </w:rPr>
        <w:t xml:space="preserve"> Ramón Molina</w:t>
      </w:r>
      <w:r>
        <w:rPr>
          <w:sz w:val="20"/>
          <w:szCs w:val="20"/>
        </w:rPr>
        <w:t>. Entendieron que Venezuela violó</w:t>
      </w:r>
      <w:r w:rsidRPr="004C4CCF">
        <w:rPr>
          <w:sz w:val="20"/>
          <w:szCs w:val="20"/>
        </w:rPr>
        <w:t xml:space="preserve"> los artículos 8 y 25 de la C</w:t>
      </w:r>
      <w:r>
        <w:rPr>
          <w:sz w:val="20"/>
          <w:szCs w:val="20"/>
        </w:rPr>
        <w:t>onvención</w:t>
      </w:r>
      <w:r w:rsidRPr="004C4CCF">
        <w:rPr>
          <w:sz w:val="20"/>
          <w:szCs w:val="20"/>
        </w:rPr>
        <w:t>, en relación con el artículo 1.1 de dicho instrumento</w:t>
      </w:r>
      <w:r>
        <w:rPr>
          <w:sz w:val="20"/>
          <w:szCs w:val="20"/>
        </w:rPr>
        <w:t>,</w:t>
      </w:r>
      <w:r w:rsidRPr="004C4CCF">
        <w:rPr>
          <w:sz w:val="20"/>
          <w:szCs w:val="20"/>
        </w:rPr>
        <w:t xml:space="preserve"> </w:t>
      </w:r>
      <w:r>
        <w:rPr>
          <w:sz w:val="20"/>
          <w:szCs w:val="20"/>
        </w:rPr>
        <w:t>así como</w:t>
      </w:r>
      <w:r w:rsidRPr="004C4CCF">
        <w:rPr>
          <w:sz w:val="20"/>
          <w:szCs w:val="20"/>
        </w:rPr>
        <w:t xml:space="preserve"> las obligaciones contenidas en los artículos 1, 6 y 8 de la C</w:t>
      </w:r>
      <w:r>
        <w:rPr>
          <w:sz w:val="20"/>
          <w:szCs w:val="20"/>
        </w:rPr>
        <w:t>IPST,</w:t>
      </w:r>
      <w:r w:rsidRPr="004C4CCF">
        <w:rPr>
          <w:sz w:val="20"/>
          <w:szCs w:val="20"/>
        </w:rPr>
        <w:t xml:space="preserve"> en lo que se refiere a la investigación de actos de tortura</w:t>
      </w:r>
      <w:r>
        <w:rPr>
          <w:sz w:val="20"/>
          <w:szCs w:val="20"/>
        </w:rPr>
        <w:t>, conforme lo expresado (</w:t>
      </w:r>
      <w:r>
        <w:rPr>
          <w:i/>
          <w:sz w:val="20"/>
          <w:szCs w:val="20"/>
        </w:rPr>
        <w:t xml:space="preserve">supra </w:t>
      </w:r>
      <w:r>
        <w:rPr>
          <w:sz w:val="20"/>
          <w:szCs w:val="20"/>
        </w:rPr>
        <w:t>párr. 133)</w:t>
      </w:r>
      <w:r w:rsidRPr="004C4CCF">
        <w:rPr>
          <w:sz w:val="20"/>
          <w:szCs w:val="20"/>
        </w:rPr>
        <w:t xml:space="preserve">. </w:t>
      </w:r>
    </w:p>
    <w:p w14:paraId="142BAE40" w14:textId="77777777" w:rsidR="004E64A8" w:rsidRPr="004C4CCF" w:rsidRDefault="004E64A8" w:rsidP="004E64A8">
      <w:pPr>
        <w:pStyle w:val="Prrafodelista"/>
        <w:rPr>
          <w:sz w:val="20"/>
          <w:szCs w:val="20"/>
        </w:rPr>
      </w:pPr>
    </w:p>
    <w:p w14:paraId="6AC89242" w14:textId="77777777" w:rsidR="004E64A8" w:rsidRPr="004C4CCF" w:rsidRDefault="004E64A8" w:rsidP="004E64A8">
      <w:pPr>
        <w:pStyle w:val="Prrafodelista"/>
        <w:widowControl/>
        <w:numPr>
          <w:ilvl w:val="0"/>
          <w:numId w:val="33"/>
        </w:numPr>
        <w:autoSpaceDE/>
        <w:autoSpaceDN/>
        <w:ind w:left="0" w:firstLine="0"/>
        <w:contextualSpacing/>
        <w:rPr>
          <w:sz w:val="20"/>
          <w:szCs w:val="20"/>
        </w:rPr>
      </w:pPr>
      <w:r w:rsidRPr="004C4CCF">
        <w:rPr>
          <w:sz w:val="20"/>
          <w:szCs w:val="20"/>
        </w:rPr>
        <w:t xml:space="preserve">El </w:t>
      </w:r>
      <w:r w:rsidRPr="004C4CCF">
        <w:rPr>
          <w:b/>
          <w:i/>
          <w:sz w:val="20"/>
          <w:szCs w:val="20"/>
        </w:rPr>
        <w:t>Estado</w:t>
      </w:r>
      <w:r w:rsidRPr="004C4CCF">
        <w:rPr>
          <w:sz w:val="20"/>
          <w:szCs w:val="20"/>
        </w:rPr>
        <w:t xml:space="preserve"> reconoció su responsabilidad internacional respecto de los artículos 8.1 y 25.1 de la Convención Americana, “en los términos” del Informe de Fondo. </w:t>
      </w:r>
      <w:r>
        <w:rPr>
          <w:sz w:val="20"/>
          <w:szCs w:val="20"/>
        </w:rPr>
        <w:t>No aceptó su responsabilidad por la violación a los artículos 1, 6 y 8 de la CIPST (</w:t>
      </w:r>
      <w:r>
        <w:rPr>
          <w:i/>
          <w:sz w:val="20"/>
          <w:szCs w:val="20"/>
        </w:rPr>
        <w:t xml:space="preserve">supra </w:t>
      </w:r>
      <w:r>
        <w:rPr>
          <w:sz w:val="20"/>
          <w:szCs w:val="20"/>
        </w:rPr>
        <w:t xml:space="preserve">nota a pie de página 15). </w:t>
      </w:r>
    </w:p>
    <w:p w14:paraId="2B9FD2FB" w14:textId="77777777" w:rsidR="004E64A8" w:rsidRDefault="004E64A8" w:rsidP="004E64A8">
      <w:pPr>
        <w:rPr>
          <w:sz w:val="20"/>
          <w:szCs w:val="20"/>
        </w:rPr>
      </w:pPr>
    </w:p>
    <w:p w14:paraId="2D6DBB54" w14:textId="77777777" w:rsidR="004E64A8" w:rsidRPr="00625DE0" w:rsidRDefault="004E64A8" w:rsidP="000F2503">
      <w:pPr>
        <w:pStyle w:val="Prrafodelista"/>
        <w:numPr>
          <w:ilvl w:val="0"/>
          <w:numId w:val="18"/>
        </w:numPr>
        <w:ind w:left="284" w:firstLine="0"/>
        <w:outlineLvl w:val="1"/>
        <w:rPr>
          <w:b/>
          <w:i/>
          <w:sz w:val="20"/>
          <w:szCs w:val="20"/>
        </w:rPr>
      </w:pPr>
      <w:bookmarkStart w:id="69" w:name="_Toc73960374"/>
      <w:r>
        <w:rPr>
          <w:b/>
          <w:i/>
          <w:sz w:val="20"/>
          <w:szCs w:val="20"/>
        </w:rPr>
        <w:t>Consideraciones de la Corte</w:t>
      </w:r>
      <w:bookmarkEnd w:id="69"/>
    </w:p>
    <w:p w14:paraId="65B85EAE" w14:textId="77777777" w:rsidR="004E64A8" w:rsidRPr="00B52313" w:rsidRDefault="004E64A8" w:rsidP="004E64A8">
      <w:pPr>
        <w:rPr>
          <w:sz w:val="20"/>
          <w:szCs w:val="20"/>
        </w:rPr>
      </w:pPr>
    </w:p>
    <w:p w14:paraId="6D1518E4" w14:textId="77777777" w:rsidR="004E64A8" w:rsidRDefault="004E64A8" w:rsidP="004E64A8">
      <w:pPr>
        <w:pStyle w:val="Prrafodelista"/>
        <w:widowControl/>
        <w:numPr>
          <w:ilvl w:val="0"/>
          <w:numId w:val="33"/>
        </w:numPr>
        <w:autoSpaceDE/>
        <w:autoSpaceDN/>
        <w:spacing w:after="200"/>
        <w:ind w:left="0" w:firstLine="0"/>
        <w:contextualSpacing/>
        <w:rPr>
          <w:sz w:val="20"/>
          <w:szCs w:val="20"/>
        </w:rPr>
      </w:pPr>
      <w:r>
        <w:rPr>
          <w:sz w:val="20"/>
          <w:szCs w:val="20"/>
        </w:rPr>
        <w:t>La Corte ha expresado, de forma reiterada, que:</w:t>
      </w:r>
    </w:p>
    <w:p w14:paraId="5D68E14E" w14:textId="77777777" w:rsidR="004E64A8" w:rsidRDefault="004E64A8" w:rsidP="004E64A8">
      <w:pPr>
        <w:pStyle w:val="Prrafodelista"/>
        <w:widowControl/>
        <w:autoSpaceDE/>
        <w:autoSpaceDN/>
        <w:spacing w:after="200"/>
        <w:ind w:left="0"/>
        <w:contextualSpacing/>
        <w:rPr>
          <w:sz w:val="20"/>
          <w:szCs w:val="20"/>
        </w:rPr>
      </w:pPr>
    </w:p>
    <w:p w14:paraId="1B985E8E" w14:textId="77777777" w:rsidR="004E64A8" w:rsidRDefault="004E64A8" w:rsidP="004E64A8">
      <w:pPr>
        <w:pStyle w:val="Prrafodelista"/>
        <w:widowControl/>
        <w:autoSpaceDE/>
        <w:autoSpaceDN/>
        <w:spacing w:after="200"/>
        <w:ind w:left="284" w:right="333"/>
        <w:contextualSpacing/>
        <w:rPr>
          <w:sz w:val="16"/>
          <w:szCs w:val="16"/>
        </w:rPr>
      </w:pPr>
      <w:r w:rsidRPr="00AE1565">
        <w:rPr>
          <w:sz w:val="16"/>
          <w:szCs w:val="16"/>
        </w:rPr>
        <w:t>De conformidad con la Convención Americana, los E</w:t>
      </w:r>
      <w:r>
        <w:rPr>
          <w:sz w:val="16"/>
          <w:szCs w:val="16"/>
        </w:rPr>
        <w:t xml:space="preserve">stados Partes están obligados a </w:t>
      </w:r>
      <w:r w:rsidRPr="00AE1565">
        <w:rPr>
          <w:sz w:val="16"/>
          <w:szCs w:val="16"/>
        </w:rPr>
        <w:t>suministrar recursos judiciales efectivos a las víctimas de violaciones a los derechos humanos (artículo 25),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 El derecho de acceso a la justicia debe asegurar, en tiempo razonable, el derecho de las presuntas víctimas o sus familiares a que se haga todo lo necesario para conocer la verdad de lo sucedido e investigar, juzgar y, en su caso, sancionar a los eventuales responsables</w:t>
      </w:r>
      <w:r>
        <w:rPr>
          <w:rStyle w:val="Refdenotaalpie"/>
          <w:sz w:val="16"/>
          <w:szCs w:val="16"/>
        </w:rPr>
        <w:footnoteReference w:id="139"/>
      </w:r>
      <w:r w:rsidRPr="00AE1565">
        <w:rPr>
          <w:sz w:val="16"/>
          <w:szCs w:val="16"/>
        </w:rPr>
        <w:t>.</w:t>
      </w:r>
      <w:r>
        <w:rPr>
          <w:sz w:val="16"/>
          <w:szCs w:val="16"/>
        </w:rPr>
        <w:t xml:space="preserve"> […P]</w:t>
      </w:r>
      <w:r w:rsidRPr="00695BD1">
        <w:rPr>
          <w:sz w:val="16"/>
          <w:szCs w:val="16"/>
        </w:rPr>
        <w:t>ara que una</w:t>
      </w:r>
      <w:r>
        <w:rPr>
          <w:sz w:val="16"/>
          <w:szCs w:val="16"/>
        </w:rPr>
        <w:t xml:space="preserve"> </w:t>
      </w:r>
      <w:r w:rsidRPr="00695BD1">
        <w:rPr>
          <w:sz w:val="16"/>
          <w:szCs w:val="16"/>
        </w:rPr>
        <w:t xml:space="preserve">investigación sea efectiva </w:t>
      </w:r>
      <w:r>
        <w:rPr>
          <w:sz w:val="16"/>
          <w:szCs w:val="16"/>
        </w:rPr>
        <w:t xml:space="preserve">[…] </w:t>
      </w:r>
      <w:r w:rsidRPr="00695BD1">
        <w:rPr>
          <w:sz w:val="16"/>
          <w:szCs w:val="16"/>
        </w:rPr>
        <w:t>debe llevarse a cabo con la debida</w:t>
      </w:r>
      <w:r>
        <w:rPr>
          <w:sz w:val="16"/>
          <w:szCs w:val="16"/>
        </w:rPr>
        <w:t xml:space="preserve"> </w:t>
      </w:r>
      <w:r w:rsidRPr="00695BD1">
        <w:rPr>
          <w:sz w:val="16"/>
          <w:szCs w:val="16"/>
        </w:rPr>
        <w:t>diligencia. En ese sentido, debe evitar omisiones en la recaudación de prueba y en el seguimiento</w:t>
      </w:r>
      <w:r>
        <w:rPr>
          <w:sz w:val="16"/>
          <w:szCs w:val="16"/>
        </w:rPr>
        <w:t xml:space="preserve"> </w:t>
      </w:r>
      <w:r w:rsidRPr="00695BD1">
        <w:rPr>
          <w:sz w:val="16"/>
          <w:szCs w:val="16"/>
        </w:rPr>
        <w:t>de líneas lógicas de investigación</w:t>
      </w:r>
      <w:r>
        <w:rPr>
          <w:rStyle w:val="Refdenotaalpie"/>
          <w:sz w:val="16"/>
          <w:szCs w:val="16"/>
        </w:rPr>
        <w:footnoteReference w:id="140"/>
      </w:r>
    </w:p>
    <w:p w14:paraId="3F7032AC" w14:textId="77777777" w:rsidR="004E64A8" w:rsidRDefault="004E64A8" w:rsidP="004E64A8">
      <w:pPr>
        <w:pStyle w:val="Prrafodelista"/>
        <w:widowControl/>
        <w:autoSpaceDE/>
        <w:autoSpaceDN/>
        <w:spacing w:after="200"/>
        <w:ind w:left="0"/>
        <w:contextualSpacing/>
        <w:rPr>
          <w:sz w:val="20"/>
          <w:szCs w:val="20"/>
        </w:rPr>
      </w:pPr>
    </w:p>
    <w:p w14:paraId="4E54B618" w14:textId="77777777" w:rsidR="004E64A8" w:rsidRDefault="004E64A8" w:rsidP="004E64A8">
      <w:pPr>
        <w:pStyle w:val="Prrafodelista"/>
        <w:widowControl/>
        <w:numPr>
          <w:ilvl w:val="0"/>
          <w:numId w:val="33"/>
        </w:numPr>
        <w:autoSpaceDE/>
        <w:autoSpaceDN/>
        <w:spacing w:after="200"/>
        <w:ind w:left="0" w:firstLine="0"/>
        <w:contextualSpacing/>
        <w:rPr>
          <w:sz w:val="20"/>
          <w:szCs w:val="20"/>
        </w:rPr>
      </w:pPr>
      <w:r>
        <w:rPr>
          <w:sz w:val="20"/>
          <w:szCs w:val="20"/>
        </w:rPr>
        <w:t xml:space="preserve">Con base en las consideraciones generales señaladas, y en otras más específicas que se exponen más adelante, la Corte evaluará, en primer término, la investigación de los hechos que derivaron en las muertes de Jimmy Guerrero y Ramón Molina. En segundo lugar, se referirá a los argumentos presentados sobre la investigación de otros hechos. En tercer término, expresará su conclusión. </w:t>
      </w:r>
    </w:p>
    <w:p w14:paraId="22DA86BF" w14:textId="77777777" w:rsidR="004E64A8" w:rsidRDefault="004E64A8" w:rsidP="004E64A8">
      <w:pPr>
        <w:pStyle w:val="Prrafodelista"/>
        <w:widowControl/>
        <w:autoSpaceDE/>
        <w:autoSpaceDN/>
        <w:spacing w:after="200"/>
        <w:ind w:left="0"/>
        <w:contextualSpacing/>
        <w:rPr>
          <w:sz w:val="20"/>
          <w:szCs w:val="20"/>
        </w:rPr>
      </w:pPr>
    </w:p>
    <w:p w14:paraId="34700090" w14:textId="77777777" w:rsidR="004E64A8" w:rsidRPr="00B52313" w:rsidRDefault="004E64A8" w:rsidP="000F2503">
      <w:pPr>
        <w:pStyle w:val="Prrafodelista"/>
        <w:widowControl/>
        <w:autoSpaceDE/>
        <w:autoSpaceDN/>
        <w:spacing w:after="200"/>
        <w:ind w:left="567"/>
        <w:contextualSpacing/>
        <w:outlineLvl w:val="2"/>
        <w:rPr>
          <w:i/>
          <w:sz w:val="20"/>
          <w:szCs w:val="20"/>
        </w:rPr>
      </w:pPr>
      <w:bookmarkStart w:id="70" w:name="_Toc73960375"/>
      <w:r w:rsidRPr="00B52313">
        <w:rPr>
          <w:i/>
          <w:sz w:val="20"/>
          <w:szCs w:val="20"/>
        </w:rPr>
        <w:lastRenderedPageBreak/>
        <w:t xml:space="preserve">B.1 </w:t>
      </w:r>
      <w:r w:rsidRPr="00043887">
        <w:rPr>
          <w:i/>
          <w:sz w:val="20"/>
          <w:szCs w:val="20"/>
          <w:u w:val="single"/>
        </w:rPr>
        <w:t>Investigación de los hechos que derivaron en las muertes de Jimmy Guerreo y Ramón Molina</w:t>
      </w:r>
      <w:bookmarkEnd w:id="70"/>
    </w:p>
    <w:p w14:paraId="47D27079" w14:textId="77777777" w:rsidR="004E64A8" w:rsidRDefault="004E64A8" w:rsidP="004E64A8">
      <w:pPr>
        <w:pStyle w:val="Prrafodelista"/>
        <w:widowControl/>
        <w:autoSpaceDE/>
        <w:autoSpaceDN/>
        <w:spacing w:after="200"/>
        <w:ind w:left="0"/>
        <w:contextualSpacing/>
        <w:rPr>
          <w:sz w:val="20"/>
          <w:szCs w:val="20"/>
        </w:rPr>
      </w:pPr>
    </w:p>
    <w:p w14:paraId="6F31BBD4" w14:textId="79B421BA" w:rsidR="004E64A8" w:rsidRDefault="004E64A8" w:rsidP="004E64A8">
      <w:pPr>
        <w:pStyle w:val="Prrafodelista"/>
        <w:widowControl/>
        <w:numPr>
          <w:ilvl w:val="0"/>
          <w:numId w:val="33"/>
        </w:numPr>
        <w:autoSpaceDE/>
        <w:autoSpaceDN/>
        <w:spacing w:after="200"/>
        <w:ind w:left="0" w:firstLine="0"/>
        <w:contextualSpacing/>
        <w:rPr>
          <w:sz w:val="20"/>
          <w:szCs w:val="20"/>
        </w:rPr>
      </w:pPr>
      <w:r>
        <w:rPr>
          <w:sz w:val="20"/>
          <w:szCs w:val="20"/>
        </w:rPr>
        <w:t>Este Tribunal advierte que la Comisión y los representantes han sido contestes en sus aseveraciones sobre la falta de seguimiento de líneas lógicas de investigación, las demoras en la actividad probatoria, la pérdida de prueba y la inobservancia de un plazo razonable. El Estado ha reconocido su responsabilidad por ello, en relación con los homicidios de los señores Guerrero y Molina, en los términos señalados por la Comisión en su Informe de Fondo. Lo afirmado por las partes y la Comisión sobre estos tópicos resulta coherente entre sí y con los hechos del caso. En efecto, como surge de su exposición (</w:t>
      </w:r>
      <w:r>
        <w:rPr>
          <w:i/>
          <w:sz w:val="20"/>
          <w:szCs w:val="20"/>
        </w:rPr>
        <w:t xml:space="preserve">supra </w:t>
      </w:r>
      <w:proofErr w:type="spellStart"/>
      <w:r>
        <w:rPr>
          <w:sz w:val="20"/>
          <w:szCs w:val="20"/>
        </w:rPr>
        <w:t>párrs</w:t>
      </w:r>
      <w:proofErr w:type="spellEnd"/>
      <w:r>
        <w:rPr>
          <w:sz w:val="20"/>
          <w:szCs w:val="20"/>
        </w:rPr>
        <w:t>. 76 a 87) los mismos denotan que las actuaciones demoraron más de 14 años, en el curso de los cuales se perdió material probatorio (</w:t>
      </w:r>
      <w:r>
        <w:rPr>
          <w:i/>
          <w:sz w:val="20"/>
          <w:szCs w:val="20"/>
        </w:rPr>
        <w:t xml:space="preserve">supra </w:t>
      </w:r>
      <w:r>
        <w:rPr>
          <w:sz w:val="20"/>
          <w:szCs w:val="20"/>
        </w:rPr>
        <w:t xml:space="preserve">párr. 82 e </w:t>
      </w:r>
      <w:r>
        <w:rPr>
          <w:i/>
          <w:sz w:val="20"/>
          <w:szCs w:val="20"/>
        </w:rPr>
        <w:t xml:space="preserve">infra </w:t>
      </w:r>
      <w:r w:rsidR="00B74836">
        <w:rPr>
          <w:sz w:val="20"/>
          <w:szCs w:val="20"/>
        </w:rPr>
        <w:t>párr. 149),</w:t>
      </w:r>
      <w:r>
        <w:rPr>
          <w:sz w:val="20"/>
          <w:szCs w:val="20"/>
        </w:rPr>
        <w:t xml:space="preserve"> </w:t>
      </w:r>
      <w:r w:rsidR="00B74836">
        <w:rPr>
          <w:sz w:val="20"/>
          <w:szCs w:val="20"/>
        </w:rPr>
        <w:t xml:space="preserve">que </w:t>
      </w:r>
      <w:r>
        <w:rPr>
          <w:sz w:val="20"/>
          <w:szCs w:val="20"/>
        </w:rPr>
        <w:t>en múltiples ocasiones se solicitaron medidas de prueba que no se produjeron, o se hicieron en forma muy demorada (</w:t>
      </w:r>
      <w:r w:rsidRPr="00C04517">
        <w:rPr>
          <w:i/>
          <w:sz w:val="20"/>
          <w:szCs w:val="20"/>
        </w:rPr>
        <w:t>supra</w:t>
      </w:r>
      <w:r>
        <w:rPr>
          <w:sz w:val="20"/>
          <w:szCs w:val="20"/>
        </w:rPr>
        <w:t xml:space="preserve"> párr. 79 e </w:t>
      </w:r>
      <w:r>
        <w:rPr>
          <w:i/>
          <w:sz w:val="20"/>
          <w:szCs w:val="20"/>
        </w:rPr>
        <w:t>infra</w:t>
      </w:r>
      <w:r>
        <w:rPr>
          <w:sz w:val="20"/>
          <w:szCs w:val="20"/>
        </w:rPr>
        <w:t xml:space="preserve"> </w:t>
      </w:r>
      <w:proofErr w:type="spellStart"/>
      <w:r>
        <w:rPr>
          <w:sz w:val="20"/>
          <w:szCs w:val="20"/>
        </w:rPr>
        <w:t>párrs</w:t>
      </w:r>
      <w:proofErr w:type="spellEnd"/>
      <w:r>
        <w:rPr>
          <w:sz w:val="20"/>
          <w:szCs w:val="20"/>
        </w:rPr>
        <w:t>. 147 a 149)</w:t>
      </w:r>
      <w:r>
        <w:rPr>
          <w:rStyle w:val="Refdenotaalpie"/>
          <w:sz w:val="20"/>
          <w:szCs w:val="20"/>
        </w:rPr>
        <w:footnoteReference w:id="141"/>
      </w:r>
      <w:r w:rsidR="00B74836">
        <w:rPr>
          <w:sz w:val="20"/>
          <w:szCs w:val="20"/>
        </w:rPr>
        <w:t>,</w:t>
      </w:r>
      <w:r>
        <w:rPr>
          <w:sz w:val="20"/>
          <w:szCs w:val="20"/>
        </w:rPr>
        <w:t xml:space="preserve"> y </w:t>
      </w:r>
      <w:r w:rsidR="00B74836">
        <w:rPr>
          <w:sz w:val="20"/>
          <w:szCs w:val="20"/>
        </w:rPr>
        <w:t xml:space="preserve">que </w:t>
      </w:r>
      <w:r>
        <w:rPr>
          <w:sz w:val="20"/>
          <w:szCs w:val="20"/>
        </w:rPr>
        <w:t>hubo prolongados per</w:t>
      </w:r>
      <w:r w:rsidR="0055313C">
        <w:rPr>
          <w:sz w:val="20"/>
          <w:szCs w:val="20"/>
        </w:rPr>
        <w:t>í</w:t>
      </w:r>
      <w:r>
        <w:rPr>
          <w:sz w:val="20"/>
          <w:szCs w:val="20"/>
        </w:rPr>
        <w:t>odos de inactividad</w:t>
      </w:r>
      <w:r>
        <w:rPr>
          <w:rStyle w:val="Refdenotaalpie"/>
          <w:sz w:val="20"/>
          <w:szCs w:val="20"/>
        </w:rPr>
        <w:footnoteReference w:id="142"/>
      </w:r>
      <w:r>
        <w:rPr>
          <w:sz w:val="20"/>
          <w:szCs w:val="20"/>
        </w:rPr>
        <w:t xml:space="preserve">. Los procesos no implicaron la determinación de las distintas personas intervinientes en los hechos y de las responsabilidades correspondientes. </w:t>
      </w:r>
    </w:p>
    <w:p w14:paraId="61FFA71B" w14:textId="77777777" w:rsidR="004E64A8" w:rsidRDefault="004E64A8" w:rsidP="004E64A8">
      <w:pPr>
        <w:pStyle w:val="Prrafodelista"/>
        <w:widowControl/>
        <w:autoSpaceDE/>
        <w:autoSpaceDN/>
        <w:spacing w:after="200"/>
        <w:ind w:left="0"/>
        <w:contextualSpacing/>
        <w:rPr>
          <w:sz w:val="20"/>
          <w:szCs w:val="20"/>
        </w:rPr>
      </w:pPr>
    </w:p>
    <w:p w14:paraId="27BA90A6" w14:textId="77777777" w:rsidR="004E64A8" w:rsidRDefault="004E64A8" w:rsidP="004E64A8">
      <w:pPr>
        <w:pStyle w:val="Prrafodelista"/>
        <w:widowControl/>
        <w:numPr>
          <w:ilvl w:val="0"/>
          <w:numId w:val="33"/>
        </w:numPr>
        <w:autoSpaceDE/>
        <w:autoSpaceDN/>
        <w:spacing w:after="200"/>
        <w:ind w:left="0" w:firstLine="0"/>
        <w:contextualSpacing/>
        <w:rPr>
          <w:sz w:val="20"/>
          <w:szCs w:val="20"/>
        </w:rPr>
      </w:pPr>
      <w:r>
        <w:rPr>
          <w:sz w:val="20"/>
          <w:szCs w:val="20"/>
        </w:rPr>
        <w:t xml:space="preserve">Por lo dicho, esta Corte entiende que los aspectos indicados no requieren mayor análisis y que el Estado es responsable por la falta de diligencia debida en la investigación de los hechos que derivaron en las muertes de Jimmy Guerrero y Ramón Molina, así como por la realización de las actuaciones en un plazo irrazonable. </w:t>
      </w:r>
    </w:p>
    <w:p w14:paraId="3B4C01FA" w14:textId="77777777" w:rsidR="004E64A8" w:rsidRPr="00043887" w:rsidRDefault="004E64A8" w:rsidP="004E64A8">
      <w:pPr>
        <w:pStyle w:val="Prrafodelista"/>
        <w:rPr>
          <w:sz w:val="20"/>
          <w:szCs w:val="20"/>
        </w:rPr>
      </w:pPr>
    </w:p>
    <w:p w14:paraId="6DF4AD35" w14:textId="77777777" w:rsidR="004E64A8" w:rsidRDefault="004E64A8" w:rsidP="004E64A8">
      <w:pPr>
        <w:pStyle w:val="Prrafodelista"/>
        <w:widowControl/>
        <w:numPr>
          <w:ilvl w:val="0"/>
          <w:numId w:val="33"/>
        </w:numPr>
        <w:autoSpaceDE/>
        <w:autoSpaceDN/>
        <w:spacing w:after="200"/>
        <w:ind w:left="0" w:firstLine="0"/>
        <w:contextualSpacing/>
        <w:rPr>
          <w:sz w:val="20"/>
          <w:szCs w:val="20"/>
        </w:rPr>
      </w:pPr>
      <w:r>
        <w:rPr>
          <w:sz w:val="20"/>
          <w:szCs w:val="20"/>
        </w:rPr>
        <w:t xml:space="preserve">Este Tribunal, a continuación, analizará argumentos sobre la investigación de los hechos aludidos presentados por los representantes que resultan adicionales a los indicados por la Comisión. Tendrá en cuenta que el Estado no controvirtió las aseveraciones de los representantes. A continuación, entonces, se hará referencia a los alegatos sobre: a) falta de independencia e imparcialidad del CICPC; b) </w:t>
      </w:r>
      <w:r w:rsidRPr="00294CCA">
        <w:rPr>
          <w:sz w:val="20"/>
          <w:szCs w:val="20"/>
        </w:rPr>
        <w:t xml:space="preserve">obstaculizaciones a la investigación y a la participación de </w:t>
      </w:r>
      <w:r w:rsidRPr="00A5438A">
        <w:rPr>
          <w:sz w:val="20"/>
          <w:szCs w:val="20"/>
        </w:rPr>
        <w:t>familiares, y c) la</w:t>
      </w:r>
      <w:r w:rsidRPr="00294CCA">
        <w:rPr>
          <w:sz w:val="20"/>
          <w:szCs w:val="20"/>
        </w:rPr>
        <w:t xml:space="preserve"> falta de investigación de posibles actos de tortura cometidos contra Jimmy Guerrero en el marco de la agresión que culminó con su muerte.</w:t>
      </w:r>
      <w:r>
        <w:rPr>
          <w:sz w:val="20"/>
          <w:szCs w:val="20"/>
        </w:rPr>
        <w:t xml:space="preserve"> </w:t>
      </w:r>
    </w:p>
    <w:p w14:paraId="5A5DEA2A" w14:textId="77777777" w:rsidR="00055A87" w:rsidRDefault="00055A87" w:rsidP="004E64A8">
      <w:pPr>
        <w:pStyle w:val="Prrafodelista"/>
        <w:rPr>
          <w:sz w:val="20"/>
          <w:szCs w:val="20"/>
        </w:rPr>
      </w:pPr>
    </w:p>
    <w:p w14:paraId="17973039" w14:textId="77777777" w:rsidR="004E64A8" w:rsidRPr="00752DFE" w:rsidRDefault="004E64A8" w:rsidP="004E64A8">
      <w:pPr>
        <w:pStyle w:val="Prrafodelista"/>
        <w:ind w:left="851"/>
        <w:outlineLvl w:val="3"/>
        <w:rPr>
          <w:i/>
          <w:sz w:val="20"/>
          <w:szCs w:val="20"/>
        </w:rPr>
      </w:pPr>
      <w:bookmarkStart w:id="71" w:name="_Toc73960376"/>
      <w:r w:rsidRPr="00752DFE">
        <w:rPr>
          <w:i/>
          <w:sz w:val="20"/>
          <w:szCs w:val="20"/>
        </w:rPr>
        <w:t>B.1.1 Aducida falta de independencia e imparcialidad</w:t>
      </w:r>
      <w:bookmarkEnd w:id="71"/>
      <w:r w:rsidRPr="00752DFE">
        <w:rPr>
          <w:i/>
          <w:sz w:val="20"/>
          <w:szCs w:val="20"/>
        </w:rPr>
        <w:t xml:space="preserve"> </w:t>
      </w:r>
    </w:p>
    <w:p w14:paraId="1E21C6B0" w14:textId="77777777" w:rsidR="004E64A8" w:rsidRPr="007A408B" w:rsidRDefault="004E64A8" w:rsidP="004E64A8">
      <w:pPr>
        <w:rPr>
          <w:sz w:val="20"/>
          <w:szCs w:val="20"/>
        </w:rPr>
      </w:pPr>
    </w:p>
    <w:p w14:paraId="3821CCD3" w14:textId="580AA305" w:rsidR="004E64A8" w:rsidRPr="00832B79" w:rsidRDefault="004E64A8" w:rsidP="004B76B8">
      <w:pPr>
        <w:pStyle w:val="Prrafodelista"/>
        <w:widowControl/>
        <w:numPr>
          <w:ilvl w:val="0"/>
          <w:numId w:val="33"/>
        </w:numPr>
        <w:autoSpaceDE/>
        <w:autoSpaceDN/>
        <w:spacing w:after="200"/>
        <w:ind w:left="0" w:firstLine="0"/>
        <w:contextualSpacing/>
      </w:pPr>
      <w:r w:rsidRPr="00752DFE">
        <w:rPr>
          <w:sz w:val="20"/>
          <w:szCs w:val="20"/>
        </w:rPr>
        <w:t xml:space="preserve">La Corte ha señalado que </w:t>
      </w:r>
      <w:r>
        <w:rPr>
          <w:sz w:val="20"/>
          <w:szCs w:val="20"/>
        </w:rPr>
        <w:t xml:space="preserve">los criterios de independencia e </w:t>
      </w:r>
      <w:proofErr w:type="gramStart"/>
      <w:r>
        <w:rPr>
          <w:sz w:val="20"/>
          <w:szCs w:val="20"/>
        </w:rPr>
        <w:t>imparcialidad,</w:t>
      </w:r>
      <w:proofErr w:type="gramEnd"/>
      <w:r>
        <w:rPr>
          <w:sz w:val="20"/>
          <w:szCs w:val="20"/>
        </w:rPr>
        <w:t xml:space="preserve"> </w:t>
      </w:r>
      <w:r w:rsidRPr="00832B79">
        <w:t xml:space="preserve">se </w:t>
      </w:r>
      <w:r w:rsidRPr="004B76B8">
        <w:rPr>
          <w:sz w:val="20"/>
          <w:szCs w:val="20"/>
        </w:rPr>
        <w:t>extienden también a los órganos no judiciales a los que corresponda la investigación previa al proceso judicial, realizada para determinar las circunstancias de una muerte y la existencia de suficientes indicios para interponer una acción penal</w:t>
      </w:r>
      <w:r w:rsidRPr="004B76B8">
        <w:rPr>
          <w:rStyle w:val="Refdenotaalpie"/>
          <w:sz w:val="20"/>
          <w:szCs w:val="20"/>
        </w:rPr>
        <w:footnoteReference w:id="143"/>
      </w:r>
      <w:r w:rsidR="004B76B8">
        <w:rPr>
          <w:sz w:val="20"/>
          <w:szCs w:val="20"/>
        </w:rPr>
        <w:t>.</w:t>
      </w:r>
    </w:p>
    <w:p w14:paraId="03BB85BC" w14:textId="77777777" w:rsidR="004E64A8" w:rsidRDefault="004E64A8" w:rsidP="004E64A8">
      <w:pPr>
        <w:pStyle w:val="Prrafodelista"/>
        <w:widowControl/>
        <w:autoSpaceDE/>
        <w:autoSpaceDN/>
        <w:spacing w:after="200"/>
        <w:ind w:left="0"/>
        <w:contextualSpacing/>
        <w:rPr>
          <w:sz w:val="20"/>
          <w:szCs w:val="20"/>
        </w:rPr>
      </w:pPr>
    </w:p>
    <w:p w14:paraId="4C0630EC" w14:textId="01735F3E" w:rsidR="004E64A8" w:rsidRDefault="004E64A8" w:rsidP="004E64A8">
      <w:pPr>
        <w:pStyle w:val="Prrafodelista"/>
        <w:widowControl/>
        <w:numPr>
          <w:ilvl w:val="0"/>
          <w:numId w:val="33"/>
        </w:numPr>
        <w:autoSpaceDE/>
        <w:autoSpaceDN/>
        <w:spacing w:after="200"/>
        <w:ind w:left="0" w:firstLine="0"/>
        <w:contextualSpacing/>
        <w:rPr>
          <w:sz w:val="20"/>
          <w:szCs w:val="20"/>
        </w:rPr>
      </w:pPr>
      <w:r>
        <w:rPr>
          <w:sz w:val="20"/>
          <w:szCs w:val="20"/>
        </w:rPr>
        <w:t xml:space="preserve">Asimismo, en un caso anterior sobre Venezuela, relativo también a una ejecución extrajudicial por personal policial, </w:t>
      </w:r>
      <w:r w:rsidR="007356FB">
        <w:rPr>
          <w:sz w:val="20"/>
          <w:szCs w:val="20"/>
        </w:rPr>
        <w:t xml:space="preserve">este Tribunal </w:t>
      </w:r>
      <w:r>
        <w:rPr>
          <w:sz w:val="20"/>
          <w:szCs w:val="20"/>
        </w:rPr>
        <w:t>examinó</w:t>
      </w:r>
      <w:r w:rsidRPr="00752DFE">
        <w:rPr>
          <w:sz w:val="20"/>
          <w:szCs w:val="20"/>
        </w:rPr>
        <w:t xml:space="preserve"> circunstancias respecto de las que entendió pertinente advertir, en relación con el requisito de “independencia”, que “varias diligencias de investigación fueron realizadas por la misma institución a la que pertenecían los funcionarios policiales que estaban bajo investigación”, y que ello “pudo haber influido en varias irregularidades constatadas en el proceso de investigación”</w:t>
      </w:r>
      <w:r>
        <w:rPr>
          <w:rStyle w:val="Refdenotaalpie"/>
          <w:sz w:val="20"/>
          <w:szCs w:val="20"/>
        </w:rPr>
        <w:footnoteReference w:id="144"/>
      </w:r>
      <w:r w:rsidRPr="00752DFE">
        <w:rPr>
          <w:sz w:val="20"/>
          <w:szCs w:val="20"/>
        </w:rPr>
        <w:t xml:space="preserve">. </w:t>
      </w:r>
    </w:p>
    <w:p w14:paraId="248FAD58" w14:textId="77777777" w:rsidR="004E64A8" w:rsidRDefault="004E64A8" w:rsidP="004E64A8">
      <w:pPr>
        <w:pStyle w:val="Prrafodelista"/>
        <w:widowControl/>
        <w:autoSpaceDE/>
        <w:autoSpaceDN/>
        <w:spacing w:after="200"/>
        <w:ind w:left="0"/>
        <w:contextualSpacing/>
        <w:rPr>
          <w:sz w:val="20"/>
          <w:szCs w:val="20"/>
        </w:rPr>
      </w:pPr>
    </w:p>
    <w:p w14:paraId="36F9DA1E" w14:textId="73D8DAFB" w:rsidR="004E64A8" w:rsidRDefault="004E64A8" w:rsidP="004E64A8">
      <w:pPr>
        <w:pStyle w:val="Prrafodelista"/>
        <w:widowControl/>
        <w:numPr>
          <w:ilvl w:val="0"/>
          <w:numId w:val="33"/>
        </w:numPr>
        <w:autoSpaceDE/>
        <w:autoSpaceDN/>
        <w:spacing w:after="200"/>
        <w:ind w:left="0" w:firstLine="0"/>
        <w:contextualSpacing/>
        <w:rPr>
          <w:sz w:val="20"/>
          <w:szCs w:val="20"/>
        </w:rPr>
      </w:pPr>
      <w:r>
        <w:rPr>
          <w:sz w:val="20"/>
          <w:szCs w:val="20"/>
        </w:rPr>
        <w:t>El presente caso guarda similitud con el anterior. En ese sentido, consta en los hechos que</w:t>
      </w:r>
      <w:r w:rsidR="008A133E">
        <w:rPr>
          <w:sz w:val="20"/>
          <w:szCs w:val="20"/>
        </w:rPr>
        <w:t>,</w:t>
      </w:r>
      <w:r>
        <w:rPr>
          <w:sz w:val="20"/>
          <w:szCs w:val="20"/>
        </w:rPr>
        <w:t xml:space="preserve"> en diversas denuncias presentadas por Jimmy Guerrero antes de su muerte</w:t>
      </w:r>
      <w:r w:rsidR="008A133E">
        <w:rPr>
          <w:sz w:val="20"/>
          <w:szCs w:val="20"/>
        </w:rPr>
        <w:t>,</w:t>
      </w:r>
      <w:r>
        <w:rPr>
          <w:sz w:val="20"/>
          <w:szCs w:val="20"/>
        </w:rPr>
        <w:t xml:space="preserve"> </w:t>
      </w:r>
      <w:r w:rsidR="008A133E">
        <w:rPr>
          <w:sz w:val="20"/>
          <w:szCs w:val="20"/>
        </w:rPr>
        <w:t xml:space="preserve">se </w:t>
      </w:r>
      <w:r>
        <w:rPr>
          <w:sz w:val="20"/>
          <w:szCs w:val="20"/>
        </w:rPr>
        <w:t>señal</w:t>
      </w:r>
      <w:r w:rsidR="008A133E">
        <w:rPr>
          <w:sz w:val="20"/>
          <w:szCs w:val="20"/>
        </w:rPr>
        <w:t>ó</w:t>
      </w:r>
      <w:r>
        <w:rPr>
          <w:sz w:val="20"/>
          <w:szCs w:val="20"/>
        </w:rPr>
        <w:t xml:space="preserve"> a personal del CICPC como responsable de actos en su contra. Si bien no se ha identificado a los responsables de la muerte de los señores Guerrero y Molina, ha quedado establecido que se trató de personal policial y, dados los antecedentes aludidos, no puede descartarse </w:t>
      </w:r>
      <w:r w:rsidRPr="00620163">
        <w:rPr>
          <w:i/>
          <w:sz w:val="20"/>
          <w:szCs w:val="20"/>
        </w:rPr>
        <w:t>a priori</w:t>
      </w:r>
      <w:r>
        <w:rPr>
          <w:sz w:val="20"/>
          <w:szCs w:val="20"/>
        </w:rPr>
        <w:t xml:space="preserve"> que hubiera funcionarios del CICPC involucrados. De este modo, varias diligencias de investigación fueron realizadas por un organismo cuyo personal pudo haber tenido participación en los hechos. La Corte entiende, entonces, que lo expresado pudo haber influido en irregularidades en la investigación, lo que es un elemento que perjudica la debida diligencia en las actuaciones</w:t>
      </w:r>
      <w:r>
        <w:rPr>
          <w:rStyle w:val="Refdenotaalpie"/>
          <w:sz w:val="20"/>
          <w:szCs w:val="20"/>
        </w:rPr>
        <w:footnoteReference w:id="145"/>
      </w:r>
      <w:r>
        <w:rPr>
          <w:sz w:val="20"/>
          <w:szCs w:val="20"/>
        </w:rPr>
        <w:t xml:space="preserve">. </w:t>
      </w:r>
    </w:p>
    <w:p w14:paraId="2A317FE0" w14:textId="77777777" w:rsidR="004E64A8" w:rsidRPr="00447756" w:rsidRDefault="004E64A8" w:rsidP="004E64A8">
      <w:pPr>
        <w:pStyle w:val="Prrafodelista"/>
        <w:rPr>
          <w:sz w:val="20"/>
          <w:szCs w:val="20"/>
        </w:rPr>
      </w:pPr>
    </w:p>
    <w:p w14:paraId="48037916" w14:textId="184D8323" w:rsidR="004E64A8" w:rsidRDefault="004E64A8" w:rsidP="004E64A8">
      <w:pPr>
        <w:pStyle w:val="Prrafodelista"/>
        <w:widowControl/>
        <w:numPr>
          <w:ilvl w:val="0"/>
          <w:numId w:val="33"/>
        </w:numPr>
        <w:autoSpaceDE/>
        <w:autoSpaceDN/>
        <w:spacing w:after="200"/>
        <w:ind w:left="0" w:firstLine="0"/>
        <w:contextualSpacing/>
        <w:rPr>
          <w:sz w:val="20"/>
          <w:szCs w:val="20"/>
        </w:rPr>
      </w:pPr>
      <w:r>
        <w:rPr>
          <w:sz w:val="20"/>
          <w:szCs w:val="20"/>
        </w:rPr>
        <w:t xml:space="preserve">Habiendo quedado establecido lo anterior, este Tribunal entiende innecesario adentrarse en la evaluación de los argumentos </w:t>
      </w:r>
      <w:r w:rsidR="0027270D">
        <w:rPr>
          <w:sz w:val="20"/>
          <w:szCs w:val="20"/>
        </w:rPr>
        <w:t xml:space="preserve">adicionales </w:t>
      </w:r>
      <w:r>
        <w:rPr>
          <w:sz w:val="20"/>
          <w:szCs w:val="20"/>
        </w:rPr>
        <w:t xml:space="preserve">de los representantes sobre falta de imparcialidad. </w:t>
      </w:r>
    </w:p>
    <w:p w14:paraId="48490A1F" w14:textId="77777777" w:rsidR="004E64A8" w:rsidRDefault="004E64A8" w:rsidP="004E64A8">
      <w:pPr>
        <w:pStyle w:val="Prrafodelista"/>
        <w:rPr>
          <w:sz w:val="20"/>
          <w:szCs w:val="20"/>
        </w:rPr>
      </w:pPr>
    </w:p>
    <w:p w14:paraId="35162BE4" w14:textId="77777777" w:rsidR="004E64A8" w:rsidRPr="00752DFE" w:rsidRDefault="004E64A8" w:rsidP="004E64A8">
      <w:pPr>
        <w:pStyle w:val="Prrafodelista"/>
        <w:ind w:left="851"/>
        <w:outlineLvl w:val="3"/>
        <w:rPr>
          <w:i/>
          <w:sz w:val="20"/>
          <w:szCs w:val="20"/>
        </w:rPr>
      </w:pPr>
      <w:bookmarkStart w:id="72" w:name="_Toc73960377"/>
      <w:r w:rsidRPr="00752DFE">
        <w:rPr>
          <w:i/>
          <w:sz w:val="20"/>
          <w:szCs w:val="20"/>
        </w:rPr>
        <w:t>B</w:t>
      </w:r>
      <w:r>
        <w:rPr>
          <w:i/>
          <w:sz w:val="20"/>
          <w:szCs w:val="20"/>
        </w:rPr>
        <w:t>.1.2</w:t>
      </w:r>
      <w:r w:rsidRPr="00752DFE">
        <w:rPr>
          <w:i/>
          <w:sz w:val="20"/>
          <w:szCs w:val="20"/>
        </w:rPr>
        <w:t xml:space="preserve"> </w:t>
      </w:r>
      <w:r>
        <w:rPr>
          <w:i/>
          <w:sz w:val="20"/>
          <w:szCs w:val="20"/>
        </w:rPr>
        <w:t>Obstaculizaciones a la investigación y a la participación de familiares</w:t>
      </w:r>
      <w:bookmarkEnd w:id="72"/>
      <w:r w:rsidRPr="00752DFE">
        <w:rPr>
          <w:i/>
          <w:sz w:val="20"/>
          <w:szCs w:val="20"/>
        </w:rPr>
        <w:t xml:space="preserve"> </w:t>
      </w:r>
    </w:p>
    <w:p w14:paraId="2E9EA17F" w14:textId="77777777" w:rsidR="004E64A8" w:rsidRPr="00BF6C9E" w:rsidRDefault="004E64A8" w:rsidP="004E64A8">
      <w:pPr>
        <w:rPr>
          <w:sz w:val="20"/>
          <w:szCs w:val="20"/>
        </w:rPr>
      </w:pPr>
    </w:p>
    <w:p w14:paraId="16A64C8C" w14:textId="77777777" w:rsidR="004E64A8" w:rsidRPr="00B378B5" w:rsidRDefault="004E64A8" w:rsidP="004E64A8">
      <w:pPr>
        <w:pStyle w:val="Prrafodelista"/>
        <w:widowControl/>
        <w:numPr>
          <w:ilvl w:val="0"/>
          <w:numId w:val="33"/>
        </w:numPr>
        <w:autoSpaceDE/>
        <w:autoSpaceDN/>
        <w:ind w:left="0" w:firstLine="0"/>
        <w:contextualSpacing/>
        <w:rPr>
          <w:i/>
          <w:sz w:val="20"/>
          <w:szCs w:val="20"/>
        </w:rPr>
      </w:pPr>
      <w:r>
        <w:rPr>
          <w:sz w:val="20"/>
          <w:szCs w:val="20"/>
        </w:rPr>
        <w:t>La Corte ha expresado que “</w:t>
      </w:r>
      <w:r w:rsidRPr="00B378B5">
        <w:rPr>
          <w:rFonts w:eastAsiaTheme="minorHAnsi" w:cs="ArialMT"/>
          <w:sz w:val="20"/>
          <w:szCs w:val="20"/>
          <w:lang w:val="es-CR"/>
        </w:rPr>
        <w:t>toda autoridad estatal debe cooperar, apoyar o coadyuvar, en el ámbito</w:t>
      </w:r>
      <w:r>
        <w:rPr>
          <w:i/>
          <w:sz w:val="20"/>
          <w:szCs w:val="20"/>
        </w:rPr>
        <w:t xml:space="preserve"> </w:t>
      </w:r>
      <w:r w:rsidRPr="00B378B5">
        <w:rPr>
          <w:rFonts w:eastAsiaTheme="minorHAnsi" w:cs="Arial"/>
          <w:sz w:val="20"/>
          <w:szCs w:val="20"/>
          <w:lang w:val="es-CR"/>
        </w:rPr>
        <w:t>de su competencia, a la debida investigación de los hechos, de conformidad con las</w:t>
      </w:r>
      <w:r>
        <w:rPr>
          <w:rFonts w:eastAsiaTheme="minorHAnsi" w:cs="Arial"/>
          <w:sz w:val="20"/>
          <w:szCs w:val="20"/>
          <w:lang w:val="es-CR"/>
        </w:rPr>
        <w:t xml:space="preserve"> </w:t>
      </w:r>
      <w:r w:rsidRPr="00B378B5">
        <w:rPr>
          <w:rFonts w:eastAsiaTheme="minorHAnsi" w:cs="Arial"/>
          <w:sz w:val="20"/>
          <w:szCs w:val="20"/>
          <w:lang w:val="es-CR"/>
        </w:rPr>
        <w:t>obligaciones derivadas de los artículos 8.1 y 25.1 de la Convención Americana, en</w:t>
      </w:r>
      <w:r>
        <w:rPr>
          <w:rFonts w:eastAsiaTheme="minorHAnsi" w:cs="Arial"/>
          <w:sz w:val="20"/>
          <w:szCs w:val="20"/>
          <w:lang w:val="es-CR"/>
        </w:rPr>
        <w:t xml:space="preserve"> </w:t>
      </w:r>
      <w:r w:rsidRPr="00B378B5">
        <w:rPr>
          <w:rFonts w:eastAsiaTheme="minorHAnsi" w:cs="ArialMT"/>
          <w:sz w:val="20"/>
          <w:szCs w:val="20"/>
          <w:lang w:val="es-CR"/>
        </w:rPr>
        <w:t>relación con el artículo 1.1 de la misma</w:t>
      </w:r>
      <w:r>
        <w:rPr>
          <w:rFonts w:eastAsiaTheme="minorHAnsi" w:cs="ArialMT"/>
          <w:sz w:val="20"/>
          <w:szCs w:val="20"/>
          <w:lang w:val="es-CR"/>
        </w:rPr>
        <w:t>”</w:t>
      </w:r>
      <w:r>
        <w:rPr>
          <w:rStyle w:val="Refdenotaalpie"/>
          <w:rFonts w:eastAsiaTheme="minorHAnsi" w:cs="ArialMT"/>
          <w:sz w:val="20"/>
          <w:szCs w:val="20"/>
          <w:lang w:val="es-CR"/>
        </w:rPr>
        <w:footnoteReference w:id="146"/>
      </w:r>
      <w:r>
        <w:rPr>
          <w:rFonts w:eastAsiaTheme="minorHAnsi" w:cs="ArialMT"/>
          <w:sz w:val="20"/>
          <w:szCs w:val="20"/>
          <w:lang w:val="es-CR"/>
        </w:rPr>
        <w:t xml:space="preserve">. </w:t>
      </w:r>
    </w:p>
    <w:p w14:paraId="04D34E4F" w14:textId="77777777" w:rsidR="004E64A8" w:rsidRDefault="004E64A8" w:rsidP="004E64A8">
      <w:pPr>
        <w:pStyle w:val="Prrafodelista"/>
        <w:widowControl/>
        <w:autoSpaceDE/>
        <w:autoSpaceDN/>
        <w:ind w:left="0"/>
        <w:contextualSpacing/>
        <w:rPr>
          <w:i/>
          <w:sz w:val="20"/>
          <w:szCs w:val="20"/>
        </w:rPr>
      </w:pPr>
    </w:p>
    <w:p w14:paraId="432B5520" w14:textId="77777777" w:rsidR="004E64A8" w:rsidRDefault="004E64A8" w:rsidP="004E64A8">
      <w:pPr>
        <w:pStyle w:val="Prrafodelista"/>
        <w:widowControl/>
        <w:numPr>
          <w:ilvl w:val="0"/>
          <w:numId w:val="33"/>
        </w:numPr>
        <w:autoSpaceDE/>
        <w:autoSpaceDN/>
        <w:ind w:left="0" w:firstLine="0"/>
        <w:contextualSpacing/>
        <w:rPr>
          <w:i/>
          <w:sz w:val="20"/>
          <w:szCs w:val="20"/>
        </w:rPr>
      </w:pPr>
      <w:r>
        <w:rPr>
          <w:sz w:val="20"/>
          <w:szCs w:val="20"/>
        </w:rPr>
        <w:t xml:space="preserve">También ha señalado este Tribunal que </w:t>
      </w:r>
      <w:r w:rsidRPr="00B378B5">
        <w:rPr>
          <w:sz w:val="20"/>
          <w:szCs w:val="20"/>
        </w:rPr>
        <w:t>“[d]</w:t>
      </w:r>
      <w:proofErr w:type="spellStart"/>
      <w:r w:rsidRPr="00B378B5">
        <w:rPr>
          <w:sz w:val="20"/>
          <w:szCs w:val="20"/>
        </w:rPr>
        <w:t>urante</w:t>
      </w:r>
      <w:proofErr w:type="spellEnd"/>
      <w:r w:rsidRPr="00B378B5">
        <w:rPr>
          <w:sz w:val="20"/>
          <w:szCs w:val="20"/>
        </w:rPr>
        <w:t xml:space="preserve"> el proceso de investigación y el trámite judicial, las víctimas de violaciones de derechos humanos o sus familiares, deben tener amplias oportunidades para participar y ser escuchados”</w:t>
      </w:r>
      <w:r w:rsidRPr="00A3644D">
        <w:rPr>
          <w:rStyle w:val="Refdenotaalpie"/>
          <w:sz w:val="20"/>
          <w:szCs w:val="20"/>
        </w:rPr>
        <w:footnoteReference w:id="147"/>
      </w:r>
      <w:r w:rsidRPr="00B378B5">
        <w:rPr>
          <w:sz w:val="20"/>
          <w:szCs w:val="20"/>
        </w:rPr>
        <w:t xml:space="preserve">. Además, “para garantizar un debido proceso, </w:t>
      </w:r>
      <w:r>
        <w:rPr>
          <w:sz w:val="20"/>
          <w:szCs w:val="20"/>
        </w:rPr>
        <w:t xml:space="preserve">el Estado </w:t>
      </w:r>
      <w:r w:rsidRPr="00B378B5">
        <w:rPr>
          <w:sz w:val="20"/>
          <w:szCs w:val="20"/>
        </w:rPr>
        <w:t xml:space="preserve">debe facilitar todos los medios necesarios para proteger a los operadores de justicia, investigadores, testigos y familiares de las víctimas </w:t>
      </w:r>
      <w:r w:rsidRPr="00B378B5">
        <w:rPr>
          <w:sz w:val="20"/>
          <w:szCs w:val="20"/>
        </w:rPr>
        <w:lastRenderedPageBreak/>
        <w:t>de hostigamientos y amenazas que tengan como finalidad entorpecer el proceso</w:t>
      </w:r>
      <w:r>
        <w:rPr>
          <w:sz w:val="20"/>
          <w:szCs w:val="20"/>
        </w:rPr>
        <w:t>,</w:t>
      </w:r>
      <w:r w:rsidRPr="00B378B5">
        <w:rPr>
          <w:sz w:val="20"/>
          <w:szCs w:val="20"/>
        </w:rPr>
        <w:t xml:space="preserve"> evitar el esclarecimiento de los hechos </w:t>
      </w:r>
      <w:r>
        <w:rPr>
          <w:sz w:val="20"/>
          <w:szCs w:val="20"/>
        </w:rPr>
        <w:t>o</w:t>
      </w:r>
      <w:r w:rsidRPr="00B378B5">
        <w:rPr>
          <w:sz w:val="20"/>
          <w:szCs w:val="20"/>
        </w:rPr>
        <w:t xml:space="preserve"> encubrir a los responsables de </w:t>
      </w:r>
      <w:proofErr w:type="gramStart"/>
      <w:r w:rsidRPr="00B378B5">
        <w:rPr>
          <w:sz w:val="20"/>
          <w:szCs w:val="20"/>
        </w:rPr>
        <w:t>los mismos</w:t>
      </w:r>
      <w:proofErr w:type="gramEnd"/>
      <w:r w:rsidRPr="00B378B5">
        <w:rPr>
          <w:sz w:val="20"/>
          <w:szCs w:val="20"/>
        </w:rPr>
        <w:t>”</w:t>
      </w:r>
      <w:r>
        <w:rPr>
          <w:rStyle w:val="Refdenotaalpie"/>
          <w:sz w:val="20"/>
          <w:szCs w:val="20"/>
        </w:rPr>
        <w:footnoteReference w:id="148"/>
      </w:r>
      <w:r w:rsidRPr="00B378B5">
        <w:rPr>
          <w:sz w:val="20"/>
          <w:szCs w:val="20"/>
        </w:rPr>
        <w:t>.</w:t>
      </w:r>
    </w:p>
    <w:p w14:paraId="18EA4954" w14:textId="77777777" w:rsidR="004E64A8" w:rsidRPr="004E64A8" w:rsidRDefault="004E64A8" w:rsidP="004E64A8">
      <w:pPr>
        <w:pStyle w:val="Prrafodelista"/>
        <w:rPr>
          <w:sz w:val="20"/>
          <w:szCs w:val="20"/>
        </w:rPr>
      </w:pPr>
    </w:p>
    <w:p w14:paraId="7C0F7A06" w14:textId="16D880B9" w:rsidR="004E64A8" w:rsidRPr="004E64A8" w:rsidRDefault="004E64A8" w:rsidP="004E64A8">
      <w:pPr>
        <w:pStyle w:val="Prrafodelista"/>
        <w:widowControl/>
        <w:numPr>
          <w:ilvl w:val="0"/>
          <w:numId w:val="33"/>
        </w:numPr>
        <w:autoSpaceDE/>
        <w:autoSpaceDN/>
        <w:ind w:left="0" w:firstLine="0"/>
        <w:contextualSpacing/>
        <w:rPr>
          <w:i/>
          <w:sz w:val="20"/>
          <w:szCs w:val="20"/>
        </w:rPr>
      </w:pPr>
      <w:r w:rsidRPr="004E64A8">
        <w:rPr>
          <w:sz w:val="20"/>
          <w:szCs w:val="20"/>
        </w:rPr>
        <w:t>En el caso, la Corte, como lo ha hecho la Comisión</w:t>
      </w:r>
      <w:r w:rsidRPr="00C03007">
        <w:rPr>
          <w:rStyle w:val="Refdenotaalpie"/>
          <w:sz w:val="20"/>
          <w:szCs w:val="20"/>
        </w:rPr>
        <w:footnoteReference w:id="149"/>
      </w:r>
      <w:r w:rsidRPr="004E64A8">
        <w:rPr>
          <w:sz w:val="20"/>
          <w:szCs w:val="20"/>
        </w:rPr>
        <w:t>, nota que a lo largo de la investigación el CICPC solicitó, en distintas oportunidades en 2003, 2004 y 2005</w:t>
      </w:r>
      <w:r w:rsidR="007356FB">
        <w:rPr>
          <w:sz w:val="20"/>
          <w:szCs w:val="20"/>
        </w:rPr>
        <w:t>,</w:t>
      </w:r>
      <w:r w:rsidRPr="004E64A8">
        <w:rPr>
          <w:sz w:val="20"/>
          <w:szCs w:val="20"/>
        </w:rPr>
        <w:t xml:space="preserve"> diversos documentos para determinar la conexión del crimen cometido con agentes policiales. Así, con esta finalidad, solicitó varias veces a la Policía el envío de información y documentación, tales como copia del “libro de novedades del parque de armas” y listas de funcionarios de guardia y sus ubicaciones, correspondientes al momento de los hechos. También solicitaron información la Fiscalía 6</w:t>
      </w:r>
      <w:r w:rsidR="007356FB">
        <w:rPr>
          <w:sz w:val="20"/>
          <w:szCs w:val="20"/>
        </w:rPr>
        <w:t>,</w:t>
      </w:r>
      <w:r w:rsidRPr="004E64A8">
        <w:rPr>
          <w:sz w:val="20"/>
          <w:szCs w:val="20"/>
        </w:rPr>
        <w:t xml:space="preserve"> en 2004 y 2005, y la Fiscalía 17 en 2008 (</w:t>
      </w:r>
      <w:r w:rsidRPr="004E64A8">
        <w:rPr>
          <w:i/>
          <w:sz w:val="20"/>
          <w:szCs w:val="20"/>
        </w:rPr>
        <w:t xml:space="preserve">supra </w:t>
      </w:r>
      <w:r w:rsidRPr="004E64A8">
        <w:rPr>
          <w:sz w:val="20"/>
          <w:szCs w:val="20"/>
        </w:rPr>
        <w:t>párr. 80) y 2014</w:t>
      </w:r>
      <w:r w:rsidRPr="00F55065">
        <w:rPr>
          <w:rStyle w:val="Refdenotaalpie"/>
          <w:sz w:val="20"/>
          <w:szCs w:val="20"/>
        </w:rPr>
        <w:footnoteReference w:id="150"/>
      </w:r>
      <w:r w:rsidRPr="004E64A8">
        <w:rPr>
          <w:sz w:val="20"/>
          <w:szCs w:val="20"/>
        </w:rPr>
        <w:t>. Dichos pedidos no tuvieron respuesta. En 2014 la Policía informó que en 2010 se habían dañado documentos correspondientes a 2003 (</w:t>
      </w:r>
      <w:r w:rsidRPr="004E64A8">
        <w:rPr>
          <w:i/>
          <w:sz w:val="20"/>
          <w:szCs w:val="20"/>
        </w:rPr>
        <w:t xml:space="preserve">supra </w:t>
      </w:r>
      <w:r w:rsidRPr="004E64A8">
        <w:rPr>
          <w:sz w:val="20"/>
          <w:szCs w:val="20"/>
        </w:rPr>
        <w:t>párr. 82)</w:t>
      </w:r>
      <w:r w:rsidRPr="00C03007">
        <w:rPr>
          <w:rStyle w:val="Refdenotaalpie"/>
          <w:sz w:val="20"/>
          <w:szCs w:val="20"/>
        </w:rPr>
        <w:footnoteReference w:id="151"/>
      </w:r>
      <w:r w:rsidRPr="004E64A8">
        <w:rPr>
          <w:sz w:val="20"/>
          <w:szCs w:val="20"/>
        </w:rPr>
        <w:t xml:space="preserve">. </w:t>
      </w:r>
    </w:p>
    <w:p w14:paraId="78C92F76" w14:textId="77777777" w:rsidR="004E64A8" w:rsidRPr="00F55065" w:rsidRDefault="004E64A8" w:rsidP="004E64A8">
      <w:pPr>
        <w:pStyle w:val="Prrafodelista"/>
        <w:rPr>
          <w:sz w:val="20"/>
          <w:szCs w:val="20"/>
          <w:highlight w:val="yellow"/>
        </w:rPr>
      </w:pPr>
    </w:p>
    <w:p w14:paraId="592EC8A9" w14:textId="153C1C88" w:rsidR="004E64A8" w:rsidRPr="004E64A8" w:rsidRDefault="004E64A8" w:rsidP="004E64A8">
      <w:pPr>
        <w:pStyle w:val="Prrafodelista"/>
        <w:widowControl/>
        <w:numPr>
          <w:ilvl w:val="0"/>
          <w:numId w:val="33"/>
        </w:numPr>
        <w:autoSpaceDE/>
        <w:autoSpaceDN/>
        <w:spacing w:after="200"/>
        <w:ind w:left="0" w:firstLine="0"/>
        <w:contextualSpacing/>
        <w:rPr>
          <w:sz w:val="20"/>
          <w:szCs w:val="20"/>
        </w:rPr>
      </w:pPr>
      <w:r w:rsidRPr="004E64A8">
        <w:rPr>
          <w:sz w:val="20"/>
          <w:szCs w:val="20"/>
        </w:rPr>
        <w:t xml:space="preserve">Aunado a lo anterior, el 1 de abril de 2003 el CICPC ordenó la práctica de ciertas diligencias: “levantamiento planímetro”, trayectoria balística e </w:t>
      </w:r>
      <w:proofErr w:type="spellStart"/>
      <w:r w:rsidRPr="004E64A8">
        <w:rPr>
          <w:sz w:val="20"/>
          <w:szCs w:val="20"/>
        </w:rPr>
        <w:t>intraorgánica</w:t>
      </w:r>
      <w:proofErr w:type="spellEnd"/>
      <w:r w:rsidRPr="004E64A8">
        <w:rPr>
          <w:sz w:val="20"/>
          <w:szCs w:val="20"/>
        </w:rPr>
        <w:t>, y el 3 diciembre del mismo año se dispuso la realización de una experticia de comparación balística. La segunda y la tercera de las medidas indicadas se realizaron recién en mayo de 2006</w:t>
      </w:r>
      <w:r w:rsidRPr="004E64A8">
        <w:rPr>
          <w:rStyle w:val="Refdenotaalpie"/>
          <w:sz w:val="20"/>
          <w:szCs w:val="20"/>
        </w:rPr>
        <w:footnoteReference w:id="152"/>
      </w:r>
      <w:r w:rsidRPr="004E64A8">
        <w:rPr>
          <w:sz w:val="20"/>
          <w:szCs w:val="20"/>
        </w:rPr>
        <w:t>, y no consta que la otra se efectuara, pese a reiterados requerimientos</w:t>
      </w:r>
      <w:r w:rsidRPr="004E64A8">
        <w:rPr>
          <w:rStyle w:val="Refdenotaalpie"/>
          <w:sz w:val="20"/>
          <w:szCs w:val="20"/>
        </w:rPr>
        <w:footnoteReference w:id="153"/>
      </w:r>
      <w:r w:rsidRPr="004E64A8">
        <w:rPr>
          <w:sz w:val="20"/>
          <w:szCs w:val="20"/>
        </w:rPr>
        <w:t xml:space="preserve">. </w:t>
      </w:r>
      <w:r w:rsidRPr="004E64A8">
        <w:rPr>
          <w:sz w:val="20"/>
          <w:szCs w:val="20"/>
        </w:rPr>
        <w:lastRenderedPageBreak/>
        <w:t>Además, en enero 2005 la Fiscalía 6 dispuso ubicar testigos y otras diligencias, y ello se solicitó al CICPC de nuevo, con carácter “urgente”, en noviembre de ese año</w:t>
      </w:r>
      <w:r w:rsidRPr="004E64A8">
        <w:rPr>
          <w:rStyle w:val="Refdenotaalpie"/>
          <w:sz w:val="20"/>
          <w:szCs w:val="20"/>
        </w:rPr>
        <w:footnoteReference w:id="154"/>
      </w:r>
      <w:r w:rsidRPr="004E64A8">
        <w:rPr>
          <w:sz w:val="20"/>
          <w:szCs w:val="20"/>
        </w:rPr>
        <w:t>, así como en 2008</w:t>
      </w:r>
      <w:r w:rsidRPr="004E64A8">
        <w:rPr>
          <w:rStyle w:val="Refdenotaalpie"/>
          <w:sz w:val="20"/>
          <w:szCs w:val="20"/>
        </w:rPr>
        <w:footnoteReference w:id="155"/>
      </w:r>
      <w:r w:rsidRPr="004E64A8">
        <w:rPr>
          <w:sz w:val="20"/>
          <w:szCs w:val="20"/>
        </w:rPr>
        <w:t>, sin que se realizara. Años más tarde, a inicios de 2016, la Fiscalía 17 requirió que se conforme una Comisión para la realización de diversas diligencias, y antes de mediados de ese año se determinó que, para ese momento, no resultaba ya posible la práctica de algunas de ellas</w:t>
      </w:r>
      <w:r w:rsidRPr="004E64A8">
        <w:rPr>
          <w:rStyle w:val="Refdenotaalpie"/>
          <w:sz w:val="20"/>
          <w:szCs w:val="20"/>
        </w:rPr>
        <w:footnoteReference w:id="156"/>
      </w:r>
      <w:r w:rsidR="00D740A1">
        <w:rPr>
          <w:sz w:val="20"/>
          <w:szCs w:val="20"/>
        </w:rPr>
        <w:t>.</w:t>
      </w:r>
      <w:r w:rsidRPr="004E64A8">
        <w:rPr>
          <w:sz w:val="20"/>
          <w:szCs w:val="20"/>
        </w:rPr>
        <w:t xml:space="preserve"> </w:t>
      </w:r>
    </w:p>
    <w:p w14:paraId="72D4F2E7" w14:textId="77777777" w:rsidR="004E64A8" w:rsidRPr="004E64A8" w:rsidRDefault="004E64A8" w:rsidP="004E64A8">
      <w:pPr>
        <w:pStyle w:val="Prrafodelista"/>
        <w:rPr>
          <w:sz w:val="20"/>
          <w:szCs w:val="20"/>
        </w:rPr>
      </w:pPr>
    </w:p>
    <w:p w14:paraId="6E777D41" w14:textId="1D1CB115" w:rsidR="004E64A8" w:rsidRPr="004E64A8" w:rsidRDefault="004E64A8" w:rsidP="004E64A8">
      <w:pPr>
        <w:pStyle w:val="Prrafodelista"/>
        <w:widowControl/>
        <w:numPr>
          <w:ilvl w:val="0"/>
          <w:numId w:val="33"/>
        </w:numPr>
        <w:autoSpaceDE/>
        <w:autoSpaceDN/>
        <w:ind w:left="0" w:firstLine="0"/>
        <w:contextualSpacing/>
        <w:rPr>
          <w:sz w:val="20"/>
          <w:szCs w:val="20"/>
        </w:rPr>
      </w:pPr>
      <w:r w:rsidRPr="004E64A8">
        <w:rPr>
          <w:sz w:val="20"/>
          <w:szCs w:val="20"/>
        </w:rPr>
        <w:t>Por lo expuesto, resulta claro que las autoridades a cargo de la investigación</w:t>
      </w:r>
      <w:r w:rsidR="007356FB">
        <w:rPr>
          <w:sz w:val="20"/>
          <w:szCs w:val="20"/>
        </w:rPr>
        <w:t>,</w:t>
      </w:r>
      <w:r w:rsidRPr="004E64A8">
        <w:rPr>
          <w:sz w:val="20"/>
          <w:szCs w:val="20"/>
        </w:rPr>
        <w:t xml:space="preserve"> en diversas oportunidades a lo largo de cerca de 13 años, entre 2003 y 2016, dispusieron la producción de diversas diligencias de prueba y reiteraron solicitudes para que se realicen, sin que, en su mayoría, se efectuaran</w:t>
      </w:r>
      <w:r w:rsidRPr="004E64A8">
        <w:rPr>
          <w:rStyle w:val="Refdenotaalpie"/>
          <w:sz w:val="20"/>
          <w:szCs w:val="20"/>
        </w:rPr>
        <w:footnoteReference w:id="157"/>
      </w:r>
      <w:r w:rsidRPr="004E64A8">
        <w:rPr>
          <w:sz w:val="20"/>
          <w:szCs w:val="20"/>
        </w:rPr>
        <w:t xml:space="preserve">. Por el contrario, algunos documentos se perdieron y la ejecución de algunas medidas de prueba devino imposible. La Corte entiende que la falta de implementación oportuna de acciones requeridas, o su excesiva demora, por parte de la Policía y del CICPC, según el caso, constituyeron conductas que conllevaron la obstaculización o el entorpecimiento de la investigación. </w:t>
      </w:r>
    </w:p>
    <w:p w14:paraId="790D11D5" w14:textId="77777777" w:rsidR="004E64A8" w:rsidRPr="004E64A8" w:rsidRDefault="004E64A8" w:rsidP="004E64A8">
      <w:pPr>
        <w:rPr>
          <w:sz w:val="20"/>
          <w:szCs w:val="20"/>
        </w:rPr>
      </w:pPr>
    </w:p>
    <w:p w14:paraId="057215E3" w14:textId="77777777" w:rsidR="004E64A8" w:rsidRPr="004E64A8" w:rsidRDefault="004E64A8" w:rsidP="004E64A8">
      <w:pPr>
        <w:pStyle w:val="Prrafodelista"/>
        <w:widowControl/>
        <w:numPr>
          <w:ilvl w:val="0"/>
          <w:numId w:val="33"/>
        </w:numPr>
        <w:autoSpaceDE/>
        <w:autoSpaceDN/>
        <w:ind w:left="0" w:firstLine="0"/>
        <w:contextualSpacing/>
        <w:rPr>
          <w:sz w:val="20"/>
          <w:szCs w:val="20"/>
        </w:rPr>
      </w:pPr>
      <w:r w:rsidRPr="004E64A8">
        <w:rPr>
          <w:sz w:val="20"/>
          <w:szCs w:val="20"/>
        </w:rPr>
        <w:t>Por otra parte, hubo múltiples solicitudes a las autoridades, de parte de la familia de Jimmy Guerrero, formuladas por su hermano Jean Carlos, para acceder a información sobre diversas actuaciones, que no consta que fueran satisfechas</w:t>
      </w:r>
      <w:r w:rsidRPr="004E64A8">
        <w:rPr>
          <w:rStyle w:val="Refdenotaalpie"/>
          <w:sz w:val="20"/>
          <w:szCs w:val="20"/>
        </w:rPr>
        <w:footnoteReference w:id="158"/>
      </w:r>
      <w:r w:rsidRPr="004E64A8">
        <w:rPr>
          <w:sz w:val="20"/>
          <w:szCs w:val="20"/>
        </w:rPr>
        <w:t xml:space="preserve">. </w:t>
      </w:r>
    </w:p>
    <w:p w14:paraId="04BE6289" w14:textId="77777777" w:rsidR="004E64A8" w:rsidRPr="004E64A8" w:rsidRDefault="004E64A8" w:rsidP="004E64A8">
      <w:pPr>
        <w:pStyle w:val="Prrafodelista"/>
        <w:rPr>
          <w:sz w:val="20"/>
          <w:szCs w:val="20"/>
        </w:rPr>
      </w:pPr>
    </w:p>
    <w:p w14:paraId="16D6D6AC" w14:textId="7340A60A" w:rsidR="004E64A8" w:rsidRPr="004B76B8" w:rsidRDefault="004E64A8" w:rsidP="004E64A8">
      <w:pPr>
        <w:pStyle w:val="Prrafodelista"/>
        <w:widowControl/>
        <w:numPr>
          <w:ilvl w:val="0"/>
          <w:numId w:val="33"/>
        </w:numPr>
        <w:autoSpaceDE/>
        <w:autoSpaceDN/>
        <w:spacing w:after="200"/>
        <w:ind w:left="0" w:firstLine="0"/>
        <w:contextualSpacing/>
        <w:rPr>
          <w:sz w:val="20"/>
          <w:szCs w:val="20"/>
        </w:rPr>
      </w:pPr>
      <w:r w:rsidRPr="004E64A8">
        <w:rPr>
          <w:sz w:val="20"/>
          <w:szCs w:val="20"/>
        </w:rPr>
        <w:t xml:space="preserve">Además, el 16 de julio de 2005 Jean Carlos Guerrero, junto con un grupo de otros familiares de presuntas ejecuciones extrajudiciales del Estado Falcón, denunció ante la </w:t>
      </w:r>
      <w:r w:rsidRPr="004E64A8">
        <w:rPr>
          <w:sz w:val="20"/>
          <w:szCs w:val="20"/>
        </w:rPr>
        <w:lastRenderedPageBreak/>
        <w:t>prensa que él y sus familiares habían sido amenazados</w:t>
      </w:r>
      <w:r w:rsidRPr="004E64A8">
        <w:rPr>
          <w:rStyle w:val="Refdenotaalpie"/>
          <w:sz w:val="20"/>
          <w:szCs w:val="20"/>
        </w:rPr>
        <w:footnoteReference w:id="159"/>
      </w:r>
      <w:r w:rsidRPr="004E64A8">
        <w:rPr>
          <w:sz w:val="20"/>
          <w:szCs w:val="20"/>
        </w:rPr>
        <w:t xml:space="preserve">, y los representantes señalaron que </w:t>
      </w:r>
      <w:r w:rsidRPr="004E64A8">
        <w:rPr>
          <w:rFonts w:cs="Arial"/>
          <w:sz w:val="20"/>
          <w:szCs w:val="20"/>
          <w:lang w:val="es-CR"/>
        </w:rPr>
        <w:t xml:space="preserve">“Franklin Guerrero [fue] amenazado y constantemente perseguido por presuntos funcionarios policiales, quienes lo […] </w:t>
      </w:r>
      <w:proofErr w:type="spellStart"/>
      <w:r w:rsidRPr="004E64A8">
        <w:rPr>
          <w:rFonts w:cs="Arial"/>
          <w:sz w:val="20"/>
          <w:szCs w:val="20"/>
          <w:lang w:val="es-CR"/>
        </w:rPr>
        <w:t>det</w:t>
      </w:r>
      <w:proofErr w:type="spellEnd"/>
      <w:r w:rsidRPr="004E64A8">
        <w:rPr>
          <w:rFonts w:cs="Arial"/>
          <w:sz w:val="20"/>
          <w:szCs w:val="20"/>
          <w:lang w:val="es-CR"/>
        </w:rPr>
        <w:t>[</w:t>
      </w:r>
      <w:proofErr w:type="spellStart"/>
      <w:r w:rsidRPr="004E64A8">
        <w:rPr>
          <w:rFonts w:cs="Arial"/>
          <w:sz w:val="20"/>
          <w:szCs w:val="20"/>
          <w:lang w:val="es-CR"/>
        </w:rPr>
        <w:t>uvieron</w:t>
      </w:r>
      <w:proofErr w:type="spellEnd"/>
      <w:r w:rsidRPr="004E64A8">
        <w:rPr>
          <w:rFonts w:cs="Arial"/>
          <w:sz w:val="20"/>
          <w:szCs w:val="20"/>
          <w:lang w:val="es-CR"/>
        </w:rPr>
        <w:t xml:space="preserve">] y </w:t>
      </w:r>
      <w:proofErr w:type="spellStart"/>
      <w:r w:rsidRPr="004E64A8">
        <w:rPr>
          <w:rFonts w:cs="Arial"/>
          <w:sz w:val="20"/>
          <w:szCs w:val="20"/>
          <w:lang w:val="es-CR"/>
        </w:rPr>
        <w:t>someti</w:t>
      </w:r>
      <w:proofErr w:type="spellEnd"/>
      <w:r w:rsidRPr="004E64A8">
        <w:rPr>
          <w:rFonts w:cs="Arial"/>
          <w:sz w:val="20"/>
          <w:szCs w:val="20"/>
          <w:lang w:val="es-CR"/>
        </w:rPr>
        <w:t>[</w:t>
      </w:r>
      <w:proofErr w:type="spellStart"/>
      <w:r w:rsidRPr="004E64A8">
        <w:rPr>
          <w:rFonts w:cs="Arial"/>
          <w:sz w:val="20"/>
          <w:szCs w:val="20"/>
          <w:lang w:val="es-CR"/>
        </w:rPr>
        <w:t>eron</w:t>
      </w:r>
      <w:proofErr w:type="spellEnd"/>
      <w:r w:rsidRPr="004E64A8">
        <w:rPr>
          <w:rFonts w:cs="Arial"/>
          <w:sz w:val="20"/>
          <w:szCs w:val="20"/>
          <w:lang w:val="es-CR"/>
        </w:rPr>
        <w:t>] a interrogatorio sin justificación, advirtiéndole en diversas oportunidades que no siguiera con las averiguaciones”</w:t>
      </w:r>
      <w:r w:rsidRPr="004E64A8">
        <w:rPr>
          <w:rStyle w:val="Refdenotaalpie"/>
          <w:rFonts w:cs="Arial"/>
          <w:sz w:val="20"/>
          <w:szCs w:val="20"/>
          <w:lang w:val="es-CR"/>
        </w:rPr>
        <w:footnoteReference w:id="160"/>
      </w:r>
      <w:r w:rsidRPr="004E64A8">
        <w:rPr>
          <w:rFonts w:cs="Arial"/>
          <w:sz w:val="20"/>
          <w:szCs w:val="20"/>
          <w:lang w:val="es-CR"/>
        </w:rPr>
        <w:t>. Esto no fue controvertido por el Estado.</w:t>
      </w:r>
      <w:r w:rsidRPr="004E64A8">
        <w:rPr>
          <w:rFonts w:ascii="Arial" w:hAnsi="Arial" w:cs="Arial"/>
          <w:sz w:val="16"/>
          <w:szCs w:val="16"/>
          <w:lang w:val="es-CR"/>
        </w:rPr>
        <w:t xml:space="preserve"> </w:t>
      </w:r>
      <w:r w:rsidRPr="004E64A8">
        <w:rPr>
          <w:rFonts w:cs="Arial"/>
          <w:sz w:val="20"/>
          <w:szCs w:val="20"/>
          <w:lang w:val="es-CR"/>
        </w:rPr>
        <w:t>En su declaración oral ante la Corte, Jean Carlos Guerrero indicó que</w:t>
      </w:r>
      <w:r w:rsidR="00910B2F">
        <w:rPr>
          <w:rFonts w:cs="Arial"/>
          <w:sz w:val="20"/>
          <w:szCs w:val="20"/>
          <w:lang w:val="es-CR"/>
        </w:rPr>
        <w:t>,</w:t>
      </w:r>
      <w:r w:rsidRPr="004E64A8">
        <w:rPr>
          <w:rFonts w:cs="Arial"/>
          <w:sz w:val="20"/>
          <w:szCs w:val="20"/>
          <w:lang w:val="es-CR"/>
        </w:rPr>
        <w:t xml:space="preserve"> luego de la muerte de su hermano</w:t>
      </w:r>
      <w:r w:rsidR="00910B2F">
        <w:rPr>
          <w:rFonts w:cs="Arial"/>
          <w:sz w:val="20"/>
          <w:szCs w:val="20"/>
          <w:lang w:val="es-CR"/>
        </w:rPr>
        <w:t xml:space="preserve"> y</w:t>
      </w:r>
      <w:r w:rsidRPr="004E64A8">
        <w:rPr>
          <w:rFonts w:cs="Arial"/>
          <w:sz w:val="20"/>
          <w:szCs w:val="20"/>
          <w:lang w:val="es-CR"/>
        </w:rPr>
        <w:t xml:space="preserve"> a partir de que sus familiares comenzaron “procesos de denuncia”, fueron hostigados por actos tales como el “</w:t>
      </w:r>
      <w:proofErr w:type="spellStart"/>
      <w:r w:rsidRPr="004E64A8">
        <w:rPr>
          <w:rFonts w:cs="Arial"/>
          <w:sz w:val="20"/>
          <w:szCs w:val="20"/>
          <w:lang w:val="es-CR"/>
        </w:rPr>
        <w:t>asedi</w:t>
      </w:r>
      <w:proofErr w:type="spellEnd"/>
      <w:r w:rsidRPr="004E64A8">
        <w:rPr>
          <w:rFonts w:cs="Arial"/>
          <w:sz w:val="20"/>
          <w:szCs w:val="20"/>
          <w:lang w:val="es-CR"/>
        </w:rPr>
        <w:t>[o]” policial de la casa familiar y amenazas de muerte. El declarante señaló que estos actos fueron puestos en conocimiento del Ministerio Público, y que éste</w:t>
      </w:r>
      <w:r w:rsidR="007356FB">
        <w:rPr>
          <w:rFonts w:cs="Arial"/>
          <w:sz w:val="20"/>
          <w:szCs w:val="20"/>
          <w:lang w:val="es-CR"/>
        </w:rPr>
        <w:t>,</w:t>
      </w:r>
      <w:r w:rsidRPr="004E64A8">
        <w:rPr>
          <w:rFonts w:cs="Arial"/>
          <w:sz w:val="20"/>
          <w:szCs w:val="20"/>
          <w:lang w:val="es-CR"/>
        </w:rPr>
        <w:t xml:space="preserve"> “en un momento”</w:t>
      </w:r>
      <w:r w:rsidR="007356FB">
        <w:rPr>
          <w:rFonts w:cs="Arial"/>
          <w:sz w:val="20"/>
          <w:szCs w:val="20"/>
          <w:lang w:val="es-CR"/>
        </w:rPr>
        <w:t>,</w:t>
      </w:r>
      <w:r w:rsidRPr="004E64A8">
        <w:rPr>
          <w:rFonts w:cs="Arial"/>
          <w:sz w:val="20"/>
          <w:szCs w:val="20"/>
          <w:lang w:val="es-CR"/>
        </w:rPr>
        <w:t xml:space="preserve"> </w:t>
      </w:r>
      <w:r w:rsidRPr="004B76B8">
        <w:rPr>
          <w:rFonts w:cs="Arial"/>
          <w:sz w:val="20"/>
          <w:szCs w:val="20"/>
          <w:lang w:val="es-CR"/>
        </w:rPr>
        <w:t xml:space="preserve">solicitó medidas de protección para </w:t>
      </w:r>
      <w:r w:rsidR="004B76B8" w:rsidRPr="004B76B8">
        <w:rPr>
          <w:rFonts w:cs="Arial"/>
          <w:sz w:val="20"/>
          <w:szCs w:val="20"/>
          <w:lang w:val="es-CR"/>
        </w:rPr>
        <w:t>Jean Carlos Guerrero</w:t>
      </w:r>
      <w:r w:rsidRPr="004B76B8">
        <w:rPr>
          <w:rFonts w:cs="Arial"/>
          <w:sz w:val="20"/>
          <w:szCs w:val="20"/>
          <w:lang w:val="es-CR"/>
        </w:rPr>
        <w:t xml:space="preserve">, las que no se implementaron. </w:t>
      </w:r>
      <w:r w:rsidR="004B76B8" w:rsidRPr="004B76B8">
        <w:rPr>
          <w:rFonts w:cs="Arial"/>
          <w:sz w:val="20"/>
          <w:szCs w:val="20"/>
          <w:lang w:val="es-CR"/>
        </w:rPr>
        <w:t>Jean Carlos Guerrero i</w:t>
      </w:r>
      <w:r w:rsidRPr="004B76B8">
        <w:rPr>
          <w:rFonts w:cs="Arial"/>
          <w:sz w:val="20"/>
          <w:szCs w:val="20"/>
          <w:lang w:val="es-CR"/>
        </w:rPr>
        <w:t>ndicó también que</w:t>
      </w:r>
      <w:r w:rsidR="00CF7FC0">
        <w:rPr>
          <w:rFonts w:cs="Arial"/>
          <w:sz w:val="20"/>
          <w:szCs w:val="20"/>
          <w:lang w:val="es-CR"/>
        </w:rPr>
        <w:t>,</w:t>
      </w:r>
      <w:r w:rsidRPr="004B76B8">
        <w:rPr>
          <w:rFonts w:cs="Arial"/>
          <w:sz w:val="20"/>
          <w:szCs w:val="20"/>
          <w:lang w:val="es-CR"/>
        </w:rPr>
        <w:t xml:space="preserve"> por amenazas en su contra</w:t>
      </w:r>
      <w:r w:rsidR="00CF7FC0">
        <w:rPr>
          <w:rFonts w:cs="Arial"/>
          <w:sz w:val="20"/>
          <w:szCs w:val="20"/>
          <w:lang w:val="es-CR"/>
        </w:rPr>
        <w:t>,</w:t>
      </w:r>
      <w:r w:rsidRPr="004B76B8">
        <w:rPr>
          <w:rFonts w:cs="Arial"/>
          <w:sz w:val="20"/>
          <w:szCs w:val="20"/>
          <w:lang w:val="es-CR"/>
        </w:rPr>
        <w:t xml:space="preserve"> se fue de Venezuela.</w:t>
      </w:r>
    </w:p>
    <w:p w14:paraId="4AF6411A" w14:textId="77777777" w:rsidR="004E64A8" w:rsidRPr="008F0723" w:rsidRDefault="004E64A8" w:rsidP="004E64A8">
      <w:pPr>
        <w:pStyle w:val="Prrafodelista"/>
        <w:rPr>
          <w:rFonts w:ascii="Arial" w:hAnsi="Arial" w:cs="Arial"/>
          <w:sz w:val="16"/>
          <w:szCs w:val="16"/>
          <w:lang w:val="es-CR"/>
        </w:rPr>
      </w:pPr>
    </w:p>
    <w:p w14:paraId="642C5A42" w14:textId="28122218" w:rsidR="004E64A8" w:rsidRDefault="004E64A8" w:rsidP="004E64A8">
      <w:pPr>
        <w:pStyle w:val="Prrafodelista"/>
        <w:widowControl/>
        <w:numPr>
          <w:ilvl w:val="0"/>
          <w:numId w:val="33"/>
        </w:numPr>
        <w:autoSpaceDE/>
        <w:autoSpaceDN/>
        <w:spacing w:after="200"/>
        <w:ind w:left="0" w:firstLine="0"/>
        <w:contextualSpacing/>
        <w:rPr>
          <w:sz w:val="20"/>
          <w:szCs w:val="20"/>
        </w:rPr>
      </w:pPr>
      <w:r w:rsidRPr="008F0723">
        <w:rPr>
          <w:rFonts w:cs="Arial"/>
          <w:sz w:val="20"/>
          <w:szCs w:val="20"/>
          <w:lang w:val="es-CR"/>
        </w:rPr>
        <w:t xml:space="preserve">La Corte entiende que la negativa de las autoridades a cargo de las actuaciones a brindar información a familiares de las víctimas de un hecho ilícito, así como la circunstancia de que </w:t>
      </w:r>
      <w:r w:rsidR="00832B79">
        <w:rPr>
          <w:rFonts w:cs="Arial"/>
          <w:sz w:val="20"/>
          <w:szCs w:val="20"/>
          <w:lang w:val="es-CR"/>
        </w:rPr>
        <w:t xml:space="preserve">fueran objeto de </w:t>
      </w:r>
      <w:r w:rsidRPr="008F0723">
        <w:rPr>
          <w:rFonts w:cs="Arial"/>
          <w:sz w:val="20"/>
          <w:szCs w:val="20"/>
          <w:lang w:val="es-CR"/>
        </w:rPr>
        <w:t xml:space="preserve">amenazas, resultan obstaculizaciones a la participación de tales personas en los procesos internos, que no solo redundan en una lesión a sus derechos en el marco de </w:t>
      </w:r>
      <w:proofErr w:type="gramStart"/>
      <w:r w:rsidRPr="008F0723">
        <w:rPr>
          <w:rFonts w:cs="Arial"/>
          <w:sz w:val="20"/>
          <w:szCs w:val="20"/>
          <w:lang w:val="es-CR"/>
        </w:rPr>
        <w:t>los mismos</w:t>
      </w:r>
      <w:proofErr w:type="gramEnd"/>
      <w:r w:rsidRPr="008F0723">
        <w:rPr>
          <w:rFonts w:cs="Arial"/>
          <w:sz w:val="20"/>
          <w:szCs w:val="20"/>
          <w:lang w:val="es-CR"/>
        </w:rPr>
        <w:t>, sino también en un perjuicio a las posibilidades de su efectividad.</w:t>
      </w:r>
    </w:p>
    <w:p w14:paraId="148F91B0" w14:textId="77777777" w:rsidR="004E64A8" w:rsidRPr="008F0723" w:rsidRDefault="004E64A8" w:rsidP="004E64A8">
      <w:pPr>
        <w:pStyle w:val="Prrafodelista"/>
        <w:rPr>
          <w:sz w:val="20"/>
          <w:szCs w:val="20"/>
        </w:rPr>
      </w:pPr>
    </w:p>
    <w:p w14:paraId="62D4BC24" w14:textId="77777777" w:rsidR="004E64A8" w:rsidRPr="008F0723" w:rsidRDefault="004E64A8" w:rsidP="004E64A8">
      <w:pPr>
        <w:pStyle w:val="Prrafodelista"/>
        <w:widowControl/>
        <w:numPr>
          <w:ilvl w:val="0"/>
          <w:numId w:val="33"/>
        </w:numPr>
        <w:autoSpaceDE/>
        <w:autoSpaceDN/>
        <w:spacing w:after="200"/>
        <w:ind w:left="0" w:firstLine="0"/>
        <w:contextualSpacing/>
        <w:rPr>
          <w:sz w:val="20"/>
          <w:szCs w:val="20"/>
        </w:rPr>
      </w:pPr>
      <w:r>
        <w:rPr>
          <w:sz w:val="20"/>
          <w:szCs w:val="20"/>
        </w:rPr>
        <w:t>Como consecuencia de todo lo manifestado en los párrafos precedentes, este Tribunal considera que e</w:t>
      </w:r>
      <w:r w:rsidRPr="008F0723">
        <w:rPr>
          <w:sz w:val="20"/>
          <w:szCs w:val="20"/>
        </w:rPr>
        <w:t xml:space="preserve">n el caso hubo conductas de dependencias estatales que implicaron un obstáculo al avance de las investigaciones y a la participación de los familiares en el proceso. </w:t>
      </w:r>
    </w:p>
    <w:p w14:paraId="16429B8E" w14:textId="77777777" w:rsidR="004E64A8" w:rsidRDefault="004E64A8" w:rsidP="004E64A8">
      <w:pPr>
        <w:pStyle w:val="Prrafodelista"/>
        <w:rPr>
          <w:sz w:val="20"/>
          <w:szCs w:val="20"/>
        </w:rPr>
      </w:pPr>
    </w:p>
    <w:p w14:paraId="14564E56" w14:textId="77777777" w:rsidR="004E64A8" w:rsidRPr="00542071" w:rsidRDefault="004E64A8" w:rsidP="000F2503">
      <w:pPr>
        <w:pStyle w:val="Prrafodelista"/>
        <w:ind w:left="851"/>
        <w:outlineLvl w:val="3"/>
        <w:rPr>
          <w:i/>
          <w:sz w:val="20"/>
          <w:szCs w:val="20"/>
        </w:rPr>
      </w:pPr>
      <w:bookmarkStart w:id="73" w:name="_Toc73960378"/>
      <w:r w:rsidRPr="00752DFE">
        <w:rPr>
          <w:i/>
          <w:sz w:val="20"/>
          <w:szCs w:val="20"/>
        </w:rPr>
        <w:t>B</w:t>
      </w:r>
      <w:r>
        <w:rPr>
          <w:i/>
          <w:sz w:val="20"/>
          <w:szCs w:val="20"/>
        </w:rPr>
        <w:t>.1.3</w:t>
      </w:r>
      <w:r w:rsidRPr="00752DFE">
        <w:rPr>
          <w:i/>
          <w:sz w:val="20"/>
          <w:szCs w:val="20"/>
        </w:rPr>
        <w:t xml:space="preserve"> </w:t>
      </w:r>
      <w:r>
        <w:rPr>
          <w:i/>
          <w:sz w:val="20"/>
          <w:szCs w:val="20"/>
        </w:rPr>
        <w:t>Falta de investigación de posibles actos de tortura contra Jimmy Guerrer</w:t>
      </w:r>
      <w:r w:rsidRPr="00542071">
        <w:rPr>
          <w:i/>
          <w:sz w:val="20"/>
          <w:szCs w:val="20"/>
        </w:rPr>
        <w:t>o</w:t>
      </w:r>
      <w:bookmarkEnd w:id="73"/>
      <w:r w:rsidRPr="00542071">
        <w:rPr>
          <w:i/>
          <w:sz w:val="20"/>
          <w:szCs w:val="20"/>
        </w:rPr>
        <w:t xml:space="preserve"> </w:t>
      </w:r>
    </w:p>
    <w:p w14:paraId="4E07F21D" w14:textId="77777777" w:rsidR="004E64A8" w:rsidRPr="00230A9F" w:rsidRDefault="004E64A8" w:rsidP="004E64A8">
      <w:pPr>
        <w:rPr>
          <w:sz w:val="20"/>
          <w:szCs w:val="20"/>
        </w:rPr>
      </w:pPr>
    </w:p>
    <w:p w14:paraId="21E01735" w14:textId="77777777" w:rsidR="004E64A8" w:rsidRPr="00294CCA" w:rsidRDefault="004E64A8" w:rsidP="004E64A8">
      <w:pPr>
        <w:pStyle w:val="Prrafodelista"/>
        <w:widowControl/>
        <w:numPr>
          <w:ilvl w:val="0"/>
          <w:numId w:val="33"/>
        </w:numPr>
        <w:autoSpaceDE/>
        <w:autoSpaceDN/>
        <w:ind w:left="0" w:firstLine="0"/>
        <w:contextualSpacing/>
        <w:rPr>
          <w:sz w:val="20"/>
          <w:szCs w:val="20"/>
        </w:rPr>
      </w:pPr>
      <w:r>
        <w:rPr>
          <w:sz w:val="20"/>
          <w:szCs w:val="20"/>
        </w:rPr>
        <w:t xml:space="preserve">La Corte ha señalado que la obligación de garantizar el derecho a la integridad personal implica el deber de investigar </w:t>
      </w:r>
      <w:r w:rsidRPr="00294CCA">
        <w:rPr>
          <w:sz w:val="20"/>
          <w:szCs w:val="20"/>
        </w:rPr>
        <w:t>posibles actos de tortura u otros tratos crueles, inhumanos o degradantes, lo que se ve precisado por los artículos 1, 6 y 8 de la CIPST</w:t>
      </w:r>
      <w:r w:rsidRPr="00294CCA">
        <w:rPr>
          <w:rStyle w:val="Refdenotaalpie"/>
          <w:sz w:val="20"/>
          <w:szCs w:val="20"/>
        </w:rPr>
        <w:footnoteReference w:id="161"/>
      </w:r>
      <w:r w:rsidRPr="00294CCA">
        <w:rPr>
          <w:sz w:val="20"/>
          <w:szCs w:val="20"/>
        </w:rPr>
        <w:t xml:space="preserve">. </w:t>
      </w:r>
      <w:proofErr w:type="gramStart"/>
      <w:r w:rsidRPr="00294CCA">
        <w:rPr>
          <w:sz w:val="20"/>
          <w:szCs w:val="20"/>
        </w:rPr>
        <w:t>De acuerdo a</w:t>
      </w:r>
      <w:proofErr w:type="gramEnd"/>
      <w:r w:rsidRPr="00294CCA">
        <w:rPr>
          <w:sz w:val="20"/>
          <w:szCs w:val="20"/>
        </w:rPr>
        <w:t xml:space="preserve"> la última disposición citada, los Estados, cuando exista denuncia o razón fundada para creer que se ha cometido un acto de tortura en el ámbito de su jurisdicción, garantizarán que sus autoridades procedan de oficio y de inmediato a realizar una investigación e iniciar, cuando corresponda, el respectivo proceso penal</w:t>
      </w:r>
      <w:r w:rsidRPr="00294CCA">
        <w:rPr>
          <w:rStyle w:val="Refdenotaalpie"/>
          <w:sz w:val="20"/>
          <w:szCs w:val="20"/>
        </w:rPr>
        <w:footnoteReference w:id="162"/>
      </w:r>
      <w:r w:rsidRPr="00294CCA">
        <w:rPr>
          <w:sz w:val="20"/>
          <w:szCs w:val="20"/>
        </w:rPr>
        <w:t>.</w:t>
      </w:r>
    </w:p>
    <w:p w14:paraId="2CE70979" w14:textId="77777777" w:rsidR="004E64A8" w:rsidRPr="00294CCA" w:rsidRDefault="004E64A8" w:rsidP="004E64A8">
      <w:pPr>
        <w:pStyle w:val="Prrafodelista"/>
        <w:widowControl/>
        <w:autoSpaceDE/>
        <w:autoSpaceDN/>
        <w:ind w:left="0"/>
        <w:contextualSpacing/>
        <w:rPr>
          <w:sz w:val="20"/>
          <w:szCs w:val="20"/>
        </w:rPr>
      </w:pPr>
    </w:p>
    <w:p w14:paraId="366329CB" w14:textId="77777777" w:rsidR="004E64A8" w:rsidRDefault="004E64A8" w:rsidP="004E64A8">
      <w:pPr>
        <w:pStyle w:val="Prrafodelista"/>
        <w:widowControl/>
        <w:numPr>
          <w:ilvl w:val="0"/>
          <w:numId w:val="33"/>
        </w:numPr>
        <w:autoSpaceDE/>
        <w:autoSpaceDN/>
        <w:ind w:left="0" w:firstLine="0"/>
        <w:contextualSpacing/>
        <w:rPr>
          <w:sz w:val="20"/>
          <w:szCs w:val="20"/>
        </w:rPr>
      </w:pPr>
      <w:r w:rsidRPr="00294CCA">
        <w:rPr>
          <w:sz w:val="20"/>
          <w:szCs w:val="20"/>
        </w:rPr>
        <w:t>En este caso, la Corte, con base en la prueba con que cuenta, no ha podido determinar que el señor Guerrero fuera sometido a torturas en el curso del ataque que conllevó su homicidio. Ha indicado, de igual modo, que esa imposibilidad no obstaba los deberes de investigación en el ámbito interno (</w:t>
      </w:r>
      <w:r w:rsidRPr="00294CCA">
        <w:rPr>
          <w:i/>
          <w:sz w:val="20"/>
          <w:szCs w:val="20"/>
        </w:rPr>
        <w:t xml:space="preserve">supra </w:t>
      </w:r>
      <w:r w:rsidRPr="00294CCA">
        <w:rPr>
          <w:sz w:val="20"/>
          <w:szCs w:val="20"/>
        </w:rPr>
        <w:t>párr</w:t>
      </w:r>
      <w:r>
        <w:rPr>
          <w:sz w:val="20"/>
          <w:szCs w:val="20"/>
        </w:rPr>
        <w:t>. 126)</w:t>
      </w:r>
      <w:r>
        <w:rPr>
          <w:rStyle w:val="Refdenotaalpie"/>
          <w:sz w:val="20"/>
          <w:szCs w:val="20"/>
        </w:rPr>
        <w:footnoteReference w:id="163"/>
      </w:r>
      <w:r>
        <w:rPr>
          <w:sz w:val="20"/>
          <w:szCs w:val="20"/>
        </w:rPr>
        <w:t xml:space="preserve">. </w:t>
      </w:r>
    </w:p>
    <w:p w14:paraId="15472B7D" w14:textId="77777777" w:rsidR="004E64A8" w:rsidRDefault="004E64A8" w:rsidP="004E64A8">
      <w:pPr>
        <w:pStyle w:val="Prrafodelista"/>
        <w:widowControl/>
        <w:autoSpaceDE/>
        <w:autoSpaceDN/>
        <w:ind w:left="0"/>
        <w:contextualSpacing/>
        <w:rPr>
          <w:sz w:val="20"/>
          <w:szCs w:val="20"/>
        </w:rPr>
      </w:pPr>
    </w:p>
    <w:p w14:paraId="665C0C9C" w14:textId="77777777" w:rsidR="004E64A8" w:rsidRDefault="004E64A8" w:rsidP="004E64A8">
      <w:pPr>
        <w:pStyle w:val="Prrafodelista"/>
        <w:widowControl/>
        <w:numPr>
          <w:ilvl w:val="0"/>
          <w:numId w:val="33"/>
        </w:numPr>
        <w:autoSpaceDE/>
        <w:autoSpaceDN/>
        <w:ind w:left="0" w:firstLine="0"/>
        <w:contextualSpacing/>
        <w:rPr>
          <w:sz w:val="20"/>
          <w:szCs w:val="20"/>
        </w:rPr>
      </w:pPr>
      <w:r>
        <w:rPr>
          <w:sz w:val="20"/>
          <w:szCs w:val="20"/>
        </w:rPr>
        <w:t xml:space="preserve">Ya se ha establecido que la </w:t>
      </w:r>
      <w:proofErr w:type="gramStart"/>
      <w:r>
        <w:rPr>
          <w:sz w:val="20"/>
          <w:szCs w:val="20"/>
        </w:rPr>
        <w:t>investigación realizadas</w:t>
      </w:r>
      <w:proofErr w:type="gramEnd"/>
      <w:r>
        <w:rPr>
          <w:sz w:val="20"/>
          <w:szCs w:val="20"/>
        </w:rPr>
        <w:t xml:space="preserve"> sobre lo sucedido el 30 de marzo de 2003 resultó contraria a los derechos a las garantías judiciales y a la protección judicial. La Corte entiende que las deficiencias de </w:t>
      </w:r>
      <w:proofErr w:type="gramStart"/>
      <w:r>
        <w:rPr>
          <w:sz w:val="20"/>
          <w:szCs w:val="20"/>
        </w:rPr>
        <w:t>la misma</w:t>
      </w:r>
      <w:proofErr w:type="gramEnd"/>
      <w:r>
        <w:rPr>
          <w:sz w:val="20"/>
          <w:szCs w:val="20"/>
        </w:rPr>
        <w:t xml:space="preserve">, que llevan a esa conclusión, son atinentes también a la indagación sobre posibles actos de tortura. Por otra parte, no consta que se abriera una investigación distinta respecto a tales posibles actos. Por ello, la inobservancia del Estado de su deber de investigar también redunda en una vulneración de los artículos 1, 6 y 8 de la CIPST. </w:t>
      </w:r>
    </w:p>
    <w:p w14:paraId="745CB155" w14:textId="77777777" w:rsidR="004E64A8" w:rsidRDefault="004E64A8" w:rsidP="004E64A8">
      <w:pPr>
        <w:pStyle w:val="Prrafodelista"/>
        <w:rPr>
          <w:sz w:val="20"/>
          <w:szCs w:val="20"/>
        </w:rPr>
      </w:pPr>
    </w:p>
    <w:p w14:paraId="230C02F7" w14:textId="77777777" w:rsidR="004E64A8" w:rsidRPr="00A406A2" w:rsidRDefault="004E64A8" w:rsidP="000F2503">
      <w:pPr>
        <w:pStyle w:val="Prrafodelista"/>
        <w:widowControl/>
        <w:autoSpaceDE/>
        <w:autoSpaceDN/>
        <w:spacing w:after="200"/>
        <w:ind w:left="567"/>
        <w:contextualSpacing/>
        <w:outlineLvl w:val="2"/>
        <w:rPr>
          <w:i/>
          <w:sz w:val="20"/>
          <w:szCs w:val="20"/>
        </w:rPr>
      </w:pPr>
      <w:bookmarkStart w:id="74" w:name="_Toc73960379"/>
      <w:r>
        <w:rPr>
          <w:i/>
          <w:sz w:val="20"/>
          <w:szCs w:val="20"/>
        </w:rPr>
        <w:t>B.2</w:t>
      </w:r>
      <w:r w:rsidRPr="00B52313">
        <w:rPr>
          <w:i/>
          <w:sz w:val="20"/>
          <w:szCs w:val="20"/>
        </w:rPr>
        <w:t xml:space="preserve"> </w:t>
      </w:r>
      <w:r w:rsidRPr="00043887">
        <w:rPr>
          <w:i/>
          <w:sz w:val="20"/>
          <w:szCs w:val="20"/>
          <w:u w:val="single"/>
        </w:rPr>
        <w:t xml:space="preserve">Investigación de los hechos </w:t>
      </w:r>
      <w:r>
        <w:rPr>
          <w:i/>
          <w:sz w:val="20"/>
          <w:szCs w:val="20"/>
          <w:u w:val="single"/>
        </w:rPr>
        <w:t>cometidos contra Jimmy Guerrero anteriores a las circunstancias de su muerte</w:t>
      </w:r>
      <w:bookmarkEnd w:id="74"/>
    </w:p>
    <w:p w14:paraId="1EDA8597" w14:textId="77777777" w:rsidR="004E64A8" w:rsidRPr="00A406A2" w:rsidRDefault="004E64A8" w:rsidP="004E64A8">
      <w:pPr>
        <w:pStyle w:val="Prrafodelista"/>
        <w:rPr>
          <w:sz w:val="20"/>
          <w:szCs w:val="20"/>
        </w:rPr>
      </w:pPr>
    </w:p>
    <w:p w14:paraId="4043ACC0" w14:textId="729FA768" w:rsidR="004E64A8" w:rsidRDefault="004E64A8" w:rsidP="004E64A8">
      <w:pPr>
        <w:pStyle w:val="Prrafodelista"/>
        <w:widowControl/>
        <w:numPr>
          <w:ilvl w:val="0"/>
          <w:numId w:val="33"/>
        </w:numPr>
        <w:autoSpaceDE/>
        <w:autoSpaceDN/>
        <w:ind w:left="0" w:firstLine="0"/>
        <w:contextualSpacing/>
        <w:rPr>
          <w:sz w:val="20"/>
          <w:szCs w:val="20"/>
        </w:rPr>
      </w:pPr>
      <w:r>
        <w:rPr>
          <w:sz w:val="20"/>
          <w:szCs w:val="20"/>
        </w:rPr>
        <w:t>L</w:t>
      </w:r>
      <w:r w:rsidRPr="00A406A2">
        <w:rPr>
          <w:sz w:val="20"/>
          <w:szCs w:val="20"/>
        </w:rPr>
        <w:t>a Corte ha entendido que, en tanto sean denunciados, deben ser investigados</w:t>
      </w:r>
      <w:r w:rsidR="00F345BE">
        <w:rPr>
          <w:sz w:val="20"/>
          <w:szCs w:val="20"/>
        </w:rPr>
        <w:t xml:space="preserve"> los</w:t>
      </w:r>
      <w:r w:rsidRPr="00A406A2">
        <w:rPr>
          <w:sz w:val="20"/>
          <w:szCs w:val="20"/>
        </w:rPr>
        <w:t xml:space="preserve"> hechos de “detención, amenazas y hostigamiento”, y que las falencias en ello pueden implicar una vulneración del derecho de “acceso a la justicia”, con base en los artículos 8.1 y 25.1 de la Convención Americana</w:t>
      </w:r>
      <w:r>
        <w:rPr>
          <w:rStyle w:val="Refdenotaalpie"/>
          <w:sz w:val="20"/>
          <w:szCs w:val="20"/>
        </w:rPr>
        <w:footnoteReference w:id="164"/>
      </w:r>
      <w:r w:rsidRPr="00A406A2">
        <w:rPr>
          <w:sz w:val="20"/>
          <w:szCs w:val="20"/>
        </w:rPr>
        <w:t>.</w:t>
      </w:r>
      <w:r>
        <w:rPr>
          <w:sz w:val="20"/>
          <w:szCs w:val="20"/>
        </w:rPr>
        <w:t xml:space="preserve"> Por otra parte, ya se ha indicado lo pertinente respecto a la obligación de investigación de posibles actos de tortura (</w:t>
      </w:r>
      <w:r>
        <w:rPr>
          <w:i/>
          <w:sz w:val="20"/>
          <w:szCs w:val="20"/>
        </w:rPr>
        <w:t xml:space="preserve">supra </w:t>
      </w:r>
      <w:r>
        <w:rPr>
          <w:sz w:val="20"/>
          <w:szCs w:val="20"/>
        </w:rPr>
        <w:t xml:space="preserve">párr. 154). </w:t>
      </w:r>
    </w:p>
    <w:p w14:paraId="7F4712BE" w14:textId="77777777" w:rsidR="004E64A8" w:rsidRDefault="004E64A8" w:rsidP="004E64A8">
      <w:pPr>
        <w:pStyle w:val="Prrafodelista"/>
        <w:widowControl/>
        <w:autoSpaceDE/>
        <w:autoSpaceDN/>
        <w:ind w:left="0"/>
        <w:contextualSpacing/>
        <w:rPr>
          <w:sz w:val="20"/>
          <w:szCs w:val="20"/>
        </w:rPr>
      </w:pPr>
    </w:p>
    <w:p w14:paraId="64A710C9" w14:textId="4A83D53B" w:rsidR="004E64A8" w:rsidRPr="006C385E" w:rsidRDefault="004E64A8" w:rsidP="004E64A8">
      <w:pPr>
        <w:pStyle w:val="Prrafodelista"/>
        <w:widowControl/>
        <w:numPr>
          <w:ilvl w:val="0"/>
          <w:numId w:val="33"/>
        </w:numPr>
        <w:autoSpaceDE/>
        <w:autoSpaceDN/>
        <w:ind w:left="0" w:firstLine="0"/>
        <w:contextualSpacing/>
        <w:rPr>
          <w:sz w:val="20"/>
          <w:szCs w:val="20"/>
        </w:rPr>
      </w:pPr>
      <w:r w:rsidRPr="006C385E">
        <w:rPr>
          <w:sz w:val="20"/>
          <w:szCs w:val="20"/>
          <w:lang w:val="es-CR"/>
        </w:rPr>
        <w:t>Los hechos (</w:t>
      </w:r>
      <w:r w:rsidRPr="006C385E">
        <w:rPr>
          <w:i/>
          <w:sz w:val="20"/>
          <w:szCs w:val="20"/>
          <w:lang w:val="es-CR"/>
        </w:rPr>
        <w:t xml:space="preserve">supra </w:t>
      </w:r>
      <w:proofErr w:type="spellStart"/>
      <w:r w:rsidRPr="006C385E">
        <w:rPr>
          <w:sz w:val="20"/>
          <w:szCs w:val="20"/>
          <w:lang w:val="es-CR"/>
        </w:rPr>
        <w:t>párrs</w:t>
      </w:r>
      <w:proofErr w:type="spellEnd"/>
      <w:r w:rsidRPr="006C385E">
        <w:rPr>
          <w:sz w:val="20"/>
          <w:szCs w:val="20"/>
          <w:lang w:val="es-CR"/>
        </w:rPr>
        <w:t xml:space="preserve">. </w:t>
      </w:r>
      <w:r>
        <w:rPr>
          <w:sz w:val="20"/>
          <w:szCs w:val="20"/>
          <w:lang w:val="es-CR"/>
        </w:rPr>
        <w:t>55 a 69</w:t>
      </w:r>
      <w:r w:rsidRPr="006C385E">
        <w:rPr>
          <w:sz w:val="20"/>
          <w:szCs w:val="20"/>
          <w:lang w:val="es-CR"/>
        </w:rPr>
        <w:t>) denotan que</w:t>
      </w:r>
      <w:r w:rsidR="001518A4">
        <w:rPr>
          <w:sz w:val="20"/>
          <w:szCs w:val="20"/>
          <w:lang w:val="es-CR"/>
        </w:rPr>
        <w:t>,</w:t>
      </w:r>
      <w:r w:rsidRPr="006C385E">
        <w:rPr>
          <w:sz w:val="20"/>
          <w:szCs w:val="20"/>
          <w:lang w:val="es-CR"/>
        </w:rPr>
        <w:t xml:space="preserve"> entre agosto de 2001 y marzo de 2003</w:t>
      </w:r>
      <w:r w:rsidR="001518A4">
        <w:rPr>
          <w:sz w:val="20"/>
          <w:szCs w:val="20"/>
          <w:lang w:val="es-CR"/>
        </w:rPr>
        <w:t>,</w:t>
      </w:r>
      <w:r w:rsidRPr="006C385E">
        <w:rPr>
          <w:sz w:val="20"/>
          <w:szCs w:val="20"/>
          <w:lang w:val="es-CR"/>
        </w:rPr>
        <w:t xml:space="preserve"> Jimmy Guerrero efectuó diversas presentaciones y denuncias. Así, a partir de una denuncia </w:t>
      </w:r>
      <w:r>
        <w:rPr>
          <w:sz w:val="20"/>
          <w:szCs w:val="20"/>
          <w:lang w:val="es-CR"/>
        </w:rPr>
        <w:t>efectuada</w:t>
      </w:r>
      <w:r w:rsidRPr="006C385E">
        <w:rPr>
          <w:sz w:val="20"/>
          <w:szCs w:val="20"/>
          <w:lang w:val="es-CR"/>
        </w:rPr>
        <w:t xml:space="preserve"> por Jimmy Guerrero el 16 de agosto de 2001, cerca de un año después se abrió la causa 2202-02, por el delito de “amenazas”. Luego, el día 27 de</w:t>
      </w:r>
      <w:r>
        <w:rPr>
          <w:sz w:val="20"/>
          <w:szCs w:val="20"/>
          <w:lang w:val="es-CR"/>
        </w:rPr>
        <w:t xml:space="preserve"> septiembre de 2002</w:t>
      </w:r>
      <w:r w:rsidRPr="006C385E">
        <w:rPr>
          <w:sz w:val="20"/>
          <w:szCs w:val="20"/>
          <w:lang w:val="es-CR"/>
        </w:rPr>
        <w:t>, el señor Guerrero denunció actos de “acoso policial”, y el 5 de noviembre siguiente la presentac</w:t>
      </w:r>
      <w:r w:rsidR="007356FB">
        <w:rPr>
          <w:sz w:val="20"/>
          <w:szCs w:val="20"/>
          <w:lang w:val="es-CR"/>
        </w:rPr>
        <w:t>ión fue remitida a una Fiscalía</w:t>
      </w:r>
      <w:r w:rsidRPr="006C385E">
        <w:rPr>
          <w:sz w:val="20"/>
          <w:szCs w:val="20"/>
          <w:lang w:val="es-CR"/>
        </w:rPr>
        <w:t xml:space="preserve">. Además, el 28 de octubre de 2002 la Defensoría del Pueblo hizo llegar a la Fiscalía Superior una denuncia por detenciones sufridas por el señor Guerrero. Más adelante, la Defensoría del Pueblo fue informada, en relación con ello, que se había abierto la ya señalada causa 2202-02. El 4 de noviembre </w:t>
      </w:r>
      <w:r>
        <w:rPr>
          <w:sz w:val="20"/>
          <w:szCs w:val="20"/>
          <w:lang w:val="es-CR"/>
        </w:rPr>
        <w:t xml:space="preserve">de 2002 </w:t>
      </w:r>
      <w:r w:rsidRPr="006C385E">
        <w:rPr>
          <w:sz w:val="20"/>
          <w:szCs w:val="20"/>
          <w:lang w:val="es-CR"/>
        </w:rPr>
        <w:t xml:space="preserve">Jimmy Guerrero denunció a la Fiscalía 2 que los días anteriores había permanecido detenido. Por último, el 11 de marzo de 2003 la Defensoría del Pueblo remitió a la Fiscalía 2 una presentación de Jimmy Guerrero por posibles actos de hostigamiento.  </w:t>
      </w:r>
    </w:p>
    <w:p w14:paraId="783BE255" w14:textId="77777777" w:rsidR="004E64A8" w:rsidRPr="006C385E" w:rsidRDefault="004E64A8" w:rsidP="004E64A8">
      <w:pPr>
        <w:pStyle w:val="Prrafodelista"/>
        <w:rPr>
          <w:sz w:val="20"/>
          <w:szCs w:val="20"/>
          <w:lang w:val="es-CR"/>
        </w:rPr>
      </w:pPr>
    </w:p>
    <w:p w14:paraId="2C66C5A0" w14:textId="65A00002" w:rsidR="004E64A8" w:rsidRPr="006C385E" w:rsidRDefault="004E64A8" w:rsidP="004E64A8">
      <w:pPr>
        <w:pStyle w:val="Prrafodelista"/>
        <w:widowControl/>
        <w:numPr>
          <w:ilvl w:val="0"/>
          <w:numId w:val="33"/>
        </w:numPr>
        <w:autoSpaceDE/>
        <w:autoSpaceDN/>
        <w:ind w:left="0" w:firstLine="0"/>
        <w:contextualSpacing/>
        <w:rPr>
          <w:sz w:val="20"/>
          <w:szCs w:val="20"/>
        </w:rPr>
      </w:pPr>
      <w:r w:rsidRPr="006C385E">
        <w:rPr>
          <w:sz w:val="20"/>
          <w:szCs w:val="20"/>
          <w:lang w:val="es-CR"/>
        </w:rPr>
        <w:t xml:space="preserve">Por otra parte, ha quedado establecido que el 17 de febrero de 2003 el señor Guerrero sufrió un acto de detención </w:t>
      </w:r>
      <w:r>
        <w:rPr>
          <w:sz w:val="20"/>
          <w:szCs w:val="20"/>
          <w:lang w:val="es-CR"/>
        </w:rPr>
        <w:t>contrario a su derecho a la libertad personal</w:t>
      </w:r>
      <w:r w:rsidRPr="006C385E">
        <w:rPr>
          <w:sz w:val="20"/>
          <w:szCs w:val="20"/>
          <w:lang w:val="es-CR"/>
        </w:rPr>
        <w:t>, así como torturas</w:t>
      </w:r>
      <w:r>
        <w:rPr>
          <w:sz w:val="20"/>
          <w:szCs w:val="20"/>
          <w:lang w:val="es-CR"/>
        </w:rPr>
        <w:t xml:space="preserve"> (</w:t>
      </w:r>
      <w:r w:rsidRPr="0027270D">
        <w:rPr>
          <w:i/>
          <w:sz w:val="20"/>
          <w:szCs w:val="20"/>
          <w:lang w:val="es-CR"/>
        </w:rPr>
        <w:t>supra</w:t>
      </w:r>
      <w:r>
        <w:rPr>
          <w:sz w:val="20"/>
          <w:szCs w:val="20"/>
          <w:lang w:val="es-CR"/>
        </w:rPr>
        <w:t xml:space="preserve"> </w:t>
      </w:r>
      <w:proofErr w:type="spellStart"/>
      <w:r>
        <w:rPr>
          <w:sz w:val="20"/>
          <w:szCs w:val="20"/>
          <w:lang w:val="es-CR"/>
        </w:rPr>
        <w:t>párrs</w:t>
      </w:r>
      <w:proofErr w:type="spellEnd"/>
      <w:r>
        <w:rPr>
          <w:sz w:val="20"/>
          <w:szCs w:val="20"/>
          <w:lang w:val="es-CR"/>
        </w:rPr>
        <w:t>. 65 a 67, 102 a 110 y 112 a 119)</w:t>
      </w:r>
      <w:r w:rsidRPr="006C385E">
        <w:rPr>
          <w:sz w:val="20"/>
          <w:szCs w:val="20"/>
          <w:lang w:val="es-CR"/>
        </w:rPr>
        <w:t xml:space="preserve">. El 25 del mismo mes la </w:t>
      </w:r>
      <w:r w:rsidRPr="006C385E">
        <w:rPr>
          <w:sz w:val="20"/>
          <w:szCs w:val="20"/>
          <w:lang w:val="es-CR"/>
        </w:rPr>
        <w:lastRenderedPageBreak/>
        <w:t xml:space="preserve">Defensoría del Pueblo solicitó a la Fiscalía Superior y a la Fiscalía 2 la </w:t>
      </w:r>
      <w:r>
        <w:rPr>
          <w:sz w:val="20"/>
          <w:szCs w:val="20"/>
          <w:lang w:val="es-CR"/>
        </w:rPr>
        <w:t>investigación de lo sucedido (</w:t>
      </w:r>
      <w:r>
        <w:rPr>
          <w:i/>
          <w:sz w:val="20"/>
          <w:szCs w:val="20"/>
          <w:lang w:val="es-CR"/>
        </w:rPr>
        <w:t>supra</w:t>
      </w:r>
      <w:r>
        <w:rPr>
          <w:sz w:val="20"/>
          <w:szCs w:val="20"/>
          <w:lang w:val="es-CR"/>
        </w:rPr>
        <w:t xml:space="preserve"> párr. 68). </w:t>
      </w:r>
    </w:p>
    <w:p w14:paraId="7DB85095" w14:textId="77777777" w:rsidR="004E64A8" w:rsidRPr="006C385E" w:rsidRDefault="004E64A8" w:rsidP="004E64A8">
      <w:pPr>
        <w:pStyle w:val="Prrafodelista"/>
        <w:rPr>
          <w:sz w:val="20"/>
          <w:szCs w:val="20"/>
        </w:rPr>
      </w:pPr>
    </w:p>
    <w:p w14:paraId="22F84C95" w14:textId="77777777" w:rsidR="004E64A8" w:rsidRPr="006C385E" w:rsidRDefault="004E64A8" w:rsidP="004E64A8">
      <w:pPr>
        <w:pStyle w:val="Prrafodelista"/>
        <w:widowControl/>
        <w:numPr>
          <w:ilvl w:val="0"/>
          <w:numId w:val="33"/>
        </w:numPr>
        <w:autoSpaceDE/>
        <w:autoSpaceDN/>
        <w:ind w:left="0" w:firstLine="0"/>
        <w:contextualSpacing/>
        <w:rPr>
          <w:sz w:val="20"/>
          <w:szCs w:val="20"/>
        </w:rPr>
      </w:pPr>
      <w:r w:rsidRPr="006C385E">
        <w:rPr>
          <w:sz w:val="20"/>
          <w:szCs w:val="20"/>
          <w:lang w:val="es-CR"/>
        </w:rPr>
        <w:t xml:space="preserve">No ha sido allegada a la Corte información sobre posibles avances de la causa 2202-02 ni que indique que </w:t>
      </w:r>
      <w:r>
        <w:rPr>
          <w:sz w:val="20"/>
          <w:szCs w:val="20"/>
          <w:lang w:val="es-CR"/>
        </w:rPr>
        <w:t xml:space="preserve">hayan sido investigados </w:t>
      </w:r>
      <w:r w:rsidRPr="006C385E">
        <w:rPr>
          <w:sz w:val="20"/>
          <w:szCs w:val="20"/>
          <w:lang w:val="es-CR"/>
        </w:rPr>
        <w:t>los hechos de amenazas, detenciones u hostigamientos denunciados por el señor Guerrero</w:t>
      </w:r>
      <w:r>
        <w:rPr>
          <w:sz w:val="20"/>
          <w:szCs w:val="20"/>
          <w:lang w:val="es-CR"/>
        </w:rPr>
        <w:t>, así como de la privación de libertad y torturas que sufrió el 17 de febrero de 2003.</w:t>
      </w:r>
    </w:p>
    <w:p w14:paraId="2A9EABB3" w14:textId="77777777" w:rsidR="004E64A8" w:rsidRPr="006C385E" w:rsidRDefault="004E64A8" w:rsidP="004E64A8">
      <w:pPr>
        <w:pStyle w:val="Prrafodelista"/>
        <w:rPr>
          <w:sz w:val="20"/>
          <w:szCs w:val="20"/>
          <w:lang w:val="es-CR"/>
        </w:rPr>
      </w:pPr>
    </w:p>
    <w:p w14:paraId="242DB504" w14:textId="0683D49E" w:rsidR="004E64A8" w:rsidRPr="0027270D" w:rsidRDefault="004E64A8" w:rsidP="004E64A8">
      <w:pPr>
        <w:pStyle w:val="Prrafodelista"/>
        <w:widowControl/>
        <w:numPr>
          <w:ilvl w:val="0"/>
          <w:numId w:val="33"/>
        </w:numPr>
        <w:autoSpaceDE/>
        <w:autoSpaceDN/>
        <w:ind w:left="0" w:firstLine="0"/>
        <w:contextualSpacing/>
        <w:rPr>
          <w:sz w:val="20"/>
          <w:szCs w:val="20"/>
        </w:rPr>
      </w:pPr>
      <w:r w:rsidRPr="006C385E">
        <w:rPr>
          <w:sz w:val="20"/>
          <w:szCs w:val="20"/>
          <w:lang w:val="es-CR"/>
        </w:rPr>
        <w:t xml:space="preserve">La </w:t>
      </w:r>
      <w:r w:rsidRPr="0027270D">
        <w:rPr>
          <w:sz w:val="20"/>
          <w:szCs w:val="20"/>
          <w:lang w:val="es-CR"/>
        </w:rPr>
        <w:t xml:space="preserve">Corte advierte que la falta de investigación de todas las circunstancias antedichas implicó una vulneración a los derechos a las garantías judiciales y a la protección judicial, así como, en lo que respecta a lo sucedido el 17 de febrero de 2003, </w:t>
      </w:r>
      <w:r w:rsidR="007D141F" w:rsidRPr="0027270D">
        <w:rPr>
          <w:sz w:val="20"/>
          <w:szCs w:val="20"/>
          <w:lang w:val="es-CR"/>
        </w:rPr>
        <w:t xml:space="preserve">en relación con </w:t>
      </w:r>
      <w:r w:rsidRPr="0027270D">
        <w:rPr>
          <w:sz w:val="20"/>
          <w:szCs w:val="20"/>
          <w:lang w:val="es-CR"/>
        </w:rPr>
        <w:t>los artículos 1, 6 y 8 de la CIPST. Estas violaciones afectaron</w:t>
      </w:r>
      <w:r w:rsidR="007D141F" w:rsidRPr="0027270D">
        <w:rPr>
          <w:sz w:val="20"/>
          <w:szCs w:val="20"/>
          <w:lang w:val="es-CR"/>
        </w:rPr>
        <w:t>,</w:t>
      </w:r>
      <w:r w:rsidRPr="0027270D">
        <w:rPr>
          <w:sz w:val="20"/>
          <w:szCs w:val="20"/>
          <w:lang w:val="es-CR"/>
        </w:rPr>
        <w:t xml:space="preserve"> en primer término, los derechos del señor Guerrero, pues la conducta estatal omisiva respecto al cumplimiento del deber de investigación principió cuando él estaba vivo, y también lesionaron los derechos de sus familiares</w:t>
      </w:r>
      <w:r w:rsidRPr="0027270D">
        <w:rPr>
          <w:rStyle w:val="Refdenotaalpie"/>
          <w:sz w:val="20"/>
          <w:szCs w:val="20"/>
          <w:lang w:val="es-CR"/>
        </w:rPr>
        <w:footnoteReference w:id="165"/>
      </w:r>
      <w:r w:rsidRPr="0027270D">
        <w:rPr>
          <w:sz w:val="20"/>
          <w:szCs w:val="20"/>
          <w:lang w:val="es-CR"/>
        </w:rPr>
        <w:t xml:space="preserve">. En relación con Jimmy Guerrero, el incumplimiento del deber de investigar se vinculó con un contexto de impunidad de actos de violencia policial y de discriminación a las víctimas de </w:t>
      </w:r>
      <w:proofErr w:type="gramStart"/>
      <w:r w:rsidRPr="0027270D">
        <w:rPr>
          <w:sz w:val="20"/>
          <w:szCs w:val="20"/>
          <w:lang w:val="es-CR"/>
        </w:rPr>
        <w:t>los mismos</w:t>
      </w:r>
      <w:proofErr w:type="gramEnd"/>
      <w:r w:rsidRPr="0027270D">
        <w:rPr>
          <w:sz w:val="20"/>
          <w:szCs w:val="20"/>
          <w:lang w:val="es-CR"/>
        </w:rPr>
        <w:t xml:space="preserve"> en el acceso a la justicia.</w:t>
      </w:r>
    </w:p>
    <w:p w14:paraId="08861CC5" w14:textId="77777777" w:rsidR="004E64A8" w:rsidRDefault="004E64A8" w:rsidP="004E64A8">
      <w:pPr>
        <w:pStyle w:val="Prrafodelista"/>
        <w:rPr>
          <w:sz w:val="20"/>
          <w:szCs w:val="20"/>
        </w:rPr>
      </w:pPr>
    </w:p>
    <w:p w14:paraId="1C0A5B87" w14:textId="77777777" w:rsidR="004E64A8" w:rsidRPr="00A406A2" w:rsidRDefault="004E64A8" w:rsidP="000F2503">
      <w:pPr>
        <w:pStyle w:val="Prrafodelista"/>
        <w:widowControl/>
        <w:autoSpaceDE/>
        <w:autoSpaceDN/>
        <w:ind w:left="567"/>
        <w:contextualSpacing/>
        <w:outlineLvl w:val="2"/>
        <w:rPr>
          <w:i/>
          <w:sz w:val="20"/>
          <w:szCs w:val="20"/>
        </w:rPr>
      </w:pPr>
      <w:bookmarkStart w:id="75" w:name="_Toc73960380"/>
      <w:r>
        <w:rPr>
          <w:i/>
          <w:sz w:val="20"/>
          <w:szCs w:val="20"/>
        </w:rPr>
        <w:t>B.3</w:t>
      </w:r>
      <w:r w:rsidRPr="00B52313">
        <w:rPr>
          <w:i/>
          <w:sz w:val="20"/>
          <w:szCs w:val="20"/>
        </w:rPr>
        <w:t xml:space="preserve"> </w:t>
      </w:r>
      <w:r>
        <w:rPr>
          <w:i/>
          <w:sz w:val="20"/>
          <w:szCs w:val="20"/>
          <w:u w:val="single"/>
        </w:rPr>
        <w:t>Conclusión</w:t>
      </w:r>
      <w:bookmarkEnd w:id="75"/>
    </w:p>
    <w:p w14:paraId="54661917" w14:textId="77777777" w:rsidR="004E64A8" w:rsidRPr="00694F26" w:rsidRDefault="004E64A8" w:rsidP="004E64A8">
      <w:pPr>
        <w:rPr>
          <w:sz w:val="20"/>
          <w:szCs w:val="20"/>
        </w:rPr>
      </w:pPr>
    </w:p>
    <w:p w14:paraId="18820A24" w14:textId="0454B100" w:rsidR="004E64A8" w:rsidRPr="004E64A8" w:rsidRDefault="004E64A8" w:rsidP="004E64A8">
      <w:pPr>
        <w:pStyle w:val="Prrafodelista"/>
        <w:widowControl/>
        <w:numPr>
          <w:ilvl w:val="0"/>
          <w:numId w:val="33"/>
        </w:numPr>
        <w:autoSpaceDE/>
        <w:autoSpaceDN/>
        <w:ind w:left="0" w:firstLine="0"/>
        <w:contextualSpacing/>
        <w:rPr>
          <w:sz w:val="20"/>
          <w:szCs w:val="20"/>
        </w:rPr>
      </w:pPr>
      <w:r w:rsidRPr="0027270D">
        <w:rPr>
          <w:sz w:val="20"/>
          <w:szCs w:val="20"/>
        </w:rPr>
        <w:t>Con base en todo lo antes expuesto, la Corte concluye que Venezuela vulneró los derechos a las garantías judiciales y a la protección judicial, incumpliendo los artículos 8.1 y 25.1 de la Convención en relación con el artículo 1.1 del mismo tratado y los artículos 1, 6 y 8 de la Convención Interamericana para Prevenir y Sancionar la Tortura</w:t>
      </w:r>
      <w:r w:rsidR="007D141F" w:rsidRPr="0027270D">
        <w:rPr>
          <w:sz w:val="20"/>
          <w:szCs w:val="20"/>
        </w:rPr>
        <w:t xml:space="preserve">, en perjuicio de Jimmy Guerrero, sus familiares y los familiares de Ramón Molina, según el caso y </w:t>
      </w:r>
      <w:proofErr w:type="gramStart"/>
      <w:r w:rsidR="007D141F" w:rsidRPr="0027270D">
        <w:rPr>
          <w:sz w:val="20"/>
          <w:szCs w:val="20"/>
        </w:rPr>
        <w:t>de acuerdo a</w:t>
      </w:r>
      <w:proofErr w:type="gramEnd"/>
      <w:r w:rsidR="007D141F" w:rsidRPr="0027270D">
        <w:rPr>
          <w:sz w:val="20"/>
          <w:szCs w:val="20"/>
        </w:rPr>
        <w:t xml:space="preserve"> lo expresado</w:t>
      </w:r>
      <w:r w:rsidRPr="0027270D">
        <w:rPr>
          <w:sz w:val="20"/>
          <w:szCs w:val="20"/>
        </w:rPr>
        <w:t xml:space="preserve">. La Corte advierte que los hechos del caso permanecen en la impunidad, y que el Estado </w:t>
      </w:r>
      <w:r w:rsidRPr="0027270D">
        <w:rPr>
          <w:sz w:val="20"/>
          <w:szCs w:val="20"/>
          <w:lang w:val="es-CR"/>
        </w:rPr>
        <w:t>está obligado a combatir esta situación por todos los medios legales disponibles, ya que la impunidad propicia la repetición crónica de las violaciones de derechos humanos y la indefensión</w:t>
      </w:r>
      <w:r w:rsidRPr="00D64A29">
        <w:rPr>
          <w:sz w:val="20"/>
          <w:szCs w:val="20"/>
          <w:lang w:val="es-CR"/>
        </w:rPr>
        <w:t xml:space="preserve"> de las víctimas</w:t>
      </w:r>
      <w:r w:rsidRPr="00D64A29">
        <w:rPr>
          <w:sz w:val="20"/>
          <w:szCs w:val="20"/>
          <w:vertAlign w:val="superscript"/>
          <w:lang w:val="es-CR"/>
        </w:rPr>
        <w:footnoteReference w:id="166"/>
      </w:r>
      <w:r w:rsidRPr="00D64A29">
        <w:rPr>
          <w:sz w:val="20"/>
          <w:szCs w:val="20"/>
          <w:lang w:val="es-CR"/>
        </w:rPr>
        <w:t>.</w:t>
      </w:r>
      <w:r w:rsidR="00EB7E2B">
        <w:rPr>
          <w:sz w:val="20"/>
          <w:szCs w:val="20"/>
          <w:lang w:val="es-CR"/>
        </w:rPr>
        <w:t xml:space="preserve"> </w:t>
      </w:r>
    </w:p>
    <w:p w14:paraId="059FD473" w14:textId="77777777" w:rsidR="004E64A8" w:rsidRDefault="004E64A8" w:rsidP="004E64A8">
      <w:pPr>
        <w:pStyle w:val="Prrafodelista"/>
        <w:rPr>
          <w:sz w:val="20"/>
          <w:szCs w:val="20"/>
        </w:rPr>
      </w:pPr>
    </w:p>
    <w:p w14:paraId="5FA5E9A9" w14:textId="297068F9" w:rsidR="004E64A8" w:rsidRPr="003D1141" w:rsidRDefault="004E64A8" w:rsidP="004E64A8">
      <w:pPr>
        <w:pStyle w:val="Prrafodelista"/>
        <w:jc w:val="center"/>
        <w:outlineLvl w:val="0"/>
        <w:rPr>
          <w:b/>
          <w:sz w:val="20"/>
          <w:szCs w:val="20"/>
        </w:rPr>
      </w:pPr>
      <w:bookmarkStart w:id="76" w:name="_Toc69197775"/>
      <w:bookmarkStart w:id="77" w:name="_Toc73960381"/>
      <w:r w:rsidRPr="003D1141">
        <w:rPr>
          <w:b/>
          <w:sz w:val="20"/>
          <w:szCs w:val="20"/>
        </w:rPr>
        <w:t>V</w:t>
      </w:r>
      <w:r>
        <w:rPr>
          <w:b/>
          <w:sz w:val="20"/>
          <w:szCs w:val="20"/>
        </w:rPr>
        <w:t>III</w:t>
      </w:r>
      <w:bookmarkEnd w:id="76"/>
      <w:bookmarkEnd w:id="77"/>
    </w:p>
    <w:p w14:paraId="7B01E6D6" w14:textId="77777777" w:rsidR="004E64A8" w:rsidRPr="003D1141" w:rsidRDefault="004E64A8" w:rsidP="004E64A8">
      <w:pPr>
        <w:pStyle w:val="Prrafodelista"/>
        <w:jc w:val="center"/>
        <w:outlineLvl w:val="0"/>
        <w:rPr>
          <w:b/>
          <w:sz w:val="20"/>
          <w:szCs w:val="20"/>
        </w:rPr>
      </w:pPr>
      <w:bookmarkStart w:id="78" w:name="_Toc73960382"/>
      <w:r>
        <w:rPr>
          <w:b/>
          <w:sz w:val="20"/>
          <w:szCs w:val="20"/>
        </w:rPr>
        <w:t>REPARACIONES</w:t>
      </w:r>
      <w:bookmarkEnd w:id="78"/>
    </w:p>
    <w:p w14:paraId="34F16BE9" w14:textId="77777777" w:rsidR="004E64A8" w:rsidRDefault="004E64A8" w:rsidP="004E64A8">
      <w:pPr>
        <w:pStyle w:val="Prrafodelista"/>
        <w:widowControl/>
        <w:autoSpaceDE/>
        <w:autoSpaceDN/>
        <w:ind w:left="0"/>
        <w:contextualSpacing/>
        <w:rPr>
          <w:sz w:val="20"/>
          <w:szCs w:val="20"/>
        </w:rPr>
      </w:pPr>
    </w:p>
    <w:p w14:paraId="547DE9D7" w14:textId="76CC5912" w:rsidR="004E64A8" w:rsidRPr="004E64A8" w:rsidRDefault="004E64A8" w:rsidP="004E64A8">
      <w:pPr>
        <w:pStyle w:val="Prrafodelista"/>
        <w:widowControl/>
        <w:numPr>
          <w:ilvl w:val="0"/>
          <w:numId w:val="33"/>
        </w:numPr>
        <w:autoSpaceDE/>
        <w:autoSpaceDN/>
        <w:ind w:left="0" w:firstLine="0"/>
        <w:contextualSpacing/>
        <w:rPr>
          <w:sz w:val="20"/>
          <w:szCs w:val="20"/>
        </w:rPr>
      </w:pPr>
      <w:r w:rsidRPr="004E64A8">
        <w:rPr>
          <w:sz w:val="20"/>
        </w:rPr>
        <w:t>Sobre la base de lo dispuesto en el artículo 63.1 de la Convención, y como también se relaciona con el artículo 28 del misma,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69525B">
        <w:rPr>
          <w:rStyle w:val="Refdenotaalpie"/>
          <w:sz w:val="20"/>
        </w:rPr>
        <w:footnoteReference w:id="167"/>
      </w:r>
      <w:r w:rsidRPr="004E64A8">
        <w:rPr>
          <w:sz w:val="20"/>
        </w:rPr>
        <w:t xml:space="preserve">. Este Tribunal ha considerado la necesidad de otorgar diversas medidas de reparación, a fin de resarcir los daños de manera integral, por lo </w:t>
      </w:r>
      <w:r w:rsidRPr="004E64A8">
        <w:rPr>
          <w:sz w:val="20"/>
        </w:rPr>
        <w:lastRenderedPageBreak/>
        <w:t>que, además de las compensaciones pecuniarias, las medidas de restitución, rehabilitación, satisfacción y garantías de no repetición tienen especial relevancia</w:t>
      </w:r>
      <w:r w:rsidRPr="0069525B">
        <w:rPr>
          <w:rStyle w:val="Refdenotaalpie"/>
          <w:sz w:val="20"/>
        </w:rPr>
        <w:footnoteReference w:id="168"/>
      </w:r>
      <w:r w:rsidRPr="004E64A8">
        <w:rPr>
          <w:sz w:val="20"/>
        </w:rPr>
        <w:t>. Además, ha establecido que las reparaciones deben tener un nexo causal con los hechos del caso, las violaciones declaradas y los daños acreditados, así como con las medidas solicitadas para repararlos</w:t>
      </w:r>
      <w:r w:rsidRPr="0069525B">
        <w:rPr>
          <w:rStyle w:val="Refdenotaalpie"/>
          <w:sz w:val="20"/>
        </w:rPr>
        <w:footnoteReference w:id="169"/>
      </w:r>
      <w:r w:rsidRPr="004E64A8">
        <w:rPr>
          <w:sz w:val="20"/>
        </w:rPr>
        <w:t xml:space="preserve">. </w:t>
      </w:r>
    </w:p>
    <w:p w14:paraId="7D80BA3D" w14:textId="77777777" w:rsidR="004E64A8" w:rsidRPr="0069525B" w:rsidRDefault="004E64A8" w:rsidP="004E64A8">
      <w:pPr>
        <w:pStyle w:val="Prrafodelista"/>
        <w:ind w:left="142"/>
      </w:pPr>
    </w:p>
    <w:p w14:paraId="21FC3C14" w14:textId="0BBC947A" w:rsidR="00055A87" w:rsidRPr="00F3492A" w:rsidRDefault="004E64A8" w:rsidP="004E64A8">
      <w:pPr>
        <w:pStyle w:val="Prrafodelista"/>
        <w:widowControl/>
        <w:numPr>
          <w:ilvl w:val="0"/>
          <w:numId w:val="34"/>
        </w:numPr>
        <w:autoSpaceDE/>
        <w:autoSpaceDN/>
        <w:spacing w:after="160"/>
        <w:ind w:left="0" w:firstLine="0"/>
        <w:contextualSpacing/>
        <w:rPr>
          <w:sz w:val="20"/>
          <w:szCs w:val="20"/>
        </w:rPr>
      </w:pPr>
      <w:r w:rsidRPr="0069525B">
        <w:rPr>
          <w:sz w:val="20"/>
          <w:szCs w:val="20"/>
        </w:rPr>
        <w:t xml:space="preserve">Tomando en cuenta las violaciones a la Convención Americana </w:t>
      </w:r>
      <w:r>
        <w:rPr>
          <w:sz w:val="20"/>
          <w:szCs w:val="20"/>
        </w:rPr>
        <w:t xml:space="preserve">y a la Convención Interamericana para Prevenir y Sancionar la Tortura </w:t>
      </w:r>
      <w:r w:rsidRPr="0069525B">
        <w:rPr>
          <w:sz w:val="20"/>
          <w:szCs w:val="20"/>
        </w:rPr>
        <w:t>declaradas en el capítulo anterior, a la luz de los criterios fijados en la jurisprudencia del Tribunal en relación con la naturaleza y alcances de la obligación de reparar</w:t>
      </w:r>
      <w:r w:rsidRPr="0069525B">
        <w:rPr>
          <w:rStyle w:val="Refdenotaalpie"/>
          <w:sz w:val="20"/>
          <w:szCs w:val="20"/>
        </w:rPr>
        <w:footnoteReference w:id="170"/>
      </w:r>
      <w:r w:rsidRPr="0069525B">
        <w:rPr>
          <w:sz w:val="20"/>
          <w:szCs w:val="20"/>
        </w:rPr>
        <w:t>, la Corte analizará las pretensiones presentadas por la Comisión y los representantes, así como los argumentos del Estado. En relación con la posición de Venezuela, debe destacarse que, aunque no se refirió en forma puntual a todas las medidas de reparación solicitadas por la Comisión y los representantes, efectuó, en su escrito de contestación, un señalamiento de su “</w:t>
      </w:r>
      <w:proofErr w:type="spellStart"/>
      <w:r w:rsidRPr="0069525B">
        <w:rPr>
          <w:sz w:val="20"/>
          <w:szCs w:val="20"/>
        </w:rPr>
        <w:t>comprom</w:t>
      </w:r>
      <w:proofErr w:type="spellEnd"/>
      <w:r w:rsidRPr="0069525B">
        <w:rPr>
          <w:sz w:val="20"/>
          <w:szCs w:val="20"/>
        </w:rPr>
        <w:t>[</w:t>
      </w:r>
      <w:proofErr w:type="spellStart"/>
      <w:r w:rsidRPr="0069525B">
        <w:rPr>
          <w:sz w:val="20"/>
          <w:szCs w:val="20"/>
        </w:rPr>
        <w:t>iso</w:t>
      </w:r>
      <w:proofErr w:type="spellEnd"/>
      <w:r w:rsidRPr="0069525B">
        <w:rPr>
          <w:sz w:val="20"/>
          <w:szCs w:val="20"/>
        </w:rPr>
        <w:t>]”, “[e]n principio y de forma general”, a “cumplir con las reparaciones integrales correspondientes</w:t>
      </w:r>
      <w:r>
        <w:rPr>
          <w:sz w:val="20"/>
          <w:szCs w:val="20"/>
        </w:rPr>
        <w:t>”</w:t>
      </w:r>
      <w:r w:rsidRPr="0069525B">
        <w:rPr>
          <w:sz w:val="20"/>
          <w:szCs w:val="20"/>
        </w:rPr>
        <w:t xml:space="preserve"> (</w:t>
      </w:r>
      <w:r w:rsidRPr="0069525B">
        <w:rPr>
          <w:i/>
          <w:sz w:val="20"/>
          <w:szCs w:val="20"/>
        </w:rPr>
        <w:t>supra</w:t>
      </w:r>
      <w:r w:rsidRPr="0069525B">
        <w:rPr>
          <w:sz w:val="20"/>
          <w:szCs w:val="20"/>
        </w:rPr>
        <w:t xml:space="preserve"> </w:t>
      </w:r>
      <w:proofErr w:type="spellStart"/>
      <w:r w:rsidRPr="0069525B">
        <w:rPr>
          <w:sz w:val="20"/>
          <w:szCs w:val="20"/>
        </w:rPr>
        <w:t>párr</w:t>
      </w:r>
      <w:r>
        <w:rPr>
          <w:sz w:val="20"/>
          <w:szCs w:val="20"/>
        </w:rPr>
        <w:t>s</w:t>
      </w:r>
      <w:proofErr w:type="spellEnd"/>
      <w:r w:rsidRPr="0069525B">
        <w:rPr>
          <w:sz w:val="20"/>
          <w:szCs w:val="20"/>
        </w:rPr>
        <w:t xml:space="preserve">. </w:t>
      </w:r>
      <w:r>
        <w:rPr>
          <w:sz w:val="20"/>
          <w:szCs w:val="20"/>
        </w:rPr>
        <w:t>8, 15, 30 y 31</w:t>
      </w:r>
      <w:r w:rsidRPr="0069525B">
        <w:rPr>
          <w:sz w:val="20"/>
          <w:szCs w:val="20"/>
        </w:rPr>
        <w:t>)</w:t>
      </w:r>
      <w:r w:rsidRPr="0069525B">
        <w:rPr>
          <w:rStyle w:val="Refdenotaalpie"/>
          <w:sz w:val="20"/>
          <w:szCs w:val="20"/>
        </w:rPr>
        <w:footnoteReference w:id="171"/>
      </w:r>
      <w:r w:rsidRPr="0069525B">
        <w:rPr>
          <w:sz w:val="20"/>
          <w:szCs w:val="20"/>
        </w:rPr>
        <w:t xml:space="preserve">. </w:t>
      </w:r>
      <w:r w:rsidRPr="008E0108">
        <w:rPr>
          <w:sz w:val="20"/>
          <w:szCs w:val="20"/>
        </w:rPr>
        <w:t>Se aclara que, en lo que sigue, sólo se reseña la posición del Estado en relación con aquellas solicitudes de medidas de reparación respecto a las cuales efectuó consideraciones específicas, adicionales a su manifestación general recién expuesta.</w:t>
      </w:r>
      <w:r w:rsidRPr="00542071">
        <w:rPr>
          <w:sz w:val="20"/>
          <w:szCs w:val="20"/>
        </w:rPr>
        <w:t xml:space="preserve"> </w:t>
      </w:r>
    </w:p>
    <w:p w14:paraId="089D0EC4" w14:textId="77777777" w:rsidR="00055A87" w:rsidRPr="0069525B" w:rsidRDefault="00055A87" w:rsidP="004E64A8">
      <w:pPr>
        <w:pStyle w:val="Prrafodelista"/>
        <w:ind w:left="0"/>
      </w:pPr>
    </w:p>
    <w:p w14:paraId="0B3766FE" w14:textId="77777777" w:rsidR="004E64A8" w:rsidRPr="0069525B" w:rsidRDefault="004E64A8" w:rsidP="000F2503">
      <w:pPr>
        <w:pStyle w:val="Prrafodelista"/>
        <w:widowControl/>
        <w:numPr>
          <w:ilvl w:val="0"/>
          <w:numId w:val="25"/>
        </w:numPr>
        <w:autoSpaceDE/>
        <w:autoSpaceDN/>
        <w:spacing w:after="160"/>
        <w:ind w:left="284" w:firstLine="0"/>
        <w:contextualSpacing/>
        <w:outlineLvl w:val="1"/>
      </w:pPr>
      <w:r w:rsidRPr="0069525B">
        <w:rPr>
          <w:b/>
          <w:i/>
          <w:sz w:val="20"/>
          <w:szCs w:val="20"/>
        </w:rPr>
        <w:t xml:space="preserve"> </w:t>
      </w:r>
      <w:bookmarkStart w:id="79" w:name="_Toc73960383"/>
      <w:r w:rsidRPr="0069525B">
        <w:rPr>
          <w:b/>
          <w:i/>
          <w:sz w:val="20"/>
          <w:szCs w:val="20"/>
        </w:rPr>
        <w:t>Parte Lesionada</w:t>
      </w:r>
      <w:bookmarkEnd w:id="79"/>
    </w:p>
    <w:p w14:paraId="6776E048" w14:textId="77777777" w:rsidR="004E64A8" w:rsidRPr="0069525B" w:rsidRDefault="004E64A8" w:rsidP="004E64A8">
      <w:pPr>
        <w:pStyle w:val="Prrafodelista"/>
        <w:rPr>
          <w:sz w:val="20"/>
          <w:szCs w:val="20"/>
        </w:rPr>
      </w:pPr>
    </w:p>
    <w:p w14:paraId="6CF92509" w14:textId="299C9A67" w:rsidR="001A4E17" w:rsidRPr="001A4E17" w:rsidRDefault="001A4E17" w:rsidP="001A4E17">
      <w:pPr>
        <w:pStyle w:val="Prrafodelista"/>
        <w:widowControl/>
        <w:numPr>
          <w:ilvl w:val="0"/>
          <w:numId w:val="34"/>
        </w:numPr>
        <w:adjustRightInd w:val="0"/>
        <w:ind w:left="0" w:firstLine="0"/>
        <w:contextualSpacing/>
        <w:rPr>
          <w:sz w:val="20"/>
          <w:szCs w:val="20"/>
        </w:rPr>
      </w:pPr>
      <w:r w:rsidRPr="001A4E17">
        <w:rPr>
          <w:sz w:val="20"/>
          <w:szCs w:val="20"/>
        </w:rPr>
        <w:t xml:space="preserve">Este Tribunal considera “parte lesionada”, en los términos del artículo 63.1 de la Convención, a quien ha sido declarada víctima de la violación de algún derecho reconocido en la misma. Por lo tanto, entiende como parte lesionada a </w:t>
      </w:r>
      <w:r w:rsidRPr="001A4E17">
        <w:rPr>
          <w:rFonts w:cs="Arial"/>
          <w:sz w:val="20"/>
          <w:szCs w:val="24"/>
        </w:rPr>
        <w:t>Jimmy Rafael Guerrero</w:t>
      </w:r>
      <w:r>
        <w:rPr>
          <w:rFonts w:cs="Arial"/>
          <w:sz w:val="20"/>
          <w:szCs w:val="24"/>
        </w:rPr>
        <w:t xml:space="preserve"> Meléndez</w:t>
      </w:r>
      <w:r w:rsidRPr="001A4E17">
        <w:rPr>
          <w:rFonts w:cs="Arial"/>
          <w:sz w:val="20"/>
          <w:szCs w:val="24"/>
        </w:rPr>
        <w:t xml:space="preserve"> y sus familiares: Nieves Ramón Guerrero Pérez (padre), Emilia Coromoto Meléndez (madre), Franklin Felipe Guerrero Meléndez (hermano), Yarelis Mercedes Guerrero Meléndez (hermana), Jean Carlos Guerrero Meléndez (hermano), María Guadalupe Guerrero (hija), Francisco José Guerrero (hijo), Jim</w:t>
      </w:r>
      <w:r>
        <w:rPr>
          <w:rFonts w:cs="Arial"/>
          <w:sz w:val="20"/>
          <w:szCs w:val="24"/>
        </w:rPr>
        <w:t>my Eliécer Guerrero Colina (hijo</w:t>
      </w:r>
      <w:r w:rsidRPr="001A4E17">
        <w:rPr>
          <w:rFonts w:cs="Arial"/>
          <w:sz w:val="20"/>
          <w:szCs w:val="24"/>
        </w:rPr>
        <w:t xml:space="preserve">), </w:t>
      </w:r>
      <w:proofErr w:type="spellStart"/>
      <w:r w:rsidRPr="001A4E17">
        <w:rPr>
          <w:rFonts w:cs="Arial"/>
          <w:sz w:val="20"/>
          <w:szCs w:val="24"/>
        </w:rPr>
        <w:t>Jiannibeth</w:t>
      </w:r>
      <w:proofErr w:type="spellEnd"/>
      <w:r>
        <w:rPr>
          <w:rFonts w:cs="Arial"/>
          <w:sz w:val="20"/>
          <w:szCs w:val="24"/>
        </w:rPr>
        <w:t xml:space="preserve"> </w:t>
      </w:r>
      <w:proofErr w:type="spellStart"/>
      <w:r>
        <w:rPr>
          <w:rFonts w:cs="Arial"/>
          <w:sz w:val="20"/>
          <w:szCs w:val="24"/>
        </w:rPr>
        <w:t>Stephanny</w:t>
      </w:r>
      <w:proofErr w:type="spellEnd"/>
      <w:r>
        <w:rPr>
          <w:rFonts w:cs="Arial"/>
          <w:sz w:val="20"/>
          <w:szCs w:val="24"/>
        </w:rPr>
        <w:t xml:space="preserve"> Guerrero Colina (hija</w:t>
      </w:r>
      <w:r w:rsidRPr="001A4E17">
        <w:rPr>
          <w:rFonts w:cs="Arial"/>
          <w:sz w:val="20"/>
          <w:szCs w:val="24"/>
        </w:rPr>
        <w:t xml:space="preserve">), </w:t>
      </w:r>
      <w:proofErr w:type="spellStart"/>
      <w:r w:rsidRPr="001A4E17">
        <w:rPr>
          <w:rFonts w:cs="Arial"/>
          <w:sz w:val="20"/>
          <w:szCs w:val="24"/>
        </w:rPr>
        <w:t>Diliana</w:t>
      </w:r>
      <w:proofErr w:type="spellEnd"/>
      <w:r w:rsidRPr="001A4E17">
        <w:rPr>
          <w:rFonts w:cs="Arial"/>
          <w:sz w:val="20"/>
          <w:szCs w:val="24"/>
        </w:rPr>
        <w:t xml:space="preserve"> Colina (hija), </w:t>
      </w:r>
      <w:proofErr w:type="spellStart"/>
      <w:r w:rsidRPr="001A4E17">
        <w:rPr>
          <w:rFonts w:cs="Arial"/>
          <w:sz w:val="20"/>
          <w:szCs w:val="24"/>
        </w:rPr>
        <w:t>Fraily</w:t>
      </w:r>
      <w:proofErr w:type="spellEnd"/>
      <w:r w:rsidRPr="001A4E17">
        <w:rPr>
          <w:rFonts w:cs="Arial"/>
          <w:sz w:val="20"/>
          <w:szCs w:val="24"/>
        </w:rPr>
        <w:t xml:space="preserve"> </w:t>
      </w:r>
      <w:proofErr w:type="spellStart"/>
      <w:r w:rsidRPr="001A4E17">
        <w:rPr>
          <w:rFonts w:cs="Arial"/>
          <w:sz w:val="20"/>
          <w:szCs w:val="24"/>
        </w:rPr>
        <w:t>Danaee</w:t>
      </w:r>
      <w:proofErr w:type="spellEnd"/>
      <w:r w:rsidRPr="001A4E17">
        <w:rPr>
          <w:rFonts w:cs="Arial"/>
          <w:sz w:val="20"/>
          <w:szCs w:val="24"/>
        </w:rPr>
        <w:t xml:space="preserve"> Guerrero Chirinos (sobrina) y </w:t>
      </w:r>
      <w:proofErr w:type="spellStart"/>
      <w:r w:rsidRPr="001A4E17">
        <w:rPr>
          <w:rFonts w:cs="Arial"/>
          <w:sz w:val="20"/>
          <w:szCs w:val="24"/>
        </w:rPr>
        <w:t>Anny</w:t>
      </w:r>
      <w:proofErr w:type="spellEnd"/>
      <w:r w:rsidRPr="001A4E17">
        <w:rPr>
          <w:rFonts w:cs="Arial"/>
          <w:sz w:val="20"/>
          <w:szCs w:val="24"/>
        </w:rPr>
        <w:t xml:space="preserve"> Jesenia Colina García (pareja)</w:t>
      </w:r>
      <w:r>
        <w:rPr>
          <w:rFonts w:cs="Arial"/>
          <w:sz w:val="20"/>
          <w:szCs w:val="24"/>
        </w:rPr>
        <w:t>;</w:t>
      </w:r>
      <w:r w:rsidRPr="001A4E17">
        <w:rPr>
          <w:rFonts w:cs="Arial"/>
          <w:sz w:val="20"/>
          <w:szCs w:val="24"/>
        </w:rPr>
        <w:t xml:space="preserve"> </w:t>
      </w:r>
      <w:r>
        <w:rPr>
          <w:rFonts w:cs="Arial"/>
          <w:sz w:val="20"/>
          <w:szCs w:val="24"/>
        </w:rPr>
        <w:t>a</w:t>
      </w:r>
      <w:r w:rsidRPr="001A4E17">
        <w:rPr>
          <w:rFonts w:cs="Arial"/>
          <w:sz w:val="20"/>
          <w:szCs w:val="24"/>
        </w:rPr>
        <w:t xml:space="preserve">sí como </w:t>
      </w:r>
      <w:r>
        <w:rPr>
          <w:rFonts w:cs="Arial"/>
          <w:sz w:val="20"/>
          <w:szCs w:val="24"/>
        </w:rPr>
        <w:t xml:space="preserve">también a </w:t>
      </w:r>
      <w:r w:rsidRPr="001A4E17">
        <w:rPr>
          <w:rFonts w:cs="Arial"/>
          <w:sz w:val="20"/>
          <w:szCs w:val="24"/>
        </w:rPr>
        <w:t xml:space="preserve">Ramón Antonio Molina Pérez y sus familiares: </w:t>
      </w:r>
      <w:proofErr w:type="spellStart"/>
      <w:r w:rsidRPr="001A4E17">
        <w:rPr>
          <w:rFonts w:cs="Times New Roman"/>
          <w:sz w:val="20"/>
          <w:szCs w:val="20"/>
        </w:rPr>
        <w:t>Soleida</w:t>
      </w:r>
      <w:proofErr w:type="spellEnd"/>
      <w:r w:rsidRPr="001A4E17">
        <w:rPr>
          <w:rFonts w:cs="Times New Roman"/>
          <w:sz w:val="20"/>
          <w:szCs w:val="20"/>
        </w:rPr>
        <w:t xml:space="preserve"> Morillo (esposa), Alexander Ramón Molina Morillo (hijo), </w:t>
      </w:r>
      <w:proofErr w:type="spellStart"/>
      <w:r w:rsidRPr="001A4E17">
        <w:rPr>
          <w:rFonts w:cs="Times New Roman"/>
          <w:sz w:val="20"/>
          <w:szCs w:val="20"/>
        </w:rPr>
        <w:t>Yanna</w:t>
      </w:r>
      <w:proofErr w:type="spellEnd"/>
      <w:r w:rsidRPr="001A4E17">
        <w:rPr>
          <w:rFonts w:cs="Times New Roman"/>
          <w:sz w:val="20"/>
          <w:szCs w:val="20"/>
        </w:rPr>
        <w:t xml:space="preserve"> Kari Molina Morillo (hija), </w:t>
      </w:r>
      <w:proofErr w:type="spellStart"/>
      <w:r w:rsidRPr="001A4E17">
        <w:rPr>
          <w:rFonts w:cs="Times New Roman"/>
          <w:sz w:val="20"/>
          <w:szCs w:val="20"/>
        </w:rPr>
        <w:t>Yazmín</w:t>
      </w:r>
      <w:proofErr w:type="spellEnd"/>
      <w:r w:rsidRPr="001A4E17">
        <w:rPr>
          <w:rFonts w:cs="Times New Roman"/>
          <w:sz w:val="20"/>
          <w:szCs w:val="20"/>
        </w:rPr>
        <w:t xml:space="preserve"> Molina Morillo (hija), </w:t>
      </w:r>
      <w:proofErr w:type="spellStart"/>
      <w:r w:rsidRPr="001A4E17">
        <w:rPr>
          <w:rFonts w:cs="Times New Roman"/>
          <w:sz w:val="20"/>
          <w:szCs w:val="20"/>
        </w:rPr>
        <w:t>Endy</w:t>
      </w:r>
      <w:proofErr w:type="spellEnd"/>
      <w:r w:rsidRPr="001A4E17">
        <w:rPr>
          <w:rFonts w:cs="Times New Roman"/>
          <w:sz w:val="20"/>
          <w:szCs w:val="20"/>
        </w:rPr>
        <w:t xml:space="preserve"> Molina Morillo (hijo) y Ramón Molina Morillo (hijo).</w:t>
      </w:r>
      <w:r w:rsidRPr="001A4E17">
        <w:rPr>
          <w:rFonts w:cs="Times New Roman"/>
          <w:b/>
          <w:sz w:val="16"/>
          <w:szCs w:val="20"/>
        </w:rPr>
        <w:t xml:space="preserve"> </w:t>
      </w:r>
    </w:p>
    <w:p w14:paraId="1A963B6A" w14:textId="246FEEA6" w:rsidR="004E64A8" w:rsidRDefault="004E64A8" w:rsidP="001A4E17">
      <w:pPr>
        <w:adjustRightInd w:val="0"/>
        <w:rPr>
          <w:rFonts w:cs="Times New Roman"/>
          <w:sz w:val="20"/>
          <w:szCs w:val="20"/>
        </w:rPr>
      </w:pPr>
    </w:p>
    <w:p w14:paraId="10721BB1" w14:textId="77777777" w:rsidR="004E64A8" w:rsidRPr="0069525B" w:rsidRDefault="004E64A8" w:rsidP="004E64A8">
      <w:pPr>
        <w:pStyle w:val="Prrafodelista"/>
        <w:widowControl/>
        <w:numPr>
          <w:ilvl w:val="0"/>
          <w:numId w:val="25"/>
        </w:numPr>
        <w:adjustRightInd w:val="0"/>
        <w:ind w:left="284" w:firstLine="0"/>
        <w:contextualSpacing/>
        <w:outlineLvl w:val="1"/>
        <w:rPr>
          <w:rFonts w:cs="Times New Roman"/>
          <w:b/>
          <w:i/>
          <w:sz w:val="20"/>
          <w:szCs w:val="20"/>
        </w:rPr>
      </w:pPr>
      <w:r w:rsidRPr="0069525B">
        <w:rPr>
          <w:rFonts w:cs="Times New Roman"/>
          <w:b/>
          <w:i/>
          <w:sz w:val="20"/>
          <w:szCs w:val="20"/>
        </w:rPr>
        <w:t xml:space="preserve"> </w:t>
      </w:r>
      <w:bookmarkStart w:id="80" w:name="_Toc73960384"/>
      <w:r w:rsidRPr="0069525B">
        <w:rPr>
          <w:rFonts w:cs="Times New Roman"/>
          <w:b/>
          <w:i/>
          <w:sz w:val="20"/>
          <w:szCs w:val="20"/>
        </w:rPr>
        <w:t>Obligación de investigar</w:t>
      </w:r>
      <w:bookmarkEnd w:id="80"/>
    </w:p>
    <w:p w14:paraId="049D0209" w14:textId="77777777" w:rsidR="004E64A8" w:rsidRPr="0069525B" w:rsidRDefault="004E64A8" w:rsidP="004E64A8">
      <w:pPr>
        <w:pStyle w:val="Prrafodelista"/>
        <w:adjustRightInd w:val="0"/>
        <w:ind w:left="142"/>
        <w:rPr>
          <w:rFonts w:cs="Times New Roman"/>
          <w:sz w:val="20"/>
          <w:szCs w:val="20"/>
        </w:rPr>
      </w:pPr>
    </w:p>
    <w:p w14:paraId="1663D79B" w14:textId="77777777" w:rsidR="004E64A8" w:rsidRPr="0069525B" w:rsidRDefault="004E64A8" w:rsidP="004E64A8">
      <w:pPr>
        <w:pStyle w:val="Prrafodelista"/>
        <w:widowControl/>
        <w:numPr>
          <w:ilvl w:val="0"/>
          <w:numId w:val="34"/>
        </w:numPr>
        <w:adjustRightInd w:val="0"/>
        <w:ind w:left="0" w:firstLine="0"/>
        <w:contextualSpacing/>
        <w:rPr>
          <w:rFonts w:cs="Times New Roman"/>
          <w:sz w:val="20"/>
          <w:szCs w:val="20"/>
        </w:rPr>
      </w:pPr>
      <w:r w:rsidRPr="0069525B">
        <w:rPr>
          <w:rFonts w:cs="Times New Roman"/>
          <w:sz w:val="20"/>
          <w:szCs w:val="20"/>
        </w:rPr>
        <w:t xml:space="preserve">La </w:t>
      </w:r>
      <w:r w:rsidRPr="0069525B">
        <w:rPr>
          <w:rFonts w:cs="Times New Roman"/>
          <w:b/>
          <w:i/>
          <w:sz w:val="20"/>
          <w:szCs w:val="20"/>
        </w:rPr>
        <w:t>Comisión</w:t>
      </w:r>
      <w:r w:rsidRPr="0069525B">
        <w:rPr>
          <w:rFonts w:cs="Times New Roman"/>
          <w:sz w:val="20"/>
          <w:szCs w:val="20"/>
        </w:rPr>
        <w:t xml:space="preserve"> solicitó que se ordenara al Estado “[c]</w:t>
      </w:r>
      <w:proofErr w:type="spellStart"/>
      <w:r w:rsidRPr="0069525B">
        <w:rPr>
          <w:rFonts w:cs="Times New Roman"/>
          <w:sz w:val="20"/>
          <w:szCs w:val="20"/>
        </w:rPr>
        <w:t>ontinuar</w:t>
      </w:r>
      <w:proofErr w:type="spellEnd"/>
      <w:r w:rsidRPr="0069525B">
        <w:rPr>
          <w:rFonts w:cs="Times New Roman"/>
          <w:sz w:val="20"/>
          <w:szCs w:val="20"/>
        </w:rPr>
        <w:t xml:space="preserve"> con la investigación penal de manera diligente, efectiva y dentro de un plazo razonable con el objeto de esclarecer los hechos en forma completa, identificar todas las posibles responsabilidades e imponer las sanciones que correspondan</w:t>
      </w:r>
      <w:r>
        <w:rPr>
          <w:rFonts w:cs="Times New Roman"/>
          <w:sz w:val="20"/>
          <w:szCs w:val="20"/>
        </w:rPr>
        <w:t>”</w:t>
      </w:r>
      <w:r w:rsidRPr="0069525B">
        <w:rPr>
          <w:rFonts w:cs="Times New Roman"/>
          <w:sz w:val="20"/>
          <w:szCs w:val="20"/>
        </w:rPr>
        <w:t xml:space="preserve">. Asimismo, indicó que “el Estado venezolano </w:t>
      </w:r>
      <w:r w:rsidRPr="0069525B">
        <w:rPr>
          <w:rFonts w:cs="Times New Roman"/>
          <w:sz w:val="20"/>
          <w:szCs w:val="20"/>
        </w:rPr>
        <w:lastRenderedPageBreak/>
        <w:t xml:space="preserve">deberá </w:t>
      </w:r>
      <w:r>
        <w:rPr>
          <w:rFonts w:cs="Times New Roman"/>
          <w:sz w:val="20"/>
          <w:szCs w:val="20"/>
        </w:rPr>
        <w:t xml:space="preserve">[…] </w:t>
      </w:r>
      <w:r w:rsidRPr="0069525B">
        <w:rPr>
          <w:rFonts w:cs="Times New Roman"/>
          <w:sz w:val="20"/>
          <w:szCs w:val="20"/>
        </w:rPr>
        <w:t xml:space="preserve">adoptar todos los correctivos posibles frente a las falencias que se han registrado a lo largo de toda la investigación”.  </w:t>
      </w:r>
    </w:p>
    <w:p w14:paraId="0F5321F7" w14:textId="77777777" w:rsidR="004E64A8" w:rsidRPr="0069525B" w:rsidRDefault="004E64A8" w:rsidP="004E64A8">
      <w:pPr>
        <w:pStyle w:val="Prrafodelista"/>
        <w:adjustRightInd w:val="0"/>
        <w:ind w:left="0"/>
        <w:rPr>
          <w:rFonts w:cs="Times New Roman"/>
          <w:sz w:val="20"/>
          <w:szCs w:val="20"/>
        </w:rPr>
      </w:pPr>
    </w:p>
    <w:p w14:paraId="034AAD3E" w14:textId="77777777" w:rsidR="004E64A8" w:rsidRPr="0069525B" w:rsidRDefault="004E64A8" w:rsidP="004E64A8">
      <w:pPr>
        <w:pStyle w:val="Prrafodelista"/>
        <w:widowControl/>
        <w:numPr>
          <w:ilvl w:val="0"/>
          <w:numId w:val="34"/>
        </w:numPr>
        <w:adjustRightInd w:val="0"/>
        <w:ind w:left="0" w:firstLine="0"/>
        <w:contextualSpacing/>
        <w:rPr>
          <w:rFonts w:cs="Times New Roman"/>
          <w:sz w:val="20"/>
          <w:szCs w:val="20"/>
        </w:rPr>
      </w:pPr>
      <w:r w:rsidRPr="0069525B">
        <w:rPr>
          <w:rFonts w:cs="Times New Roman"/>
          <w:sz w:val="20"/>
          <w:szCs w:val="20"/>
        </w:rPr>
        <w:t xml:space="preserve">Los </w:t>
      </w:r>
      <w:r w:rsidRPr="0069525B">
        <w:rPr>
          <w:rFonts w:cs="Times New Roman"/>
          <w:b/>
          <w:i/>
          <w:sz w:val="20"/>
          <w:szCs w:val="20"/>
        </w:rPr>
        <w:t>representantes</w:t>
      </w:r>
      <w:r w:rsidRPr="0069525B">
        <w:rPr>
          <w:rFonts w:cs="Times New Roman"/>
          <w:sz w:val="20"/>
          <w:szCs w:val="20"/>
        </w:rPr>
        <w:t xml:space="preserve"> requirieron a la Corte que ordene al Estado “reabrir la investigación penal […] y abrir una investigación contra todas las personas responsables por las ejecuciones de Jimmy Guerrero y Ramón Molina”. Asimismo, solicitaron “iniciar una investigación por los hechos de torturas que sufrió Jimmy Guerrero previo a su muerte, puesto que nunca han sido investigados”. </w:t>
      </w:r>
      <w:r>
        <w:rPr>
          <w:rFonts w:cs="Times New Roman"/>
          <w:sz w:val="20"/>
          <w:szCs w:val="20"/>
        </w:rPr>
        <w:t>S</w:t>
      </w:r>
      <w:r w:rsidRPr="0069525B">
        <w:rPr>
          <w:rFonts w:cs="Times New Roman"/>
          <w:sz w:val="20"/>
          <w:szCs w:val="20"/>
        </w:rPr>
        <w:t>eñalaron que “[t]</w:t>
      </w:r>
      <w:proofErr w:type="spellStart"/>
      <w:r w:rsidRPr="0069525B">
        <w:rPr>
          <w:rFonts w:cs="Times New Roman"/>
          <w:sz w:val="20"/>
          <w:szCs w:val="20"/>
        </w:rPr>
        <w:t>anto</w:t>
      </w:r>
      <w:proofErr w:type="spellEnd"/>
      <w:r w:rsidRPr="0069525B">
        <w:rPr>
          <w:rFonts w:cs="Times New Roman"/>
          <w:sz w:val="20"/>
          <w:szCs w:val="20"/>
        </w:rPr>
        <w:t xml:space="preserve"> para esta investigación como para la investigación por la ejecución extrajudicial de las víctimas se debe</w:t>
      </w:r>
      <w:r>
        <w:rPr>
          <w:rFonts w:cs="Times New Roman"/>
          <w:sz w:val="20"/>
          <w:szCs w:val="20"/>
        </w:rPr>
        <w:t>[n]</w:t>
      </w:r>
      <w:r w:rsidRPr="0069525B">
        <w:rPr>
          <w:rFonts w:cs="Times New Roman"/>
          <w:sz w:val="20"/>
          <w:szCs w:val="20"/>
        </w:rPr>
        <w:t xml:space="preserve"> tomar en consideración todos los hostigamientos, amenazas y detenciones ilegales y arbitrarias sufridas por Jimmy Guerrero”. Señalaron que “el único agente policial que fue investigado” fue “fraudulentamente sobreseído”, por lo que requirieron que se ordene al Estado que “las investigaciones ordenadas […] sean cursadas por un órgano independiente e imparcial”. </w:t>
      </w:r>
    </w:p>
    <w:p w14:paraId="62E4D2F4" w14:textId="77777777" w:rsidR="004E64A8" w:rsidRPr="0069525B" w:rsidRDefault="004E64A8" w:rsidP="004E64A8">
      <w:pPr>
        <w:pStyle w:val="Prrafodelista"/>
        <w:ind w:left="0"/>
        <w:rPr>
          <w:rFonts w:cs="Times New Roman"/>
          <w:sz w:val="14"/>
          <w:szCs w:val="20"/>
        </w:rPr>
      </w:pPr>
    </w:p>
    <w:p w14:paraId="7F7DB3A7" w14:textId="7FC2ABC0" w:rsidR="004E64A8" w:rsidRPr="008E0108" w:rsidRDefault="004E64A8" w:rsidP="004E64A8">
      <w:pPr>
        <w:pStyle w:val="Prrafodelista"/>
        <w:widowControl/>
        <w:numPr>
          <w:ilvl w:val="0"/>
          <w:numId w:val="34"/>
        </w:numPr>
        <w:adjustRightInd w:val="0"/>
        <w:ind w:left="0" w:firstLine="0"/>
        <w:contextualSpacing/>
        <w:rPr>
          <w:rFonts w:cs="Times New Roman"/>
          <w:sz w:val="14"/>
          <w:szCs w:val="20"/>
        </w:rPr>
      </w:pPr>
      <w:r w:rsidRPr="0069525B">
        <w:rPr>
          <w:sz w:val="20"/>
        </w:rPr>
        <w:t xml:space="preserve">La </w:t>
      </w:r>
      <w:r w:rsidRPr="0069525B">
        <w:rPr>
          <w:b/>
          <w:i/>
          <w:sz w:val="20"/>
        </w:rPr>
        <w:t>Corte</w:t>
      </w:r>
      <w:r w:rsidRPr="0069525B">
        <w:rPr>
          <w:sz w:val="20"/>
        </w:rPr>
        <w:t xml:space="preserve"> determinó que el Estado vulneró los derechos a las garantías judiciales y a la protección judicial</w:t>
      </w:r>
      <w:r>
        <w:rPr>
          <w:sz w:val="20"/>
        </w:rPr>
        <w:t>,</w:t>
      </w:r>
      <w:r w:rsidRPr="0069525B">
        <w:rPr>
          <w:sz w:val="20"/>
        </w:rPr>
        <w:t xml:space="preserve"> por incumpli</w:t>
      </w:r>
      <w:r>
        <w:rPr>
          <w:sz w:val="20"/>
        </w:rPr>
        <w:t>r</w:t>
      </w:r>
      <w:r w:rsidRPr="0069525B">
        <w:rPr>
          <w:sz w:val="20"/>
        </w:rPr>
        <w:t xml:space="preserve"> su obligación de investigar </w:t>
      </w:r>
      <w:r w:rsidR="00936C24">
        <w:rPr>
          <w:sz w:val="20"/>
        </w:rPr>
        <w:t xml:space="preserve">con la debida diligencia los </w:t>
      </w:r>
      <w:r w:rsidRPr="0069525B">
        <w:rPr>
          <w:sz w:val="20"/>
        </w:rPr>
        <w:t>hechos del</w:t>
      </w:r>
      <w:r w:rsidR="00936C24">
        <w:rPr>
          <w:sz w:val="20"/>
        </w:rPr>
        <w:t xml:space="preserve"> caso</w:t>
      </w:r>
      <w:r w:rsidRPr="0069525B">
        <w:rPr>
          <w:sz w:val="20"/>
        </w:rPr>
        <w:t xml:space="preserve"> </w:t>
      </w:r>
      <w:r w:rsidRPr="00533603">
        <w:rPr>
          <w:sz w:val="20"/>
        </w:rPr>
        <w:t>(</w:t>
      </w:r>
      <w:r w:rsidRPr="00533603">
        <w:rPr>
          <w:i/>
          <w:sz w:val="20"/>
        </w:rPr>
        <w:t xml:space="preserve">supra </w:t>
      </w:r>
      <w:r w:rsidRPr="00533603">
        <w:rPr>
          <w:sz w:val="20"/>
        </w:rPr>
        <w:t>párr. 162).</w:t>
      </w:r>
      <w:r w:rsidRPr="0069525B">
        <w:rPr>
          <w:sz w:val="20"/>
        </w:rPr>
        <w:t xml:space="preserve"> </w:t>
      </w:r>
      <w:r w:rsidRPr="008E0108">
        <w:rPr>
          <w:sz w:val="20"/>
        </w:rPr>
        <w:t>Al respecto, este Tribunal advierte que el sobreseimiento definitivo dictado en 2017 (</w:t>
      </w:r>
      <w:r w:rsidRPr="008E0108">
        <w:rPr>
          <w:i/>
          <w:sz w:val="20"/>
        </w:rPr>
        <w:t>supra</w:t>
      </w:r>
      <w:r w:rsidRPr="008E0108">
        <w:rPr>
          <w:sz w:val="20"/>
        </w:rPr>
        <w:t xml:space="preserve"> </w:t>
      </w:r>
      <w:proofErr w:type="spellStart"/>
      <w:r w:rsidRPr="008E0108">
        <w:rPr>
          <w:sz w:val="20"/>
        </w:rPr>
        <w:t>párr</w:t>
      </w:r>
      <w:r>
        <w:rPr>
          <w:sz w:val="20"/>
        </w:rPr>
        <w:t>s</w:t>
      </w:r>
      <w:proofErr w:type="spellEnd"/>
      <w:r w:rsidRPr="008E0108">
        <w:rPr>
          <w:sz w:val="20"/>
        </w:rPr>
        <w:t xml:space="preserve">. </w:t>
      </w:r>
      <w:r>
        <w:rPr>
          <w:sz w:val="20"/>
        </w:rPr>
        <w:t>86 y 87</w:t>
      </w:r>
      <w:r w:rsidRPr="008E0108">
        <w:rPr>
          <w:sz w:val="20"/>
        </w:rPr>
        <w:t xml:space="preserve">) fue resultado de una investigación que no solo no se llevó a cabo con la diligencia debida, sino que adoleció de obstaculizaciones por parte de las autoridades a cargo de </w:t>
      </w:r>
      <w:proofErr w:type="gramStart"/>
      <w:r w:rsidRPr="008E0108">
        <w:rPr>
          <w:sz w:val="20"/>
        </w:rPr>
        <w:t>la misma</w:t>
      </w:r>
      <w:proofErr w:type="gramEnd"/>
      <w:r w:rsidRPr="008E0108">
        <w:rPr>
          <w:sz w:val="20"/>
        </w:rPr>
        <w:t xml:space="preserve">. Aunado a lo anterior, surge de los hechos </w:t>
      </w:r>
      <w:r w:rsidR="008A4FA0" w:rsidRPr="008E0108">
        <w:rPr>
          <w:sz w:val="20"/>
        </w:rPr>
        <w:t>que,</w:t>
      </w:r>
      <w:r w:rsidRPr="008E0108">
        <w:rPr>
          <w:sz w:val="20"/>
        </w:rPr>
        <w:t xml:space="preserve"> en abril de </w:t>
      </w:r>
      <w:r w:rsidRPr="008E0108">
        <w:rPr>
          <w:sz w:val="20"/>
          <w:szCs w:val="20"/>
          <w:lang w:val="es-CR"/>
        </w:rPr>
        <w:t>2016, cuando la Fiscalía 17 emitió la solicitud de orden de aprehensión contra el funcionario policial F.R., contaba ya con información de diversas medidas de investigación que habían resultado infructuosas</w:t>
      </w:r>
      <w:r w:rsidR="0027270D">
        <w:rPr>
          <w:sz w:val="20"/>
          <w:szCs w:val="20"/>
          <w:lang w:val="es-CR"/>
        </w:rPr>
        <w:t>.</w:t>
      </w:r>
      <w:r w:rsidRPr="008E0108">
        <w:rPr>
          <w:sz w:val="20"/>
          <w:szCs w:val="20"/>
          <w:lang w:val="es-CR"/>
        </w:rPr>
        <w:t xml:space="preserve"> </w:t>
      </w:r>
      <w:r w:rsidR="0027270D">
        <w:rPr>
          <w:sz w:val="20"/>
          <w:szCs w:val="20"/>
          <w:lang w:val="es-CR"/>
        </w:rPr>
        <w:t>Esas medidas fueron las mismas</w:t>
      </w:r>
      <w:r w:rsidRPr="008E0108">
        <w:rPr>
          <w:sz w:val="20"/>
          <w:szCs w:val="20"/>
          <w:lang w:val="es-CR"/>
        </w:rPr>
        <w:t xml:space="preserve"> que después</w:t>
      </w:r>
      <w:r w:rsidR="0027270D">
        <w:rPr>
          <w:sz w:val="20"/>
          <w:szCs w:val="20"/>
          <w:lang w:val="es-CR"/>
        </w:rPr>
        <w:t>,</w:t>
      </w:r>
      <w:r w:rsidRPr="008E0108">
        <w:rPr>
          <w:sz w:val="20"/>
          <w:szCs w:val="20"/>
          <w:lang w:val="es-CR"/>
        </w:rPr>
        <w:t xml:space="preserve"> e</w:t>
      </w:r>
      <w:r w:rsidR="0027270D">
        <w:rPr>
          <w:sz w:val="20"/>
          <w:szCs w:val="20"/>
          <w:lang w:val="es-CR"/>
        </w:rPr>
        <w:t>n</w:t>
      </w:r>
      <w:r w:rsidRPr="008E0108">
        <w:rPr>
          <w:sz w:val="20"/>
          <w:szCs w:val="20"/>
          <w:lang w:val="es-CR"/>
        </w:rPr>
        <w:t xml:space="preserve"> septiembre de 2017, la misma Fiscalía 17 tuvo en cuenta para solicitar el sobreseimiento</w:t>
      </w:r>
      <w:r w:rsidRPr="008E0108">
        <w:rPr>
          <w:rStyle w:val="Refdenotaalpie"/>
          <w:sz w:val="20"/>
          <w:szCs w:val="20"/>
          <w:lang w:val="es-CR"/>
        </w:rPr>
        <w:footnoteReference w:id="172"/>
      </w:r>
      <w:r w:rsidRPr="008E0108">
        <w:rPr>
          <w:sz w:val="20"/>
          <w:szCs w:val="20"/>
          <w:lang w:val="es-CR"/>
        </w:rPr>
        <w:t>, sin que conste que entre ambos momentos se efectivizaran medi</w:t>
      </w:r>
      <w:r w:rsidR="008356B5">
        <w:rPr>
          <w:sz w:val="20"/>
          <w:szCs w:val="20"/>
          <w:lang w:val="es-CR"/>
        </w:rPr>
        <w:t>d</w:t>
      </w:r>
      <w:r w:rsidRPr="008E0108">
        <w:rPr>
          <w:sz w:val="20"/>
          <w:szCs w:val="20"/>
          <w:lang w:val="es-CR"/>
        </w:rPr>
        <w:t xml:space="preserve">as </w:t>
      </w:r>
      <w:r w:rsidR="0087743B">
        <w:rPr>
          <w:sz w:val="20"/>
          <w:szCs w:val="20"/>
          <w:lang w:val="es-CR"/>
        </w:rPr>
        <w:t xml:space="preserve">sustantivas </w:t>
      </w:r>
      <w:r w:rsidRPr="008E0108">
        <w:rPr>
          <w:sz w:val="20"/>
          <w:szCs w:val="20"/>
          <w:lang w:val="es-CR"/>
        </w:rPr>
        <w:t xml:space="preserve">de investigación adicionales. </w:t>
      </w:r>
      <w:r w:rsidR="008A4FA0">
        <w:rPr>
          <w:sz w:val="20"/>
          <w:szCs w:val="20"/>
          <w:lang w:val="es-CR"/>
        </w:rPr>
        <w:t>La falta de una investigación diligente, y de acciones sustantivas de investigación posteriores a la solicitud de la orden de aprehensión, que tuvieran aptitud para completar la investigación o subsanar sus deficiencias previas muestra que</w:t>
      </w:r>
      <w:r w:rsidRPr="008E0108">
        <w:rPr>
          <w:sz w:val="20"/>
          <w:szCs w:val="20"/>
          <w:lang w:val="es-CR"/>
        </w:rPr>
        <w:t xml:space="preserve"> la vinculación de F. R. al proceso y su orden de aprehensión no fueron actos que estuvieran dirigidos en forma efectiva a avanzar en la determinación </w:t>
      </w:r>
      <w:r w:rsidR="009F3673">
        <w:rPr>
          <w:sz w:val="20"/>
          <w:szCs w:val="20"/>
          <w:lang w:val="es-CR"/>
        </w:rPr>
        <w:t xml:space="preserve">de </w:t>
      </w:r>
      <w:r w:rsidRPr="008E0108">
        <w:rPr>
          <w:sz w:val="20"/>
          <w:szCs w:val="20"/>
          <w:lang w:val="es-CR"/>
        </w:rPr>
        <w:t xml:space="preserve">su presunta responsabilidad penal. </w:t>
      </w:r>
    </w:p>
    <w:p w14:paraId="14621CC9" w14:textId="77777777" w:rsidR="004E64A8" w:rsidRDefault="004E64A8" w:rsidP="004E64A8">
      <w:pPr>
        <w:pStyle w:val="Prrafodelista"/>
        <w:rPr>
          <w:sz w:val="20"/>
        </w:rPr>
      </w:pPr>
    </w:p>
    <w:p w14:paraId="12F6FC1A" w14:textId="77777777" w:rsidR="004E64A8" w:rsidRPr="00294CCA" w:rsidRDefault="004E64A8" w:rsidP="004E64A8">
      <w:pPr>
        <w:pStyle w:val="Prrafodelista"/>
        <w:widowControl/>
        <w:numPr>
          <w:ilvl w:val="0"/>
          <w:numId w:val="34"/>
        </w:numPr>
        <w:adjustRightInd w:val="0"/>
        <w:ind w:left="0" w:firstLine="0"/>
        <w:contextualSpacing/>
        <w:rPr>
          <w:rFonts w:cs="Times New Roman"/>
          <w:sz w:val="14"/>
          <w:szCs w:val="20"/>
        </w:rPr>
      </w:pPr>
      <w:r>
        <w:rPr>
          <w:sz w:val="20"/>
        </w:rPr>
        <w:t>P</w:t>
      </w:r>
      <w:r w:rsidRPr="0069525B">
        <w:rPr>
          <w:sz w:val="20"/>
        </w:rPr>
        <w:t>or ello,</w:t>
      </w:r>
      <w:r>
        <w:rPr>
          <w:sz w:val="20"/>
        </w:rPr>
        <w:t xml:space="preserve"> la Corte</w:t>
      </w:r>
      <w:r w:rsidRPr="0069525B">
        <w:rPr>
          <w:sz w:val="20"/>
        </w:rPr>
        <w:t xml:space="preserve"> dispone que el Estado </w:t>
      </w:r>
      <w:r w:rsidRPr="0069525B">
        <w:rPr>
          <w:sz w:val="20"/>
          <w:lang w:val="es-GT"/>
        </w:rPr>
        <w:t xml:space="preserve">lleve a cabo, en un plazo razonable, las investigaciones y procesos penales correspondientes con el fin de individualizar, identificar, juzgar y, en su caso, sancionar </w:t>
      </w:r>
      <w:r w:rsidRPr="0069525B">
        <w:rPr>
          <w:sz w:val="20"/>
        </w:rPr>
        <w:t xml:space="preserve">a las personas responsables de las muertes de </w:t>
      </w:r>
      <w:r w:rsidRPr="0069525B">
        <w:rPr>
          <w:rFonts w:cs="Arial"/>
          <w:sz w:val="20"/>
          <w:szCs w:val="24"/>
        </w:rPr>
        <w:t>Jimmy Guerrero y Ramón Molina</w:t>
      </w:r>
      <w:r>
        <w:rPr>
          <w:rFonts w:cs="Arial"/>
          <w:sz w:val="20"/>
          <w:szCs w:val="24"/>
        </w:rPr>
        <w:t xml:space="preserve"> (</w:t>
      </w:r>
      <w:r>
        <w:rPr>
          <w:rFonts w:cs="Arial"/>
          <w:i/>
          <w:sz w:val="20"/>
          <w:szCs w:val="24"/>
        </w:rPr>
        <w:t xml:space="preserve">supra </w:t>
      </w:r>
      <w:proofErr w:type="spellStart"/>
      <w:r>
        <w:rPr>
          <w:rFonts w:cs="Arial"/>
          <w:sz w:val="20"/>
          <w:szCs w:val="24"/>
        </w:rPr>
        <w:t>párrs</w:t>
      </w:r>
      <w:proofErr w:type="spellEnd"/>
      <w:r>
        <w:rPr>
          <w:rFonts w:cs="Arial"/>
          <w:sz w:val="20"/>
          <w:szCs w:val="24"/>
        </w:rPr>
        <w:t>. 70 a 75)</w:t>
      </w:r>
      <w:r w:rsidRPr="0069525B">
        <w:rPr>
          <w:sz w:val="20"/>
          <w:lang w:val="es-GT"/>
        </w:rPr>
        <w:t>, así como de las torturas (</w:t>
      </w:r>
      <w:r w:rsidRPr="0069525B">
        <w:rPr>
          <w:i/>
          <w:sz w:val="20"/>
          <w:lang w:val="es-GT"/>
        </w:rPr>
        <w:t xml:space="preserve">supra </w:t>
      </w:r>
      <w:proofErr w:type="spellStart"/>
      <w:r w:rsidRPr="0069525B">
        <w:rPr>
          <w:sz w:val="20"/>
          <w:lang w:val="es-GT"/>
        </w:rPr>
        <w:t>párr</w:t>
      </w:r>
      <w:r>
        <w:rPr>
          <w:sz w:val="20"/>
          <w:lang w:val="es-GT"/>
        </w:rPr>
        <w:t>s</w:t>
      </w:r>
      <w:proofErr w:type="spellEnd"/>
      <w:r w:rsidRPr="0069525B">
        <w:rPr>
          <w:sz w:val="20"/>
          <w:lang w:val="es-GT"/>
        </w:rPr>
        <w:t xml:space="preserve">. </w:t>
      </w:r>
      <w:r>
        <w:rPr>
          <w:sz w:val="20"/>
          <w:lang w:val="es-GT"/>
        </w:rPr>
        <w:t>65 y 66</w:t>
      </w:r>
      <w:r w:rsidRPr="0069525B">
        <w:rPr>
          <w:sz w:val="20"/>
          <w:lang w:val="es-GT"/>
        </w:rPr>
        <w:t>) y posibles torturas (</w:t>
      </w:r>
      <w:r w:rsidRPr="0069525B">
        <w:rPr>
          <w:i/>
          <w:sz w:val="20"/>
          <w:lang w:val="es-GT"/>
        </w:rPr>
        <w:t xml:space="preserve">supra </w:t>
      </w:r>
      <w:r w:rsidRPr="0069525B">
        <w:rPr>
          <w:sz w:val="20"/>
          <w:lang w:val="es-GT"/>
        </w:rPr>
        <w:t xml:space="preserve">párr. </w:t>
      </w:r>
      <w:r>
        <w:rPr>
          <w:sz w:val="20"/>
          <w:lang w:val="es-GT"/>
        </w:rPr>
        <w:t>72 y 73</w:t>
      </w:r>
      <w:r w:rsidRPr="0069525B">
        <w:rPr>
          <w:sz w:val="20"/>
          <w:lang w:val="es-GT"/>
        </w:rPr>
        <w:t>) que padeció el primero, y de los actos de hostigamiento,</w:t>
      </w:r>
      <w:r>
        <w:rPr>
          <w:sz w:val="20"/>
          <w:lang w:val="es-GT"/>
        </w:rPr>
        <w:t xml:space="preserve"> allanamiento,</w:t>
      </w:r>
      <w:r w:rsidRPr="0069525B">
        <w:rPr>
          <w:sz w:val="20"/>
          <w:lang w:val="es-GT"/>
        </w:rPr>
        <w:t xml:space="preserve"> amenazas y detenciones ilegales y arbitrarias que </w:t>
      </w:r>
      <w:r w:rsidRPr="008E0108">
        <w:rPr>
          <w:sz w:val="20"/>
          <w:lang w:val="es-GT"/>
        </w:rPr>
        <w:t>denunció</w:t>
      </w:r>
      <w:r w:rsidRPr="0069525B">
        <w:rPr>
          <w:sz w:val="20"/>
          <w:lang w:val="es-GT"/>
        </w:rPr>
        <w:t xml:space="preserve"> </w:t>
      </w:r>
      <w:r>
        <w:rPr>
          <w:sz w:val="20"/>
          <w:lang w:val="es-GT"/>
        </w:rPr>
        <w:t xml:space="preserve">o refirió en presentaciones ante autoridades </w:t>
      </w:r>
      <w:r w:rsidRPr="0069525B">
        <w:rPr>
          <w:sz w:val="20"/>
          <w:lang w:val="es-GT"/>
        </w:rPr>
        <w:t>(</w:t>
      </w:r>
      <w:r w:rsidRPr="0069525B">
        <w:rPr>
          <w:i/>
          <w:sz w:val="20"/>
          <w:lang w:val="es-GT"/>
        </w:rPr>
        <w:t xml:space="preserve">supra </w:t>
      </w:r>
      <w:proofErr w:type="spellStart"/>
      <w:r w:rsidRPr="0069525B">
        <w:rPr>
          <w:sz w:val="20"/>
          <w:lang w:val="es-GT"/>
        </w:rPr>
        <w:t>párrs</w:t>
      </w:r>
      <w:proofErr w:type="spellEnd"/>
      <w:r w:rsidRPr="0069525B">
        <w:rPr>
          <w:sz w:val="20"/>
          <w:lang w:val="es-GT"/>
        </w:rPr>
        <w:t>.</w:t>
      </w:r>
      <w:r>
        <w:rPr>
          <w:sz w:val="20"/>
          <w:lang w:val="es-GT"/>
        </w:rPr>
        <w:t xml:space="preserve"> 56 a 69</w:t>
      </w:r>
      <w:r w:rsidRPr="0069525B">
        <w:rPr>
          <w:sz w:val="20"/>
          <w:lang w:val="es-GT"/>
        </w:rPr>
        <w:t>)</w:t>
      </w:r>
      <w:r>
        <w:rPr>
          <w:rStyle w:val="Refdenotaalpie"/>
          <w:sz w:val="20"/>
          <w:lang w:val="es-GT"/>
        </w:rPr>
        <w:footnoteReference w:id="173"/>
      </w:r>
      <w:r w:rsidRPr="0069525B">
        <w:rPr>
          <w:sz w:val="20"/>
          <w:lang w:val="es-GT"/>
        </w:rPr>
        <w:t>.</w:t>
      </w:r>
      <w:r>
        <w:rPr>
          <w:sz w:val="20"/>
          <w:lang w:val="es-GT"/>
        </w:rPr>
        <w:t xml:space="preserve"> </w:t>
      </w:r>
      <w:r w:rsidRPr="008E0108">
        <w:rPr>
          <w:sz w:val="20"/>
          <w:lang w:val="es-GT"/>
        </w:rPr>
        <w:t>Venezuela debe efectuar lo anterior de conformidad con lo que prevea el derecho interno, sin perjuicio de lo cual debe adoptar las acciones necesarias para que el sobreseimiento dictado en el caso (</w:t>
      </w:r>
      <w:r w:rsidRPr="008E0108">
        <w:rPr>
          <w:i/>
          <w:sz w:val="20"/>
          <w:lang w:val="es-GT"/>
        </w:rPr>
        <w:t xml:space="preserve">supra </w:t>
      </w:r>
      <w:proofErr w:type="spellStart"/>
      <w:r w:rsidRPr="008E0108">
        <w:rPr>
          <w:sz w:val="20"/>
          <w:lang w:val="es-GT"/>
        </w:rPr>
        <w:t>párrs</w:t>
      </w:r>
      <w:proofErr w:type="spellEnd"/>
      <w:r w:rsidRPr="008E0108">
        <w:rPr>
          <w:sz w:val="20"/>
          <w:lang w:val="es-GT"/>
        </w:rPr>
        <w:t xml:space="preserve">. </w:t>
      </w:r>
      <w:r>
        <w:rPr>
          <w:sz w:val="20"/>
          <w:lang w:val="es-GT"/>
        </w:rPr>
        <w:t>86, 87 y 168</w:t>
      </w:r>
      <w:r w:rsidRPr="008E0108">
        <w:rPr>
          <w:sz w:val="20"/>
          <w:lang w:val="es-GT"/>
        </w:rPr>
        <w:t>) no constituya un obstáculo a las actuaciones.</w:t>
      </w:r>
      <w:r w:rsidRPr="00294CCA">
        <w:rPr>
          <w:sz w:val="20"/>
          <w:lang w:val="es-GT"/>
        </w:rPr>
        <w:t xml:space="preserve"> El Estado debe, además:</w:t>
      </w:r>
    </w:p>
    <w:p w14:paraId="283223F3" w14:textId="77777777" w:rsidR="004E64A8" w:rsidRPr="00294CCA" w:rsidRDefault="004E64A8" w:rsidP="004E64A8">
      <w:pPr>
        <w:jc w:val="both"/>
        <w:rPr>
          <w:sz w:val="20"/>
          <w:lang w:val="es-GT"/>
        </w:rPr>
      </w:pPr>
    </w:p>
    <w:p w14:paraId="2699E517" w14:textId="77777777" w:rsidR="004E64A8" w:rsidRPr="00294CCA" w:rsidRDefault="004E64A8" w:rsidP="004E64A8">
      <w:pPr>
        <w:ind w:left="142"/>
        <w:jc w:val="both"/>
        <w:rPr>
          <w:sz w:val="20"/>
          <w:lang w:val="es-GT"/>
        </w:rPr>
      </w:pPr>
      <w:r w:rsidRPr="00294CCA">
        <w:rPr>
          <w:sz w:val="20"/>
          <w:lang w:val="es-GT"/>
        </w:rPr>
        <w:lastRenderedPageBreak/>
        <w:t>a)</w:t>
      </w:r>
      <w:r w:rsidRPr="00294CCA">
        <w:rPr>
          <w:sz w:val="20"/>
          <w:lang w:val="es-GT"/>
        </w:rPr>
        <w:tab/>
        <w:t>asegurar que los distintos órganos del sistema de justicia involucrados en el caso cuenten con los recursos humanos y materiales necesarios para desempeñar sus tareas de manera adecuada, independiente e imparcial</w:t>
      </w:r>
      <w:r>
        <w:rPr>
          <w:sz w:val="20"/>
          <w:lang w:val="es-GT"/>
        </w:rPr>
        <w:t>,</w:t>
      </w:r>
      <w:r w:rsidRPr="00294CCA">
        <w:rPr>
          <w:sz w:val="20"/>
          <w:lang w:val="es-GT"/>
        </w:rPr>
        <w:t xml:space="preserve"> y que las personas que participen en la investigación, entre ellas víctimas, testigos y operadores de justicia, cuenten con las debidas garantías de seguridad;</w:t>
      </w:r>
    </w:p>
    <w:p w14:paraId="78F66597" w14:textId="4E89E686" w:rsidR="004E64A8" w:rsidRPr="00294CCA" w:rsidRDefault="004E64A8" w:rsidP="004E64A8">
      <w:pPr>
        <w:ind w:left="142"/>
        <w:jc w:val="both"/>
        <w:rPr>
          <w:sz w:val="20"/>
          <w:lang w:val="es-GT"/>
        </w:rPr>
      </w:pPr>
      <w:r w:rsidRPr="00294CCA">
        <w:rPr>
          <w:sz w:val="20"/>
          <w:lang w:val="es-GT"/>
        </w:rPr>
        <w:t>b)</w:t>
      </w:r>
      <w:r w:rsidRPr="00294CCA">
        <w:rPr>
          <w:sz w:val="20"/>
          <w:lang w:val="es-GT"/>
        </w:rPr>
        <w:tab/>
        <w:t xml:space="preserve">procurar una actuación </w:t>
      </w:r>
      <w:r>
        <w:rPr>
          <w:sz w:val="20"/>
          <w:lang w:val="es-GT"/>
        </w:rPr>
        <w:t>que observe la</w:t>
      </w:r>
      <w:r w:rsidRPr="00294CCA">
        <w:rPr>
          <w:sz w:val="20"/>
          <w:lang w:val="es-GT"/>
        </w:rPr>
        <w:t xml:space="preserve"> debida diligencia, que implique el seguimiento de líneas lógicas de investigación y la consideración del contexto y antecedentes de los hechos, y que todas las autoridades estatales estén obligadas a colaborar en la recaudación de la prueba, por lo que deberán brindar a</w:t>
      </w:r>
      <w:r>
        <w:rPr>
          <w:sz w:val="20"/>
          <w:lang w:val="es-GT"/>
        </w:rPr>
        <w:t xml:space="preserve"> </w:t>
      </w:r>
      <w:r w:rsidRPr="00294CCA">
        <w:rPr>
          <w:sz w:val="20"/>
          <w:lang w:val="es-GT"/>
        </w:rPr>
        <w:t>l</w:t>
      </w:r>
      <w:r>
        <w:rPr>
          <w:sz w:val="20"/>
          <w:lang w:val="es-GT"/>
        </w:rPr>
        <w:t>a</w:t>
      </w:r>
      <w:r w:rsidRPr="00294CCA">
        <w:rPr>
          <w:sz w:val="20"/>
          <w:lang w:val="es-GT"/>
        </w:rPr>
        <w:t xml:space="preserve"> </w:t>
      </w:r>
      <w:r>
        <w:rPr>
          <w:sz w:val="20"/>
          <w:lang w:val="es-GT"/>
        </w:rPr>
        <w:t xml:space="preserve">autoridad </w:t>
      </w:r>
      <w:r w:rsidRPr="00294CCA">
        <w:rPr>
          <w:sz w:val="20"/>
          <w:lang w:val="es-GT"/>
        </w:rPr>
        <w:t>ju</w:t>
      </w:r>
      <w:r>
        <w:rPr>
          <w:sz w:val="20"/>
          <w:lang w:val="es-GT"/>
        </w:rPr>
        <w:t>dicial</w:t>
      </w:r>
      <w:r w:rsidRPr="00294CCA">
        <w:rPr>
          <w:sz w:val="20"/>
          <w:lang w:val="es-GT"/>
        </w:rPr>
        <w:t xml:space="preserve">, fiscal </w:t>
      </w:r>
      <w:r>
        <w:rPr>
          <w:sz w:val="20"/>
          <w:lang w:val="es-GT"/>
        </w:rPr>
        <w:t>y/</w:t>
      </w:r>
      <w:r w:rsidRPr="00294CCA">
        <w:rPr>
          <w:sz w:val="20"/>
          <w:lang w:val="es-GT"/>
        </w:rPr>
        <w:t>u otra</w:t>
      </w:r>
      <w:r>
        <w:rPr>
          <w:sz w:val="20"/>
          <w:lang w:val="es-GT"/>
        </w:rPr>
        <w:t>s</w:t>
      </w:r>
      <w:r w:rsidRPr="00294CCA">
        <w:rPr>
          <w:sz w:val="20"/>
          <w:lang w:val="es-GT"/>
        </w:rPr>
        <w:t xml:space="preserve"> autoridad</w:t>
      </w:r>
      <w:r>
        <w:rPr>
          <w:sz w:val="20"/>
          <w:lang w:val="es-GT"/>
        </w:rPr>
        <w:t>es correspondientes</w:t>
      </w:r>
      <w:r w:rsidRPr="00294CCA">
        <w:rPr>
          <w:sz w:val="20"/>
          <w:lang w:val="es-GT"/>
        </w:rPr>
        <w:t xml:space="preserve"> toda la información que requiera</w:t>
      </w:r>
      <w:r>
        <w:rPr>
          <w:sz w:val="20"/>
          <w:lang w:val="es-GT"/>
        </w:rPr>
        <w:t>n</w:t>
      </w:r>
      <w:r w:rsidRPr="00294CCA">
        <w:rPr>
          <w:sz w:val="20"/>
          <w:lang w:val="es-GT"/>
        </w:rPr>
        <w:t xml:space="preserve"> y abstenerse de actos que impliquen la obstrucción para la m</w:t>
      </w:r>
      <w:r w:rsidR="00533603">
        <w:rPr>
          <w:sz w:val="20"/>
          <w:lang w:val="es-GT"/>
        </w:rPr>
        <w:t>archa del proceso investigativo, y</w:t>
      </w:r>
    </w:p>
    <w:p w14:paraId="1FA44193" w14:textId="77777777" w:rsidR="004E64A8" w:rsidRPr="00294CCA" w:rsidRDefault="004E64A8" w:rsidP="004E64A8">
      <w:pPr>
        <w:ind w:left="142"/>
        <w:jc w:val="both"/>
        <w:rPr>
          <w:sz w:val="20"/>
          <w:lang w:val="es-GT"/>
        </w:rPr>
      </w:pPr>
      <w:r w:rsidRPr="00294CCA">
        <w:rPr>
          <w:sz w:val="20"/>
          <w:lang w:val="es-GT"/>
        </w:rPr>
        <w:t>c)</w:t>
      </w:r>
      <w:r w:rsidRPr="00294CCA">
        <w:rPr>
          <w:sz w:val="20"/>
          <w:lang w:val="es-GT"/>
        </w:rPr>
        <w:tab/>
        <w:t xml:space="preserve">asegurar el pleno acceso y capacidad de actuar de los familiares de Jimmy Guerrero y Ramón Molina en todas las etapas de </w:t>
      </w:r>
      <w:r>
        <w:rPr>
          <w:sz w:val="20"/>
          <w:lang w:val="es-GT"/>
        </w:rPr>
        <w:t>las</w:t>
      </w:r>
      <w:r w:rsidRPr="00294CCA">
        <w:rPr>
          <w:sz w:val="20"/>
          <w:lang w:val="es-GT"/>
        </w:rPr>
        <w:t xml:space="preserve"> investigaci</w:t>
      </w:r>
      <w:r>
        <w:rPr>
          <w:sz w:val="20"/>
          <w:lang w:val="es-GT"/>
        </w:rPr>
        <w:t>ones</w:t>
      </w:r>
      <w:r w:rsidRPr="00294CCA">
        <w:rPr>
          <w:sz w:val="20"/>
          <w:lang w:val="es-GT"/>
        </w:rPr>
        <w:t>, de acuerdo con la ley interna y las normas de la Convención Americana</w:t>
      </w:r>
      <w:r w:rsidRPr="00294CCA">
        <w:rPr>
          <w:rStyle w:val="Refdenotaalpie"/>
          <w:sz w:val="20"/>
          <w:lang w:val="es-GT"/>
        </w:rPr>
        <w:footnoteReference w:id="174"/>
      </w:r>
      <w:r w:rsidRPr="00294CCA">
        <w:rPr>
          <w:sz w:val="20"/>
          <w:lang w:val="es-GT"/>
        </w:rPr>
        <w:t>.</w:t>
      </w:r>
    </w:p>
    <w:p w14:paraId="7B7477A5" w14:textId="77777777" w:rsidR="004E64A8" w:rsidRPr="00294CCA" w:rsidRDefault="004E64A8" w:rsidP="004E64A8">
      <w:pPr>
        <w:adjustRightInd w:val="0"/>
        <w:jc w:val="both"/>
        <w:rPr>
          <w:rFonts w:cs="Times New Roman"/>
          <w:sz w:val="20"/>
          <w:szCs w:val="20"/>
        </w:rPr>
      </w:pPr>
    </w:p>
    <w:p w14:paraId="3E1EED94" w14:textId="77777777" w:rsidR="004E64A8" w:rsidRPr="0069525B" w:rsidRDefault="004E64A8" w:rsidP="004E64A8">
      <w:pPr>
        <w:pStyle w:val="Prrafodelista"/>
        <w:widowControl/>
        <w:numPr>
          <w:ilvl w:val="0"/>
          <w:numId w:val="34"/>
        </w:numPr>
        <w:adjustRightInd w:val="0"/>
        <w:ind w:left="0" w:firstLine="0"/>
        <w:contextualSpacing/>
        <w:rPr>
          <w:rFonts w:cs="Times New Roman"/>
          <w:sz w:val="20"/>
          <w:szCs w:val="20"/>
        </w:rPr>
      </w:pPr>
      <w:r w:rsidRPr="00294CCA">
        <w:rPr>
          <w:rFonts w:cs="Times New Roman"/>
          <w:sz w:val="20"/>
          <w:szCs w:val="20"/>
        </w:rPr>
        <w:t>La Corte, por otra parte, determinó que hubo obstaculizaciones a las investigaciones y que las mismas derivaron en un sobreseimiento dictado en contravención a las obligaciones estatales bajo la Convención Americana</w:t>
      </w:r>
      <w:r w:rsidRPr="0069525B">
        <w:rPr>
          <w:rFonts w:cs="Times New Roman"/>
          <w:sz w:val="20"/>
          <w:szCs w:val="20"/>
        </w:rPr>
        <w:t xml:space="preserve"> (</w:t>
      </w:r>
      <w:r w:rsidRPr="0069525B">
        <w:rPr>
          <w:rFonts w:cs="Times New Roman"/>
          <w:i/>
          <w:sz w:val="20"/>
          <w:szCs w:val="20"/>
        </w:rPr>
        <w:t xml:space="preserve">supra </w:t>
      </w:r>
      <w:proofErr w:type="spellStart"/>
      <w:r w:rsidRPr="0069525B">
        <w:rPr>
          <w:rFonts w:cs="Times New Roman"/>
          <w:sz w:val="20"/>
          <w:szCs w:val="20"/>
        </w:rPr>
        <w:t>párrs</w:t>
      </w:r>
      <w:proofErr w:type="spellEnd"/>
      <w:r w:rsidRPr="0069525B">
        <w:rPr>
          <w:rFonts w:cs="Times New Roman"/>
          <w:sz w:val="20"/>
          <w:szCs w:val="20"/>
        </w:rPr>
        <w:t xml:space="preserve">. </w:t>
      </w:r>
      <w:r>
        <w:rPr>
          <w:rFonts w:cs="Times New Roman"/>
          <w:sz w:val="20"/>
          <w:szCs w:val="20"/>
        </w:rPr>
        <w:t>153 y 168</w:t>
      </w:r>
      <w:r w:rsidRPr="0069525B">
        <w:rPr>
          <w:rFonts w:cs="Times New Roman"/>
          <w:sz w:val="20"/>
          <w:szCs w:val="20"/>
        </w:rPr>
        <w:t xml:space="preserve">). Por ello, como parte de la obligación de investigar, entiende procedente ordenar al Estado que, en un plazo razonable, de conformidad con lo que el derecho interno prevea, lleve adelante los procedimientos pertinentes tendientes a determinar las eventuales responsabilidades disciplinarias o administrativas de funcionarios estatales por las circunstancias aludidas. </w:t>
      </w:r>
    </w:p>
    <w:p w14:paraId="438D0B53" w14:textId="77777777" w:rsidR="004E64A8" w:rsidRPr="0069525B" w:rsidRDefault="004E64A8" w:rsidP="004E64A8">
      <w:pPr>
        <w:pStyle w:val="Prrafodelista"/>
        <w:adjustRightInd w:val="0"/>
        <w:ind w:left="0"/>
        <w:rPr>
          <w:rFonts w:cs="Times New Roman"/>
          <w:sz w:val="21"/>
          <w:szCs w:val="21"/>
        </w:rPr>
      </w:pPr>
    </w:p>
    <w:p w14:paraId="14F850B6" w14:textId="77777777" w:rsidR="004E64A8" w:rsidRPr="0069525B" w:rsidRDefault="004E64A8" w:rsidP="004E64A8">
      <w:pPr>
        <w:pStyle w:val="Ttulo2"/>
        <w:keepNext/>
        <w:keepLines/>
        <w:widowControl/>
        <w:numPr>
          <w:ilvl w:val="0"/>
          <w:numId w:val="25"/>
        </w:numPr>
        <w:autoSpaceDE/>
        <w:autoSpaceDN/>
        <w:ind w:left="284" w:firstLine="0"/>
        <w:rPr>
          <w:rFonts w:cs="Times New Roman"/>
          <w:b w:val="0"/>
          <w:i w:val="0"/>
        </w:rPr>
      </w:pPr>
      <w:bookmarkStart w:id="81" w:name="_Toc73960385"/>
      <w:r w:rsidRPr="0069525B">
        <w:rPr>
          <w:rFonts w:cs="Times New Roman"/>
        </w:rPr>
        <w:t>Medidas de rehabilitación</w:t>
      </w:r>
      <w:bookmarkEnd w:id="81"/>
    </w:p>
    <w:p w14:paraId="153D1CA1" w14:textId="77777777" w:rsidR="004E64A8" w:rsidRPr="0069525B" w:rsidRDefault="004E64A8" w:rsidP="004E64A8">
      <w:pPr>
        <w:pStyle w:val="Prrafodelista"/>
        <w:adjustRightInd w:val="0"/>
        <w:ind w:left="0"/>
        <w:rPr>
          <w:rFonts w:cs="Times New Roman"/>
          <w:sz w:val="21"/>
          <w:szCs w:val="21"/>
        </w:rPr>
      </w:pPr>
    </w:p>
    <w:p w14:paraId="647FFD0A" w14:textId="77777777" w:rsidR="004E64A8" w:rsidRPr="0069525B" w:rsidRDefault="004E64A8" w:rsidP="004E64A8">
      <w:pPr>
        <w:pStyle w:val="Prrafodelista"/>
        <w:widowControl/>
        <w:numPr>
          <w:ilvl w:val="0"/>
          <w:numId w:val="34"/>
        </w:numPr>
        <w:adjustRightInd w:val="0"/>
        <w:ind w:left="0" w:firstLine="0"/>
        <w:contextualSpacing/>
        <w:rPr>
          <w:rFonts w:cs="Times New Roman"/>
          <w:sz w:val="20"/>
          <w:szCs w:val="21"/>
        </w:rPr>
      </w:pPr>
      <w:r w:rsidRPr="0069525B">
        <w:rPr>
          <w:sz w:val="20"/>
          <w:szCs w:val="20"/>
        </w:rPr>
        <w:t xml:space="preserve">La </w:t>
      </w:r>
      <w:r w:rsidRPr="0069525B">
        <w:rPr>
          <w:b/>
          <w:i/>
          <w:sz w:val="20"/>
          <w:szCs w:val="20"/>
        </w:rPr>
        <w:t>Comisión</w:t>
      </w:r>
      <w:r w:rsidRPr="0069525B">
        <w:rPr>
          <w:sz w:val="20"/>
          <w:szCs w:val="20"/>
        </w:rPr>
        <w:t xml:space="preserve"> requirió que se ordenara al Estado “[d]</w:t>
      </w:r>
      <w:proofErr w:type="spellStart"/>
      <w:r w:rsidRPr="0069525B">
        <w:rPr>
          <w:sz w:val="20"/>
          <w:szCs w:val="20"/>
        </w:rPr>
        <w:t>isponer</w:t>
      </w:r>
      <w:proofErr w:type="spellEnd"/>
      <w:r w:rsidRPr="0069525B">
        <w:rPr>
          <w:sz w:val="20"/>
          <w:szCs w:val="20"/>
        </w:rPr>
        <w:t xml:space="preserve"> las medidas de atención en salud física y mental necesarias para la rehabilitación de los familiares de Jimmy Guerrero y Ramón Molina de ser su voluntad y de manera concertada”. </w:t>
      </w:r>
      <w:r w:rsidRPr="0069525B">
        <w:rPr>
          <w:sz w:val="20"/>
        </w:rPr>
        <w:t xml:space="preserve">Los </w:t>
      </w:r>
      <w:r w:rsidRPr="0069525B">
        <w:rPr>
          <w:b/>
          <w:i/>
          <w:sz w:val="20"/>
        </w:rPr>
        <w:t>representantes</w:t>
      </w:r>
      <w:r w:rsidRPr="00542071">
        <w:rPr>
          <w:sz w:val="20"/>
        </w:rPr>
        <w:t>, por su parte,</w:t>
      </w:r>
      <w:r w:rsidRPr="0069525B">
        <w:rPr>
          <w:sz w:val="20"/>
        </w:rPr>
        <w:t xml:space="preserve"> expresaron que debe ordenarse a Venezuela “garantizar a las víctimas un tratamiento adecuado en salud física y psicológica para superar las afectaciones generadas por estos hechos, en el lugar de residencia”, “sea ello en Venezuela o en otro país”. </w:t>
      </w:r>
      <w:r w:rsidRPr="0069525B">
        <w:rPr>
          <w:sz w:val="20"/>
          <w:szCs w:val="20"/>
        </w:rPr>
        <w:t xml:space="preserve">El </w:t>
      </w:r>
      <w:r w:rsidRPr="0069525B">
        <w:rPr>
          <w:b/>
          <w:i/>
          <w:sz w:val="20"/>
          <w:szCs w:val="20"/>
        </w:rPr>
        <w:t>Estado</w:t>
      </w:r>
      <w:r w:rsidRPr="0069525B">
        <w:rPr>
          <w:sz w:val="20"/>
          <w:szCs w:val="20"/>
        </w:rPr>
        <w:t xml:space="preserve"> se “</w:t>
      </w:r>
      <w:proofErr w:type="spellStart"/>
      <w:r w:rsidRPr="0069525B">
        <w:rPr>
          <w:sz w:val="20"/>
          <w:szCs w:val="20"/>
        </w:rPr>
        <w:t>compromet</w:t>
      </w:r>
      <w:proofErr w:type="spellEnd"/>
      <w:r w:rsidRPr="0069525B">
        <w:rPr>
          <w:sz w:val="20"/>
          <w:szCs w:val="20"/>
        </w:rPr>
        <w:t>[</w:t>
      </w:r>
      <w:proofErr w:type="spellStart"/>
      <w:r w:rsidRPr="0069525B">
        <w:rPr>
          <w:sz w:val="20"/>
          <w:szCs w:val="20"/>
        </w:rPr>
        <w:t>ió</w:t>
      </w:r>
      <w:proofErr w:type="spellEnd"/>
      <w:r w:rsidRPr="0069525B">
        <w:rPr>
          <w:sz w:val="20"/>
          <w:szCs w:val="20"/>
        </w:rPr>
        <w:t xml:space="preserve">] […] </w:t>
      </w:r>
      <w:r w:rsidRPr="0069525B">
        <w:rPr>
          <w:rFonts w:cs="ArialMT"/>
          <w:sz w:val="20"/>
          <w:szCs w:val="20"/>
        </w:rPr>
        <w:t>a ofrecer y brindar medidas de atención en salud a las víctimas del presente procedimiento</w:t>
      </w:r>
      <w:r>
        <w:rPr>
          <w:rFonts w:cs="ArialMT"/>
          <w:sz w:val="20"/>
          <w:szCs w:val="20"/>
        </w:rPr>
        <w:t>”</w:t>
      </w:r>
      <w:r w:rsidRPr="0069525B">
        <w:rPr>
          <w:rFonts w:cs="ArialMT"/>
          <w:sz w:val="20"/>
          <w:szCs w:val="20"/>
        </w:rPr>
        <w:t xml:space="preserve">. </w:t>
      </w:r>
    </w:p>
    <w:p w14:paraId="1D1B5D73" w14:textId="77777777" w:rsidR="004E64A8" w:rsidRPr="0069525B" w:rsidRDefault="004E64A8" w:rsidP="004E64A8">
      <w:pPr>
        <w:pStyle w:val="Prrafodelista"/>
        <w:ind w:left="0"/>
        <w:rPr>
          <w:rFonts w:cs="Times New Roman"/>
          <w:sz w:val="20"/>
          <w:szCs w:val="21"/>
        </w:rPr>
      </w:pPr>
    </w:p>
    <w:p w14:paraId="3DDCBF12" w14:textId="629A2EBC" w:rsidR="004E64A8" w:rsidRPr="00542071" w:rsidRDefault="004E64A8" w:rsidP="004E64A8">
      <w:pPr>
        <w:pStyle w:val="Prrafodelista"/>
        <w:widowControl/>
        <w:numPr>
          <w:ilvl w:val="0"/>
          <w:numId w:val="34"/>
        </w:numPr>
        <w:adjustRightInd w:val="0"/>
        <w:ind w:left="0" w:firstLine="0"/>
        <w:contextualSpacing/>
        <w:rPr>
          <w:rFonts w:cs="Times New Roman"/>
          <w:sz w:val="20"/>
          <w:szCs w:val="20"/>
        </w:rPr>
      </w:pPr>
      <w:r w:rsidRPr="00542071">
        <w:rPr>
          <w:rFonts w:cs="Times New Roman"/>
          <w:sz w:val="20"/>
          <w:szCs w:val="20"/>
        </w:rPr>
        <w:t xml:space="preserve">La </w:t>
      </w:r>
      <w:r w:rsidRPr="00542071">
        <w:rPr>
          <w:rFonts w:cs="Times New Roman"/>
          <w:b/>
          <w:i/>
          <w:sz w:val="20"/>
          <w:szCs w:val="20"/>
        </w:rPr>
        <w:t>Corte</w:t>
      </w:r>
      <w:r w:rsidRPr="00542071">
        <w:rPr>
          <w:rFonts w:cs="Times New Roman"/>
          <w:sz w:val="20"/>
          <w:szCs w:val="20"/>
        </w:rPr>
        <w:t xml:space="preserve"> </w:t>
      </w:r>
      <w:r w:rsidRPr="00542071">
        <w:rPr>
          <w:sz w:val="20"/>
          <w:szCs w:val="20"/>
        </w:rPr>
        <w:t xml:space="preserve">ha </w:t>
      </w:r>
      <w:r>
        <w:rPr>
          <w:sz w:val="20"/>
          <w:szCs w:val="20"/>
        </w:rPr>
        <w:t>establecido</w:t>
      </w:r>
      <w:r w:rsidRPr="00542071">
        <w:rPr>
          <w:sz w:val="20"/>
          <w:szCs w:val="20"/>
        </w:rPr>
        <w:t xml:space="preserve"> afectaciones a la integridad personal sufridas por los familiares de </w:t>
      </w:r>
      <w:r>
        <w:rPr>
          <w:sz w:val="20"/>
          <w:szCs w:val="20"/>
        </w:rPr>
        <w:t>Jimmy Guerrero y Ramón Molina</w:t>
      </w:r>
      <w:r w:rsidRPr="00542071">
        <w:rPr>
          <w:sz w:val="20"/>
          <w:szCs w:val="20"/>
        </w:rPr>
        <w:t xml:space="preserve"> como consecuencia de los hechos del presente caso (</w:t>
      </w:r>
      <w:r w:rsidRPr="00542071">
        <w:rPr>
          <w:i/>
          <w:sz w:val="20"/>
          <w:szCs w:val="20"/>
        </w:rPr>
        <w:t xml:space="preserve">supra </w:t>
      </w:r>
      <w:r w:rsidRPr="00542071">
        <w:rPr>
          <w:sz w:val="20"/>
          <w:szCs w:val="20"/>
        </w:rPr>
        <w:t xml:space="preserve">párr. </w:t>
      </w:r>
      <w:r>
        <w:rPr>
          <w:sz w:val="20"/>
          <w:szCs w:val="20"/>
        </w:rPr>
        <w:t>32</w:t>
      </w:r>
      <w:r w:rsidRPr="00542071">
        <w:rPr>
          <w:rFonts w:eastAsiaTheme="minorHAnsi"/>
          <w:sz w:val="20"/>
          <w:szCs w:val="20"/>
        </w:rPr>
        <w:t xml:space="preserve">). </w:t>
      </w:r>
      <w:r w:rsidRPr="00542071">
        <w:rPr>
          <w:sz w:val="20"/>
          <w:szCs w:val="20"/>
        </w:rPr>
        <w:t xml:space="preserve">Por tanto, </w:t>
      </w:r>
      <w:r>
        <w:rPr>
          <w:sz w:val="20"/>
          <w:szCs w:val="20"/>
        </w:rPr>
        <w:t>este Tribunal</w:t>
      </w:r>
      <w:r w:rsidRPr="00542071">
        <w:rPr>
          <w:sz w:val="20"/>
          <w:szCs w:val="20"/>
        </w:rPr>
        <w:t xml:space="preserve"> considera que es preciso disponer una medida de reparación que brinde una atención adecuada a los padecimientos psicológicos </w:t>
      </w:r>
      <w:r w:rsidR="005A1F31">
        <w:rPr>
          <w:sz w:val="20"/>
          <w:szCs w:val="20"/>
        </w:rPr>
        <w:t>y/</w:t>
      </w:r>
      <w:r w:rsidRPr="00542071">
        <w:rPr>
          <w:sz w:val="20"/>
          <w:szCs w:val="20"/>
        </w:rPr>
        <w:t xml:space="preserve">o psiquiátricos sufridos por </w:t>
      </w:r>
      <w:r>
        <w:rPr>
          <w:sz w:val="20"/>
          <w:szCs w:val="20"/>
        </w:rPr>
        <w:t xml:space="preserve">tales personas, </w:t>
      </w:r>
      <w:r w:rsidRPr="00542071">
        <w:rPr>
          <w:sz w:val="20"/>
          <w:szCs w:val="20"/>
        </w:rPr>
        <w:t>que atienda a sus especificidades y antecedentes</w:t>
      </w:r>
      <w:r w:rsidRPr="00542071">
        <w:rPr>
          <w:rStyle w:val="Refdenotaalpie"/>
          <w:sz w:val="20"/>
          <w:szCs w:val="20"/>
        </w:rPr>
        <w:footnoteReference w:id="175"/>
      </w:r>
      <w:r w:rsidRPr="00542071">
        <w:rPr>
          <w:sz w:val="20"/>
          <w:szCs w:val="20"/>
        </w:rPr>
        <w:t>. En consecuencia, esta Corte ordena al Estado pagar una suma de dinero para que los familiares de</w:t>
      </w:r>
      <w:r>
        <w:rPr>
          <w:sz w:val="20"/>
          <w:szCs w:val="20"/>
        </w:rPr>
        <w:t xml:space="preserve"> Jimmy Guerrero y Ramón Molina</w:t>
      </w:r>
      <w:r w:rsidRPr="00542071">
        <w:rPr>
          <w:sz w:val="20"/>
          <w:szCs w:val="20"/>
        </w:rPr>
        <w:t xml:space="preserve"> puedan sufragar los gastos de los tratamientos que sean necesarios. El monto de </w:t>
      </w:r>
      <w:proofErr w:type="gramStart"/>
      <w:r w:rsidRPr="00542071">
        <w:rPr>
          <w:sz w:val="20"/>
          <w:szCs w:val="20"/>
        </w:rPr>
        <w:t>la misma</w:t>
      </w:r>
      <w:proofErr w:type="gramEnd"/>
      <w:r w:rsidRPr="00542071">
        <w:rPr>
          <w:sz w:val="20"/>
          <w:szCs w:val="20"/>
        </w:rPr>
        <w:t xml:space="preserve"> será definido en el acápite correspondiente a</w:t>
      </w:r>
      <w:r>
        <w:rPr>
          <w:sz w:val="20"/>
          <w:szCs w:val="20"/>
        </w:rPr>
        <w:t xml:space="preserve"> </w:t>
      </w:r>
      <w:r w:rsidRPr="00542071">
        <w:rPr>
          <w:sz w:val="20"/>
          <w:szCs w:val="20"/>
        </w:rPr>
        <w:t>l</w:t>
      </w:r>
      <w:r>
        <w:rPr>
          <w:sz w:val="20"/>
          <w:szCs w:val="20"/>
        </w:rPr>
        <w:t>as indemnizaciones por daño material e</w:t>
      </w:r>
      <w:r w:rsidRPr="00542071">
        <w:rPr>
          <w:sz w:val="20"/>
          <w:szCs w:val="20"/>
        </w:rPr>
        <w:t xml:space="preserve"> inmaterial (</w:t>
      </w:r>
      <w:r w:rsidRPr="00542071">
        <w:rPr>
          <w:i/>
          <w:iCs/>
          <w:sz w:val="20"/>
          <w:szCs w:val="20"/>
        </w:rPr>
        <w:t>infra</w:t>
      </w:r>
      <w:r w:rsidRPr="00542071">
        <w:rPr>
          <w:sz w:val="20"/>
          <w:szCs w:val="20"/>
        </w:rPr>
        <w:t xml:space="preserve"> párr.</w:t>
      </w:r>
      <w:r>
        <w:rPr>
          <w:sz w:val="20"/>
          <w:szCs w:val="20"/>
        </w:rPr>
        <w:t xml:space="preserve"> 190</w:t>
      </w:r>
      <w:r w:rsidRPr="00542071">
        <w:rPr>
          <w:sz w:val="20"/>
          <w:szCs w:val="20"/>
        </w:rPr>
        <w:t>)</w:t>
      </w:r>
      <w:r>
        <w:rPr>
          <w:sz w:val="20"/>
          <w:szCs w:val="20"/>
        </w:rPr>
        <w:t>.</w:t>
      </w:r>
    </w:p>
    <w:p w14:paraId="589AFB84" w14:textId="77777777" w:rsidR="004E64A8" w:rsidRPr="0069525B" w:rsidRDefault="004E64A8" w:rsidP="004E64A8">
      <w:pPr>
        <w:pStyle w:val="Prrafodelista"/>
        <w:rPr>
          <w:rFonts w:cs="Times New Roman"/>
          <w:sz w:val="18"/>
          <w:szCs w:val="20"/>
        </w:rPr>
      </w:pPr>
    </w:p>
    <w:p w14:paraId="4CAFD8F5" w14:textId="77777777" w:rsidR="004E64A8" w:rsidRPr="0069525B" w:rsidRDefault="004E64A8" w:rsidP="004E64A8">
      <w:pPr>
        <w:pStyle w:val="Prrafodelista"/>
        <w:widowControl/>
        <w:numPr>
          <w:ilvl w:val="0"/>
          <w:numId w:val="25"/>
        </w:numPr>
        <w:adjustRightInd w:val="0"/>
        <w:ind w:left="284" w:firstLine="0"/>
        <w:contextualSpacing/>
        <w:outlineLvl w:val="1"/>
        <w:rPr>
          <w:rFonts w:cs="Times New Roman"/>
          <w:b/>
          <w:i/>
          <w:sz w:val="20"/>
          <w:szCs w:val="20"/>
        </w:rPr>
      </w:pPr>
      <w:r w:rsidRPr="0069525B">
        <w:rPr>
          <w:rFonts w:cs="Times New Roman"/>
          <w:b/>
          <w:i/>
          <w:sz w:val="20"/>
          <w:szCs w:val="20"/>
        </w:rPr>
        <w:lastRenderedPageBreak/>
        <w:t xml:space="preserve"> </w:t>
      </w:r>
      <w:bookmarkStart w:id="82" w:name="_Toc73960386"/>
      <w:r w:rsidRPr="0069525B">
        <w:rPr>
          <w:rFonts w:cs="Times New Roman"/>
          <w:b/>
          <w:i/>
          <w:sz w:val="20"/>
          <w:szCs w:val="20"/>
        </w:rPr>
        <w:t>Medidas de satisfacción</w:t>
      </w:r>
      <w:bookmarkEnd w:id="82"/>
    </w:p>
    <w:p w14:paraId="11231F53" w14:textId="77777777" w:rsidR="004E64A8" w:rsidRPr="0069525B" w:rsidRDefault="004E64A8" w:rsidP="004E64A8">
      <w:pPr>
        <w:pStyle w:val="Prrafodelista"/>
        <w:rPr>
          <w:rFonts w:cs="Times New Roman"/>
          <w:sz w:val="18"/>
          <w:szCs w:val="20"/>
        </w:rPr>
      </w:pPr>
    </w:p>
    <w:p w14:paraId="0B757159" w14:textId="1918AC9A" w:rsidR="004E64A8" w:rsidRPr="00542071" w:rsidRDefault="004E64A8" w:rsidP="004E64A8">
      <w:pPr>
        <w:pStyle w:val="Prrafodelista"/>
        <w:widowControl/>
        <w:numPr>
          <w:ilvl w:val="0"/>
          <w:numId w:val="34"/>
        </w:numPr>
        <w:adjustRightInd w:val="0"/>
        <w:ind w:left="0" w:firstLine="0"/>
        <w:contextualSpacing/>
        <w:rPr>
          <w:rFonts w:cs="Times New Roman"/>
          <w:sz w:val="20"/>
          <w:szCs w:val="20"/>
        </w:rPr>
      </w:pPr>
      <w:r w:rsidRPr="0069525B">
        <w:rPr>
          <w:rFonts w:cs="Times New Roman"/>
          <w:sz w:val="20"/>
          <w:szCs w:val="20"/>
        </w:rPr>
        <w:t xml:space="preserve">La </w:t>
      </w:r>
      <w:r w:rsidRPr="0069525B">
        <w:rPr>
          <w:rFonts w:cs="Times New Roman"/>
          <w:b/>
          <w:i/>
          <w:sz w:val="20"/>
          <w:szCs w:val="20"/>
        </w:rPr>
        <w:t>Comisión</w:t>
      </w:r>
      <w:r w:rsidRPr="0069525B">
        <w:rPr>
          <w:rFonts w:cs="Times New Roman"/>
          <w:sz w:val="20"/>
          <w:szCs w:val="20"/>
        </w:rPr>
        <w:t xml:space="preserve"> entendió </w:t>
      </w:r>
      <w:r w:rsidRPr="0069525B">
        <w:rPr>
          <w:sz w:val="20"/>
          <w:szCs w:val="20"/>
        </w:rPr>
        <w:t xml:space="preserve">que el Estado debe reparar integralmente las violaciones a derechos humanos, tanto en el aspecto material como inmaterial, inclusive mediante medidas de satisfacción. </w:t>
      </w:r>
      <w:r w:rsidRPr="0069525B">
        <w:rPr>
          <w:rFonts w:cs="Times New Roman"/>
          <w:sz w:val="20"/>
          <w:szCs w:val="20"/>
        </w:rPr>
        <w:t xml:space="preserve">Los </w:t>
      </w:r>
      <w:r w:rsidRPr="0069525B">
        <w:rPr>
          <w:rFonts w:cs="Times New Roman"/>
          <w:b/>
          <w:i/>
          <w:sz w:val="20"/>
          <w:szCs w:val="20"/>
        </w:rPr>
        <w:t>representantes</w:t>
      </w:r>
      <w:r w:rsidRPr="0069525B">
        <w:rPr>
          <w:rFonts w:cs="Times New Roman"/>
          <w:sz w:val="20"/>
          <w:szCs w:val="20"/>
        </w:rPr>
        <w:t xml:space="preserve"> requirieron que se ordenaran las siguientes publicaciones: </w:t>
      </w:r>
      <w:r w:rsidRPr="0069525B">
        <w:rPr>
          <w:sz w:val="20"/>
          <w:szCs w:val="20"/>
        </w:rPr>
        <w:t>a) “el resumen oficial de la Sentencia emitido por la Corte en los dos periódicos de mayor circulación nacional en Venezuela”; y b) “la sentencia en su totalidad</w:t>
      </w:r>
      <w:r w:rsidR="00CE279C">
        <w:rPr>
          <w:sz w:val="20"/>
          <w:szCs w:val="20"/>
        </w:rPr>
        <w:t>[, de modo]</w:t>
      </w:r>
      <w:r w:rsidRPr="0069525B">
        <w:rPr>
          <w:sz w:val="20"/>
          <w:szCs w:val="20"/>
        </w:rPr>
        <w:t xml:space="preserve"> </w:t>
      </w:r>
      <w:r w:rsidRPr="0069525B">
        <w:rPr>
          <w:rFonts w:cs="Arial"/>
          <w:sz w:val="20"/>
          <w:szCs w:val="20"/>
        </w:rPr>
        <w:t xml:space="preserve">que esté disponible al menos por el periodo de un año, a través de un enlace en las páginas iniciales del sitio web del Ministerio del Poder Popular para las Relaciones Interiores, Justicia y Paz, el Cuerpo de Investigaciones Científicas, Penales y </w:t>
      </w:r>
      <w:r w:rsidRPr="00542071">
        <w:rPr>
          <w:rFonts w:cs="Arial"/>
          <w:sz w:val="20"/>
          <w:szCs w:val="20"/>
        </w:rPr>
        <w:t xml:space="preserve">Criminalísticas (CICPC) y las Fuerzas Armadas Policiales del Estado Falcón”. </w:t>
      </w:r>
      <w:r w:rsidRPr="008E0108">
        <w:rPr>
          <w:sz w:val="20"/>
          <w:szCs w:val="20"/>
        </w:rPr>
        <w:t xml:space="preserve">Además, consideraron procedente que se ordene al Estado el otorgamiento, a los hijos de Jimmy Guerrero y Ramón Molina, de becas de estudio </w:t>
      </w:r>
      <w:r w:rsidRPr="008E0108">
        <w:rPr>
          <w:rFonts w:eastAsiaTheme="minorHAnsi" w:cs="Arial"/>
          <w:sz w:val="20"/>
          <w:szCs w:val="20"/>
          <w:lang w:val="es-CR"/>
        </w:rPr>
        <w:t>de niveles secundario, técnico profesional, tecnológico o universitario, según corresponda y de</w:t>
      </w:r>
      <w:r w:rsidRPr="008E0108">
        <w:rPr>
          <w:rFonts w:cs="Times New Roman"/>
          <w:sz w:val="20"/>
          <w:szCs w:val="20"/>
        </w:rPr>
        <w:t xml:space="preserve"> </w:t>
      </w:r>
      <w:r w:rsidRPr="008E0108">
        <w:rPr>
          <w:rFonts w:eastAsiaTheme="minorHAnsi" w:cs="Arial"/>
          <w:sz w:val="20"/>
          <w:szCs w:val="20"/>
          <w:lang w:val="es-CR"/>
        </w:rPr>
        <w:t>acuerdo con su actual nivel de estudios”</w:t>
      </w:r>
      <w:r>
        <w:rPr>
          <w:rFonts w:eastAsiaTheme="minorHAnsi" w:cs="Arial"/>
          <w:sz w:val="20"/>
          <w:szCs w:val="20"/>
          <w:lang w:val="es-CR"/>
        </w:rPr>
        <w:t>.</w:t>
      </w:r>
    </w:p>
    <w:p w14:paraId="338A0DAB" w14:textId="77777777" w:rsidR="004E64A8" w:rsidRPr="0069525B" w:rsidRDefault="004E64A8" w:rsidP="004E64A8">
      <w:pPr>
        <w:pStyle w:val="Prrafodelista"/>
        <w:ind w:left="0"/>
        <w:rPr>
          <w:rFonts w:cs="Times New Roman"/>
          <w:sz w:val="16"/>
          <w:szCs w:val="20"/>
        </w:rPr>
      </w:pPr>
    </w:p>
    <w:p w14:paraId="523B24A6" w14:textId="72A1CFB3" w:rsidR="004E64A8" w:rsidRPr="00542071" w:rsidRDefault="004E64A8" w:rsidP="004E64A8">
      <w:pPr>
        <w:pStyle w:val="Prrafodelista"/>
        <w:widowControl/>
        <w:numPr>
          <w:ilvl w:val="0"/>
          <w:numId w:val="34"/>
        </w:numPr>
        <w:adjustRightInd w:val="0"/>
        <w:ind w:left="0" w:firstLine="0"/>
        <w:contextualSpacing/>
        <w:rPr>
          <w:rFonts w:cs="Times New Roman"/>
          <w:sz w:val="16"/>
          <w:szCs w:val="20"/>
        </w:rPr>
      </w:pPr>
      <w:r w:rsidRPr="0069525B">
        <w:rPr>
          <w:sz w:val="20"/>
          <w:szCs w:val="20"/>
        </w:rPr>
        <w:t xml:space="preserve">La </w:t>
      </w:r>
      <w:r w:rsidRPr="0069525B">
        <w:rPr>
          <w:b/>
          <w:i/>
          <w:sz w:val="20"/>
          <w:szCs w:val="20"/>
        </w:rPr>
        <w:t>Corte</w:t>
      </w:r>
      <w:r w:rsidRPr="0069525B">
        <w:rPr>
          <w:sz w:val="20"/>
          <w:szCs w:val="20"/>
        </w:rPr>
        <w:t>, como lo ha hecho en otros casos</w:t>
      </w:r>
      <w:r w:rsidRPr="0069525B">
        <w:rPr>
          <w:rStyle w:val="Refdenotaalpie"/>
          <w:sz w:val="20"/>
          <w:szCs w:val="20"/>
        </w:rPr>
        <w:footnoteReference w:id="176"/>
      </w:r>
      <w:r w:rsidRPr="0069525B">
        <w:rPr>
          <w:sz w:val="20"/>
          <w:szCs w:val="20"/>
        </w:rPr>
        <w:t xml:space="preserve">, dispone que el Estado publique, en el plazo de seis meses, contado a partir de la notificación de la presente Sentencia, en un tamaño de letra legible y adecuado, lo siguiente: a) el resumen oficial de la presente Sentencia elaborado por la Corte, por una sola vez, en los dos periódicos de mayor circulación nacional en Venezuela, y b) la presente Sentencia en su integridad, </w:t>
      </w:r>
      <w:r w:rsidR="009F3673">
        <w:rPr>
          <w:sz w:val="20"/>
          <w:szCs w:val="20"/>
        </w:rPr>
        <w:t xml:space="preserve">que esté </w:t>
      </w:r>
      <w:r w:rsidRPr="0069525B">
        <w:rPr>
          <w:sz w:val="20"/>
          <w:szCs w:val="20"/>
        </w:rPr>
        <w:t xml:space="preserve">disponible por </w:t>
      </w:r>
      <w:r w:rsidR="009F3673">
        <w:rPr>
          <w:sz w:val="20"/>
          <w:szCs w:val="20"/>
        </w:rPr>
        <w:t>el</w:t>
      </w:r>
      <w:r w:rsidRPr="0069525B">
        <w:rPr>
          <w:sz w:val="20"/>
          <w:szCs w:val="20"/>
        </w:rPr>
        <w:t xml:space="preserve"> per</w:t>
      </w:r>
      <w:r w:rsidR="009C13AF">
        <w:rPr>
          <w:sz w:val="20"/>
          <w:szCs w:val="20"/>
        </w:rPr>
        <w:t>í</w:t>
      </w:r>
      <w:r w:rsidRPr="0069525B">
        <w:rPr>
          <w:sz w:val="20"/>
          <w:szCs w:val="20"/>
        </w:rPr>
        <w:t xml:space="preserve">odo de un año, en el sitio web oficial del </w:t>
      </w:r>
      <w:r w:rsidRPr="0069525B">
        <w:rPr>
          <w:rFonts w:cs="Arial"/>
          <w:sz w:val="20"/>
          <w:szCs w:val="20"/>
        </w:rPr>
        <w:t>Ministerio del Poder Popular para las Relaciones Interiores, Justicia y Paz, el Cuerpo de Investigaciones Científicas, Penales y Criminalísticas (CICPC) y las Fuerzas Armadas Policiales del Estado Falcón</w:t>
      </w:r>
      <w:r w:rsidRPr="0069525B">
        <w:rPr>
          <w:sz w:val="20"/>
          <w:szCs w:val="20"/>
        </w:rPr>
        <w:t xml:space="preserve">. El Estado deberá informar de forma inmediata a este Tribunal una vez que proceda a realizar cada una de las publicaciones dispuestas, independientemente del plazo de un año para presentar su primer informe dispuesto en el </w:t>
      </w:r>
      <w:r w:rsidRPr="00F55065">
        <w:rPr>
          <w:sz w:val="20"/>
          <w:szCs w:val="20"/>
        </w:rPr>
        <w:t xml:space="preserve">punto </w:t>
      </w:r>
      <w:r w:rsidRPr="00CE279C">
        <w:rPr>
          <w:sz w:val="20"/>
          <w:szCs w:val="20"/>
        </w:rPr>
        <w:t>resolutivo 19</w:t>
      </w:r>
      <w:r w:rsidRPr="0069525B">
        <w:rPr>
          <w:sz w:val="20"/>
          <w:szCs w:val="20"/>
        </w:rPr>
        <w:t xml:space="preserve"> de la presente Sentencia.</w:t>
      </w:r>
    </w:p>
    <w:p w14:paraId="41F9D1BE" w14:textId="77777777" w:rsidR="004E64A8" w:rsidRPr="00542071" w:rsidRDefault="004E64A8" w:rsidP="004E64A8">
      <w:pPr>
        <w:pStyle w:val="Prrafodelista"/>
        <w:widowControl/>
        <w:adjustRightInd w:val="0"/>
        <w:ind w:left="0"/>
        <w:contextualSpacing/>
        <w:rPr>
          <w:rFonts w:cs="Times New Roman"/>
          <w:sz w:val="16"/>
          <w:szCs w:val="20"/>
        </w:rPr>
      </w:pPr>
    </w:p>
    <w:p w14:paraId="27F02CE8" w14:textId="62698CF5" w:rsidR="004E64A8" w:rsidRPr="00A826A3" w:rsidRDefault="004E64A8" w:rsidP="004E64A8">
      <w:pPr>
        <w:pStyle w:val="Prrafodelista"/>
        <w:widowControl/>
        <w:numPr>
          <w:ilvl w:val="0"/>
          <w:numId w:val="34"/>
        </w:numPr>
        <w:adjustRightInd w:val="0"/>
        <w:ind w:left="0" w:firstLine="0"/>
        <w:contextualSpacing/>
        <w:rPr>
          <w:spacing w:val="-2"/>
          <w:sz w:val="20"/>
          <w:szCs w:val="20"/>
        </w:rPr>
      </w:pPr>
      <w:r w:rsidRPr="00A826A3">
        <w:rPr>
          <w:rFonts w:cs="Times New Roman"/>
          <w:sz w:val="20"/>
          <w:szCs w:val="20"/>
        </w:rPr>
        <w:t>Por otra parte, l</w:t>
      </w:r>
      <w:r w:rsidRPr="00A826A3">
        <w:rPr>
          <w:sz w:val="20"/>
          <w:szCs w:val="20"/>
        </w:rPr>
        <w:t xml:space="preserve">a </w:t>
      </w:r>
      <w:r w:rsidRPr="00A826A3">
        <w:rPr>
          <w:bCs/>
          <w:iCs/>
          <w:sz w:val="20"/>
          <w:szCs w:val="20"/>
        </w:rPr>
        <w:t>Corte</w:t>
      </w:r>
      <w:r w:rsidRPr="00A826A3">
        <w:rPr>
          <w:sz w:val="20"/>
          <w:szCs w:val="20"/>
        </w:rPr>
        <w:t>, nota que</w:t>
      </w:r>
      <w:r>
        <w:rPr>
          <w:sz w:val="20"/>
          <w:szCs w:val="20"/>
        </w:rPr>
        <w:t>,</w:t>
      </w:r>
      <w:r w:rsidRPr="00A826A3">
        <w:rPr>
          <w:sz w:val="20"/>
          <w:szCs w:val="20"/>
        </w:rPr>
        <w:t xml:space="preserve"> </w:t>
      </w:r>
      <w:proofErr w:type="gramStart"/>
      <w:r w:rsidRPr="00A826A3">
        <w:rPr>
          <w:sz w:val="20"/>
          <w:szCs w:val="20"/>
        </w:rPr>
        <w:t>de acuerdo a</w:t>
      </w:r>
      <w:proofErr w:type="gramEnd"/>
      <w:r w:rsidRPr="00A826A3">
        <w:rPr>
          <w:sz w:val="20"/>
          <w:szCs w:val="20"/>
        </w:rPr>
        <w:t xml:space="preserve"> las declaraciones de familiares de Jimmy Guerrero y Ramón Molina, ellos eran un sustento económico importante para sus familias</w:t>
      </w:r>
      <w:r w:rsidRPr="00A826A3">
        <w:rPr>
          <w:rStyle w:val="Refdenotaalpie"/>
          <w:sz w:val="20"/>
          <w:szCs w:val="20"/>
        </w:rPr>
        <w:footnoteReference w:id="177"/>
      </w:r>
      <w:r w:rsidRPr="00A826A3">
        <w:rPr>
          <w:sz w:val="20"/>
          <w:szCs w:val="20"/>
        </w:rPr>
        <w:t>. Tomando en cuenta lo anterior, el Tribunal ordena al Estado otorgar becas de estudio en favor de los hijos de ambos, a través de un estipendio mensual que cubra enteramente los gastos relacionados con los estudios de las personas beneficiarias en instituciones públicas de educación en Venezuela</w:t>
      </w:r>
      <w:r>
        <w:rPr>
          <w:sz w:val="20"/>
          <w:szCs w:val="20"/>
        </w:rPr>
        <w:t>, y de conformidad a lo que se d</w:t>
      </w:r>
      <w:r w:rsidR="00CE279C">
        <w:rPr>
          <w:sz w:val="20"/>
          <w:szCs w:val="20"/>
        </w:rPr>
        <w:t>etermina</w:t>
      </w:r>
      <w:r>
        <w:rPr>
          <w:sz w:val="20"/>
          <w:szCs w:val="20"/>
        </w:rPr>
        <w:t xml:space="preserve"> en el párrafo siguiente</w:t>
      </w:r>
      <w:r w:rsidRPr="00A826A3">
        <w:rPr>
          <w:sz w:val="20"/>
          <w:szCs w:val="20"/>
        </w:rPr>
        <w:t>.</w:t>
      </w:r>
    </w:p>
    <w:p w14:paraId="43F793AD" w14:textId="77777777" w:rsidR="004E64A8" w:rsidRPr="00A826A3" w:rsidRDefault="004E64A8" w:rsidP="004E64A8">
      <w:pPr>
        <w:pStyle w:val="Prrafodelista"/>
        <w:widowControl/>
        <w:adjustRightInd w:val="0"/>
        <w:ind w:left="0"/>
        <w:contextualSpacing/>
        <w:rPr>
          <w:spacing w:val="-2"/>
          <w:sz w:val="20"/>
          <w:szCs w:val="20"/>
        </w:rPr>
      </w:pPr>
    </w:p>
    <w:p w14:paraId="0BE9340F" w14:textId="02BB5F34" w:rsidR="004E64A8" w:rsidRPr="00A826A3" w:rsidRDefault="004E64A8" w:rsidP="004E64A8">
      <w:pPr>
        <w:pStyle w:val="Prrafodelista"/>
        <w:widowControl/>
        <w:numPr>
          <w:ilvl w:val="0"/>
          <w:numId w:val="34"/>
        </w:numPr>
        <w:adjustRightInd w:val="0"/>
        <w:ind w:left="0" w:firstLine="0"/>
        <w:contextualSpacing/>
        <w:rPr>
          <w:spacing w:val="-2"/>
        </w:rPr>
      </w:pPr>
      <w:r>
        <w:rPr>
          <w:sz w:val="20"/>
          <w:szCs w:val="20"/>
        </w:rPr>
        <w:t xml:space="preserve">Las </w:t>
      </w:r>
      <w:r w:rsidRPr="00A826A3">
        <w:rPr>
          <w:sz w:val="20"/>
          <w:szCs w:val="20"/>
        </w:rPr>
        <w:t xml:space="preserve">becas no deberán estar </w:t>
      </w:r>
      <w:r w:rsidRPr="00A826A3">
        <w:rPr>
          <w:spacing w:val="-2"/>
          <w:sz w:val="20"/>
          <w:szCs w:val="20"/>
        </w:rPr>
        <w:t>condicionadas a la obtención de calificaciones, ni tampoco depender del mantenimiento de un desempeño académico determinado, y deberá</w:t>
      </w:r>
      <w:r>
        <w:rPr>
          <w:spacing w:val="-2"/>
          <w:sz w:val="20"/>
          <w:szCs w:val="20"/>
        </w:rPr>
        <w:t>n ser</w:t>
      </w:r>
      <w:r w:rsidRPr="00A826A3">
        <w:rPr>
          <w:spacing w:val="-2"/>
          <w:sz w:val="20"/>
          <w:szCs w:val="20"/>
        </w:rPr>
        <w:t xml:space="preserve"> otorg</w:t>
      </w:r>
      <w:r>
        <w:rPr>
          <w:spacing w:val="-2"/>
          <w:sz w:val="20"/>
          <w:szCs w:val="20"/>
        </w:rPr>
        <w:t>adas a las personas beneficiarias</w:t>
      </w:r>
      <w:r w:rsidRPr="00A826A3">
        <w:rPr>
          <w:spacing w:val="-2"/>
          <w:sz w:val="20"/>
          <w:szCs w:val="20"/>
        </w:rPr>
        <w:t>, en atención a su calidad de víctimas por las violaciones declaradas en la presente Sentencia</w:t>
      </w:r>
      <w:r w:rsidRPr="00A826A3">
        <w:rPr>
          <w:sz w:val="20"/>
          <w:szCs w:val="20"/>
        </w:rPr>
        <w:t xml:space="preserve">. Dichas becas se otorgarán en instituciones estatales en Venezuela, desde el momento en que cada una de las personas beneficiarias la solicite al Estado, y cubrirán la educación de </w:t>
      </w:r>
      <w:r>
        <w:rPr>
          <w:sz w:val="20"/>
          <w:szCs w:val="20"/>
        </w:rPr>
        <w:t>dichas personas beneficiarias</w:t>
      </w:r>
      <w:r w:rsidRPr="00A826A3">
        <w:rPr>
          <w:sz w:val="20"/>
          <w:szCs w:val="20"/>
        </w:rPr>
        <w:t xml:space="preserve"> hasta la conclusión de los estudios secundarios y/o posteriores, incluso superiores técnicos o universitarios, debiendo cubrir todos los gastos para la completa </w:t>
      </w:r>
      <w:r w:rsidRPr="00A826A3">
        <w:rPr>
          <w:sz w:val="20"/>
          <w:szCs w:val="20"/>
        </w:rPr>
        <w:lastRenderedPageBreak/>
        <w:t xml:space="preserve">finalización de </w:t>
      </w:r>
      <w:proofErr w:type="gramStart"/>
      <w:r w:rsidRPr="00A826A3">
        <w:rPr>
          <w:sz w:val="20"/>
          <w:szCs w:val="20"/>
        </w:rPr>
        <w:t>los mismos</w:t>
      </w:r>
      <w:proofErr w:type="gramEnd"/>
      <w:r w:rsidRPr="00A826A3">
        <w:rPr>
          <w:sz w:val="20"/>
          <w:szCs w:val="20"/>
        </w:rPr>
        <w:t xml:space="preserve">, incluyendo el material académico o educativo, así como los gastos de manutención. </w:t>
      </w:r>
      <w:r w:rsidRPr="00A826A3">
        <w:rPr>
          <w:spacing w:val="-2"/>
          <w:sz w:val="20"/>
          <w:szCs w:val="20"/>
        </w:rPr>
        <w:t xml:space="preserve">Las víctimas o sus representantes legales cuentan con un plazo de seis meses, contado a partir de la notificación de la presente Sentencia, para dar a conocer al Estado su intención de recibir dichas becas, y, </w:t>
      </w:r>
      <w:r w:rsidR="00CE279C">
        <w:rPr>
          <w:spacing w:val="-2"/>
          <w:sz w:val="20"/>
          <w:szCs w:val="20"/>
        </w:rPr>
        <w:t xml:space="preserve">en </w:t>
      </w:r>
      <w:r w:rsidRPr="00A826A3">
        <w:rPr>
          <w:spacing w:val="-2"/>
          <w:sz w:val="20"/>
          <w:szCs w:val="20"/>
        </w:rPr>
        <w:t>su caso, de 24 meses</w:t>
      </w:r>
      <w:r>
        <w:rPr>
          <w:spacing w:val="-2"/>
          <w:sz w:val="20"/>
          <w:szCs w:val="20"/>
        </w:rPr>
        <w:t>,</w:t>
      </w:r>
      <w:r w:rsidRPr="00A826A3">
        <w:rPr>
          <w:spacing w:val="-2"/>
          <w:sz w:val="20"/>
          <w:szCs w:val="20"/>
        </w:rPr>
        <w:t xml:space="preserve"> desde la culminación de los estudios secundarios para informar al Estado sobre la voluntad de recibir </w:t>
      </w:r>
      <w:r>
        <w:rPr>
          <w:spacing w:val="-2"/>
          <w:sz w:val="20"/>
          <w:szCs w:val="20"/>
        </w:rPr>
        <w:t>la</w:t>
      </w:r>
      <w:r w:rsidRPr="00A826A3">
        <w:rPr>
          <w:spacing w:val="-2"/>
          <w:sz w:val="20"/>
          <w:szCs w:val="20"/>
        </w:rPr>
        <w:t xml:space="preserve"> beca también para estudios posteriores, así como sobre la carrera que, en cada caso, decidieran realizar a nivel técnico o universitario.</w:t>
      </w:r>
    </w:p>
    <w:p w14:paraId="0C7EDF9F" w14:textId="77777777" w:rsidR="004E64A8" w:rsidRDefault="004E64A8" w:rsidP="004E64A8">
      <w:pPr>
        <w:pStyle w:val="Prrafodelista"/>
        <w:rPr>
          <w:rFonts w:cs="Times New Roman"/>
          <w:sz w:val="16"/>
          <w:szCs w:val="20"/>
        </w:rPr>
      </w:pPr>
    </w:p>
    <w:p w14:paraId="7A5584C4" w14:textId="77777777" w:rsidR="004E64A8" w:rsidRPr="0069525B" w:rsidRDefault="004E64A8" w:rsidP="004E64A8">
      <w:pPr>
        <w:pStyle w:val="Prrafodelista"/>
        <w:widowControl/>
        <w:numPr>
          <w:ilvl w:val="0"/>
          <w:numId w:val="25"/>
        </w:numPr>
        <w:adjustRightInd w:val="0"/>
        <w:ind w:left="284" w:firstLine="0"/>
        <w:contextualSpacing/>
        <w:outlineLvl w:val="1"/>
        <w:rPr>
          <w:rFonts w:cs="Times New Roman"/>
          <w:b/>
          <w:i/>
          <w:sz w:val="20"/>
          <w:szCs w:val="20"/>
        </w:rPr>
      </w:pPr>
      <w:r w:rsidRPr="0069525B">
        <w:rPr>
          <w:rFonts w:cs="Times New Roman"/>
          <w:b/>
          <w:i/>
          <w:sz w:val="20"/>
          <w:szCs w:val="20"/>
        </w:rPr>
        <w:t xml:space="preserve"> </w:t>
      </w:r>
      <w:bookmarkStart w:id="83" w:name="_Toc73960387"/>
      <w:r>
        <w:rPr>
          <w:rFonts w:cs="Times New Roman"/>
          <w:b/>
          <w:i/>
          <w:sz w:val="20"/>
          <w:szCs w:val="20"/>
        </w:rPr>
        <w:t>M</w:t>
      </w:r>
      <w:r w:rsidRPr="0069525B">
        <w:rPr>
          <w:rFonts w:cs="Times New Roman"/>
          <w:b/>
          <w:i/>
          <w:sz w:val="20"/>
          <w:szCs w:val="20"/>
        </w:rPr>
        <w:t>edidas de no repetición</w:t>
      </w:r>
      <w:bookmarkEnd w:id="83"/>
    </w:p>
    <w:p w14:paraId="3DD34146" w14:textId="77777777" w:rsidR="004E64A8" w:rsidRDefault="004E64A8" w:rsidP="004E64A8">
      <w:pPr>
        <w:pStyle w:val="Prrafodelista"/>
        <w:ind w:left="0"/>
        <w:rPr>
          <w:rFonts w:cs="Times New Roman"/>
          <w:sz w:val="14"/>
          <w:szCs w:val="20"/>
        </w:rPr>
      </w:pPr>
    </w:p>
    <w:p w14:paraId="6C7BEDD3" w14:textId="77777777" w:rsidR="004E64A8" w:rsidRPr="00F55065" w:rsidRDefault="004E64A8" w:rsidP="004E64A8">
      <w:pPr>
        <w:pStyle w:val="Prrafodelista"/>
        <w:widowControl/>
        <w:numPr>
          <w:ilvl w:val="0"/>
          <w:numId w:val="34"/>
        </w:numPr>
        <w:adjustRightInd w:val="0"/>
        <w:ind w:left="0" w:firstLine="0"/>
        <w:contextualSpacing/>
        <w:rPr>
          <w:rFonts w:cs="Times New Roman"/>
          <w:sz w:val="18"/>
          <w:szCs w:val="20"/>
        </w:rPr>
      </w:pPr>
      <w:r w:rsidRPr="0069525B">
        <w:rPr>
          <w:sz w:val="20"/>
        </w:rPr>
        <w:t xml:space="preserve">La </w:t>
      </w:r>
      <w:r w:rsidRPr="0069525B">
        <w:rPr>
          <w:b/>
          <w:i/>
          <w:sz w:val="20"/>
        </w:rPr>
        <w:t>Comisión</w:t>
      </w:r>
      <w:r w:rsidRPr="0069525B">
        <w:rPr>
          <w:sz w:val="20"/>
        </w:rPr>
        <w:t xml:space="preserve"> requirió, al someter el caso a la Corte, que se ordenara a Venezuela “[d]</w:t>
      </w:r>
      <w:proofErr w:type="spellStart"/>
      <w:r w:rsidRPr="0069525B">
        <w:rPr>
          <w:sz w:val="20"/>
        </w:rPr>
        <w:t>isponer</w:t>
      </w:r>
      <w:proofErr w:type="spellEnd"/>
      <w:r w:rsidRPr="0069525B">
        <w:rPr>
          <w:sz w:val="20"/>
        </w:rPr>
        <w:t xml:space="preserve"> mecanismos de no repetición que incluyan</w:t>
      </w:r>
      <w:r>
        <w:rPr>
          <w:sz w:val="20"/>
        </w:rPr>
        <w:t>”</w:t>
      </w:r>
      <w:r w:rsidRPr="0069525B">
        <w:rPr>
          <w:sz w:val="20"/>
          <w:szCs w:val="20"/>
        </w:rPr>
        <w:t xml:space="preserve">: </w:t>
      </w:r>
    </w:p>
    <w:p w14:paraId="695F97DC" w14:textId="77777777" w:rsidR="004E64A8" w:rsidRDefault="004E64A8" w:rsidP="004E64A8">
      <w:pPr>
        <w:pStyle w:val="Prrafodelista"/>
        <w:widowControl/>
        <w:adjustRightInd w:val="0"/>
        <w:contextualSpacing/>
        <w:rPr>
          <w:sz w:val="20"/>
          <w:szCs w:val="20"/>
        </w:rPr>
      </w:pPr>
    </w:p>
    <w:p w14:paraId="1351B575" w14:textId="77777777" w:rsidR="004E64A8" w:rsidRPr="00F55065" w:rsidRDefault="004E64A8" w:rsidP="004E64A8">
      <w:pPr>
        <w:pStyle w:val="Prrafodelista"/>
        <w:widowControl/>
        <w:adjustRightInd w:val="0"/>
        <w:ind w:left="284" w:right="333"/>
        <w:contextualSpacing/>
        <w:rPr>
          <w:rFonts w:cs="Times New Roman"/>
          <w:sz w:val="16"/>
          <w:szCs w:val="16"/>
        </w:rPr>
      </w:pPr>
      <w:r w:rsidRPr="00F55065">
        <w:rPr>
          <w:rFonts w:cs="Times New Roman"/>
          <w:sz w:val="16"/>
          <w:szCs w:val="16"/>
        </w:rPr>
        <w:t xml:space="preserve">i) programas de capacitación sobre los estándares internacionales de derechos humanos en general, en particular, dirigidos a la Policía del estado de Falcón, y a operadores de justicia; </w:t>
      </w:r>
      <w:proofErr w:type="spellStart"/>
      <w:r w:rsidRPr="00F55065">
        <w:rPr>
          <w:rFonts w:cs="Times New Roman"/>
          <w:sz w:val="16"/>
          <w:szCs w:val="16"/>
        </w:rPr>
        <w:t>ii</w:t>
      </w:r>
      <w:proofErr w:type="spellEnd"/>
      <w:r w:rsidRPr="00F55065">
        <w:rPr>
          <w:rFonts w:cs="Times New Roman"/>
          <w:sz w:val="16"/>
          <w:szCs w:val="16"/>
        </w:rPr>
        <w:t xml:space="preserve">) medidas para asegurar la efectiva rendición de cuentas en el fuero penal, disciplinario o administrativo, en casos de presunto abuso de poder por parte de agentes del Estado a cargo de la seguridad pública; y </w:t>
      </w:r>
      <w:proofErr w:type="spellStart"/>
      <w:r w:rsidRPr="00F55065">
        <w:rPr>
          <w:rFonts w:cs="Times New Roman"/>
          <w:sz w:val="16"/>
          <w:szCs w:val="16"/>
        </w:rPr>
        <w:t>iii</w:t>
      </w:r>
      <w:proofErr w:type="spellEnd"/>
      <w:r w:rsidRPr="00F55065">
        <w:rPr>
          <w:rFonts w:cs="Times New Roman"/>
          <w:sz w:val="16"/>
          <w:szCs w:val="16"/>
        </w:rPr>
        <w:t xml:space="preserve">) medidas legislativas, administrativas y de otra índole para asegurar la investigación con la debida diligencia y de conformidad con los estándares internacionales relevantes de casos de alegadas ejecuciones extrajudiciales. </w:t>
      </w:r>
    </w:p>
    <w:p w14:paraId="40AAF783" w14:textId="77777777" w:rsidR="004E64A8" w:rsidRPr="0069525B" w:rsidRDefault="004E64A8" w:rsidP="004E64A8">
      <w:pPr>
        <w:pStyle w:val="Prrafodelista"/>
        <w:adjustRightInd w:val="0"/>
        <w:ind w:left="0"/>
        <w:rPr>
          <w:rFonts w:cs="Times New Roman"/>
          <w:sz w:val="18"/>
          <w:szCs w:val="20"/>
        </w:rPr>
      </w:pPr>
    </w:p>
    <w:p w14:paraId="79E6244B" w14:textId="77777777" w:rsidR="004E64A8" w:rsidRPr="0069525B" w:rsidRDefault="004E64A8" w:rsidP="004E64A8">
      <w:pPr>
        <w:pStyle w:val="Prrafodelista"/>
        <w:widowControl/>
        <w:numPr>
          <w:ilvl w:val="0"/>
          <w:numId w:val="34"/>
        </w:numPr>
        <w:adjustRightInd w:val="0"/>
        <w:ind w:left="0" w:firstLine="0"/>
        <w:contextualSpacing/>
        <w:rPr>
          <w:rFonts w:cs="Times New Roman"/>
          <w:sz w:val="20"/>
          <w:szCs w:val="20"/>
        </w:rPr>
      </w:pPr>
      <w:r w:rsidRPr="0069525B">
        <w:rPr>
          <w:rFonts w:cs="Times New Roman"/>
          <w:sz w:val="20"/>
          <w:szCs w:val="20"/>
        </w:rPr>
        <w:t xml:space="preserve">Los </w:t>
      </w:r>
      <w:r w:rsidRPr="0069525B">
        <w:rPr>
          <w:rFonts w:cs="Times New Roman"/>
          <w:b/>
          <w:i/>
          <w:sz w:val="20"/>
          <w:szCs w:val="20"/>
        </w:rPr>
        <w:t>representantes</w:t>
      </w:r>
      <w:r w:rsidRPr="0069525B">
        <w:rPr>
          <w:rFonts w:cs="Times New Roman"/>
          <w:sz w:val="20"/>
          <w:szCs w:val="20"/>
        </w:rPr>
        <w:t xml:space="preserve"> entendieron que el Estado debe: ¡) </w:t>
      </w:r>
      <w:r>
        <w:rPr>
          <w:rFonts w:cs="Times New Roman"/>
          <w:sz w:val="20"/>
          <w:szCs w:val="20"/>
        </w:rPr>
        <w:t xml:space="preserve">otorgar </w:t>
      </w:r>
      <w:r w:rsidRPr="0069525B">
        <w:rPr>
          <w:rFonts w:cs="Times New Roman"/>
          <w:sz w:val="20"/>
          <w:szCs w:val="20"/>
        </w:rPr>
        <w:t>“</w:t>
      </w:r>
      <w:r w:rsidRPr="0069525B">
        <w:rPr>
          <w:rFonts w:cs="Arial"/>
          <w:sz w:val="20"/>
          <w:szCs w:val="20"/>
        </w:rPr>
        <w:t xml:space="preserve">cursos de capacitación en materia de violaciones a los derechos humanos y uso de la fuerza a agentes de seguridad y funcionarios encargados de la investigación del delito”; </w:t>
      </w:r>
      <w:proofErr w:type="spellStart"/>
      <w:r w:rsidRPr="0069525B">
        <w:rPr>
          <w:rFonts w:cs="Times New Roman"/>
          <w:sz w:val="20"/>
          <w:szCs w:val="20"/>
        </w:rPr>
        <w:t>ii</w:t>
      </w:r>
      <w:proofErr w:type="spellEnd"/>
      <w:r w:rsidRPr="0069525B">
        <w:rPr>
          <w:rFonts w:cs="Times New Roman"/>
          <w:sz w:val="20"/>
          <w:szCs w:val="20"/>
        </w:rPr>
        <w:t>)</w:t>
      </w:r>
      <w:r w:rsidRPr="0069525B">
        <w:rPr>
          <w:rFonts w:cs="Times New Roman"/>
          <w:b/>
          <w:sz w:val="20"/>
          <w:szCs w:val="20"/>
        </w:rPr>
        <w:t xml:space="preserve"> </w:t>
      </w:r>
      <w:r w:rsidRPr="0069525B">
        <w:rPr>
          <w:rFonts w:cs="Times New Roman"/>
          <w:sz w:val="20"/>
          <w:szCs w:val="20"/>
        </w:rPr>
        <w:t>“</w:t>
      </w:r>
      <w:proofErr w:type="spellStart"/>
      <w:r w:rsidRPr="0069525B">
        <w:rPr>
          <w:rFonts w:cs="Times New Roman"/>
          <w:sz w:val="20"/>
          <w:szCs w:val="20"/>
        </w:rPr>
        <w:t>adop</w:t>
      </w:r>
      <w:proofErr w:type="spellEnd"/>
      <w:r w:rsidRPr="0069525B">
        <w:rPr>
          <w:rFonts w:cs="Times New Roman"/>
          <w:sz w:val="20"/>
          <w:szCs w:val="20"/>
        </w:rPr>
        <w:t>[</w:t>
      </w:r>
      <w:proofErr w:type="spellStart"/>
      <w:r>
        <w:rPr>
          <w:rFonts w:cs="Times New Roman"/>
          <w:sz w:val="20"/>
          <w:szCs w:val="20"/>
        </w:rPr>
        <w:t>tar</w:t>
      </w:r>
      <w:proofErr w:type="spellEnd"/>
      <w:r w:rsidRPr="0069525B">
        <w:rPr>
          <w:rFonts w:cs="Times New Roman"/>
          <w:sz w:val="20"/>
          <w:szCs w:val="20"/>
        </w:rPr>
        <w:t xml:space="preserve">] normativa a nivel nacional para garantizar el pleno acceso a los expedientes penales a las partes civiles debidamente acreditadas en el proceso”; </w:t>
      </w:r>
      <w:proofErr w:type="spellStart"/>
      <w:r w:rsidRPr="0069525B">
        <w:rPr>
          <w:rFonts w:cs="Times New Roman"/>
          <w:sz w:val="20"/>
          <w:szCs w:val="20"/>
        </w:rPr>
        <w:t>iii</w:t>
      </w:r>
      <w:proofErr w:type="spellEnd"/>
      <w:r w:rsidRPr="0069525B">
        <w:rPr>
          <w:rFonts w:cs="Times New Roman"/>
          <w:sz w:val="20"/>
          <w:szCs w:val="20"/>
        </w:rPr>
        <w:t>) “[e]</w:t>
      </w:r>
      <w:proofErr w:type="spellStart"/>
      <w:r w:rsidRPr="0069525B">
        <w:rPr>
          <w:rFonts w:cs="Times New Roman"/>
          <w:sz w:val="20"/>
          <w:szCs w:val="20"/>
        </w:rPr>
        <w:t>stablecer</w:t>
      </w:r>
      <w:proofErr w:type="spellEnd"/>
      <w:r w:rsidRPr="0069525B">
        <w:rPr>
          <w:rFonts w:cs="Times New Roman"/>
          <w:sz w:val="20"/>
          <w:szCs w:val="20"/>
        </w:rPr>
        <w:t xml:space="preserve"> en la normativa interna el derecho de las víctimas de solicitar y presentar experticias independientes en cualquier investigación penal”; </w:t>
      </w:r>
      <w:r w:rsidRPr="0069704B">
        <w:rPr>
          <w:rFonts w:cs="Times New Roman"/>
          <w:sz w:val="20"/>
          <w:szCs w:val="20"/>
        </w:rPr>
        <w:t>y</w:t>
      </w:r>
      <w:r w:rsidRPr="00542071">
        <w:rPr>
          <w:rFonts w:cs="Times New Roman"/>
          <w:sz w:val="16"/>
          <w:szCs w:val="20"/>
        </w:rPr>
        <w:t xml:space="preserve"> </w:t>
      </w:r>
      <w:proofErr w:type="spellStart"/>
      <w:r w:rsidRPr="0069525B">
        <w:rPr>
          <w:rFonts w:cs="Times New Roman"/>
          <w:sz w:val="20"/>
          <w:szCs w:val="20"/>
        </w:rPr>
        <w:t>iv</w:t>
      </w:r>
      <w:proofErr w:type="spellEnd"/>
      <w:r w:rsidRPr="0069525B">
        <w:rPr>
          <w:rFonts w:cs="Times New Roman"/>
          <w:sz w:val="20"/>
          <w:szCs w:val="20"/>
        </w:rPr>
        <w:t xml:space="preserve">) </w:t>
      </w:r>
      <w:r>
        <w:rPr>
          <w:rFonts w:cs="Times New Roman"/>
          <w:sz w:val="20"/>
          <w:szCs w:val="20"/>
        </w:rPr>
        <w:t xml:space="preserve">disponer </w:t>
      </w:r>
      <w:r w:rsidRPr="0069525B">
        <w:rPr>
          <w:rFonts w:cs="Times New Roman"/>
          <w:sz w:val="20"/>
          <w:szCs w:val="20"/>
        </w:rPr>
        <w:t>la “recolección y [p]</w:t>
      </w:r>
      <w:proofErr w:type="spellStart"/>
      <w:r w:rsidRPr="0069525B">
        <w:rPr>
          <w:rFonts w:cs="Times New Roman"/>
          <w:sz w:val="20"/>
          <w:szCs w:val="20"/>
        </w:rPr>
        <w:t>ublicación</w:t>
      </w:r>
      <w:proofErr w:type="spellEnd"/>
      <w:r w:rsidRPr="0069525B">
        <w:rPr>
          <w:rFonts w:cs="Times New Roman"/>
          <w:sz w:val="20"/>
          <w:szCs w:val="20"/>
        </w:rPr>
        <w:t xml:space="preserve"> de datos oficiales de homicidios y ejecuciones extrajudiciales para la elaboración de políticas públicas”.</w:t>
      </w:r>
    </w:p>
    <w:p w14:paraId="0D0B4AEF" w14:textId="77777777" w:rsidR="004E64A8" w:rsidRPr="0069525B" w:rsidRDefault="004E64A8" w:rsidP="004E64A8">
      <w:pPr>
        <w:pStyle w:val="Prrafodelista"/>
        <w:ind w:left="0"/>
        <w:rPr>
          <w:rFonts w:cs="Times New Roman"/>
          <w:sz w:val="20"/>
          <w:szCs w:val="20"/>
        </w:rPr>
      </w:pPr>
    </w:p>
    <w:p w14:paraId="054665B4" w14:textId="77777777" w:rsidR="004E64A8" w:rsidRPr="0069525B" w:rsidRDefault="004E64A8" w:rsidP="004E64A8">
      <w:pPr>
        <w:pStyle w:val="Prrafodelista"/>
        <w:widowControl/>
        <w:numPr>
          <w:ilvl w:val="0"/>
          <w:numId w:val="34"/>
        </w:numPr>
        <w:adjustRightInd w:val="0"/>
        <w:ind w:left="0" w:firstLine="0"/>
        <w:contextualSpacing/>
        <w:rPr>
          <w:rFonts w:cs="Times New Roman"/>
          <w:sz w:val="20"/>
          <w:szCs w:val="20"/>
        </w:rPr>
      </w:pPr>
      <w:r w:rsidRPr="0069525B">
        <w:rPr>
          <w:rFonts w:cs="Times New Roman"/>
          <w:sz w:val="20"/>
          <w:szCs w:val="20"/>
        </w:rPr>
        <w:t xml:space="preserve">El </w:t>
      </w:r>
      <w:r w:rsidRPr="0069525B">
        <w:rPr>
          <w:rFonts w:cs="Times New Roman"/>
          <w:b/>
          <w:i/>
          <w:sz w:val="20"/>
          <w:szCs w:val="20"/>
        </w:rPr>
        <w:t>Estado</w:t>
      </w:r>
      <w:r w:rsidRPr="0069525B">
        <w:rPr>
          <w:rFonts w:cs="Times New Roman"/>
          <w:sz w:val="20"/>
          <w:szCs w:val="20"/>
        </w:rPr>
        <w:t xml:space="preserve"> informó que “ya ha dado cumplimiento a las acciones planteadas por la Comisión”. Señaló que</w:t>
      </w:r>
      <w:r>
        <w:rPr>
          <w:rFonts w:cs="Times New Roman"/>
          <w:sz w:val="20"/>
          <w:szCs w:val="20"/>
        </w:rPr>
        <w:t>,</w:t>
      </w:r>
      <w:r w:rsidRPr="0069525B">
        <w:rPr>
          <w:rFonts w:cs="Times New Roman"/>
          <w:sz w:val="20"/>
          <w:szCs w:val="20"/>
        </w:rPr>
        <w:t xml:space="preserve"> “en los últimos años”, “ha desarrollado […] </w:t>
      </w:r>
      <w:r w:rsidRPr="0069525B">
        <w:rPr>
          <w:rFonts w:cs="ArialMT"/>
          <w:sz w:val="20"/>
          <w:szCs w:val="20"/>
        </w:rPr>
        <w:t xml:space="preserve">diversos espacios de formación dirigidos a los funcionarios policiales en todo el territorio nacional, incluyendo el cuerpo de policía del estado Falcón, sobre derechos humanos y, muy especialmente, sobre el uso progresivo y diferenciado de la fuerza”. Informó que estos espacios incluyen: i) “los programas nacionales de formación universitaria de tercer nivel –pregrado universitario- de los servicios de policía y de policía de investigación”; </w:t>
      </w:r>
      <w:proofErr w:type="spellStart"/>
      <w:r w:rsidRPr="0069525B">
        <w:rPr>
          <w:rFonts w:cs="ArialMT"/>
          <w:sz w:val="20"/>
          <w:szCs w:val="20"/>
        </w:rPr>
        <w:t>ii</w:t>
      </w:r>
      <w:proofErr w:type="spellEnd"/>
      <w:r w:rsidRPr="0069525B">
        <w:rPr>
          <w:rFonts w:cs="ArialMT"/>
          <w:sz w:val="20"/>
          <w:szCs w:val="20"/>
        </w:rPr>
        <w:t>) “los programas de formación avanzada especializada de cuarto nivel –postgrados- dirigidos a los servicios de policía y de policía de investigación</w:t>
      </w:r>
      <w:r>
        <w:rPr>
          <w:rFonts w:cs="ArialMT"/>
          <w:sz w:val="20"/>
          <w:szCs w:val="20"/>
        </w:rPr>
        <w:t>”</w:t>
      </w:r>
      <w:r w:rsidRPr="0069525B">
        <w:rPr>
          <w:rFonts w:cs="ArialMT"/>
          <w:sz w:val="20"/>
          <w:szCs w:val="20"/>
        </w:rPr>
        <w:t xml:space="preserve">; </w:t>
      </w:r>
      <w:proofErr w:type="spellStart"/>
      <w:r w:rsidRPr="0069525B">
        <w:rPr>
          <w:rFonts w:cs="ArialMT"/>
          <w:sz w:val="20"/>
          <w:szCs w:val="20"/>
        </w:rPr>
        <w:t>iii</w:t>
      </w:r>
      <w:proofErr w:type="spellEnd"/>
      <w:r w:rsidRPr="0069525B">
        <w:rPr>
          <w:rFonts w:cs="ArialMT"/>
          <w:sz w:val="20"/>
          <w:szCs w:val="20"/>
        </w:rPr>
        <w:t xml:space="preserve">) “los programas de formación continua y reentrenamiento de todos los cuerpos de policía, y </w:t>
      </w:r>
      <w:proofErr w:type="spellStart"/>
      <w:r w:rsidRPr="0069525B">
        <w:rPr>
          <w:rFonts w:cs="ArialMT"/>
          <w:sz w:val="20"/>
          <w:szCs w:val="20"/>
        </w:rPr>
        <w:t>iv</w:t>
      </w:r>
      <w:proofErr w:type="spellEnd"/>
      <w:r w:rsidRPr="0069525B">
        <w:rPr>
          <w:rFonts w:cs="ArialMT"/>
          <w:sz w:val="20"/>
          <w:szCs w:val="20"/>
        </w:rPr>
        <w:t xml:space="preserve">) “los cursos de extensión y mejoramiento profesional”. </w:t>
      </w:r>
      <w:r w:rsidRPr="0069525B">
        <w:rPr>
          <w:rFonts w:cs="Times New Roman"/>
          <w:sz w:val="20"/>
          <w:szCs w:val="20"/>
        </w:rPr>
        <w:t xml:space="preserve">La mayoría de estos espacios de formación son desarrollados y supervisados desde la Universidad Nacional Experimental de la Seguridad (UNES), que es la institución académica de educación superior especializada para los servicios de seguridad ciudadana. </w:t>
      </w:r>
      <w:r w:rsidRPr="0069525B">
        <w:rPr>
          <w:rFonts w:cs="ArialMT"/>
          <w:sz w:val="20"/>
          <w:szCs w:val="20"/>
        </w:rPr>
        <w:t xml:space="preserve"> </w:t>
      </w:r>
    </w:p>
    <w:p w14:paraId="78B86AAD" w14:textId="77777777" w:rsidR="004E64A8" w:rsidRPr="0069525B" w:rsidRDefault="004E64A8" w:rsidP="004E64A8">
      <w:pPr>
        <w:pStyle w:val="Prrafodelista"/>
        <w:adjustRightInd w:val="0"/>
        <w:ind w:left="0"/>
        <w:rPr>
          <w:rFonts w:cs="Times New Roman"/>
          <w:sz w:val="20"/>
          <w:szCs w:val="20"/>
        </w:rPr>
      </w:pPr>
    </w:p>
    <w:p w14:paraId="55E16934" w14:textId="77E1B957" w:rsidR="004E64A8" w:rsidRPr="0069525B" w:rsidRDefault="004E64A8" w:rsidP="004E64A8">
      <w:pPr>
        <w:pStyle w:val="Prrafodelista"/>
        <w:widowControl/>
        <w:numPr>
          <w:ilvl w:val="0"/>
          <w:numId w:val="34"/>
        </w:numPr>
        <w:adjustRightInd w:val="0"/>
        <w:ind w:left="0" w:firstLine="0"/>
        <w:contextualSpacing/>
        <w:rPr>
          <w:rFonts w:cs="Times New Roman"/>
          <w:sz w:val="20"/>
          <w:szCs w:val="21"/>
        </w:rPr>
      </w:pPr>
      <w:r w:rsidRPr="0069525B">
        <w:rPr>
          <w:rFonts w:cs="Times New Roman"/>
          <w:sz w:val="20"/>
          <w:szCs w:val="20"/>
        </w:rPr>
        <w:t xml:space="preserve">La </w:t>
      </w:r>
      <w:r w:rsidRPr="0069525B">
        <w:rPr>
          <w:rFonts w:cs="Times New Roman"/>
          <w:b/>
          <w:i/>
          <w:sz w:val="20"/>
          <w:szCs w:val="20"/>
        </w:rPr>
        <w:t>Corte</w:t>
      </w:r>
      <w:r w:rsidRPr="0069525B">
        <w:rPr>
          <w:rFonts w:cs="Times New Roman"/>
          <w:sz w:val="20"/>
          <w:szCs w:val="20"/>
        </w:rPr>
        <w:t xml:space="preserve"> nota, en primer lugar, </w:t>
      </w:r>
      <w:r>
        <w:rPr>
          <w:rFonts w:cs="Times New Roman"/>
          <w:sz w:val="20"/>
          <w:szCs w:val="20"/>
        </w:rPr>
        <w:t>l</w:t>
      </w:r>
      <w:r w:rsidRPr="0069525B">
        <w:rPr>
          <w:rFonts w:cs="Times New Roman"/>
          <w:sz w:val="20"/>
          <w:szCs w:val="20"/>
        </w:rPr>
        <w:t>as solicitudes de la Comisión y los representantes de medidas legislativas o administrativas para asegurar la rendición de cuentas en caso de abuso de poder, asegurar investigaciones diligentes, asegurar el acceso a expedientes o establecer derechos de las víctimas en el marco de investigaciones penales. Al respecto, este Tribunal advierte que no se ha determinado que las violaciones a derechos humanos cometidas en el presente caso tuvieran por base deficiencias u omisiones legislativas o</w:t>
      </w:r>
      <w:r w:rsidR="008A4FA0">
        <w:rPr>
          <w:rFonts w:cs="Times New Roman"/>
          <w:sz w:val="20"/>
          <w:szCs w:val="20"/>
        </w:rPr>
        <w:t xml:space="preserve"> de </w:t>
      </w:r>
      <w:r w:rsidRPr="0069525B">
        <w:rPr>
          <w:rFonts w:cs="Times New Roman"/>
          <w:sz w:val="20"/>
          <w:szCs w:val="20"/>
        </w:rPr>
        <w:t xml:space="preserve">índole administrativa. Por lo tanto, no estima procedente ordenar dichas acciones. </w:t>
      </w:r>
    </w:p>
    <w:p w14:paraId="438DE18F" w14:textId="77777777" w:rsidR="004E64A8" w:rsidRPr="0069525B" w:rsidRDefault="004E64A8" w:rsidP="004E64A8">
      <w:pPr>
        <w:pStyle w:val="Prrafodelista"/>
        <w:ind w:left="0"/>
        <w:rPr>
          <w:rFonts w:cs="Times New Roman"/>
          <w:sz w:val="20"/>
          <w:szCs w:val="21"/>
        </w:rPr>
      </w:pPr>
    </w:p>
    <w:p w14:paraId="3512F37B" w14:textId="77777777" w:rsidR="004E64A8" w:rsidRPr="00542071" w:rsidRDefault="004E64A8" w:rsidP="004E64A8">
      <w:pPr>
        <w:pStyle w:val="Prrafodelista"/>
        <w:widowControl/>
        <w:numPr>
          <w:ilvl w:val="0"/>
          <w:numId w:val="34"/>
        </w:numPr>
        <w:adjustRightInd w:val="0"/>
        <w:ind w:left="0" w:firstLine="0"/>
        <w:contextualSpacing/>
        <w:rPr>
          <w:rFonts w:cs="Times New Roman"/>
          <w:sz w:val="20"/>
          <w:szCs w:val="21"/>
        </w:rPr>
      </w:pPr>
      <w:r w:rsidRPr="0069525B">
        <w:rPr>
          <w:rFonts w:cs="Times New Roman"/>
          <w:sz w:val="20"/>
          <w:szCs w:val="21"/>
        </w:rPr>
        <w:lastRenderedPageBreak/>
        <w:t>En relación con las solicitudes de la Comisión y los representantes de acciones para la formación o capacitación de funcionarios</w:t>
      </w:r>
      <w:r w:rsidRPr="00DF6A53">
        <w:rPr>
          <w:rFonts w:cs="Times New Roman"/>
          <w:sz w:val="20"/>
          <w:szCs w:val="21"/>
        </w:rPr>
        <w:t xml:space="preserve">, este Tribunal valora la información proporcionada por el Estado al respecto. No obstante, teniendo en cuenta las circunstancias del caso y </w:t>
      </w:r>
      <w:r>
        <w:rPr>
          <w:rFonts w:cs="Times New Roman"/>
          <w:sz w:val="20"/>
          <w:szCs w:val="21"/>
        </w:rPr>
        <w:t>su</w:t>
      </w:r>
      <w:r w:rsidRPr="00DF6A53">
        <w:rPr>
          <w:rFonts w:cs="Times New Roman"/>
          <w:sz w:val="20"/>
          <w:szCs w:val="21"/>
        </w:rPr>
        <w:t xml:space="preserve"> situación contextual, evalúa que resulta necesario, a fin de evitar la repetición de los hechos, que el personal policial del Estado Falcón reciba apropiada instrucción respecto al uso adecuado de la fuerza y el respeto a los derechos humanos. Por ello, </w:t>
      </w:r>
      <w:r w:rsidRPr="00DF6A53">
        <w:rPr>
          <w:sz w:val="20"/>
          <w:szCs w:val="20"/>
        </w:rPr>
        <w:t xml:space="preserve">la Corte ordena al Estado que, en el plazo de un año, disponga medidas adicionales a los programas y cursos que está implementando para brindar, en forma permanente, capacitación y sensibilización a integrantes de fuerzas policiales del Estado Falcón en: i) uso adecuado de la fuerza; </w:t>
      </w:r>
      <w:proofErr w:type="spellStart"/>
      <w:r w:rsidRPr="00DF6A53">
        <w:rPr>
          <w:sz w:val="20"/>
          <w:szCs w:val="20"/>
        </w:rPr>
        <w:t>ii</w:t>
      </w:r>
      <w:proofErr w:type="spellEnd"/>
      <w:r w:rsidRPr="00DF6A53">
        <w:rPr>
          <w:sz w:val="20"/>
          <w:szCs w:val="20"/>
        </w:rPr>
        <w:t xml:space="preserve">) derechos humanos y no discriminación y, </w:t>
      </w:r>
      <w:proofErr w:type="spellStart"/>
      <w:r w:rsidRPr="00DF6A53">
        <w:rPr>
          <w:sz w:val="20"/>
          <w:szCs w:val="20"/>
        </w:rPr>
        <w:t>iii</w:t>
      </w:r>
      <w:proofErr w:type="spellEnd"/>
      <w:r w:rsidRPr="00DF6A53">
        <w:rPr>
          <w:sz w:val="20"/>
          <w:szCs w:val="20"/>
        </w:rPr>
        <w:t>) protección de los derechos de las personas jóvenes y en contexto de pobreza. La Corte supervisará esta medida hasta contar con información suficiente que permita darla por cumplida adecuadamente.</w:t>
      </w:r>
      <w:r>
        <w:rPr>
          <w:sz w:val="20"/>
          <w:szCs w:val="20"/>
        </w:rPr>
        <w:t xml:space="preserve"> </w:t>
      </w:r>
    </w:p>
    <w:p w14:paraId="331388EE" w14:textId="77777777" w:rsidR="004E64A8" w:rsidRPr="0069525B" w:rsidRDefault="004E64A8" w:rsidP="004E64A8">
      <w:pPr>
        <w:pStyle w:val="Prrafodelista"/>
        <w:adjustRightInd w:val="0"/>
        <w:ind w:left="0"/>
        <w:rPr>
          <w:rFonts w:cs="ArialMT"/>
          <w:sz w:val="20"/>
          <w:szCs w:val="20"/>
        </w:rPr>
      </w:pPr>
    </w:p>
    <w:p w14:paraId="0F78E4BC" w14:textId="77777777" w:rsidR="004E64A8" w:rsidRDefault="004E64A8" w:rsidP="004E64A8">
      <w:pPr>
        <w:pStyle w:val="Prrafodelista"/>
        <w:widowControl/>
        <w:numPr>
          <w:ilvl w:val="0"/>
          <w:numId w:val="34"/>
        </w:numPr>
        <w:adjustRightInd w:val="0"/>
        <w:ind w:left="0" w:firstLine="0"/>
        <w:contextualSpacing/>
        <w:rPr>
          <w:rFonts w:cs="ArialMT"/>
          <w:sz w:val="20"/>
          <w:szCs w:val="20"/>
        </w:rPr>
      </w:pPr>
      <w:r>
        <w:rPr>
          <w:rFonts w:cs="ArialMT"/>
          <w:sz w:val="20"/>
          <w:szCs w:val="20"/>
        </w:rPr>
        <w:t>Por otra parte, la Corte advierte que el perito Ignacio Cano señaló que la actuación del sistema de justicia criminal resulta insuficiente para reducir el acaecimiento de casos de abusos de fuerzas de seguridad, y que es importante adoptar “otro abordaje, que realice un monitoreo del conjunto de casos de uso de la fuerza letal”. Advirtió que para ello se requiere “contar con un registro sistemático de casos”. Precisó que ello es útil para motivar a las autoridades a adoptar medidas preventivas, así como a la opinión pública a exigirlas, y que, además, genera una “presión” en las fuerzas de seguridad para, de ser el caso, explicar el incremento de abusos, lo que puede tener un efecto disuasivo de los mismos</w:t>
      </w:r>
      <w:r>
        <w:rPr>
          <w:rStyle w:val="Refdenotaalpie"/>
          <w:rFonts w:cs="ArialMT"/>
          <w:sz w:val="20"/>
          <w:szCs w:val="20"/>
        </w:rPr>
        <w:footnoteReference w:id="178"/>
      </w:r>
      <w:r>
        <w:rPr>
          <w:rFonts w:cs="ArialMT"/>
          <w:sz w:val="20"/>
          <w:szCs w:val="20"/>
        </w:rPr>
        <w:t xml:space="preserve">. </w:t>
      </w:r>
    </w:p>
    <w:p w14:paraId="2BEBC4B5" w14:textId="77777777" w:rsidR="004E64A8" w:rsidRDefault="004E64A8" w:rsidP="004E64A8">
      <w:pPr>
        <w:pStyle w:val="Prrafodelista"/>
        <w:widowControl/>
        <w:adjustRightInd w:val="0"/>
        <w:ind w:left="0"/>
        <w:contextualSpacing/>
        <w:rPr>
          <w:rFonts w:cs="ArialMT"/>
          <w:sz w:val="20"/>
          <w:szCs w:val="20"/>
        </w:rPr>
      </w:pPr>
    </w:p>
    <w:p w14:paraId="0EE62761" w14:textId="4BCECE08" w:rsidR="004E64A8" w:rsidRPr="00542071" w:rsidRDefault="004E64A8" w:rsidP="004E64A8">
      <w:pPr>
        <w:pStyle w:val="Prrafodelista"/>
        <w:widowControl/>
        <w:numPr>
          <w:ilvl w:val="0"/>
          <w:numId w:val="34"/>
        </w:numPr>
        <w:adjustRightInd w:val="0"/>
        <w:ind w:left="0" w:firstLine="0"/>
        <w:contextualSpacing/>
        <w:rPr>
          <w:rFonts w:cs="ArialMT"/>
          <w:sz w:val="20"/>
          <w:szCs w:val="20"/>
        </w:rPr>
      </w:pPr>
      <w:r>
        <w:rPr>
          <w:rFonts w:cs="ArialMT"/>
          <w:sz w:val="20"/>
          <w:szCs w:val="20"/>
        </w:rPr>
        <w:t xml:space="preserve">Teniendo en consideración lo expuesto, así como el contexto de violencia policial en el que se insertaron violaciones a derechos humanos determinadas en la presente Sentencia, la Corte ordena al Estado </w:t>
      </w:r>
      <w:r>
        <w:rPr>
          <w:rFonts w:cs="Times New Roman"/>
          <w:sz w:val="20"/>
          <w:szCs w:val="20"/>
        </w:rPr>
        <w:t xml:space="preserve">que, </w:t>
      </w:r>
      <w:r w:rsidRPr="00DF6A53">
        <w:rPr>
          <w:rFonts w:cs="Times New Roman"/>
          <w:sz w:val="20"/>
          <w:szCs w:val="20"/>
        </w:rPr>
        <w:t>en el plazo de un año y luego con una periodicidad anual,</w:t>
      </w:r>
      <w:r w:rsidRPr="00C334A3">
        <w:rPr>
          <w:rFonts w:cs="Times New Roman"/>
          <w:b/>
          <w:sz w:val="20"/>
          <w:szCs w:val="20"/>
        </w:rPr>
        <w:t xml:space="preserve"> </w:t>
      </w:r>
      <w:r w:rsidRPr="0069704B">
        <w:rPr>
          <w:rFonts w:cs="Times New Roman"/>
          <w:sz w:val="20"/>
          <w:szCs w:val="20"/>
        </w:rPr>
        <w:t>publique</w:t>
      </w:r>
      <w:r w:rsidRPr="00C334A3">
        <w:rPr>
          <w:rFonts w:cs="Times New Roman"/>
          <w:sz w:val="20"/>
          <w:szCs w:val="20"/>
        </w:rPr>
        <w:t xml:space="preserve"> </w:t>
      </w:r>
      <w:r w:rsidRPr="00542071">
        <w:rPr>
          <w:rFonts w:cs="Times New Roman"/>
          <w:sz w:val="20"/>
          <w:szCs w:val="20"/>
        </w:rPr>
        <w:t xml:space="preserve">un informe oficial con los datos relativos a las muertes producidas </w:t>
      </w:r>
      <w:r w:rsidRPr="006244E4">
        <w:rPr>
          <w:rFonts w:cs="Times New Roman"/>
          <w:sz w:val="20"/>
          <w:szCs w:val="20"/>
        </w:rPr>
        <w:t xml:space="preserve">por </w:t>
      </w:r>
      <w:r w:rsidR="006244E4">
        <w:rPr>
          <w:rFonts w:cs="Times New Roman"/>
          <w:sz w:val="20"/>
          <w:szCs w:val="20"/>
        </w:rPr>
        <w:t>parte de fuerzas policiales</w:t>
      </w:r>
      <w:r w:rsidRPr="00542071">
        <w:rPr>
          <w:rFonts w:cs="Times New Roman"/>
          <w:sz w:val="20"/>
          <w:szCs w:val="20"/>
        </w:rPr>
        <w:t xml:space="preserve"> en todos los </w:t>
      </w:r>
      <w:r>
        <w:rPr>
          <w:rFonts w:cs="Times New Roman"/>
          <w:sz w:val="20"/>
          <w:szCs w:val="20"/>
        </w:rPr>
        <w:t>E</w:t>
      </w:r>
      <w:r w:rsidRPr="00542071">
        <w:rPr>
          <w:rFonts w:cs="Times New Roman"/>
          <w:sz w:val="20"/>
          <w:szCs w:val="20"/>
        </w:rPr>
        <w:t>stados del país</w:t>
      </w:r>
      <w:r>
        <w:rPr>
          <w:rFonts w:cs="Times New Roman"/>
          <w:sz w:val="20"/>
          <w:szCs w:val="20"/>
        </w:rPr>
        <w:t xml:space="preserve"> </w:t>
      </w:r>
      <w:r w:rsidRPr="00DF6A53">
        <w:rPr>
          <w:rFonts w:cs="Times New Roman"/>
          <w:sz w:val="20"/>
          <w:szCs w:val="20"/>
        </w:rPr>
        <w:t>y la identificación de las personas fallecidas en dichas circunstancias, inclusive por medio de información relativas al nombre, edad, sexo o género, lugar de residencia y condición social, entre otros</w:t>
      </w:r>
      <w:r w:rsidRPr="00542071">
        <w:rPr>
          <w:rFonts w:cs="Times New Roman"/>
          <w:sz w:val="20"/>
          <w:szCs w:val="20"/>
        </w:rPr>
        <w:t xml:space="preserve">. Dicho informe debe también contener información actualizada anualmente sobre las investigaciones realizadas respecto a cada incidente resultante en la muerte de un civil o de un integrante de fuerzas policiales. </w:t>
      </w:r>
      <w:r w:rsidRPr="00DF6A53">
        <w:rPr>
          <w:rFonts w:cs="Times New Roman"/>
          <w:sz w:val="20"/>
          <w:szCs w:val="20"/>
        </w:rPr>
        <w:t xml:space="preserve">La documentación o información que sirva de sustento al informe </w:t>
      </w:r>
      <w:proofErr w:type="gramStart"/>
      <w:r w:rsidRPr="00DF6A53">
        <w:rPr>
          <w:rFonts w:cs="Times New Roman"/>
          <w:sz w:val="20"/>
          <w:szCs w:val="20"/>
        </w:rPr>
        <w:t>público,</w:t>
      </w:r>
      <w:proofErr w:type="gramEnd"/>
      <w:r w:rsidRPr="00DF6A53">
        <w:rPr>
          <w:rFonts w:cs="Times New Roman"/>
          <w:sz w:val="20"/>
          <w:szCs w:val="20"/>
        </w:rPr>
        <w:t xml:space="preserve"> debe, a su vez, ser pública y accesible a investigadores independientes. </w:t>
      </w:r>
      <w:r w:rsidRPr="00DF6A53">
        <w:rPr>
          <w:sz w:val="20"/>
          <w:szCs w:val="20"/>
        </w:rPr>
        <w:t>La Corte supervisará esta medida hasta contar con información suficiente que permita darla por cumplida adecuadamente,</w:t>
      </w:r>
      <w:r w:rsidRPr="00542071">
        <w:rPr>
          <w:sz w:val="20"/>
          <w:szCs w:val="20"/>
        </w:rPr>
        <w:t xml:space="preserve"> y podrá determinar medidas adicionales o suplementares durante la supervisión del cumplimiento de esta Sentencia, en caso de que los objetivos de la medida no sean verificados satisfactoriamente</w:t>
      </w:r>
      <w:r>
        <w:rPr>
          <w:sz w:val="20"/>
          <w:szCs w:val="20"/>
        </w:rPr>
        <w:t>.</w:t>
      </w:r>
    </w:p>
    <w:p w14:paraId="2E815CA0" w14:textId="77777777" w:rsidR="004E64A8" w:rsidRPr="0069525B" w:rsidRDefault="004E64A8" w:rsidP="004E64A8">
      <w:pPr>
        <w:pStyle w:val="Prrafodelista"/>
        <w:adjustRightInd w:val="0"/>
        <w:ind w:left="0"/>
        <w:rPr>
          <w:rFonts w:cs="Times New Roman"/>
          <w:sz w:val="20"/>
          <w:szCs w:val="20"/>
        </w:rPr>
      </w:pPr>
    </w:p>
    <w:p w14:paraId="33CB3C4B" w14:textId="77777777" w:rsidR="004E64A8" w:rsidRPr="0069525B" w:rsidRDefault="004E64A8" w:rsidP="000F2503">
      <w:pPr>
        <w:pStyle w:val="Prrafodelista"/>
        <w:widowControl/>
        <w:numPr>
          <w:ilvl w:val="0"/>
          <w:numId w:val="25"/>
        </w:numPr>
        <w:adjustRightInd w:val="0"/>
        <w:ind w:left="284" w:firstLine="0"/>
        <w:contextualSpacing/>
        <w:outlineLvl w:val="1"/>
        <w:rPr>
          <w:rFonts w:cs="Times New Roman"/>
          <w:b/>
          <w:i/>
          <w:sz w:val="20"/>
          <w:szCs w:val="20"/>
        </w:rPr>
      </w:pPr>
      <w:r w:rsidRPr="0069525B">
        <w:rPr>
          <w:rFonts w:cs="Times New Roman"/>
          <w:b/>
          <w:i/>
          <w:sz w:val="20"/>
          <w:szCs w:val="20"/>
        </w:rPr>
        <w:t xml:space="preserve"> </w:t>
      </w:r>
      <w:bookmarkStart w:id="84" w:name="_Toc73960388"/>
      <w:r w:rsidRPr="0069525B">
        <w:rPr>
          <w:rFonts w:cs="Times New Roman"/>
          <w:b/>
          <w:i/>
          <w:sz w:val="20"/>
          <w:szCs w:val="20"/>
        </w:rPr>
        <w:t>Otras medidas solicitadas</w:t>
      </w:r>
      <w:bookmarkEnd w:id="84"/>
    </w:p>
    <w:p w14:paraId="16D4DEBE" w14:textId="77777777" w:rsidR="004E64A8" w:rsidRPr="0069525B" w:rsidRDefault="004E64A8" w:rsidP="004E64A8">
      <w:pPr>
        <w:pStyle w:val="Prrafodelista"/>
        <w:rPr>
          <w:rFonts w:cs="Times New Roman"/>
          <w:sz w:val="18"/>
          <w:szCs w:val="20"/>
        </w:rPr>
      </w:pPr>
    </w:p>
    <w:p w14:paraId="7F71DC29" w14:textId="77777777" w:rsidR="004E64A8" w:rsidRPr="00542071" w:rsidRDefault="004E64A8" w:rsidP="004E64A8">
      <w:pPr>
        <w:pStyle w:val="Prrafodelista"/>
        <w:widowControl/>
        <w:numPr>
          <w:ilvl w:val="0"/>
          <w:numId w:val="34"/>
        </w:numPr>
        <w:adjustRightInd w:val="0"/>
        <w:ind w:left="0" w:firstLine="0"/>
        <w:contextualSpacing/>
        <w:rPr>
          <w:rFonts w:cs="Times New Roman"/>
          <w:sz w:val="20"/>
          <w:szCs w:val="20"/>
        </w:rPr>
      </w:pPr>
      <w:r w:rsidRPr="0069525B">
        <w:rPr>
          <w:sz w:val="20"/>
        </w:rPr>
        <w:t xml:space="preserve">Los </w:t>
      </w:r>
      <w:r w:rsidRPr="0069525B">
        <w:rPr>
          <w:b/>
          <w:i/>
          <w:sz w:val="20"/>
        </w:rPr>
        <w:t>representantes</w:t>
      </w:r>
      <w:r w:rsidRPr="0069525B">
        <w:rPr>
          <w:sz w:val="20"/>
        </w:rPr>
        <w:t xml:space="preserve"> solicitaron que se realice un “[a]</w:t>
      </w:r>
      <w:proofErr w:type="spellStart"/>
      <w:r w:rsidRPr="0069525B">
        <w:rPr>
          <w:sz w:val="20"/>
        </w:rPr>
        <w:t>cto</w:t>
      </w:r>
      <w:proofErr w:type="spellEnd"/>
      <w:r w:rsidRPr="0069525B">
        <w:rPr>
          <w:sz w:val="20"/>
        </w:rPr>
        <w:t xml:space="preserve"> público de pedido de disculpas públicas”</w:t>
      </w:r>
      <w:r>
        <w:rPr>
          <w:sz w:val="20"/>
        </w:rPr>
        <w:t>;</w:t>
      </w:r>
      <w:r w:rsidRPr="0069525B">
        <w:rPr>
          <w:sz w:val="20"/>
        </w:rPr>
        <w:t xml:space="preserve"> que se ordene al Estado “</w:t>
      </w:r>
      <w:proofErr w:type="spellStart"/>
      <w:r w:rsidRPr="0069525B">
        <w:rPr>
          <w:rFonts w:cs="Times New Roman"/>
          <w:sz w:val="20"/>
          <w:szCs w:val="21"/>
        </w:rPr>
        <w:t>constru</w:t>
      </w:r>
      <w:proofErr w:type="spellEnd"/>
      <w:r w:rsidRPr="0069525B">
        <w:rPr>
          <w:rFonts w:cs="Times New Roman"/>
          <w:sz w:val="20"/>
          <w:szCs w:val="21"/>
        </w:rPr>
        <w:t>[ir] una cancha deportiva o un comedor comunitario con el nombre ‘Jimmy Guerrero Meléndez’”</w:t>
      </w:r>
      <w:r>
        <w:rPr>
          <w:rFonts w:cs="Times New Roman"/>
          <w:sz w:val="20"/>
          <w:szCs w:val="21"/>
        </w:rPr>
        <w:t>,</w:t>
      </w:r>
      <w:r w:rsidRPr="0069525B">
        <w:rPr>
          <w:rFonts w:cs="Times New Roman"/>
          <w:sz w:val="20"/>
          <w:szCs w:val="21"/>
        </w:rPr>
        <w:t xml:space="preserve"> y “que una plaza en el Estado Falcón lleve el nombre de […] ‘Ramón Antonio Molina Pérez’, para preservar la memoria de la víctima</w:t>
      </w:r>
      <w:r>
        <w:rPr>
          <w:rFonts w:cs="Times New Roman"/>
          <w:sz w:val="20"/>
          <w:szCs w:val="21"/>
        </w:rPr>
        <w:t>”</w:t>
      </w:r>
      <w:r w:rsidRPr="0069525B">
        <w:rPr>
          <w:rFonts w:cs="Times New Roman"/>
          <w:sz w:val="20"/>
          <w:szCs w:val="21"/>
        </w:rPr>
        <w:t xml:space="preserve">. </w:t>
      </w:r>
      <w:r>
        <w:rPr>
          <w:rFonts w:cs="Times New Roman"/>
          <w:sz w:val="20"/>
          <w:szCs w:val="21"/>
        </w:rPr>
        <w:t>También solicitaron que se ordene a Venezuela</w:t>
      </w:r>
      <w:r w:rsidRPr="00542071">
        <w:rPr>
          <w:rFonts w:cs="Times New Roman"/>
          <w:sz w:val="20"/>
          <w:szCs w:val="20"/>
        </w:rPr>
        <w:t xml:space="preserve"> “[la] creación </w:t>
      </w:r>
      <w:r w:rsidRPr="00542071">
        <w:rPr>
          <w:rFonts w:cs="Times New Roman"/>
          <w:sz w:val="20"/>
          <w:szCs w:val="20"/>
        </w:rPr>
        <w:lastRenderedPageBreak/>
        <w:t xml:space="preserve">de una </w:t>
      </w:r>
      <w:r>
        <w:rPr>
          <w:rFonts w:cs="Times New Roman"/>
          <w:sz w:val="20"/>
          <w:szCs w:val="20"/>
        </w:rPr>
        <w:t>[C]</w:t>
      </w:r>
      <w:r w:rsidRPr="00542071">
        <w:rPr>
          <w:rFonts w:cs="Times New Roman"/>
          <w:sz w:val="20"/>
          <w:szCs w:val="20"/>
        </w:rPr>
        <w:t xml:space="preserve">omisión de la </w:t>
      </w:r>
      <w:r>
        <w:rPr>
          <w:rFonts w:cs="Times New Roman"/>
          <w:sz w:val="20"/>
          <w:szCs w:val="20"/>
        </w:rPr>
        <w:t>[V]</w:t>
      </w:r>
      <w:proofErr w:type="spellStart"/>
      <w:r w:rsidRPr="00542071">
        <w:rPr>
          <w:rFonts w:cs="Times New Roman"/>
          <w:sz w:val="20"/>
          <w:szCs w:val="20"/>
        </w:rPr>
        <w:t>erdad</w:t>
      </w:r>
      <w:proofErr w:type="spellEnd"/>
      <w:r w:rsidRPr="00542071">
        <w:rPr>
          <w:rFonts w:cs="Times New Roman"/>
          <w:sz w:val="20"/>
          <w:szCs w:val="20"/>
        </w:rPr>
        <w:t xml:space="preserve"> respecto [de] ejecuciones extrajudiciales con información cualitativa y cuantitativa”. </w:t>
      </w:r>
    </w:p>
    <w:p w14:paraId="4E18197D" w14:textId="77777777" w:rsidR="004E64A8" w:rsidRPr="0069525B" w:rsidRDefault="004E64A8" w:rsidP="004E64A8">
      <w:pPr>
        <w:pStyle w:val="Prrafodelista"/>
        <w:adjustRightInd w:val="0"/>
        <w:ind w:left="0"/>
        <w:rPr>
          <w:rFonts w:cs="Times New Roman"/>
          <w:sz w:val="20"/>
          <w:szCs w:val="21"/>
        </w:rPr>
      </w:pPr>
    </w:p>
    <w:p w14:paraId="0D96AF59" w14:textId="77777777" w:rsidR="004E64A8" w:rsidRPr="0069525B" w:rsidRDefault="004E64A8" w:rsidP="004E64A8">
      <w:pPr>
        <w:pStyle w:val="Prrafodelista"/>
        <w:widowControl/>
        <w:numPr>
          <w:ilvl w:val="0"/>
          <w:numId w:val="34"/>
        </w:numPr>
        <w:adjustRightInd w:val="0"/>
        <w:ind w:left="0" w:firstLine="0"/>
        <w:contextualSpacing/>
        <w:rPr>
          <w:rFonts w:cs="Times New Roman"/>
          <w:sz w:val="20"/>
          <w:szCs w:val="20"/>
        </w:rPr>
      </w:pPr>
      <w:r w:rsidRPr="0069525B">
        <w:rPr>
          <w:rFonts w:cs="Times New Roman"/>
          <w:sz w:val="20"/>
          <w:szCs w:val="20"/>
        </w:rPr>
        <w:t xml:space="preserve">La </w:t>
      </w:r>
      <w:r w:rsidRPr="0069525B">
        <w:rPr>
          <w:rFonts w:cs="Times New Roman"/>
          <w:b/>
          <w:i/>
          <w:sz w:val="20"/>
          <w:szCs w:val="20"/>
        </w:rPr>
        <w:t>Corte</w:t>
      </w:r>
      <w:r w:rsidRPr="0069525B">
        <w:rPr>
          <w:sz w:val="20"/>
        </w:rPr>
        <w:t xml:space="preserve"> considera que la emisión de la presente Sentencia y las medidas de satisfacción </w:t>
      </w:r>
      <w:r w:rsidRPr="008E0108">
        <w:rPr>
          <w:sz w:val="20"/>
        </w:rPr>
        <w:t>y garantías de no repetición ya ordenadas, aunadas al resto de las reparaciones que se disponen en esta Sentencia, resultan suficientes y adecuadas para remediar las violaciones sufridas por las víctimas. Por tanto, no estima necesario ordenar medidas consistentes en realizar un acto público de responsabilidad o asignar con el nombre de Ramón Molina o Jimmy Guerrero a instalaciones deportivas, un comedor o una plaza, como tampoco disponer la creación de una Comisión de la Verdad.</w:t>
      </w:r>
      <w:r w:rsidRPr="0069525B">
        <w:rPr>
          <w:sz w:val="20"/>
        </w:rPr>
        <w:t xml:space="preserve"> </w:t>
      </w:r>
    </w:p>
    <w:p w14:paraId="68D1A220" w14:textId="77777777" w:rsidR="004E64A8" w:rsidRPr="0069525B" w:rsidRDefault="004E64A8" w:rsidP="004E64A8">
      <w:pPr>
        <w:pStyle w:val="Prrafodelista"/>
        <w:rPr>
          <w:rFonts w:cs="Times New Roman"/>
          <w:sz w:val="20"/>
          <w:szCs w:val="20"/>
        </w:rPr>
      </w:pPr>
    </w:p>
    <w:p w14:paraId="4D4599B0" w14:textId="77777777" w:rsidR="004E64A8" w:rsidRPr="0069525B" w:rsidRDefault="004E64A8" w:rsidP="004E64A8">
      <w:pPr>
        <w:pStyle w:val="Prrafodelista"/>
        <w:widowControl/>
        <w:numPr>
          <w:ilvl w:val="0"/>
          <w:numId w:val="25"/>
        </w:numPr>
        <w:adjustRightInd w:val="0"/>
        <w:ind w:left="284" w:firstLine="0"/>
        <w:contextualSpacing/>
        <w:outlineLvl w:val="1"/>
        <w:rPr>
          <w:rFonts w:cs="Times New Roman"/>
          <w:b/>
          <w:i/>
          <w:sz w:val="20"/>
          <w:szCs w:val="20"/>
        </w:rPr>
      </w:pPr>
      <w:r w:rsidRPr="0069525B">
        <w:rPr>
          <w:rFonts w:cs="Times New Roman"/>
          <w:b/>
          <w:i/>
          <w:sz w:val="20"/>
          <w:szCs w:val="20"/>
        </w:rPr>
        <w:t xml:space="preserve"> </w:t>
      </w:r>
      <w:bookmarkStart w:id="85" w:name="_Toc73960389"/>
      <w:r w:rsidRPr="0069525B">
        <w:rPr>
          <w:rFonts w:cs="Times New Roman"/>
          <w:b/>
          <w:i/>
          <w:sz w:val="20"/>
          <w:szCs w:val="20"/>
        </w:rPr>
        <w:t>Indemnizaciones compensatorias</w:t>
      </w:r>
      <w:bookmarkEnd w:id="85"/>
    </w:p>
    <w:p w14:paraId="0225DCA4" w14:textId="77777777" w:rsidR="004E64A8" w:rsidRPr="0069525B" w:rsidRDefault="004E64A8" w:rsidP="004E64A8">
      <w:pPr>
        <w:pStyle w:val="Prrafodelista"/>
        <w:rPr>
          <w:rFonts w:cs="Times New Roman"/>
          <w:sz w:val="20"/>
          <w:szCs w:val="20"/>
        </w:rPr>
      </w:pPr>
    </w:p>
    <w:p w14:paraId="018E420B" w14:textId="1DB02AE3" w:rsidR="004E64A8" w:rsidRPr="0069525B" w:rsidRDefault="004E64A8" w:rsidP="004E64A8">
      <w:pPr>
        <w:pStyle w:val="Prrafodelista"/>
        <w:widowControl/>
        <w:numPr>
          <w:ilvl w:val="0"/>
          <w:numId w:val="34"/>
        </w:numPr>
        <w:adjustRightInd w:val="0"/>
        <w:ind w:left="0" w:firstLine="0"/>
        <w:contextualSpacing/>
        <w:rPr>
          <w:rFonts w:cs="Times New Roman"/>
          <w:sz w:val="20"/>
          <w:szCs w:val="20"/>
        </w:rPr>
      </w:pPr>
      <w:r w:rsidRPr="0069525B">
        <w:rPr>
          <w:sz w:val="20"/>
        </w:rPr>
        <w:t xml:space="preserve">La </w:t>
      </w:r>
      <w:r w:rsidRPr="0069525B">
        <w:rPr>
          <w:b/>
          <w:i/>
          <w:sz w:val="20"/>
        </w:rPr>
        <w:t>Comisión</w:t>
      </w:r>
      <w:r w:rsidRPr="0069525B">
        <w:rPr>
          <w:sz w:val="20"/>
        </w:rPr>
        <w:t xml:space="preserve"> solicitó que se reparen integralmente las violaciones a derechos humanos en su aspecto material e inmaterial, mediante medidas de compensación económica.</w:t>
      </w:r>
      <w:r w:rsidRPr="0069525B">
        <w:rPr>
          <w:b/>
          <w:sz w:val="16"/>
        </w:rPr>
        <w:t xml:space="preserve"> </w:t>
      </w:r>
      <w:r w:rsidRPr="0069525B">
        <w:rPr>
          <w:rFonts w:cs="Times New Roman"/>
          <w:sz w:val="20"/>
          <w:szCs w:val="20"/>
        </w:rPr>
        <w:t xml:space="preserve">Los </w:t>
      </w:r>
      <w:r w:rsidRPr="0069525B">
        <w:rPr>
          <w:rFonts w:cs="Times New Roman"/>
          <w:b/>
          <w:i/>
          <w:sz w:val="20"/>
          <w:szCs w:val="20"/>
        </w:rPr>
        <w:t>representantes</w:t>
      </w:r>
      <w:r w:rsidRPr="0069525B">
        <w:rPr>
          <w:rFonts w:cs="Times New Roman"/>
          <w:sz w:val="20"/>
          <w:szCs w:val="20"/>
        </w:rPr>
        <w:t xml:space="preserve"> </w:t>
      </w:r>
      <w:r w:rsidRPr="0069525B">
        <w:rPr>
          <w:sz w:val="20"/>
          <w:szCs w:val="20"/>
        </w:rPr>
        <w:t>requirieron que la Corte que “</w:t>
      </w:r>
      <w:r w:rsidRPr="00A246FF">
        <w:rPr>
          <w:sz w:val="20"/>
          <w:szCs w:val="20"/>
        </w:rPr>
        <w:t>determine en equidad la cantidad correspondiente al daño material”.</w:t>
      </w:r>
      <w:r w:rsidRPr="0069525B">
        <w:rPr>
          <w:sz w:val="20"/>
          <w:szCs w:val="20"/>
        </w:rPr>
        <w:t xml:space="preserve"> </w:t>
      </w:r>
      <w:r w:rsidR="00BE0A73">
        <w:rPr>
          <w:sz w:val="20"/>
          <w:szCs w:val="20"/>
        </w:rPr>
        <w:t>Pese a ello, aduciendo jurisprudencia, s</w:t>
      </w:r>
      <w:r w:rsidRPr="0069525B">
        <w:rPr>
          <w:sz w:val="20"/>
          <w:szCs w:val="20"/>
        </w:rPr>
        <w:t xml:space="preserve">olicitaron que se </w:t>
      </w:r>
      <w:r w:rsidR="00BE0A73">
        <w:rPr>
          <w:sz w:val="20"/>
          <w:szCs w:val="20"/>
        </w:rPr>
        <w:t>tomen como “parámetro” los montos de US$ 65,000.</w:t>
      </w:r>
      <w:r w:rsidRPr="0069525B">
        <w:rPr>
          <w:sz w:val="20"/>
          <w:szCs w:val="20"/>
        </w:rPr>
        <w:t>00 por concepto de lucro cesante</w:t>
      </w:r>
      <w:r w:rsidR="00BE0A73">
        <w:rPr>
          <w:sz w:val="20"/>
          <w:szCs w:val="20"/>
        </w:rPr>
        <w:t xml:space="preserve"> y de US$ 300.</w:t>
      </w:r>
      <w:r w:rsidRPr="0069525B">
        <w:rPr>
          <w:sz w:val="20"/>
          <w:szCs w:val="20"/>
        </w:rPr>
        <w:t>00 por de gastos funerarios. En cuanto al daño inmaterial, solicitaron que la Corte “otorgue US$ 60</w:t>
      </w:r>
      <w:r w:rsidR="00BE0A73">
        <w:rPr>
          <w:sz w:val="20"/>
          <w:szCs w:val="20"/>
        </w:rPr>
        <w:t>,000.</w:t>
      </w:r>
      <w:r w:rsidRPr="0069525B">
        <w:rPr>
          <w:sz w:val="20"/>
          <w:szCs w:val="20"/>
        </w:rPr>
        <w:t>00 en equidad”, a Jimmy G</w:t>
      </w:r>
      <w:r w:rsidR="00BE0A73">
        <w:rPr>
          <w:sz w:val="20"/>
          <w:szCs w:val="20"/>
        </w:rPr>
        <w:t>uerrero y Ramón Molina; “US$ 50,000.</w:t>
      </w:r>
      <w:r w:rsidRPr="0069525B">
        <w:rPr>
          <w:sz w:val="20"/>
          <w:szCs w:val="20"/>
        </w:rPr>
        <w:t xml:space="preserve">00 a los padres, hermanos e hijos de Jimmy Guerrero, como también a la señora </w:t>
      </w:r>
      <w:proofErr w:type="spellStart"/>
      <w:r w:rsidRPr="0069525B">
        <w:rPr>
          <w:sz w:val="20"/>
          <w:szCs w:val="20"/>
        </w:rPr>
        <w:t>Soleida</w:t>
      </w:r>
      <w:proofErr w:type="spellEnd"/>
      <w:r w:rsidRPr="0069525B">
        <w:rPr>
          <w:sz w:val="20"/>
          <w:szCs w:val="20"/>
        </w:rPr>
        <w:t xml:space="preserve"> Morillo</w:t>
      </w:r>
      <w:r w:rsidR="00BE0A73">
        <w:rPr>
          <w:sz w:val="20"/>
          <w:szCs w:val="20"/>
        </w:rPr>
        <w:t xml:space="preserve"> de Molina y sus hijos y US$ 15,000.</w:t>
      </w:r>
      <w:r w:rsidRPr="0069525B">
        <w:rPr>
          <w:sz w:val="20"/>
          <w:szCs w:val="20"/>
        </w:rPr>
        <w:t xml:space="preserve">00 a la sobrina de Jimmy Guerrero”. </w:t>
      </w:r>
    </w:p>
    <w:p w14:paraId="498857E5" w14:textId="77777777" w:rsidR="004E64A8" w:rsidRPr="0069525B" w:rsidRDefault="004E64A8" w:rsidP="004E64A8">
      <w:pPr>
        <w:pStyle w:val="Prrafodelista"/>
        <w:ind w:left="0"/>
        <w:rPr>
          <w:rFonts w:cs="Times New Roman"/>
          <w:sz w:val="20"/>
          <w:szCs w:val="20"/>
        </w:rPr>
      </w:pPr>
    </w:p>
    <w:p w14:paraId="0EA0CA00" w14:textId="77777777" w:rsidR="004E64A8" w:rsidRPr="0069525B" w:rsidRDefault="004E64A8" w:rsidP="004E64A8">
      <w:pPr>
        <w:pStyle w:val="Prrafodelista"/>
        <w:widowControl/>
        <w:numPr>
          <w:ilvl w:val="0"/>
          <w:numId w:val="34"/>
        </w:numPr>
        <w:adjustRightInd w:val="0"/>
        <w:ind w:left="0" w:firstLine="0"/>
        <w:contextualSpacing/>
        <w:rPr>
          <w:rFonts w:cs="Times New Roman"/>
          <w:sz w:val="20"/>
          <w:szCs w:val="20"/>
        </w:rPr>
      </w:pPr>
      <w:r w:rsidRPr="0069525B">
        <w:rPr>
          <w:rFonts w:cs="Times New Roman"/>
          <w:sz w:val="20"/>
          <w:szCs w:val="20"/>
        </w:rPr>
        <w:t xml:space="preserve">La </w:t>
      </w:r>
      <w:r w:rsidRPr="00620163">
        <w:rPr>
          <w:rFonts w:cs="Times New Roman"/>
          <w:b/>
          <w:i/>
          <w:sz w:val="20"/>
          <w:szCs w:val="20"/>
        </w:rPr>
        <w:t>Corte</w:t>
      </w:r>
      <w:r w:rsidRPr="0069525B">
        <w:rPr>
          <w:rFonts w:cs="Times New Roman"/>
          <w:sz w:val="20"/>
          <w:szCs w:val="20"/>
        </w:rPr>
        <w:t xml:space="preserve"> ha </w:t>
      </w:r>
      <w:r>
        <w:rPr>
          <w:rFonts w:cs="Times New Roman"/>
          <w:sz w:val="20"/>
          <w:szCs w:val="20"/>
        </w:rPr>
        <w:t>advertido</w:t>
      </w:r>
      <w:r w:rsidRPr="0069525B">
        <w:rPr>
          <w:rFonts w:cs="Times New Roman"/>
          <w:sz w:val="20"/>
          <w:szCs w:val="20"/>
        </w:rPr>
        <w:t xml:space="preserve"> que el daño material supone la pérdida o detrimento de los ingresos de las víctimas, los gastos efectuados con motivo de los hechos y las consecuencias de carácter pecuniario que tengan un nexo causal con los hechos del caso</w:t>
      </w:r>
      <w:r w:rsidRPr="0069525B">
        <w:rPr>
          <w:rStyle w:val="Refdenotaalpie"/>
          <w:rFonts w:cs="Times New Roman"/>
          <w:sz w:val="20"/>
          <w:szCs w:val="20"/>
        </w:rPr>
        <w:footnoteReference w:id="179"/>
      </w:r>
      <w:r w:rsidRPr="0069525B">
        <w:rPr>
          <w:rFonts w:cs="Times New Roman"/>
          <w:sz w:val="20"/>
          <w:szCs w:val="20"/>
        </w:rPr>
        <w:t>. Asimismo, ha establecido que</w:t>
      </w:r>
      <w:r>
        <w:rPr>
          <w:rFonts w:cs="Times New Roman"/>
          <w:sz w:val="20"/>
          <w:szCs w:val="20"/>
        </w:rPr>
        <w:t xml:space="preserve"> el daño inmaterial</w:t>
      </w:r>
      <w:r w:rsidRPr="0069525B">
        <w:rPr>
          <w:rFonts w:cs="Times New Roman"/>
          <w:sz w:val="20"/>
          <w:szCs w:val="20"/>
        </w:rPr>
        <w:t xml:space="preserve"> puede comprender tanto los sufrimientos y las aflicciones causados a la víctima directa y a sus allegados, como el menoscabo de valores muy significativos para las personas, así como las alteraciones, de carácter no pecuniario, en las condiciones de existencia de la</w:t>
      </w:r>
      <w:r>
        <w:rPr>
          <w:rFonts w:cs="Times New Roman"/>
          <w:sz w:val="20"/>
          <w:szCs w:val="20"/>
        </w:rPr>
        <w:t>s</w:t>
      </w:r>
      <w:r w:rsidRPr="0069525B">
        <w:rPr>
          <w:rFonts w:cs="Times New Roman"/>
          <w:sz w:val="20"/>
          <w:szCs w:val="20"/>
        </w:rPr>
        <w:t xml:space="preserve"> víctima</w:t>
      </w:r>
      <w:r>
        <w:rPr>
          <w:rFonts w:cs="Times New Roman"/>
          <w:sz w:val="20"/>
          <w:szCs w:val="20"/>
        </w:rPr>
        <w:t>s</w:t>
      </w:r>
      <w:r w:rsidRPr="0069525B">
        <w:rPr>
          <w:rFonts w:cs="Times New Roman"/>
          <w:sz w:val="20"/>
          <w:szCs w:val="20"/>
        </w:rPr>
        <w:t xml:space="preserve"> o su</w:t>
      </w:r>
      <w:r>
        <w:rPr>
          <w:rFonts w:cs="Times New Roman"/>
          <w:sz w:val="20"/>
          <w:szCs w:val="20"/>
        </w:rPr>
        <w:t>s</w:t>
      </w:r>
      <w:r w:rsidRPr="0069525B">
        <w:rPr>
          <w:rFonts w:cs="Times New Roman"/>
          <w:sz w:val="20"/>
          <w:szCs w:val="20"/>
        </w:rPr>
        <w:t xml:space="preserve"> familia</w:t>
      </w:r>
      <w:r>
        <w:rPr>
          <w:rFonts w:cs="Times New Roman"/>
          <w:sz w:val="20"/>
          <w:szCs w:val="20"/>
        </w:rPr>
        <w:t>s</w:t>
      </w:r>
      <w:r w:rsidRPr="0069525B">
        <w:rPr>
          <w:rStyle w:val="Refdenotaalpie"/>
          <w:rFonts w:cs="Times New Roman"/>
          <w:sz w:val="20"/>
          <w:szCs w:val="20"/>
        </w:rPr>
        <w:footnoteReference w:id="180"/>
      </w:r>
      <w:r w:rsidRPr="0069525B">
        <w:rPr>
          <w:rFonts w:cs="Times New Roman"/>
          <w:sz w:val="20"/>
          <w:szCs w:val="20"/>
        </w:rPr>
        <w:t>.</w:t>
      </w:r>
    </w:p>
    <w:p w14:paraId="49721241" w14:textId="77777777" w:rsidR="004E64A8" w:rsidRPr="0069525B" w:rsidRDefault="004E64A8" w:rsidP="004E64A8">
      <w:pPr>
        <w:pStyle w:val="Prrafodelista"/>
        <w:ind w:left="0"/>
        <w:rPr>
          <w:rFonts w:cs="Times New Roman"/>
          <w:sz w:val="20"/>
          <w:szCs w:val="20"/>
        </w:rPr>
      </w:pPr>
    </w:p>
    <w:p w14:paraId="3833208E" w14:textId="0CA67E9A" w:rsidR="004E64A8" w:rsidRPr="0069525B" w:rsidRDefault="004E64A8" w:rsidP="004E64A8">
      <w:pPr>
        <w:pStyle w:val="Prrafodelista"/>
        <w:widowControl/>
        <w:numPr>
          <w:ilvl w:val="0"/>
          <w:numId w:val="34"/>
        </w:numPr>
        <w:adjustRightInd w:val="0"/>
        <w:ind w:left="0" w:firstLine="0"/>
        <w:contextualSpacing/>
        <w:rPr>
          <w:rFonts w:cs="Times New Roman"/>
          <w:sz w:val="18"/>
          <w:szCs w:val="20"/>
        </w:rPr>
      </w:pPr>
      <w:r w:rsidRPr="0069525B">
        <w:rPr>
          <w:sz w:val="20"/>
        </w:rPr>
        <w:t xml:space="preserve">Este Tribunal entiende que, dada la naturaleza de los hechos y violaciones determinadas en la presente Sentencia, las víctimas han sufrido daños materiales e inmateriales que deben ser compensados. Sin perjuicio de ello, </w:t>
      </w:r>
      <w:r w:rsidRPr="0069525B">
        <w:rPr>
          <w:rFonts w:cs="Times New Roman"/>
          <w:sz w:val="20"/>
          <w:szCs w:val="20"/>
        </w:rPr>
        <w:t>los representantes no refirieron suficientes elementos probatorios respecto a los montos de daño material que alegan</w:t>
      </w:r>
      <w:r w:rsidRPr="0069525B">
        <w:rPr>
          <w:rStyle w:val="Refdenotaalpie"/>
          <w:rFonts w:cs="Times New Roman"/>
          <w:sz w:val="20"/>
          <w:szCs w:val="20"/>
        </w:rPr>
        <w:footnoteReference w:id="181"/>
      </w:r>
      <w:r w:rsidRPr="0069525B">
        <w:rPr>
          <w:rFonts w:cs="Times New Roman"/>
          <w:sz w:val="20"/>
          <w:szCs w:val="20"/>
        </w:rPr>
        <w:t>. La Corte estima procedente</w:t>
      </w:r>
      <w:r w:rsidRPr="0069525B">
        <w:rPr>
          <w:sz w:val="20"/>
        </w:rPr>
        <w:t xml:space="preserve"> determinar en equidad, a fin de reparar en forma unificada o conjunta los daños materiales y los inmateriales, como compensación de </w:t>
      </w:r>
      <w:proofErr w:type="gramStart"/>
      <w:r w:rsidRPr="0069525B">
        <w:rPr>
          <w:sz w:val="20"/>
        </w:rPr>
        <w:t>los mismos</w:t>
      </w:r>
      <w:proofErr w:type="gramEnd"/>
      <w:r w:rsidRPr="0069525B">
        <w:rPr>
          <w:sz w:val="20"/>
        </w:rPr>
        <w:t>, los siguientes montos dinerarios, a favor de cada una de las víctimas, de acuerdo a lo que se indica a continuación:</w:t>
      </w:r>
    </w:p>
    <w:p w14:paraId="00CC1998" w14:textId="04DB321E" w:rsidR="008A00A1" w:rsidRDefault="008A00A1" w:rsidP="004E64A8">
      <w:pPr>
        <w:pStyle w:val="Prrafodelista"/>
        <w:widowControl/>
        <w:adjustRightInd w:val="0"/>
        <w:ind w:left="284"/>
        <w:contextualSpacing/>
        <w:rPr>
          <w:rFonts w:cs="Times New Roman"/>
          <w:sz w:val="18"/>
          <w:szCs w:val="20"/>
        </w:rPr>
      </w:pPr>
    </w:p>
    <w:p w14:paraId="681E48E4" w14:textId="73537CBE" w:rsidR="00F3492A" w:rsidRDefault="00F3492A" w:rsidP="004E64A8">
      <w:pPr>
        <w:pStyle w:val="Prrafodelista"/>
        <w:widowControl/>
        <w:adjustRightInd w:val="0"/>
        <w:ind w:left="284"/>
        <w:contextualSpacing/>
        <w:rPr>
          <w:rFonts w:cs="Times New Roman"/>
          <w:sz w:val="18"/>
          <w:szCs w:val="20"/>
        </w:rPr>
      </w:pPr>
    </w:p>
    <w:p w14:paraId="64E57411" w14:textId="77777777" w:rsidR="00F3492A" w:rsidRDefault="00F3492A" w:rsidP="004E64A8">
      <w:pPr>
        <w:pStyle w:val="Prrafodelista"/>
        <w:widowControl/>
        <w:adjustRightInd w:val="0"/>
        <w:ind w:left="284"/>
        <w:contextualSpacing/>
        <w:rPr>
          <w:rFonts w:cs="Times New Roman"/>
          <w:sz w:val="18"/>
          <w:szCs w:val="20"/>
        </w:rPr>
      </w:pPr>
    </w:p>
    <w:p w14:paraId="7705FBFC" w14:textId="25068D5F"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r w:rsidRPr="0069525B">
        <w:rPr>
          <w:rFonts w:cs="Times New Roman"/>
          <w:sz w:val="20"/>
          <w:szCs w:val="20"/>
        </w:rPr>
        <w:t xml:space="preserve">Jimmy </w:t>
      </w:r>
      <w:r>
        <w:rPr>
          <w:rFonts w:cs="Times New Roman"/>
          <w:sz w:val="20"/>
          <w:szCs w:val="20"/>
        </w:rPr>
        <w:t xml:space="preserve">Rafael </w:t>
      </w:r>
      <w:r w:rsidRPr="0069525B">
        <w:rPr>
          <w:rFonts w:cs="Times New Roman"/>
          <w:sz w:val="20"/>
          <w:szCs w:val="20"/>
        </w:rPr>
        <w:t>Guerrero</w:t>
      </w:r>
      <w:r>
        <w:rPr>
          <w:rFonts w:cs="Times New Roman"/>
          <w:sz w:val="20"/>
          <w:szCs w:val="20"/>
        </w:rPr>
        <w:t xml:space="preserve"> Meléndez</w:t>
      </w:r>
      <w:r w:rsidRPr="0069525B">
        <w:rPr>
          <w:rFonts w:cs="Times New Roman"/>
          <w:sz w:val="20"/>
          <w:szCs w:val="20"/>
        </w:rPr>
        <w:t>: US$ 150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 xml:space="preserve">00 (ciento </w:t>
      </w:r>
      <w:r>
        <w:rPr>
          <w:rFonts w:cs="Times New Roman"/>
          <w:sz w:val="20"/>
          <w:szCs w:val="20"/>
        </w:rPr>
        <w:t>cincuenta</w:t>
      </w:r>
      <w:r w:rsidRPr="0069525B">
        <w:rPr>
          <w:rFonts w:cs="Times New Roman"/>
          <w:sz w:val="20"/>
          <w:szCs w:val="20"/>
        </w:rPr>
        <w:t xml:space="preserve"> mil dólares de los Estados Unidos de América);</w:t>
      </w:r>
    </w:p>
    <w:p w14:paraId="3BA0E018" w14:textId="5CF69FB0"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r w:rsidRPr="0069525B">
        <w:rPr>
          <w:rFonts w:cs="Times New Roman"/>
          <w:sz w:val="20"/>
          <w:szCs w:val="20"/>
        </w:rPr>
        <w:t xml:space="preserve">Ramón </w:t>
      </w:r>
      <w:r>
        <w:rPr>
          <w:rFonts w:cs="Times New Roman"/>
          <w:sz w:val="20"/>
          <w:szCs w:val="20"/>
        </w:rPr>
        <w:t xml:space="preserve">Antonio </w:t>
      </w:r>
      <w:r w:rsidRPr="0069525B">
        <w:rPr>
          <w:rFonts w:cs="Times New Roman"/>
          <w:sz w:val="20"/>
          <w:szCs w:val="20"/>
        </w:rPr>
        <w:t>Molina</w:t>
      </w:r>
      <w:r>
        <w:rPr>
          <w:rFonts w:cs="Times New Roman"/>
          <w:sz w:val="20"/>
          <w:szCs w:val="20"/>
        </w:rPr>
        <w:t xml:space="preserve"> Pérez</w:t>
      </w:r>
      <w:r w:rsidRPr="0069525B">
        <w:rPr>
          <w:rFonts w:cs="Times New Roman"/>
          <w:sz w:val="20"/>
          <w:szCs w:val="20"/>
        </w:rPr>
        <w:t>: US$ 130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(ciento treinta mil dólares de los Estados Unidos de América);</w:t>
      </w:r>
    </w:p>
    <w:p w14:paraId="25C1C1C7"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r w:rsidRPr="0069525B">
        <w:rPr>
          <w:rFonts w:cs="Times New Roman"/>
          <w:sz w:val="20"/>
          <w:szCs w:val="20"/>
        </w:rPr>
        <w:t xml:space="preserve">Nieves </w:t>
      </w:r>
      <w:r>
        <w:rPr>
          <w:rFonts w:cs="Times New Roman"/>
          <w:sz w:val="20"/>
          <w:szCs w:val="20"/>
        </w:rPr>
        <w:t xml:space="preserve">Ramón </w:t>
      </w:r>
      <w:r w:rsidRPr="0069525B">
        <w:rPr>
          <w:rFonts w:cs="Times New Roman"/>
          <w:sz w:val="20"/>
          <w:szCs w:val="20"/>
        </w:rPr>
        <w:t>Guerrero</w:t>
      </w:r>
      <w:r>
        <w:rPr>
          <w:rFonts w:cs="Times New Roman"/>
          <w:sz w:val="20"/>
          <w:szCs w:val="20"/>
        </w:rPr>
        <w:t xml:space="preserve"> Pérez</w:t>
      </w:r>
      <w:r w:rsidRPr="0069525B">
        <w:rPr>
          <w:rFonts w:cs="Times New Roman"/>
          <w:sz w:val="20"/>
          <w:szCs w:val="20"/>
        </w:rPr>
        <w:t xml:space="preserve"> (padre de Jimmy</w:t>
      </w:r>
      <w:r>
        <w:rPr>
          <w:rFonts w:cs="Times New Roman"/>
          <w:sz w:val="20"/>
          <w:szCs w:val="20"/>
        </w:rPr>
        <w:t xml:space="preserve"> Guerrero</w:t>
      </w:r>
      <w:r w:rsidRPr="0069525B">
        <w:rPr>
          <w:rFonts w:cs="Times New Roman"/>
          <w:sz w:val="20"/>
          <w:szCs w:val="20"/>
        </w:rPr>
        <w:t>): US$ 15</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 xml:space="preserve">00 (quince mil dólares de los Estados Unidos de América); </w:t>
      </w:r>
    </w:p>
    <w:p w14:paraId="1533A698"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r w:rsidRPr="0069525B">
        <w:rPr>
          <w:rFonts w:cs="Times New Roman"/>
          <w:sz w:val="20"/>
          <w:szCs w:val="20"/>
        </w:rPr>
        <w:t xml:space="preserve">Emilia </w:t>
      </w:r>
      <w:r>
        <w:rPr>
          <w:rFonts w:cs="Times New Roman"/>
          <w:sz w:val="20"/>
          <w:szCs w:val="20"/>
        </w:rPr>
        <w:t xml:space="preserve">Coromoto </w:t>
      </w:r>
      <w:r w:rsidRPr="0069525B">
        <w:rPr>
          <w:rFonts w:cs="Times New Roman"/>
          <w:sz w:val="20"/>
          <w:szCs w:val="20"/>
        </w:rPr>
        <w:t>Meléndez (madre de Jimmy</w:t>
      </w:r>
      <w:r>
        <w:rPr>
          <w:rFonts w:cs="Times New Roman"/>
          <w:sz w:val="20"/>
          <w:szCs w:val="20"/>
        </w:rPr>
        <w:t xml:space="preserve"> Guerrero</w:t>
      </w:r>
      <w:r w:rsidRPr="0069525B">
        <w:rPr>
          <w:rFonts w:cs="Times New Roman"/>
          <w:sz w:val="20"/>
          <w:szCs w:val="20"/>
        </w:rPr>
        <w:t>): US$ 15</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(quince mil dólares de los Estados Unidos de América);</w:t>
      </w:r>
    </w:p>
    <w:p w14:paraId="798ACAA4"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r w:rsidRPr="0069525B">
        <w:rPr>
          <w:rFonts w:cs="Times New Roman"/>
          <w:sz w:val="20"/>
          <w:szCs w:val="20"/>
        </w:rPr>
        <w:t xml:space="preserve">Franklin </w:t>
      </w:r>
      <w:r>
        <w:rPr>
          <w:rFonts w:cs="Times New Roman"/>
          <w:sz w:val="20"/>
          <w:szCs w:val="20"/>
        </w:rPr>
        <w:t xml:space="preserve">Felipe </w:t>
      </w:r>
      <w:r w:rsidRPr="0069525B">
        <w:rPr>
          <w:rFonts w:cs="Times New Roman"/>
          <w:sz w:val="20"/>
          <w:szCs w:val="20"/>
        </w:rPr>
        <w:t xml:space="preserve">Guerrero </w:t>
      </w:r>
      <w:r>
        <w:rPr>
          <w:rFonts w:cs="Times New Roman"/>
          <w:sz w:val="20"/>
          <w:szCs w:val="20"/>
        </w:rPr>
        <w:t xml:space="preserve">Meléndez </w:t>
      </w:r>
      <w:r w:rsidRPr="0069525B">
        <w:rPr>
          <w:rFonts w:cs="Times New Roman"/>
          <w:sz w:val="20"/>
          <w:szCs w:val="20"/>
        </w:rPr>
        <w:t>(hermano de Jimmy</w:t>
      </w:r>
      <w:r>
        <w:rPr>
          <w:rFonts w:cs="Times New Roman"/>
          <w:sz w:val="20"/>
          <w:szCs w:val="20"/>
        </w:rPr>
        <w:t xml:space="preserve"> Guerrero</w:t>
      </w:r>
      <w:r w:rsidRPr="0069525B">
        <w:rPr>
          <w:rFonts w:cs="Times New Roman"/>
          <w:sz w:val="20"/>
          <w:szCs w:val="20"/>
        </w:rPr>
        <w:t>): US$ 10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(diez mil dólares de los Estados Unidos de América);</w:t>
      </w:r>
    </w:p>
    <w:p w14:paraId="5C8CE2F9"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r w:rsidRPr="0069525B">
        <w:rPr>
          <w:rFonts w:cs="Times New Roman"/>
          <w:sz w:val="20"/>
          <w:szCs w:val="20"/>
        </w:rPr>
        <w:t xml:space="preserve">Yarelis </w:t>
      </w:r>
      <w:r>
        <w:rPr>
          <w:rFonts w:cs="Times New Roman"/>
          <w:sz w:val="20"/>
          <w:szCs w:val="20"/>
        </w:rPr>
        <w:t xml:space="preserve">Mercedes </w:t>
      </w:r>
      <w:r w:rsidRPr="0069525B">
        <w:rPr>
          <w:rFonts w:cs="Times New Roman"/>
          <w:sz w:val="20"/>
          <w:szCs w:val="20"/>
        </w:rPr>
        <w:t xml:space="preserve">Guerrero </w:t>
      </w:r>
      <w:r>
        <w:rPr>
          <w:rFonts w:cs="Times New Roman"/>
          <w:sz w:val="20"/>
          <w:szCs w:val="20"/>
        </w:rPr>
        <w:t xml:space="preserve">Meléndez </w:t>
      </w:r>
      <w:r w:rsidRPr="0069525B">
        <w:rPr>
          <w:rFonts w:cs="Times New Roman"/>
          <w:sz w:val="20"/>
          <w:szCs w:val="20"/>
        </w:rPr>
        <w:t>(hermana de Jimmy</w:t>
      </w:r>
      <w:r>
        <w:rPr>
          <w:rFonts w:cs="Times New Roman"/>
          <w:sz w:val="20"/>
          <w:szCs w:val="20"/>
        </w:rPr>
        <w:t xml:space="preserve"> Guerrero</w:t>
      </w:r>
      <w:r w:rsidRPr="0069525B">
        <w:rPr>
          <w:rFonts w:cs="Times New Roman"/>
          <w:sz w:val="20"/>
          <w:szCs w:val="20"/>
        </w:rPr>
        <w:t>): US$ 10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(diez mil dólares de los Estados Unidos de América);</w:t>
      </w:r>
    </w:p>
    <w:p w14:paraId="23EC4BCA"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r w:rsidRPr="0069525B">
        <w:rPr>
          <w:rFonts w:cs="Times New Roman"/>
          <w:sz w:val="20"/>
          <w:szCs w:val="20"/>
        </w:rPr>
        <w:t>Jean Carlos Guerrero Meléndez (hermano de Jimmy</w:t>
      </w:r>
      <w:r>
        <w:rPr>
          <w:rFonts w:cs="Times New Roman"/>
          <w:sz w:val="20"/>
          <w:szCs w:val="20"/>
        </w:rPr>
        <w:t xml:space="preserve"> Guerrero</w:t>
      </w:r>
      <w:r w:rsidRPr="0069525B">
        <w:rPr>
          <w:rFonts w:cs="Times New Roman"/>
          <w:sz w:val="20"/>
          <w:szCs w:val="20"/>
        </w:rPr>
        <w:t>): US$ 10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(diez mil dólares de los Estados Unidos de América);</w:t>
      </w:r>
    </w:p>
    <w:p w14:paraId="3B245C59"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r w:rsidRPr="0069525B">
        <w:rPr>
          <w:rFonts w:cs="Times New Roman"/>
          <w:sz w:val="20"/>
          <w:szCs w:val="20"/>
        </w:rPr>
        <w:t>María Guadalupe Guerrero (hija de Jimmy</w:t>
      </w:r>
      <w:r>
        <w:rPr>
          <w:rFonts w:cs="Times New Roman"/>
          <w:sz w:val="20"/>
          <w:szCs w:val="20"/>
        </w:rPr>
        <w:t xml:space="preserve"> Guerrero</w:t>
      </w:r>
      <w:r w:rsidRPr="0069525B">
        <w:rPr>
          <w:rFonts w:cs="Times New Roman"/>
          <w:sz w:val="20"/>
          <w:szCs w:val="20"/>
        </w:rPr>
        <w:t>): US$ 10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(diez mil dólares de los Estados Unidos de América);</w:t>
      </w:r>
    </w:p>
    <w:p w14:paraId="7CF7A59C"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r w:rsidRPr="0069525B">
        <w:rPr>
          <w:rFonts w:cs="Times New Roman"/>
          <w:sz w:val="20"/>
          <w:szCs w:val="20"/>
        </w:rPr>
        <w:t xml:space="preserve">Francisco </w:t>
      </w:r>
      <w:r>
        <w:rPr>
          <w:rFonts w:cs="Times New Roman"/>
          <w:sz w:val="20"/>
          <w:szCs w:val="20"/>
        </w:rPr>
        <w:t xml:space="preserve">José </w:t>
      </w:r>
      <w:r w:rsidRPr="0069525B">
        <w:rPr>
          <w:rFonts w:cs="Times New Roman"/>
          <w:sz w:val="20"/>
          <w:szCs w:val="20"/>
        </w:rPr>
        <w:t>Guerrero (hijo de Jimmy</w:t>
      </w:r>
      <w:r>
        <w:rPr>
          <w:rFonts w:cs="Times New Roman"/>
          <w:sz w:val="20"/>
          <w:szCs w:val="20"/>
        </w:rPr>
        <w:t xml:space="preserve"> Guerrero</w:t>
      </w:r>
      <w:r w:rsidRPr="0069525B">
        <w:rPr>
          <w:rFonts w:cs="Times New Roman"/>
          <w:sz w:val="20"/>
          <w:szCs w:val="20"/>
        </w:rPr>
        <w:t>): US$ 10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(diez mil dólares de los Estados Unidos de América);</w:t>
      </w:r>
    </w:p>
    <w:p w14:paraId="4399455C"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r w:rsidRPr="0069525B">
        <w:rPr>
          <w:rFonts w:cs="Times New Roman"/>
          <w:sz w:val="20"/>
          <w:szCs w:val="20"/>
        </w:rPr>
        <w:t xml:space="preserve">Jimmy Eliécer </w:t>
      </w:r>
      <w:r>
        <w:rPr>
          <w:rFonts w:cs="Times New Roman"/>
          <w:sz w:val="20"/>
          <w:szCs w:val="20"/>
        </w:rPr>
        <w:t xml:space="preserve">Guerrero </w:t>
      </w:r>
      <w:r w:rsidRPr="0069525B">
        <w:rPr>
          <w:rFonts w:cs="Times New Roman"/>
          <w:sz w:val="20"/>
          <w:szCs w:val="20"/>
        </w:rPr>
        <w:t>Colina (hijo de Jimmy</w:t>
      </w:r>
      <w:r>
        <w:rPr>
          <w:rFonts w:cs="Times New Roman"/>
          <w:sz w:val="20"/>
          <w:szCs w:val="20"/>
        </w:rPr>
        <w:t xml:space="preserve"> Guerrero</w:t>
      </w:r>
      <w:r w:rsidRPr="0069525B">
        <w:rPr>
          <w:rFonts w:cs="Times New Roman"/>
          <w:sz w:val="20"/>
          <w:szCs w:val="20"/>
        </w:rPr>
        <w:t>): US$ 10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(diez mil dólares de los Estados Unidos de América);</w:t>
      </w:r>
    </w:p>
    <w:p w14:paraId="6A06C5A4"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proofErr w:type="spellStart"/>
      <w:r w:rsidRPr="0069525B">
        <w:rPr>
          <w:rFonts w:cs="Times New Roman"/>
          <w:sz w:val="20"/>
          <w:szCs w:val="20"/>
        </w:rPr>
        <w:t>Jiannibeth</w:t>
      </w:r>
      <w:proofErr w:type="spellEnd"/>
      <w:r w:rsidRPr="0069525B">
        <w:rPr>
          <w:rFonts w:cs="Times New Roman"/>
          <w:sz w:val="20"/>
          <w:szCs w:val="20"/>
        </w:rPr>
        <w:t xml:space="preserve"> </w:t>
      </w:r>
      <w:proofErr w:type="spellStart"/>
      <w:r w:rsidRPr="0069525B">
        <w:rPr>
          <w:rFonts w:cs="Times New Roman"/>
          <w:sz w:val="20"/>
          <w:szCs w:val="20"/>
        </w:rPr>
        <w:t>Stephann</w:t>
      </w:r>
      <w:r>
        <w:rPr>
          <w:rFonts w:cs="Times New Roman"/>
          <w:sz w:val="20"/>
          <w:szCs w:val="20"/>
        </w:rPr>
        <w:t>y</w:t>
      </w:r>
      <w:proofErr w:type="spellEnd"/>
      <w:r w:rsidRPr="0069525B">
        <w:rPr>
          <w:rFonts w:cs="Times New Roman"/>
          <w:sz w:val="20"/>
          <w:szCs w:val="20"/>
        </w:rPr>
        <w:t xml:space="preserve"> Colina (hija de Jimmy</w:t>
      </w:r>
      <w:r>
        <w:rPr>
          <w:rFonts w:cs="Times New Roman"/>
          <w:sz w:val="20"/>
          <w:szCs w:val="20"/>
        </w:rPr>
        <w:t xml:space="preserve"> Guerrero</w:t>
      </w:r>
      <w:r w:rsidRPr="0069525B">
        <w:rPr>
          <w:rFonts w:cs="Times New Roman"/>
          <w:sz w:val="20"/>
          <w:szCs w:val="20"/>
        </w:rPr>
        <w:t>): US$ 10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(diez mil dólares de los Estados Unidos de América);</w:t>
      </w:r>
    </w:p>
    <w:p w14:paraId="20D92203"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proofErr w:type="spellStart"/>
      <w:r w:rsidRPr="0069525B">
        <w:rPr>
          <w:rFonts w:cs="Times New Roman"/>
          <w:sz w:val="20"/>
          <w:szCs w:val="20"/>
        </w:rPr>
        <w:t>Diliana</w:t>
      </w:r>
      <w:proofErr w:type="spellEnd"/>
      <w:r w:rsidRPr="0069525B">
        <w:rPr>
          <w:rFonts w:cs="Times New Roman"/>
          <w:sz w:val="20"/>
          <w:szCs w:val="20"/>
        </w:rPr>
        <w:t xml:space="preserve"> Colina (hija de Jimmy</w:t>
      </w:r>
      <w:r>
        <w:rPr>
          <w:rFonts w:cs="Times New Roman"/>
          <w:sz w:val="20"/>
          <w:szCs w:val="20"/>
        </w:rPr>
        <w:t xml:space="preserve"> Guerrero</w:t>
      </w:r>
      <w:r w:rsidRPr="0069525B">
        <w:rPr>
          <w:rFonts w:cs="Times New Roman"/>
          <w:sz w:val="20"/>
          <w:szCs w:val="20"/>
        </w:rPr>
        <w:t>): US$ 10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(diez mil dólares de los Estados Unidos de América);</w:t>
      </w:r>
    </w:p>
    <w:p w14:paraId="44FA831D"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proofErr w:type="spellStart"/>
      <w:r w:rsidRPr="0069525B">
        <w:rPr>
          <w:rFonts w:cs="Times New Roman"/>
          <w:sz w:val="20"/>
          <w:szCs w:val="20"/>
        </w:rPr>
        <w:t>Fraily</w:t>
      </w:r>
      <w:proofErr w:type="spellEnd"/>
      <w:r w:rsidRPr="0069525B">
        <w:rPr>
          <w:rFonts w:cs="Times New Roman"/>
          <w:sz w:val="20"/>
          <w:szCs w:val="20"/>
        </w:rPr>
        <w:t xml:space="preserve"> </w:t>
      </w:r>
      <w:proofErr w:type="spellStart"/>
      <w:r>
        <w:rPr>
          <w:rFonts w:cs="Times New Roman"/>
          <w:sz w:val="20"/>
          <w:szCs w:val="20"/>
        </w:rPr>
        <w:t>Danaee</w:t>
      </w:r>
      <w:proofErr w:type="spellEnd"/>
      <w:r>
        <w:rPr>
          <w:rFonts w:cs="Times New Roman"/>
          <w:sz w:val="20"/>
          <w:szCs w:val="20"/>
        </w:rPr>
        <w:t xml:space="preserve"> </w:t>
      </w:r>
      <w:r w:rsidRPr="0069525B">
        <w:rPr>
          <w:rFonts w:cs="Times New Roman"/>
          <w:sz w:val="20"/>
          <w:szCs w:val="20"/>
        </w:rPr>
        <w:t xml:space="preserve">Guerrero </w:t>
      </w:r>
      <w:r>
        <w:rPr>
          <w:rFonts w:cs="Times New Roman"/>
          <w:sz w:val="20"/>
          <w:szCs w:val="20"/>
        </w:rPr>
        <w:t xml:space="preserve">Chirinos </w:t>
      </w:r>
      <w:r w:rsidRPr="0069525B">
        <w:rPr>
          <w:rFonts w:cs="Times New Roman"/>
          <w:sz w:val="20"/>
          <w:szCs w:val="20"/>
        </w:rPr>
        <w:t>(sobrina de Jimmy</w:t>
      </w:r>
      <w:r>
        <w:rPr>
          <w:rFonts w:cs="Times New Roman"/>
          <w:sz w:val="20"/>
          <w:szCs w:val="20"/>
        </w:rPr>
        <w:t xml:space="preserve"> Guerrero</w:t>
      </w:r>
      <w:r w:rsidRPr="0069525B">
        <w:rPr>
          <w:rFonts w:cs="Times New Roman"/>
          <w:sz w:val="20"/>
          <w:szCs w:val="20"/>
        </w:rPr>
        <w:t>): US$ 5</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(cinco mil dólares de los Estados Unidos de América);</w:t>
      </w:r>
    </w:p>
    <w:p w14:paraId="5984C7F3"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proofErr w:type="spellStart"/>
      <w:r w:rsidRPr="0069525B">
        <w:rPr>
          <w:rFonts w:cs="Times New Roman"/>
          <w:sz w:val="20"/>
          <w:szCs w:val="20"/>
        </w:rPr>
        <w:t>Anny</w:t>
      </w:r>
      <w:proofErr w:type="spellEnd"/>
      <w:r w:rsidRPr="0069525B">
        <w:rPr>
          <w:rFonts w:cs="Times New Roman"/>
          <w:sz w:val="20"/>
          <w:szCs w:val="20"/>
        </w:rPr>
        <w:t xml:space="preserve"> </w:t>
      </w:r>
      <w:r>
        <w:rPr>
          <w:rFonts w:cs="Times New Roman"/>
          <w:sz w:val="20"/>
          <w:szCs w:val="20"/>
        </w:rPr>
        <w:t xml:space="preserve">Jesenia </w:t>
      </w:r>
      <w:r w:rsidRPr="0069525B">
        <w:rPr>
          <w:rFonts w:cs="Times New Roman"/>
          <w:sz w:val="20"/>
          <w:szCs w:val="20"/>
        </w:rPr>
        <w:t>Colina García (pareja de Jimmy</w:t>
      </w:r>
      <w:r>
        <w:rPr>
          <w:rFonts w:cs="Times New Roman"/>
          <w:sz w:val="20"/>
          <w:szCs w:val="20"/>
        </w:rPr>
        <w:t xml:space="preserve"> Guerrero</w:t>
      </w:r>
      <w:r w:rsidRPr="0069525B">
        <w:rPr>
          <w:rFonts w:cs="Times New Roman"/>
          <w:sz w:val="20"/>
          <w:szCs w:val="20"/>
        </w:rPr>
        <w:t>): US$ 15</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(quince mil dólares de los Estados Unidos de América);</w:t>
      </w:r>
    </w:p>
    <w:p w14:paraId="55F79C01"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proofErr w:type="spellStart"/>
      <w:r w:rsidRPr="0069525B">
        <w:rPr>
          <w:rFonts w:cs="Times New Roman"/>
          <w:sz w:val="20"/>
          <w:szCs w:val="20"/>
        </w:rPr>
        <w:t>Soleida</w:t>
      </w:r>
      <w:proofErr w:type="spellEnd"/>
      <w:r w:rsidRPr="0069525B">
        <w:rPr>
          <w:rFonts w:cs="Times New Roman"/>
          <w:sz w:val="20"/>
          <w:szCs w:val="20"/>
        </w:rPr>
        <w:t xml:space="preserve"> Morillo (esposa de Ramón</w:t>
      </w:r>
      <w:r>
        <w:rPr>
          <w:rFonts w:cs="Times New Roman"/>
          <w:sz w:val="20"/>
          <w:szCs w:val="20"/>
        </w:rPr>
        <w:t xml:space="preserve"> Molina</w:t>
      </w:r>
      <w:r w:rsidRPr="0069525B">
        <w:rPr>
          <w:rFonts w:cs="Times New Roman"/>
          <w:sz w:val="20"/>
          <w:szCs w:val="20"/>
        </w:rPr>
        <w:t>): US$ 15</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(quince mil dólares de los Estados Unidos de América);</w:t>
      </w:r>
    </w:p>
    <w:p w14:paraId="1728AD54"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r w:rsidRPr="0069525B">
        <w:rPr>
          <w:rFonts w:cs="Times New Roman"/>
          <w:sz w:val="20"/>
          <w:szCs w:val="20"/>
        </w:rPr>
        <w:t xml:space="preserve">Alexander Ramón Molina </w:t>
      </w:r>
      <w:r>
        <w:rPr>
          <w:rFonts w:cs="Times New Roman"/>
          <w:sz w:val="20"/>
          <w:szCs w:val="20"/>
        </w:rPr>
        <w:t xml:space="preserve">Morillo </w:t>
      </w:r>
      <w:r w:rsidRPr="0069525B">
        <w:rPr>
          <w:rFonts w:cs="Times New Roman"/>
          <w:sz w:val="20"/>
          <w:szCs w:val="20"/>
        </w:rPr>
        <w:t>(hijo de Ramón</w:t>
      </w:r>
      <w:r>
        <w:rPr>
          <w:rFonts w:cs="Times New Roman"/>
          <w:sz w:val="20"/>
          <w:szCs w:val="20"/>
        </w:rPr>
        <w:t xml:space="preserve"> Molina</w:t>
      </w:r>
      <w:r w:rsidRPr="0069525B">
        <w:rPr>
          <w:rFonts w:cs="Times New Roman"/>
          <w:sz w:val="20"/>
          <w:szCs w:val="20"/>
        </w:rPr>
        <w:t>): US$ 10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(diez mil dólares de los Estados Unidos de América);</w:t>
      </w:r>
    </w:p>
    <w:p w14:paraId="0E8E36A0"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proofErr w:type="spellStart"/>
      <w:r w:rsidRPr="0069525B">
        <w:rPr>
          <w:rFonts w:cs="Times New Roman"/>
          <w:sz w:val="20"/>
          <w:szCs w:val="20"/>
        </w:rPr>
        <w:t>Yanna</w:t>
      </w:r>
      <w:proofErr w:type="spellEnd"/>
      <w:r w:rsidRPr="0069525B">
        <w:rPr>
          <w:rFonts w:cs="Times New Roman"/>
          <w:sz w:val="20"/>
          <w:szCs w:val="20"/>
        </w:rPr>
        <w:t xml:space="preserve"> Kari Molina </w:t>
      </w:r>
      <w:r>
        <w:rPr>
          <w:rFonts w:cs="Times New Roman"/>
          <w:sz w:val="20"/>
          <w:szCs w:val="20"/>
        </w:rPr>
        <w:t xml:space="preserve">Morillo </w:t>
      </w:r>
      <w:r w:rsidRPr="0069525B">
        <w:rPr>
          <w:rFonts w:cs="Times New Roman"/>
          <w:sz w:val="20"/>
          <w:szCs w:val="20"/>
        </w:rPr>
        <w:t>(hija de Ramón</w:t>
      </w:r>
      <w:r>
        <w:rPr>
          <w:rFonts w:cs="Times New Roman"/>
          <w:sz w:val="20"/>
          <w:szCs w:val="20"/>
        </w:rPr>
        <w:t xml:space="preserve"> Molina</w:t>
      </w:r>
      <w:r w:rsidRPr="0069525B">
        <w:rPr>
          <w:rFonts w:cs="Times New Roman"/>
          <w:sz w:val="20"/>
          <w:szCs w:val="20"/>
        </w:rPr>
        <w:t>): US$ 10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(diez mil dólares de los Estados Unidos de América);</w:t>
      </w:r>
    </w:p>
    <w:p w14:paraId="00D25A11"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proofErr w:type="spellStart"/>
      <w:r w:rsidRPr="0069525B">
        <w:rPr>
          <w:rFonts w:cs="Times New Roman"/>
          <w:sz w:val="20"/>
          <w:szCs w:val="20"/>
        </w:rPr>
        <w:t>Yazmín</w:t>
      </w:r>
      <w:proofErr w:type="spellEnd"/>
      <w:r w:rsidRPr="0069525B">
        <w:rPr>
          <w:rFonts w:cs="Times New Roman"/>
          <w:sz w:val="20"/>
          <w:szCs w:val="20"/>
        </w:rPr>
        <w:t xml:space="preserve"> Molina </w:t>
      </w:r>
      <w:r>
        <w:rPr>
          <w:rFonts w:cs="Times New Roman"/>
          <w:sz w:val="20"/>
          <w:szCs w:val="20"/>
        </w:rPr>
        <w:t xml:space="preserve">Morillo </w:t>
      </w:r>
      <w:r w:rsidRPr="0069525B">
        <w:rPr>
          <w:rFonts w:cs="Times New Roman"/>
          <w:sz w:val="20"/>
          <w:szCs w:val="20"/>
        </w:rPr>
        <w:t>(hija de Ramón</w:t>
      </w:r>
      <w:r>
        <w:rPr>
          <w:rFonts w:cs="Times New Roman"/>
          <w:sz w:val="20"/>
          <w:szCs w:val="20"/>
        </w:rPr>
        <w:t xml:space="preserve"> Molina</w:t>
      </w:r>
      <w:r w:rsidRPr="0069525B">
        <w:rPr>
          <w:rFonts w:cs="Times New Roman"/>
          <w:sz w:val="20"/>
          <w:szCs w:val="20"/>
        </w:rPr>
        <w:t>): US$ 10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(diez mil dólares de los Estados Unidos de América);</w:t>
      </w:r>
    </w:p>
    <w:p w14:paraId="20D5EBA9" w14:textId="77777777" w:rsidR="008A00A1" w:rsidRPr="0069525B" w:rsidRDefault="008A00A1" w:rsidP="008A00A1">
      <w:pPr>
        <w:pStyle w:val="Prrafodelista"/>
        <w:widowControl/>
        <w:numPr>
          <w:ilvl w:val="0"/>
          <w:numId w:val="24"/>
        </w:numPr>
        <w:adjustRightInd w:val="0"/>
        <w:ind w:left="142" w:firstLine="0"/>
        <w:contextualSpacing/>
        <w:rPr>
          <w:rFonts w:cs="Times New Roman"/>
          <w:sz w:val="18"/>
          <w:szCs w:val="20"/>
        </w:rPr>
      </w:pPr>
      <w:proofErr w:type="spellStart"/>
      <w:r w:rsidRPr="0069525B">
        <w:rPr>
          <w:rFonts w:cs="Times New Roman"/>
          <w:sz w:val="20"/>
          <w:szCs w:val="20"/>
        </w:rPr>
        <w:t>Endy</w:t>
      </w:r>
      <w:proofErr w:type="spellEnd"/>
      <w:r w:rsidRPr="0069525B">
        <w:rPr>
          <w:rFonts w:cs="Times New Roman"/>
          <w:sz w:val="20"/>
          <w:szCs w:val="20"/>
        </w:rPr>
        <w:t xml:space="preserve"> Molina</w:t>
      </w:r>
      <w:r>
        <w:rPr>
          <w:rFonts w:cs="Times New Roman"/>
          <w:sz w:val="20"/>
          <w:szCs w:val="20"/>
        </w:rPr>
        <w:t xml:space="preserve"> Morillo</w:t>
      </w:r>
      <w:r w:rsidRPr="0069525B">
        <w:rPr>
          <w:rFonts w:cs="Times New Roman"/>
          <w:sz w:val="20"/>
          <w:szCs w:val="20"/>
        </w:rPr>
        <w:t xml:space="preserve"> (hijo de Ramón</w:t>
      </w:r>
      <w:r>
        <w:rPr>
          <w:rFonts w:cs="Times New Roman"/>
          <w:sz w:val="20"/>
          <w:szCs w:val="20"/>
        </w:rPr>
        <w:t xml:space="preserve"> Molina</w:t>
      </w:r>
      <w:r w:rsidRPr="0069525B">
        <w:rPr>
          <w:rFonts w:cs="Times New Roman"/>
          <w:sz w:val="20"/>
          <w:szCs w:val="20"/>
        </w:rPr>
        <w:t>): US$ 10</w:t>
      </w:r>
      <w:r>
        <w:rPr>
          <w:rFonts w:cs="Times New Roman"/>
          <w:sz w:val="20"/>
          <w:szCs w:val="20"/>
        </w:rPr>
        <w:t>,</w:t>
      </w:r>
      <w:r w:rsidRPr="0069525B">
        <w:rPr>
          <w:rFonts w:cs="Times New Roman"/>
          <w:sz w:val="20"/>
          <w:szCs w:val="20"/>
        </w:rPr>
        <w:t>000</w:t>
      </w:r>
      <w:r>
        <w:rPr>
          <w:rFonts w:cs="Times New Roman"/>
          <w:sz w:val="20"/>
          <w:szCs w:val="20"/>
        </w:rPr>
        <w:t>.</w:t>
      </w:r>
      <w:r w:rsidRPr="0069525B">
        <w:rPr>
          <w:rFonts w:cs="Times New Roman"/>
          <w:sz w:val="20"/>
          <w:szCs w:val="20"/>
        </w:rPr>
        <w:t>00 (diez mil dólares de los Estados Unidos de América) y,</w:t>
      </w:r>
    </w:p>
    <w:p w14:paraId="49BE6FB0" w14:textId="77777777" w:rsidR="008A00A1" w:rsidRPr="00DF6A53" w:rsidRDefault="008A00A1" w:rsidP="008A00A1">
      <w:pPr>
        <w:pStyle w:val="Prrafodelista"/>
        <w:widowControl/>
        <w:numPr>
          <w:ilvl w:val="0"/>
          <w:numId w:val="24"/>
        </w:numPr>
        <w:adjustRightInd w:val="0"/>
        <w:ind w:left="142" w:firstLine="0"/>
        <w:contextualSpacing/>
        <w:rPr>
          <w:rFonts w:cs="Times New Roman"/>
          <w:sz w:val="18"/>
          <w:szCs w:val="20"/>
        </w:rPr>
      </w:pPr>
      <w:r w:rsidRPr="00DF6A53">
        <w:rPr>
          <w:rFonts w:cs="Times New Roman"/>
          <w:sz w:val="20"/>
          <w:szCs w:val="20"/>
        </w:rPr>
        <w:t>Ramón Molina Morillo (hijo de Ramón</w:t>
      </w:r>
      <w:r>
        <w:rPr>
          <w:rFonts w:cs="Times New Roman"/>
          <w:sz w:val="20"/>
          <w:szCs w:val="20"/>
        </w:rPr>
        <w:t xml:space="preserve"> Molina</w:t>
      </w:r>
      <w:r w:rsidRPr="00DF6A53">
        <w:rPr>
          <w:rFonts w:cs="Times New Roman"/>
          <w:sz w:val="20"/>
          <w:szCs w:val="20"/>
        </w:rPr>
        <w:t>): US$ 10</w:t>
      </w:r>
      <w:r>
        <w:rPr>
          <w:rFonts w:cs="Times New Roman"/>
          <w:sz w:val="20"/>
          <w:szCs w:val="20"/>
        </w:rPr>
        <w:t>,</w:t>
      </w:r>
      <w:r w:rsidRPr="00DF6A53">
        <w:rPr>
          <w:rFonts w:cs="Times New Roman"/>
          <w:sz w:val="20"/>
          <w:szCs w:val="20"/>
        </w:rPr>
        <w:t>000</w:t>
      </w:r>
      <w:r>
        <w:rPr>
          <w:rFonts w:cs="Times New Roman"/>
          <w:sz w:val="20"/>
          <w:szCs w:val="20"/>
        </w:rPr>
        <w:t>.</w:t>
      </w:r>
      <w:r w:rsidRPr="00DF6A53">
        <w:rPr>
          <w:rFonts w:cs="Times New Roman"/>
          <w:sz w:val="20"/>
          <w:szCs w:val="20"/>
        </w:rPr>
        <w:t xml:space="preserve">00 (diez mil dólares de los Estados Unidos de América). </w:t>
      </w:r>
    </w:p>
    <w:p w14:paraId="42819F7C" w14:textId="2A374C58" w:rsidR="008A00A1" w:rsidRDefault="008A00A1" w:rsidP="004E64A8">
      <w:pPr>
        <w:pStyle w:val="Prrafodelista"/>
        <w:widowControl/>
        <w:adjustRightInd w:val="0"/>
        <w:ind w:left="284"/>
        <w:contextualSpacing/>
        <w:rPr>
          <w:rFonts w:cs="Times New Roman"/>
          <w:sz w:val="18"/>
          <w:szCs w:val="20"/>
        </w:rPr>
      </w:pPr>
    </w:p>
    <w:p w14:paraId="77071C91" w14:textId="77777777" w:rsidR="004E64A8" w:rsidRPr="00542071" w:rsidRDefault="004E64A8" w:rsidP="004E64A8">
      <w:pPr>
        <w:pStyle w:val="Prrafodelista"/>
        <w:widowControl/>
        <w:numPr>
          <w:ilvl w:val="0"/>
          <w:numId w:val="34"/>
        </w:numPr>
        <w:adjustRightInd w:val="0"/>
        <w:ind w:left="0" w:firstLine="0"/>
        <w:contextualSpacing/>
        <w:rPr>
          <w:rFonts w:cs="Times New Roman"/>
          <w:sz w:val="16"/>
          <w:szCs w:val="20"/>
        </w:rPr>
      </w:pPr>
      <w:r w:rsidRPr="0069525B">
        <w:rPr>
          <w:sz w:val="20"/>
        </w:rPr>
        <w:t>Cada uno de los montos asignados respecto a Jimmy Guerrero y Ramón Molina deberá ser repartido entre sus familiares declarados víctimas en la presente sentencia, de acuerdo con lo siguiente: a) el monto asignado a Jimmy Guerrero será repartido, en partes iguales, entre sus hijos y su pareja, de modo tal que a su pareja le corresponde el 50%, y el otro 50% debe ser repartido en partes igual</w:t>
      </w:r>
      <w:r>
        <w:rPr>
          <w:sz w:val="20"/>
        </w:rPr>
        <w:t>es entre cada uno de</w:t>
      </w:r>
      <w:r w:rsidRPr="0069525B">
        <w:rPr>
          <w:sz w:val="20"/>
        </w:rPr>
        <w:t xml:space="preserve"> sus cinco hijos identificados en esta Sentencia</w:t>
      </w:r>
      <w:r>
        <w:rPr>
          <w:sz w:val="20"/>
        </w:rPr>
        <w:t xml:space="preserve"> (</w:t>
      </w:r>
      <w:r>
        <w:rPr>
          <w:i/>
          <w:sz w:val="20"/>
        </w:rPr>
        <w:t xml:space="preserve">supra </w:t>
      </w:r>
      <w:proofErr w:type="spellStart"/>
      <w:r>
        <w:rPr>
          <w:sz w:val="20"/>
        </w:rPr>
        <w:t>párrs</w:t>
      </w:r>
      <w:proofErr w:type="spellEnd"/>
      <w:r>
        <w:rPr>
          <w:sz w:val="20"/>
        </w:rPr>
        <w:t>. 165 y 188)</w:t>
      </w:r>
      <w:r w:rsidRPr="0069525B">
        <w:rPr>
          <w:sz w:val="20"/>
        </w:rPr>
        <w:t xml:space="preserve">; b) el monto asignado a Ramón Molina será repartido </w:t>
      </w:r>
      <w:r>
        <w:rPr>
          <w:sz w:val="20"/>
        </w:rPr>
        <w:t xml:space="preserve">del mismo modo; es decir, en partes iguales, entre sus hijos y </w:t>
      </w:r>
      <w:r w:rsidRPr="0069525B">
        <w:rPr>
          <w:sz w:val="20"/>
        </w:rPr>
        <w:t xml:space="preserve">su esposa, </w:t>
      </w:r>
      <w:r>
        <w:rPr>
          <w:sz w:val="20"/>
        </w:rPr>
        <w:t xml:space="preserve">de modo tal que a su esposa le corresponde el </w:t>
      </w:r>
      <w:r w:rsidRPr="0069525B">
        <w:rPr>
          <w:sz w:val="20"/>
        </w:rPr>
        <w:t>50%</w:t>
      </w:r>
      <w:r>
        <w:rPr>
          <w:sz w:val="20"/>
        </w:rPr>
        <w:t>, y el otro 50% debe ser repartido en partes iguales entre cada uno de sus cinco hijos identificados en la presente Sentencia (</w:t>
      </w:r>
      <w:r>
        <w:rPr>
          <w:i/>
          <w:sz w:val="20"/>
        </w:rPr>
        <w:t>supra</w:t>
      </w:r>
      <w:r>
        <w:rPr>
          <w:sz w:val="20"/>
        </w:rPr>
        <w:t xml:space="preserve"> </w:t>
      </w:r>
      <w:proofErr w:type="spellStart"/>
      <w:r>
        <w:rPr>
          <w:sz w:val="20"/>
        </w:rPr>
        <w:t>párrs</w:t>
      </w:r>
      <w:proofErr w:type="spellEnd"/>
      <w:r>
        <w:rPr>
          <w:sz w:val="20"/>
        </w:rPr>
        <w:t>. 165 y 188)</w:t>
      </w:r>
      <w:r w:rsidRPr="0069525B">
        <w:rPr>
          <w:sz w:val="20"/>
        </w:rPr>
        <w:t xml:space="preserve">. En cualquier otro caso, distinto de los </w:t>
      </w:r>
      <w:r w:rsidRPr="0069525B">
        <w:rPr>
          <w:sz w:val="20"/>
        </w:rPr>
        <w:lastRenderedPageBreak/>
        <w:t>ya señalados, en que una persona beneficiaria hubiera fallecido antes de la emisión de la presente Sentencia, el monto de indemnización asignado a dicha persona será repartido, en partes iguales, entre sus familiares declarados víctimas en la presente Sentencia que se encuentren vivos a la fecha de emisión del fallo. En su defecto, deberá ser entregado a sus derechohabientes, conforme al derecho interno aplicable. En caso de que alguna persona beneficiaria muriera después de la fecha de emisión de la presente Sentencia, y antes de cobrar la indemnización, rige lo dispuesto en el título J del presente Capítulo, relativo a la modalidad de cumplimiento (</w:t>
      </w:r>
      <w:r w:rsidRPr="00620163">
        <w:rPr>
          <w:i/>
          <w:sz w:val="20"/>
        </w:rPr>
        <w:t>infra</w:t>
      </w:r>
      <w:r w:rsidRPr="0069525B">
        <w:rPr>
          <w:sz w:val="20"/>
        </w:rPr>
        <w:t xml:space="preserve"> </w:t>
      </w:r>
      <w:proofErr w:type="spellStart"/>
      <w:r w:rsidRPr="0069525B">
        <w:rPr>
          <w:sz w:val="20"/>
        </w:rPr>
        <w:t>párrs</w:t>
      </w:r>
      <w:proofErr w:type="spellEnd"/>
      <w:r w:rsidRPr="0069525B">
        <w:rPr>
          <w:sz w:val="20"/>
        </w:rPr>
        <w:t xml:space="preserve">. </w:t>
      </w:r>
      <w:r>
        <w:rPr>
          <w:sz w:val="20"/>
        </w:rPr>
        <w:t>198</w:t>
      </w:r>
      <w:r w:rsidRPr="00020289">
        <w:rPr>
          <w:sz w:val="20"/>
        </w:rPr>
        <w:t xml:space="preserve"> a</w:t>
      </w:r>
      <w:r>
        <w:rPr>
          <w:sz w:val="20"/>
        </w:rPr>
        <w:t xml:space="preserve"> </w:t>
      </w:r>
      <w:r w:rsidRPr="00020289">
        <w:rPr>
          <w:sz w:val="20"/>
        </w:rPr>
        <w:t>2</w:t>
      </w:r>
      <w:r>
        <w:rPr>
          <w:sz w:val="20"/>
        </w:rPr>
        <w:t>03</w:t>
      </w:r>
      <w:r w:rsidRPr="0069525B">
        <w:rPr>
          <w:sz w:val="20"/>
        </w:rPr>
        <w:t>).</w:t>
      </w:r>
    </w:p>
    <w:p w14:paraId="66DFD857" w14:textId="77777777" w:rsidR="004E64A8" w:rsidRPr="00542071" w:rsidRDefault="004E64A8" w:rsidP="004E64A8">
      <w:pPr>
        <w:pStyle w:val="Prrafodelista"/>
        <w:widowControl/>
        <w:adjustRightInd w:val="0"/>
        <w:ind w:left="0"/>
        <w:contextualSpacing/>
        <w:rPr>
          <w:rFonts w:cs="Times New Roman"/>
          <w:sz w:val="16"/>
          <w:szCs w:val="20"/>
        </w:rPr>
      </w:pPr>
    </w:p>
    <w:p w14:paraId="347B7093" w14:textId="5A7D9CBD" w:rsidR="004E64A8" w:rsidRPr="008E0108" w:rsidRDefault="004E64A8" w:rsidP="004E64A8">
      <w:pPr>
        <w:pStyle w:val="Prrafodelista"/>
        <w:widowControl/>
        <w:numPr>
          <w:ilvl w:val="0"/>
          <w:numId w:val="34"/>
        </w:numPr>
        <w:adjustRightInd w:val="0"/>
        <w:ind w:left="0" w:firstLine="0"/>
        <w:contextualSpacing/>
        <w:rPr>
          <w:sz w:val="20"/>
          <w:szCs w:val="20"/>
        </w:rPr>
      </w:pPr>
      <w:r w:rsidRPr="008E0108">
        <w:rPr>
          <w:sz w:val="20"/>
          <w:szCs w:val="20"/>
        </w:rPr>
        <w:t xml:space="preserve">Del mismo modo esta Corte dispone que el Estado deberá pagar la suma de </w:t>
      </w:r>
      <w:r>
        <w:rPr>
          <w:sz w:val="20"/>
          <w:szCs w:val="20"/>
        </w:rPr>
        <w:t>US$</w:t>
      </w:r>
      <w:r w:rsidRPr="008E0108">
        <w:rPr>
          <w:sz w:val="20"/>
          <w:szCs w:val="20"/>
        </w:rPr>
        <w:t xml:space="preserve"> 6</w:t>
      </w:r>
      <w:r>
        <w:rPr>
          <w:sz w:val="20"/>
          <w:szCs w:val="20"/>
        </w:rPr>
        <w:t>,</w:t>
      </w:r>
      <w:r w:rsidRPr="008E0108">
        <w:rPr>
          <w:sz w:val="20"/>
          <w:szCs w:val="20"/>
        </w:rPr>
        <w:t>000</w:t>
      </w:r>
      <w:r>
        <w:rPr>
          <w:sz w:val="20"/>
          <w:szCs w:val="20"/>
        </w:rPr>
        <w:t>.00</w:t>
      </w:r>
      <w:r w:rsidRPr="008E0108">
        <w:rPr>
          <w:sz w:val="20"/>
          <w:szCs w:val="20"/>
        </w:rPr>
        <w:t xml:space="preserve"> (seis mil dólares de los Estados Unidos de América) para cada una de las personas familiares de los señores Jimmy Guerrero y Ramón Molina declaradas víctimas en la presente Sentencia, a fin de que tales personas puedan sufragar los gastos de los tratamientos psiquiátricos </w:t>
      </w:r>
      <w:r w:rsidR="00E60212">
        <w:rPr>
          <w:sz w:val="20"/>
          <w:szCs w:val="20"/>
        </w:rPr>
        <w:t>y/</w:t>
      </w:r>
      <w:r w:rsidRPr="008E0108">
        <w:rPr>
          <w:sz w:val="20"/>
          <w:szCs w:val="20"/>
        </w:rPr>
        <w:t>o psicológicos que sean necesarios (</w:t>
      </w:r>
      <w:r w:rsidRPr="008E0108">
        <w:rPr>
          <w:i/>
          <w:iCs/>
          <w:sz w:val="20"/>
          <w:szCs w:val="20"/>
        </w:rPr>
        <w:t>supra</w:t>
      </w:r>
      <w:r w:rsidRPr="008E0108">
        <w:rPr>
          <w:sz w:val="20"/>
          <w:szCs w:val="20"/>
        </w:rPr>
        <w:t xml:space="preserve"> párr. </w:t>
      </w:r>
      <w:r>
        <w:rPr>
          <w:sz w:val="20"/>
          <w:szCs w:val="20"/>
        </w:rPr>
        <w:t>172</w:t>
      </w:r>
      <w:r w:rsidRPr="008E0108">
        <w:rPr>
          <w:sz w:val="20"/>
          <w:szCs w:val="20"/>
        </w:rPr>
        <w:t>). Esa suma de dinero deberá ser pagada por el Estado sin condición alguna ni</w:t>
      </w:r>
      <w:r>
        <w:rPr>
          <w:sz w:val="20"/>
          <w:szCs w:val="20"/>
        </w:rPr>
        <w:t xml:space="preserve"> bajo el deber</w:t>
      </w:r>
      <w:r w:rsidRPr="008E0108">
        <w:rPr>
          <w:sz w:val="20"/>
          <w:szCs w:val="20"/>
        </w:rPr>
        <w:t xml:space="preserve"> de rendir cuentas</w:t>
      </w:r>
      <w:r w:rsidRPr="008E0108">
        <w:rPr>
          <w:sz w:val="16"/>
          <w:szCs w:val="16"/>
        </w:rPr>
        <w:t>.</w:t>
      </w:r>
      <w:r w:rsidRPr="008E0108">
        <w:rPr>
          <w:sz w:val="20"/>
          <w:szCs w:val="20"/>
        </w:rPr>
        <w:t xml:space="preserve"> </w:t>
      </w:r>
      <w:r w:rsidR="004F4161" w:rsidRPr="006244E4">
        <w:rPr>
          <w:sz w:val="20"/>
          <w:szCs w:val="20"/>
        </w:rPr>
        <w:t xml:space="preserve">El Estado debe efectuar el pago a la mayor brevedad posible, y en el plazo máximo de un año, contado a partir de la notificación de la presente Sentencia. </w:t>
      </w:r>
      <w:r w:rsidR="004F4161" w:rsidRPr="006244E4">
        <w:rPr>
          <w:sz w:val="20"/>
        </w:rPr>
        <w:t xml:space="preserve">Si por causas atribuibles a las personas beneficiarias no fuese posible el pago de la cantidad determinada dentro del plazo máximo indicado, el Estado quedará eximido del pago. </w:t>
      </w:r>
      <w:r w:rsidRPr="006244E4">
        <w:rPr>
          <w:sz w:val="20"/>
          <w:szCs w:val="20"/>
        </w:rPr>
        <w:t>En caso en que una persona beneficiaria de esta medida, dirigida a sufragar gastos de tratamientos, hubiera fallecido antes de la emisión de la presente Sentencia, como también en caso en que alguna persona beneficiaria muriera después de la fecha de la emisión de la presente Sentencia, y antes de cobrar el monto señalado, el Estado quedará eximido de efectuar el pago.</w:t>
      </w:r>
    </w:p>
    <w:p w14:paraId="7E9A919D" w14:textId="77777777" w:rsidR="004E64A8" w:rsidRPr="0069525B" w:rsidRDefault="004E64A8" w:rsidP="004E64A8">
      <w:pPr>
        <w:pStyle w:val="Prrafodelista"/>
        <w:adjustRightInd w:val="0"/>
        <w:ind w:left="0"/>
        <w:rPr>
          <w:sz w:val="20"/>
        </w:rPr>
      </w:pPr>
    </w:p>
    <w:p w14:paraId="0AD1288D" w14:textId="77777777" w:rsidR="004E64A8" w:rsidRPr="0069525B" w:rsidRDefault="004E64A8" w:rsidP="004E64A8">
      <w:pPr>
        <w:pStyle w:val="Prrafodelista"/>
        <w:widowControl/>
        <w:numPr>
          <w:ilvl w:val="0"/>
          <w:numId w:val="25"/>
        </w:numPr>
        <w:adjustRightInd w:val="0"/>
        <w:ind w:left="284" w:firstLine="0"/>
        <w:contextualSpacing/>
        <w:rPr>
          <w:rFonts w:cs="Times New Roman"/>
          <w:b/>
          <w:i/>
          <w:sz w:val="16"/>
          <w:szCs w:val="20"/>
        </w:rPr>
      </w:pPr>
      <w:r w:rsidRPr="0069525B">
        <w:rPr>
          <w:b/>
          <w:i/>
          <w:sz w:val="20"/>
        </w:rPr>
        <w:t xml:space="preserve"> Costas y gastos</w:t>
      </w:r>
    </w:p>
    <w:p w14:paraId="150D6E16" w14:textId="77777777" w:rsidR="004E64A8" w:rsidRPr="0069525B" w:rsidRDefault="004E64A8" w:rsidP="004E64A8">
      <w:pPr>
        <w:pStyle w:val="Prrafodelista"/>
        <w:adjustRightInd w:val="0"/>
        <w:ind w:left="0"/>
        <w:rPr>
          <w:rFonts w:cs="Times New Roman"/>
          <w:sz w:val="16"/>
          <w:szCs w:val="20"/>
        </w:rPr>
      </w:pPr>
    </w:p>
    <w:p w14:paraId="3F44F2B2" w14:textId="4099B72A" w:rsidR="004E64A8" w:rsidRPr="0069525B" w:rsidRDefault="004E64A8" w:rsidP="004E64A8">
      <w:pPr>
        <w:pStyle w:val="Prrafodelista"/>
        <w:widowControl/>
        <w:numPr>
          <w:ilvl w:val="0"/>
          <w:numId w:val="34"/>
        </w:numPr>
        <w:adjustRightInd w:val="0"/>
        <w:ind w:left="0" w:firstLine="0"/>
        <w:contextualSpacing/>
        <w:rPr>
          <w:rFonts w:cs="Times New Roman"/>
          <w:sz w:val="14"/>
          <w:szCs w:val="20"/>
        </w:rPr>
      </w:pPr>
      <w:r w:rsidRPr="0069525B">
        <w:rPr>
          <w:sz w:val="20"/>
        </w:rPr>
        <w:t xml:space="preserve">Los </w:t>
      </w:r>
      <w:r w:rsidRPr="0069525B">
        <w:rPr>
          <w:b/>
          <w:i/>
          <w:sz w:val="20"/>
        </w:rPr>
        <w:t>representantes</w:t>
      </w:r>
      <w:r w:rsidRPr="0069525B">
        <w:rPr>
          <w:sz w:val="20"/>
        </w:rPr>
        <w:t xml:space="preserve"> solicitaron que se ordenara al Estado el pago de las costas originadas tanto a nivel nacional, en la tramitación de los procesos judiciales, como a nivel internacional, en el trámite del caso ante la Comisión y la Corte</w:t>
      </w:r>
      <w:r>
        <w:rPr>
          <w:sz w:val="20"/>
        </w:rPr>
        <w:t>,</w:t>
      </w:r>
      <w:r w:rsidR="008A00A1">
        <w:rPr>
          <w:sz w:val="20"/>
        </w:rPr>
        <w:t xml:space="preserve"> por un monto de US$ 99,908.</w:t>
      </w:r>
      <w:r w:rsidRPr="0069525B">
        <w:rPr>
          <w:sz w:val="20"/>
        </w:rPr>
        <w:t xml:space="preserve">46 para COFAVIC y US$ 12,202 </w:t>
      </w:r>
      <w:r>
        <w:rPr>
          <w:sz w:val="20"/>
        </w:rPr>
        <w:t>para</w:t>
      </w:r>
      <w:r w:rsidRPr="0069525B">
        <w:rPr>
          <w:sz w:val="20"/>
        </w:rPr>
        <w:t xml:space="preserve"> CEJIL.</w:t>
      </w:r>
    </w:p>
    <w:p w14:paraId="531F730D" w14:textId="77777777" w:rsidR="004E64A8" w:rsidRPr="0069525B" w:rsidRDefault="004E64A8" w:rsidP="004E64A8">
      <w:pPr>
        <w:pStyle w:val="Prrafodelista"/>
        <w:adjustRightInd w:val="0"/>
        <w:ind w:left="0"/>
        <w:rPr>
          <w:rFonts w:cs="Times New Roman"/>
          <w:sz w:val="14"/>
          <w:szCs w:val="20"/>
        </w:rPr>
      </w:pPr>
    </w:p>
    <w:p w14:paraId="788D9223" w14:textId="77777777" w:rsidR="004E64A8" w:rsidRPr="0069525B" w:rsidRDefault="004E64A8" w:rsidP="004E64A8">
      <w:pPr>
        <w:pStyle w:val="Prrafodelista"/>
        <w:widowControl/>
        <w:numPr>
          <w:ilvl w:val="0"/>
          <w:numId w:val="34"/>
        </w:numPr>
        <w:adjustRightInd w:val="0"/>
        <w:ind w:left="0" w:firstLine="0"/>
        <w:contextualSpacing/>
        <w:rPr>
          <w:rFonts w:cs="Times New Roman"/>
          <w:sz w:val="14"/>
          <w:szCs w:val="20"/>
        </w:rPr>
      </w:pPr>
      <w:r w:rsidRPr="0069525B">
        <w:rPr>
          <w:sz w:val="20"/>
        </w:rPr>
        <w:t xml:space="preserve">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F55065">
        <w:rPr>
          <w:i/>
          <w:sz w:val="20"/>
        </w:rPr>
        <w:t>quantum</w:t>
      </w:r>
      <w:r w:rsidRPr="0069525B">
        <w:rPr>
          <w:sz w:val="20"/>
        </w:rPr>
        <w:t xml:space="preserve"> sea razonable</w:t>
      </w:r>
      <w:r w:rsidRPr="0069525B">
        <w:rPr>
          <w:rStyle w:val="Refdenotaalpie"/>
          <w:sz w:val="20"/>
        </w:rPr>
        <w:footnoteReference w:id="182"/>
      </w:r>
      <w:r w:rsidRPr="0069525B">
        <w:rPr>
          <w:sz w:val="20"/>
        </w:rPr>
        <w:t>.</w:t>
      </w:r>
    </w:p>
    <w:p w14:paraId="6A2C2F70" w14:textId="77777777" w:rsidR="004E64A8" w:rsidRPr="0069525B" w:rsidRDefault="004E64A8" w:rsidP="004E64A8">
      <w:pPr>
        <w:pStyle w:val="Prrafodelista"/>
        <w:ind w:left="0"/>
        <w:rPr>
          <w:rFonts w:cs="Times New Roman"/>
          <w:sz w:val="14"/>
          <w:szCs w:val="20"/>
        </w:rPr>
      </w:pPr>
    </w:p>
    <w:p w14:paraId="3C24DD17" w14:textId="1E804D94" w:rsidR="004E64A8" w:rsidRPr="0069525B" w:rsidRDefault="004E64A8" w:rsidP="004E64A8">
      <w:pPr>
        <w:pStyle w:val="Prrafodelista"/>
        <w:widowControl/>
        <w:numPr>
          <w:ilvl w:val="0"/>
          <w:numId w:val="34"/>
        </w:numPr>
        <w:adjustRightInd w:val="0"/>
        <w:ind w:left="0" w:firstLine="0"/>
        <w:contextualSpacing/>
        <w:rPr>
          <w:rFonts w:cs="Times New Roman"/>
          <w:sz w:val="10"/>
          <w:szCs w:val="20"/>
        </w:rPr>
      </w:pPr>
      <w:r w:rsidRPr="0069525B">
        <w:rPr>
          <w:sz w:val="20"/>
        </w:rPr>
        <w:t xml:space="preserve">La </w:t>
      </w:r>
      <w:r w:rsidRPr="0069525B">
        <w:rPr>
          <w:b/>
          <w:i/>
          <w:sz w:val="20"/>
        </w:rPr>
        <w:t>Corte</w:t>
      </w:r>
      <w:r w:rsidRPr="0069525B">
        <w:rPr>
          <w:sz w:val="20"/>
        </w:rPr>
        <w:t xml:space="preserve"> ha señalado que es necesario que, al tratarse de alegados desembolsos económicos, los representantes establezcan con claridad los rubros y la justificación de </w:t>
      </w:r>
      <w:proofErr w:type="gramStart"/>
      <w:r w:rsidRPr="0069525B">
        <w:rPr>
          <w:sz w:val="20"/>
        </w:rPr>
        <w:t>los mismos</w:t>
      </w:r>
      <w:proofErr w:type="gramEnd"/>
      <w:r w:rsidRPr="0069525B">
        <w:rPr>
          <w:rStyle w:val="Refdenotaalpie"/>
          <w:sz w:val="20"/>
        </w:rPr>
        <w:footnoteReference w:id="183"/>
      </w:r>
      <w:r w:rsidRPr="0069525B">
        <w:rPr>
          <w:sz w:val="20"/>
        </w:rPr>
        <w:t xml:space="preserve">. En el presente caso, la prueba aportada por los representantes y la argumentación correspondiente no permite una justificación completa de los montos </w:t>
      </w:r>
      <w:r w:rsidRPr="0069525B">
        <w:rPr>
          <w:sz w:val="20"/>
        </w:rPr>
        <w:lastRenderedPageBreak/>
        <w:t>solicitados</w:t>
      </w:r>
      <w:r w:rsidRPr="0069525B">
        <w:rPr>
          <w:rStyle w:val="Refdenotaalpie"/>
          <w:sz w:val="20"/>
        </w:rPr>
        <w:footnoteReference w:id="184"/>
      </w:r>
      <w:r w:rsidRPr="0069525B">
        <w:rPr>
          <w:sz w:val="20"/>
        </w:rPr>
        <w:t xml:space="preserve">. </w:t>
      </w:r>
      <w:r w:rsidRPr="0069525B">
        <w:rPr>
          <w:sz w:val="20"/>
          <w:szCs w:val="20"/>
        </w:rPr>
        <w:t xml:space="preserve">La Corte decide, por entenderlo razonable, fijar, en equidad, el pago de un monto total de US$ </w:t>
      </w:r>
      <w:r w:rsidRPr="00A826A3">
        <w:rPr>
          <w:sz w:val="20"/>
          <w:szCs w:val="20"/>
        </w:rPr>
        <w:t>45</w:t>
      </w:r>
      <w:r>
        <w:rPr>
          <w:sz w:val="20"/>
          <w:szCs w:val="20"/>
        </w:rPr>
        <w:t>,</w:t>
      </w:r>
      <w:r w:rsidRPr="00A826A3">
        <w:rPr>
          <w:sz w:val="20"/>
          <w:szCs w:val="20"/>
        </w:rPr>
        <w:t>000</w:t>
      </w:r>
      <w:r>
        <w:rPr>
          <w:sz w:val="20"/>
          <w:szCs w:val="20"/>
        </w:rPr>
        <w:t>.</w:t>
      </w:r>
      <w:r w:rsidRPr="00A826A3">
        <w:rPr>
          <w:sz w:val="20"/>
          <w:szCs w:val="20"/>
        </w:rPr>
        <w:t>00 (cuarenta y cinco mil dólares de los Estados Unidos de América) por concepto de costas y gastos. Dicha cantidad deberá repartirse del siguiente modo: US$ 35</w:t>
      </w:r>
      <w:r>
        <w:rPr>
          <w:sz w:val="20"/>
          <w:szCs w:val="20"/>
        </w:rPr>
        <w:t>,</w:t>
      </w:r>
      <w:r w:rsidRPr="00A826A3">
        <w:rPr>
          <w:sz w:val="20"/>
          <w:szCs w:val="20"/>
        </w:rPr>
        <w:t>000</w:t>
      </w:r>
      <w:r>
        <w:rPr>
          <w:sz w:val="20"/>
          <w:szCs w:val="20"/>
        </w:rPr>
        <w:t>.</w:t>
      </w:r>
      <w:r w:rsidRPr="00A826A3">
        <w:rPr>
          <w:sz w:val="20"/>
          <w:szCs w:val="20"/>
        </w:rPr>
        <w:t>00 (treinta y cinco mil dólares de Estados Unidos de América) para COFAVIC y US$ 10</w:t>
      </w:r>
      <w:r>
        <w:rPr>
          <w:sz w:val="20"/>
          <w:szCs w:val="20"/>
        </w:rPr>
        <w:t>,</w:t>
      </w:r>
      <w:r w:rsidRPr="00A826A3">
        <w:rPr>
          <w:sz w:val="20"/>
          <w:szCs w:val="20"/>
        </w:rPr>
        <w:t>000.00</w:t>
      </w:r>
      <w:r w:rsidRPr="0069525B">
        <w:rPr>
          <w:sz w:val="20"/>
          <w:szCs w:val="20"/>
        </w:rPr>
        <w:t xml:space="preserve"> (</w:t>
      </w:r>
      <w:r>
        <w:rPr>
          <w:sz w:val="20"/>
          <w:szCs w:val="20"/>
        </w:rPr>
        <w:t xml:space="preserve">diez mil </w:t>
      </w:r>
      <w:r w:rsidRPr="0069525B">
        <w:rPr>
          <w:sz w:val="20"/>
          <w:szCs w:val="20"/>
        </w:rPr>
        <w:t xml:space="preserve">dólares de los Estados Unidos de América) para CEJIL. El Estado deberá entregar, a cada una de las organizaciones indicadas, el monto dinerario que le corresponde, en el plazo de </w:t>
      </w:r>
      <w:r w:rsidR="0087743B">
        <w:rPr>
          <w:sz w:val="20"/>
          <w:szCs w:val="20"/>
        </w:rPr>
        <w:t>un año</w:t>
      </w:r>
      <w:r w:rsidRPr="0069525B">
        <w:rPr>
          <w:sz w:val="20"/>
          <w:szCs w:val="20"/>
        </w:rPr>
        <w:t>.</w:t>
      </w:r>
    </w:p>
    <w:p w14:paraId="6D42896E" w14:textId="77777777" w:rsidR="004E64A8" w:rsidRPr="0069525B" w:rsidRDefault="004E64A8" w:rsidP="004E64A8">
      <w:pPr>
        <w:pStyle w:val="Prrafodelista"/>
        <w:ind w:left="0"/>
        <w:rPr>
          <w:sz w:val="20"/>
        </w:rPr>
      </w:pPr>
    </w:p>
    <w:p w14:paraId="2C9F2524" w14:textId="77777777" w:rsidR="004E64A8" w:rsidRPr="0069525B" w:rsidRDefault="004E64A8" w:rsidP="004E64A8">
      <w:pPr>
        <w:pStyle w:val="Prrafodelista"/>
        <w:widowControl/>
        <w:numPr>
          <w:ilvl w:val="0"/>
          <w:numId w:val="34"/>
        </w:numPr>
        <w:adjustRightInd w:val="0"/>
        <w:ind w:left="0" w:firstLine="0"/>
        <w:contextualSpacing/>
        <w:rPr>
          <w:rFonts w:cs="Times New Roman"/>
          <w:sz w:val="10"/>
          <w:szCs w:val="20"/>
        </w:rPr>
      </w:pPr>
      <w:r w:rsidRPr="0069525B">
        <w:rPr>
          <w:sz w:val="20"/>
        </w:rPr>
        <w:t>En el procedimiento de supervisión de cumplimiento de la presente Sentencia, el Tribunal podrá disponer el reembolso por parte del Estado</w:t>
      </w:r>
      <w:r>
        <w:rPr>
          <w:sz w:val="20"/>
        </w:rPr>
        <w:t>,</w:t>
      </w:r>
      <w:r w:rsidRPr="0069525B">
        <w:rPr>
          <w:sz w:val="20"/>
        </w:rPr>
        <w:t xml:space="preserve"> a las víctimas o</w:t>
      </w:r>
      <w:r>
        <w:rPr>
          <w:sz w:val="20"/>
        </w:rPr>
        <w:t xml:space="preserve"> a</w:t>
      </w:r>
      <w:r w:rsidRPr="0069525B">
        <w:rPr>
          <w:sz w:val="20"/>
        </w:rPr>
        <w:t xml:space="preserve"> sus representantes</w:t>
      </w:r>
      <w:r>
        <w:rPr>
          <w:sz w:val="20"/>
        </w:rPr>
        <w:t>,</w:t>
      </w:r>
      <w:r w:rsidRPr="0069525B">
        <w:rPr>
          <w:sz w:val="20"/>
        </w:rPr>
        <w:t xml:space="preserve"> de los gastos razonables debidamente comprobados en dicha etapa procesal</w:t>
      </w:r>
      <w:r w:rsidRPr="0069525B">
        <w:rPr>
          <w:rStyle w:val="Refdenotaalpie"/>
          <w:sz w:val="20"/>
        </w:rPr>
        <w:footnoteReference w:id="185"/>
      </w:r>
      <w:r w:rsidRPr="0069525B">
        <w:rPr>
          <w:sz w:val="20"/>
        </w:rPr>
        <w:t>.</w:t>
      </w:r>
    </w:p>
    <w:p w14:paraId="7060AA5F" w14:textId="77777777" w:rsidR="004E64A8" w:rsidRPr="0069525B" w:rsidRDefault="004E64A8" w:rsidP="004E64A8">
      <w:pPr>
        <w:pStyle w:val="Prrafodelista"/>
        <w:rPr>
          <w:b/>
          <w:i/>
          <w:sz w:val="20"/>
          <w:szCs w:val="20"/>
        </w:rPr>
      </w:pPr>
    </w:p>
    <w:p w14:paraId="4774E59D" w14:textId="77777777" w:rsidR="004E64A8" w:rsidRPr="0069525B" w:rsidRDefault="004E64A8" w:rsidP="004E64A8">
      <w:pPr>
        <w:pStyle w:val="Prrafodelista"/>
        <w:widowControl/>
        <w:numPr>
          <w:ilvl w:val="0"/>
          <w:numId w:val="25"/>
        </w:numPr>
        <w:adjustRightInd w:val="0"/>
        <w:ind w:left="284" w:firstLine="0"/>
        <w:contextualSpacing/>
        <w:outlineLvl w:val="1"/>
        <w:rPr>
          <w:rFonts w:cs="Times New Roman"/>
          <w:sz w:val="10"/>
          <w:szCs w:val="20"/>
        </w:rPr>
      </w:pPr>
      <w:r w:rsidRPr="0069525B">
        <w:rPr>
          <w:b/>
          <w:i/>
          <w:sz w:val="20"/>
          <w:szCs w:val="20"/>
        </w:rPr>
        <w:t xml:space="preserve"> </w:t>
      </w:r>
      <w:bookmarkStart w:id="86" w:name="_Toc73960390"/>
      <w:r w:rsidRPr="0069525B">
        <w:rPr>
          <w:b/>
          <w:i/>
          <w:sz w:val="20"/>
          <w:szCs w:val="20"/>
        </w:rPr>
        <w:t>Fondo</w:t>
      </w:r>
      <w:r>
        <w:rPr>
          <w:b/>
          <w:i/>
          <w:sz w:val="20"/>
          <w:szCs w:val="20"/>
        </w:rPr>
        <w:t>s</w:t>
      </w:r>
      <w:r w:rsidRPr="0069525B">
        <w:rPr>
          <w:b/>
          <w:i/>
          <w:sz w:val="20"/>
          <w:szCs w:val="20"/>
        </w:rPr>
        <w:t xml:space="preserve"> de Asistencia Legal de Víctimas</w:t>
      </w:r>
      <w:r>
        <w:rPr>
          <w:b/>
          <w:i/>
          <w:sz w:val="20"/>
          <w:szCs w:val="20"/>
        </w:rPr>
        <w:t xml:space="preserve"> de la Corte y la Comisión Interamericanas</w:t>
      </w:r>
      <w:bookmarkEnd w:id="86"/>
      <w:r w:rsidRPr="0069525B">
        <w:rPr>
          <w:b/>
          <w:i/>
          <w:sz w:val="20"/>
          <w:szCs w:val="20"/>
        </w:rPr>
        <w:t xml:space="preserve"> </w:t>
      </w:r>
    </w:p>
    <w:p w14:paraId="6A998F79" w14:textId="77777777" w:rsidR="004E64A8" w:rsidRPr="0069525B" w:rsidRDefault="004E64A8" w:rsidP="004E64A8">
      <w:pPr>
        <w:pStyle w:val="Prrafodelista"/>
        <w:rPr>
          <w:sz w:val="20"/>
          <w:szCs w:val="20"/>
        </w:rPr>
      </w:pPr>
    </w:p>
    <w:p w14:paraId="20221430" w14:textId="77777777" w:rsidR="004E64A8" w:rsidRPr="00FD3216" w:rsidRDefault="004E64A8" w:rsidP="004E64A8">
      <w:pPr>
        <w:pStyle w:val="Prrafodelista"/>
        <w:widowControl/>
        <w:numPr>
          <w:ilvl w:val="0"/>
          <w:numId w:val="34"/>
        </w:numPr>
        <w:adjustRightInd w:val="0"/>
        <w:ind w:left="0" w:firstLine="0"/>
        <w:contextualSpacing/>
        <w:rPr>
          <w:rFonts w:cs="Times New Roman"/>
          <w:sz w:val="20"/>
          <w:szCs w:val="20"/>
        </w:rPr>
      </w:pPr>
      <w:r w:rsidRPr="0069525B">
        <w:rPr>
          <w:sz w:val="20"/>
          <w:szCs w:val="20"/>
        </w:rPr>
        <w:t xml:space="preserve">Debe dejarse sentado que, en el presente caso, </w:t>
      </w:r>
      <w:r>
        <w:rPr>
          <w:sz w:val="20"/>
          <w:szCs w:val="20"/>
        </w:rPr>
        <w:t>el 20 de enero de 2020 la Presidenta emitió una</w:t>
      </w:r>
      <w:r w:rsidRPr="0069525B">
        <w:rPr>
          <w:sz w:val="20"/>
          <w:szCs w:val="20"/>
        </w:rPr>
        <w:t xml:space="preserve"> Resolución, comunic</w:t>
      </w:r>
      <w:r>
        <w:rPr>
          <w:sz w:val="20"/>
          <w:szCs w:val="20"/>
        </w:rPr>
        <w:t>ada</w:t>
      </w:r>
      <w:r w:rsidRPr="0069525B">
        <w:rPr>
          <w:sz w:val="20"/>
          <w:szCs w:val="20"/>
        </w:rPr>
        <w:t xml:space="preserve"> a las partes y a la Comisión</w:t>
      </w:r>
      <w:r>
        <w:rPr>
          <w:sz w:val="20"/>
          <w:szCs w:val="20"/>
        </w:rPr>
        <w:t>, que dispuso que,</w:t>
      </w:r>
      <w:r w:rsidRPr="0069525B">
        <w:rPr>
          <w:sz w:val="20"/>
          <w:szCs w:val="20"/>
        </w:rPr>
        <w:t xml:space="preserve"> “de conformidad con lo dispuesto en el artículo 31 del Reglamento del Tribunal” y los artículos 2, 3 y 5 del Reglamento del Fondo de Asistencia Legal de Víctimas, resultaba procedente la solicitud presentada por</w:t>
      </w:r>
      <w:r>
        <w:rPr>
          <w:sz w:val="20"/>
          <w:szCs w:val="20"/>
        </w:rPr>
        <w:t xml:space="preserve"> las víctimas de este caso, a través de sus</w:t>
      </w:r>
      <w:r w:rsidRPr="0069525B">
        <w:rPr>
          <w:sz w:val="20"/>
          <w:szCs w:val="20"/>
        </w:rPr>
        <w:t xml:space="preserve"> representantes</w:t>
      </w:r>
      <w:r>
        <w:rPr>
          <w:sz w:val="20"/>
          <w:szCs w:val="20"/>
        </w:rPr>
        <w:t>,</w:t>
      </w:r>
      <w:r w:rsidRPr="0069525B">
        <w:rPr>
          <w:sz w:val="20"/>
          <w:szCs w:val="20"/>
        </w:rPr>
        <w:t xml:space="preserve"> de acogerse al Fondo de Asistencia Legal de Víctimas</w:t>
      </w:r>
      <w:r>
        <w:rPr>
          <w:sz w:val="20"/>
          <w:szCs w:val="20"/>
        </w:rPr>
        <w:t xml:space="preserve"> de la Corte Interamericana</w:t>
      </w:r>
      <w:r w:rsidRPr="0069525B">
        <w:rPr>
          <w:sz w:val="20"/>
          <w:szCs w:val="20"/>
        </w:rPr>
        <w:t xml:space="preserve">, por lo que se otorgaría apoyo económico para “solventar los gastos que ocasionaría la presentación de declaraciones de </w:t>
      </w:r>
      <w:r>
        <w:rPr>
          <w:sz w:val="20"/>
          <w:szCs w:val="20"/>
        </w:rPr>
        <w:t xml:space="preserve">[…] </w:t>
      </w:r>
      <w:r w:rsidRPr="0069525B">
        <w:rPr>
          <w:sz w:val="20"/>
          <w:szCs w:val="20"/>
        </w:rPr>
        <w:t>víctimas o peritos, en una eventual audiencia pública o por afidávit”</w:t>
      </w:r>
      <w:r w:rsidRPr="0069525B">
        <w:rPr>
          <w:rStyle w:val="Refdenotaalpie"/>
          <w:sz w:val="20"/>
          <w:szCs w:val="20"/>
        </w:rPr>
        <w:footnoteReference w:id="186"/>
      </w:r>
      <w:r w:rsidRPr="0069525B">
        <w:rPr>
          <w:sz w:val="20"/>
          <w:szCs w:val="20"/>
        </w:rPr>
        <w:t xml:space="preserve">. </w:t>
      </w:r>
      <w:r w:rsidRPr="00542071">
        <w:rPr>
          <w:sz w:val="20"/>
          <w:szCs w:val="20"/>
        </w:rPr>
        <w:t xml:space="preserve">En </w:t>
      </w:r>
      <w:r>
        <w:rPr>
          <w:sz w:val="20"/>
          <w:szCs w:val="20"/>
        </w:rPr>
        <w:t xml:space="preserve">la </w:t>
      </w:r>
      <w:r w:rsidRPr="00542071">
        <w:rPr>
          <w:rFonts w:cs="Times New Roman"/>
          <w:sz w:val="20"/>
          <w:szCs w:val="20"/>
        </w:rPr>
        <w:t xml:space="preserve">Resolución de la </w:t>
      </w:r>
      <w:proofErr w:type="gramStart"/>
      <w:r w:rsidRPr="00542071">
        <w:rPr>
          <w:rFonts w:cs="Times New Roman"/>
          <w:sz w:val="20"/>
          <w:szCs w:val="20"/>
        </w:rPr>
        <w:t>Presidenta</w:t>
      </w:r>
      <w:proofErr w:type="gramEnd"/>
      <w:r w:rsidRPr="00542071">
        <w:rPr>
          <w:rFonts w:cs="Times New Roman"/>
          <w:sz w:val="20"/>
          <w:szCs w:val="20"/>
        </w:rPr>
        <w:t xml:space="preserve"> de la Corte de 13 de octubre de 2020</w:t>
      </w:r>
      <w:r>
        <w:rPr>
          <w:rFonts w:cs="Times New Roman"/>
          <w:sz w:val="20"/>
          <w:szCs w:val="20"/>
        </w:rPr>
        <w:t xml:space="preserve"> (</w:t>
      </w:r>
      <w:r>
        <w:rPr>
          <w:rFonts w:cs="Times New Roman"/>
          <w:i/>
          <w:sz w:val="20"/>
          <w:szCs w:val="20"/>
        </w:rPr>
        <w:t xml:space="preserve">supra </w:t>
      </w:r>
      <w:r>
        <w:rPr>
          <w:rFonts w:cs="Times New Roman"/>
          <w:sz w:val="20"/>
          <w:szCs w:val="20"/>
        </w:rPr>
        <w:t>párr. 10)</w:t>
      </w:r>
      <w:r w:rsidRPr="00542071">
        <w:rPr>
          <w:rFonts w:cs="Times New Roman"/>
          <w:sz w:val="20"/>
          <w:szCs w:val="20"/>
        </w:rPr>
        <w:t xml:space="preserve"> se determinó que “</w:t>
      </w:r>
      <w:r w:rsidRPr="00542071">
        <w:rPr>
          <w:sz w:val="20"/>
          <w:szCs w:val="20"/>
        </w:rPr>
        <w:t>la asistencia económica sea asignada para cubrir los gastos razonables de formulación y envío de dos declaraciones por affidávit que indiquen los representantes”</w:t>
      </w:r>
      <w:r>
        <w:rPr>
          <w:sz w:val="20"/>
          <w:szCs w:val="20"/>
        </w:rPr>
        <w:t>.</w:t>
      </w:r>
    </w:p>
    <w:p w14:paraId="566D393F" w14:textId="77777777" w:rsidR="004E64A8" w:rsidRDefault="004E64A8" w:rsidP="004E64A8">
      <w:pPr>
        <w:pStyle w:val="Prrafodelista"/>
        <w:widowControl/>
        <w:adjustRightInd w:val="0"/>
        <w:ind w:left="0"/>
        <w:contextualSpacing/>
        <w:rPr>
          <w:rFonts w:cs="Times New Roman"/>
          <w:sz w:val="20"/>
          <w:szCs w:val="20"/>
        </w:rPr>
      </w:pPr>
      <w:r w:rsidRPr="00542071">
        <w:rPr>
          <w:sz w:val="20"/>
          <w:szCs w:val="20"/>
        </w:rPr>
        <w:t xml:space="preserve"> </w:t>
      </w:r>
    </w:p>
    <w:p w14:paraId="373A0E7D" w14:textId="2BFBD370" w:rsidR="004E64A8" w:rsidRPr="00FD3216" w:rsidRDefault="004E64A8" w:rsidP="004E64A8">
      <w:pPr>
        <w:pStyle w:val="Prrafodelista"/>
        <w:widowControl/>
        <w:numPr>
          <w:ilvl w:val="0"/>
          <w:numId w:val="34"/>
        </w:numPr>
        <w:adjustRightInd w:val="0"/>
        <w:ind w:left="0" w:firstLine="0"/>
        <w:contextualSpacing/>
        <w:rPr>
          <w:rFonts w:cs="Times New Roman"/>
          <w:sz w:val="20"/>
          <w:szCs w:val="20"/>
        </w:rPr>
      </w:pPr>
      <w:r w:rsidRPr="00FD3216">
        <w:rPr>
          <w:sz w:val="20"/>
          <w:szCs w:val="20"/>
        </w:rPr>
        <w:t xml:space="preserve">De conformidad con los gastos debidamente acreditados por los representantes y los comprobantes respectivos aportados por ellos, </w:t>
      </w:r>
      <w:r w:rsidRPr="00FD3216">
        <w:rPr>
          <w:rFonts w:cs="Times New Roman"/>
          <w:sz w:val="20"/>
          <w:szCs w:val="20"/>
        </w:rPr>
        <w:t>la Corte ordena al Estado el reintegro a dicho Fondo de la cantidad erogada para</w:t>
      </w:r>
      <w:r>
        <w:rPr>
          <w:rFonts w:cs="Times New Roman"/>
          <w:sz w:val="20"/>
          <w:szCs w:val="20"/>
        </w:rPr>
        <w:t xml:space="preserve"> el reintegro del costo de</w:t>
      </w:r>
      <w:r w:rsidRPr="00FD3216">
        <w:rPr>
          <w:rFonts w:cs="Times New Roman"/>
          <w:sz w:val="20"/>
          <w:szCs w:val="20"/>
        </w:rPr>
        <w:t xml:space="preserve"> </w:t>
      </w:r>
      <w:r w:rsidRPr="00774D5F">
        <w:rPr>
          <w:rFonts w:cs="Times New Roman"/>
          <w:sz w:val="20"/>
          <w:szCs w:val="20"/>
        </w:rPr>
        <w:t xml:space="preserve">la notarización de la declaración por affidávit de </w:t>
      </w:r>
      <w:proofErr w:type="spellStart"/>
      <w:r w:rsidRPr="00774D5F">
        <w:rPr>
          <w:sz w:val="20"/>
          <w:szCs w:val="20"/>
        </w:rPr>
        <w:t>Fraily</w:t>
      </w:r>
      <w:proofErr w:type="spellEnd"/>
      <w:r w:rsidRPr="00774D5F">
        <w:rPr>
          <w:sz w:val="20"/>
          <w:szCs w:val="20"/>
        </w:rPr>
        <w:t xml:space="preserve"> Guerrero</w:t>
      </w:r>
      <w:r w:rsidRPr="00774D5F">
        <w:rPr>
          <w:rFonts w:cs="Times New Roman"/>
          <w:sz w:val="20"/>
          <w:szCs w:val="20"/>
        </w:rPr>
        <w:t>, las cuales ascienden a la cantidad de US$ 64</w:t>
      </w:r>
      <w:r>
        <w:rPr>
          <w:rFonts w:cs="Times New Roman"/>
          <w:sz w:val="20"/>
          <w:szCs w:val="20"/>
        </w:rPr>
        <w:t>.</w:t>
      </w:r>
      <w:r w:rsidRPr="00774D5F">
        <w:rPr>
          <w:rFonts w:cs="Times New Roman"/>
          <w:sz w:val="20"/>
          <w:szCs w:val="20"/>
        </w:rPr>
        <w:t>56 (sesenta y cuatro dólares de los Estados Unidos de América con cincuenta y seis centavos).</w:t>
      </w:r>
      <w:r w:rsidRPr="00FD3216">
        <w:rPr>
          <w:rFonts w:cs="Times New Roman"/>
          <w:sz w:val="20"/>
          <w:szCs w:val="20"/>
        </w:rPr>
        <w:t xml:space="preserve"> Este monto deberá ser reintegrado en el plazo de </w:t>
      </w:r>
      <w:r w:rsidR="0087743B">
        <w:rPr>
          <w:rFonts w:cs="Times New Roman"/>
          <w:sz w:val="20"/>
          <w:szCs w:val="20"/>
        </w:rPr>
        <w:t>seis meses</w:t>
      </w:r>
      <w:r w:rsidRPr="00FD3216">
        <w:rPr>
          <w:rFonts w:cs="Times New Roman"/>
          <w:sz w:val="20"/>
          <w:szCs w:val="20"/>
        </w:rPr>
        <w:t>, contados a partir de la notificación del presente Fallo.</w:t>
      </w:r>
    </w:p>
    <w:p w14:paraId="494A9AC4" w14:textId="77777777" w:rsidR="004E64A8" w:rsidRPr="0069525B" w:rsidRDefault="004E64A8" w:rsidP="004E64A8">
      <w:pPr>
        <w:pStyle w:val="Prrafodelista"/>
        <w:widowControl/>
        <w:adjustRightInd w:val="0"/>
        <w:ind w:left="0"/>
        <w:contextualSpacing/>
        <w:rPr>
          <w:rFonts w:cs="Times New Roman"/>
          <w:sz w:val="20"/>
          <w:szCs w:val="20"/>
        </w:rPr>
      </w:pPr>
    </w:p>
    <w:p w14:paraId="4E20245F" w14:textId="1607315E" w:rsidR="004E64A8" w:rsidRPr="008E0108" w:rsidRDefault="004E64A8" w:rsidP="004E64A8">
      <w:pPr>
        <w:pStyle w:val="Prrafodelista"/>
        <w:widowControl/>
        <w:numPr>
          <w:ilvl w:val="0"/>
          <w:numId w:val="34"/>
        </w:numPr>
        <w:adjustRightInd w:val="0"/>
        <w:ind w:left="0" w:firstLine="0"/>
        <w:contextualSpacing/>
        <w:rPr>
          <w:sz w:val="20"/>
          <w:szCs w:val="20"/>
        </w:rPr>
      </w:pPr>
      <w:r w:rsidRPr="008E0108">
        <w:rPr>
          <w:sz w:val="20"/>
          <w:szCs w:val="20"/>
        </w:rPr>
        <w:lastRenderedPageBreak/>
        <w:t xml:space="preserve">Por otra parte, la </w:t>
      </w:r>
      <w:r w:rsidRPr="008E0108">
        <w:rPr>
          <w:b/>
          <w:i/>
          <w:sz w:val="20"/>
          <w:szCs w:val="20"/>
        </w:rPr>
        <w:t>Comisión</w:t>
      </w:r>
      <w:r w:rsidRPr="008E0108">
        <w:rPr>
          <w:sz w:val="20"/>
          <w:szCs w:val="20"/>
        </w:rPr>
        <w:t xml:space="preserve"> solicitó que esta Corte ordenara al Estado de Venezuela el reintegro de los gastos del Fondo de Asistencia Legal de Víctimas de la Comisión Interamericana. La </w:t>
      </w:r>
      <w:r w:rsidRPr="008E0108">
        <w:rPr>
          <w:b/>
          <w:i/>
          <w:sz w:val="20"/>
          <w:szCs w:val="20"/>
        </w:rPr>
        <w:t>Corte</w:t>
      </w:r>
      <w:r w:rsidRPr="008E0108">
        <w:rPr>
          <w:sz w:val="20"/>
          <w:szCs w:val="20"/>
        </w:rPr>
        <w:t xml:space="preserve"> nota que la Comisión no precisó el monto erogado en este concepto, ni presentó documentación que lo avalara. Por otra parte, no indicó cuál sería la base legal y el procedimiento para que este Tribunal se abocara a ordenar y, eventualmente, supervisar el reintegro al fondo administrado por la Comisión. En tal sentido, la Corte entiende que no corresponde ordenar como una medida dispositiva lo solicitado, sino que dicho órgano deberá arbitrar el procedimiento que corresponda en la esfera de sus atribuciones.</w:t>
      </w:r>
    </w:p>
    <w:p w14:paraId="4220422E" w14:textId="77777777" w:rsidR="004E64A8" w:rsidRDefault="004E64A8" w:rsidP="004E64A8">
      <w:pPr>
        <w:pStyle w:val="Prrafodelista"/>
        <w:rPr>
          <w:sz w:val="20"/>
          <w:szCs w:val="20"/>
        </w:rPr>
      </w:pPr>
    </w:p>
    <w:p w14:paraId="6A97A73D" w14:textId="77777777" w:rsidR="004E64A8" w:rsidRPr="0069525B" w:rsidRDefault="004E64A8" w:rsidP="004E64A8">
      <w:pPr>
        <w:pStyle w:val="Prrafodelista"/>
        <w:widowControl/>
        <w:numPr>
          <w:ilvl w:val="0"/>
          <w:numId w:val="25"/>
        </w:numPr>
        <w:adjustRightInd w:val="0"/>
        <w:ind w:left="284" w:firstLine="0"/>
        <w:contextualSpacing/>
        <w:rPr>
          <w:rFonts w:cs="Times New Roman"/>
          <w:b/>
          <w:i/>
          <w:sz w:val="20"/>
          <w:szCs w:val="20"/>
        </w:rPr>
      </w:pPr>
      <w:r w:rsidRPr="0069525B">
        <w:rPr>
          <w:b/>
          <w:i/>
          <w:sz w:val="20"/>
          <w:szCs w:val="20"/>
        </w:rPr>
        <w:t xml:space="preserve"> Modalidad de cumplimiento </w:t>
      </w:r>
    </w:p>
    <w:p w14:paraId="56F7C8C5" w14:textId="77777777" w:rsidR="004E64A8" w:rsidRPr="0069525B" w:rsidRDefault="004E64A8" w:rsidP="004E64A8">
      <w:pPr>
        <w:pStyle w:val="Prrafodelista"/>
        <w:rPr>
          <w:sz w:val="20"/>
          <w:szCs w:val="20"/>
        </w:rPr>
      </w:pPr>
    </w:p>
    <w:p w14:paraId="7ADDFFD6" w14:textId="55B6F4F9" w:rsidR="004E64A8" w:rsidRPr="0069525B" w:rsidRDefault="004E64A8" w:rsidP="004E64A8">
      <w:pPr>
        <w:pStyle w:val="Prrafodelista"/>
        <w:widowControl/>
        <w:numPr>
          <w:ilvl w:val="0"/>
          <w:numId w:val="34"/>
        </w:numPr>
        <w:adjustRightInd w:val="0"/>
        <w:ind w:left="0" w:firstLine="0"/>
        <w:contextualSpacing/>
        <w:rPr>
          <w:rFonts w:cs="Times New Roman"/>
          <w:sz w:val="20"/>
          <w:szCs w:val="20"/>
        </w:rPr>
      </w:pPr>
      <w:r w:rsidRPr="0069525B">
        <w:rPr>
          <w:sz w:val="20"/>
          <w:szCs w:val="20"/>
        </w:rPr>
        <w:t>El Estado deberá efectuar el pago de las indemnizaciones por concepto de daño material e inmaterial y el reintegro de costas y gastos establecidos en la presente Sentencia directamente a las personas y a las organizaciones que se indican, dentro del plazo de un año, contado a partir de la notificación del presente Fallo,</w:t>
      </w:r>
      <w:r w:rsidRPr="00F3492A">
        <w:rPr>
          <w:sz w:val="20"/>
          <w:szCs w:val="20"/>
        </w:rPr>
        <w:t xml:space="preserve"> </w:t>
      </w:r>
      <w:r w:rsidR="00F3492A" w:rsidRPr="00F3492A">
        <w:rPr>
          <w:sz w:val="20"/>
          <w:szCs w:val="20"/>
        </w:rPr>
        <w:t>sin perjuicio de que pueda adelantar el pago completo en un plazo menor,</w:t>
      </w:r>
      <w:r w:rsidR="00F3492A" w:rsidRPr="0069525B">
        <w:rPr>
          <w:sz w:val="20"/>
          <w:szCs w:val="20"/>
        </w:rPr>
        <w:t xml:space="preserve"> </w:t>
      </w:r>
      <w:r w:rsidRPr="0069525B">
        <w:rPr>
          <w:sz w:val="20"/>
          <w:szCs w:val="20"/>
        </w:rPr>
        <w:t xml:space="preserve">en los términos de los siguientes párrafos. </w:t>
      </w:r>
    </w:p>
    <w:p w14:paraId="31AC9F84" w14:textId="77777777" w:rsidR="004E64A8" w:rsidRPr="0069525B" w:rsidRDefault="004E64A8" w:rsidP="004E64A8">
      <w:pPr>
        <w:pStyle w:val="Prrafodelista"/>
        <w:ind w:left="0"/>
        <w:rPr>
          <w:sz w:val="20"/>
          <w:szCs w:val="20"/>
        </w:rPr>
      </w:pPr>
    </w:p>
    <w:p w14:paraId="46705EA6" w14:textId="77777777" w:rsidR="004E64A8" w:rsidRPr="0069525B" w:rsidRDefault="004E64A8" w:rsidP="004E64A8">
      <w:pPr>
        <w:pStyle w:val="Prrafodelista"/>
        <w:widowControl/>
        <w:numPr>
          <w:ilvl w:val="0"/>
          <w:numId w:val="34"/>
        </w:numPr>
        <w:adjustRightInd w:val="0"/>
        <w:ind w:left="0" w:firstLine="0"/>
        <w:contextualSpacing/>
        <w:rPr>
          <w:rFonts w:cs="Times New Roman"/>
          <w:sz w:val="20"/>
          <w:szCs w:val="20"/>
        </w:rPr>
      </w:pPr>
      <w:r w:rsidRPr="0069525B">
        <w:rPr>
          <w:sz w:val="20"/>
          <w:szCs w:val="20"/>
        </w:rPr>
        <w:t>En caso de que los beneficiarios fallezcan antes de que les sean entregadas las indemnizaciones respectivas, estas se efectuarán directamente a sus derechohabientes, conforme al derecho interno aplicable.</w:t>
      </w:r>
    </w:p>
    <w:p w14:paraId="5FEBDC05" w14:textId="77777777" w:rsidR="004E64A8" w:rsidRPr="0069525B" w:rsidRDefault="004E64A8" w:rsidP="004E64A8">
      <w:pPr>
        <w:pStyle w:val="Prrafodelista"/>
        <w:adjustRightInd w:val="0"/>
        <w:ind w:left="0"/>
        <w:rPr>
          <w:rFonts w:cs="Times New Roman"/>
          <w:sz w:val="20"/>
          <w:szCs w:val="20"/>
        </w:rPr>
      </w:pPr>
    </w:p>
    <w:p w14:paraId="7664A439" w14:textId="77777777" w:rsidR="004E64A8" w:rsidRPr="0069525B" w:rsidRDefault="004E64A8" w:rsidP="004E64A8">
      <w:pPr>
        <w:pStyle w:val="Prrafodelista"/>
        <w:widowControl/>
        <w:numPr>
          <w:ilvl w:val="0"/>
          <w:numId w:val="34"/>
        </w:numPr>
        <w:adjustRightInd w:val="0"/>
        <w:ind w:left="0" w:firstLine="0"/>
        <w:contextualSpacing/>
        <w:rPr>
          <w:rFonts w:cs="Times New Roman"/>
          <w:sz w:val="18"/>
          <w:szCs w:val="20"/>
        </w:rPr>
      </w:pPr>
      <w:r w:rsidRPr="0069525B">
        <w:rPr>
          <w:sz w:val="20"/>
        </w:rPr>
        <w:t xml:space="preserve">En lo que respecta a la moneda de pago de las indemnizaciones y reintegro de costas y gastos, el Estado debe cumplir sus obligaciones monetarias mediante el pago en dólares de los Estados Unidos de América o, de no ser esto posible, en su equivalente en moneda venezolana, utilizando para el cálculo respectivo la tasa </w:t>
      </w:r>
      <w:proofErr w:type="gramStart"/>
      <w:r w:rsidRPr="0069525B">
        <w:rPr>
          <w:sz w:val="20"/>
        </w:rPr>
        <w:t>más alta y más beneficiosa</w:t>
      </w:r>
      <w:proofErr w:type="gramEnd"/>
      <w:r w:rsidRPr="0069525B">
        <w:rPr>
          <w:sz w:val="20"/>
        </w:rPr>
        <w:t xml:space="preserve"> para las víctimas que permita su ordenamiento interno, vigente al momento del pago. Durante la etapa de supervisión de cumplimiento de la sentencia, la Corte podrá reajustar prudentemente el equivalente de estas cifras en moneda venezolana, con el objeto de evitar que las variaciones cambiarias afecten sustancialmente el valor adquisitivo de esos montos. </w:t>
      </w:r>
    </w:p>
    <w:p w14:paraId="0DFD1AF1" w14:textId="77777777" w:rsidR="004E64A8" w:rsidRPr="0069525B" w:rsidRDefault="004E64A8" w:rsidP="004E64A8">
      <w:pPr>
        <w:pStyle w:val="Prrafodelista"/>
        <w:ind w:left="0"/>
        <w:rPr>
          <w:sz w:val="20"/>
        </w:rPr>
      </w:pPr>
    </w:p>
    <w:p w14:paraId="41FF4952" w14:textId="77777777" w:rsidR="004E64A8" w:rsidRPr="0069525B" w:rsidRDefault="004E64A8" w:rsidP="004E64A8">
      <w:pPr>
        <w:pStyle w:val="Prrafodelista"/>
        <w:widowControl/>
        <w:numPr>
          <w:ilvl w:val="0"/>
          <w:numId w:val="34"/>
        </w:numPr>
        <w:adjustRightInd w:val="0"/>
        <w:ind w:left="0" w:firstLine="0"/>
        <w:contextualSpacing/>
        <w:rPr>
          <w:rFonts w:cs="Times New Roman"/>
          <w:sz w:val="18"/>
          <w:szCs w:val="20"/>
        </w:rPr>
      </w:pPr>
      <w:r w:rsidRPr="0069525B">
        <w:rPr>
          <w:sz w:val="20"/>
        </w:rPr>
        <w:t xml:space="preserve">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venezolana solvente,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 </w:t>
      </w:r>
    </w:p>
    <w:p w14:paraId="79ACAA59" w14:textId="77777777" w:rsidR="004E64A8" w:rsidRPr="0069525B" w:rsidRDefault="004E64A8" w:rsidP="004E64A8">
      <w:pPr>
        <w:pStyle w:val="Prrafodelista"/>
        <w:ind w:left="0"/>
        <w:rPr>
          <w:sz w:val="20"/>
        </w:rPr>
      </w:pPr>
    </w:p>
    <w:p w14:paraId="7010172F" w14:textId="77777777" w:rsidR="004E64A8" w:rsidRPr="0069525B" w:rsidRDefault="004E64A8" w:rsidP="004E64A8">
      <w:pPr>
        <w:pStyle w:val="Prrafodelista"/>
        <w:widowControl/>
        <w:numPr>
          <w:ilvl w:val="0"/>
          <w:numId w:val="34"/>
        </w:numPr>
        <w:adjustRightInd w:val="0"/>
        <w:ind w:left="0" w:firstLine="0"/>
        <w:contextualSpacing/>
        <w:rPr>
          <w:rFonts w:cs="Times New Roman"/>
          <w:sz w:val="18"/>
          <w:szCs w:val="20"/>
        </w:rPr>
      </w:pPr>
      <w:r w:rsidRPr="0069525B">
        <w:rPr>
          <w:sz w:val="20"/>
        </w:rPr>
        <w:t xml:space="preserve">Las cantidades asignadas en la presente Sentencia como indemnización y como reintegro de costas y gastos deberán ser entregadas a las personas y a las organizaciones indicadas en forma íntegra, conforme a lo establecido en esta Sentencia, sin reducciones derivadas de eventuales cargas fiscales. </w:t>
      </w:r>
    </w:p>
    <w:p w14:paraId="345653D8" w14:textId="77777777" w:rsidR="004E64A8" w:rsidRPr="0069525B" w:rsidRDefault="004E64A8" w:rsidP="004E64A8">
      <w:pPr>
        <w:pStyle w:val="Prrafodelista"/>
        <w:ind w:left="0"/>
        <w:rPr>
          <w:sz w:val="20"/>
        </w:rPr>
      </w:pPr>
    </w:p>
    <w:p w14:paraId="6EDB635A" w14:textId="64004E28" w:rsidR="004E64A8" w:rsidRPr="0069525B" w:rsidRDefault="004E64A8" w:rsidP="004E64A8">
      <w:pPr>
        <w:pStyle w:val="Prrafodelista"/>
        <w:widowControl/>
        <w:numPr>
          <w:ilvl w:val="0"/>
          <w:numId w:val="34"/>
        </w:numPr>
        <w:adjustRightInd w:val="0"/>
        <w:ind w:left="0" w:firstLine="0"/>
        <w:contextualSpacing/>
        <w:rPr>
          <w:rFonts w:cs="Times New Roman"/>
          <w:sz w:val="18"/>
          <w:szCs w:val="20"/>
        </w:rPr>
      </w:pPr>
      <w:r w:rsidRPr="0069525B">
        <w:rPr>
          <w:sz w:val="20"/>
        </w:rPr>
        <w:t xml:space="preserve">En caso de que el Estado incurriera en mora, </w:t>
      </w:r>
      <w:r w:rsidR="00233FA8" w:rsidRPr="00233FA8">
        <w:rPr>
          <w:sz w:val="20"/>
        </w:rPr>
        <w:t xml:space="preserve">incluyendo en el reintegro de los gastos al Fondo de Asistencia Legal de Víctimas de la Corte, </w:t>
      </w:r>
      <w:r w:rsidRPr="0069525B">
        <w:rPr>
          <w:sz w:val="20"/>
        </w:rPr>
        <w:t>deberá pagar un interés sobre la cantidad adeudada, correspondiente al interés bancario moratorio en la República Bolivariana de Venezuela.</w:t>
      </w:r>
    </w:p>
    <w:p w14:paraId="73782EA6" w14:textId="1D6F8CC5" w:rsidR="000F2503" w:rsidRDefault="000F2503" w:rsidP="004E64A8">
      <w:pPr>
        <w:pStyle w:val="Prrafodelista"/>
        <w:widowControl/>
        <w:autoSpaceDE/>
        <w:autoSpaceDN/>
        <w:ind w:left="0"/>
        <w:contextualSpacing/>
        <w:rPr>
          <w:sz w:val="20"/>
          <w:szCs w:val="20"/>
        </w:rPr>
      </w:pPr>
    </w:p>
    <w:p w14:paraId="5B7812F1" w14:textId="25B2869C" w:rsidR="00F3492A" w:rsidRDefault="00F3492A" w:rsidP="004E64A8">
      <w:pPr>
        <w:pStyle w:val="Prrafodelista"/>
        <w:widowControl/>
        <w:autoSpaceDE/>
        <w:autoSpaceDN/>
        <w:ind w:left="0"/>
        <w:contextualSpacing/>
        <w:rPr>
          <w:sz w:val="20"/>
          <w:szCs w:val="20"/>
        </w:rPr>
      </w:pPr>
    </w:p>
    <w:p w14:paraId="3F3B0AFF" w14:textId="77777777" w:rsidR="004E64A8" w:rsidRPr="003D1141" w:rsidRDefault="004E64A8" w:rsidP="004E64A8">
      <w:pPr>
        <w:pStyle w:val="Prrafodelista"/>
        <w:jc w:val="center"/>
        <w:outlineLvl w:val="0"/>
        <w:rPr>
          <w:b/>
          <w:sz w:val="20"/>
          <w:szCs w:val="20"/>
        </w:rPr>
      </w:pPr>
      <w:bookmarkStart w:id="87" w:name="_Toc73960391"/>
      <w:r>
        <w:rPr>
          <w:b/>
          <w:sz w:val="20"/>
          <w:szCs w:val="20"/>
        </w:rPr>
        <w:lastRenderedPageBreak/>
        <w:t>IX</w:t>
      </w:r>
      <w:bookmarkEnd w:id="87"/>
    </w:p>
    <w:p w14:paraId="5721BB2B" w14:textId="77777777" w:rsidR="004E64A8" w:rsidRPr="003D1141" w:rsidRDefault="004E64A8" w:rsidP="004E64A8">
      <w:pPr>
        <w:pStyle w:val="Prrafodelista"/>
        <w:jc w:val="center"/>
        <w:outlineLvl w:val="0"/>
        <w:rPr>
          <w:b/>
          <w:sz w:val="20"/>
          <w:szCs w:val="20"/>
        </w:rPr>
      </w:pPr>
      <w:bookmarkStart w:id="88" w:name="_Toc73960392"/>
      <w:r>
        <w:rPr>
          <w:b/>
          <w:sz w:val="20"/>
          <w:szCs w:val="20"/>
        </w:rPr>
        <w:t>PUNTOS RESOLUTIVOS</w:t>
      </w:r>
      <w:bookmarkEnd w:id="88"/>
    </w:p>
    <w:p w14:paraId="441634FE" w14:textId="77777777" w:rsidR="004E64A8" w:rsidRDefault="004E64A8" w:rsidP="004E64A8">
      <w:pPr>
        <w:pStyle w:val="Prrafodelista"/>
        <w:widowControl/>
        <w:autoSpaceDE/>
        <w:autoSpaceDN/>
        <w:ind w:left="0"/>
        <w:contextualSpacing/>
        <w:rPr>
          <w:sz w:val="20"/>
          <w:szCs w:val="20"/>
        </w:rPr>
      </w:pPr>
    </w:p>
    <w:p w14:paraId="22FBBBFB" w14:textId="77777777" w:rsidR="004E64A8" w:rsidRPr="00990A38" w:rsidRDefault="004E64A8" w:rsidP="004E64A8">
      <w:pPr>
        <w:pStyle w:val="Prrafodelista"/>
        <w:widowControl/>
        <w:numPr>
          <w:ilvl w:val="0"/>
          <w:numId w:val="34"/>
        </w:numPr>
        <w:autoSpaceDE/>
        <w:autoSpaceDN/>
        <w:ind w:left="0" w:firstLine="0"/>
        <w:contextualSpacing/>
        <w:rPr>
          <w:sz w:val="20"/>
          <w:szCs w:val="20"/>
        </w:rPr>
      </w:pPr>
      <w:r w:rsidRPr="00990A38">
        <w:rPr>
          <w:sz w:val="20"/>
          <w:szCs w:val="20"/>
        </w:rPr>
        <w:t xml:space="preserve">Por tanto, </w:t>
      </w:r>
    </w:p>
    <w:p w14:paraId="2E675F81" w14:textId="77777777" w:rsidR="004E64A8" w:rsidRPr="00990A38" w:rsidRDefault="004E64A8" w:rsidP="004E64A8">
      <w:pPr>
        <w:pStyle w:val="Prrafodelista"/>
        <w:tabs>
          <w:tab w:val="left" w:pos="7230"/>
          <w:tab w:val="left" w:pos="7797"/>
        </w:tabs>
        <w:ind w:left="1080" w:right="49"/>
        <w:rPr>
          <w:sz w:val="20"/>
          <w:szCs w:val="20"/>
        </w:rPr>
      </w:pPr>
    </w:p>
    <w:p w14:paraId="4EC7B11A" w14:textId="77777777" w:rsidR="004E64A8" w:rsidRPr="00990A38" w:rsidRDefault="004E64A8" w:rsidP="004E64A8">
      <w:pPr>
        <w:pStyle w:val="Prrafodelista"/>
        <w:widowControl/>
        <w:autoSpaceDE/>
        <w:autoSpaceDN/>
        <w:ind w:left="0"/>
        <w:contextualSpacing/>
        <w:rPr>
          <w:b/>
          <w:sz w:val="20"/>
          <w:szCs w:val="20"/>
        </w:rPr>
      </w:pPr>
      <w:r w:rsidRPr="00990A38">
        <w:rPr>
          <w:b/>
          <w:sz w:val="20"/>
          <w:szCs w:val="20"/>
        </w:rPr>
        <w:t>LA CORTE,</w:t>
      </w:r>
    </w:p>
    <w:p w14:paraId="5DE21918" w14:textId="77777777" w:rsidR="004E64A8" w:rsidRPr="00990A38" w:rsidRDefault="004E64A8" w:rsidP="004E64A8">
      <w:pPr>
        <w:pStyle w:val="Prrafodelista"/>
        <w:widowControl/>
        <w:autoSpaceDE/>
        <w:autoSpaceDN/>
        <w:ind w:left="0"/>
        <w:contextualSpacing/>
        <w:rPr>
          <w:b/>
          <w:sz w:val="20"/>
          <w:szCs w:val="20"/>
        </w:rPr>
      </w:pPr>
    </w:p>
    <w:p w14:paraId="45E9A814" w14:textId="77777777" w:rsidR="004E64A8" w:rsidRPr="00990A38" w:rsidRDefault="004E64A8" w:rsidP="004E64A8">
      <w:pPr>
        <w:jc w:val="both"/>
        <w:rPr>
          <w:sz w:val="20"/>
          <w:szCs w:val="20"/>
        </w:rPr>
      </w:pPr>
      <w:r w:rsidRPr="00990A38">
        <w:rPr>
          <w:sz w:val="20"/>
          <w:szCs w:val="20"/>
        </w:rPr>
        <w:t xml:space="preserve">Por unanimidad, </w:t>
      </w:r>
    </w:p>
    <w:p w14:paraId="2FE1D27F" w14:textId="77777777" w:rsidR="004E64A8" w:rsidRPr="00990A38" w:rsidRDefault="004E64A8" w:rsidP="004E64A8">
      <w:pPr>
        <w:pStyle w:val="Prrafodelista"/>
        <w:widowControl/>
        <w:autoSpaceDE/>
        <w:autoSpaceDN/>
        <w:ind w:left="0"/>
        <w:contextualSpacing/>
        <w:rPr>
          <w:b/>
          <w:sz w:val="20"/>
          <w:szCs w:val="20"/>
        </w:rPr>
      </w:pPr>
    </w:p>
    <w:p w14:paraId="055513B4" w14:textId="77777777" w:rsidR="004E64A8" w:rsidRPr="00990A38" w:rsidRDefault="004E64A8" w:rsidP="004E64A8">
      <w:pPr>
        <w:pStyle w:val="Prrafodelista"/>
        <w:widowControl/>
        <w:autoSpaceDE/>
        <w:autoSpaceDN/>
        <w:ind w:left="0"/>
        <w:contextualSpacing/>
        <w:rPr>
          <w:b/>
          <w:sz w:val="20"/>
          <w:szCs w:val="20"/>
        </w:rPr>
      </w:pPr>
      <w:r w:rsidRPr="00990A38">
        <w:rPr>
          <w:b/>
          <w:sz w:val="20"/>
          <w:szCs w:val="20"/>
        </w:rPr>
        <w:t xml:space="preserve">DECIDE, </w:t>
      </w:r>
    </w:p>
    <w:p w14:paraId="2BE19165" w14:textId="77777777" w:rsidR="004E64A8" w:rsidRPr="00990A38" w:rsidRDefault="004E64A8" w:rsidP="004E64A8">
      <w:pPr>
        <w:jc w:val="both"/>
        <w:rPr>
          <w:sz w:val="20"/>
          <w:szCs w:val="20"/>
        </w:rPr>
      </w:pPr>
    </w:p>
    <w:p w14:paraId="0793A198" w14:textId="77777777" w:rsidR="004E64A8" w:rsidRPr="00990A38" w:rsidRDefault="004E64A8" w:rsidP="004E64A8">
      <w:pPr>
        <w:pStyle w:val="Prrafodelista"/>
        <w:numPr>
          <w:ilvl w:val="0"/>
          <w:numId w:val="26"/>
        </w:numPr>
        <w:ind w:left="0" w:firstLine="0"/>
        <w:rPr>
          <w:sz w:val="20"/>
          <w:szCs w:val="20"/>
        </w:rPr>
      </w:pPr>
      <w:r w:rsidRPr="00990A38">
        <w:rPr>
          <w:sz w:val="20"/>
          <w:szCs w:val="20"/>
        </w:rPr>
        <w:t>Aceptar el reconocimiento de responsabilidad internacional efectuado por el Estado, en los términos de los párrafos 18 a 34 de la presente Sentencia.</w:t>
      </w:r>
    </w:p>
    <w:p w14:paraId="45AAE5C9" w14:textId="77777777" w:rsidR="004E64A8" w:rsidRPr="00990A38" w:rsidRDefault="004E64A8" w:rsidP="004E64A8">
      <w:pPr>
        <w:pStyle w:val="Prrafodelista"/>
        <w:ind w:left="0"/>
        <w:rPr>
          <w:sz w:val="20"/>
          <w:szCs w:val="20"/>
        </w:rPr>
      </w:pPr>
    </w:p>
    <w:p w14:paraId="483E383F" w14:textId="0C32BD82" w:rsidR="004E64A8" w:rsidRPr="00990A38" w:rsidRDefault="004E64A8" w:rsidP="004E64A8">
      <w:pPr>
        <w:pStyle w:val="Prrafodelista"/>
        <w:ind w:left="0"/>
        <w:rPr>
          <w:b/>
          <w:sz w:val="20"/>
          <w:szCs w:val="20"/>
        </w:rPr>
      </w:pPr>
      <w:r w:rsidRPr="00990A38">
        <w:rPr>
          <w:b/>
          <w:sz w:val="20"/>
          <w:szCs w:val="20"/>
        </w:rPr>
        <w:t>DECLARA</w:t>
      </w:r>
      <w:r w:rsidR="00FC6F68" w:rsidRPr="00990A38">
        <w:rPr>
          <w:b/>
          <w:sz w:val="20"/>
          <w:szCs w:val="20"/>
        </w:rPr>
        <w:t xml:space="preserve"> QUE</w:t>
      </w:r>
      <w:r w:rsidRPr="00990A38">
        <w:rPr>
          <w:b/>
          <w:sz w:val="20"/>
          <w:szCs w:val="20"/>
        </w:rPr>
        <w:t xml:space="preserve">, </w:t>
      </w:r>
    </w:p>
    <w:p w14:paraId="160095C4" w14:textId="77777777" w:rsidR="004E64A8" w:rsidRPr="00990A38" w:rsidRDefault="004E64A8" w:rsidP="004E64A8">
      <w:pPr>
        <w:jc w:val="both"/>
        <w:rPr>
          <w:sz w:val="20"/>
          <w:szCs w:val="20"/>
        </w:rPr>
      </w:pPr>
    </w:p>
    <w:p w14:paraId="2F7E419E" w14:textId="77777777" w:rsidR="004E64A8" w:rsidRPr="00990A38" w:rsidRDefault="004E64A8" w:rsidP="004E64A8">
      <w:pPr>
        <w:pStyle w:val="Prrafodelista"/>
        <w:numPr>
          <w:ilvl w:val="0"/>
          <w:numId w:val="26"/>
        </w:numPr>
        <w:ind w:left="0" w:firstLine="0"/>
        <w:rPr>
          <w:sz w:val="20"/>
          <w:szCs w:val="20"/>
        </w:rPr>
      </w:pPr>
      <w:r w:rsidRPr="00990A38">
        <w:rPr>
          <w:sz w:val="20"/>
          <w:szCs w:val="20"/>
        </w:rPr>
        <w:t xml:space="preserve">El Estado es responsable por la violación del derecho a la libertad personal, contenido en el artículo 7 de la Convención Americana sobre Derechos Humanos, en sus numerales 1, 2, 3, 4 y 5, en relación con la obligación de respetar los derechos sin discriminación, que surge del artículo 1.1 del mismo tratado, en perjuicio de Jimmy Rafael Guerrero Meléndez, en los términos de los párrafos 91 a 99 y 102 a 110 de la presente Sentencia. </w:t>
      </w:r>
    </w:p>
    <w:p w14:paraId="19A813D5" w14:textId="77777777" w:rsidR="004E64A8" w:rsidRPr="00990A38" w:rsidRDefault="004E64A8" w:rsidP="004E64A8">
      <w:pPr>
        <w:pStyle w:val="Prrafodelista"/>
        <w:ind w:left="0"/>
        <w:rPr>
          <w:sz w:val="20"/>
          <w:szCs w:val="20"/>
        </w:rPr>
      </w:pPr>
    </w:p>
    <w:p w14:paraId="600D8627" w14:textId="3EFD8FB7" w:rsidR="004E64A8" w:rsidRPr="00990A38" w:rsidRDefault="004E64A8" w:rsidP="004E64A8">
      <w:pPr>
        <w:pStyle w:val="Prrafodelista"/>
        <w:numPr>
          <w:ilvl w:val="0"/>
          <w:numId w:val="26"/>
        </w:numPr>
        <w:ind w:left="0" w:firstLine="0"/>
        <w:rPr>
          <w:sz w:val="20"/>
          <w:szCs w:val="20"/>
        </w:rPr>
      </w:pPr>
      <w:r w:rsidRPr="00990A38">
        <w:rPr>
          <w:sz w:val="20"/>
          <w:szCs w:val="20"/>
        </w:rPr>
        <w:t>El Estado</w:t>
      </w:r>
      <w:r w:rsidR="00D12B26" w:rsidRPr="00990A38">
        <w:rPr>
          <w:sz w:val="20"/>
          <w:szCs w:val="20"/>
        </w:rPr>
        <w:t xml:space="preserve"> </w:t>
      </w:r>
      <w:r w:rsidRPr="00990A38">
        <w:rPr>
          <w:sz w:val="20"/>
          <w:szCs w:val="20"/>
        </w:rPr>
        <w:t xml:space="preserve">es responsable por la violación del derecho a </w:t>
      </w:r>
      <w:r w:rsidR="00FE5759" w:rsidRPr="00990A38">
        <w:rPr>
          <w:sz w:val="20"/>
          <w:szCs w:val="20"/>
        </w:rPr>
        <w:t>la integridad personal, establecid</w:t>
      </w:r>
      <w:r w:rsidRPr="00990A38">
        <w:rPr>
          <w:sz w:val="20"/>
          <w:szCs w:val="20"/>
        </w:rPr>
        <w:t xml:space="preserve">o en el artículo 5 de la Convención Americana sobre Derechos Humanos, en sus numerales 1 y 2, en relación con la obligación de respetar los derechos sin discriminación, que surge del artículo 1.1 del mismo tratado y con las obligaciones establecidas en los artículos 1 y 6 de la Convención </w:t>
      </w:r>
      <w:r w:rsidR="00E74A7C" w:rsidRPr="00990A38">
        <w:rPr>
          <w:sz w:val="20"/>
          <w:szCs w:val="20"/>
        </w:rPr>
        <w:t>Intera</w:t>
      </w:r>
      <w:r w:rsidRPr="00990A38">
        <w:rPr>
          <w:sz w:val="20"/>
          <w:szCs w:val="20"/>
        </w:rPr>
        <w:t xml:space="preserve">mericana para Prevenir y Sancionar la Tortura, </w:t>
      </w:r>
      <w:r w:rsidR="00D12B26" w:rsidRPr="00990A38">
        <w:rPr>
          <w:sz w:val="20"/>
          <w:szCs w:val="20"/>
        </w:rPr>
        <w:t xml:space="preserve">así como por la violación del mismo artículo 5.1, en relación la obligación de respetar los derechos sin discriminación, que surge del artículo 1.1 </w:t>
      </w:r>
      <w:r w:rsidR="000D1B78" w:rsidRPr="00990A38">
        <w:rPr>
          <w:sz w:val="20"/>
          <w:szCs w:val="20"/>
        </w:rPr>
        <w:t>indicado</w:t>
      </w:r>
      <w:r w:rsidR="00D12B26" w:rsidRPr="00990A38">
        <w:rPr>
          <w:sz w:val="20"/>
          <w:szCs w:val="20"/>
        </w:rPr>
        <w:t xml:space="preserve">, </w:t>
      </w:r>
      <w:r w:rsidRPr="00990A38">
        <w:rPr>
          <w:sz w:val="20"/>
          <w:szCs w:val="20"/>
        </w:rPr>
        <w:t xml:space="preserve">en perjuicio de Jimmy Rafael Guerrero Meléndez, </w:t>
      </w:r>
      <w:r w:rsidR="00D12B26" w:rsidRPr="00990A38">
        <w:rPr>
          <w:sz w:val="20"/>
          <w:szCs w:val="20"/>
        </w:rPr>
        <w:t xml:space="preserve">por los hechos de 17 de febrero y </w:t>
      </w:r>
      <w:r w:rsidR="000D1B78" w:rsidRPr="00990A38">
        <w:rPr>
          <w:sz w:val="20"/>
          <w:szCs w:val="20"/>
        </w:rPr>
        <w:t xml:space="preserve">30 de marzo de 2003, respectivamente, </w:t>
      </w:r>
      <w:r w:rsidRPr="00990A38">
        <w:rPr>
          <w:sz w:val="20"/>
          <w:szCs w:val="20"/>
        </w:rPr>
        <w:t>en los términos de los párrafos</w:t>
      </w:r>
      <w:r w:rsidR="00D12B26" w:rsidRPr="00990A38">
        <w:rPr>
          <w:sz w:val="20"/>
          <w:szCs w:val="20"/>
        </w:rPr>
        <w:t xml:space="preserve"> 91 a 99</w:t>
      </w:r>
      <w:r w:rsidR="000D1B78" w:rsidRPr="00990A38">
        <w:rPr>
          <w:sz w:val="20"/>
          <w:szCs w:val="20"/>
        </w:rPr>
        <w:t>,</w:t>
      </w:r>
      <w:r w:rsidR="00D12B26" w:rsidRPr="00990A38">
        <w:rPr>
          <w:sz w:val="20"/>
          <w:szCs w:val="20"/>
        </w:rPr>
        <w:t xml:space="preserve"> </w:t>
      </w:r>
      <w:r w:rsidRPr="00990A38">
        <w:rPr>
          <w:sz w:val="20"/>
          <w:szCs w:val="20"/>
        </w:rPr>
        <w:t>112 a 119 y 127 y 128 de la presente Sentencia.</w:t>
      </w:r>
    </w:p>
    <w:p w14:paraId="01E073B8" w14:textId="77777777" w:rsidR="004E64A8" w:rsidRPr="00990A38" w:rsidRDefault="004E64A8" w:rsidP="004E64A8">
      <w:pPr>
        <w:pStyle w:val="Prrafodelista"/>
        <w:rPr>
          <w:sz w:val="20"/>
          <w:szCs w:val="20"/>
        </w:rPr>
      </w:pPr>
    </w:p>
    <w:p w14:paraId="1AC3FC63" w14:textId="77777777" w:rsidR="004E64A8" w:rsidRPr="00990A38" w:rsidRDefault="004E64A8" w:rsidP="004E64A8">
      <w:pPr>
        <w:pStyle w:val="Prrafodelista"/>
        <w:numPr>
          <w:ilvl w:val="0"/>
          <w:numId w:val="26"/>
        </w:numPr>
        <w:ind w:left="0" w:firstLine="0"/>
        <w:rPr>
          <w:sz w:val="20"/>
          <w:szCs w:val="20"/>
        </w:rPr>
      </w:pPr>
      <w:r w:rsidRPr="00990A38">
        <w:rPr>
          <w:sz w:val="20"/>
          <w:szCs w:val="20"/>
        </w:rPr>
        <w:t xml:space="preserve">El Estado es responsable por la violación del derecho a la vida, reconocido en el artículo 4.1 de la Convención Americana sobre Derechos Humanos, en relación con las obligaciones de respetar y garantizar los derechos sin discriminación que surgen de su artículo 1.1, en perjuicio de Jimmy Rafael Guerrero Meléndez, en los términos de los párrafos 32 y 91 a 99 de la presente Sentencia. </w:t>
      </w:r>
    </w:p>
    <w:p w14:paraId="6BB631B0" w14:textId="77777777" w:rsidR="004E64A8" w:rsidRPr="00990A38" w:rsidRDefault="004E64A8" w:rsidP="004E64A8">
      <w:pPr>
        <w:pStyle w:val="Prrafodelista"/>
        <w:rPr>
          <w:sz w:val="20"/>
          <w:szCs w:val="20"/>
        </w:rPr>
      </w:pPr>
    </w:p>
    <w:p w14:paraId="479D27F8" w14:textId="24770141" w:rsidR="004E64A8" w:rsidRPr="00990A38" w:rsidRDefault="004E64A8" w:rsidP="004E64A8">
      <w:pPr>
        <w:pStyle w:val="Prrafodelista"/>
        <w:numPr>
          <w:ilvl w:val="0"/>
          <w:numId w:val="26"/>
        </w:numPr>
        <w:ind w:left="0" w:firstLine="0"/>
        <w:rPr>
          <w:sz w:val="20"/>
          <w:szCs w:val="20"/>
        </w:rPr>
      </w:pPr>
      <w:r w:rsidRPr="00990A38">
        <w:rPr>
          <w:sz w:val="20"/>
          <w:szCs w:val="20"/>
        </w:rPr>
        <w:t>El Estado es responsable por la violación del derecho a la vida, reconocido en el artículo 4.1 de la Convención Americana sobre Derechos Humanos, en relación con la obligación de respetar los derechos</w:t>
      </w:r>
      <w:r w:rsidR="000D1B78" w:rsidRPr="00990A38">
        <w:rPr>
          <w:sz w:val="20"/>
          <w:szCs w:val="20"/>
        </w:rPr>
        <w:t xml:space="preserve"> que surge de su artículo 1.1</w:t>
      </w:r>
      <w:r w:rsidRPr="00990A38">
        <w:rPr>
          <w:sz w:val="20"/>
          <w:szCs w:val="20"/>
        </w:rPr>
        <w:t xml:space="preserve">, en perjuicio de Ramón Antonio Molina Pérez, en los términos del párrafo 32 de la presente Sentencia. </w:t>
      </w:r>
    </w:p>
    <w:p w14:paraId="731338D2" w14:textId="77777777" w:rsidR="004E64A8" w:rsidRPr="00990A38" w:rsidRDefault="004E64A8" w:rsidP="004E64A8">
      <w:pPr>
        <w:pStyle w:val="Prrafodelista"/>
        <w:rPr>
          <w:sz w:val="20"/>
          <w:szCs w:val="20"/>
        </w:rPr>
      </w:pPr>
    </w:p>
    <w:p w14:paraId="4377C76D" w14:textId="711F0FF9" w:rsidR="004E64A8" w:rsidRPr="00990A38" w:rsidRDefault="004E64A8" w:rsidP="004E64A8">
      <w:pPr>
        <w:pStyle w:val="Prrafodelista"/>
        <w:numPr>
          <w:ilvl w:val="0"/>
          <w:numId w:val="26"/>
        </w:numPr>
        <w:ind w:left="0" w:firstLine="0"/>
        <w:rPr>
          <w:sz w:val="20"/>
          <w:szCs w:val="20"/>
        </w:rPr>
      </w:pPr>
      <w:r w:rsidRPr="00990A38">
        <w:rPr>
          <w:sz w:val="20"/>
          <w:szCs w:val="20"/>
        </w:rPr>
        <w:t xml:space="preserve">El Estado es responsable por la violación de los derechos a las garantías judiciales y a la protección judicial, reconocidos en los artículos 8.1 y 25.1 de la Convención Americana sobre Derechos Humanos, en relación con su artículo 1.1 y con los artículos 1, 6 y 8 de la Convención </w:t>
      </w:r>
      <w:r w:rsidR="00E74A7C" w:rsidRPr="00990A38">
        <w:rPr>
          <w:sz w:val="20"/>
          <w:szCs w:val="20"/>
        </w:rPr>
        <w:t>Intera</w:t>
      </w:r>
      <w:r w:rsidRPr="00990A38">
        <w:rPr>
          <w:sz w:val="20"/>
          <w:szCs w:val="20"/>
        </w:rPr>
        <w:t xml:space="preserve">mericana para Prevenir y Sancionar la Tortura, en perjuicio de Jimmy Rafael Guerrero Meléndez y sus familiares y los familiares de Ramón Antonio Molina Pérez, en los términos de los párrafos 91 a 99 y 136 a 162 de la presente Sentencia. </w:t>
      </w:r>
    </w:p>
    <w:p w14:paraId="652A733E" w14:textId="77777777" w:rsidR="004E64A8" w:rsidRPr="00990A38" w:rsidRDefault="004E64A8" w:rsidP="004E64A8">
      <w:pPr>
        <w:pStyle w:val="Prrafodelista"/>
        <w:rPr>
          <w:sz w:val="20"/>
          <w:szCs w:val="20"/>
        </w:rPr>
      </w:pPr>
    </w:p>
    <w:p w14:paraId="2893F8C7" w14:textId="75BD23C7" w:rsidR="004E64A8" w:rsidRPr="00990A38" w:rsidRDefault="004E64A8" w:rsidP="004E64A8">
      <w:pPr>
        <w:pStyle w:val="Prrafodelista"/>
        <w:numPr>
          <w:ilvl w:val="0"/>
          <w:numId w:val="26"/>
        </w:numPr>
        <w:ind w:left="0" w:firstLine="0"/>
        <w:rPr>
          <w:sz w:val="20"/>
          <w:szCs w:val="20"/>
        </w:rPr>
      </w:pPr>
      <w:r w:rsidRPr="00990A38">
        <w:rPr>
          <w:sz w:val="20"/>
          <w:szCs w:val="20"/>
        </w:rPr>
        <w:lastRenderedPageBreak/>
        <w:t xml:space="preserve">El Estado es responsable por la violación </w:t>
      </w:r>
      <w:r w:rsidR="008521B7" w:rsidRPr="00990A38">
        <w:rPr>
          <w:sz w:val="20"/>
          <w:szCs w:val="20"/>
        </w:rPr>
        <w:t>de</w:t>
      </w:r>
      <w:r w:rsidRPr="00990A38">
        <w:rPr>
          <w:sz w:val="20"/>
          <w:szCs w:val="20"/>
        </w:rPr>
        <w:t>l derecho a l</w:t>
      </w:r>
      <w:r w:rsidR="008D1A79" w:rsidRPr="00990A38">
        <w:rPr>
          <w:sz w:val="20"/>
          <w:szCs w:val="20"/>
        </w:rPr>
        <w:t>a integridad personal, establecido</w:t>
      </w:r>
      <w:r w:rsidRPr="00990A38">
        <w:rPr>
          <w:sz w:val="20"/>
          <w:szCs w:val="20"/>
        </w:rPr>
        <w:t xml:space="preserve"> en el artículo 5.1 de la Convención Americana sobre Derechos Humanos, en relación con su artículo 1.1, en perjuicio de los familiares de Jimmy Rafael Guerrero Meléndez y de Ramón Antonio Molina Pérez, en los términos de</w:t>
      </w:r>
      <w:r w:rsidR="00E41A5E" w:rsidRPr="00990A38">
        <w:rPr>
          <w:sz w:val="20"/>
          <w:szCs w:val="20"/>
        </w:rPr>
        <w:t xml:space="preserve"> </w:t>
      </w:r>
      <w:r w:rsidRPr="00990A38">
        <w:rPr>
          <w:sz w:val="20"/>
          <w:szCs w:val="20"/>
        </w:rPr>
        <w:t>l</w:t>
      </w:r>
      <w:r w:rsidR="00E41A5E" w:rsidRPr="00990A38">
        <w:rPr>
          <w:sz w:val="20"/>
          <w:szCs w:val="20"/>
        </w:rPr>
        <w:t>oa</w:t>
      </w:r>
      <w:r w:rsidRPr="00990A38">
        <w:rPr>
          <w:sz w:val="20"/>
          <w:szCs w:val="20"/>
        </w:rPr>
        <w:t xml:space="preserve"> párrafo</w:t>
      </w:r>
      <w:r w:rsidR="00E41A5E" w:rsidRPr="00990A38">
        <w:rPr>
          <w:sz w:val="20"/>
          <w:szCs w:val="20"/>
        </w:rPr>
        <w:t>s</w:t>
      </w:r>
      <w:r w:rsidRPr="00990A38">
        <w:rPr>
          <w:sz w:val="20"/>
          <w:szCs w:val="20"/>
        </w:rPr>
        <w:t xml:space="preserve"> 32</w:t>
      </w:r>
      <w:r w:rsidR="00E41A5E" w:rsidRPr="00990A38">
        <w:rPr>
          <w:sz w:val="20"/>
          <w:szCs w:val="20"/>
        </w:rPr>
        <w:t>, 127 y 128</w:t>
      </w:r>
      <w:r w:rsidRPr="00990A38">
        <w:rPr>
          <w:sz w:val="20"/>
          <w:szCs w:val="20"/>
        </w:rPr>
        <w:t xml:space="preserve"> de la presente Sentencia. </w:t>
      </w:r>
    </w:p>
    <w:p w14:paraId="4FBBA94F" w14:textId="77777777" w:rsidR="004E64A8" w:rsidRPr="00990A38" w:rsidRDefault="004E64A8" w:rsidP="004E64A8">
      <w:pPr>
        <w:pStyle w:val="Prrafodelista"/>
        <w:ind w:left="0"/>
        <w:rPr>
          <w:sz w:val="20"/>
          <w:szCs w:val="20"/>
        </w:rPr>
      </w:pPr>
    </w:p>
    <w:p w14:paraId="6D5B0C52" w14:textId="0AFAEEDE" w:rsidR="004E64A8" w:rsidRPr="00990A38" w:rsidRDefault="004E64A8" w:rsidP="004E64A8">
      <w:pPr>
        <w:pStyle w:val="Prrafodelista"/>
        <w:numPr>
          <w:ilvl w:val="0"/>
          <w:numId w:val="26"/>
        </w:numPr>
        <w:ind w:left="0" w:firstLine="0"/>
        <w:rPr>
          <w:sz w:val="20"/>
          <w:szCs w:val="20"/>
        </w:rPr>
      </w:pPr>
      <w:r w:rsidRPr="00990A38">
        <w:rPr>
          <w:sz w:val="20"/>
          <w:szCs w:val="20"/>
        </w:rPr>
        <w:t>El Estado no es responsable por la violación al derecho a la integridad personal, reconocido en el artículo 5 de la Convención Americana</w:t>
      </w:r>
      <w:r w:rsidR="00854ED7">
        <w:rPr>
          <w:sz w:val="20"/>
          <w:szCs w:val="20"/>
        </w:rPr>
        <w:t>,</w:t>
      </w:r>
      <w:r w:rsidRPr="00990A38">
        <w:rPr>
          <w:sz w:val="20"/>
          <w:szCs w:val="20"/>
        </w:rPr>
        <w:t xml:space="preserve"> en perjuicio de Ramón Antonio Molina Pérez; tampoco es responsable, en relación con los hechos de 30 de marzo de 2003, por la violación de</w:t>
      </w:r>
      <w:r w:rsidR="00D12B26" w:rsidRPr="00990A38">
        <w:rPr>
          <w:sz w:val="20"/>
          <w:szCs w:val="20"/>
        </w:rPr>
        <w:t>l numeral 2 de</w:t>
      </w:r>
      <w:r w:rsidRPr="00990A38">
        <w:rPr>
          <w:sz w:val="20"/>
          <w:szCs w:val="20"/>
        </w:rPr>
        <w:t xml:space="preserve"> dicho artículo, ni de los artículos 1 y 6 de la Convención Interamericana para Prevenir y Sancionar la Tortura, en perjuicio de Jimmy Rafael Guerrero Meléndez, en los términos de los párrafos 125, 126 y 129 de la presente Sentencia. </w:t>
      </w:r>
    </w:p>
    <w:p w14:paraId="58F490B6" w14:textId="77777777" w:rsidR="004E64A8" w:rsidRPr="00E462F4" w:rsidRDefault="004E64A8" w:rsidP="004E64A8">
      <w:pPr>
        <w:pStyle w:val="Prrafodelista"/>
        <w:ind w:left="0"/>
        <w:rPr>
          <w:sz w:val="20"/>
          <w:szCs w:val="20"/>
        </w:rPr>
      </w:pPr>
    </w:p>
    <w:p w14:paraId="396077C0" w14:textId="77777777" w:rsidR="004E64A8" w:rsidRPr="00E462F4" w:rsidRDefault="004E64A8" w:rsidP="004E64A8">
      <w:pPr>
        <w:pStyle w:val="Prrafodelista"/>
        <w:ind w:left="0"/>
        <w:rPr>
          <w:b/>
          <w:sz w:val="20"/>
          <w:szCs w:val="20"/>
        </w:rPr>
      </w:pPr>
      <w:r w:rsidRPr="00E462F4">
        <w:rPr>
          <w:b/>
          <w:sz w:val="20"/>
          <w:szCs w:val="20"/>
        </w:rPr>
        <w:t xml:space="preserve">Y DISPONE: </w:t>
      </w:r>
    </w:p>
    <w:p w14:paraId="44DECE3A" w14:textId="77777777" w:rsidR="004E64A8" w:rsidRPr="00E462F4" w:rsidRDefault="004E64A8" w:rsidP="004E64A8">
      <w:pPr>
        <w:pStyle w:val="Prrafodelista"/>
        <w:ind w:left="0"/>
        <w:rPr>
          <w:sz w:val="20"/>
          <w:szCs w:val="20"/>
        </w:rPr>
      </w:pPr>
    </w:p>
    <w:p w14:paraId="329A59DE" w14:textId="77777777" w:rsidR="004E64A8" w:rsidRPr="00E462F4" w:rsidRDefault="004E64A8" w:rsidP="004E64A8">
      <w:pPr>
        <w:pStyle w:val="Prrafodelista"/>
        <w:numPr>
          <w:ilvl w:val="0"/>
          <w:numId w:val="26"/>
        </w:numPr>
        <w:ind w:left="0" w:firstLine="0"/>
        <w:rPr>
          <w:sz w:val="20"/>
          <w:szCs w:val="20"/>
        </w:rPr>
      </w:pPr>
      <w:r w:rsidRPr="00E462F4">
        <w:rPr>
          <w:sz w:val="20"/>
          <w:szCs w:val="20"/>
        </w:rPr>
        <w:t xml:space="preserve">Esta Sentencia es por sí misma una forma de reparación. </w:t>
      </w:r>
    </w:p>
    <w:p w14:paraId="66766879" w14:textId="77777777" w:rsidR="004E64A8" w:rsidRPr="00E462F4" w:rsidRDefault="004E64A8" w:rsidP="004E64A8">
      <w:pPr>
        <w:pStyle w:val="Prrafodelista"/>
        <w:ind w:left="0"/>
        <w:rPr>
          <w:sz w:val="20"/>
          <w:szCs w:val="20"/>
        </w:rPr>
      </w:pPr>
    </w:p>
    <w:p w14:paraId="6792C717" w14:textId="3B3CC9E6" w:rsidR="004E64A8" w:rsidRPr="00E462F4" w:rsidRDefault="004E64A8" w:rsidP="004E64A8">
      <w:pPr>
        <w:pStyle w:val="Prrafodelista"/>
        <w:numPr>
          <w:ilvl w:val="0"/>
          <w:numId w:val="26"/>
        </w:numPr>
        <w:ind w:left="0" w:firstLine="0"/>
        <w:rPr>
          <w:sz w:val="20"/>
          <w:szCs w:val="20"/>
        </w:rPr>
      </w:pPr>
      <w:r w:rsidRPr="00E462F4">
        <w:rPr>
          <w:sz w:val="20"/>
          <w:szCs w:val="20"/>
        </w:rPr>
        <w:t xml:space="preserve">El Estado </w:t>
      </w:r>
      <w:r w:rsidRPr="00E462F4">
        <w:rPr>
          <w:sz w:val="20"/>
          <w:szCs w:val="20"/>
          <w:lang w:val="es-GT"/>
        </w:rPr>
        <w:t xml:space="preserve">llevará a cabo las investigaciones y procesos penales correspondientes para investigar los hechos del caso, en los términos del párrafo </w:t>
      </w:r>
      <w:r>
        <w:rPr>
          <w:sz w:val="20"/>
          <w:szCs w:val="20"/>
          <w:lang w:val="es-GT"/>
        </w:rPr>
        <w:t>16</w:t>
      </w:r>
      <w:r w:rsidR="000D1B78">
        <w:rPr>
          <w:sz w:val="20"/>
          <w:szCs w:val="20"/>
          <w:lang w:val="es-GT"/>
        </w:rPr>
        <w:t>9</w:t>
      </w:r>
      <w:r w:rsidRPr="00E462F4">
        <w:rPr>
          <w:sz w:val="20"/>
          <w:szCs w:val="20"/>
          <w:lang w:val="es-GT"/>
        </w:rPr>
        <w:t xml:space="preserve"> de la presente Sentencia. </w:t>
      </w:r>
    </w:p>
    <w:p w14:paraId="04ECB518" w14:textId="77777777" w:rsidR="004E64A8" w:rsidRPr="00E462F4" w:rsidRDefault="004E64A8" w:rsidP="004E64A8">
      <w:pPr>
        <w:pStyle w:val="Prrafodelista"/>
        <w:ind w:left="0"/>
        <w:rPr>
          <w:sz w:val="20"/>
          <w:szCs w:val="20"/>
        </w:rPr>
      </w:pPr>
    </w:p>
    <w:p w14:paraId="07EC173D" w14:textId="4B220BC0" w:rsidR="004E64A8" w:rsidRPr="00E462F4" w:rsidRDefault="004E64A8" w:rsidP="004E64A8">
      <w:pPr>
        <w:pStyle w:val="Prrafodelista"/>
        <w:numPr>
          <w:ilvl w:val="0"/>
          <w:numId w:val="26"/>
        </w:numPr>
        <w:ind w:left="0" w:firstLine="0"/>
        <w:rPr>
          <w:sz w:val="20"/>
          <w:szCs w:val="20"/>
        </w:rPr>
      </w:pPr>
      <w:r w:rsidRPr="00E462F4">
        <w:rPr>
          <w:sz w:val="20"/>
          <w:szCs w:val="20"/>
        </w:rPr>
        <w:t xml:space="preserve">El </w:t>
      </w:r>
      <w:r w:rsidRPr="00E462F4">
        <w:rPr>
          <w:rFonts w:cs="Times New Roman"/>
          <w:sz w:val="20"/>
          <w:szCs w:val="20"/>
        </w:rPr>
        <w:t xml:space="preserve">Estado llevará a cabo los procedimientos pertinentes tendientes a determinar las eventuales responsabilidades disciplinarias o administrativas por los hechos del caso, en los términos del párrafo </w:t>
      </w:r>
      <w:r>
        <w:rPr>
          <w:rFonts w:cs="Times New Roman"/>
          <w:sz w:val="20"/>
          <w:szCs w:val="20"/>
        </w:rPr>
        <w:t>1</w:t>
      </w:r>
      <w:r w:rsidR="000D1B78">
        <w:rPr>
          <w:rFonts w:cs="Times New Roman"/>
          <w:sz w:val="20"/>
          <w:szCs w:val="20"/>
        </w:rPr>
        <w:t>70</w:t>
      </w:r>
      <w:r>
        <w:rPr>
          <w:rFonts w:cs="Times New Roman"/>
          <w:sz w:val="20"/>
          <w:szCs w:val="20"/>
        </w:rPr>
        <w:t xml:space="preserve"> </w:t>
      </w:r>
      <w:r w:rsidRPr="00E462F4">
        <w:rPr>
          <w:rFonts w:cs="Times New Roman"/>
          <w:sz w:val="20"/>
          <w:szCs w:val="20"/>
        </w:rPr>
        <w:t xml:space="preserve">de la presente Sentencia. </w:t>
      </w:r>
    </w:p>
    <w:p w14:paraId="07443783" w14:textId="77777777" w:rsidR="004E64A8" w:rsidRDefault="004E64A8" w:rsidP="004E64A8">
      <w:pPr>
        <w:rPr>
          <w:sz w:val="20"/>
          <w:szCs w:val="20"/>
        </w:rPr>
      </w:pPr>
    </w:p>
    <w:p w14:paraId="5F12407B" w14:textId="484BF30E" w:rsidR="004E64A8" w:rsidRPr="008E0108" w:rsidRDefault="004E64A8" w:rsidP="004E64A8">
      <w:pPr>
        <w:pStyle w:val="Prrafodelista"/>
        <w:numPr>
          <w:ilvl w:val="0"/>
          <w:numId w:val="26"/>
        </w:numPr>
        <w:ind w:left="0" w:firstLine="0"/>
        <w:rPr>
          <w:sz w:val="20"/>
          <w:szCs w:val="20"/>
        </w:rPr>
      </w:pPr>
      <w:r w:rsidRPr="008E0108">
        <w:rPr>
          <w:sz w:val="20"/>
          <w:szCs w:val="20"/>
        </w:rPr>
        <w:t xml:space="preserve">El Estado pagará las sumas destinadas para brindar tratamiento psicológico y/o psiquiátrico a las personas familiares de los señores Jimmy </w:t>
      </w:r>
      <w:r w:rsidR="00A246FF">
        <w:rPr>
          <w:sz w:val="20"/>
          <w:szCs w:val="20"/>
        </w:rPr>
        <w:t xml:space="preserve">Rafael </w:t>
      </w:r>
      <w:r w:rsidRPr="008E0108">
        <w:rPr>
          <w:sz w:val="20"/>
          <w:szCs w:val="20"/>
        </w:rPr>
        <w:t>Guerrero</w:t>
      </w:r>
      <w:r w:rsidR="00A246FF">
        <w:rPr>
          <w:sz w:val="20"/>
          <w:szCs w:val="20"/>
        </w:rPr>
        <w:t xml:space="preserve"> Meléndez</w:t>
      </w:r>
      <w:r w:rsidRPr="008E0108">
        <w:rPr>
          <w:sz w:val="20"/>
          <w:szCs w:val="20"/>
        </w:rPr>
        <w:t xml:space="preserve"> y Ramón </w:t>
      </w:r>
      <w:r w:rsidR="00A246FF">
        <w:rPr>
          <w:sz w:val="20"/>
          <w:szCs w:val="20"/>
        </w:rPr>
        <w:t xml:space="preserve">Antonio </w:t>
      </w:r>
      <w:r w:rsidRPr="008E0108">
        <w:rPr>
          <w:sz w:val="20"/>
          <w:szCs w:val="20"/>
        </w:rPr>
        <w:t>Molina</w:t>
      </w:r>
      <w:r w:rsidR="00A246FF">
        <w:rPr>
          <w:sz w:val="20"/>
          <w:szCs w:val="20"/>
        </w:rPr>
        <w:t xml:space="preserve"> Pérez</w:t>
      </w:r>
      <w:r w:rsidRPr="008E0108">
        <w:rPr>
          <w:sz w:val="20"/>
          <w:szCs w:val="20"/>
        </w:rPr>
        <w:t xml:space="preserve"> declaradas víctimas en la presente Sentencia, en los términos de</w:t>
      </w:r>
      <w:r>
        <w:rPr>
          <w:sz w:val="20"/>
          <w:szCs w:val="20"/>
        </w:rPr>
        <w:t xml:space="preserve"> </w:t>
      </w:r>
      <w:r w:rsidRPr="008E0108">
        <w:rPr>
          <w:sz w:val="20"/>
          <w:szCs w:val="20"/>
        </w:rPr>
        <w:t>l</w:t>
      </w:r>
      <w:r>
        <w:rPr>
          <w:sz w:val="20"/>
          <w:szCs w:val="20"/>
        </w:rPr>
        <w:t>os</w:t>
      </w:r>
      <w:r w:rsidRPr="008E0108">
        <w:rPr>
          <w:sz w:val="20"/>
          <w:szCs w:val="20"/>
        </w:rPr>
        <w:t xml:space="preserve"> párrafo</w:t>
      </w:r>
      <w:r>
        <w:rPr>
          <w:sz w:val="20"/>
          <w:szCs w:val="20"/>
        </w:rPr>
        <w:t>s</w:t>
      </w:r>
      <w:r w:rsidRPr="008E0108">
        <w:rPr>
          <w:sz w:val="20"/>
          <w:szCs w:val="20"/>
        </w:rPr>
        <w:t xml:space="preserve"> </w:t>
      </w:r>
      <w:r>
        <w:rPr>
          <w:sz w:val="20"/>
          <w:szCs w:val="20"/>
        </w:rPr>
        <w:t>172 y 190</w:t>
      </w:r>
      <w:r w:rsidRPr="008E0108">
        <w:rPr>
          <w:sz w:val="20"/>
          <w:szCs w:val="20"/>
        </w:rPr>
        <w:t xml:space="preserve"> de la misma. </w:t>
      </w:r>
    </w:p>
    <w:p w14:paraId="5A4088BF" w14:textId="77777777" w:rsidR="004E64A8" w:rsidRPr="00E462F4" w:rsidRDefault="004E64A8" w:rsidP="004E64A8">
      <w:pPr>
        <w:rPr>
          <w:sz w:val="20"/>
          <w:szCs w:val="20"/>
        </w:rPr>
      </w:pPr>
    </w:p>
    <w:p w14:paraId="78CAEDF6" w14:textId="77777777" w:rsidR="004E64A8" w:rsidRPr="00E462F4" w:rsidRDefault="004E64A8" w:rsidP="004E64A8">
      <w:pPr>
        <w:pStyle w:val="Prrafodelista"/>
        <w:numPr>
          <w:ilvl w:val="0"/>
          <w:numId w:val="26"/>
        </w:numPr>
        <w:ind w:left="0" w:firstLine="0"/>
        <w:rPr>
          <w:sz w:val="20"/>
          <w:szCs w:val="20"/>
        </w:rPr>
      </w:pPr>
      <w:r w:rsidRPr="00E462F4">
        <w:rPr>
          <w:sz w:val="20"/>
          <w:szCs w:val="20"/>
        </w:rPr>
        <w:t xml:space="preserve">El Estado realizará las publicaciones indicadas en el párrafo </w:t>
      </w:r>
      <w:r>
        <w:rPr>
          <w:sz w:val="20"/>
          <w:szCs w:val="20"/>
        </w:rPr>
        <w:t xml:space="preserve">174 </w:t>
      </w:r>
      <w:r w:rsidRPr="00E462F4">
        <w:rPr>
          <w:sz w:val="20"/>
          <w:szCs w:val="20"/>
        </w:rPr>
        <w:t xml:space="preserve">de esta Sentencia, en el plazo de seis meses contado a partir de la notificación de </w:t>
      </w:r>
      <w:proofErr w:type="gramStart"/>
      <w:r w:rsidRPr="00E462F4">
        <w:rPr>
          <w:sz w:val="20"/>
          <w:szCs w:val="20"/>
        </w:rPr>
        <w:t>la misma</w:t>
      </w:r>
      <w:proofErr w:type="gramEnd"/>
      <w:r w:rsidRPr="00E462F4">
        <w:rPr>
          <w:sz w:val="20"/>
          <w:szCs w:val="20"/>
        </w:rPr>
        <w:t>.</w:t>
      </w:r>
    </w:p>
    <w:p w14:paraId="1C17E9C2" w14:textId="77777777" w:rsidR="004E64A8" w:rsidRPr="00E462F4" w:rsidRDefault="004E64A8" w:rsidP="004E64A8">
      <w:pPr>
        <w:rPr>
          <w:sz w:val="20"/>
          <w:szCs w:val="20"/>
        </w:rPr>
      </w:pPr>
    </w:p>
    <w:p w14:paraId="5C6F86D3" w14:textId="70C294BC" w:rsidR="004E64A8" w:rsidRPr="008E0108" w:rsidRDefault="004E64A8" w:rsidP="004E64A8">
      <w:pPr>
        <w:pStyle w:val="Prrafodelista"/>
        <w:numPr>
          <w:ilvl w:val="0"/>
          <w:numId w:val="26"/>
        </w:numPr>
        <w:ind w:left="0" w:firstLine="0"/>
        <w:rPr>
          <w:sz w:val="20"/>
          <w:szCs w:val="20"/>
        </w:rPr>
      </w:pPr>
      <w:r w:rsidRPr="008E0108">
        <w:rPr>
          <w:sz w:val="20"/>
          <w:szCs w:val="20"/>
        </w:rPr>
        <w:t xml:space="preserve">El Estado otorgará becas de estudio a los hijos de los señores Jimmy </w:t>
      </w:r>
      <w:r w:rsidR="00A246FF">
        <w:rPr>
          <w:sz w:val="20"/>
          <w:szCs w:val="20"/>
        </w:rPr>
        <w:t xml:space="preserve">Rafael </w:t>
      </w:r>
      <w:r w:rsidRPr="008E0108">
        <w:rPr>
          <w:sz w:val="20"/>
          <w:szCs w:val="20"/>
        </w:rPr>
        <w:t>Guerrero</w:t>
      </w:r>
      <w:r w:rsidR="00A246FF">
        <w:rPr>
          <w:sz w:val="20"/>
          <w:szCs w:val="20"/>
        </w:rPr>
        <w:t xml:space="preserve"> Meléndez</w:t>
      </w:r>
      <w:r w:rsidRPr="008E0108">
        <w:rPr>
          <w:sz w:val="20"/>
          <w:szCs w:val="20"/>
        </w:rPr>
        <w:t xml:space="preserve"> y Ramón </w:t>
      </w:r>
      <w:r w:rsidR="00A246FF">
        <w:rPr>
          <w:sz w:val="20"/>
          <w:szCs w:val="20"/>
        </w:rPr>
        <w:t xml:space="preserve">Antonio </w:t>
      </w:r>
      <w:r w:rsidRPr="008E0108">
        <w:rPr>
          <w:sz w:val="20"/>
          <w:szCs w:val="20"/>
        </w:rPr>
        <w:t>Molina</w:t>
      </w:r>
      <w:r w:rsidR="00A246FF">
        <w:rPr>
          <w:sz w:val="20"/>
          <w:szCs w:val="20"/>
        </w:rPr>
        <w:t xml:space="preserve"> Pérez</w:t>
      </w:r>
      <w:r w:rsidRPr="008E0108">
        <w:rPr>
          <w:sz w:val="20"/>
          <w:szCs w:val="20"/>
        </w:rPr>
        <w:t xml:space="preserve"> declarados víctimas en la presente Sentencia, de conformidad con lo establecido en los párrafos </w:t>
      </w:r>
      <w:r>
        <w:rPr>
          <w:sz w:val="20"/>
          <w:szCs w:val="20"/>
        </w:rPr>
        <w:t>175</w:t>
      </w:r>
      <w:r w:rsidRPr="008E0108">
        <w:rPr>
          <w:sz w:val="20"/>
          <w:szCs w:val="20"/>
        </w:rPr>
        <w:t xml:space="preserve"> y </w:t>
      </w:r>
      <w:r>
        <w:rPr>
          <w:sz w:val="20"/>
          <w:szCs w:val="20"/>
        </w:rPr>
        <w:t>176</w:t>
      </w:r>
      <w:r w:rsidRPr="008E0108">
        <w:rPr>
          <w:sz w:val="20"/>
          <w:szCs w:val="20"/>
        </w:rPr>
        <w:t xml:space="preserve"> de la misma.</w:t>
      </w:r>
    </w:p>
    <w:p w14:paraId="3D943434" w14:textId="77777777" w:rsidR="004E64A8" w:rsidRDefault="004E64A8" w:rsidP="004E64A8">
      <w:pPr>
        <w:pStyle w:val="Prrafodelista"/>
        <w:ind w:left="0"/>
        <w:rPr>
          <w:sz w:val="20"/>
          <w:szCs w:val="20"/>
        </w:rPr>
      </w:pPr>
    </w:p>
    <w:p w14:paraId="79A389C7" w14:textId="77777777" w:rsidR="004E64A8" w:rsidRPr="00432941" w:rsidRDefault="004E64A8" w:rsidP="004E64A8">
      <w:pPr>
        <w:pStyle w:val="Prrafodelista"/>
        <w:numPr>
          <w:ilvl w:val="0"/>
          <w:numId w:val="26"/>
        </w:numPr>
        <w:ind w:left="0" w:hanging="11"/>
        <w:rPr>
          <w:sz w:val="20"/>
          <w:szCs w:val="20"/>
        </w:rPr>
      </w:pPr>
      <w:r>
        <w:rPr>
          <w:sz w:val="20"/>
          <w:szCs w:val="20"/>
        </w:rPr>
        <w:t xml:space="preserve">El Estado realizará acciones para la </w:t>
      </w:r>
      <w:r w:rsidRPr="00432941">
        <w:rPr>
          <w:sz w:val="20"/>
          <w:szCs w:val="20"/>
        </w:rPr>
        <w:t>capacitación y sensibilización de funcionarios policiales del Estado Falcón, en los términos del párrafo</w:t>
      </w:r>
      <w:r>
        <w:rPr>
          <w:sz w:val="20"/>
          <w:szCs w:val="20"/>
        </w:rPr>
        <w:t xml:space="preserve"> 181</w:t>
      </w:r>
      <w:r w:rsidRPr="00432941">
        <w:rPr>
          <w:sz w:val="20"/>
          <w:szCs w:val="20"/>
        </w:rPr>
        <w:t xml:space="preserve"> de la presente Sentencia. </w:t>
      </w:r>
    </w:p>
    <w:p w14:paraId="11E97DCC" w14:textId="77777777" w:rsidR="004E64A8" w:rsidRPr="00542071" w:rsidRDefault="004E64A8" w:rsidP="004E64A8">
      <w:pPr>
        <w:pStyle w:val="Prrafodelista"/>
        <w:ind w:left="0"/>
        <w:rPr>
          <w:sz w:val="16"/>
          <w:szCs w:val="16"/>
        </w:rPr>
      </w:pPr>
    </w:p>
    <w:p w14:paraId="458BC12B" w14:textId="18644755" w:rsidR="004E64A8" w:rsidRPr="008E0108" w:rsidRDefault="004E64A8" w:rsidP="004E64A8">
      <w:pPr>
        <w:pStyle w:val="Prrafodelista"/>
        <w:numPr>
          <w:ilvl w:val="0"/>
          <w:numId w:val="26"/>
        </w:numPr>
        <w:ind w:left="0" w:firstLine="0"/>
        <w:rPr>
          <w:sz w:val="16"/>
          <w:szCs w:val="16"/>
        </w:rPr>
      </w:pPr>
      <w:r w:rsidRPr="008E0108">
        <w:rPr>
          <w:sz w:val="20"/>
          <w:szCs w:val="20"/>
        </w:rPr>
        <w:t xml:space="preserve">El Estado publicará anualmente un informe oficial con los datos relativos a las </w:t>
      </w:r>
      <w:r w:rsidR="006244E4" w:rsidRPr="00542071">
        <w:rPr>
          <w:rFonts w:cs="Times New Roman"/>
          <w:sz w:val="20"/>
          <w:szCs w:val="20"/>
        </w:rPr>
        <w:t xml:space="preserve">muertes producidas </w:t>
      </w:r>
      <w:r w:rsidR="006244E4" w:rsidRPr="006244E4">
        <w:rPr>
          <w:rFonts w:cs="Times New Roman"/>
          <w:sz w:val="20"/>
          <w:szCs w:val="20"/>
        </w:rPr>
        <w:t xml:space="preserve">por </w:t>
      </w:r>
      <w:r w:rsidR="006244E4">
        <w:rPr>
          <w:rFonts w:cs="Times New Roman"/>
          <w:sz w:val="20"/>
          <w:szCs w:val="20"/>
        </w:rPr>
        <w:t xml:space="preserve">parte de fuerzas </w:t>
      </w:r>
      <w:r w:rsidRPr="008E0108">
        <w:rPr>
          <w:sz w:val="20"/>
          <w:szCs w:val="20"/>
        </w:rPr>
        <w:t xml:space="preserve">policiales en todos los estados del país. Dicho informe debe también contener información actualizada anualmente sobre las investigaciones realizadas respecto a cada incidente resultante en la muerte de un civil o de un integrante de fuerzas policiales, en los términos dispuestos en el párrafo </w:t>
      </w:r>
      <w:r>
        <w:rPr>
          <w:sz w:val="20"/>
          <w:szCs w:val="20"/>
        </w:rPr>
        <w:t>183</w:t>
      </w:r>
      <w:r w:rsidRPr="008E0108">
        <w:rPr>
          <w:sz w:val="20"/>
          <w:szCs w:val="20"/>
        </w:rPr>
        <w:t xml:space="preserve"> de la presente Sentencia</w:t>
      </w:r>
      <w:r w:rsidRPr="008E0108">
        <w:rPr>
          <w:sz w:val="16"/>
          <w:szCs w:val="16"/>
        </w:rPr>
        <w:t>.</w:t>
      </w:r>
    </w:p>
    <w:p w14:paraId="1D7E6218" w14:textId="77777777" w:rsidR="004E64A8" w:rsidRDefault="004E64A8" w:rsidP="004E64A8">
      <w:pPr>
        <w:pStyle w:val="Prrafodelista"/>
        <w:ind w:left="0"/>
        <w:rPr>
          <w:sz w:val="20"/>
          <w:szCs w:val="20"/>
        </w:rPr>
      </w:pPr>
    </w:p>
    <w:p w14:paraId="1485F389" w14:textId="77777777" w:rsidR="004E64A8" w:rsidRPr="00E462F4" w:rsidRDefault="004E64A8" w:rsidP="004E64A8">
      <w:pPr>
        <w:pStyle w:val="Prrafodelista"/>
        <w:numPr>
          <w:ilvl w:val="0"/>
          <w:numId w:val="26"/>
        </w:numPr>
        <w:ind w:left="0" w:firstLine="0"/>
        <w:rPr>
          <w:sz w:val="20"/>
          <w:szCs w:val="20"/>
        </w:rPr>
      </w:pPr>
      <w:r w:rsidRPr="00E462F4">
        <w:rPr>
          <w:sz w:val="20"/>
          <w:szCs w:val="20"/>
        </w:rPr>
        <w:t xml:space="preserve">El Estado pagará las cantidades fijadas en los párrafos </w:t>
      </w:r>
      <w:r>
        <w:rPr>
          <w:sz w:val="20"/>
          <w:szCs w:val="20"/>
        </w:rPr>
        <w:t>188</w:t>
      </w:r>
      <w:r w:rsidRPr="00E462F4">
        <w:rPr>
          <w:sz w:val="20"/>
          <w:szCs w:val="20"/>
        </w:rPr>
        <w:t xml:space="preserve"> y </w:t>
      </w:r>
      <w:r>
        <w:rPr>
          <w:sz w:val="20"/>
          <w:szCs w:val="20"/>
        </w:rPr>
        <w:t>193</w:t>
      </w:r>
      <w:r w:rsidRPr="00E462F4">
        <w:rPr>
          <w:sz w:val="20"/>
          <w:szCs w:val="20"/>
        </w:rPr>
        <w:t xml:space="preserve"> de la presente Sentencia, por concepto de daño material e inmaterial y costas y gastos, en los términos de los párrafos</w:t>
      </w:r>
      <w:r>
        <w:rPr>
          <w:sz w:val="20"/>
          <w:szCs w:val="20"/>
        </w:rPr>
        <w:t xml:space="preserve"> 189 y 198 a 203</w:t>
      </w:r>
      <w:r w:rsidRPr="00E462F4">
        <w:rPr>
          <w:sz w:val="20"/>
          <w:szCs w:val="20"/>
        </w:rPr>
        <w:t xml:space="preserve"> de la presente Sentencia. </w:t>
      </w:r>
    </w:p>
    <w:p w14:paraId="71DC86D0" w14:textId="77777777" w:rsidR="004E64A8" w:rsidRPr="00E462F4" w:rsidRDefault="004E64A8" w:rsidP="004E64A8">
      <w:pPr>
        <w:pStyle w:val="Prrafodelista"/>
        <w:rPr>
          <w:sz w:val="20"/>
          <w:szCs w:val="20"/>
        </w:rPr>
      </w:pPr>
    </w:p>
    <w:p w14:paraId="342CD4AC" w14:textId="3151EB69" w:rsidR="004E64A8" w:rsidRPr="00E462F4" w:rsidRDefault="004E64A8" w:rsidP="004E64A8">
      <w:pPr>
        <w:pStyle w:val="Prrafodelista"/>
        <w:numPr>
          <w:ilvl w:val="0"/>
          <w:numId w:val="26"/>
        </w:numPr>
        <w:ind w:left="0" w:firstLine="0"/>
        <w:rPr>
          <w:sz w:val="20"/>
          <w:szCs w:val="20"/>
        </w:rPr>
      </w:pPr>
      <w:r w:rsidRPr="00E462F4">
        <w:rPr>
          <w:sz w:val="20"/>
          <w:szCs w:val="20"/>
        </w:rPr>
        <w:t xml:space="preserve">El Estado reintegrará al Fondo de Asistencia Legal de Víctimas de la Corte </w:t>
      </w:r>
      <w:r w:rsidRPr="00E462F4">
        <w:rPr>
          <w:sz w:val="20"/>
          <w:szCs w:val="20"/>
        </w:rPr>
        <w:lastRenderedPageBreak/>
        <w:t>Interamericana de Derechos Humanos la cantidad erogada durante la tramitación del presente caso, en los términos de</w:t>
      </w:r>
      <w:r w:rsidR="00E52025">
        <w:rPr>
          <w:sz w:val="20"/>
          <w:szCs w:val="20"/>
        </w:rPr>
        <w:t xml:space="preserve"> </w:t>
      </w:r>
      <w:r w:rsidRPr="00E462F4">
        <w:rPr>
          <w:sz w:val="20"/>
          <w:szCs w:val="20"/>
        </w:rPr>
        <w:t>l</w:t>
      </w:r>
      <w:r w:rsidR="00E52025">
        <w:rPr>
          <w:sz w:val="20"/>
          <w:szCs w:val="20"/>
        </w:rPr>
        <w:t>os</w:t>
      </w:r>
      <w:r w:rsidRPr="00E462F4">
        <w:rPr>
          <w:sz w:val="20"/>
          <w:szCs w:val="20"/>
        </w:rPr>
        <w:t xml:space="preserve"> párrafo</w:t>
      </w:r>
      <w:r w:rsidR="00E52025">
        <w:rPr>
          <w:sz w:val="20"/>
          <w:szCs w:val="20"/>
        </w:rPr>
        <w:t>s</w:t>
      </w:r>
      <w:r w:rsidRPr="00E462F4">
        <w:rPr>
          <w:sz w:val="20"/>
          <w:szCs w:val="20"/>
        </w:rPr>
        <w:t xml:space="preserve"> </w:t>
      </w:r>
      <w:r>
        <w:rPr>
          <w:sz w:val="20"/>
          <w:szCs w:val="20"/>
        </w:rPr>
        <w:t>196</w:t>
      </w:r>
      <w:r w:rsidR="00E52025">
        <w:rPr>
          <w:sz w:val="20"/>
          <w:szCs w:val="20"/>
        </w:rPr>
        <w:t xml:space="preserve"> y 203</w:t>
      </w:r>
      <w:r w:rsidRPr="00E462F4">
        <w:rPr>
          <w:sz w:val="20"/>
          <w:szCs w:val="20"/>
        </w:rPr>
        <w:t xml:space="preserve"> de la presente Sentencia</w:t>
      </w:r>
    </w:p>
    <w:p w14:paraId="36E78EBF" w14:textId="77777777" w:rsidR="004E64A8" w:rsidRPr="00E462F4" w:rsidRDefault="004E64A8" w:rsidP="004E64A8">
      <w:pPr>
        <w:pStyle w:val="Prrafodelista"/>
        <w:rPr>
          <w:sz w:val="20"/>
          <w:szCs w:val="20"/>
        </w:rPr>
      </w:pPr>
    </w:p>
    <w:p w14:paraId="6C5BFB11" w14:textId="77777777" w:rsidR="004E64A8" w:rsidRPr="00E462F4" w:rsidRDefault="004E64A8" w:rsidP="004E64A8">
      <w:pPr>
        <w:pStyle w:val="Prrafodelista"/>
        <w:numPr>
          <w:ilvl w:val="0"/>
          <w:numId w:val="26"/>
        </w:numPr>
        <w:ind w:left="0" w:firstLine="0"/>
        <w:rPr>
          <w:sz w:val="20"/>
          <w:szCs w:val="20"/>
        </w:rPr>
      </w:pPr>
      <w:r w:rsidRPr="00E462F4">
        <w:rPr>
          <w:sz w:val="20"/>
          <w:szCs w:val="20"/>
        </w:rPr>
        <w:t xml:space="preserve">El Estado rendirá al Tribunal un informe, dentro del plazo de un año contado a partir de la notificación de la Sentencia, sobre las medidas adoptadas para cumplir con la misma, sin perjuicio de lo establecido en el párrafo </w:t>
      </w:r>
      <w:r>
        <w:rPr>
          <w:sz w:val="20"/>
          <w:szCs w:val="20"/>
        </w:rPr>
        <w:t>174</w:t>
      </w:r>
      <w:r w:rsidRPr="00E462F4">
        <w:rPr>
          <w:sz w:val="20"/>
          <w:szCs w:val="20"/>
        </w:rPr>
        <w:t xml:space="preserve"> de la presente Sentencia.</w:t>
      </w:r>
    </w:p>
    <w:p w14:paraId="1FBBB888" w14:textId="77777777" w:rsidR="004E64A8" w:rsidRPr="00E462F4" w:rsidRDefault="004E64A8" w:rsidP="004E64A8">
      <w:pPr>
        <w:pStyle w:val="Prrafodelista"/>
        <w:rPr>
          <w:sz w:val="20"/>
          <w:szCs w:val="20"/>
        </w:rPr>
      </w:pPr>
    </w:p>
    <w:p w14:paraId="7FA30EE5" w14:textId="77777777" w:rsidR="004E64A8" w:rsidRPr="00E462F4" w:rsidRDefault="004E64A8" w:rsidP="004E64A8">
      <w:pPr>
        <w:pStyle w:val="Prrafodelista"/>
        <w:numPr>
          <w:ilvl w:val="0"/>
          <w:numId w:val="26"/>
        </w:numPr>
        <w:ind w:left="0" w:firstLine="0"/>
        <w:rPr>
          <w:sz w:val="20"/>
          <w:szCs w:val="20"/>
        </w:rPr>
      </w:pPr>
      <w:r w:rsidRPr="00E462F4">
        <w:rPr>
          <w:sz w:val="20"/>
          <w:szCs w:val="20"/>
        </w:rPr>
        <w:t xml:space="preserve">La Corte supervisará el cumplimiento íntegro de la Sentencia, en ejercicio de sus atribuciones y en cumplimiento de sus deberes conforme a la Convención Americana sobre Derechos Humanos, y dará por concluido el presente caso una vez que el Estado haya dado cabal cumplimiento a lo dispuesto en la misma. </w:t>
      </w:r>
    </w:p>
    <w:p w14:paraId="2D7F7110" w14:textId="77777777" w:rsidR="004E64A8" w:rsidRPr="00E462F4" w:rsidRDefault="004E64A8" w:rsidP="004E64A8">
      <w:pPr>
        <w:pStyle w:val="Prrafodelista"/>
        <w:rPr>
          <w:sz w:val="20"/>
          <w:szCs w:val="20"/>
        </w:rPr>
      </w:pPr>
    </w:p>
    <w:p w14:paraId="548342E8" w14:textId="77777777" w:rsidR="00BD1F6E" w:rsidRDefault="004E64A8" w:rsidP="004E64A8">
      <w:pPr>
        <w:pStyle w:val="Prrafodelista"/>
        <w:ind w:left="0"/>
        <w:rPr>
          <w:sz w:val="20"/>
          <w:szCs w:val="20"/>
        </w:rPr>
        <w:sectPr w:rsidR="00BD1F6E">
          <w:pgSz w:w="12240" w:h="15840"/>
          <w:pgMar w:top="1417" w:right="1701" w:bottom="1417" w:left="1701" w:header="708" w:footer="708" w:gutter="0"/>
          <w:cols w:space="708"/>
          <w:docGrid w:linePitch="360"/>
        </w:sectPr>
      </w:pPr>
      <w:r w:rsidRPr="00E462F4">
        <w:rPr>
          <w:sz w:val="20"/>
          <w:szCs w:val="20"/>
        </w:rPr>
        <w:t xml:space="preserve">Redactada en español en San José, Costa Rica, el </w:t>
      </w:r>
      <w:r>
        <w:rPr>
          <w:sz w:val="20"/>
          <w:szCs w:val="20"/>
        </w:rPr>
        <w:t>3</w:t>
      </w:r>
      <w:r w:rsidRPr="002C039E">
        <w:rPr>
          <w:sz w:val="20"/>
          <w:szCs w:val="20"/>
        </w:rPr>
        <w:t xml:space="preserve"> de junio de 2021.</w:t>
      </w:r>
    </w:p>
    <w:p w14:paraId="6741F684" w14:textId="77777777" w:rsidR="00BD1F6E" w:rsidRPr="002D12F9" w:rsidRDefault="00BD1F6E" w:rsidP="00BD1F6E">
      <w:r w:rsidRPr="00A60D1F">
        <w:lastRenderedPageBreak/>
        <w:t xml:space="preserve">Corte IDH. </w:t>
      </w:r>
      <w:r w:rsidRPr="00A60D1F">
        <w:rPr>
          <w:i/>
        </w:rPr>
        <w:t xml:space="preserve">Caso </w:t>
      </w:r>
      <w:r w:rsidRPr="00A60D1F">
        <w:rPr>
          <w:i/>
          <w:iCs/>
          <w:lang w:val="es-CR"/>
        </w:rPr>
        <w:t>Guerrero, Molina y otros Vs. Venezuela</w:t>
      </w:r>
      <w:r w:rsidRPr="00A60D1F">
        <w:rPr>
          <w:iCs/>
          <w:lang w:val="es-CR"/>
        </w:rPr>
        <w:t xml:space="preserve">. </w:t>
      </w:r>
      <w:r w:rsidRPr="00A60D1F">
        <w:t>Fondo, Reparaciones y Costas. Sentencia de 3 de junio de 2021.</w:t>
      </w:r>
    </w:p>
    <w:p w14:paraId="689B0F9A" w14:textId="77777777" w:rsidR="00BD1F6E" w:rsidRDefault="00BD1F6E" w:rsidP="00BD1F6E">
      <w:pPr>
        <w:rPr>
          <w:szCs w:val="20"/>
        </w:rPr>
      </w:pPr>
    </w:p>
    <w:p w14:paraId="1FB26522" w14:textId="77777777" w:rsidR="00BD1F6E" w:rsidRDefault="00BD1F6E" w:rsidP="00BD1F6E">
      <w:pPr>
        <w:jc w:val="center"/>
        <w:rPr>
          <w:lang w:val="pt-BR"/>
        </w:rPr>
      </w:pPr>
    </w:p>
    <w:p w14:paraId="0941ED5A" w14:textId="77777777" w:rsidR="00BD1F6E" w:rsidRDefault="00BD1F6E" w:rsidP="00BD1F6E">
      <w:pPr>
        <w:jc w:val="center"/>
        <w:rPr>
          <w:lang w:val="pt-BR"/>
        </w:rPr>
      </w:pPr>
    </w:p>
    <w:p w14:paraId="413B5349" w14:textId="77777777" w:rsidR="00BD1F6E" w:rsidRDefault="00BD1F6E" w:rsidP="00BD1F6E">
      <w:pPr>
        <w:jc w:val="center"/>
        <w:rPr>
          <w:lang w:val="pt-BR"/>
        </w:rPr>
      </w:pPr>
    </w:p>
    <w:p w14:paraId="1BF6FD33" w14:textId="77777777" w:rsidR="00BD1F6E" w:rsidRDefault="00BD1F6E" w:rsidP="00BD1F6E">
      <w:pPr>
        <w:tabs>
          <w:tab w:val="left" w:pos="2027"/>
        </w:tabs>
        <w:rPr>
          <w:lang w:val="pt-BR"/>
        </w:rPr>
      </w:pPr>
      <w:r>
        <w:rPr>
          <w:lang w:val="pt-BR"/>
        </w:rPr>
        <w:tab/>
      </w:r>
    </w:p>
    <w:p w14:paraId="6D5C53A8" w14:textId="77777777" w:rsidR="00BD1F6E" w:rsidRDefault="00BD1F6E" w:rsidP="00BD1F6E">
      <w:pPr>
        <w:jc w:val="center"/>
        <w:rPr>
          <w:lang w:val="pt-BR"/>
        </w:rPr>
      </w:pPr>
      <w:r>
        <w:rPr>
          <w:lang w:val="pt-BR"/>
        </w:rPr>
        <w:t xml:space="preserve">Elizabeth </w:t>
      </w:r>
      <w:proofErr w:type="spellStart"/>
      <w:r>
        <w:rPr>
          <w:lang w:val="pt-BR"/>
        </w:rPr>
        <w:t>Odio</w:t>
      </w:r>
      <w:proofErr w:type="spellEnd"/>
      <w:r>
        <w:rPr>
          <w:lang w:val="pt-BR"/>
        </w:rPr>
        <w:t xml:space="preserve"> Benito</w:t>
      </w:r>
    </w:p>
    <w:p w14:paraId="0A0254D6" w14:textId="77777777" w:rsidR="00BD1F6E" w:rsidRDefault="00BD1F6E" w:rsidP="00BD1F6E">
      <w:pPr>
        <w:jc w:val="center"/>
        <w:rPr>
          <w:lang w:val="pt-BR"/>
        </w:rPr>
      </w:pPr>
      <w:r>
        <w:rPr>
          <w:lang w:val="pt-BR"/>
        </w:rPr>
        <w:t>Presidenta</w:t>
      </w:r>
    </w:p>
    <w:p w14:paraId="167D5283" w14:textId="77777777" w:rsidR="00BD1F6E" w:rsidRDefault="00BD1F6E" w:rsidP="00BD1F6E">
      <w:pPr>
        <w:jc w:val="center"/>
        <w:rPr>
          <w:lang w:val="pt-BR"/>
        </w:rPr>
      </w:pPr>
    </w:p>
    <w:p w14:paraId="60D32AFA" w14:textId="77777777" w:rsidR="00BD1F6E" w:rsidRDefault="00BD1F6E" w:rsidP="00BD1F6E">
      <w:pPr>
        <w:jc w:val="center"/>
        <w:rPr>
          <w:lang w:val="pt-BR"/>
        </w:rPr>
      </w:pPr>
    </w:p>
    <w:p w14:paraId="2024AC49" w14:textId="77777777" w:rsidR="00BD1F6E" w:rsidRDefault="00BD1F6E" w:rsidP="00BD1F6E">
      <w:pPr>
        <w:ind w:firstLine="720"/>
        <w:rPr>
          <w:lang w:val="pt-BR"/>
        </w:rPr>
      </w:pPr>
    </w:p>
    <w:p w14:paraId="39F242D6" w14:textId="77777777" w:rsidR="00BD1F6E" w:rsidRDefault="00BD1F6E" w:rsidP="00BD1F6E">
      <w:pPr>
        <w:rPr>
          <w:lang w:val="pt-BR"/>
        </w:rPr>
      </w:pPr>
    </w:p>
    <w:p w14:paraId="1DFAEF2D" w14:textId="6CAF4584" w:rsidR="00BD1F6E" w:rsidRDefault="00BD1F6E" w:rsidP="00BD1F6E">
      <w:pPr>
        <w:rPr>
          <w:lang w:val="pt-BR"/>
        </w:rPr>
      </w:pPr>
      <w:r>
        <w:rPr>
          <w:lang w:val="pt-BR"/>
        </w:rPr>
        <w:t xml:space="preserve">L. </w:t>
      </w:r>
      <w:proofErr w:type="spellStart"/>
      <w:r>
        <w:rPr>
          <w:lang w:val="pt-BR"/>
        </w:rPr>
        <w:t>Patricio</w:t>
      </w:r>
      <w:proofErr w:type="spellEnd"/>
      <w:r>
        <w:rPr>
          <w:lang w:val="pt-BR"/>
        </w:rPr>
        <w:t xml:space="preserve"> </w:t>
      </w:r>
      <w:proofErr w:type="spellStart"/>
      <w:r>
        <w:rPr>
          <w:lang w:val="pt-BR"/>
        </w:rPr>
        <w:t>Pazmiño</w:t>
      </w:r>
      <w:proofErr w:type="spellEnd"/>
      <w:r>
        <w:rPr>
          <w:lang w:val="pt-BR"/>
        </w:rPr>
        <w:t xml:space="preserve"> Frei</w:t>
      </w:r>
      <w:r w:rsidRPr="0019261A">
        <w:rPr>
          <w:lang w:val="pt-BR"/>
        </w:rPr>
        <w:t>re</w:t>
      </w:r>
      <w:r>
        <w:rPr>
          <w:lang w:val="pt-BR"/>
        </w:rPr>
        <w:tab/>
      </w:r>
      <w:r>
        <w:rPr>
          <w:lang w:val="pt-BR"/>
        </w:rPr>
        <w:tab/>
      </w:r>
      <w:r>
        <w:rPr>
          <w:lang w:val="pt-BR"/>
        </w:rPr>
        <w:tab/>
      </w:r>
      <w:r>
        <w:rPr>
          <w:lang w:val="pt-BR"/>
        </w:rPr>
        <w:tab/>
      </w:r>
      <w:r>
        <w:rPr>
          <w:lang w:val="pt-BR"/>
        </w:rPr>
        <w:tab/>
      </w:r>
      <w:r>
        <w:rPr>
          <w:lang w:val="pt-BR"/>
        </w:rPr>
        <w:tab/>
        <w:t>Eduardo Vio Grossi</w:t>
      </w:r>
    </w:p>
    <w:p w14:paraId="3EB6463F" w14:textId="77777777" w:rsidR="00BD1F6E" w:rsidRDefault="00BD1F6E" w:rsidP="00BD1F6E">
      <w:pPr>
        <w:rPr>
          <w:lang w:val="pt-BR"/>
        </w:rPr>
      </w:pPr>
    </w:p>
    <w:p w14:paraId="4B673977" w14:textId="77777777" w:rsidR="00BD1F6E" w:rsidRDefault="00BD1F6E" w:rsidP="00BD1F6E">
      <w:pPr>
        <w:rPr>
          <w:lang w:val="pt-BR"/>
        </w:rPr>
      </w:pPr>
    </w:p>
    <w:p w14:paraId="52145F93" w14:textId="77777777" w:rsidR="00BD1F6E" w:rsidRDefault="00BD1F6E" w:rsidP="00BD1F6E">
      <w:pPr>
        <w:rPr>
          <w:lang w:val="pt-BR"/>
        </w:rPr>
      </w:pPr>
    </w:p>
    <w:p w14:paraId="00A59792" w14:textId="77777777" w:rsidR="00BD1F6E" w:rsidRDefault="00BD1F6E" w:rsidP="00BD1F6E">
      <w:pPr>
        <w:rPr>
          <w:lang w:val="pt-BR"/>
        </w:rPr>
      </w:pPr>
    </w:p>
    <w:p w14:paraId="6BB473DC" w14:textId="77777777" w:rsidR="00BD1F6E" w:rsidRDefault="00BD1F6E" w:rsidP="00BD1F6E">
      <w:pPr>
        <w:rPr>
          <w:lang w:val="pt-BR"/>
        </w:rPr>
      </w:pPr>
    </w:p>
    <w:p w14:paraId="04CDA521" w14:textId="52FC8B24" w:rsidR="00BD1F6E" w:rsidRDefault="00BD1F6E" w:rsidP="00BD1F6E">
      <w:pPr>
        <w:rPr>
          <w:lang w:val="pt-BR"/>
        </w:rPr>
      </w:pPr>
      <w:r>
        <w:rPr>
          <w:lang w:val="pt-BR"/>
        </w:rPr>
        <w:t xml:space="preserve">Eduardo Ferrer </w:t>
      </w:r>
      <w:proofErr w:type="spellStart"/>
      <w:r>
        <w:rPr>
          <w:lang w:val="pt-BR"/>
        </w:rPr>
        <w:t>Mac-Gregor</w:t>
      </w:r>
      <w:proofErr w:type="spellEnd"/>
      <w:r>
        <w:rPr>
          <w:lang w:val="pt-BR"/>
        </w:rPr>
        <w:t xml:space="preserve"> Poisot</w:t>
      </w:r>
      <w:r w:rsidRPr="0019261A">
        <w:rPr>
          <w:lang w:val="pt-BR"/>
        </w:rPr>
        <w:tab/>
      </w:r>
      <w:r>
        <w:rPr>
          <w:lang w:val="pt-BR"/>
        </w:rPr>
        <w:t xml:space="preserve">                          Eugenio </w:t>
      </w:r>
      <w:proofErr w:type="spellStart"/>
      <w:r>
        <w:rPr>
          <w:lang w:val="pt-BR"/>
        </w:rPr>
        <w:t>Raúl</w:t>
      </w:r>
      <w:proofErr w:type="spellEnd"/>
      <w:r>
        <w:rPr>
          <w:lang w:val="pt-BR"/>
        </w:rPr>
        <w:t xml:space="preserve"> </w:t>
      </w:r>
      <w:proofErr w:type="spellStart"/>
      <w:r>
        <w:rPr>
          <w:lang w:val="pt-BR"/>
        </w:rPr>
        <w:t>Zaffaroni</w:t>
      </w:r>
      <w:proofErr w:type="spellEnd"/>
      <w:r>
        <w:rPr>
          <w:lang w:val="pt-BR"/>
        </w:rPr>
        <w:tab/>
      </w:r>
      <w:r>
        <w:rPr>
          <w:lang w:val="pt-BR"/>
        </w:rPr>
        <w:tab/>
      </w:r>
      <w:r>
        <w:rPr>
          <w:lang w:val="pt-BR"/>
        </w:rPr>
        <w:tab/>
        <w:t xml:space="preserve">                                 </w:t>
      </w:r>
    </w:p>
    <w:p w14:paraId="604498B6" w14:textId="77777777" w:rsidR="00BD1F6E" w:rsidRDefault="00BD1F6E" w:rsidP="00BD1F6E">
      <w:pPr>
        <w:rPr>
          <w:lang w:val="pt-BR"/>
        </w:rPr>
      </w:pPr>
    </w:p>
    <w:p w14:paraId="42A36106" w14:textId="77777777" w:rsidR="00BD1F6E" w:rsidRDefault="00BD1F6E" w:rsidP="00BD1F6E">
      <w:pPr>
        <w:rPr>
          <w:lang w:val="pt-BR"/>
        </w:rPr>
      </w:pPr>
    </w:p>
    <w:p w14:paraId="48178A02" w14:textId="77777777" w:rsidR="00BD1F6E" w:rsidRDefault="00BD1F6E" w:rsidP="00BD1F6E">
      <w:pPr>
        <w:rPr>
          <w:lang w:val="pt-BR"/>
        </w:rPr>
      </w:pPr>
    </w:p>
    <w:p w14:paraId="4A1643EB" w14:textId="77777777" w:rsidR="00BD1F6E" w:rsidRDefault="00BD1F6E" w:rsidP="00BD1F6E">
      <w:pPr>
        <w:rPr>
          <w:lang w:val="pt-BR"/>
        </w:rPr>
      </w:pPr>
    </w:p>
    <w:p w14:paraId="53387C5D" w14:textId="77777777" w:rsidR="00BD1F6E" w:rsidRDefault="00BD1F6E" w:rsidP="00BD1F6E">
      <w:pPr>
        <w:rPr>
          <w:lang w:val="pt-BR"/>
        </w:rPr>
      </w:pPr>
    </w:p>
    <w:p w14:paraId="3907EE80" w14:textId="77777777" w:rsidR="00BD1F6E" w:rsidRPr="0019261A" w:rsidRDefault="00BD1F6E" w:rsidP="00BD1F6E">
      <w:pPr>
        <w:jc w:val="center"/>
        <w:rPr>
          <w:lang w:val="pt-BR"/>
        </w:rPr>
      </w:pPr>
      <w:r>
        <w:rPr>
          <w:lang w:val="pt-BR"/>
        </w:rPr>
        <w:t xml:space="preserve">Ricardo C. Pérez </w:t>
      </w:r>
      <w:proofErr w:type="spellStart"/>
      <w:r>
        <w:rPr>
          <w:lang w:val="pt-BR"/>
        </w:rPr>
        <w:t>Manrique</w:t>
      </w:r>
      <w:proofErr w:type="spellEnd"/>
    </w:p>
    <w:p w14:paraId="005581DD" w14:textId="77777777" w:rsidR="00BD1F6E" w:rsidRDefault="00BD1F6E" w:rsidP="00BD1F6E">
      <w:pPr>
        <w:rPr>
          <w:lang w:val="pt-BR"/>
        </w:rPr>
      </w:pPr>
    </w:p>
    <w:p w14:paraId="6B63BB32" w14:textId="77777777" w:rsidR="00BD1F6E" w:rsidRDefault="00BD1F6E" w:rsidP="00BD1F6E">
      <w:pPr>
        <w:rPr>
          <w:lang w:val="pt-BR"/>
        </w:rPr>
      </w:pPr>
    </w:p>
    <w:p w14:paraId="6C116B0B" w14:textId="77777777" w:rsidR="00BD1F6E" w:rsidRDefault="00BD1F6E" w:rsidP="00BD1F6E">
      <w:pPr>
        <w:rPr>
          <w:lang w:val="pt-BR"/>
        </w:rPr>
      </w:pPr>
    </w:p>
    <w:p w14:paraId="73447336" w14:textId="77777777" w:rsidR="00BD1F6E" w:rsidRPr="0019261A" w:rsidRDefault="00BD1F6E" w:rsidP="00BD1F6E">
      <w:pPr>
        <w:rPr>
          <w:lang w:val="pt-BR"/>
        </w:rPr>
      </w:pPr>
    </w:p>
    <w:p w14:paraId="2404E650" w14:textId="77777777" w:rsidR="00BD1F6E" w:rsidRPr="0019261A" w:rsidRDefault="00BD1F6E" w:rsidP="00BD1F6E">
      <w:pPr>
        <w:rPr>
          <w:lang w:val="pt-BR"/>
        </w:rPr>
      </w:pPr>
    </w:p>
    <w:p w14:paraId="6B04631A" w14:textId="77777777" w:rsidR="00BD1F6E" w:rsidRPr="00FC4051" w:rsidRDefault="00BD1F6E" w:rsidP="00BD1F6E">
      <w:pPr>
        <w:jc w:val="center"/>
        <w:rPr>
          <w:lang w:val="pt-BR"/>
        </w:rPr>
      </w:pPr>
      <w:r w:rsidRPr="00FC4051">
        <w:rPr>
          <w:lang w:val="pt-BR"/>
        </w:rPr>
        <w:t>Pablo Saavedra Alessandri</w:t>
      </w:r>
    </w:p>
    <w:p w14:paraId="225AC6B2" w14:textId="77777777" w:rsidR="00BD1F6E" w:rsidRDefault="00BD1F6E" w:rsidP="00BD1F6E">
      <w:pPr>
        <w:jc w:val="center"/>
        <w:rPr>
          <w:lang w:val="pt-BR"/>
        </w:rPr>
      </w:pPr>
      <w:r w:rsidRPr="00FC4051">
        <w:rPr>
          <w:lang w:val="pt-BR"/>
        </w:rPr>
        <w:t>Secret</w:t>
      </w:r>
      <w:r>
        <w:rPr>
          <w:lang w:val="pt-BR"/>
        </w:rPr>
        <w:t>a</w:t>
      </w:r>
      <w:r w:rsidRPr="00FC4051">
        <w:rPr>
          <w:lang w:val="pt-BR"/>
        </w:rPr>
        <w:t>rio</w:t>
      </w:r>
    </w:p>
    <w:p w14:paraId="0F856406" w14:textId="5FD8F2CC" w:rsidR="00BD1F6E" w:rsidRDefault="00BD1F6E" w:rsidP="00BD1F6E">
      <w:pPr>
        <w:pStyle w:val="Textonotapie"/>
        <w:rPr>
          <w:lang w:val="pt-BR"/>
        </w:rPr>
      </w:pPr>
    </w:p>
    <w:p w14:paraId="20E7611D" w14:textId="77777777" w:rsidR="00706B5B" w:rsidRPr="00FC4051" w:rsidRDefault="00706B5B" w:rsidP="00BD1F6E">
      <w:pPr>
        <w:pStyle w:val="Textonotapie"/>
        <w:rPr>
          <w:lang w:val="pt-BR"/>
        </w:rPr>
      </w:pPr>
    </w:p>
    <w:p w14:paraId="0B5AE6FE" w14:textId="77777777" w:rsidR="00BD1F6E" w:rsidRPr="00FC4051" w:rsidRDefault="00BD1F6E" w:rsidP="00BD1F6E">
      <w:pPr>
        <w:rPr>
          <w:lang w:val="pt-BR"/>
        </w:rPr>
      </w:pPr>
      <w:proofErr w:type="spellStart"/>
      <w:r>
        <w:rPr>
          <w:lang w:val="pt-BR"/>
        </w:rPr>
        <w:t>Comuníquese</w:t>
      </w:r>
      <w:proofErr w:type="spellEnd"/>
      <w:r>
        <w:rPr>
          <w:lang w:val="pt-BR"/>
        </w:rPr>
        <w:t xml:space="preserve"> y </w:t>
      </w:r>
      <w:proofErr w:type="spellStart"/>
      <w:r>
        <w:rPr>
          <w:lang w:val="pt-BR"/>
        </w:rPr>
        <w:t>ejecútese</w:t>
      </w:r>
      <w:proofErr w:type="spellEnd"/>
      <w:r w:rsidRPr="00FC4051">
        <w:rPr>
          <w:lang w:val="pt-BR"/>
        </w:rPr>
        <w:t>,</w:t>
      </w:r>
    </w:p>
    <w:p w14:paraId="395C4337" w14:textId="77777777" w:rsidR="00BD1F6E" w:rsidRPr="00FC4051" w:rsidRDefault="00BD1F6E" w:rsidP="00BD1F6E">
      <w:pPr>
        <w:rPr>
          <w:lang w:val="pt-BR"/>
        </w:rPr>
      </w:pPr>
    </w:p>
    <w:p w14:paraId="238B5D83" w14:textId="77777777" w:rsidR="00BD1F6E" w:rsidRDefault="00BD1F6E" w:rsidP="00BD1F6E">
      <w:pPr>
        <w:jc w:val="center"/>
        <w:rPr>
          <w:lang w:val="pt-BR"/>
        </w:rPr>
      </w:pPr>
    </w:p>
    <w:p w14:paraId="348F3DD6" w14:textId="77777777" w:rsidR="00BD1F6E" w:rsidRPr="00FC4051" w:rsidRDefault="00BD1F6E" w:rsidP="00BD1F6E">
      <w:pPr>
        <w:jc w:val="right"/>
        <w:rPr>
          <w:lang w:val="pt-BR"/>
        </w:rPr>
      </w:pPr>
    </w:p>
    <w:p w14:paraId="76440D03" w14:textId="16959A98" w:rsidR="00BD1F6E" w:rsidRDefault="00BD1F6E" w:rsidP="00BD1F6E">
      <w:pPr>
        <w:jc w:val="center"/>
        <w:rPr>
          <w:lang w:val="pt-BR"/>
        </w:rPr>
      </w:pPr>
      <w:r>
        <w:rPr>
          <w:lang w:val="pt-BR"/>
        </w:rPr>
        <w:t xml:space="preserve">                                                                                  Elizabeth </w:t>
      </w:r>
      <w:proofErr w:type="spellStart"/>
      <w:r>
        <w:rPr>
          <w:lang w:val="pt-BR"/>
        </w:rPr>
        <w:t>Odio</w:t>
      </w:r>
      <w:proofErr w:type="spellEnd"/>
      <w:r>
        <w:rPr>
          <w:lang w:val="pt-BR"/>
        </w:rPr>
        <w:t xml:space="preserve"> Benito</w:t>
      </w:r>
    </w:p>
    <w:p w14:paraId="2BB416DD" w14:textId="77777777" w:rsidR="00BD1F6E" w:rsidRDefault="00BD1F6E" w:rsidP="00BD1F6E">
      <w:pPr>
        <w:ind w:firstLine="720"/>
        <w:rPr>
          <w:lang w:val="pt-BR"/>
        </w:rPr>
      </w:pPr>
      <w:r>
        <w:rPr>
          <w:lang w:val="pt-BR"/>
        </w:rPr>
        <w:t xml:space="preserve">     </w:t>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t xml:space="preserve">   Presidenta</w:t>
      </w:r>
    </w:p>
    <w:p w14:paraId="36DDEFFB" w14:textId="77777777" w:rsidR="00BD1F6E" w:rsidRPr="00FC4051" w:rsidRDefault="00BD1F6E" w:rsidP="00BD1F6E">
      <w:pPr>
        <w:rPr>
          <w:lang w:val="pt-BR"/>
        </w:rPr>
      </w:pPr>
    </w:p>
    <w:p w14:paraId="382280F7" w14:textId="77777777" w:rsidR="00BD1F6E" w:rsidRDefault="00BD1F6E" w:rsidP="00BD1F6E">
      <w:pPr>
        <w:rPr>
          <w:lang w:val="pt-BR"/>
        </w:rPr>
      </w:pPr>
    </w:p>
    <w:p w14:paraId="1EBA59AD" w14:textId="77777777" w:rsidR="00BD1F6E" w:rsidRPr="00FC4051" w:rsidRDefault="00BD1F6E" w:rsidP="00BD1F6E">
      <w:pPr>
        <w:rPr>
          <w:lang w:val="pt-BR"/>
        </w:rPr>
      </w:pPr>
    </w:p>
    <w:p w14:paraId="6E0F026F" w14:textId="77777777" w:rsidR="00BD1F6E" w:rsidRPr="00FC4051" w:rsidRDefault="00BD1F6E" w:rsidP="00BD1F6E">
      <w:pPr>
        <w:rPr>
          <w:lang w:val="pt-BR"/>
        </w:rPr>
      </w:pPr>
      <w:r w:rsidRPr="00FC4051">
        <w:rPr>
          <w:lang w:val="pt-BR"/>
        </w:rPr>
        <w:t>Pablo Saavedra Alessandri</w:t>
      </w:r>
    </w:p>
    <w:p w14:paraId="3B51C716" w14:textId="44B79D50" w:rsidR="004E64A8" w:rsidRPr="00ED0E0E" w:rsidRDefault="00BD1F6E" w:rsidP="00BD1F6E">
      <w:pPr>
        <w:rPr>
          <w:sz w:val="20"/>
          <w:szCs w:val="20"/>
        </w:rPr>
      </w:pPr>
      <w:r>
        <w:rPr>
          <w:lang w:val="pt-BR"/>
        </w:rPr>
        <w:t xml:space="preserve">          </w:t>
      </w:r>
      <w:r w:rsidRPr="0019261A">
        <w:t>Secret</w:t>
      </w:r>
      <w:r>
        <w:t>ario</w:t>
      </w:r>
    </w:p>
    <w:sectPr w:rsidR="004E64A8" w:rsidRPr="00ED0E0E" w:rsidSect="00BD1F6E">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0FE66" w14:textId="77777777" w:rsidR="00FB11DD" w:rsidRDefault="00FB11DD" w:rsidP="000C7C2E">
      <w:r>
        <w:separator/>
      </w:r>
    </w:p>
  </w:endnote>
  <w:endnote w:type="continuationSeparator" w:id="0">
    <w:p w14:paraId="3E02347E" w14:textId="77777777" w:rsidR="00FB11DD" w:rsidRDefault="00FB11DD" w:rsidP="000C7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9C2C" w14:textId="77777777" w:rsidR="0087743B" w:rsidRDefault="0087743B">
    <w:pPr>
      <w:pStyle w:val="Textoindependiente"/>
      <w:spacing w:line="14" w:lineRule="auto"/>
    </w:pPr>
    <w:r>
      <w:rPr>
        <w:noProof/>
        <w:lang w:val="es-CR" w:eastAsia="es-CR"/>
      </w:rPr>
      <mc:AlternateContent>
        <mc:Choice Requires="wps">
          <w:drawing>
            <wp:anchor distT="0" distB="0" distL="114300" distR="114300" simplePos="0" relativeHeight="251659264" behindDoc="1" locked="0" layoutInCell="1" allowOverlap="1" wp14:anchorId="5B39DF23" wp14:editId="56321D34">
              <wp:simplePos x="0" y="0"/>
              <wp:positionH relativeFrom="page">
                <wp:posOffset>3767455</wp:posOffset>
              </wp:positionH>
              <wp:positionV relativeFrom="page">
                <wp:posOffset>9279890</wp:posOffset>
              </wp:positionV>
              <wp:extent cx="238760" cy="180975"/>
              <wp:effectExtent l="0" t="2540" r="381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C74D9" w14:textId="1B758D1C" w:rsidR="0087743B" w:rsidRDefault="0087743B">
                          <w:pPr>
                            <w:pStyle w:val="Textoindependiente"/>
                            <w:spacing w:before="21"/>
                            <w:ind w:left="60"/>
                          </w:pPr>
                          <w:r>
                            <w:fldChar w:fldCharType="begin"/>
                          </w:r>
                          <w:r>
                            <w:instrText xml:space="preserve"> PAGE </w:instrText>
                          </w:r>
                          <w:r>
                            <w:fldChar w:fldCharType="separate"/>
                          </w:r>
                          <w:r w:rsidR="006E1AE7">
                            <w:rPr>
                              <w:noProof/>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9DF23" id="_x0000_t202" coordsize="21600,21600" o:spt="202" path="m,l,21600r21600,l21600,xe">
              <v:stroke joinstyle="miter"/>
              <v:path gradientshapeok="t" o:connecttype="rect"/>
            </v:shapetype>
            <v:shape id="Cuadro de texto 3" o:spid="_x0000_s1026" type="#_x0000_t202" style="position:absolute;margin-left:296.65pt;margin-top:730.7pt;width:18.8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" filled="f" stroked="f">
              <v:textbox inset="0,0,0,0">
                <w:txbxContent>
                  <w:p w14:paraId="79EC74D9" w14:textId="1B758D1C" w:rsidR="0087743B" w:rsidRDefault="0087743B">
                    <w:pPr>
                      <w:pStyle w:val="Textoindependiente"/>
                      <w:spacing w:before="21"/>
                      <w:ind w:left="60"/>
                    </w:pPr>
                    <w:r>
                      <w:fldChar w:fldCharType="begin"/>
                    </w:r>
                    <w:r>
                      <w:instrText xml:space="preserve"> PAGE </w:instrText>
                    </w:r>
                    <w:r>
                      <w:fldChar w:fldCharType="separate"/>
                    </w:r>
                    <w:r w:rsidR="006E1AE7">
                      <w:rPr>
                        <w:noProof/>
                      </w:rPr>
                      <w:t>62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39607" w14:textId="77777777" w:rsidR="00FB11DD" w:rsidRDefault="00FB11DD" w:rsidP="000C7C2E">
      <w:r>
        <w:separator/>
      </w:r>
    </w:p>
  </w:footnote>
  <w:footnote w:type="continuationSeparator" w:id="0">
    <w:p w14:paraId="54226FD3" w14:textId="77777777" w:rsidR="00FB11DD" w:rsidRDefault="00FB11DD" w:rsidP="000C7C2E">
      <w:r>
        <w:continuationSeparator/>
      </w:r>
    </w:p>
  </w:footnote>
  <w:footnote w:id="1">
    <w:p w14:paraId="77AA88B8" w14:textId="77777777" w:rsidR="0087743B" w:rsidRPr="00F141AC" w:rsidRDefault="0087743B" w:rsidP="000C7C2E">
      <w:pPr>
        <w:pStyle w:val="Textonotapie"/>
        <w:jc w:val="both"/>
        <w:rPr>
          <w:rFonts w:ascii="Verdana" w:hAnsi="Verdana"/>
          <w:sz w:val="16"/>
          <w:szCs w:val="16"/>
        </w:rPr>
      </w:pPr>
      <w:r w:rsidRPr="00F141AC">
        <w:rPr>
          <w:rStyle w:val="Refdenotaalpie"/>
          <w:rFonts w:ascii="Verdana" w:hAnsi="Verdana"/>
          <w:sz w:val="16"/>
          <w:szCs w:val="16"/>
        </w:rPr>
        <w:sym w:font="Symbol" w:char="F02A"/>
      </w:r>
      <w:r w:rsidRPr="00F141AC">
        <w:rPr>
          <w:rFonts w:ascii="Verdana" w:hAnsi="Verdana"/>
          <w:sz w:val="16"/>
          <w:szCs w:val="16"/>
        </w:rPr>
        <w:t xml:space="preserve"> </w:t>
      </w:r>
      <w:r w:rsidRPr="00F141AC">
        <w:rPr>
          <w:rFonts w:ascii="Verdana" w:hAnsi="Verdana"/>
          <w:sz w:val="16"/>
          <w:szCs w:val="16"/>
        </w:rPr>
        <w:tab/>
        <w:t xml:space="preserve">El Juez Humberto Antonio Sierra Porto, por razones de fuerza mayor aceptadas por el Pleno del Tribunal, no participó en la deliberación y firma de la presente Sentencia. </w:t>
      </w:r>
    </w:p>
  </w:footnote>
  <w:footnote w:id="2">
    <w:p w14:paraId="644C0576" w14:textId="1ED85D01" w:rsidR="0087743B" w:rsidRPr="007F313C" w:rsidRDefault="0087743B" w:rsidP="000C7C2E">
      <w:pPr>
        <w:pStyle w:val="Textonotapie"/>
        <w:jc w:val="both"/>
        <w:rPr>
          <w:rFonts w:ascii="Verdana" w:hAnsi="Verdana"/>
          <w:b/>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Con posterioridad, el Centro por la Justicia y el Derecho Internacional (CEJIL) se incorporó como </w:t>
      </w:r>
      <w:r>
        <w:rPr>
          <w:rFonts w:ascii="Verdana" w:hAnsi="Verdana"/>
          <w:sz w:val="16"/>
          <w:szCs w:val="16"/>
        </w:rPr>
        <w:t xml:space="preserve">entidad </w:t>
      </w:r>
      <w:r w:rsidRPr="007F313C">
        <w:rPr>
          <w:rFonts w:ascii="Verdana" w:hAnsi="Verdana"/>
          <w:sz w:val="16"/>
          <w:szCs w:val="16"/>
        </w:rPr>
        <w:t xml:space="preserve">peticionaria. </w:t>
      </w:r>
    </w:p>
    <w:p w14:paraId="537A5B34" w14:textId="77777777" w:rsidR="0087743B" w:rsidRPr="007F313C" w:rsidRDefault="0087743B" w:rsidP="000C7C2E">
      <w:pPr>
        <w:pStyle w:val="Textonotapie"/>
        <w:jc w:val="both"/>
        <w:rPr>
          <w:rFonts w:ascii="Verdana" w:hAnsi="Verdana"/>
          <w:sz w:val="16"/>
          <w:szCs w:val="16"/>
        </w:rPr>
      </w:pPr>
      <w:r w:rsidRPr="007F313C">
        <w:rPr>
          <w:rFonts w:ascii="Verdana" w:hAnsi="Verdana"/>
          <w:sz w:val="16"/>
          <w:szCs w:val="16"/>
        </w:rPr>
        <w:t xml:space="preserve"> </w:t>
      </w:r>
    </w:p>
  </w:footnote>
  <w:footnote w:id="3">
    <w:p w14:paraId="1809C3D8" w14:textId="68367BDF" w:rsidR="0087743B" w:rsidRPr="007F313C" w:rsidRDefault="0087743B" w:rsidP="000C7C2E">
      <w:pPr>
        <w:pStyle w:val="Textonotapie"/>
        <w:jc w:val="both"/>
        <w:rPr>
          <w:rFonts w:ascii="Verdana" w:hAnsi="Verdana"/>
          <w:b/>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La Comisión concluyó </w:t>
      </w:r>
      <w:r>
        <w:rPr>
          <w:rFonts w:ascii="Verdana" w:hAnsi="Verdana"/>
          <w:sz w:val="16"/>
          <w:szCs w:val="16"/>
        </w:rPr>
        <w:t>la r</w:t>
      </w:r>
      <w:r w:rsidRPr="007F313C">
        <w:rPr>
          <w:rFonts w:ascii="Verdana" w:hAnsi="Verdana"/>
          <w:sz w:val="16"/>
          <w:szCs w:val="16"/>
        </w:rPr>
        <w:t>esponsab</w:t>
      </w:r>
      <w:r>
        <w:rPr>
          <w:rFonts w:ascii="Verdana" w:hAnsi="Verdana"/>
          <w:sz w:val="16"/>
          <w:szCs w:val="16"/>
        </w:rPr>
        <w:t>ilidad estatal</w:t>
      </w:r>
      <w:r w:rsidRPr="007F313C">
        <w:rPr>
          <w:rFonts w:ascii="Verdana" w:hAnsi="Verdana"/>
          <w:sz w:val="16"/>
          <w:szCs w:val="16"/>
        </w:rPr>
        <w:t xml:space="preserve"> por la violación de los artículos 4.1 (derecho a la vida), 5.1 (derecho a la integridad personal), 8.1 (derecho a las garantías judiciales) y 25.1 (derecho a la protección judicial) de la Convención Americana</w:t>
      </w:r>
      <w:r>
        <w:rPr>
          <w:rFonts w:ascii="Verdana" w:hAnsi="Verdana"/>
          <w:sz w:val="16"/>
          <w:szCs w:val="16"/>
        </w:rPr>
        <w:t>,</w:t>
      </w:r>
      <w:r w:rsidRPr="007F313C">
        <w:rPr>
          <w:rFonts w:ascii="Verdana" w:hAnsi="Verdana"/>
          <w:sz w:val="16"/>
          <w:szCs w:val="16"/>
        </w:rPr>
        <w:t xml:space="preserve"> en relación con el artículo 1.1 del mismo tratado (obligaciones de respetar y garantizar los derechos). También determinó que Venezuela violó los artículos 1, 6 y 8 de la Convención Interamericana para Prevenir y Sancionar la Tortura. </w:t>
      </w:r>
    </w:p>
    <w:p w14:paraId="49AAE2CD" w14:textId="77777777" w:rsidR="0087743B" w:rsidRPr="007F313C" w:rsidRDefault="0087743B" w:rsidP="000C7C2E">
      <w:pPr>
        <w:pStyle w:val="Textonotapie"/>
        <w:jc w:val="both"/>
        <w:rPr>
          <w:rFonts w:ascii="Verdana" w:hAnsi="Verdana"/>
          <w:sz w:val="16"/>
          <w:szCs w:val="16"/>
        </w:rPr>
      </w:pPr>
      <w:r w:rsidRPr="007F313C">
        <w:rPr>
          <w:rFonts w:ascii="Verdana" w:hAnsi="Verdana"/>
          <w:sz w:val="16"/>
          <w:szCs w:val="16"/>
        </w:rPr>
        <w:t xml:space="preserve"> </w:t>
      </w:r>
    </w:p>
  </w:footnote>
  <w:footnote w:id="4">
    <w:p w14:paraId="3BCBA831" w14:textId="49849FEB" w:rsidR="0087743B" w:rsidRPr="00A70195" w:rsidRDefault="0087743B" w:rsidP="000C7C2E">
      <w:pPr>
        <w:tabs>
          <w:tab w:val="left" w:pos="709"/>
        </w:tabs>
        <w:ind w:right="49"/>
        <w:jc w:val="both"/>
        <w:rPr>
          <w:rFonts w:eastAsiaTheme="minorHAnsi" w:cstheme="minorBidi"/>
          <w:sz w:val="16"/>
          <w:szCs w:val="16"/>
          <w:lang w:val="es-CR"/>
        </w:rPr>
      </w:pPr>
      <w:r w:rsidRPr="007F313C">
        <w:rPr>
          <w:rStyle w:val="Refdenotaalpie"/>
          <w:sz w:val="16"/>
          <w:szCs w:val="16"/>
        </w:rPr>
        <w:footnoteRef/>
      </w:r>
      <w:r w:rsidRPr="007F313C">
        <w:rPr>
          <w:sz w:val="16"/>
          <w:szCs w:val="16"/>
        </w:rPr>
        <w:t xml:space="preserve"> </w:t>
      </w:r>
      <w:r w:rsidRPr="007F313C">
        <w:rPr>
          <w:sz w:val="16"/>
          <w:szCs w:val="16"/>
        </w:rPr>
        <w:tab/>
        <w:t>La</w:t>
      </w:r>
      <w:r w:rsidRPr="007F313C">
        <w:rPr>
          <w:spacing w:val="-11"/>
          <w:sz w:val="16"/>
          <w:szCs w:val="16"/>
        </w:rPr>
        <w:t xml:space="preserve"> </w:t>
      </w:r>
      <w:r w:rsidRPr="007F313C">
        <w:rPr>
          <w:sz w:val="16"/>
          <w:szCs w:val="16"/>
        </w:rPr>
        <w:t>Comisión</w:t>
      </w:r>
      <w:r w:rsidRPr="007F313C">
        <w:rPr>
          <w:spacing w:val="-13"/>
          <w:sz w:val="16"/>
          <w:szCs w:val="16"/>
        </w:rPr>
        <w:t xml:space="preserve"> </w:t>
      </w:r>
      <w:r w:rsidRPr="007F313C">
        <w:rPr>
          <w:sz w:val="16"/>
          <w:szCs w:val="16"/>
        </w:rPr>
        <w:t>designó</w:t>
      </w:r>
      <w:r w:rsidRPr="007F313C">
        <w:rPr>
          <w:spacing w:val="-11"/>
          <w:sz w:val="16"/>
          <w:szCs w:val="16"/>
        </w:rPr>
        <w:t xml:space="preserve"> </w:t>
      </w:r>
      <w:r w:rsidRPr="007F313C">
        <w:rPr>
          <w:sz w:val="16"/>
          <w:szCs w:val="16"/>
        </w:rPr>
        <w:t>como</w:t>
      </w:r>
      <w:r w:rsidRPr="007F313C">
        <w:rPr>
          <w:spacing w:val="-11"/>
          <w:sz w:val="16"/>
          <w:szCs w:val="16"/>
        </w:rPr>
        <w:t xml:space="preserve"> </w:t>
      </w:r>
      <w:r w:rsidRPr="007F313C">
        <w:rPr>
          <w:sz w:val="16"/>
          <w:szCs w:val="16"/>
        </w:rPr>
        <w:t>sus</w:t>
      </w:r>
      <w:r w:rsidRPr="007F313C">
        <w:rPr>
          <w:spacing w:val="-12"/>
          <w:sz w:val="16"/>
          <w:szCs w:val="16"/>
        </w:rPr>
        <w:t xml:space="preserve"> </w:t>
      </w:r>
      <w:r w:rsidRPr="007F313C">
        <w:rPr>
          <w:sz w:val="16"/>
          <w:szCs w:val="16"/>
        </w:rPr>
        <w:t>delegados</w:t>
      </w:r>
      <w:r w:rsidRPr="007F313C">
        <w:rPr>
          <w:spacing w:val="-12"/>
          <w:sz w:val="16"/>
          <w:szCs w:val="16"/>
        </w:rPr>
        <w:t xml:space="preserve"> </w:t>
      </w:r>
      <w:r w:rsidRPr="007F313C">
        <w:rPr>
          <w:sz w:val="16"/>
          <w:szCs w:val="16"/>
        </w:rPr>
        <w:t>ante</w:t>
      </w:r>
      <w:r w:rsidRPr="007F313C">
        <w:rPr>
          <w:spacing w:val="-11"/>
          <w:sz w:val="16"/>
          <w:szCs w:val="16"/>
        </w:rPr>
        <w:t xml:space="preserve"> </w:t>
      </w:r>
      <w:r w:rsidRPr="007F313C">
        <w:rPr>
          <w:sz w:val="16"/>
          <w:szCs w:val="16"/>
        </w:rPr>
        <w:t>la</w:t>
      </w:r>
      <w:r w:rsidRPr="007F313C">
        <w:rPr>
          <w:spacing w:val="-13"/>
          <w:sz w:val="16"/>
          <w:szCs w:val="16"/>
        </w:rPr>
        <w:t xml:space="preserve"> </w:t>
      </w:r>
      <w:r w:rsidRPr="007F313C">
        <w:rPr>
          <w:sz w:val="16"/>
          <w:szCs w:val="16"/>
        </w:rPr>
        <w:t>Corte</w:t>
      </w:r>
      <w:r w:rsidRPr="007F313C">
        <w:rPr>
          <w:spacing w:val="-12"/>
          <w:sz w:val="16"/>
          <w:szCs w:val="16"/>
        </w:rPr>
        <w:t xml:space="preserve"> </w:t>
      </w:r>
      <w:r w:rsidRPr="007F313C">
        <w:rPr>
          <w:sz w:val="16"/>
          <w:szCs w:val="16"/>
        </w:rPr>
        <w:t>al</w:t>
      </w:r>
      <w:r w:rsidRPr="007F313C">
        <w:rPr>
          <w:spacing w:val="-11"/>
          <w:sz w:val="16"/>
          <w:szCs w:val="16"/>
        </w:rPr>
        <w:t xml:space="preserve"> entonces </w:t>
      </w:r>
      <w:r w:rsidRPr="007F313C">
        <w:rPr>
          <w:sz w:val="16"/>
          <w:szCs w:val="16"/>
        </w:rPr>
        <w:t xml:space="preserve">Comisionado </w:t>
      </w:r>
      <w:r w:rsidRPr="00A70195">
        <w:rPr>
          <w:rFonts w:eastAsiaTheme="minorHAnsi" w:cstheme="minorBidi"/>
          <w:sz w:val="16"/>
          <w:szCs w:val="16"/>
          <w:lang w:val="es-CR"/>
        </w:rPr>
        <w:t xml:space="preserve">Francisco Eguiguren </w:t>
      </w:r>
      <w:proofErr w:type="spellStart"/>
      <w:r w:rsidRPr="00A70195">
        <w:rPr>
          <w:rFonts w:eastAsiaTheme="minorHAnsi" w:cstheme="minorBidi"/>
          <w:sz w:val="16"/>
          <w:szCs w:val="16"/>
          <w:lang w:val="es-CR"/>
        </w:rPr>
        <w:t>Praeli</w:t>
      </w:r>
      <w:proofErr w:type="spellEnd"/>
      <w:r w:rsidRPr="00A70195">
        <w:rPr>
          <w:rFonts w:eastAsiaTheme="minorHAnsi" w:cstheme="minorBidi"/>
          <w:sz w:val="16"/>
          <w:szCs w:val="16"/>
          <w:lang w:val="es-CR"/>
        </w:rPr>
        <w:t xml:space="preserve"> y al entonces </w:t>
      </w:r>
      <w:proofErr w:type="gramStart"/>
      <w:r w:rsidRPr="00A70195">
        <w:rPr>
          <w:rFonts w:eastAsiaTheme="minorHAnsi" w:cstheme="minorBidi"/>
          <w:sz w:val="16"/>
          <w:szCs w:val="16"/>
          <w:lang w:val="es-CR"/>
        </w:rPr>
        <w:t>Secretario Ejecutivo</w:t>
      </w:r>
      <w:proofErr w:type="gramEnd"/>
      <w:r w:rsidRPr="00A70195">
        <w:rPr>
          <w:rFonts w:eastAsiaTheme="minorHAnsi" w:cstheme="minorBidi"/>
          <w:sz w:val="16"/>
          <w:szCs w:val="16"/>
          <w:lang w:val="es-CR"/>
        </w:rPr>
        <w:t xml:space="preserve"> Paulo </w:t>
      </w:r>
      <w:proofErr w:type="spellStart"/>
      <w:r w:rsidRPr="00A70195">
        <w:rPr>
          <w:rFonts w:eastAsiaTheme="minorHAnsi" w:cstheme="minorBidi"/>
          <w:sz w:val="16"/>
          <w:szCs w:val="16"/>
          <w:lang w:val="es-CR"/>
        </w:rPr>
        <w:t>Abrão</w:t>
      </w:r>
      <w:proofErr w:type="spellEnd"/>
      <w:r w:rsidRPr="00A70195">
        <w:rPr>
          <w:rFonts w:eastAsiaTheme="minorHAnsi" w:cstheme="minorBidi"/>
          <w:sz w:val="16"/>
          <w:szCs w:val="16"/>
          <w:lang w:val="es-CR"/>
        </w:rPr>
        <w:t>, y como asesores legales a la abogada Silvia Serrano Guzmán y al abogado Piero Vásquez Agüero, de la Secretaría Ejecutiva de la Comisión.</w:t>
      </w:r>
    </w:p>
    <w:p w14:paraId="0F0031DA" w14:textId="77777777" w:rsidR="0087743B" w:rsidRPr="007F313C" w:rsidRDefault="0087743B" w:rsidP="000C7C2E">
      <w:pPr>
        <w:pStyle w:val="Textonotapie"/>
        <w:jc w:val="both"/>
        <w:rPr>
          <w:rFonts w:ascii="Verdana" w:hAnsi="Verdana"/>
          <w:sz w:val="16"/>
          <w:szCs w:val="16"/>
        </w:rPr>
      </w:pPr>
    </w:p>
  </w:footnote>
  <w:footnote w:id="5">
    <w:p w14:paraId="158527B4" w14:textId="073982D5"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La representación de las presuntas víctimas es ejercida por </w:t>
      </w:r>
      <w:r w:rsidRPr="007F313C">
        <w:rPr>
          <w:rFonts w:ascii="Verdana" w:hAnsi="Verdana"/>
          <w:sz w:val="16"/>
          <w:szCs w:val="16"/>
          <w:lang w:val="es-ES"/>
        </w:rPr>
        <w:t>el Comité de Familiares de Vícti</w:t>
      </w:r>
      <w:r>
        <w:rPr>
          <w:rFonts w:ascii="Verdana" w:hAnsi="Verdana"/>
          <w:sz w:val="16"/>
          <w:szCs w:val="16"/>
          <w:lang w:val="es-ES"/>
        </w:rPr>
        <w:t>mas de los Sucesos de Febrero –</w:t>
      </w:r>
      <w:proofErr w:type="gramStart"/>
      <w:r>
        <w:rPr>
          <w:rFonts w:ascii="Verdana" w:hAnsi="Verdana"/>
          <w:sz w:val="16"/>
          <w:szCs w:val="16"/>
          <w:lang w:val="es-ES"/>
        </w:rPr>
        <w:t>M</w:t>
      </w:r>
      <w:r w:rsidRPr="007F313C">
        <w:rPr>
          <w:rFonts w:ascii="Verdana" w:hAnsi="Verdana"/>
          <w:sz w:val="16"/>
          <w:szCs w:val="16"/>
          <w:lang w:val="es-ES"/>
        </w:rPr>
        <w:t>arzo</w:t>
      </w:r>
      <w:proofErr w:type="gramEnd"/>
      <w:r w:rsidRPr="007F313C">
        <w:rPr>
          <w:rFonts w:ascii="Verdana" w:hAnsi="Verdana"/>
          <w:sz w:val="16"/>
          <w:szCs w:val="16"/>
          <w:lang w:val="es-ES"/>
        </w:rPr>
        <w:t xml:space="preserve"> de 1989 (COFAVIC) y el Centro por la Justicia y el Derecho Internacional (CEJIL).</w:t>
      </w:r>
      <w:r>
        <w:rPr>
          <w:rFonts w:ascii="Verdana" w:hAnsi="Verdana"/>
          <w:sz w:val="16"/>
          <w:szCs w:val="16"/>
          <w:lang w:val="es-ES"/>
        </w:rPr>
        <w:t xml:space="preserve"> En cuanto a la fecha de notificación al Estado, se deja constancia que </w:t>
      </w:r>
      <w:r>
        <w:rPr>
          <w:rFonts w:ascii="Verdana" w:hAnsi="Verdana"/>
          <w:sz w:val="16"/>
          <w:szCs w:val="16"/>
        </w:rPr>
        <w:t>e</w:t>
      </w:r>
      <w:r w:rsidRPr="007F313C">
        <w:rPr>
          <w:rFonts w:ascii="Verdana" w:hAnsi="Verdana"/>
          <w:sz w:val="16"/>
          <w:szCs w:val="16"/>
        </w:rPr>
        <w:t>l 22 de julio de 2019 la Secretaría de la Corte remitió la documentación respectiva, por correo</w:t>
      </w:r>
      <w:r>
        <w:rPr>
          <w:rFonts w:ascii="Verdana" w:hAnsi="Verdana"/>
          <w:sz w:val="16"/>
          <w:szCs w:val="16"/>
        </w:rPr>
        <w:t xml:space="preserve"> postal (</w:t>
      </w:r>
      <w:proofErr w:type="spellStart"/>
      <w:r w:rsidRPr="006244E4">
        <w:rPr>
          <w:rFonts w:ascii="Verdana" w:hAnsi="Verdana"/>
          <w:i/>
          <w:sz w:val="16"/>
          <w:szCs w:val="16"/>
        </w:rPr>
        <w:t>courier</w:t>
      </w:r>
      <w:proofErr w:type="spellEnd"/>
      <w:r>
        <w:rPr>
          <w:rFonts w:ascii="Verdana" w:hAnsi="Verdana"/>
          <w:sz w:val="16"/>
          <w:szCs w:val="16"/>
        </w:rPr>
        <w:t>)</w:t>
      </w:r>
      <w:r w:rsidRPr="007F313C">
        <w:rPr>
          <w:rFonts w:ascii="Verdana" w:hAnsi="Verdana"/>
          <w:sz w:val="16"/>
          <w:szCs w:val="16"/>
        </w:rPr>
        <w:t xml:space="preserve">, pero por razones ajenas al control de la Secretaría, </w:t>
      </w:r>
      <w:r>
        <w:rPr>
          <w:rFonts w:ascii="Verdana" w:hAnsi="Verdana"/>
          <w:sz w:val="16"/>
          <w:szCs w:val="16"/>
        </w:rPr>
        <w:t xml:space="preserve">la misma </w:t>
      </w:r>
      <w:r w:rsidRPr="007F313C">
        <w:rPr>
          <w:rFonts w:ascii="Verdana" w:hAnsi="Verdana"/>
          <w:sz w:val="16"/>
          <w:szCs w:val="16"/>
        </w:rPr>
        <w:t>no fue entregad</w:t>
      </w:r>
      <w:r>
        <w:rPr>
          <w:rFonts w:ascii="Verdana" w:hAnsi="Verdana"/>
          <w:sz w:val="16"/>
          <w:szCs w:val="16"/>
        </w:rPr>
        <w:t>a</w:t>
      </w:r>
      <w:r w:rsidRPr="007F313C">
        <w:rPr>
          <w:rFonts w:ascii="Verdana" w:hAnsi="Verdana"/>
          <w:sz w:val="16"/>
          <w:szCs w:val="16"/>
        </w:rPr>
        <w:t xml:space="preserve"> al Estado. Por eso, el 31 de julio de 2019 la Secretaría transmitió</w:t>
      </w:r>
      <w:r>
        <w:rPr>
          <w:rFonts w:ascii="Verdana" w:hAnsi="Verdana"/>
          <w:sz w:val="16"/>
          <w:szCs w:val="16"/>
        </w:rPr>
        <w:t xml:space="preserve"> a Venezuela</w:t>
      </w:r>
      <w:r w:rsidRPr="007F313C">
        <w:rPr>
          <w:rFonts w:ascii="Verdana" w:hAnsi="Verdana"/>
          <w:sz w:val="16"/>
          <w:szCs w:val="16"/>
        </w:rPr>
        <w:t xml:space="preserve"> los documentos correspondientes utilizando medios informáticos.</w:t>
      </w:r>
    </w:p>
    <w:p w14:paraId="3050DE03" w14:textId="77777777" w:rsidR="0087743B" w:rsidRPr="007F313C" w:rsidRDefault="0087743B" w:rsidP="000C7C2E">
      <w:pPr>
        <w:pStyle w:val="Textonotapie"/>
        <w:jc w:val="both"/>
        <w:rPr>
          <w:rFonts w:ascii="Verdana" w:hAnsi="Verdana"/>
          <w:sz w:val="16"/>
          <w:szCs w:val="16"/>
        </w:rPr>
      </w:pPr>
    </w:p>
  </w:footnote>
  <w:footnote w:id="6">
    <w:p w14:paraId="2961E6B8" w14:textId="35C560B8" w:rsidR="0087743B" w:rsidRPr="007F313C" w:rsidRDefault="0087743B" w:rsidP="000C7C2E">
      <w:pPr>
        <w:pStyle w:val="Textonotapie"/>
        <w:jc w:val="both"/>
        <w:rPr>
          <w:rFonts w:ascii="Verdana" w:hAnsi="Verdana"/>
          <w:b/>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Antes, el 13 de noviembre de 2019, Venezuela designó al señor Larry </w:t>
      </w:r>
      <w:proofErr w:type="spellStart"/>
      <w:r w:rsidRPr="007F313C">
        <w:rPr>
          <w:rFonts w:ascii="Verdana" w:hAnsi="Verdana"/>
          <w:sz w:val="16"/>
          <w:szCs w:val="16"/>
        </w:rPr>
        <w:t>Devoe</w:t>
      </w:r>
      <w:proofErr w:type="spellEnd"/>
      <w:r w:rsidRPr="007F313C">
        <w:rPr>
          <w:rFonts w:ascii="Verdana" w:hAnsi="Verdana"/>
          <w:sz w:val="16"/>
          <w:szCs w:val="16"/>
        </w:rPr>
        <w:t xml:space="preserve"> Márquez como agente. Por otra parte, es preciso dejar sentado que el 3 de febrero de 2020 el Estado comunicó que entendía que el plazo </w:t>
      </w:r>
      <w:r>
        <w:rPr>
          <w:rFonts w:ascii="Verdana" w:hAnsi="Verdana"/>
          <w:sz w:val="16"/>
          <w:szCs w:val="16"/>
        </w:rPr>
        <w:t>reglamentario</w:t>
      </w:r>
      <w:r w:rsidRPr="007F313C">
        <w:rPr>
          <w:rFonts w:ascii="Verdana" w:hAnsi="Verdana"/>
          <w:sz w:val="16"/>
          <w:szCs w:val="16"/>
        </w:rPr>
        <w:t xml:space="preserve"> para </w:t>
      </w:r>
      <w:r>
        <w:rPr>
          <w:rFonts w:ascii="Verdana" w:hAnsi="Verdana"/>
          <w:sz w:val="16"/>
          <w:szCs w:val="16"/>
        </w:rPr>
        <w:t>su</w:t>
      </w:r>
      <w:r w:rsidRPr="007F313C">
        <w:rPr>
          <w:rFonts w:ascii="Verdana" w:hAnsi="Verdana"/>
          <w:sz w:val="16"/>
          <w:szCs w:val="16"/>
        </w:rPr>
        <w:t xml:space="preserve"> contestación </w:t>
      </w:r>
      <w:r>
        <w:rPr>
          <w:rFonts w:ascii="Verdana" w:hAnsi="Verdana"/>
          <w:sz w:val="16"/>
          <w:szCs w:val="16"/>
        </w:rPr>
        <w:t>corría</w:t>
      </w:r>
      <w:r w:rsidRPr="007F313C">
        <w:rPr>
          <w:rFonts w:ascii="Verdana" w:hAnsi="Verdana"/>
          <w:sz w:val="16"/>
          <w:szCs w:val="16"/>
        </w:rPr>
        <w:t xml:space="preserve"> a partir del 9 de enero de 2020, pues</w:t>
      </w:r>
      <w:r>
        <w:rPr>
          <w:rFonts w:ascii="Verdana" w:hAnsi="Verdana"/>
          <w:sz w:val="16"/>
          <w:szCs w:val="16"/>
        </w:rPr>
        <w:t xml:space="preserve"> r</w:t>
      </w:r>
      <w:r w:rsidRPr="007F313C">
        <w:rPr>
          <w:rFonts w:ascii="Verdana" w:hAnsi="Verdana"/>
          <w:sz w:val="16"/>
          <w:szCs w:val="16"/>
        </w:rPr>
        <w:t xml:space="preserve">ecién en esa fecha recibió todos los documentos relevantes. </w:t>
      </w:r>
      <w:r>
        <w:rPr>
          <w:rFonts w:ascii="Verdana" w:hAnsi="Verdana"/>
          <w:sz w:val="16"/>
          <w:szCs w:val="16"/>
        </w:rPr>
        <w:t>S</w:t>
      </w:r>
      <w:r w:rsidRPr="007F313C">
        <w:rPr>
          <w:rFonts w:ascii="Verdana" w:hAnsi="Verdana"/>
          <w:sz w:val="16"/>
          <w:szCs w:val="16"/>
        </w:rPr>
        <w:t xml:space="preserve">iguiendo instrucciones de la Corte, </w:t>
      </w:r>
      <w:r>
        <w:rPr>
          <w:rFonts w:ascii="Verdana" w:hAnsi="Verdana"/>
          <w:sz w:val="16"/>
          <w:szCs w:val="16"/>
        </w:rPr>
        <w:t xml:space="preserve">se </w:t>
      </w:r>
      <w:r w:rsidRPr="007F313C">
        <w:rPr>
          <w:rFonts w:ascii="Verdana" w:hAnsi="Verdana"/>
          <w:sz w:val="16"/>
          <w:szCs w:val="16"/>
        </w:rPr>
        <w:t xml:space="preserve">hizo saber que, considerando la afirmación estatal y dado </w:t>
      </w:r>
      <w:r>
        <w:rPr>
          <w:rFonts w:ascii="Verdana" w:hAnsi="Verdana"/>
          <w:sz w:val="16"/>
          <w:szCs w:val="16"/>
        </w:rPr>
        <w:t>ciertos</w:t>
      </w:r>
      <w:r w:rsidRPr="007F313C">
        <w:rPr>
          <w:rFonts w:ascii="Verdana" w:hAnsi="Verdana"/>
          <w:sz w:val="16"/>
          <w:szCs w:val="16"/>
        </w:rPr>
        <w:t xml:space="preserve"> problemas en el servicio de internet </w:t>
      </w:r>
      <w:r>
        <w:rPr>
          <w:rFonts w:ascii="Verdana" w:hAnsi="Verdana"/>
          <w:sz w:val="16"/>
          <w:szCs w:val="16"/>
        </w:rPr>
        <w:t>de la Corte</w:t>
      </w:r>
      <w:r w:rsidRPr="007F313C">
        <w:rPr>
          <w:rFonts w:ascii="Verdana" w:hAnsi="Verdana"/>
          <w:sz w:val="16"/>
          <w:szCs w:val="16"/>
        </w:rPr>
        <w:t xml:space="preserve"> durante el fin</w:t>
      </w:r>
      <w:r>
        <w:rPr>
          <w:rFonts w:ascii="Verdana" w:hAnsi="Verdana"/>
          <w:sz w:val="16"/>
          <w:szCs w:val="16"/>
        </w:rPr>
        <w:t>al del año</w:t>
      </w:r>
      <w:r w:rsidRPr="007F313C">
        <w:rPr>
          <w:rFonts w:ascii="Verdana" w:hAnsi="Verdana"/>
          <w:sz w:val="16"/>
          <w:szCs w:val="16"/>
        </w:rPr>
        <w:t xml:space="preserve"> de 2019, el plazo </w:t>
      </w:r>
      <w:r>
        <w:rPr>
          <w:rFonts w:ascii="Verdana" w:hAnsi="Verdana"/>
          <w:sz w:val="16"/>
          <w:szCs w:val="16"/>
        </w:rPr>
        <w:t>aludido</w:t>
      </w:r>
      <w:r w:rsidRPr="007F313C">
        <w:rPr>
          <w:rFonts w:ascii="Verdana" w:hAnsi="Verdana"/>
          <w:sz w:val="16"/>
          <w:szCs w:val="16"/>
        </w:rPr>
        <w:t xml:space="preserve"> comenzaría a regir a partir del 9 de enero de 2020.</w:t>
      </w:r>
      <w:r w:rsidRPr="007F313C">
        <w:rPr>
          <w:rFonts w:ascii="Verdana" w:hAnsi="Verdana"/>
          <w:b/>
          <w:sz w:val="16"/>
          <w:szCs w:val="16"/>
        </w:rPr>
        <w:t xml:space="preserve"> </w:t>
      </w:r>
    </w:p>
    <w:p w14:paraId="2BDCDB37" w14:textId="77777777" w:rsidR="0087743B" w:rsidRPr="007F313C" w:rsidRDefault="0087743B" w:rsidP="000C7C2E">
      <w:pPr>
        <w:pStyle w:val="Textonotapie"/>
        <w:jc w:val="both"/>
        <w:rPr>
          <w:rFonts w:ascii="Verdana" w:hAnsi="Verdana"/>
          <w:sz w:val="16"/>
          <w:szCs w:val="16"/>
        </w:rPr>
      </w:pPr>
    </w:p>
  </w:footnote>
  <w:footnote w:id="7">
    <w:p w14:paraId="52D29390" w14:textId="203AD617"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En relación con la fecha en que fueron presentadas las observaciones al reconocimiento de responsabilidad, corresponde aclarar lo que sigue: </w:t>
      </w:r>
      <w:r>
        <w:rPr>
          <w:rFonts w:ascii="Verdana" w:hAnsi="Verdana"/>
          <w:sz w:val="16"/>
          <w:szCs w:val="16"/>
        </w:rPr>
        <w:t>d</w:t>
      </w:r>
      <w:r w:rsidRPr="007F313C">
        <w:rPr>
          <w:rFonts w:ascii="Verdana" w:hAnsi="Verdana"/>
          <w:sz w:val="16"/>
          <w:szCs w:val="16"/>
        </w:rPr>
        <w:t xml:space="preserve">e acuerdo con el artículo 28 del Reglamento de la Corte, luego de presentar su contestación el 9 de marzo de 2020, Venezuela contaba con 21 días para allegar el escrito firmado y su documentación anexa. No obstante, ese plazo se vio suspendido el 17 de marzo de 2020, cuando comenzó a regir la suspensión de términos prevista en el Acuerdo 1/20 de la Corte, motivada por la pandemia </w:t>
      </w:r>
      <w:r>
        <w:rPr>
          <w:rFonts w:ascii="Verdana" w:hAnsi="Verdana"/>
          <w:sz w:val="16"/>
          <w:szCs w:val="16"/>
        </w:rPr>
        <w:t>d</w:t>
      </w:r>
      <w:r w:rsidRPr="007F313C">
        <w:rPr>
          <w:rFonts w:ascii="Verdana" w:hAnsi="Verdana"/>
          <w:sz w:val="16"/>
          <w:szCs w:val="16"/>
        </w:rPr>
        <w:t>e</w:t>
      </w:r>
      <w:r>
        <w:rPr>
          <w:rFonts w:ascii="Verdana" w:hAnsi="Verdana"/>
          <w:sz w:val="16"/>
          <w:szCs w:val="16"/>
        </w:rPr>
        <w:t xml:space="preserve"> </w:t>
      </w:r>
      <w:r w:rsidRPr="007F313C">
        <w:rPr>
          <w:rFonts w:ascii="Verdana" w:hAnsi="Verdana"/>
          <w:sz w:val="16"/>
          <w:szCs w:val="16"/>
        </w:rPr>
        <w:t>l</w:t>
      </w:r>
      <w:r>
        <w:rPr>
          <w:rFonts w:ascii="Verdana" w:hAnsi="Verdana"/>
          <w:sz w:val="16"/>
          <w:szCs w:val="16"/>
        </w:rPr>
        <w:t>a</w:t>
      </w:r>
      <w:r w:rsidRPr="007F313C">
        <w:rPr>
          <w:rFonts w:ascii="Verdana" w:hAnsi="Verdana"/>
          <w:sz w:val="16"/>
          <w:szCs w:val="16"/>
        </w:rPr>
        <w:t xml:space="preserve"> COVID-19, situación de púb</w:t>
      </w:r>
      <w:r>
        <w:rPr>
          <w:rFonts w:ascii="Verdana" w:hAnsi="Verdana"/>
          <w:sz w:val="16"/>
          <w:szCs w:val="16"/>
        </w:rPr>
        <w:t>l</w:t>
      </w:r>
      <w:r w:rsidRPr="007F313C">
        <w:rPr>
          <w:rFonts w:ascii="Verdana" w:hAnsi="Verdana"/>
          <w:sz w:val="16"/>
          <w:szCs w:val="16"/>
        </w:rPr>
        <w:t>ico y notorio conocimiento. La suspensión de términos fue luego prorrogada hasta el 20 de mayo de 2020 inclusive. El Estado presentó el escrito de contestación firmado y la documentación anexa al mismo el 2 de junio de 2020. El día 8 del mismo mes la contestación y la documentación anexa fueron traslados a la Comisión y a los representantes, otorgándoseles un plazo hasta el día 22 siguiente para que presentaran sus observaciones al reconocimiento de responsabilidad.</w:t>
      </w:r>
    </w:p>
    <w:p w14:paraId="7373D932" w14:textId="77777777" w:rsidR="0087743B" w:rsidRPr="007F313C" w:rsidRDefault="0087743B" w:rsidP="000C7C2E">
      <w:pPr>
        <w:pStyle w:val="Textonotapie"/>
        <w:jc w:val="both"/>
        <w:rPr>
          <w:rFonts w:ascii="Verdana" w:hAnsi="Verdana"/>
          <w:sz w:val="16"/>
          <w:szCs w:val="16"/>
        </w:rPr>
      </w:pPr>
    </w:p>
  </w:footnote>
  <w:footnote w:id="8">
    <w:p w14:paraId="06FBAB00" w14:textId="07DCBC1D"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En ella, no obstante, sólo se recibió la declaración del señor Jean Carlos Guerrero. Si bien también se había dispuesto </w:t>
      </w:r>
      <w:r>
        <w:rPr>
          <w:rFonts w:ascii="Verdana" w:hAnsi="Verdana"/>
          <w:sz w:val="16"/>
          <w:szCs w:val="16"/>
        </w:rPr>
        <w:t>recibir</w:t>
      </w:r>
      <w:r w:rsidRPr="007F313C">
        <w:rPr>
          <w:rFonts w:ascii="Verdana" w:hAnsi="Verdana"/>
          <w:sz w:val="16"/>
          <w:szCs w:val="16"/>
        </w:rPr>
        <w:t xml:space="preserve"> la </w:t>
      </w:r>
      <w:r>
        <w:rPr>
          <w:rFonts w:ascii="Verdana" w:hAnsi="Verdana"/>
          <w:sz w:val="16"/>
          <w:szCs w:val="16"/>
        </w:rPr>
        <w:t xml:space="preserve">de la </w:t>
      </w:r>
      <w:r w:rsidRPr="007F313C">
        <w:rPr>
          <w:rFonts w:ascii="Verdana" w:hAnsi="Verdana"/>
          <w:sz w:val="16"/>
          <w:szCs w:val="16"/>
        </w:rPr>
        <w:t xml:space="preserve">señora </w:t>
      </w:r>
      <w:proofErr w:type="spellStart"/>
      <w:r w:rsidRPr="007F313C">
        <w:rPr>
          <w:rFonts w:ascii="Verdana" w:hAnsi="Verdana"/>
          <w:sz w:val="16"/>
          <w:szCs w:val="16"/>
        </w:rPr>
        <w:t>Soleida</w:t>
      </w:r>
      <w:proofErr w:type="spellEnd"/>
      <w:r w:rsidRPr="007F313C">
        <w:rPr>
          <w:rFonts w:ascii="Verdana" w:hAnsi="Verdana"/>
          <w:sz w:val="16"/>
          <w:szCs w:val="16"/>
        </w:rPr>
        <w:t xml:space="preserve"> Morillo</w:t>
      </w:r>
      <w:r>
        <w:rPr>
          <w:rFonts w:ascii="Verdana" w:hAnsi="Verdana"/>
          <w:sz w:val="16"/>
          <w:szCs w:val="16"/>
        </w:rPr>
        <w:t>,</w:t>
      </w:r>
      <w:r w:rsidRPr="007F313C">
        <w:rPr>
          <w:rFonts w:ascii="Verdana" w:hAnsi="Verdana"/>
          <w:sz w:val="16"/>
          <w:szCs w:val="16"/>
        </w:rPr>
        <w:t xml:space="preserve"> </w:t>
      </w:r>
      <w:r>
        <w:rPr>
          <w:rFonts w:ascii="Verdana" w:hAnsi="Verdana"/>
          <w:sz w:val="16"/>
          <w:szCs w:val="16"/>
        </w:rPr>
        <w:t>e</w:t>
      </w:r>
      <w:r w:rsidRPr="007F313C">
        <w:rPr>
          <w:rFonts w:ascii="Verdana" w:hAnsi="Verdana"/>
          <w:sz w:val="16"/>
          <w:szCs w:val="16"/>
        </w:rPr>
        <w:t xml:space="preserve">l 23 de diciembre de 2020 los representantes informaron que no podían garantizar el acceso seguro a internet de </w:t>
      </w:r>
      <w:r>
        <w:rPr>
          <w:rFonts w:ascii="Verdana" w:hAnsi="Verdana"/>
          <w:sz w:val="16"/>
          <w:szCs w:val="16"/>
        </w:rPr>
        <w:t>ella</w:t>
      </w:r>
      <w:r w:rsidRPr="007F313C">
        <w:rPr>
          <w:rFonts w:ascii="Verdana" w:hAnsi="Verdana"/>
          <w:sz w:val="16"/>
          <w:szCs w:val="16"/>
        </w:rPr>
        <w:t xml:space="preserve"> y solicitaron que declare por escrito. Esto fue autorizado por medio de una comunicación de la Secretaría de 4 de enero de 2021. </w:t>
      </w:r>
      <w:r>
        <w:rPr>
          <w:rFonts w:ascii="Verdana" w:hAnsi="Verdana"/>
          <w:sz w:val="16"/>
          <w:szCs w:val="16"/>
        </w:rPr>
        <w:t xml:space="preserve">La Resolución de 13 de octubre de 2020 está disponible en internet: </w:t>
      </w:r>
      <w:hyperlink r:id="rId1" w:history="1">
        <w:r w:rsidRPr="009B58F0">
          <w:rPr>
            <w:rStyle w:val="Hipervnculo"/>
            <w:rFonts w:ascii="Verdana" w:hAnsi="Verdana"/>
            <w:color w:val="auto"/>
            <w:sz w:val="16"/>
            <w:szCs w:val="16"/>
            <w:u w:val="none"/>
          </w:rPr>
          <w:t>https://www.corteidh.or.cr/docs/asuntos/guerreromolina_13_10_20.pdf</w:t>
        </w:r>
      </w:hyperlink>
    </w:p>
    <w:p w14:paraId="0E180998" w14:textId="77777777" w:rsidR="0087743B" w:rsidRPr="007F313C" w:rsidRDefault="0087743B" w:rsidP="000C7C2E">
      <w:pPr>
        <w:pStyle w:val="Textonotapie"/>
        <w:jc w:val="both"/>
        <w:rPr>
          <w:rFonts w:ascii="Verdana" w:hAnsi="Verdana"/>
          <w:sz w:val="16"/>
          <w:szCs w:val="16"/>
        </w:rPr>
      </w:pPr>
    </w:p>
  </w:footnote>
  <w:footnote w:id="9">
    <w:p w14:paraId="4B34C850" w14:textId="7CC9EE21"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ab/>
        <w:t xml:space="preserve">Las observaciones finales escritas de la Comisión y los alegatos finales escritos del Estado y los representantes, así como los anexos a éstos últimos, fueron trasladados a las partes y a la Comisión. Se fijó un plazo, hasta el 19 de marzo de 2021, para que el Estado y la Comisión remitieran, si lo estimaban conducente, observaciones sobre los anexos aludidos. No obstante, no remitieron observaciones. </w:t>
      </w:r>
    </w:p>
    <w:p w14:paraId="42F57277" w14:textId="77777777" w:rsidR="0087743B" w:rsidRPr="007F313C" w:rsidRDefault="0087743B" w:rsidP="000C7C2E">
      <w:pPr>
        <w:pStyle w:val="Textonotapie"/>
        <w:jc w:val="both"/>
        <w:rPr>
          <w:rFonts w:ascii="Verdana" w:hAnsi="Verdana"/>
          <w:sz w:val="16"/>
          <w:szCs w:val="16"/>
        </w:rPr>
      </w:pPr>
    </w:p>
  </w:footnote>
  <w:footnote w:id="10">
    <w:p w14:paraId="5D350B0E" w14:textId="77777777" w:rsidR="0087743B"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Debido a las circunstancias excepcionales ocasionadas por la pandemia </w:t>
      </w:r>
      <w:r>
        <w:rPr>
          <w:rFonts w:ascii="Verdana" w:hAnsi="Verdana"/>
          <w:sz w:val="16"/>
          <w:szCs w:val="16"/>
        </w:rPr>
        <w:t xml:space="preserve">de la </w:t>
      </w:r>
      <w:r w:rsidRPr="007F313C">
        <w:rPr>
          <w:rFonts w:ascii="Verdana" w:hAnsi="Verdana"/>
          <w:sz w:val="16"/>
          <w:szCs w:val="16"/>
        </w:rPr>
        <w:t xml:space="preserve">COVID-19, esta Sentencia fue deliberada y aprobada durante el </w:t>
      </w:r>
      <w:r w:rsidRPr="00A70195">
        <w:rPr>
          <w:rFonts w:ascii="Verdana" w:hAnsi="Verdana"/>
          <w:sz w:val="16"/>
          <w:szCs w:val="16"/>
        </w:rPr>
        <w:t>142</w:t>
      </w:r>
      <w:r w:rsidRPr="007F313C">
        <w:rPr>
          <w:rFonts w:ascii="Verdana" w:hAnsi="Verdana"/>
          <w:sz w:val="16"/>
          <w:szCs w:val="16"/>
        </w:rPr>
        <w:t xml:space="preserve"> Período Ordinario de Sesiones, el cual se llevó a cabo de forma no presencial utilizando medios tecnológicos de conformidad con lo establecido en el Reglamento de la Corte.</w:t>
      </w:r>
    </w:p>
    <w:p w14:paraId="56F61165" w14:textId="77777777" w:rsidR="0087743B" w:rsidRPr="007F313C" w:rsidRDefault="0087743B" w:rsidP="000C7C2E">
      <w:pPr>
        <w:pStyle w:val="Textonotapie"/>
        <w:jc w:val="both"/>
        <w:rPr>
          <w:rFonts w:ascii="Verdana" w:hAnsi="Verdana"/>
          <w:sz w:val="16"/>
          <w:szCs w:val="16"/>
        </w:rPr>
      </w:pPr>
    </w:p>
  </w:footnote>
  <w:footnote w:id="11">
    <w:p w14:paraId="39062C74" w14:textId="7FCCAEF6"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Expresaron</w:t>
      </w:r>
      <w:r>
        <w:rPr>
          <w:rFonts w:ascii="Verdana" w:hAnsi="Verdana"/>
          <w:sz w:val="16"/>
          <w:szCs w:val="16"/>
        </w:rPr>
        <w:t xml:space="preserve">, en cuanto a los hechos, </w:t>
      </w:r>
      <w:r w:rsidRPr="007F313C">
        <w:rPr>
          <w:rFonts w:ascii="Verdana" w:hAnsi="Verdana"/>
          <w:sz w:val="16"/>
          <w:szCs w:val="16"/>
        </w:rPr>
        <w:t>que el E</w:t>
      </w:r>
      <w:r>
        <w:rPr>
          <w:rFonts w:ascii="Verdana" w:hAnsi="Verdana"/>
          <w:sz w:val="16"/>
          <w:szCs w:val="16"/>
        </w:rPr>
        <w:t>stado no se refirió al contexto ni</w:t>
      </w:r>
      <w:r w:rsidRPr="007F313C">
        <w:rPr>
          <w:rFonts w:ascii="Verdana" w:hAnsi="Verdana"/>
          <w:sz w:val="16"/>
          <w:szCs w:val="16"/>
        </w:rPr>
        <w:t xml:space="preserve"> a las “denuncias y detenciones” a Jimmy Guerrero antes de su ejecución, </w:t>
      </w:r>
      <w:r>
        <w:rPr>
          <w:rFonts w:ascii="Verdana" w:hAnsi="Verdana"/>
          <w:sz w:val="16"/>
          <w:szCs w:val="16"/>
        </w:rPr>
        <w:t xml:space="preserve">como tampoco </w:t>
      </w:r>
      <w:r w:rsidRPr="007F313C">
        <w:rPr>
          <w:rFonts w:ascii="Verdana" w:hAnsi="Verdana"/>
          <w:sz w:val="16"/>
          <w:szCs w:val="16"/>
        </w:rPr>
        <w:t>a las investigaciones y procesos judiciales iniciados a nivel interno. Notaron también que el Estado afirmó que “Jimmy Guerrero resultó fallecido de manera inmediata, luego de recibir diversos impactos de proyectil disparados por arma de fuego”</w:t>
      </w:r>
      <w:r>
        <w:rPr>
          <w:rFonts w:ascii="Verdana" w:hAnsi="Verdana"/>
          <w:sz w:val="16"/>
          <w:szCs w:val="16"/>
        </w:rPr>
        <w:t>, lo que no fue así determinado en el Informe de Fondo</w:t>
      </w:r>
      <w:r w:rsidRPr="007F313C">
        <w:rPr>
          <w:rFonts w:ascii="Verdana" w:hAnsi="Verdana"/>
          <w:sz w:val="16"/>
          <w:szCs w:val="16"/>
        </w:rPr>
        <w:t xml:space="preserve">. </w:t>
      </w:r>
      <w:r>
        <w:rPr>
          <w:rFonts w:ascii="Verdana" w:hAnsi="Verdana"/>
          <w:sz w:val="16"/>
          <w:szCs w:val="16"/>
        </w:rPr>
        <w:t xml:space="preserve">Advirtieron, respecto al derecho, </w:t>
      </w:r>
      <w:r w:rsidRPr="007F313C">
        <w:rPr>
          <w:rFonts w:ascii="Verdana" w:hAnsi="Verdana"/>
          <w:sz w:val="16"/>
          <w:szCs w:val="16"/>
        </w:rPr>
        <w:t xml:space="preserve">que el Estado reconoció la violación al artículo 2 de la Convención, que no fue indicado ni por la Comisión ni por los representantes. Además, adujeron que Venezuela no se refirió a distintas violaciones a derechos humanos alegadas en el escrito de solicitudes y argumentos, a saber: a) la detención ilegal y arbitraria de Jimmy Guerrero; b) la falta de comunicación a Jimmy Guerrero de las razones de su detención; c) no haber llevado a Jimmy Guerrero ante un juez de modo oportuno; d) las “amenazas y graves lesiones físicas que no fueron investigad[a]s, en manos de agentes estatales que, en su conjunto, son tortura”, y </w:t>
      </w:r>
      <w:proofErr w:type="spellStart"/>
      <w:r w:rsidRPr="007F313C">
        <w:rPr>
          <w:rFonts w:ascii="Verdana" w:hAnsi="Verdana"/>
          <w:sz w:val="16"/>
          <w:szCs w:val="16"/>
        </w:rPr>
        <w:t>e</w:t>
      </w:r>
      <w:proofErr w:type="spellEnd"/>
      <w:r w:rsidRPr="007F313C">
        <w:rPr>
          <w:rFonts w:ascii="Verdana" w:hAnsi="Verdana"/>
          <w:sz w:val="16"/>
          <w:szCs w:val="16"/>
        </w:rPr>
        <w:t>) no haber investigado las amenazas y hostigamientos sufrid[o]s por Jimmy Guerrero</w:t>
      </w:r>
      <w:r>
        <w:rPr>
          <w:rFonts w:ascii="Verdana" w:hAnsi="Verdana"/>
          <w:sz w:val="16"/>
          <w:szCs w:val="16"/>
        </w:rPr>
        <w:t>.</w:t>
      </w:r>
    </w:p>
    <w:p w14:paraId="3CE43309" w14:textId="77777777" w:rsidR="0087743B" w:rsidRPr="007F313C" w:rsidRDefault="0087743B" w:rsidP="000C7C2E">
      <w:pPr>
        <w:pStyle w:val="Textonotapie"/>
        <w:jc w:val="both"/>
        <w:rPr>
          <w:rFonts w:ascii="Verdana" w:hAnsi="Verdana"/>
          <w:sz w:val="16"/>
          <w:szCs w:val="16"/>
        </w:rPr>
      </w:pPr>
    </w:p>
  </w:footnote>
  <w:footnote w:id="12">
    <w:p w14:paraId="1986B265" w14:textId="1E444B72" w:rsidR="0087743B" w:rsidRPr="007F313C" w:rsidRDefault="0087743B" w:rsidP="000C7C2E">
      <w:pPr>
        <w:pStyle w:val="Textonotapie"/>
        <w:jc w:val="both"/>
        <w:rPr>
          <w:rFonts w:ascii="Verdana" w:hAnsi="Verdana"/>
          <w:b/>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En ese sentido, señaló que, si bien el Estado afirmó que Jimmy Guerrero falleció de forma inmediata por un disparo de arma de fuego, </w:t>
      </w:r>
      <w:r>
        <w:rPr>
          <w:rFonts w:ascii="Verdana" w:hAnsi="Verdana"/>
          <w:sz w:val="16"/>
          <w:szCs w:val="16"/>
        </w:rPr>
        <w:t>de eso no se desprende el reconocimiento</w:t>
      </w:r>
      <w:r w:rsidRPr="007F313C">
        <w:rPr>
          <w:rFonts w:ascii="Verdana" w:hAnsi="Verdana"/>
          <w:sz w:val="16"/>
          <w:szCs w:val="16"/>
        </w:rPr>
        <w:t xml:space="preserve"> </w:t>
      </w:r>
      <w:r>
        <w:rPr>
          <w:rFonts w:ascii="Verdana" w:hAnsi="Verdana"/>
          <w:sz w:val="16"/>
          <w:szCs w:val="16"/>
        </w:rPr>
        <w:t>d</w:t>
      </w:r>
      <w:r w:rsidRPr="007F313C">
        <w:rPr>
          <w:rFonts w:ascii="Verdana" w:hAnsi="Verdana"/>
          <w:sz w:val="16"/>
          <w:szCs w:val="16"/>
        </w:rPr>
        <w:t xml:space="preserve">el </w:t>
      </w:r>
      <w:r>
        <w:rPr>
          <w:rFonts w:ascii="Verdana" w:hAnsi="Verdana"/>
          <w:sz w:val="16"/>
          <w:szCs w:val="16"/>
        </w:rPr>
        <w:t>“</w:t>
      </w:r>
      <w:r w:rsidRPr="007F313C">
        <w:rPr>
          <w:rFonts w:ascii="Verdana" w:hAnsi="Verdana"/>
          <w:sz w:val="16"/>
          <w:szCs w:val="16"/>
        </w:rPr>
        <w:t>incumplimiento del deber de prevención”.</w:t>
      </w:r>
      <w:r w:rsidRPr="007F313C">
        <w:rPr>
          <w:rFonts w:ascii="Verdana" w:hAnsi="Verdana"/>
          <w:b/>
          <w:sz w:val="16"/>
          <w:szCs w:val="16"/>
        </w:rPr>
        <w:t xml:space="preserve"> </w:t>
      </w:r>
      <w:r w:rsidRPr="007F313C">
        <w:rPr>
          <w:rFonts w:ascii="Verdana" w:hAnsi="Verdana"/>
          <w:sz w:val="16"/>
          <w:szCs w:val="16"/>
        </w:rPr>
        <w:t>Además, expresó que Venezuela no precisó los hechos de los cuales derivaría su responsabilidad por l</w:t>
      </w:r>
      <w:r>
        <w:rPr>
          <w:rFonts w:ascii="Verdana" w:hAnsi="Verdana"/>
          <w:sz w:val="16"/>
          <w:szCs w:val="16"/>
        </w:rPr>
        <w:t>as</w:t>
      </w:r>
      <w:r w:rsidRPr="007F313C">
        <w:rPr>
          <w:rFonts w:ascii="Verdana" w:hAnsi="Verdana"/>
          <w:sz w:val="16"/>
          <w:szCs w:val="16"/>
        </w:rPr>
        <w:t xml:space="preserve"> violaciones </w:t>
      </w:r>
      <w:r>
        <w:rPr>
          <w:rFonts w:ascii="Verdana" w:hAnsi="Verdana"/>
          <w:sz w:val="16"/>
          <w:szCs w:val="16"/>
        </w:rPr>
        <w:t xml:space="preserve">al </w:t>
      </w:r>
      <w:r w:rsidRPr="007F313C">
        <w:rPr>
          <w:rFonts w:ascii="Verdana" w:hAnsi="Verdana"/>
          <w:sz w:val="16"/>
          <w:szCs w:val="16"/>
        </w:rPr>
        <w:t>derecho a la integridad personal, en perjuicio de familiares de los señores Guerrero y Molina, ni tampoco aquellos de los que se desprendería su responsabilidad por la violación de los derechos a las garantías y protección judiciales, la cuales reconoció.</w:t>
      </w:r>
    </w:p>
    <w:p w14:paraId="5F76832A" w14:textId="77777777" w:rsidR="0087743B" w:rsidRPr="007F313C" w:rsidRDefault="0087743B" w:rsidP="000C7C2E">
      <w:pPr>
        <w:pStyle w:val="Textonotapie"/>
        <w:jc w:val="both"/>
        <w:rPr>
          <w:rFonts w:ascii="Verdana" w:hAnsi="Verdana"/>
          <w:sz w:val="16"/>
          <w:szCs w:val="16"/>
        </w:rPr>
      </w:pPr>
    </w:p>
  </w:footnote>
  <w:footnote w:id="13">
    <w:p w14:paraId="6092BE1E" w14:textId="6F2A7213" w:rsidR="0087743B" w:rsidRPr="007F313C" w:rsidRDefault="0087743B" w:rsidP="000C7C2E">
      <w:pPr>
        <w:pStyle w:val="Textonotapie"/>
        <w:ind w:right="49"/>
        <w:jc w:val="both"/>
        <w:rPr>
          <w:rFonts w:ascii="Verdana" w:hAnsi="Verdana"/>
          <w:sz w:val="16"/>
          <w:szCs w:val="16"/>
        </w:rPr>
      </w:pPr>
      <w:r w:rsidRPr="007F313C">
        <w:rPr>
          <w:rStyle w:val="Refdenotaalpie"/>
          <w:rFonts w:ascii="Verdana" w:hAnsi="Verdana"/>
          <w:sz w:val="16"/>
          <w:szCs w:val="16"/>
        </w:rPr>
        <w:footnoteRef/>
      </w:r>
      <w:r w:rsidRPr="006244E4">
        <w:rPr>
          <w:rFonts w:ascii="Verdana" w:hAnsi="Verdana"/>
          <w:sz w:val="16"/>
          <w:szCs w:val="16"/>
          <w:lang w:val="pt-BR"/>
        </w:rPr>
        <w:t xml:space="preserve"> </w:t>
      </w:r>
      <w:r w:rsidRPr="006244E4">
        <w:rPr>
          <w:rFonts w:ascii="Verdana" w:hAnsi="Verdana"/>
          <w:sz w:val="16"/>
          <w:szCs w:val="16"/>
          <w:lang w:val="pt-BR"/>
        </w:rPr>
        <w:tab/>
      </w:r>
      <w:r w:rsidRPr="007F313C">
        <w:rPr>
          <w:rFonts w:ascii="Verdana" w:hAnsi="Verdana"/>
          <w:i/>
          <w:sz w:val="16"/>
          <w:szCs w:val="16"/>
          <w:lang w:val="pt-BR"/>
        </w:rPr>
        <w:t xml:space="preserve">Cfr. Caso Manuel </w:t>
      </w:r>
      <w:proofErr w:type="spellStart"/>
      <w:r w:rsidRPr="007F313C">
        <w:rPr>
          <w:rFonts w:ascii="Verdana" w:hAnsi="Verdana"/>
          <w:i/>
          <w:sz w:val="16"/>
          <w:szCs w:val="16"/>
          <w:lang w:val="pt-BR"/>
        </w:rPr>
        <w:t>Cepeda</w:t>
      </w:r>
      <w:proofErr w:type="spellEnd"/>
      <w:r w:rsidRPr="007F313C">
        <w:rPr>
          <w:rFonts w:ascii="Verdana" w:hAnsi="Verdana"/>
          <w:i/>
          <w:sz w:val="16"/>
          <w:szCs w:val="16"/>
          <w:lang w:val="pt-BR"/>
        </w:rPr>
        <w:t xml:space="preserve"> Vargas Vs. </w:t>
      </w:r>
      <w:r w:rsidRPr="007F313C">
        <w:rPr>
          <w:rFonts w:ascii="Verdana" w:hAnsi="Verdana"/>
          <w:i/>
          <w:sz w:val="16"/>
          <w:szCs w:val="16"/>
        </w:rPr>
        <w:t>Colombia</w:t>
      </w:r>
      <w:r w:rsidRPr="007F313C">
        <w:rPr>
          <w:rFonts w:ascii="Verdana" w:hAnsi="Verdana"/>
          <w:sz w:val="16"/>
          <w:szCs w:val="16"/>
        </w:rPr>
        <w:t xml:space="preserve">. </w:t>
      </w:r>
      <w:r w:rsidRPr="007F313C">
        <w:rPr>
          <w:rFonts w:ascii="Verdana" w:hAnsi="Verdana"/>
          <w:i/>
          <w:sz w:val="16"/>
          <w:szCs w:val="16"/>
        </w:rPr>
        <w:t>Excepciones Preliminares, Fondo, Reparaciones y Costas.</w:t>
      </w:r>
      <w:r w:rsidRPr="007F313C">
        <w:rPr>
          <w:rFonts w:ascii="Verdana" w:hAnsi="Verdana"/>
          <w:sz w:val="16"/>
          <w:szCs w:val="16"/>
        </w:rPr>
        <w:t xml:space="preserve"> Sentencia de 26 de mayo de 2010. Serie C No. 213, párr. 17, </w:t>
      </w:r>
      <w:r w:rsidRPr="002A52BE">
        <w:rPr>
          <w:rFonts w:ascii="Verdana" w:hAnsi="Verdana"/>
          <w:sz w:val="16"/>
          <w:szCs w:val="16"/>
        </w:rPr>
        <w:t>y</w:t>
      </w:r>
      <w:r w:rsidRPr="00A70195">
        <w:rPr>
          <w:rFonts w:ascii="Verdana" w:hAnsi="Verdana"/>
          <w:i/>
          <w:sz w:val="16"/>
          <w:szCs w:val="16"/>
        </w:rPr>
        <w:t xml:space="preserve"> Caso Vicky Hernández y otras Vs. Honduras</w:t>
      </w:r>
      <w:r w:rsidRPr="002A52BE">
        <w:rPr>
          <w:rFonts w:ascii="Verdana" w:hAnsi="Verdana"/>
          <w:sz w:val="16"/>
          <w:szCs w:val="16"/>
        </w:rPr>
        <w:t>. Fondo, Reparaciones y Costas. Sentencia de 26 de</w:t>
      </w:r>
      <w:r>
        <w:rPr>
          <w:rFonts w:ascii="Verdana" w:hAnsi="Verdana"/>
          <w:sz w:val="16"/>
          <w:szCs w:val="16"/>
        </w:rPr>
        <w:t xml:space="preserve"> marzo de 2021. Serie C No. 422</w:t>
      </w:r>
      <w:r w:rsidRPr="007F313C">
        <w:rPr>
          <w:rFonts w:ascii="Verdana" w:hAnsi="Verdana"/>
          <w:sz w:val="16"/>
          <w:szCs w:val="16"/>
        </w:rPr>
        <w:t>, párr. 1</w:t>
      </w:r>
      <w:r>
        <w:rPr>
          <w:rFonts w:ascii="Verdana" w:hAnsi="Verdana"/>
          <w:sz w:val="16"/>
          <w:szCs w:val="16"/>
        </w:rPr>
        <w:t>6</w:t>
      </w:r>
      <w:r w:rsidRPr="007F313C">
        <w:rPr>
          <w:rFonts w:ascii="Verdana" w:hAnsi="Verdana"/>
          <w:sz w:val="16"/>
          <w:szCs w:val="16"/>
        </w:rPr>
        <w:t>.</w:t>
      </w:r>
    </w:p>
    <w:p w14:paraId="78947942" w14:textId="77777777" w:rsidR="0087743B" w:rsidRPr="007F313C" w:rsidRDefault="0087743B" w:rsidP="000C7C2E">
      <w:pPr>
        <w:pStyle w:val="Textonotapie"/>
        <w:ind w:right="-943"/>
        <w:jc w:val="both"/>
        <w:rPr>
          <w:rFonts w:ascii="Verdana" w:hAnsi="Verdana"/>
          <w:sz w:val="16"/>
          <w:szCs w:val="16"/>
        </w:rPr>
      </w:pPr>
      <w:r w:rsidRPr="007F313C">
        <w:rPr>
          <w:rFonts w:ascii="Verdana" w:hAnsi="Verdana"/>
          <w:sz w:val="16"/>
          <w:szCs w:val="16"/>
        </w:rPr>
        <w:t xml:space="preserve"> </w:t>
      </w:r>
    </w:p>
  </w:footnote>
  <w:footnote w:id="14">
    <w:p w14:paraId="72FCDC8C" w14:textId="3E8CB958"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ab/>
        <w:t xml:space="preserve">La Comisión y los representantes luego, en sus observaciones finales escritas y alegatos finales escritos, respectivamente, presentaron consideraciones distintas, </w:t>
      </w:r>
      <w:r>
        <w:rPr>
          <w:rFonts w:ascii="Verdana" w:hAnsi="Verdana"/>
          <w:sz w:val="16"/>
          <w:szCs w:val="16"/>
        </w:rPr>
        <w:t>teniendo en cuenta</w:t>
      </w:r>
      <w:r w:rsidRPr="007F313C">
        <w:rPr>
          <w:rFonts w:ascii="Verdana" w:hAnsi="Verdana"/>
          <w:sz w:val="16"/>
          <w:szCs w:val="16"/>
        </w:rPr>
        <w:t xml:space="preserve"> prueba producida en el proceso ante la Corte. Así, la Comisión afirmó que “si bien […] no determinó la ocurrencia de torturas en su [I]</w:t>
      </w:r>
      <w:proofErr w:type="spellStart"/>
      <w:r w:rsidRPr="007F313C">
        <w:rPr>
          <w:rFonts w:ascii="Verdana" w:hAnsi="Verdana"/>
          <w:sz w:val="16"/>
          <w:szCs w:val="16"/>
        </w:rPr>
        <w:t>nforme</w:t>
      </w:r>
      <w:proofErr w:type="spellEnd"/>
      <w:r w:rsidRPr="007F313C">
        <w:rPr>
          <w:rFonts w:ascii="Verdana" w:hAnsi="Verdana"/>
          <w:sz w:val="16"/>
          <w:szCs w:val="16"/>
        </w:rPr>
        <w:t xml:space="preserve"> de [F]</w:t>
      </w:r>
      <w:proofErr w:type="spellStart"/>
      <w:r w:rsidRPr="007F313C">
        <w:rPr>
          <w:rFonts w:ascii="Verdana" w:hAnsi="Verdana"/>
          <w:sz w:val="16"/>
          <w:szCs w:val="16"/>
        </w:rPr>
        <w:t>ondo</w:t>
      </w:r>
      <w:proofErr w:type="spellEnd"/>
      <w:r w:rsidRPr="007F313C">
        <w:rPr>
          <w:rFonts w:ascii="Verdana" w:hAnsi="Verdana"/>
          <w:sz w:val="16"/>
          <w:szCs w:val="16"/>
        </w:rPr>
        <w:t>, […], con los elementos aportados al proceso resulta posible […] que la Corte verifique los elementos de la tortura en perjuicio [de Jimmy Guerrero] durante el ataque que acabó con [su] vida”. Los representantes, por su parte,</w:t>
      </w:r>
      <w:r w:rsidRPr="007F313C">
        <w:rPr>
          <w:rFonts w:ascii="Verdana" w:hAnsi="Verdana"/>
          <w:b/>
          <w:sz w:val="16"/>
          <w:szCs w:val="16"/>
        </w:rPr>
        <w:t xml:space="preserve"> </w:t>
      </w:r>
      <w:r w:rsidRPr="007F313C">
        <w:rPr>
          <w:rFonts w:ascii="Verdana" w:hAnsi="Verdana"/>
          <w:sz w:val="16"/>
          <w:szCs w:val="16"/>
        </w:rPr>
        <w:t xml:space="preserve">aseveraron “Jimmy Guerrero fue arrastrado, golpeado y atropellado de manera intencional momento previos a su muerte”, y que ello constituyó “tortura”. La </w:t>
      </w:r>
      <w:r>
        <w:rPr>
          <w:rFonts w:ascii="Verdana" w:hAnsi="Verdana"/>
          <w:sz w:val="16"/>
          <w:szCs w:val="16"/>
        </w:rPr>
        <w:t>posibilidad</w:t>
      </w:r>
      <w:r w:rsidRPr="007F313C">
        <w:rPr>
          <w:rFonts w:ascii="Verdana" w:hAnsi="Verdana"/>
          <w:sz w:val="16"/>
          <w:szCs w:val="16"/>
        </w:rPr>
        <w:t xml:space="preserve"> de exam</w:t>
      </w:r>
      <w:r>
        <w:rPr>
          <w:rFonts w:ascii="Verdana" w:hAnsi="Verdana"/>
          <w:sz w:val="16"/>
          <w:szCs w:val="16"/>
        </w:rPr>
        <w:t>inar</w:t>
      </w:r>
      <w:r w:rsidRPr="007F313C">
        <w:rPr>
          <w:rFonts w:ascii="Verdana" w:hAnsi="Verdana"/>
          <w:sz w:val="16"/>
          <w:szCs w:val="16"/>
        </w:rPr>
        <w:t xml:space="preserve"> estos alegatos es </w:t>
      </w:r>
      <w:r>
        <w:rPr>
          <w:rFonts w:ascii="Verdana" w:hAnsi="Verdana"/>
          <w:sz w:val="16"/>
          <w:szCs w:val="16"/>
        </w:rPr>
        <w:t>tratada</w:t>
      </w:r>
      <w:r w:rsidRPr="007F313C">
        <w:rPr>
          <w:rFonts w:ascii="Verdana" w:hAnsi="Verdana"/>
          <w:sz w:val="16"/>
          <w:szCs w:val="16"/>
        </w:rPr>
        <w:t xml:space="preserve"> más adelante (</w:t>
      </w:r>
      <w:r w:rsidRPr="007F313C">
        <w:rPr>
          <w:rFonts w:ascii="Verdana" w:hAnsi="Verdana"/>
          <w:i/>
          <w:sz w:val="16"/>
          <w:szCs w:val="16"/>
        </w:rPr>
        <w:t xml:space="preserve">infra </w:t>
      </w:r>
      <w:r w:rsidRPr="007F313C">
        <w:rPr>
          <w:rFonts w:ascii="Verdana" w:hAnsi="Verdana"/>
          <w:sz w:val="16"/>
          <w:szCs w:val="16"/>
        </w:rPr>
        <w:t xml:space="preserve">párr. </w:t>
      </w:r>
      <w:r>
        <w:rPr>
          <w:rFonts w:ascii="Verdana" w:hAnsi="Verdana"/>
          <w:sz w:val="16"/>
          <w:szCs w:val="16"/>
        </w:rPr>
        <w:t>126)</w:t>
      </w:r>
      <w:r w:rsidRPr="007F313C">
        <w:rPr>
          <w:rFonts w:ascii="Verdana" w:hAnsi="Verdana"/>
          <w:sz w:val="16"/>
          <w:szCs w:val="16"/>
        </w:rPr>
        <w:t>.</w:t>
      </w:r>
    </w:p>
    <w:p w14:paraId="69A5E590" w14:textId="77777777" w:rsidR="0087743B" w:rsidRPr="007F313C" w:rsidRDefault="0087743B" w:rsidP="000C7C2E">
      <w:pPr>
        <w:pStyle w:val="Textonotapie"/>
        <w:jc w:val="both"/>
        <w:rPr>
          <w:rFonts w:ascii="Verdana" w:hAnsi="Verdana"/>
          <w:sz w:val="16"/>
          <w:szCs w:val="16"/>
        </w:rPr>
      </w:pPr>
    </w:p>
  </w:footnote>
  <w:footnote w:id="15">
    <w:p w14:paraId="1C64A526" w14:textId="77777777" w:rsidR="0087743B" w:rsidRPr="00620163" w:rsidRDefault="0087743B" w:rsidP="000C7C2E">
      <w:pPr>
        <w:pStyle w:val="Textonotapie"/>
        <w:jc w:val="both"/>
        <w:rPr>
          <w:rFonts w:ascii="Verdana" w:hAnsi="Verdana"/>
          <w:sz w:val="16"/>
          <w:szCs w:val="16"/>
        </w:rPr>
      </w:pPr>
      <w:r w:rsidRPr="00620163">
        <w:rPr>
          <w:rStyle w:val="Refdenotaalpie"/>
          <w:rFonts w:ascii="Verdana" w:hAnsi="Verdana"/>
          <w:sz w:val="16"/>
          <w:szCs w:val="16"/>
        </w:rPr>
        <w:footnoteRef/>
      </w:r>
      <w:r w:rsidRPr="00620163">
        <w:rPr>
          <w:rFonts w:ascii="Verdana" w:hAnsi="Verdana"/>
          <w:sz w:val="16"/>
          <w:szCs w:val="16"/>
        </w:rPr>
        <w:t xml:space="preserve">  </w:t>
      </w:r>
      <w:r w:rsidRPr="00620163">
        <w:rPr>
          <w:rFonts w:ascii="Verdana" w:hAnsi="Verdana"/>
          <w:sz w:val="16"/>
          <w:szCs w:val="16"/>
        </w:rPr>
        <w:tab/>
        <w:t>Es preciso aclarar que</w:t>
      </w:r>
      <w:r>
        <w:rPr>
          <w:rFonts w:ascii="Verdana" w:hAnsi="Verdana"/>
          <w:sz w:val="16"/>
          <w:szCs w:val="16"/>
        </w:rPr>
        <w:t>,</w:t>
      </w:r>
      <w:r w:rsidRPr="00620163">
        <w:rPr>
          <w:rFonts w:ascii="Verdana" w:hAnsi="Verdana"/>
          <w:sz w:val="16"/>
          <w:szCs w:val="16"/>
        </w:rPr>
        <w:t xml:space="preserve"> aunque las violaciones a derechos humanos aludidas, señaladas por los representantes, no fueron determinadas en el Informe de Fondo, las circunstancias fácticas en que los representantes las sustentan sí fueron referidas en esa decisión de la Comisión Interamericana</w:t>
      </w:r>
      <w:r>
        <w:rPr>
          <w:rFonts w:ascii="Verdana" w:hAnsi="Verdana"/>
          <w:sz w:val="16"/>
          <w:szCs w:val="16"/>
        </w:rPr>
        <w:t>, que las consideró como parte del marco fáctico del caso que sustentó las conclusiones a las que arribó</w:t>
      </w:r>
      <w:r w:rsidRPr="00620163">
        <w:rPr>
          <w:rFonts w:ascii="Verdana" w:hAnsi="Verdana"/>
          <w:sz w:val="16"/>
          <w:szCs w:val="16"/>
        </w:rPr>
        <w:t xml:space="preserve">. </w:t>
      </w:r>
    </w:p>
    <w:p w14:paraId="5C20627E" w14:textId="77777777" w:rsidR="0087743B" w:rsidRDefault="0087743B" w:rsidP="000C7C2E">
      <w:pPr>
        <w:pStyle w:val="Textonotapie"/>
      </w:pPr>
    </w:p>
  </w:footnote>
  <w:footnote w:id="16">
    <w:p w14:paraId="616F64BF" w14:textId="1A9A37C8" w:rsidR="0087743B" w:rsidRPr="007F313C" w:rsidRDefault="0087743B" w:rsidP="000C7C2E">
      <w:pPr>
        <w:pStyle w:val="Textonotapie"/>
        <w:jc w:val="both"/>
        <w:rPr>
          <w:rFonts w:ascii="Verdana" w:hAnsi="Verdana"/>
          <w:b/>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La Comisión y los representantes</w:t>
      </w:r>
      <w:r>
        <w:rPr>
          <w:rFonts w:ascii="Verdana" w:hAnsi="Verdana"/>
          <w:sz w:val="16"/>
          <w:szCs w:val="16"/>
        </w:rPr>
        <w:t>, en el Informe de Fondo y en el escrito de solicitudes y argumentos, respectivamente,</w:t>
      </w:r>
      <w:r w:rsidRPr="007F313C">
        <w:rPr>
          <w:rFonts w:ascii="Verdana" w:hAnsi="Verdana"/>
          <w:sz w:val="16"/>
          <w:szCs w:val="16"/>
        </w:rPr>
        <w:t xml:space="preserve"> arguyeron la vulneración de los artículos 1, 6 y 8 de la Convención Interamericana para Prevenir y Sancionar la Tortura de modo diverso: </w:t>
      </w:r>
      <w:r>
        <w:rPr>
          <w:rFonts w:ascii="Verdana" w:hAnsi="Verdana"/>
          <w:sz w:val="16"/>
          <w:szCs w:val="16"/>
        </w:rPr>
        <w:t>l</w:t>
      </w:r>
      <w:r w:rsidRPr="007F313C">
        <w:rPr>
          <w:rFonts w:ascii="Verdana" w:hAnsi="Verdana"/>
          <w:sz w:val="16"/>
          <w:szCs w:val="16"/>
        </w:rPr>
        <w:t>a primera</w:t>
      </w:r>
      <w:r>
        <w:rPr>
          <w:rFonts w:ascii="Verdana" w:hAnsi="Verdana"/>
          <w:sz w:val="16"/>
          <w:szCs w:val="16"/>
        </w:rPr>
        <w:t xml:space="preserve"> </w:t>
      </w:r>
      <w:r w:rsidRPr="007F313C">
        <w:rPr>
          <w:rFonts w:ascii="Verdana" w:hAnsi="Verdana"/>
          <w:sz w:val="16"/>
          <w:szCs w:val="16"/>
        </w:rPr>
        <w:t>adujo esa vulneración, en perjuicio de Jimmy Guerrero, respecto a la omisión del inicio oficioso de una investigación de presuntos actos de tortura, en relación con agresiones que habría sufrido en el momento del ataque que derivó en su muerte. Los segundos, por su parte, argumentaron también que dichos artículos se violaron por la omisión de investigación de actos de tortura, pero afirmaron que ello se refirió a la indagación sobre actos ocurridos dí</w:t>
      </w:r>
      <w:r>
        <w:rPr>
          <w:rFonts w:ascii="Verdana" w:hAnsi="Verdana"/>
          <w:sz w:val="16"/>
          <w:szCs w:val="16"/>
        </w:rPr>
        <w:t>as previos al ataque señalado</w:t>
      </w:r>
      <w:r w:rsidRPr="007F313C">
        <w:rPr>
          <w:rFonts w:ascii="Verdana" w:hAnsi="Verdana"/>
          <w:sz w:val="16"/>
          <w:szCs w:val="16"/>
        </w:rPr>
        <w:t>. Además, sostuvieron que las disposiciones indicadas se vieron violadas “en concordancia” con el artículo 5 de la Convención Americana, que recepta el derecho a la integridad personal, por la comisión de actos de tortura en contra de Jimmy Guerrero, también en relación con hechos sucedidos tiempo antes de la fecha en que murieron los señores Guerrero y Molina.  El Estado, por su parte, negó su responsabilidad por la violación de los artículos señalados de la Convención Interamericana para Prevenir y Sancionar la Tortura aduciendo que Jimmy Guerrero murió en forma inmediata al re</w:t>
      </w:r>
      <w:r>
        <w:rPr>
          <w:rFonts w:ascii="Verdana" w:hAnsi="Verdana"/>
          <w:sz w:val="16"/>
          <w:szCs w:val="16"/>
        </w:rPr>
        <w:t>cibir disparos de arma de fuego,</w:t>
      </w:r>
      <w:r w:rsidRPr="007F313C">
        <w:rPr>
          <w:rFonts w:ascii="Verdana" w:hAnsi="Verdana"/>
          <w:sz w:val="16"/>
          <w:szCs w:val="16"/>
        </w:rPr>
        <w:t xml:space="preserve"> es decir, refiriéndose a lo aducido por la Comisión</w:t>
      </w:r>
      <w:r>
        <w:rPr>
          <w:rFonts w:ascii="Verdana" w:hAnsi="Verdana"/>
          <w:sz w:val="16"/>
          <w:szCs w:val="16"/>
        </w:rPr>
        <w:t xml:space="preserve"> en el Informe de Fondo</w:t>
      </w:r>
      <w:r w:rsidRPr="007F313C">
        <w:rPr>
          <w:rFonts w:ascii="Verdana" w:hAnsi="Verdana"/>
          <w:sz w:val="16"/>
          <w:szCs w:val="16"/>
        </w:rPr>
        <w:t xml:space="preserve">, no </w:t>
      </w:r>
      <w:r>
        <w:rPr>
          <w:rFonts w:ascii="Verdana" w:hAnsi="Verdana"/>
          <w:sz w:val="16"/>
          <w:szCs w:val="16"/>
        </w:rPr>
        <w:t xml:space="preserve">a lo aseverado </w:t>
      </w:r>
      <w:r w:rsidRPr="007F313C">
        <w:rPr>
          <w:rFonts w:ascii="Verdana" w:hAnsi="Verdana"/>
          <w:sz w:val="16"/>
          <w:szCs w:val="16"/>
        </w:rPr>
        <w:t>por los representantes.</w:t>
      </w:r>
      <w:r w:rsidRPr="007F313C">
        <w:rPr>
          <w:rFonts w:ascii="Verdana" w:hAnsi="Verdana"/>
          <w:b/>
          <w:sz w:val="16"/>
          <w:szCs w:val="16"/>
        </w:rPr>
        <w:t xml:space="preserve"> </w:t>
      </w:r>
    </w:p>
    <w:p w14:paraId="0978DF96" w14:textId="77777777" w:rsidR="0087743B" w:rsidRPr="007F313C" w:rsidRDefault="0087743B" w:rsidP="000C7C2E">
      <w:pPr>
        <w:pStyle w:val="Textonotapie"/>
        <w:jc w:val="both"/>
        <w:rPr>
          <w:rFonts w:ascii="Verdana" w:hAnsi="Verdana"/>
          <w:sz w:val="16"/>
          <w:szCs w:val="16"/>
        </w:rPr>
      </w:pPr>
    </w:p>
  </w:footnote>
  <w:footnote w:id="17">
    <w:p w14:paraId="7D263C0E" w14:textId="2B7879B3"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Cfr. Caso Benavides Cevallos Vs. Ecuador. Fondo, Reparaciones y Costas.</w:t>
      </w:r>
      <w:r w:rsidRPr="007F313C">
        <w:rPr>
          <w:rFonts w:ascii="Verdana" w:hAnsi="Verdana"/>
          <w:sz w:val="16"/>
          <w:szCs w:val="16"/>
        </w:rPr>
        <w:t xml:space="preserve"> Sentencia de 19 de junio de 1998. Serie C No. 38, párr. 57, y</w:t>
      </w:r>
      <w:r w:rsidRPr="007F313C">
        <w:rPr>
          <w:rFonts w:ascii="Verdana" w:hAnsi="Verdana"/>
          <w:i/>
          <w:sz w:val="16"/>
          <w:szCs w:val="16"/>
        </w:rPr>
        <w:t xml:space="preserve"> </w:t>
      </w:r>
      <w:r w:rsidRPr="002A52BE">
        <w:rPr>
          <w:rFonts w:ascii="Verdana" w:hAnsi="Verdana"/>
          <w:i/>
          <w:sz w:val="16"/>
          <w:szCs w:val="16"/>
        </w:rPr>
        <w:t>Caso Vicky Hernández y otras Vs. Honduras</w:t>
      </w:r>
      <w:r w:rsidRPr="007F313C">
        <w:rPr>
          <w:rFonts w:ascii="Verdana" w:hAnsi="Verdana"/>
          <w:sz w:val="16"/>
          <w:szCs w:val="16"/>
        </w:rPr>
        <w:t>, párr. 23.</w:t>
      </w:r>
    </w:p>
    <w:p w14:paraId="3EDAD8A0" w14:textId="77777777" w:rsidR="0087743B" w:rsidRPr="007F313C" w:rsidRDefault="0087743B" w:rsidP="000C7C2E">
      <w:pPr>
        <w:pStyle w:val="Textonotapie"/>
        <w:ind w:right="-943"/>
        <w:jc w:val="both"/>
        <w:rPr>
          <w:rFonts w:ascii="Verdana" w:hAnsi="Verdana"/>
          <w:sz w:val="16"/>
          <w:szCs w:val="16"/>
        </w:rPr>
      </w:pPr>
    </w:p>
  </w:footnote>
  <w:footnote w:id="18">
    <w:p w14:paraId="6CB54F8F" w14:textId="77777777" w:rsidR="0087743B" w:rsidRPr="00D64A29" w:rsidRDefault="0087743B" w:rsidP="000C7C2E">
      <w:pPr>
        <w:pStyle w:val="Textonotapie"/>
        <w:jc w:val="both"/>
        <w:rPr>
          <w:rFonts w:ascii="Verdana" w:hAnsi="Verdana"/>
          <w:sz w:val="16"/>
          <w:szCs w:val="16"/>
        </w:rPr>
      </w:pPr>
      <w:r w:rsidRPr="00D64A29">
        <w:rPr>
          <w:rStyle w:val="Refdenotaalpie"/>
          <w:rFonts w:ascii="Verdana" w:hAnsi="Verdana"/>
          <w:sz w:val="16"/>
          <w:szCs w:val="16"/>
        </w:rPr>
        <w:footnoteRef/>
      </w:r>
      <w:r w:rsidRPr="00D64A29">
        <w:rPr>
          <w:rFonts w:ascii="Verdana" w:hAnsi="Verdana"/>
          <w:sz w:val="16"/>
          <w:szCs w:val="16"/>
        </w:rPr>
        <w:t xml:space="preserve">  </w:t>
      </w:r>
      <w:r w:rsidRPr="00D64A29">
        <w:rPr>
          <w:rFonts w:ascii="Verdana" w:hAnsi="Verdana"/>
          <w:sz w:val="16"/>
          <w:szCs w:val="16"/>
        </w:rPr>
        <w:tab/>
      </w:r>
      <w:r>
        <w:rPr>
          <w:rFonts w:ascii="Verdana" w:hAnsi="Verdana"/>
          <w:sz w:val="16"/>
          <w:szCs w:val="16"/>
        </w:rPr>
        <w:t>Es preciso hacer notar que la Comisión, en el Informe de Fondo, concluyó que el Estado incumplió no solo el deber de respeto del derecho a la vida, sino también el de garantía, por la falta de prevención del atentado homicida, pese al conocimiento de las autoridades del riesgo en que se encontraba Jimmy Guerrero. Estas aseveraciones quedan comprendidas en el reconocimiento de responsabilidad del Estado. Por otra parte, l</w:t>
      </w:r>
      <w:r w:rsidRPr="00D64A29">
        <w:rPr>
          <w:rFonts w:ascii="Verdana" w:hAnsi="Verdana"/>
          <w:sz w:val="16"/>
          <w:szCs w:val="16"/>
        </w:rPr>
        <w:t>a Corte nota que los representantes, como parte de sus alegatos sobre la violación al derecho a la vida, formularon argumentos sobre la falta de investigación de las muertes de los señores Guerrero y Molina. Los aspectos vinculados a la investigación de los hechos serán evaluados en relación con los derechos a las garantías judiciales y a la protección judicial (</w:t>
      </w:r>
      <w:r w:rsidRPr="00D64A29">
        <w:rPr>
          <w:rFonts w:ascii="Verdana" w:hAnsi="Verdana"/>
          <w:i/>
          <w:sz w:val="16"/>
          <w:szCs w:val="16"/>
        </w:rPr>
        <w:t xml:space="preserve">infra </w:t>
      </w:r>
      <w:r w:rsidRPr="00D64A29">
        <w:rPr>
          <w:rFonts w:ascii="Verdana" w:hAnsi="Verdana"/>
          <w:sz w:val="16"/>
          <w:szCs w:val="16"/>
        </w:rPr>
        <w:t>Capítulo VII.5).</w:t>
      </w:r>
    </w:p>
    <w:p w14:paraId="02BA0E33" w14:textId="77777777" w:rsidR="0087743B" w:rsidRDefault="0087743B" w:rsidP="000C7C2E">
      <w:pPr>
        <w:pStyle w:val="Textonotapie"/>
      </w:pPr>
    </w:p>
  </w:footnote>
  <w:footnote w:id="19">
    <w:p w14:paraId="36BF67B6" w14:textId="77777777"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Sin perjuicio de lo expresado, en relación con los alegatos presentados por los representantes no reconocidos expresamente por el Estado, pero tampoco controvertidas, la Corte recuerda que el artículo 41.3 del Reglamentos indica que “[l]a Corte podrá considerar aceptad[a]s […] las pretensiones que no hayan sido expresamente controvertidas”. Este Tribunal, por ende, tendrá en cuenta lo indicado como un elemento relevante en el examen de los alegatos referidos. </w:t>
      </w:r>
    </w:p>
    <w:p w14:paraId="67FA78E6" w14:textId="77777777" w:rsidR="0087743B" w:rsidRPr="007F313C" w:rsidRDefault="0087743B" w:rsidP="000C7C2E">
      <w:pPr>
        <w:pStyle w:val="Textonotapie"/>
        <w:jc w:val="both"/>
        <w:rPr>
          <w:rFonts w:ascii="Verdana" w:hAnsi="Verdana"/>
          <w:sz w:val="16"/>
          <w:szCs w:val="16"/>
        </w:rPr>
      </w:pPr>
    </w:p>
  </w:footnote>
  <w:footnote w:id="20">
    <w:p w14:paraId="0EFD00D9" w14:textId="77777777" w:rsidR="0087743B" w:rsidRPr="007F313C" w:rsidRDefault="0087743B" w:rsidP="000C7C2E">
      <w:pPr>
        <w:pStyle w:val="Textonotapie"/>
        <w:ind w:right="49"/>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Cfr.</w:t>
      </w:r>
      <w:r w:rsidRPr="007F313C">
        <w:rPr>
          <w:rFonts w:ascii="Verdana" w:hAnsi="Verdana"/>
          <w:sz w:val="16"/>
          <w:szCs w:val="16"/>
        </w:rPr>
        <w:t xml:space="preserve">, en el mismo sentido, </w:t>
      </w:r>
      <w:r w:rsidRPr="007F313C">
        <w:rPr>
          <w:rFonts w:ascii="Verdana" w:hAnsi="Verdana"/>
          <w:i/>
          <w:sz w:val="16"/>
          <w:szCs w:val="16"/>
          <w:lang w:val="es-ES"/>
        </w:rPr>
        <w:t xml:space="preserve">Caso </w:t>
      </w:r>
      <w:proofErr w:type="spellStart"/>
      <w:r w:rsidRPr="007F313C">
        <w:rPr>
          <w:rFonts w:ascii="Verdana" w:hAnsi="Verdana"/>
          <w:i/>
          <w:sz w:val="16"/>
          <w:szCs w:val="16"/>
          <w:lang w:val="es-ES"/>
        </w:rPr>
        <w:t>Tiu</w:t>
      </w:r>
      <w:proofErr w:type="spellEnd"/>
      <w:r w:rsidRPr="007F313C">
        <w:rPr>
          <w:rFonts w:ascii="Verdana" w:hAnsi="Verdana"/>
          <w:i/>
          <w:sz w:val="16"/>
          <w:szCs w:val="16"/>
          <w:lang w:val="es-ES"/>
        </w:rPr>
        <w:t xml:space="preserve"> </w:t>
      </w:r>
      <w:proofErr w:type="spellStart"/>
      <w:r w:rsidRPr="007F313C">
        <w:rPr>
          <w:rFonts w:ascii="Verdana" w:hAnsi="Verdana"/>
          <w:i/>
          <w:sz w:val="16"/>
          <w:szCs w:val="16"/>
          <w:lang w:val="es-ES"/>
        </w:rPr>
        <w:t>Tojín</w:t>
      </w:r>
      <w:proofErr w:type="spellEnd"/>
      <w:r w:rsidRPr="007F313C">
        <w:rPr>
          <w:rFonts w:ascii="Verdana" w:hAnsi="Verdana"/>
          <w:i/>
          <w:sz w:val="16"/>
          <w:szCs w:val="16"/>
          <w:lang w:val="es-ES"/>
        </w:rPr>
        <w:t xml:space="preserve"> Vs. Guatemala. Fondo, Reparaciones y Costas. </w:t>
      </w:r>
      <w:r w:rsidRPr="007F313C">
        <w:rPr>
          <w:rFonts w:ascii="Verdana" w:hAnsi="Verdana"/>
          <w:sz w:val="16"/>
          <w:szCs w:val="16"/>
          <w:lang w:val="es-ES"/>
        </w:rPr>
        <w:t xml:space="preserve">Sentencia de 26 de noviembre de 2008. Serie C No. 190, párr. 26 y </w:t>
      </w:r>
      <w:r w:rsidRPr="007F313C">
        <w:rPr>
          <w:rFonts w:ascii="Verdana" w:hAnsi="Verdana"/>
          <w:i/>
          <w:sz w:val="16"/>
          <w:szCs w:val="16"/>
        </w:rPr>
        <w:t xml:space="preserve">Caso Mota </w:t>
      </w:r>
      <w:proofErr w:type="spellStart"/>
      <w:r w:rsidRPr="007F313C">
        <w:rPr>
          <w:rFonts w:ascii="Verdana" w:hAnsi="Verdana"/>
          <w:i/>
          <w:sz w:val="16"/>
          <w:szCs w:val="16"/>
        </w:rPr>
        <w:t>Abarullo</w:t>
      </w:r>
      <w:proofErr w:type="spellEnd"/>
      <w:r w:rsidRPr="007F313C">
        <w:rPr>
          <w:rFonts w:ascii="Verdana" w:hAnsi="Verdana"/>
          <w:i/>
          <w:sz w:val="16"/>
          <w:szCs w:val="16"/>
        </w:rPr>
        <w:t xml:space="preserve"> y otros Vs. Venezuela. Fondo, Reparaciones y Costas</w:t>
      </w:r>
      <w:r w:rsidRPr="007F313C">
        <w:rPr>
          <w:rFonts w:ascii="Verdana" w:hAnsi="Verdana"/>
          <w:sz w:val="16"/>
          <w:szCs w:val="16"/>
        </w:rPr>
        <w:t>. Sentencia de 18 de noviembre de 2020. Serie C No. 417, párr. 24.</w:t>
      </w:r>
    </w:p>
    <w:p w14:paraId="1B1650E3" w14:textId="77777777" w:rsidR="0087743B" w:rsidRPr="007F313C" w:rsidRDefault="0087743B" w:rsidP="000C7C2E">
      <w:pPr>
        <w:pStyle w:val="Textonotapie"/>
        <w:ind w:right="-943"/>
        <w:jc w:val="both"/>
        <w:rPr>
          <w:rFonts w:ascii="Verdana" w:hAnsi="Verdana"/>
          <w:sz w:val="16"/>
          <w:szCs w:val="16"/>
        </w:rPr>
      </w:pPr>
    </w:p>
  </w:footnote>
  <w:footnote w:id="21">
    <w:p w14:paraId="4229D5F4" w14:textId="6842C2D1"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El Estado no acompañ</w:t>
      </w:r>
      <w:r>
        <w:rPr>
          <w:rFonts w:ascii="Verdana" w:hAnsi="Verdana"/>
          <w:sz w:val="16"/>
          <w:szCs w:val="16"/>
        </w:rPr>
        <w:t>ó</w:t>
      </w:r>
      <w:r w:rsidRPr="007F313C">
        <w:rPr>
          <w:rFonts w:ascii="Verdana" w:hAnsi="Verdana"/>
          <w:sz w:val="16"/>
          <w:szCs w:val="16"/>
        </w:rPr>
        <w:t xml:space="preserve"> a su escrito de contestación prueba documental</w:t>
      </w:r>
      <w:r>
        <w:rPr>
          <w:rFonts w:ascii="Verdana" w:hAnsi="Verdana"/>
          <w:sz w:val="16"/>
          <w:szCs w:val="16"/>
        </w:rPr>
        <w:t>.</w:t>
      </w:r>
      <w:r w:rsidRPr="007F313C">
        <w:rPr>
          <w:rFonts w:ascii="Verdana" w:hAnsi="Verdana"/>
          <w:sz w:val="16"/>
          <w:szCs w:val="16"/>
        </w:rPr>
        <w:t xml:space="preserve"> </w:t>
      </w:r>
      <w:r>
        <w:rPr>
          <w:rFonts w:ascii="Verdana" w:hAnsi="Verdana"/>
          <w:sz w:val="16"/>
          <w:szCs w:val="16"/>
        </w:rPr>
        <w:t>S</w:t>
      </w:r>
      <w:r w:rsidRPr="007F313C">
        <w:rPr>
          <w:rFonts w:ascii="Verdana" w:hAnsi="Verdana"/>
          <w:sz w:val="16"/>
          <w:szCs w:val="16"/>
        </w:rPr>
        <w:t xml:space="preserve">olicitó el traslado de prueba documental consignada en el trámite de un caso contencioso decidido antes por la Corte. Esta prueba documental finalmente no fue incorporada el proceso, ya que, pese a que así le fue requerido, el Estado no precisó a cuáles documentos se refería. La desestimación de la solicitud estatal fue determinada por la Resolución de la </w:t>
      </w:r>
      <w:proofErr w:type="gramStart"/>
      <w:r w:rsidRPr="007F313C">
        <w:rPr>
          <w:rFonts w:ascii="Verdana" w:hAnsi="Verdana"/>
          <w:sz w:val="16"/>
          <w:szCs w:val="16"/>
        </w:rPr>
        <w:t>Presidenta</w:t>
      </w:r>
      <w:proofErr w:type="gramEnd"/>
      <w:r w:rsidRPr="007F313C">
        <w:rPr>
          <w:rFonts w:ascii="Verdana" w:hAnsi="Verdana"/>
          <w:sz w:val="16"/>
          <w:szCs w:val="16"/>
        </w:rPr>
        <w:t xml:space="preserve"> de la Corte de 13 de octubre de 2020 (</w:t>
      </w:r>
      <w:r w:rsidRPr="00542071">
        <w:rPr>
          <w:rFonts w:ascii="Verdana" w:hAnsi="Verdana"/>
          <w:i/>
          <w:sz w:val="16"/>
          <w:szCs w:val="16"/>
        </w:rPr>
        <w:t>supra</w:t>
      </w:r>
      <w:r w:rsidRPr="007F313C">
        <w:rPr>
          <w:rFonts w:ascii="Verdana" w:hAnsi="Verdana"/>
          <w:sz w:val="16"/>
          <w:szCs w:val="16"/>
        </w:rPr>
        <w:t xml:space="preserve"> párr. </w:t>
      </w:r>
      <w:r>
        <w:rPr>
          <w:rFonts w:ascii="Verdana" w:hAnsi="Verdana"/>
          <w:sz w:val="16"/>
          <w:szCs w:val="16"/>
        </w:rPr>
        <w:t>10</w:t>
      </w:r>
      <w:r w:rsidRPr="007F313C">
        <w:rPr>
          <w:rFonts w:ascii="Verdana" w:hAnsi="Verdana"/>
          <w:sz w:val="16"/>
          <w:szCs w:val="16"/>
        </w:rPr>
        <w:t xml:space="preserve">).  </w:t>
      </w:r>
    </w:p>
    <w:p w14:paraId="5A01C20A" w14:textId="77777777" w:rsidR="0087743B" w:rsidRPr="007F313C" w:rsidRDefault="0087743B" w:rsidP="000C7C2E">
      <w:pPr>
        <w:pStyle w:val="Textonotapie"/>
        <w:jc w:val="both"/>
        <w:rPr>
          <w:rFonts w:ascii="Verdana" w:hAnsi="Verdana"/>
          <w:sz w:val="16"/>
          <w:szCs w:val="16"/>
        </w:rPr>
      </w:pPr>
    </w:p>
  </w:footnote>
  <w:footnote w:id="22">
    <w:p w14:paraId="107DCFA7" w14:textId="182A340F"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Cfr. Caso Velásquez Rodríguez Vs. Honduras. Fondo.</w:t>
      </w:r>
      <w:r w:rsidRPr="007F313C">
        <w:rPr>
          <w:rFonts w:ascii="Verdana" w:hAnsi="Verdana"/>
          <w:sz w:val="16"/>
          <w:szCs w:val="16"/>
        </w:rPr>
        <w:t xml:space="preserve"> Sentencia de 29 de julio de 1988. Serie C No. 4, párr. 140, y </w:t>
      </w:r>
      <w:r w:rsidRPr="00C40624">
        <w:rPr>
          <w:rFonts w:ascii="Verdana" w:hAnsi="Verdana"/>
          <w:i/>
          <w:sz w:val="16"/>
          <w:szCs w:val="16"/>
        </w:rPr>
        <w:t>Caso Vicky Hernández y otras Vs. Honduras</w:t>
      </w:r>
      <w:r w:rsidRPr="00A70195">
        <w:rPr>
          <w:rFonts w:ascii="Verdana" w:hAnsi="Verdana"/>
          <w:sz w:val="16"/>
          <w:szCs w:val="16"/>
        </w:rPr>
        <w:t xml:space="preserve">, </w:t>
      </w:r>
      <w:r w:rsidRPr="007F313C">
        <w:rPr>
          <w:rFonts w:ascii="Verdana" w:hAnsi="Verdana"/>
          <w:sz w:val="16"/>
          <w:szCs w:val="16"/>
        </w:rPr>
        <w:t xml:space="preserve">párr. </w:t>
      </w:r>
      <w:r>
        <w:rPr>
          <w:rFonts w:ascii="Verdana" w:hAnsi="Verdana"/>
          <w:sz w:val="16"/>
          <w:szCs w:val="16"/>
        </w:rPr>
        <w:t>25</w:t>
      </w:r>
      <w:r w:rsidRPr="007F313C">
        <w:rPr>
          <w:rFonts w:ascii="Verdana" w:hAnsi="Verdana"/>
          <w:sz w:val="16"/>
          <w:szCs w:val="16"/>
        </w:rPr>
        <w:t>. 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w:t>
      </w:r>
    </w:p>
    <w:p w14:paraId="45940139" w14:textId="77777777" w:rsidR="0087743B" w:rsidRPr="007F313C" w:rsidRDefault="0087743B" w:rsidP="000C7C2E">
      <w:pPr>
        <w:pStyle w:val="Textonotapie"/>
        <w:jc w:val="both"/>
        <w:rPr>
          <w:rFonts w:ascii="Verdana" w:hAnsi="Verdana"/>
          <w:sz w:val="16"/>
          <w:szCs w:val="16"/>
        </w:rPr>
      </w:pPr>
    </w:p>
  </w:footnote>
  <w:footnote w:id="23">
    <w:p w14:paraId="59FFD374" w14:textId="2EE96CC2"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La declaración dada por el señor Christof </w:t>
      </w:r>
      <w:proofErr w:type="spellStart"/>
      <w:r w:rsidRPr="007F313C">
        <w:rPr>
          <w:rFonts w:ascii="Verdana" w:hAnsi="Verdana"/>
          <w:sz w:val="16"/>
          <w:szCs w:val="16"/>
        </w:rPr>
        <w:t>H</w:t>
      </w:r>
      <w:r>
        <w:rPr>
          <w:rFonts w:ascii="Verdana" w:hAnsi="Verdana"/>
          <w:sz w:val="16"/>
          <w:szCs w:val="16"/>
        </w:rPr>
        <w:t>e</w:t>
      </w:r>
      <w:r w:rsidRPr="007F313C">
        <w:rPr>
          <w:rFonts w:ascii="Verdana" w:hAnsi="Verdana"/>
          <w:sz w:val="16"/>
          <w:szCs w:val="16"/>
        </w:rPr>
        <w:t>yns</w:t>
      </w:r>
      <w:proofErr w:type="spellEnd"/>
      <w:r w:rsidRPr="007F313C">
        <w:rPr>
          <w:rFonts w:ascii="Verdana" w:hAnsi="Verdana"/>
          <w:sz w:val="16"/>
          <w:szCs w:val="16"/>
        </w:rPr>
        <w:t xml:space="preserve"> se encuentra en idioma portugués. Por ello, en el punto resolutivo 9 de la Resolución de la </w:t>
      </w:r>
      <w:proofErr w:type="gramStart"/>
      <w:r w:rsidRPr="007F313C">
        <w:rPr>
          <w:rFonts w:ascii="Verdana" w:hAnsi="Verdana"/>
          <w:sz w:val="16"/>
          <w:szCs w:val="16"/>
        </w:rPr>
        <w:t>Presidenta</w:t>
      </w:r>
      <w:proofErr w:type="gramEnd"/>
      <w:r w:rsidRPr="007F313C">
        <w:rPr>
          <w:rFonts w:ascii="Verdana" w:hAnsi="Verdana"/>
          <w:sz w:val="16"/>
          <w:szCs w:val="16"/>
        </w:rPr>
        <w:t xml:space="preserve"> de la Corte de 13 de octubre de 2020 (</w:t>
      </w:r>
      <w:r w:rsidRPr="007F313C">
        <w:rPr>
          <w:rFonts w:ascii="Verdana" w:hAnsi="Verdana"/>
          <w:i/>
          <w:sz w:val="16"/>
          <w:szCs w:val="16"/>
        </w:rPr>
        <w:t xml:space="preserve">supra </w:t>
      </w:r>
      <w:r w:rsidRPr="007F313C">
        <w:rPr>
          <w:rFonts w:ascii="Verdana" w:hAnsi="Verdana"/>
          <w:sz w:val="16"/>
          <w:szCs w:val="16"/>
        </w:rPr>
        <w:t xml:space="preserve">párr. </w:t>
      </w:r>
      <w:r>
        <w:rPr>
          <w:rFonts w:ascii="Verdana" w:hAnsi="Verdana"/>
          <w:sz w:val="16"/>
          <w:szCs w:val="16"/>
        </w:rPr>
        <w:t>10</w:t>
      </w:r>
      <w:r w:rsidRPr="007F313C">
        <w:rPr>
          <w:rFonts w:ascii="Verdana" w:hAnsi="Verdana"/>
          <w:sz w:val="16"/>
          <w:szCs w:val="16"/>
        </w:rPr>
        <w:t xml:space="preserve">), se dispuso que los representantes, quienes solicitaron la incorporación de dicha declaración, debían remitir su traducción al español. Los </w:t>
      </w:r>
      <w:r w:rsidRPr="006244E4">
        <w:rPr>
          <w:rFonts w:ascii="Verdana" w:hAnsi="Verdana"/>
          <w:sz w:val="16"/>
          <w:szCs w:val="16"/>
        </w:rPr>
        <w:t>representante</w:t>
      </w:r>
      <w:r w:rsidRPr="00EF4EF5">
        <w:rPr>
          <w:rFonts w:ascii="Verdana" w:hAnsi="Verdana"/>
          <w:sz w:val="16"/>
          <w:szCs w:val="16"/>
        </w:rPr>
        <w:t xml:space="preserve">s presentaron dicha traducción en forma oportuna. El </w:t>
      </w:r>
      <w:r w:rsidRPr="006244E4">
        <w:rPr>
          <w:rFonts w:ascii="Verdana" w:hAnsi="Verdana"/>
          <w:sz w:val="16"/>
          <w:szCs w:val="16"/>
        </w:rPr>
        <w:t>Estado</w:t>
      </w:r>
      <w:r w:rsidRPr="00EF4EF5">
        <w:rPr>
          <w:rFonts w:ascii="Verdana" w:hAnsi="Verdana"/>
          <w:sz w:val="16"/>
          <w:szCs w:val="16"/>
        </w:rPr>
        <w:t xml:space="preserve"> y la </w:t>
      </w:r>
      <w:r w:rsidRPr="006244E4">
        <w:rPr>
          <w:rFonts w:ascii="Verdana" w:hAnsi="Verdana"/>
          <w:sz w:val="16"/>
          <w:szCs w:val="16"/>
        </w:rPr>
        <w:t>Comisió</w:t>
      </w:r>
      <w:r w:rsidRPr="00EF4EF5">
        <w:rPr>
          <w:rFonts w:ascii="Verdana" w:hAnsi="Verdana"/>
          <w:sz w:val="16"/>
          <w:szCs w:val="16"/>
        </w:rPr>
        <w:t xml:space="preserve">n no presentaron observaciones al respecto. La </w:t>
      </w:r>
      <w:r w:rsidRPr="006244E4">
        <w:rPr>
          <w:rFonts w:ascii="Verdana" w:hAnsi="Verdana"/>
          <w:sz w:val="16"/>
          <w:szCs w:val="16"/>
        </w:rPr>
        <w:t>Corte</w:t>
      </w:r>
      <w:r w:rsidRPr="00EF4EF5">
        <w:rPr>
          <w:rFonts w:ascii="Verdana" w:hAnsi="Verdana"/>
          <w:sz w:val="16"/>
          <w:szCs w:val="16"/>
        </w:rPr>
        <w:t xml:space="preserve"> </w:t>
      </w:r>
      <w:r w:rsidRPr="00E805A4">
        <w:rPr>
          <w:rFonts w:ascii="Verdana" w:hAnsi="Verdana"/>
          <w:sz w:val="16"/>
          <w:szCs w:val="16"/>
        </w:rPr>
        <w:t>tendrá en consideración</w:t>
      </w:r>
      <w:r w:rsidRPr="007F313C">
        <w:rPr>
          <w:rFonts w:ascii="Verdana" w:hAnsi="Verdana"/>
          <w:sz w:val="16"/>
          <w:szCs w:val="16"/>
        </w:rPr>
        <w:t xml:space="preserve"> la versión en español de la declaración del señor </w:t>
      </w:r>
      <w:proofErr w:type="spellStart"/>
      <w:r w:rsidRPr="007F313C">
        <w:rPr>
          <w:rFonts w:ascii="Verdana" w:hAnsi="Verdana"/>
          <w:sz w:val="16"/>
          <w:szCs w:val="16"/>
        </w:rPr>
        <w:t>H</w:t>
      </w:r>
      <w:r>
        <w:rPr>
          <w:rFonts w:ascii="Verdana" w:hAnsi="Verdana"/>
          <w:sz w:val="16"/>
          <w:szCs w:val="16"/>
        </w:rPr>
        <w:t>e</w:t>
      </w:r>
      <w:r w:rsidRPr="007F313C">
        <w:rPr>
          <w:rFonts w:ascii="Verdana" w:hAnsi="Verdana"/>
          <w:sz w:val="16"/>
          <w:szCs w:val="16"/>
        </w:rPr>
        <w:t>yns</w:t>
      </w:r>
      <w:proofErr w:type="spellEnd"/>
      <w:r w:rsidRPr="007F313C">
        <w:rPr>
          <w:rFonts w:ascii="Verdana" w:hAnsi="Verdana"/>
          <w:sz w:val="16"/>
          <w:szCs w:val="16"/>
        </w:rPr>
        <w:t xml:space="preserve">, </w:t>
      </w:r>
      <w:proofErr w:type="gramStart"/>
      <w:r w:rsidRPr="007F313C">
        <w:rPr>
          <w:rFonts w:ascii="Verdana" w:hAnsi="Verdana"/>
          <w:sz w:val="16"/>
          <w:szCs w:val="16"/>
        </w:rPr>
        <w:t>de acuerdo a</w:t>
      </w:r>
      <w:proofErr w:type="gramEnd"/>
      <w:r w:rsidRPr="007F313C">
        <w:rPr>
          <w:rFonts w:ascii="Verdana" w:hAnsi="Verdana"/>
          <w:sz w:val="16"/>
          <w:szCs w:val="16"/>
        </w:rPr>
        <w:t xml:space="preserve"> la traducción allegada por los representantes. </w:t>
      </w:r>
    </w:p>
    <w:p w14:paraId="465FEA9F" w14:textId="77777777" w:rsidR="0087743B" w:rsidRPr="007F313C" w:rsidRDefault="0087743B" w:rsidP="000C7C2E">
      <w:pPr>
        <w:pStyle w:val="Textonotapie"/>
        <w:jc w:val="both"/>
        <w:rPr>
          <w:rFonts w:ascii="Verdana" w:hAnsi="Verdana"/>
          <w:sz w:val="16"/>
          <w:szCs w:val="16"/>
        </w:rPr>
      </w:pPr>
    </w:p>
  </w:footnote>
  <w:footnote w:id="24">
    <w:p w14:paraId="68B8BBA9" w14:textId="469875BB" w:rsidR="0087743B" w:rsidRPr="007F313C" w:rsidRDefault="0087743B" w:rsidP="000C7C2E">
      <w:pPr>
        <w:pStyle w:val="Textonotapie"/>
        <w:jc w:val="both"/>
        <w:rPr>
          <w:rFonts w:ascii="Verdana" w:hAnsi="Verdana" w:cs="Arial"/>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Dichos documentos, tal como fueron agrupados por los representantes, son: a) </w:t>
      </w:r>
      <w:r w:rsidRPr="007F313C">
        <w:rPr>
          <w:rFonts w:ascii="Verdana" w:hAnsi="Verdana" w:cs="Arial"/>
          <w:sz w:val="16"/>
          <w:szCs w:val="16"/>
        </w:rPr>
        <w:t xml:space="preserve">ONU, Consejo de Derechos Humanos (CDH), </w:t>
      </w:r>
      <w:r w:rsidRPr="007F313C">
        <w:rPr>
          <w:rFonts w:ascii="Verdana" w:hAnsi="Verdana" w:cs="Arial"/>
          <w:i/>
          <w:iCs/>
          <w:sz w:val="16"/>
          <w:szCs w:val="16"/>
        </w:rPr>
        <w:t>Conclusiones detalladas de la Misión internacional independiente de determinación de los hechos sobre la República Bolivariana de Venezuela</w:t>
      </w:r>
      <w:r w:rsidRPr="007F313C">
        <w:rPr>
          <w:rFonts w:ascii="Verdana" w:hAnsi="Verdana" w:cs="Arial"/>
          <w:sz w:val="16"/>
          <w:szCs w:val="16"/>
        </w:rPr>
        <w:t>, 15 de septiembre de 2020; b) comprobantes de gastos de COFAVIC; c) comprobantes de gastos de CEJIL, y d) Comprobantes de desembolsos de formulación de affidavits, relativos al Fondo de Víctimas</w:t>
      </w:r>
      <w:r>
        <w:rPr>
          <w:rFonts w:ascii="Verdana" w:hAnsi="Verdana" w:cs="Arial"/>
          <w:sz w:val="16"/>
          <w:szCs w:val="16"/>
        </w:rPr>
        <w:t xml:space="preserve"> de la Corte Interamericana</w:t>
      </w:r>
      <w:r w:rsidRPr="007F313C">
        <w:rPr>
          <w:rFonts w:ascii="Verdana" w:hAnsi="Verdana" w:cs="Arial"/>
          <w:sz w:val="16"/>
          <w:szCs w:val="16"/>
        </w:rPr>
        <w:t xml:space="preserve"> (</w:t>
      </w:r>
      <w:r w:rsidRPr="007F313C">
        <w:rPr>
          <w:rFonts w:ascii="Verdana" w:hAnsi="Verdana" w:cs="Arial"/>
          <w:i/>
          <w:sz w:val="16"/>
          <w:szCs w:val="16"/>
        </w:rPr>
        <w:t xml:space="preserve">infra </w:t>
      </w:r>
      <w:proofErr w:type="spellStart"/>
      <w:r w:rsidRPr="007F313C">
        <w:rPr>
          <w:rFonts w:ascii="Verdana" w:hAnsi="Verdana" w:cs="Arial"/>
          <w:sz w:val="16"/>
          <w:szCs w:val="16"/>
        </w:rPr>
        <w:t>párr</w:t>
      </w:r>
      <w:r>
        <w:rPr>
          <w:rFonts w:ascii="Verdana" w:hAnsi="Verdana" w:cs="Arial"/>
          <w:sz w:val="16"/>
          <w:szCs w:val="16"/>
        </w:rPr>
        <w:t>s</w:t>
      </w:r>
      <w:proofErr w:type="spellEnd"/>
      <w:r w:rsidRPr="007F313C">
        <w:rPr>
          <w:rFonts w:ascii="Verdana" w:hAnsi="Verdana" w:cs="Arial"/>
          <w:sz w:val="16"/>
          <w:szCs w:val="16"/>
        </w:rPr>
        <w:t>.</w:t>
      </w:r>
      <w:r>
        <w:rPr>
          <w:rFonts w:ascii="Verdana" w:hAnsi="Verdana" w:cs="Arial"/>
          <w:sz w:val="16"/>
          <w:szCs w:val="16"/>
        </w:rPr>
        <w:t xml:space="preserve"> 195 y 196</w:t>
      </w:r>
      <w:r w:rsidRPr="007F313C">
        <w:rPr>
          <w:rFonts w:ascii="Verdana" w:hAnsi="Verdana" w:cs="Arial"/>
          <w:sz w:val="16"/>
          <w:szCs w:val="16"/>
        </w:rPr>
        <w:t>).</w:t>
      </w:r>
    </w:p>
    <w:p w14:paraId="120443CC" w14:textId="77777777" w:rsidR="0087743B" w:rsidRPr="007F313C" w:rsidRDefault="0087743B" w:rsidP="000C7C2E">
      <w:pPr>
        <w:pStyle w:val="Textonotapie"/>
        <w:jc w:val="both"/>
        <w:rPr>
          <w:rFonts w:ascii="Verdana" w:hAnsi="Verdana"/>
          <w:sz w:val="16"/>
          <w:szCs w:val="16"/>
        </w:rPr>
      </w:pPr>
    </w:p>
  </w:footnote>
  <w:footnote w:id="25">
    <w:p w14:paraId="48A9B72F" w14:textId="40313F8E"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La Corte recibió, en el plazo fijado al efecto en la Resolución de la </w:t>
      </w:r>
      <w:proofErr w:type="gramStart"/>
      <w:r w:rsidRPr="007F313C">
        <w:rPr>
          <w:rFonts w:ascii="Verdana" w:hAnsi="Verdana"/>
          <w:sz w:val="16"/>
          <w:szCs w:val="16"/>
        </w:rPr>
        <w:t>Presidenta</w:t>
      </w:r>
      <w:proofErr w:type="gramEnd"/>
      <w:r w:rsidRPr="007F313C">
        <w:rPr>
          <w:rFonts w:ascii="Verdana" w:hAnsi="Verdana"/>
          <w:sz w:val="16"/>
          <w:szCs w:val="16"/>
        </w:rPr>
        <w:t xml:space="preserve"> de la Corte de 13 de octubre de 2020 (</w:t>
      </w:r>
      <w:r w:rsidRPr="007F313C">
        <w:rPr>
          <w:rFonts w:ascii="Verdana" w:hAnsi="Verdana"/>
          <w:i/>
          <w:sz w:val="16"/>
          <w:szCs w:val="16"/>
        </w:rPr>
        <w:t xml:space="preserve">supra </w:t>
      </w:r>
      <w:r w:rsidRPr="007F313C">
        <w:rPr>
          <w:rFonts w:ascii="Verdana" w:hAnsi="Verdana"/>
          <w:sz w:val="16"/>
          <w:szCs w:val="16"/>
        </w:rPr>
        <w:t xml:space="preserve">párr. </w:t>
      </w:r>
      <w:r>
        <w:rPr>
          <w:rFonts w:ascii="Verdana" w:hAnsi="Verdana"/>
          <w:sz w:val="16"/>
          <w:szCs w:val="16"/>
        </w:rPr>
        <w:t>10</w:t>
      </w:r>
      <w:r w:rsidRPr="007F313C">
        <w:rPr>
          <w:rFonts w:ascii="Verdana" w:hAnsi="Verdana"/>
          <w:sz w:val="16"/>
          <w:szCs w:val="16"/>
        </w:rPr>
        <w:t xml:space="preserve">), en español y rendidas ante fedatario público, las declaraciones, propuestas por los representantes, de la víctima </w:t>
      </w:r>
      <w:proofErr w:type="spellStart"/>
      <w:r w:rsidRPr="007F313C">
        <w:rPr>
          <w:rFonts w:ascii="Verdana" w:hAnsi="Verdana"/>
          <w:i/>
          <w:sz w:val="16"/>
          <w:szCs w:val="16"/>
        </w:rPr>
        <w:t>Fraily</w:t>
      </w:r>
      <w:proofErr w:type="spellEnd"/>
      <w:r>
        <w:rPr>
          <w:rFonts w:ascii="Verdana" w:hAnsi="Verdana"/>
          <w:i/>
          <w:sz w:val="16"/>
          <w:szCs w:val="16"/>
        </w:rPr>
        <w:t xml:space="preserve"> </w:t>
      </w:r>
      <w:proofErr w:type="spellStart"/>
      <w:r>
        <w:rPr>
          <w:rFonts w:ascii="Verdana" w:hAnsi="Verdana"/>
          <w:i/>
          <w:sz w:val="16"/>
          <w:szCs w:val="16"/>
        </w:rPr>
        <w:t>Danaee</w:t>
      </w:r>
      <w:proofErr w:type="spellEnd"/>
      <w:r w:rsidRPr="007F313C">
        <w:rPr>
          <w:rFonts w:ascii="Verdana" w:hAnsi="Verdana"/>
          <w:i/>
          <w:sz w:val="16"/>
          <w:szCs w:val="16"/>
        </w:rPr>
        <w:t xml:space="preserve"> Guerrero</w:t>
      </w:r>
      <w:r>
        <w:rPr>
          <w:rFonts w:ascii="Verdana" w:hAnsi="Verdana"/>
          <w:i/>
          <w:sz w:val="16"/>
          <w:szCs w:val="16"/>
        </w:rPr>
        <w:t xml:space="preserve"> Chirinos</w:t>
      </w:r>
      <w:r w:rsidRPr="007F313C">
        <w:rPr>
          <w:rFonts w:ascii="Verdana" w:hAnsi="Verdana"/>
          <w:sz w:val="16"/>
          <w:szCs w:val="16"/>
        </w:rPr>
        <w:t xml:space="preserve"> y de los peritos </w:t>
      </w:r>
      <w:r w:rsidRPr="007F313C">
        <w:rPr>
          <w:rFonts w:ascii="Verdana" w:hAnsi="Verdana"/>
          <w:i/>
          <w:sz w:val="16"/>
          <w:szCs w:val="16"/>
        </w:rPr>
        <w:t>Ignacio Cano</w:t>
      </w:r>
      <w:r w:rsidRPr="007F313C">
        <w:rPr>
          <w:rFonts w:ascii="Verdana" w:hAnsi="Verdana"/>
          <w:sz w:val="16"/>
          <w:szCs w:val="16"/>
        </w:rPr>
        <w:t xml:space="preserve">, </w:t>
      </w:r>
      <w:r w:rsidRPr="007F313C">
        <w:rPr>
          <w:rFonts w:ascii="Verdana" w:hAnsi="Verdana"/>
          <w:i/>
          <w:sz w:val="16"/>
          <w:szCs w:val="16"/>
        </w:rPr>
        <w:t>José Luis Prieto Carrero</w:t>
      </w:r>
      <w:r w:rsidRPr="007F313C">
        <w:rPr>
          <w:rFonts w:ascii="Verdana" w:hAnsi="Verdana"/>
          <w:sz w:val="16"/>
          <w:szCs w:val="16"/>
        </w:rPr>
        <w:t xml:space="preserve"> y </w:t>
      </w:r>
      <w:r w:rsidRPr="007F313C">
        <w:rPr>
          <w:rFonts w:ascii="Verdana" w:hAnsi="Verdana"/>
          <w:i/>
          <w:sz w:val="16"/>
          <w:szCs w:val="16"/>
        </w:rPr>
        <w:t>Roberto Briceño León</w:t>
      </w:r>
      <w:r w:rsidRPr="007F313C">
        <w:rPr>
          <w:rFonts w:ascii="Verdana" w:hAnsi="Verdana"/>
          <w:sz w:val="16"/>
          <w:szCs w:val="16"/>
        </w:rPr>
        <w:t xml:space="preserve">. </w:t>
      </w:r>
      <w:r>
        <w:rPr>
          <w:rFonts w:ascii="Verdana" w:hAnsi="Verdana"/>
          <w:sz w:val="16"/>
          <w:szCs w:val="16"/>
        </w:rPr>
        <w:t>L</w:t>
      </w:r>
      <w:r w:rsidRPr="007F313C">
        <w:rPr>
          <w:rFonts w:ascii="Verdana" w:hAnsi="Verdana"/>
          <w:sz w:val="16"/>
          <w:szCs w:val="16"/>
        </w:rPr>
        <w:t>a declaración del señor Briceño León incluyó documentación anexa</w:t>
      </w:r>
      <w:r>
        <w:rPr>
          <w:rFonts w:ascii="Verdana" w:hAnsi="Verdana"/>
          <w:sz w:val="16"/>
          <w:szCs w:val="16"/>
        </w:rPr>
        <w:t xml:space="preserve">, que se </w:t>
      </w:r>
      <w:r w:rsidRPr="007F313C">
        <w:rPr>
          <w:rFonts w:ascii="Verdana" w:hAnsi="Verdana"/>
          <w:sz w:val="16"/>
          <w:szCs w:val="16"/>
        </w:rPr>
        <w:t xml:space="preserve">tendrá en cuenta sólo en relación con la declaración pericial, y no como prueba documental relevante respecto a hechos del caso. Por otra parte, se deja sentado que no fue remitida al Tribunal la declaración escrita de la testigo </w:t>
      </w:r>
      <w:r w:rsidRPr="007F313C">
        <w:rPr>
          <w:rFonts w:ascii="Verdana" w:hAnsi="Verdana"/>
          <w:i/>
          <w:sz w:val="16"/>
          <w:szCs w:val="16"/>
        </w:rPr>
        <w:t>Karin García Carrasco</w:t>
      </w:r>
      <w:r w:rsidRPr="007F313C">
        <w:rPr>
          <w:rFonts w:ascii="Verdana" w:hAnsi="Verdana"/>
          <w:sz w:val="16"/>
          <w:szCs w:val="16"/>
        </w:rPr>
        <w:t xml:space="preserve">, propuesta por el Estado. El 28 de enero de 2021, un día después de que venciera el plazo establecido para recibir dicha declaración, el Estado indico que desistía de la misma. Venezuela informó que la señora García Carrasco, </w:t>
      </w:r>
      <w:r w:rsidRPr="007F313C">
        <w:rPr>
          <w:rFonts w:ascii="Verdana" w:hAnsi="Verdana"/>
          <w:sz w:val="16"/>
          <w:szCs w:val="16"/>
          <w:lang w:val="es-ES"/>
        </w:rPr>
        <w:t>“se vio impedida de rendir su declaración por motivos personales”.</w:t>
      </w:r>
      <w:r w:rsidRPr="007F313C">
        <w:rPr>
          <w:rFonts w:ascii="Verdana" w:hAnsi="Verdana"/>
          <w:sz w:val="16"/>
          <w:szCs w:val="16"/>
        </w:rPr>
        <w:t xml:space="preserve"> </w:t>
      </w:r>
    </w:p>
    <w:p w14:paraId="31E56A41" w14:textId="77777777" w:rsidR="0087743B" w:rsidRPr="007F313C" w:rsidRDefault="0087743B" w:rsidP="000C7C2E">
      <w:pPr>
        <w:pStyle w:val="Textonotapie"/>
        <w:jc w:val="both"/>
        <w:rPr>
          <w:rFonts w:ascii="Verdana" w:hAnsi="Verdana"/>
          <w:sz w:val="16"/>
          <w:szCs w:val="16"/>
        </w:rPr>
      </w:pPr>
    </w:p>
  </w:footnote>
  <w:footnote w:id="26">
    <w:p w14:paraId="492A13D5" w14:textId="48578570"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620163">
        <w:rPr>
          <w:rFonts w:ascii="Verdana" w:hAnsi="Verdana"/>
          <w:i/>
          <w:sz w:val="16"/>
          <w:szCs w:val="16"/>
        </w:rPr>
        <w:t>Cfr</w:t>
      </w:r>
      <w:r w:rsidRPr="007F313C">
        <w:rPr>
          <w:rFonts w:ascii="Verdana" w:hAnsi="Verdana"/>
          <w:sz w:val="16"/>
          <w:szCs w:val="16"/>
        </w:rPr>
        <w:t xml:space="preserve">., en el mismo sentido, </w:t>
      </w:r>
      <w:r w:rsidRPr="007F313C">
        <w:rPr>
          <w:rFonts w:ascii="Verdana" w:hAnsi="Verdana"/>
          <w:i/>
          <w:sz w:val="16"/>
          <w:szCs w:val="16"/>
        </w:rPr>
        <w:t>Caso Olivares Muñoz y otros Vs. Venezuela. Fondo, Reparaciones y Costas.</w:t>
      </w:r>
      <w:r w:rsidRPr="007F313C">
        <w:rPr>
          <w:rFonts w:ascii="Verdana" w:hAnsi="Verdana"/>
          <w:sz w:val="16"/>
          <w:szCs w:val="16"/>
        </w:rPr>
        <w:t xml:space="preserve"> Sentencia de 10 de noviembre de 2020. Serie C No. 415, párr. 41, y </w:t>
      </w:r>
      <w:r w:rsidRPr="007F313C">
        <w:rPr>
          <w:rFonts w:ascii="Verdana" w:hAnsi="Verdana"/>
          <w:i/>
          <w:sz w:val="16"/>
          <w:szCs w:val="16"/>
        </w:rPr>
        <w:t xml:space="preserve">Caso Mota </w:t>
      </w:r>
      <w:proofErr w:type="spellStart"/>
      <w:r w:rsidRPr="007F313C">
        <w:rPr>
          <w:rFonts w:ascii="Verdana" w:hAnsi="Verdana"/>
          <w:i/>
          <w:sz w:val="16"/>
          <w:szCs w:val="16"/>
        </w:rPr>
        <w:t>Abarullo</w:t>
      </w:r>
      <w:proofErr w:type="spellEnd"/>
      <w:r w:rsidRPr="007F313C">
        <w:rPr>
          <w:rFonts w:ascii="Verdana" w:hAnsi="Verdana"/>
          <w:i/>
          <w:sz w:val="16"/>
          <w:szCs w:val="16"/>
        </w:rPr>
        <w:t xml:space="preserve"> y otros Vs. Venezuela</w:t>
      </w:r>
      <w:r w:rsidRPr="007F313C">
        <w:rPr>
          <w:rFonts w:ascii="Verdana" w:hAnsi="Verdana"/>
          <w:sz w:val="16"/>
          <w:szCs w:val="16"/>
        </w:rPr>
        <w:t xml:space="preserve">, párr. 31. Las consideraciones de las sentencias citadas, en las que la Corte determinó admitir declaraciones que, </w:t>
      </w:r>
      <w:proofErr w:type="gramStart"/>
      <w:r w:rsidRPr="007F313C">
        <w:rPr>
          <w:rFonts w:ascii="Verdana" w:hAnsi="Verdana"/>
          <w:sz w:val="16"/>
          <w:szCs w:val="16"/>
        </w:rPr>
        <w:t>en razón de</w:t>
      </w:r>
      <w:proofErr w:type="gramEnd"/>
      <w:r w:rsidRPr="007F313C">
        <w:rPr>
          <w:rFonts w:ascii="Verdana" w:hAnsi="Verdana"/>
          <w:sz w:val="16"/>
          <w:szCs w:val="16"/>
        </w:rPr>
        <w:t xml:space="preserve"> dificultades derivadas de la pandemia, no fueron dadas ante fedatario público, son pertinentes también, en lo correspondiente, respecto a las determinaciones que se efectúan en la presente Sentencia respecto de la perita Carmen </w:t>
      </w:r>
      <w:proofErr w:type="spellStart"/>
      <w:r w:rsidRPr="007F313C">
        <w:rPr>
          <w:rFonts w:ascii="Verdana" w:hAnsi="Verdana"/>
          <w:sz w:val="16"/>
          <w:szCs w:val="16"/>
        </w:rPr>
        <w:t>Wurst</w:t>
      </w:r>
      <w:proofErr w:type="spellEnd"/>
      <w:r w:rsidRPr="007F313C">
        <w:rPr>
          <w:rFonts w:ascii="Verdana" w:hAnsi="Verdana"/>
          <w:sz w:val="16"/>
          <w:szCs w:val="16"/>
        </w:rPr>
        <w:t xml:space="preserve"> y el testigo Fernández Blanco (</w:t>
      </w:r>
      <w:r w:rsidRPr="007F313C">
        <w:rPr>
          <w:rFonts w:ascii="Verdana" w:hAnsi="Verdana"/>
          <w:i/>
          <w:sz w:val="16"/>
          <w:szCs w:val="16"/>
        </w:rPr>
        <w:t xml:space="preserve">infra </w:t>
      </w:r>
      <w:proofErr w:type="spellStart"/>
      <w:r w:rsidRPr="007F313C">
        <w:rPr>
          <w:rFonts w:ascii="Verdana" w:hAnsi="Verdana"/>
          <w:sz w:val="16"/>
          <w:szCs w:val="16"/>
        </w:rPr>
        <w:t>párrs</w:t>
      </w:r>
      <w:proofErr w:type="spellEnd"/>
      <w:r w:rsidRPr="007F313C">
        <w:rPr>
          <w:rFonts w:ascii="Verdana" w:hAnsi="Verdana"/>
          <w:sz w:val="16"/>
          <w:szCs w:val="16"/>
        </w:rPr>
        <w:t xml:space="preserve">. </w:t>
      </w:r>
      <w:r>
        <w:rPr>
          <w:rFonts w:ascii="Verdana" w:hAnsi="Verdana"/>
          <w:sz w:val="16"/>
          <w:szCs w:val="16"/>
        </w:rPr>
        <w:t>40 y 42</w:t>
      </w:r>
      <w:r w:rsidRPr="007F313C">
        <w:rPr>
          <w:rFonts w:ascii="Verdana" w:hAnsi="Verdana"/>
          <w:sz w:val="16"/>
          <w:szCs w:val="16"/>
        </w:rPr>
        <w:t xml:space="preserve">). </w:t>
      </w:r>
    </w:p>
    <w:p w14:paraId="6E47B282" w14:textId="77777777" w:rsidR="0087743B" w:rsidRPr="007F313C" w:rsidRDefault="0087743B" w:rsidP="000C7C2E">
      <w:pPr>
        <w:pStyle w:val="Textonotapie"/>
        <w:jc w:val="both"/>
        <w:rPr>
          <w:rFonts w:ascii="Verdana" w:hAnsi="Verdana"/>
          <w:sz w:val="16"/>
          <w:szCs w:val="16"/>
        </w:rPr>
      </w:pPr>
    </w:p>
  </w:footnote>
  <w:footnote w:id="27">
    <w:p w14:paraId="4F982727" w14:textId="77777777"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Es pertinente recordar, al respecto, que el artículo 41.3 del Reglamento indica que “[l]a Corte podrá considerar aceptados aquellos hechos que no hayan sido expresamente negados”.</w:t>
      </w:r>
    </w:p>
    <w:p w14:paraId="1B22DBD0" w14:textId="77777777" w:rsidR="0087743B" w:rsidRPr="007F313C" w:rsidRDefault="0087743B" w:rsidP="000C7C2E">
      <w:pPr>
        <w:pStyle w:val="Textonotapie"/>
        <w:jc w:val="both"/>
        <w:rPr>
          <w:rFonts w:ascii="Verdana" w:hAnsi="Verdana"/>
          <w:sz w:val="16"/>
          <w:szCs w:val="16"/>
        </w:rPr>
      </w:pPr>
    </w:p>
  </w:footnote>
  <w:footnote w:id="28">
    <w:p w14:paraId="23576978" w14:textId="77777777" w:rsidR="0087743B"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Como ha </w:t>
      </w:r>
      <w:r>
        <w:rPr>
          <w:rFonts w:ascii="Verdana" w:hAnsi="Verdana"/>
          <w:sz w:val="16"/>
          <w:szCs w:val="16"/>
        </w:rPr>
        <w:t>sido</w:t>
      </w:r>
      <w:r w:rsidRPr="007F313C">
        <w:rPr>
          <w:rFonts w:ascii="Verdana" w:hAnsi="Verdana"/>
          <w:sz w:val="16"/>
          <w:szCs w:val="16"/>
        </w:rPr>
        <w:t xml:space="preserve"> expuesto (</w:t>
      </w:r>
      <w:r w:rsidRPr="007F313C">
        <w:rPr>
          <w:rFonts w:ascii="Verdana" w:hAnsi="Verdana"/>
          <w:i/>
          <w:sz w:val="16"/>
          <w:szCs w:val="16"/>
        </w:rPr>
        <w:t xml:space="preserve">supra </w:t>
      </w:r>
      <w:r w:rsidRPr="007F313C">
        <w:rPr>
          <w:rFonts w:ascii="Verdana" w:hAnsi="Verdana"/>
          <w:sz w:val="16"/>
          <w:szCs w:val="16"/>
        </w:rPr>
        <w:t xml:space="preserve">párr. </w:t>
      </w:r>
      <w:r>
        <w:rPr>
          <w:rFonts w:ascii="Verdana" w:hAnsi="Verdana"/>
          <w:sz w:val="16"/>
          <w:szCs w:val="16"/>
        </w:rPr>
        <w:t>20</w:t>
      </w:r>
      <w:r w:rsidRPr="007F313C">
        <w:rPr>
          <w:rFonts w:ascii="Verdana" w:hAnsi="Verdana"/>
          <w:sz w:val="16"/>
          <w:szCs w:val="16"/>
        </w:rPr>
        <w:t>), la Comisión se refirió a un contexto de denuncias de ejecuciones extrajudiciales contra personas “con el perfil de Jimmy Guerrero”. De la lectura del Informe de Fondo, en particular, de su párrafo 22, surge que las características de las víctimas de violencia policial aludidas por la Comisión consisten en ser las mismas hombres</w:t>
      </w:r>
      <w:r w:rsidRPr="00A70195">
        <w:rPr>
          <w:rFonts w:ascii="Verdana" w:hAnsi="Verdana"/>
          <w:sz w:val="16"/>
          <w:szCs w:val="16"/>
        </w:rPr>
        <w:t xml:space="preserve"> jóvenes</w:t>
      </w:r>
      <w:r w:rsidRPr="007F313C">
        <w:rPr>
          <w:rFonts w:ascii="Verdana" w:hAnsi="Verdana"/>
          <w:sz w:val="16"/>
          <w:szCs w:val="16"/>
        </w:rPr>
        <w:t xml:space="preserve"> y pertenecientes a sectores </w:t>
      </w:r>
      <w:proofErr w:type="gramStart"/>
      <w:r w:rsidRPr="007F313C">
        <w:rPr>
          <w:rFonts w:ascii="Verdana" w:hAnsi="Verdana"/>
          <w:sz w:val="16"/>
          <w:szCs w:val="16"/>
        </w:rPr>
        <w:t>socio-económicos</w:t>
      </w:r>
      <w:proofErr w:type="gramEnd"/>
      <w:r w:rsidRPr="007F313C">
        <w:rPr>
          <w:rFonts w:ascii="Verdana" w:hAnsi="Verdana"/>
          <w:sz w:val="16"/>
          <w:szCs w:val="16"/>
        </w:rPr>
        <w:t xml:space="preserve"> vulnerables. </w:t>
      </w:r>
    </w:p>
    <w:p w14:paraId="26661966" w14:textId="77777777" w:rsidR="0087743B" w:rsidRPr="007F313C" w:rsidRDefault="0087743B" w:rsidP="000C7C2E">
      <w:pPr>
        <w:pStyle w:val="Textonotapie"/>
        <w:jc w:val="both"/>
        <w:rPr>
          <w:rFonts w:ascii="Verdana" w:hAnsi="Verdana"/>
          <w:sz w:val="16"/>
          <w:szCs w:val="16"/>
        </w:rPr>
      </w:pPr>
    </w:p>
  </w:footnote>
  <w:footnote w:id="29">
    <w:p w14:paraId="35E9156D" w14:textId="4ECAC699"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La Corte</w:t>
      </w:r>
      <w:r>
        <w:rPr>
          <w:rFonts w:ascii="Verdana" w:hAnsi="Verdana"/>
          <w:sz w:val="16"/>
          <w:szCs w:val="16"/>
        </w:rPr>
        <w:t xml:space="preserve"> tiene en cuenta, a tales efectos, </w:t>
      </w:r>
      <w:r w:rsidRPr="0023400D">
        <w:rPr>
          <w:rFonts w:ascii="Verdana" w:hAnsi="Verdana"/>
          <w:sz w:val="16"/>
          <w:szCs w:val="16"/>
        </w:rPr>
        <w:t>circunstancias ya advertidas por el Tribunal en ocasiones anteriores; los señalamientos de la Comisión, aceptados por Venezuela; las alusiones al contexto formuladas por los representantes, que no fueron controvertidas por el Estado, y las precisiones que surgen de la prueba</w:t>
      </w:r>
      <w:r>
        <w:rPr>
          <w:rFonts w:ascii="Verdana" w:hAnsi="Verdana"/>
          <w:sz w:val="16"/>
          <w:szCs w:val="16"/>
        </w:rPr>
        <w:t>.</w:t>
      </w:r>
    </w:p>
    <w:p w14:paraId="49E7D95A" w14:textId="77777777" w:rsidR="0087743B" w:rsidRPr="007F313C" w:rsidRDefault="0087743B" w:rsidP="000C7C2E">
      <w:pPr>
        <w:pStyle w:val="Textonotapie"/>
        <w:jc w:val="both"/>
        <w:rPr>
          <w:rFonts w:ascii="Verdana" w:hAnsi="Verdana"/>
          <w:sz w:val="16"/>
          <w:szCs w:val="16"/>
        </w:rPr>
      </w:pPr>
    </w:p>
  </w:footnote>
  <w:footnote w:id="30">
    <w:p w14:paraId="5E8A3AF8" w14:textId="77777777"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Caso Hermanos Landaeta Mejías y otros Vs. Venezuela. Excepciones Preliminares, Fondo, Reparaciones y Costas.</w:t>
      </w:r>
      <w:r w:rsidRPr="007F313C">
        <w:rPr>
          <w:rFonts w:ascii="Verdana" w:hAnsi="Verdana"/>
          <w:sz w:val="16"/>
          <w:szCs w:val="16"/>
        </w:rPr>
        <w:t xml:space="preserve"> Sentencia de 27 de agosto de 2014. Serie C No. 281, párr. 55.</w:t>
      </w:r>
    </w:p>
    <w:p w14:paraId="78051DCC" w14:textId="77777777" w:rsidR="0087743B" w:rsidRPr="007F313C" w:rsidRDefault="0087743B" w:rsidP="000C7C2E">
      <w:pPr>
        <w:pStyle w:val="Textonotapie"/>
        <w:jc w:val="both"/>
        <w:rPr>
          <w:rFonts w:ascii="Verdana" w:hAnsi="Verdana"/>
          <w:sz w:val="16"/>
          <w:szCs w:val="16"/>
        </w:rPr>
      </w:pPr>
    </w:p>
  </w:footnote>
  <w:footnote w:id="31">
    <w:p w14:paraId="775515EA" w14:textId="3CC869A0"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Caso Hermanos Landaeta Mejías y otros Vs. Venezuela</w:t>
      </w:r>
      <w:r w:rsidRPr="007F313C">
        <w:rPr>
          <w:rFonts w:ascii="Verdana" w:hAnsi="Verdana"/>
          <w:sz w:val="16"/>
          <w:szCs w:val="16"/>
        </w:rPr>
        <w:t xml:space="preserve">, párr. </w:t>
      </w:r>
      <w:r>
        <w:rPr>
          <w:rFonts w:ascii="Verdana" w:hAnsi="Verdana"/>
          <w:sz w:val="16"/>
          <w:szCs w:val="16"/>
        </w:rPr>
        <w:t>49</w:t>
      </w:r>
      <w:r w:rsidRPr="007F313C">
        <w:rPr>
          <w:rFonts w:ascii="Verdana" w:hAnsi="Verdana"/>
          <w:sz w:val="16"/>
          <w:szCs w:val="16"/>
        </w:rPr>
        <w:t>.</w:t>
      </w:r>
    </w:p>
    <w:p w14:paraId="1636A720" w14:textId="77777777" w:rsidR="0087743B" w:rsidRPr="007F313C" w:rsidRDefault="0087743B" w:rsidP="000C7C2E">
      <w:pPr>
        <w:pStyle w:val="Textonotapie"/>
        <w:jc w:val="both"/>
        <w:rPr>
          <w:rFonts w:ascii="Verdana" w:hAnsi="Verdana"/>
          <w:sz w:val="16"/>
          <w:szCs w:val="16"/>
        </w:rPr>
      </w:pPr>
    </w:p>
  </w:footnote>
  <w:footnote w:id="32">
    <w:p w14:paraId="49B62681" w14:textId="403B1C24"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ab/>
        <w:t>El perito Briceño León indicó que, cada 100,000 habitantes, en 1999 había 25 homicidios y en 2003 44 (</w:t>
      </w:r>
      <w:r w:rsidRPr="00A6522C">
        <w:rPr>
          <w:rFonts w:ascii="Verdana" w:hAnsi="Verdana"/>
          <w:i/>
          <w:sz w:val="16"/>
          <w:szCs w:val="16"/>
        </w:rPr>
        <w:t xml:space="preserve">cfr. </w:t>
      </w:r>
      <w:r w:rsidRPr="007F313C">
        <w:rPr>
          <w:rFonts w:ascii="Verdana" w:hAnsi="Verdana"/>
          <w:sz w:val="16"/>
          <w:szCs w:val="16"/>
        </w:rPr>
        <w:t>declaración del perito Roberto Briceño León</w:t>
      </w:r>
      <w:r w:rsidR="008524E9" w:rsidRPr="008524E9">
        <w:rPr>
          <w:rFonts w:ascii="Verdana" w:hAnsi="Verdana"/>
          <w:sz w:val="16"/>
          <w:szCs w:val="16"/>
        </w:rPr>
        <w:t xml:space="preserve"> </w:t>
      </w:r>
      <w:r w:rsidR="008524E9">
        <w:rPr>
          <w:rFonts w:ascii="Verdana" w:hAnsi="Verdana"/>
          <w:sz w:val="16"/>
          <w:szCs w:val="16"/>
        </w:rPr>
        <w:t>(</w:t>
      </w:r>
      <w:r w:rsidR="008524E9" w:rsidRPr="008524E9">
        <w:rPr>
          <w:rFonts w:ascii="Verdana" w:hAnsi="Verdana"/>
          <w:sz w:val="16"/>
          <w:szCs w:val="16"/>
        </w:rPr>
        <w:t>expediente de prueba, fs. 11574 a 11586</w:t>
      </w:r>
      <w:r w:rsidR="008524E9">
        <w:rPr>
          <w:rFonts w:ascii="Verdana" w:hAnsi="Verdana"/>
          <w:sz w:val="16"/>
          <w:szCs w:val="16"/>
        </w:rPr>
        <w:t>)</w:t>
      </w:r>
      <w:r w:rsidRPr="007F313C">
        <w:rPr>
          <w:rFonts w:ascii="Verdana" w:hAnsi="Verdana"/>
          <w:sz w:val="16"/>
          <w:szCs w:val="16"/>
        </w:rPr>
        <w:t xml:space="preserve">). El perito consideró que en 2002 y 2003, de forma paralela al aumento de homicidios, creció la actuación al margen de la ley de fuerzas policiales. </w:t>
      </w:r>
    </w:p>
    <w:p w14:paraId="6BEFFF53" w14:textId="77777777" w:rsidR="0087743B" w:rsidRPr="007F313C" w:rsidRDefault="0087743B" w:rsidP="000C7C2E">
      <w:pPr>
        <w:pStyle w:val="Textonotapie"/>
        <w:jc w:val="both"/>
        <w:rPr>
          <w:rFonts w:ascii="Verdana" w:hAnsi="Verdana"/>
          <w:sz w:val="16"/>
          <w:szCs w:val="16"/>
        </w:rPr>
      </w:pPr>
    </w:p>
  </w:footnote>
  <w:footnote w:id="33">
    <w:p w14:paraId="7122F289" w14:textId="11388444" w:rsidR="0087743B" w:rsidRPr="00542071" w:rsidRDefault="0087743B" w:rsidP="000C7C2E">
      <w:pPr>
        <w:pStyle w:val="Textonotapie"/>
        <w:jc w:val="both"/>
        <w:rPr>
          <w:rFonts w:ascii="Verdana" w:hAnsi="Verdana"/>
          <w:sz w:val="16"/>
          <w:szCs w:val="16"/>
        </w:rPr>
      </w:pPr>
      <w:r w:rsidRPr="00542071">
        <w:rPr>
          <w:rStyle w:val="Refdenotaalpie"/>
          <w:rFonts w:ascii="Verdana" w:hAnsi="Verdana"/>
          <w:sz w:val="16"/>
          <w:szCs w:val="16"/>
        </w:rPr>
        <w:footnoteRef/>
      </w:r>
      <w:r w:rsidRPr="00542071">
        <w:rPr>
          <w:rFonts w:ascii="Verdana" w:hAnsi="Verdana"/>
          <w:sz w:val="16"/>
          <w:szCs w:val="16"/>
        </w:rPr>
        <w:tab/>
      </w:r>
      <w:r w:rsidRPr="00542071">
        <w:rPr>
          <w:rFonts w:ascii="Verdana" w:hAnsi="Verdana" w:cs="Arial"/>
          <w:i/>
          <w:sz w:val="16"/>
          <w:szCs w:val="16"/>
          <w:shd w:val="clear" w:color="auto" w:fill="FFFFFF"/>
        </w:rPr>
        <w:t>Caso Uzcátegui y otros Vs. Venezuela. Fondo y Reparaciones.</w:t>
      </w:r>
      <w:r w:rsidRPr="00542071">
        <w:rPr>
          <w:rFonts w:ascii="Verdana" w:hAnsi="Verdana" w:cs="Arial"/>
          <w:sz w:val="16"/>
          <w:szCs w:val="16"/>
          <w:shd w:val="clear" w:color="auto" w:fill="FFFFFF"/>
        </w:rPr>
        <w:t xml:space="preserve"> Sentencia de 3 de septiembre de 2012. Serie C No. 249, párr. 36</w:t>
      </w:r>
      <w:r>
        <w:rPr>
          <w:rFonts w:ascii="Verdana" w:hAnsi="Verdana" w:cs="Arial"/>
          <w:sz w:val="16"/>
          <w:szCs w:val="16"/>
          <w:shd w:val="clear" w:color="auto" w:fill="FFFFFF"/>
        </w:rPr>
        <w:t xml:space="preserve">, y </w:t>
      </w:r>
      <w:r w:rsidRPr="00542071">
        <w:rPr>
          <w:rFonts w:ascii="Verdana" w:hAnsi="Verdana" w:cs="Arial"/>
          <w:i/>
          <w:sz w:val="16"/>
          <w:szCs w:val="16"/>
          <w:shd w:val="clear" w:color="auto" w:fill="FFFFFF"/>
        </w:rPr>
        <w:t>Caso Díaz Loreto y otros Vs. Venezuela. Excepciones Preliminares, Fondo, Reparaciones y Costas.</w:t>
      </w:r>
      <w:r w:rsidRPr="00172CA3">
        <w:rPr>
          <w:rFonts w:ascii="Verdana" w:hAnsi="Verdana" w:cs="Arial"/>
          <w:sz w:val="16"/>
          <w:szCs w:val="16"/>
          <w:shd w:val="clear" w:color="auto" w:fill="FFFFFF"/>
        </w:rPr>
        <w:t xml:space="preserve"> Sentencia de 19 de noviembre de 2019. Serie C No. 392</w:t>
      </w:r>
      <w:r>
        <w:rPr>
          <w:rFonts w:ascii="Verdana" w:hAnsi="Verdana" w:cs="Arial"/>
          <w:sz w:val="16"/>
          <w:szCs w:val="16"/>
          <w:shd w:val="clear" w:color="auto" w:fill="FFFFFF"/>
        </w:rPr>
        <w:t>, párr. 31</w:t>
      </w:r>
      <w:r w:rsidRPr="00542071">
        <w:rPr>
          <w:rFonts w:ascii="Verdana" w:hAnsi="Verdana" w:cs="Arial"/>
          <w:sz w:val="16"/>
          <w:szCs w:val="16"/>
          <w:shd w:val="clear" w:color="auto" w:fill="FFFFFF"/>
        </w:rPr>
        <w:t>. El documento aludido es</w:t>
      </w:r>
      <w:r>
        <w:rPr>
          <w:rFonts w:ascii="Verdana" w:hAnsi="Verdana" w:cs="Arial"/>
          <w:sz w:val="16"/>
          <w:szCs w:val="16"/>
          <w:shd w:val="clear" w:color="auto" w:fill="FFFFFF"/>
        </w:rPr>
        <w:t>:</w:t>
      </w:r>
      <w:r w:rsidRPr="00542071">
        <w:rPr>
          <w:rFonts w:ascii="Verdana" w:hAnsi="Verdana" w:cs="Arial"/>
          <w:sz w:val="16"/>
          <w:szCs w:val="16"/>
          <w:shd w:val="clear" w:color="auto" w:fill="FFFFFF"/>
        </w:rPr>
        <w:t xml:space="preserve"> </w:t>
      </w:r>
      <w:r w:rsidRPr="00542071">
        <w:rPr>
          <w:rFonts w:ascii="Verdana" w:hAnsi="Verdana"/>
          <w:sz w:val="16"/>
          <w:szCs w:val="16"/>
        </w:rPr>
        <w:t xml:space="preserve">Comisión Nacional para la Reforma Policial, Presentación Caracterización de los cuerpos de Policía, Estudios. Caracas 2006, y Características de la Policía Venezolana, Caracas 2006. </w:t>
      </w:r>
    </w:p>
    <w:p w14:paraId="64BF5473" w14:textId="77777777" w:rsidR="0087743B" w:rsidRDefault="0087743B" w:rsidP="000C7C2E">
      <w:pPr>
        <w:pStyle w:val="Textonotapie"/>
      </w:pPr>
    </w:p>
  </w:footnote>
  <w:footnote w:id="34">
    <w:p w14:paraId="1B17A229" w14:textId="1B8E9E66"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Caso Uzcátegui y otros Vs. Venezuela</w:t>
      </w:r>
      <w:r w:rsidRPr="007F313C">
        <w:rPr>
          <w:rFonts w:ascii="Verdana" w:hAnsi="Verdana"/>
          <w:sz w:val="16"/>
          <w:szCs w:val="16"/>
        </w:rPr>
        <w:t xml:space="preserve">, párr.35. La Corte efectuó esta aseveración sobre la base del reconocimiento estatal, así como de otras fuentes. </w:t>
      </w:r>
    </w:p>
    <w:p w14:paraId="74B4C553" w14:textId="77777777" w:rsidR="0087743B" w:rsidRPr="007F313C" w:rsidRDefault="0087743B" w:rsidP="000C7C2E">
      <w:pPr>
        <w:pStyle w:val="Textonotapie"/>
        <w:jc w:val="both"/>
        <w:rPr>
          <w:rFonts w:ascii="Verdana" w:hAnsi="Verdana"/>
          <w:sz w:val="16"/>
          <w:szCs w:val="16"/>
        </w:rPr>
      </w:pPr>
    </w:p>
  </w:footnote>
  <w:footnote w:id="35">
    <w:p w14:paraId="5602F777" w14:textId="5D681C0A"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Caso Hermanos Landaeta Mejías y otros Vs. Venezuela</w:t>
      </w:r>
      <w:r w:rsidRPr="007F313C">
        <w:rPr>
          <w:rFonts w:ascii="Verdana" w:hAnsi="Verdana"/>
          <w:sz w:val="16"/>
          <w:szCs w:val="16"/>
        </w:rPr>
        <w:t>, párr. 50.</w:t>
      </w:r>
    </w:p>
    <w:p w14:paraId="4ADC62E0" w14:textId="77777777" w:rsidR="0087743B" w:rsidRPr="007F313C" w:rsidRDefault="0087743B" w:rsidP="000C7C2E">
      <w:pPr>
        <w:pStyle w:val="Textonotapie"/>
        <w:jc w:val="both"/>
        <w:rPr>
          <w:rFonts w:ascii="Verdana" w:hAnsi="Verdana"/>
          <w:sz w:val="16"/>
          <w:szCs w:val="16"/>
        </w:rPr>
      </w:pPr>
    </w:p>
  </w:footnote>
  <w:footnote w:id="36">
    <w:p w14:paraId="03CA12A1" w14:textId="3C670DA7" w:rsidR="0087743B" w:rsidRPr="007F313C" w:rsidRDefault="0087743B" w:rsidP="000C7C2E">
      <w:pPr>
        <w:pStyle w:val="Textonotapie"/>
        <w:jc w:val="both"/>
        <w:rPr>
          <w:rFonts w:ascii="Verdana" w:hAnsi="Verdana"/>
          <w:b/>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República Bolivariana de Venezuela. Poder Ciudadano. Defensoría del Pueblo. </w:t>
      </w:r>
      <w:r w:rsidRPr="007F313C">
        <w:rPr>
          <w:rFonts w:ascii="Verdana" w:hAnsi="Verdana"/>
          <w:i/>
          <w:sz w:val="16"/>
          <w:szCs w:val="16"/>
        </w:rPr>
        <w:t>Anuario 2003. Derechos Humanos en Venezuela</w:t>
      </w:r>
      <w:r>
        <w:rPr>
          <w:rFonts w:ascii="Verdana" w:hAnsi="Verdana"/>
          <w:sz w:val="16"/>
          <w:szCs w:val="16"/>
        </w:rPr>
        <w:t xml:space="preserve"> (e</w:t>
      </w:r>
      <w:r w:rsidRPr="007F313C">
        <w:rPr>
          <w:rFonts w:ascii="Verdana" w:hAnsi="Verdana"/>
          <w:sz w:val="16"/>
          <w:szCs w:val="16"/>
        </w:rPr>
        <w:t>xpediente de prueba, anexo 3.J al escrito de solicitudes y argumentos, fs. 2594 a 2773</w:t>
      </w:r>
      <w:r>
        <w:rPr>
          <w:rFonts w:ascii="Verdana" w:hAnsi="Verdana"/>
          <w:sz w:val="16"/>
          <w:szCs w:val="16"/>
        </w:rPr>
        <w:t>)</w:t>
      </w:r>
      <w:r w:rsidRPr="007F313C">
        <w:rPr>
          <w:rFonts w:ascii="Verdana" w:hAnsi="Verdana"/>
          <w:sz w:val="16"/>
          <w:szCs w:val="16"/>
        </w:rPr>
        <w:t xml:space="preserve">. </w:t>
      </w:r>
    </w:p>
    <w:p w14:paraId="7A396980" w14:textId="77777777" w:rsidR="0087743B" w:rsidRPr="007F313C" w:rsidRDefault="0087743B" w:rsidP="000C7C2E">
      <w:pPr>
        <w:pStyle w:val="Textonotapie"/>
        <w:jc w:val="both"/>
        <w:rPr>
          <w:rFonts w:ascii="Verdana" w:hAnsi="Verdana"/>
          <w:sz w:val="16"/>
          <w:szCs w:val="16"/>
        </w:rPr>
      </w:pPr>
    </w:p>
  </w:footnote>
  <w:footnote w:id="37">
    <w:p w14:paraId="07914A7D" w14:textId="45C0B6AC" w:rsidR="0087743B" w:rsidRPr="00A70195" w:rsidRDefault="0087743B" w:rsidP="000C7C2E">
      <w:pPr>
        <w:pStyle w:val="Textonotapie"/>
        <w:jc w:val="both"/>
        <w:rPr>
          <w:rFonts w:ascii="Verdana" w:hAnsi="Verdana"/>
          <w:sz w:val="16"/>
          <w:szCs w:val="16"/>
          <w:lang w:val="es-AR"/>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La Comisión, en su Informe de Fondo, indicó que las víctimas de ejecuciones extrajudiciales cometidas por la policía en la época de los hechos del caso pertenecían a los “sectores” más “humildes” o “vulnerables” en el aspecto “</w:t>
      </w:r>
      <w:proofErr w:type="gramStart"/>
      <w:r w:rsidRPr="007F313C">
        <w:rPr>
          <w:rFonts w:ascii="Verdana" w:hAnsi="Verdana"/>
          <w:sz w:val="16"/>
          <w:szCs w:val="16"/>
        </w:rPr>
        <w:t>socio-económicos</w:t>
      </w:r>
      <w:proofErr w:type="gramEnd"/>
      <w:r w:rsidRPr="007F313C">
        <w:rPr>
          <w:rFonts w:ascii="Verdana" w:hAnsi="Verdana"/>
          <w:sz w:val="16"/>
          <w:szCs w:val="16"/>
        </w:rPr>
        <w:t>”. Indicó también que las víctimas del estado Falcón eran hombres jóvenes. El Estado ha aceptado estos señalamientos de hecho (</w:t>
      </w:r>
      <w:r w:rsidRPr="007F313C">
        <w:rPr>
          <w:rFonts w:ascii="Verdana" w:hAnsi="Verdana"/>
          <w:i/>
          <w:sz w:val="16"/>
          <w:szCs w:val="16"/>
        </w:rPr>
        <w:t xml:space="preserve">supra </w:t>
      </w:r>
      <w:proofErr w:type="spellStart"/>
      <w:r w:rsidRPr="007F313C">
        <w:rPr>
          <w:rFonts w:ascii="Verdana" w:hAnsi="Verdana"/>
          <w:sz w:val="16"/>
          <w:szCs w:val="16"/>
        </w:rPr>
        <w:t>párrs</w:t>
      </w:r>
      <w:proofErr w:type="spellEnd"/>
      <w:r w:rsidRPr="007F313C">
        <w:rPr>
          <w:rFonts w:ascii="Verdana" w:hAnsi="Verdana"/>
          <w:sz w:val="16"/>
          <w:szCs w:val="16"/>
        </w:rPr>
        <w:t xml:space="preserve">. </w:t>
      </w:r>
      <w:r>
        <w:rPr>
          <w:rFonts w:ascii="Verdana" w:hAnsi="Verdana"/>
          <w:sz w:val="16"/>
          <w:szCs w:val="16"/>
        </w:rPr>
        <w:t>8, 14, 20, 21 y 31</w:t>
      </w:r>
      <w:r w:rsidRPr="007F313C">
        <w:rPr>
          <w:rFonts w:ascii="Verdana" w:hAnsi="Verdana"/>
          <w:sz w:val="16"/>
          <w:szCs w:val="16"/>
        </w:rPr>
        <w:t>). Los representantes expresaron, en una afirmación no controvertida por el Estado, que “[l]os abusos y ejecuciones extrajudiciales cometidos por las fuerzas policiales en Venezuela tienen como víctimas directas, en su mayoría, a hombres jóvenes pertenecientes a los sectores sociales económicamente más vulnerables”. En sustento de tal aseveración citaron un documento de 2003, emitido por la Comisión Interamericana, que indica que “[u]</w:t>
      </w:r>
      <w:proofErr w:type="spellStart"/>
      <w:r w:rsidRPr="007F313C">
        <w:rPr>
          <w:rFonts w:ascii="Verdana" w:hAnsi="Verdana"/>
          <w:sz w:val="16"/>
          <w:szCs w:val="16"/>
          <w:shd w:val="clear" w:color="auto" w:fill="FFFFFF"/>
        </w:rPr>
        <w:t>na</w:t>
      </w:r>
      <w:proofErr w:type="spellEnd"/>
      <w:r w:rsidRPr="007F313C">
        <w:rPr>
          <w:rFonts w:ascii="Verdana" w:hAnsi="Verdana"/>
          <w:sz w:val="16"/>
          <w:szCs w:val="16"/>
          <w:shd w:val="clear" w:color="auto" w:fill="FFFFFF"/>
        </w:rPr>
        <w:t xml:space="preserve"> de las situaciones más serias que han incidido sobre el derecho a la vida durante los últimos años ha sido el fenómeno de la limpieza social”, y que “</w:t>
      </w:r>
      <w:r w:rsidRPr="007F313C">
        <w:rPr>
          <w:rFonts w:ascii="Verdana" w:hAnsi="Verdana"/>
          <w:sz w:val="16"/>
          <w:szCs w:val="16"/>
          <w:lang w:val="es-AR"/>
        </w:rPr>
        <w:t>los asesinatos son perpetrados por grupos parapoliciales que cuentan con la participación de miembros de los distintos cuerpos policiales estatales y de miembros de la Guardia Nacional. Asimismo, estos asesinatos ocurren dentro de patrones determinados en relación con las características de las víctimas y al</w:t>
      </w:r>
      <w:r>
        <w:rPr>
          <w:rFonts w:ascii="Verdana" w:hAnsi="Verdana"/>
          <w:sz w:val="16"/>
          <w:szCs w:val="16"/>
          <w:lang w:val="es-AR"/>
        </w:rPr>
        <w:t xml:space="preserve"> </w:t>
      </w:r>
      <w:r w:rsidRPr="007F313C">
        <w:rPr>
          <w:rFonts w:ascii="Verdana" w:hAnsi="Verdana"/>
          <w:i/>
          <w:iCs/>
          <w:sz w:val="16"/>
          <w:szCs w:val="16"/>
          <w:lang w:val="es-AR"/>
        </w:rPr>
        <w:t>modus operandi</w:t>
      </w:r>
      <w:r w:rsidRPr="007F313C">
        <w:rPr>
          <w:rFonts w:ascii="Verdana" w:hAnsi="Verdana"/>
          <w:sz w:val="16"/>
          <w:szCs w:val="16"/>
          <w:lang w:val="es-AR"/>
        </w:rPr>
        <w:t xml:space="preserve"> de la ejecución. En primer término, en la generalidad de los casos se trata de asesinatos de jóvenes de muy escasos recursos, con antecedentes penales, a quienes se les extorsiona exigiéndoles grandes cantidades de dinero y se les asesina cuando no pueden cumplir los pagos exigidos</w:t>
      </w:r>
      <w:r>
        <w:rPr>
          <w:rFonts w:ascii="Verdana" w:hAnsi="Verdana"/>
          <w:sz w:val="16"/>
          <w:szCs w:val="16"/>
          <w:lang w:val="es-AR"/>
        </w:rPr>
        <w:t xml:space="preserve">. </w:t>
      </w:r>
      <w:r w:rsidRPr="007F313C">
        <w:rPr>
          <w:rFonts w:ascii="Verdana" w:hAnsi="Verdana"/>
          <w:sz w:val="16"/>
          <w:szCs w:val="16"/>
          <w:lang w:val="es-AR"/>
        </w:rPr>
        <w:t>[…] Es frecuente, además, que a las víctimas se les elaboren previamente falsos antecedentes policiales para justificar la agresión. Asimismo, los familiares y los testigos a menudo son también perseguidos y hostigados para que no denuncien a los agresores. Lo mismo sucede con jueces y fiscales”. (C</w:t>
      </w:r>
      <w:r>
        <w:rPr>
          <w:rFonts w:ascii="Verdana" w:hAnsi="Verdana"/>
          <w:sz w:val="16"/>
          <w:szCs w:val="16"/>
          <w:lang w:val="es-AR"/>
        </w:rPr>
        <w:t xml:space="preserve">omisión </w:t>
      </w:r>
      <w:r w:rsidRPr="007F313C">
        <w:rPr>
          <w:rFonts w:ascii="Verdana" w:hAnsi="Verdana"/>
          <w:sz w:val="16"/>
          <w:szCs w:val="16"/>
          <w:lang w:val="es-AR"/>
        </w:rPr>
        <w:t>I</w:t>
      </w:r>
      <w:r>
        <w:rPr>
          <w:rFonts w:ascii="Verdana" w:hAnsi="Verdana"/>
          <w:sz w:val="16"/>
          <w:szCs w:val="16"/>
          <w:lang w:val="es-AR"/>
        </w:rPr>
        <w:t xml:space="preserve">nteramericana de </w:t>
      </w:r>
      <w:r w:rsidRPr="007F313C">
        <w:rPr>
          <w:rFonts w:ascii="Verdana" w:hAnsi="Verdana"/>
          <w:sz w:val="16"/>
          <w:szCs w:val="16"/>
          <w:lang w:val="es-AR"/>
        </w:rPr>
        <w:t>D</w:t>
      </w:r>
      <w:r>
        <w:rPr>
          <w:rFonts w:ascii="Verdana" w:hAnsi="Verdana"/>
          <w:sz w:val="16"/>
          <w:szCs w:val="16"/>
          <w:lang w:val="es-AR"/>
        </w:rPr>
        <w:t xml:space="preserve">erechos </w:t>
      </w:r>
      <w:r w:rsidRPr="007F313C">
        <w:rPr>
          <w:rFonts w:ascii="Verdana" w:hAnsi="Verdana"/>
          <w:sz w:val="16"/>
          <w:szCs w:val="16"/>
          <w:lang w:val="es-AR"/>
        </w:rPr>
        <w:t>H</w:t>
      </w:r>
      <w:r>
        <w:rPr>
          <w:rFonts w:ascii="Verdana" w:hAnsi="Verdana"/>
          <w:sz w:val="16"/>
          <w:szCs w:val="16"/>
          <w:lang w:val="es-AR"/>
        </w:rPr>
        <w:t>umanos</w:t>
      </w:r>
      <w:r w:rsidRPr="007F313C">
        <w:rPr>
          <w:rFonts w:ascii="Verdana" w:hAnsi="Verdana"/>
          <w:sz w:val="16"/>
          <w:szCs w:val="16"/>
          <w:lang w:val="es-AR"/>
        </w:rPr>
        <w:t xml:space="preserve">, </w:t>
      </w:r>
      <w:r w:rsidRPr="00457E10">
        <w:rPr>
          <w:rFonts w:ascii="Verdana" w:hAnsi="Verdana"/>
          <w:i/>
          <w:sz w:val="16"/>
          <w:szCs w:val="16"/>
          <w:lang w:val="es-AR"/>
        </w:rPr>
        <w:t>Informe sobre la situación de los derechos humanos en Venezuela</w:t>
      </w:r>
      <w:r w:rsidRPr="007F313C">
        <w:rPr>
          <w:rFonts w:ascii="Verdana" w:hAnsi="Verdana"/>
          <w:sz w:val="16"/>
          <w:szCs w:val="16"/>
          <w:lang w:val="es-AR"/>
        </w:rPr>
        <w:t>, OEA/</w:t>
      </w:r>
      <w:proofErr w:type="spellStart"/>
      <w:r w:rsidRPr="007F313C">
        <w:rPr>
          <w:rFonts w:ascii="Verdana" w:hAnsi="Verdana"/>
          <w:sz w:val="16"/>
          <w:szCs w:val="16"/>
          <w:lang w:val="es-AR"/>
        </w:rPr>
        <w:t>Ser.L</w:t>
      </w:r>
      <w:proofErr w:type="spellEnd"/>
      <w:r w:rsidRPr="007F313C">
        <w:rPr>
          <w:rFonts w:ascii="Verdana" w:hAnsi="Verdana"/>
          <w:sz w:val="16"/>
          <w:szCs w:val="16"/>
          <w:lang w:val="es-AR"/>
        </w:rPr>
        <w:t xml:space="preserve">/V/II.118, 24 octubre 2003, </w:t>
      </w:r>
      <w:proofErr w:type="spellStart"/>
      <w:r w:rsidRPr="007F313C">
        <w:rPr>
          <w:rFonts w:ascii="Verdana" w:hAnsi="Verdana"/>
          <w:sz w:val="16"/>
          <w:szCs w:val="16"/>
          <w:lang w:val="es-AR"/>
        </w:rPr>
        <w:t>párrs</w:t>
      </w:r>
      <w:proofErr w:type="spellEnd"/>
      <w:r w:rsidRPr="007F313C">
        <w:rPr>
          <w:rFonts w:ascii="Verdana" w:hAnsi="Verdana"/>
          <w:sz w:val="16"/>
          <w:szCs w:val="16"/>
          <w:lang w:val="es-AR"/>
        </w:rPr>
        <w:t>. 321, 331 y 332</w:t>
      </w:r>
      <w:r>
        <w:rPr>
          <w:rFonts w:ascii="Verdana" w:hAnsi="Verdana"/>
          <w:sz w:val="16"/>
          <w:szCs w:val="16"/>
          <w:lang w:val="es-AR"/>
        </w:rPr>
        <w:t xml:space="preserve"> (e</w:t>
      </w:r>
      <w:r w:rsidRPr="007F313C">
        <w:rPr>
          <w:rFonts w:ascii="Verdana" w:hAnsi="Verdana"/>
          <w:sz w:val="16"/>
          <w:szCs w:val="16"/>
          <w:lang w:val="es-AR"/>
        </w:rPr>
        <w:t xml:space="preserve">xpediente de prueba, anexo 4.E al escrito de solicitudes y argumentos, fs. </w:t>
      </w:r>
      <w:r>
        <w:rPr>
          <w:rFonts w:ascii="Verdana" w:hAnsi="Verdana"/>
          <w:sz w:val="16"/>
          <w:szCs w:val="16"/>
          <w:lang w:val="es-AR"/>
        </w:rPr>
        <w:t>9673</w:t>
      </w:r>
      <w:r w:rsidRPr="00542071">
        <w:rPr>
          <w:rFonts w:ascii="Verdana" w:hAnsi="Verdana"/>
          <w:sz w:val="16"/>
          <w:szCs w:val="16"/>
          <w:lang w:val="es-AR"/>
        </w:rPr>
        <w:t xml:space="preserve"> a 9686</w:t>
      </w:r>
      <w:r>
        <w:rPr>
          <w:rFonts w:ascii="Verdana" w:hAnsi="Verdana"/>
          <w:sz w:val="16"/>
          <w:szCs w:val="16"/>
          <w:lang w:val="es-AR"/>
        </w:rPr>
        <w:t xml:space="preserve">) Los representantes allegaron una versión incompleta del documento, pero el mismo puede consultarse en forma íntegra en internet: </w:t>
      </w:r>
      <w:r w:rsidRPr="00A70195">
        <w:rPr>
          <w:rFonts w:ascii="Verdana" w:hAnsi="Verdana"/>
          <w:sz w:val="16"/>
          <w:szCs w:val="16"/>
          <w:lang w:val="es-AR"/>
        </w:rPr>
        <w:t>http://www.cidh.org/countryrep/Venezuela2003sp/indice.htm</w:t>
      </w:r>
      <w:r>
        <w:rPr>
          <w:rFonts w:ascii="Verdana" w:hAnsi="Verdana"/>
          <w:sz w:val="16"/>
          <w:szCs w:val="16"/>
          <w:lang w:val="es-AR"/>
        </w:rPr>
        <w:t>)</w:t>
      </w:r>
      <w:r w:rsidRPr="007F313C">
        <w:rPr>
          <w:rFonts w:ascii="Verdana" w:hAnsi="Verdana"/>
          <w:sz w:val="16"/>
          <w:szCs w:val="16"/>
          <w:lang w:val="es-AR"/>
        </w:rPr>
        <w:t>.</w:t>
      </w:r>
    </w:p>
    <w:p w14:paraId="6BE361F8" w14:textId="77777777" w:rsidR="0087743B" w:rsidRPr="007F313C" w:rsidRDefault="0087743B" w:rsidP="000C7C2E">
      <w:pPr>
        <w:pStyle w:val="Textonotapie"/>
        <w:jc w:val="both"/>
        <w:rPr>
          <w:rFonts w:ascii="Verdana" w:hAnsi="Verdana"/>
          <w:sz w:val="16"/>
          <w:szCs w:val="16"/>
        </w:rPr>
      </w:pPr>
    </w:p>
  </w:footnote>
  <w:footnote w:id="38">
    <w:p w14:paraId="25A73D91" w14:textId="63AE5051" w:rsidR="0087743B" w:rsidRPr="007F313C" w:rsidRDefault="0087743B" w:rsidP="009557A6">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En ese sentido, señaló que “[e]s más probable que las personas en situación de pobreza reciban oportunidades educativas muy reducidas y que estén expuestos a altos niveles de desempleo. Hay múltiples ejemplos de situaciones en que las </w:t>
      </w:r>
      <w:proofErr w:type="gramStart"/>
      <w:r w:rsidRPr="007F313C">
        <w:rPr>
          <w:rFonts w:ascii="Verdana" w:hAnsi="Verdana"/>
          <w:sz w:val="16"/>
          <w:szCs w:val="16"/>
        </w:rPr>
        <w:t>autoridades públicas</w:t>
      </w:r>
      <w:proofErr w:type="gramEnd"/>
      <w:r w:rsidRPr="007F313C">
        <w:rPr>
          <w:rFonts w:ascii="Verdana" w:hAnsi="Verdana"/>
          <w:sz w:val="16"/>
          <w:szCs w:val="16"/>
        </w:rPr>
        <w:t xml:space="preserve"> han tratado a los jóvenes que no han alcanzado altos niveles de educación como si no tuvieran nada que aportar a la sociedad y pudieran inc</w:t>
      </w:r>
      <w:r>
        <w:rPr>
          <w:rFonts w:ascii="Verdana" w:hAnsi="Verdana"/>
          <w:sz w:val="16"/>
          <w:szCs w:val="16"/>
        </w:rPr>
        <w:t>luso considerarse desechables” (d</w:t>
      </w:r>
      <w:r w:rsidRPr="007F313C">
        <w:rPr>
          <w:rFonts w:ascii="Verdana" w:hAnsi="Verdana"/>
          <w:sz w:val="16"/>
          <w:szCs w:val="16"/>
        </w:rPr>
        <w:t xml:space="preserve">eclaración pericial de Philip </w:t>
      </w:r>
      <w:proofErr w:type="spellStart"/>
      <w:r w:rsidRPr="007F313C">
        <w:rPr>
          <w:rFonts w:ascii="Verdana" w:hAnsi="Verdana"/>
          <w:sz w:val="16"/>
          <w:szCs w:val="16"/>
        </w:rPr>
        <w:t>Alston</w:t>
      </w:r>
      <w:proofErr w:type="spellEnd"/>
      <w:r w:rsidR="008524E9" w:rsidRPr="008524E9">
        <w:rPr>
          <w:rFonts w:ascii="Verdana" w:hAnsi="Verdana"/>
          <w:sz w:val="16"/>
          <w:szCs w:val="16"/>
        </w:rPr>
        <w:t xml:space="preserve"> </w:t>
      </w:r>
      <w:r w:rsidR="008524E9">
        <w:rPr>
          <w:rFonts w:ascii="Verdana" w:hAnsi="Verdana"/>
          <w:sz w:val="16"/>
          <w:szCs w:val="16"/>
        </w:rPr>
        <w:t>(</w:t>
      </w:r>
      <w:r w:rsidR="008524E9" w:rsidRPr="008524E9">
        <w:rPr>
          <w:rFonts w:ascii="Verdana" w:hAnsi="Verdana"/>
          <w:sz w:val="16"/>
          <w:szCs w:val="16"/>
        </w:rPr>
        <w:t>expediente de prueba, fs. 11542 a 11567</w:t>
      </w:r>
      <w:r w:rsidR="008524E9">
        <w:rPr>
          <w:rFonts w:ascii="Verdana" w:hAnsi="Verdana"/>
          <w:sz w:val="16"/>
          <w:szCs w:val="16"/>
        </w:rPr>
        <w:t>))</w:t>
      </w:r>
      <w:r w:rsidRPr="007F313C">
        <w:rPr>
          <w:rFonts w:ascii="Verdana" w:hAnsi="Verdana"/>
          <w:sz w:val="16"/>
          <w:szCs w:val="16"/>
        </w:rPr>
        <w:t xml:space="preserve">. </w:t>
      </w:r>
    </w:p>
    <w:p w14:paraId="5D19F553" w14:textId="574D75B9" w:rsidR="0087743B" w:rsidRPr="007F313C" w:rsidRDefault="0087743B" w:rsidP="000C7C2E">
      <w:pPr>
        <w:pStyle w:val="Textonotapie"/>
        <w:jc w:val="both"/>
        <w:rPr>
          <w:rFonts w:ascii="Verdana" w:hAnsi="Verdana"/>
          <w:sz w:val="16"/>
          <w:szCs w:val="16"/>
        </w:rPr>
      </w:pPr>
    </w:p>
  </w:footnote>
  <w:footnote w:id="39">
    <w:p w14:paraId="47E55601" w14:textId="4859B514" w:rsidR="0087743B"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Declaración peri</w:t>
      </w:r>
      <w:r>
        <w:rPr>
          <w:rFonts w:ascii="Verdana" w:hAnsi="Verdana"/>
          <w:sz w:val="16"/>
          <w:szCs w:val="16"/>
        </w:rPr>
        <w:t>cial de</w:t>
      </w:r>
      <w:r w:rsidRPr="007F313C">
        <w:rPr>
          <w:rFonts w:ascii="Verdana" w:hAnsi="Verdana"/>
          <w:sz w:val="16"/>
          <w:szCs w:val="16"/>
        </w:rPr>
        <w:t xml:space="preserve"> Roberto Briceño León</w:t>
      </w:r>
      <w:r>
        <w:rPr>
          <w:rFonts w:ascii="Verdana" w:hAnsi="Verdana"/>
          <w:sz w:val="16"/>
          <w:szCs w:val="16"/>
        </w:rPr>
        <w:t>.</w:t>
      </w:r>
      <w:r w:rsidRPr="007F313C">
        <w:rPr>
          <w:rFonts w:ascii="Verdana" w:hAnsi="Verdana"/>
          <w:sz w:val="16"/>
          <w:szCs w:val="16"/>
        </w:rPr>
        <w:t xml:space="preserve"> </w:t>
      </w:r>
    </w:p>
    <w:p w14:paraId="442150EF" w14:textId="77777777" w:rsidR="0087743B" w:rsidRPr="007F313C" w:rsidRDefault="0087743B" w:rsidP="000C7C2E">
      <w:pPr>
        <w:pStyle w:val="Textonotapie"/>
        <w:jc w:val="both"/>
        <w:rPr>
          <w:rFonts w:ascii="Verdana" w:hAnsi="Verdana"/>
          <w:sz w:val="16"/>
          <w:szCs w:val="16"/>
        </w:rPr>
      </w:pPr>
    </w:p>
  </w:footnote>
  <w:footnote w:id="40">
    <w:p w14:paraId="090BD180" w14:textId="6B092291" w:rsidR="0087743B" w:rsidRPr="007F313C" w:rsidRDefault="0087743B" w:rsidP="000C7C2E">
      <w:pPr>
        <w:pStyle w:val="Textonotapie"/>
        <w:jc w:val="both"/>
        <w:rPr>
          <w:rFonts w:ascii="Verdana" w:hAnsi="Verdana"/>
          <w:b/>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República Bolivariana de Venezuela. Poder Ciudadano. Defensoría del Pueblo. </w:t>
      </w:r>
      <w:r w:rsidRPr="007F313C">
        <w:rPr>
          <w:rFonts w:ascii="Verdana" w:hAnsi="Verdana"/>
          <w:i/>
          <w:sz w:val="16"/>
          <w:szCs w:val="16"/>
        </w:rPr>
        <w:t>Anuario 2003. Derechos Humanos en Venezuela</w:t>
      </w:r>
      <w:r w:rsidRPr="007F313C">
        <w:rPr>
          <w:rFonts w:ascii="Verdana" w:hAnsi="Verdana"/>
          <w:sz w:val="16"/>
          <w:szCs w:val="16"/>
        </w:rPr>
        <w:t xml:space="preserve">. El documento </w:t>
      </w:r>
      <w:r>
        <w:rPr>
          <w:rFonts w:ascii="Verdana" w:hAnsi="Verdana"/>
          <w:sz w:val="16"/>
          <w:szCs w:val="16"/>
        </w:rPr>
        <w:t xml:space="preserve">da </w:t>
      </w:r>
      <w:r w:rsidRPr="007F313C">
        <w:rPr>
          <w:rFonts w:ascii="Verdana" w:hAnsi="Verdana"/>
          <w:sz w:val="16"/>
          <w:szCs w:val="16"/>
        </w:rPr>
        <w:t xml:space="preserve">cuenta de 40 denuncias durante 2003 contra la policía del estado Falcón por ejecuciones extrajudiciales. </w:t>
      </w:r>
    </w:p>
    <w:p w14:paraId="2570D5B9" w14:textId="77777777" w:rsidR="0087743B" w:rsidRPr="007F313C" w:rsidRDefault="0087743B" w:rsidP="000C7C2E">
      <w:pPr>
        <w:pStyle w:val="Textonotapie"/>
        <w:jc w:val="both"/>
        <w:rPr>
          <w:rFonts w:ascii="Verdana" w:hAnsi="Verdana"/>
          <w:sz w:val="16"/>
          <w:szCs w:val="16"/>
        </w:rPr>
      </w:pPr>
    </w:p>
  </w:footnote>
  <w:footnote w:id="41">
    <w:p w14:paraId="74C3D2DA" w14:textId="3581B6B9" w:rsidR="0087743B" w:rsidRPr="007F313C" w:rsidRDefault="0087743B" w:rsidP="000C7C2E">
      <w:pPr>
        <w:widowControl/>
        <w:adjustRightInd w:val="0"/>
        <w:jc w:val="both"/>
        <w:rPr>
          <w:rFonts w:eastAsiaTheme="minorHAnsi" w:cs="Arial"/>
          <w:sz w:val="16"/>
          <w:szCs w:val="16"/>
          <w:lang w:val="es-CR"/>
        </w:rPr>
      </w:pPr>
      <w:r w:rsidRPr="00703661">
        <w:rPr>
          <w:rStyle w:val="Refdenotaalpie"/>
          <w:sz w:val="16"/>
          <w:szCs w:val="16"/>
        </w:rPr>
        <w:footnoteRef/>
      </w:r>
      <w:r w:rsidRPr="00703661">
        <w:rPr>
          <w:sz w:val="16"/>
          <w:szCs w:val="16"/>
        </w:rPr>
        <w:t xml:space="preserve">  </w:t>
      </w:r>
      <w:r w:rsidRPr="00703661">
        <w:rPr>
          <w:sz w:val="16"/>
          <w:szCs w:val="16"/>
        </w:rPr>
        <w:tab/>
      </w:r>
      <w:r w:rsidRPr="00620163">
        <w:rPr>
          <w:rFonts w:eastAsiaTheme="minorHAnsi" w:cs="Arial"/>
          <w:sz w:val="16"/>
          <w:szCs w:val="16"/>
          <w:lang w:val="es-CR"/>
        </w:rPr>
        <w:t>Dia</w:t>
      </w:r>
      <w:r>
        <w:rPr>
          <w:rFonts w:eastAsiaTheme="minorHAnsi" w:cs="Arial"/>
          <w:sz w:val="16"/>
          <w:szCs w:val="16"/>
          <w:lang w:val="es-CR"/>
        </w:rPr>
        <w:t xml:space="preserve">rio La Mañana, </w:t>
      </w:r>
      <w:r w:rsidRPr="00620163">
        <w:rPr>
          <w:rFonts w:eastAsiaTheme="minorHAnsi" w:cs="Arial"/>
          <w:i/>
          <w:iCs/>
          <w:sz w:val="16"/>
          <w:szCs w:val="16"/>
          <w:lang w:val="es-CR"/>
        </w:rPr>
        <w:t>Preocupada Defensoría del Pueblo por incremento de abusos policiales</w:t>
      </w:r>
      <w:r>
        <w:rPr>
          <w:rFonts w:eastAsiaTheme="minorHAnsi" w:cs="Arial"/>
          <w:sz w:val="16"/>
          <w:szCs w:val="16"/>
          <w:lang w:val="es-CR"/>
        </w:rPr>
        <w:t>,</w:t>
      </w:r>
      <w:r w:rsidRPr="00620163">
        <w:rPr>
          <w:rFonts w:eastAsiaTheme="minorHAnsi" w:cs="Arial"/>
          <w:sz w:val="16"/>
          <w:szCs w:val="16"/>
          <w:lang w:val="es-CR"/>
        </w:rPr>
        <w:t xml:space="preserve"> Santa Ana de Coro, mi</w:t>
      </w:r>
      <w:r>
        <w:rPr>
          <w:rFonts w:eastAsiaTheme="minorHAnsi" w:cs="Arial"/>
          <w:sz w:val="16"/>
          <w:szCs w:val="16"/>
          <w:lang w:val="es-CR"/>
        </w:rPr>
        <w:t>ércoles 24 de diciembre de 2003,</w:t>
      </w:r>
      <w:r w:rsidRPr="00620163">
        <w:rPr>
          <w:rFonts w:eastAsiaTheme="minorHAnsi" w:cs="Arial"/>
          <w:sz w:val="16"/>
          <w:szCs w:val="16"/>
          <w:lang w:val="es-CR"/>
        </w:rPr>
        <w:t xml:space="preserve"> Sucesos (expediente de prueba, tr</w:t>
      </w:r>
      <w:r>
        <w:rPr>
          <w:rFonts w:eastAsiaTheme="minorHAnsi" w:cs="Arial"/>
          <w:sz w:val="16"/>
          <w:szCs w:val="16"/>
          <w:lang w:val="es-CR"/>
        </w:rPr>
        <w:t>á</w:t>
      </w:r>
      <w:r w:rsidRPr="00620163">
        <w:rPr>
          <w:rFonts w:eastAsiaTheme="minorHAnsi" w:cs="Arial"/>
          <w:sz w:val="16"/>
          <w:szCs w:val="16"/>
          <w:lang w:val="es-CR"/>
        </w:rPr>
        <w:t>mite ante la Comisión, f. 148)</w:t>
      </w:r>
      <w:r w:rsidRPr="00703661">
        <w:rPr>
          <w:rFonts w:eastAsiaTheme="minorHAnsi" w:cs="Arial"/>
          <w:sz w:val="16"/>
          <w:szCs w:val="16"/>
          <w:lang w:val="es-CR"/>
        </w:rPr>
        <w:t xml:space="preserve">, </w:t>
      </w:r>
      <w:r>
        <w:rPr>
          <w:rFonts w:eastAsiaTheme="minorHAnsi" w:cs="Arial"/>
          <w:sz w:val="16"/>
          <w:szCs w:val="16"/>
          <w:lang w:val="es-CR"/>
        </w:rPr>
        <w:t xml:space="preserve">y El Nacional, </w:t>
      </w:r>
      <w:r w:rsidRPr="00620163">
        <w:rPr>
          <w:rFonts w:eastAsiaTheme="minorHAnsi" w:cs="Arial"/>
          <w:i/>
          <w:iCs/>
          <w:sz w:val="16"/>
          <w:szCs w:val="16"/>
          <w:lang w:val="es-CR"/>
        </w:rPr>
        <w:t>Defensor del Pueblo en Falcón exigió intervención de cuerpos de seguridad</w:t>
      </w:r>
      <w:r w:rsidRPr="00620163">
        <w:rPr>
          <w:rFonts w:eastAsiaTheme="minorHAnsi" w:cs="Arial"/>
          <w:sz w:val="16"/>
          <w:szCs w:val="16"/>
          <w:lang w:val="es-CR"/>
        </w:rPr>
        <w:t xml:space="preserve"> </w:t>
      </w:r>
      <w:r w:rsidRPr="00620163">
        <w:rPr>
          <w:rFonts w:eastAsiaTheme="minorHAnsi" w:cs="Arial"/>
          <w:bCs/>
          <w:sz w:val="16"/>
          <w:szCs w:val="16"/>
          <w:lang w:val="es-CR"/>
        </w:rPr>
        <w:t>(</w:t>
      </w:r>
      <w:r w:rsidRPr="00620163">
        <w:rPr>
          <w:rFonts w:eastAsiaTheme="minorHAnsi" w:cs="Arial"/>
          <w:sz w:val="16"/>
          <w:szCs w:val="16"/>
          <w:lang w:val="es-CR"/>
        </w:rPr>
        <w:t>expediente de prueba, trámite ante la Comisión, f. 151)</w:t>
      </w:r>
      <w:r w:rsidRPr="00703661">
        <w:rPr>
          <w:rFonts w:eastAsiaTheme="minorHAnsi" w:cs="Arial"/>
          <w:sz w:val="16"/>
          <w:szCs w:val="16"/>
          <w:lang w:val="es-CR"/>
        </w:rPr>
        <w:t>.</w:t>
      </w:r>
    </w:p>
    <w:p w14:paraId="177CDB53" w14:textId="77777777" w:rsidR="0087743B" w:rsidRPr="007F313C" w:rsidRDefault="0087743B" w:rsidP="000C7C2E">
      <w:pPr>
        <w:widowControl/>
        <w:adjustRightInd w:val="0"/>
        <w:jc w:val="both"/>
        <w:rPr>
          <w:rFonts w:eastAsiaTheme="minorHAnsi" w:cs="Arial"/>
          <w:i/>
          <w:iCs/>
          <w:sz w:val="16"/>
          <w:szCs w:val="16"/>
          <w:lang w:val="es-CR"/>
        </w:rPr>
      </w:pPr>
    </w:p>
  </w:footnote>
  <w:footnote w:id="42">
    <w:p w14:paraId="2BF6C8CF" w14:textId="33A17B3A" w:rsidR="0087743B" w:rsidRPr="00AA7E99"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Caso Hermanos Landaeta Mejías y otros Vs. Venezuela</w:t>
      </w:r>
      <w:r w:rsidRPr="007F313C">
        <w:rPr>
          <w:rFonts w:ascii="Verdana" w:hAnsi="Verdana"/>
          <w:sz w:val="16"/>
          <w:szCs w:val="16"/>
        </w:rPr>
        <w:t xml:space="preserve">, párr. 55. Los documentos citados son los siguientes: “ONU, Consejo Económico y Social. Informe de la Relatora Especial, Sra. Asma </w:t>
      </w:r>
      <w:proofErr w:type="spellStart"/>
      <w:r w:rsidRPr="007F313C">
        <w:rPr>
          <w:rFonts w:ascii="Verdana" w:hAnsi="Verdana"/>
          <w:sz w:val="16"/>
          <w:szCs w:val="16"/>
        </w:rPr>
        <w:t>Jahangir</w:t>
      </w:r>
      <w:proofErr w:type="spellEnd"/>
      <w:r w:rsidRPr="007F313C">
        <w:rPr>
          <w:rFonts w:ascii="Verdana" w:hAnsi="Verdana"/>
          <w:sz w:val="16"/>
          <w:szCs w:val="16"/>
        </w:rPr>
        <w:t xml:space="preserve">, presentado en cumplimiento de la resolución 1998/68 de la Comisión de Derechos Humanos, Adición, </w:t>
      </w:r>
      <w:r w:rsidRPr="00F44F3E">
        <w:rPr>
          <w:rFonts w:ascii="Verdana" w:hAnsi="Verdana"/>
          <w:i/>
          <w:sz w:val="16"/>
          <w:szCs w:val="16"/>
        </w:rPr>
        <w:t>Situación por países</w:t>
      </w:r>
      <w:r w:rsidRPr="007F313C">
        <w:rPr>
          <w:rFonts w:ascii="Verdana" w:hAnsi="Verdana"/>
          <w:sz w:val="16"/>
          <w:szCs w:val="16"/>
        </w:rPr>
        <w:t xml:space="preserve">, de 6 de enero de 1999. E/CN.4/1999/39/Add.1. Disponible </w:t>
      </w:r>
      <w:r w:rsidRPr="008E4CE7">
        <w:rPr>
          <w:rFonts w:ascii="Verdana" w:hAnsi="Verdana"/>
          <w:sz w:val="16"/>
          <w:szCs w:val="16"/>
        </w:rPr>
        <w:t xml:space="preserve">en </w:t>
      </w:r>
      <w:hyperlink r:id="rId2" w:history="1">
        <w:r w:rsidRPr="008E4CE7">
          <w:rPr>
            <w:rStyle w:val="Hipervnculo"/>
            <w:rFonts w:ascii="Verdana" w:hAnsi="Verdana"/>
            <w:color w:val="auto"/>
            <w:sz w:val="16"/>
            <w:szCs w:val="16"/>
            <w:u w:val="none"/>
          </w:rPr>
          <w:t>http://daccess-ddsny.un.org/doc/UNDOC/GEN/G99/100/29/PDF/G9910029.pdf?OpenElement</w:t>
        </w:r>
      </w:hyperlink>
      <w:r w:rsidRPr="008E4CE7">
        <w:rPr>
          <w:rFonts w:ascii="Verdana" w:hAnsi="Verdana"/>
          <w:sz w:val="16"/>
          <w:szCs w:val="16"/>
        </w:rPr>
        <w:t xml:space="preserve">, párr. 258”, y “ONU, Comité de Derechos Humanos. </w:t>
      </w:r>
      <w:r w:rsidRPr="00F44F3E">
        <w:rPr>
          <w:rFonts w:ascii="Verdana" w:hAnsi="Verdana"/>
          <w:i/>
          <w:sz w:val="16"/>
          <w:szCs w:val="16"/>
        </w:rPr>
        <w:t>Observaciones Finales del Comité de Derechos Humanos: Venezuela</w:t>
      </w:r>
      <w:r w:rsidRPr="008E4CE7">
        <w:rPr>
          <w:rFonts w:ascii="Verdana" w:hAnsi="Verdana"/>
          <w:sz w:val="16"/>
          <w:szCs w:val="16"/>
        </w:rPr>
        <w:t>. 4/26/2001, de 26 de abril de 2001. CCPR/CO/71/VEN. Disponible en</w:t>
      </w:r>
      <w:r>
        <w:rPr>
          <w:rFonts w:ascii="Verdana" w:hAnsi="Verdana"/>
          <w:sz w:val="16"/>
          <w:szCs w:val="16"/>
        </w:rPr>
        <w:t>:</w:t>
      </w:r>
      <w:r w:rsidRPr="008E4CE7">
        <w:rPr>
          <w:rFonts w:ascii="Verdana" w:hAnsi="Verdana"/>
          <w:sz w:val="16"/>
          <w:szCs w:val="16"/>
        </w:rPr>
        <w:t xml:space="preserve"> </w:t>
      </w:r>
      <w:hyperlink r:id="rId3" w:history="1">
        <w:r w:rsidRPr="008E4CE7">
          <w:rPr>
            <w:rStyle w:val="Hipervnculo"/>
            <w:rFonts w:ascii="Verdana" w:hAnsi="Verdana"/>
            <w:color w:val="auto"/>
            <w:sz w:val="16"/>
            <w:szCs w:val="16"/>
            <w:u w:val="none"/>
          </w:rPr>
          <w:t>www.acnur.org/biblioteca/pdf/1373.pdf?view=1</w:t>
        </w:r>
      </w:hyperlink>
      <w:r w:rsidRPr="00AA7E99">
        <w:rPr>
          <w:rFonts w:ascii="Verdana" w:hAnsi="Verdana"/>
          <w:sz w:val="16"/>
          <w:szCs w:val="16"/>
        </w:rPr>
        <w:t>, párr. 8”.</w:t>
      </w:r>
    </w:p>
    <w:p w14:paraId="358275E1" w14:textId="77777777" w:rsidR="0087743B" w:rsidRPr="00AA7E99" w:rsidRDefault="0087743B" w:rsidP="000C7C2E">
      <w:pPr>
        <w:pStyle w:val="Textonotapie"/>
        <w:jc w:val="both"/>
        <w:rPr>
          <w:rFonts w:ascii="Verdana" w:hAnsi="Verdana"/>
          <w:sz w:val="16"/>
          <w:szCs w:val="16"/>
        </w:rPr>
      </w:pPr>
    </w:p>
  </w:footnote>
  <w:footnote w:id="43">
    <w:p w14:paraId="68F119EB" w14:textId="2F1C7A1B"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Caso Hermanos Landaeta Mejías y otros Vs. Venezuela</w:t>
      </w:r>
      <w:r w:rsidRPr="007F313C">
        <w:rPr>
          <w:rFonts w:ascii="Verdana" w:hAnsi="Verdana"/>
          <w:sz w:val="16"/>
          <w:szCs w:val="16"/>
        </w:rPr>
        <w:t xml:space="preserve">, párr. 53. El documento citado, como se indica en la nota a pie de página 57 de la sentencia citada, es el “Informe Anual del Fiscal de la República de 2007”. </w:t>
      </w:r>
    </w:p>
    <w:p w14:paraId="047C3CC4" w14:textId="77777777" w:rsidR="0087743B" w:rsidRPr="007F313C" w:rsidRDefault="0087743B" w:rsidP="000C7C2E">
      <w:pPr>
        <w:pStyle w:val="Textonotapie"/>
        <w:jc w:val="both"/>
        <w:rPr>
          <w:rFonts w:ascii="Verdana" w:hAnsi="Verdana"/>
          <w:sz w:val="16"/>
          <w:szCs w:val="16"/>
        </w:rPr>
      </w:pPr>
    </w:p>
  </w:footnote>
  <w:footnote w:id="44">
    <w:p w14:paraId="2D33F05D" w14:textId="2B3F0982" w:rsidR="0087743B" w:rsidRPr="007F313C" w:rsidRDefault="0087743B" w:rsidP="000C7C2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República Bolivariana de Venezuela. Poder Ciudadano. Defensoría del Pueblo. </w:t>
      </w:r>
      <w:r w:rsidRPr="007F313C">
        <w:rPr>
          <w:rFonts w:ascii="Verdana" w:hAnsi="Verdana"/>
          <w:i/>
          <w:sz w:val="16"/>
          <w:szCs w:val="16"/>
        </w:rPr>
        <w:t>Anuario 2003. Derechos Humanos en Venezuela</w:t>
      </w:r>
      <w:r>
        <w:rPr>
          <w:rFonts w:ascii="Verdana" w:hAnsi="Verdana"/>
          <w:sz w:val="16"/>
          <w:szCs w:val="16"/>
        </w:rPr>
        <w:t>.</w:t>
      </w:r>
      <w:r w:rsidRPr="007F313C">
        <w:rPr>
          <w:rFonts w:ascii="Verdana" w:hAnsi="Verdana"/>
          <w:sz w:val="16"/>
          <w:szCs w:val="16"/>
        </w:rPr>
        <w:t xml:space="preserve"> </w:t>
      </w:r>
    </w:p>
    <w:p w14:paraId="3C98EC5D" w14:textId="77777777" w:rsidR="0087743B" w:rsidRPr="007F313C" w:rsidRDefault="0087743B" w:rsidP="000C7C2E">
      <w:pPr>
        <w:pStyle w:val="Textonotapie"/>
        <w:jc w:val="both"/>
        <w:rPr>
          <w:rFonts w:ascii="Verdana" w:hAnsi="Verdana"/>
          <w:sz w:val="16"/>
          <w:szCs w:val="16"/>
        </w:rPr>
      </w:pPr>
    </w:p>
  </w:footnote>
  <w:footnote w:id="45">
    <w:p w14:paraId="11B4ED21" w14:textId="77777777" w:rsidR="0087743B" w:rsidRPr="00620163" w:rsidRDefault="0087743B" w:rsidP="00685A14">
      <w:pPr>
        <w:pStyle w:val="Textonotapie"/>
        <w:rPr>
          <w:rFonts w:ascii="Verdana" w:hAnsi="Verdana"/>
          <w:sz w:val="16"/>
          <w:szCs w:val="16"/>
        </w:rPr>
      </w:pPr>
      <w:r w:rsidRPr="00620163">
        <w:rPr>
          <w:rStyle w:val="Refdenotaalpie"/>
          <w:rFonts w:ascii="Verdana" w:hAnsi="Verdana"/>
          <w:sz w:val="16"/>
          <w:szCs w:val="16"/>
        </w:rPr>
        <w:footnoteRef/>
      </w:r>
      <w:r w:rsidRPr="00620163">
        <w:rPr>
          <w:rFonts w:ascii="Verdana" w:hAnsi="Verdana"/>
          <w:sz w:val="16"/>
          <w:szCs w:val="16"/>
        </w:rPr>
        <w:t xml:space="preserve">  </w:t>
      </w:r>
      <w:r w:rsidRPr="00620163">
        <w:rPr>
          <w:rFonts w:ascii="Verdana" w:hAnsi="Verdana"/>
          <w:sz w:val="16"/>
          <w:szCs w:val="16"/>
        </w:rPr>
        <w:tab/>
      </w:r>
      <w:r w:rsidRPr="00620163">
        <w:rPr>
          <w:rFonts w:ascii="Verdana" w:hAnsi="Verdana"/>
          <w:i/>
          <w:sz w:val="16"/>
          <w:szCs w:val="16"/>
        </w:rPr>
        <w:t>Cfr.</w:t>
      </w:r>
      <w:r w:rsidRPr="00620163">
        <w:rPr>
          <w:rFonts w:ascii="Verdana" w:hAnsi="Verdana"/>
          <w:sz w:val="16"/>
          <w:szCs w:val="16"/>
        </w:rPr>
        <w:t xml:space="preserve"> Declaración oral de Jean Carlos Guerrero ante la Corte.  </w:t>
      </w:r>
    </w:p>
    <w:p w14:paraId="64F9D085" w14:textId="77777777" w:rsidR="0087743B" w:rsidRDefault="0087743B" w:rsidP="00685A14">
      <w:pPr>
        <w:pStyle w:val="Textonotapie"/>
      </w:pPr>
    </w:p>
  </w:footnote>
  <w:footnote w:id="46">
    <w:p w14:paraId="5EC16DBC" w14:textId="3047A556" w:rsidR="0087743B" w:rsidRDefault="0087743B" w:rsidP="00685A14">
      <w:pPr>
        <w:pStyle w:val="Textonotapie"/>
        <w:jc w:val="both"/>
        <w:rPr>
          <w:rFonts w:ascii="Verdana" w:hAnsi="Verdana"/>
          <w:b/>
          <w:sz w:val="16"/>
          <w:szCs w:val="16"/>
        </w:rPr>
      </w:pPr>
      <w:r w:rsidRPr="00542071">
        <w:rPr>
          <w:rStyle w:val="Refdenotaalpie"/>
          <w:rFonts w:ascii="Verdana" w:hAnsi="Verdana"/>
          <w:sz w:val="16"/>
          <w:szCs w:val="16"/>
        </w:rPr>
        <w:footnoteRef/>
      </w:r>
      <w:r w:rsidRPr="00542071">
        <w:rPr>
          <w:rFonts w:ascii="Verdana" w:hAnsi="Verdana"/>
          <w:sz w:val="16"/>
          <w:szCs w:val="16"/>
        </w:rPr>
        <w:t xml:space="preserve"> </w:t>
      </w:r>
      <w:r w:rsidRPr="00542071">
        <w:rPr>
          <w:rFonts w:ascii="Verdana" w:hAnsi="Verdana"/>
          <w:sz w:val="16"/>
          <w:szCs w:val="16"/>
        </w:rPr>
        <w:tab/>
      </w:r>
      <w:r w:rsidRPr="00761D24">
        <w:rPr>
          <w:rFonts w:ascii="Verdana" w:hAnsi="Verdana"/>
          <w:sz w:val="16"/>
          <w:szCs w:val="16"/>
        </w:rPr>
        <w:t>Jean Carlos Guerrero, en su declaración oral ante la Corte, expresó que su hermano Jimmy Guerrero, “</w:t>
      </w:r>
      <w:r w:rsidRPr="00761D24">
        <w:rPr>
          <w:rFonts w:ascii="Verdana" w:eastAsia="Verdana" w:hAnsi="Verdana" w:cs="Verdana"/>
          <w:sz w:val="16"/>
          <w:szCs w:val="16"/>
        </w:rPr>
        <w:t>sufrió un conjunto de hostigamientos, amenazas policiales, persecuciones, extorsión por parte de la policía, muchas detenciones arbitrarias</w:t>
      </w:r>
      <w:r>
        <w:rPr>
          <w:rFonts w:ascii="Verdana" w:eastAsia="Verdana" w:hAnsi="Verdana" w:cs="Verdana"/>
          <w:sz w:val="16"/>
          <w:szCs w:val="16"/>
        </w:rPr>
        <w:t xml:space="preserve"> [y]</w:t>
      </w:r>
      <w:r w:rsidRPr="00761D24">
        <w:rPr>
          <w:rFonts w:ascii="Verdana" w:eastAsia="Verdana" w:hAnsi="Verdana" w:cs="Verdana"/>
          <w:sz w:val="16"/>
          <w:szCs w:val="16"/>
        </w:rPr>
        <w:t xml:space="preserve"> </w:t>
      </w:r>
      <w:proofErr w:type="gramStart"/>
      <w:r w:rsidRPr="00761D24">
        <w:rPr>
          <w:rFonts w:ascii="Verdana" w:eastAsia="Verdana" w:hAnsi="Verdana" w:cs="Verdana"/>
          <w:sz w:val="16"/>
          <w:szCs w:val="16"/>
        </w:rPr>
        <w:t>golpes</w:t>
      </w:r>
      <w:r>
        <w:rPr>
          <w:rFonts w:ascii="Verdana" w:eastAsia="Verdana" w:hAnsi="Verdana" w:cs="Verdana"/>
          <w:sz w:val="16"/>
          <w:szCs w:val="16"/>
        </w:rPr>
        <w:t>[</w:t>
      </w:r>
      <w:proofErr w:type="gramEnd"/>
      <w:r>
        <w:rPr>
          <w:rFonts w:ascii="Verdana" w:eastAsia="Verdana" w:hAnsi="Verdana" w:cs="Verdana"/>
          <w:sz w:val="16"/>
          <w:szCs w:val="16"/>
        </w:rPr>
        <w:t>,]</w:t>
      </w:r>
      <w:r w:rsidRPr="00761D24">
        <w:rPr>
          <w:rFonts w:ascii="Verdana" w:eastAsia="Verdana" w:hAnsi="Verdana" w:cs="Verdana"/>
          <w:sz w:val="16"/>
          <w:szCs w:val="16"/>
        </w:rPr>
        <w:t xml:space="preserve"> que él denunció al Ministerio Público y ante la Defensoría del Pueblo”. Además, señaló que las amenazas “no eran solamente contra Jimmy, sino también contra la familia para poder incidir en Jimmy”</w:t>
      </w:r>
      <w:r w:rsidRPr="008E4CE7">
        <w:rPr>
          <w:rFonts w:ascii="Verdana" w:eastAsia="Verdana" w:hAnsi="Verdana" w:cs="Verdana"/>
          <w:sz w:val="16"/>
          <w:szCs w:val="16"/>
        </w:rPr>
        <w:t xml:space="preserve">. </w:t>
      </w:r>
      <w:r>
        <w:rPr>
          <w:rFonts w:ascii="Verdana" w:eastAsia="Verdana" w:hAnsi="Verdana" w:cs="Verdana"/>
          <w:sz w:val="16"/>
          <w:szCs w:val="16"/>
        </w:rPr>
        <w:t>Explicó que “</w:t>
      </w:r>
      <w:r w:rsidRPr="00374617">
        <w:rPr>
          <w:rFonts w:ascii="Verdana" w:eastAsia="Verdana" w:hAnsi="Verdana" w:cs="Verdana"/>
          <w:sz w:val="16"/>
          <w:szCs w:val="16"/>
        </w:rPr>
        <w:t>Jimmy fue un joven quizás un poco irreverente en algunos momentos, y eso trajo como consecuencia que la</w:t>
      </w:r>
      <w:r>
        <w:rPr>
          <w:rFonts w:ascii="Verdana" w:eastAsia="Verdana" w:hAnsi="Verdana" w:cs="Verdana"/>
          <w:sz w:val="16"/>
          <w:szCs w:val="16"/>
        </w:rPr>
        <w:t xml:space="preserve"> policía [del Estado Falcón] lo “hostigar[a]”. En el mismo sentido,</w:t>
      </w:r>
      <w:r w:rsidRPr="00761D24">
        <w:rPr>
          <w:rFonts w:ascii="Verdana" w:hAnsi="Verdana"/>
          <w:sz w:val="16"/>
          <w:szCs w:val="16"/>
        </w:rPr>
        <w:t xml:space="preserve"> Nieves Guerrero, padre de Jimmy Guerrero, declaró que éste</w:t>
      </w:r>
      <w:r>
        <w:rPr>
          <w:rFonts w:ascii="Verdana" w:hAnsi="Verdana"/>
          <w:sz w:val="16"/>
          <w:szCs w:val="16"/>
        </w:rPr>
        <w:t xml:space="preserve"> desde “joven”, es decir, desde antes de la denuncia que efectuó en agosto de 2001 (</w:t>
      </w:r>
      <w:r>
        <w:rPr>
          <w:rFonts w:ascii="Verdana" w:hAnsi="Verdana"/>
          <w:i/>
          <w:sz w:val="16"/>
          <w:szCs w:val="16"/>
        </w:rPr>
        <w:t xml:space="preserve">infra </w:t>
      </w:r>
      <w:r>
        <w:rPr>
          <w:rFonts w:ascii="Verdana" w:hAnsi="Verdana"/>
          <w:sz w:val="16"/>
          <w:szCs w:val="16"/>
        </w:rPr>
        <w:t>párr. 57), tuvo conflictos. Agregó que a su hijo “lo tenían marcado”, y que</w:t>
      </w:r>
      <w:r w:rsidRPr="00761D24">
        <w:rPr>
          <w:rFonts w:ascii="Verdana" w:hAnsi="Verdana"/>
          <w:sz w:val="16"/>
          <w:szCs w:val="16"/>
        </w:rPr>
        <w:t xml:space="preserve"> “fue muy perseguido por la policía, lo amenazaba[n], siempre”. </w:t>
      </w:r>
      <w:r>
        <w:rPr>
          <w:rFonts w:ascii="Verdana" w:hAnsi="Verdana"/>
          <w:sz w:val="16"/>
          <w:szCs w:val="16"/>
        </w:rPr>
        <w:t>Expresó que a Jimmy Guerrero</w:t>
      </w:r>
      <w:r w:rsidRPr="00761D24">
        <w:rPr>
          <w:rFonts w:ascii="Verdana" w:hAnsi="Verdana"/>
          <w:sz w:val="16"/>
          <w:szCs w:val="16"/>
        </w:rPr>
        <w:t xml:space="preserve"> “hasta lo torturaron, y lo metieron preso y lo golpearon horrible”. Mencionó que las amenazas a Jimmy Guerrero “eran [muy] fuertes”. (Declaración escrita de Nieves Guerrero </w:t>
      </w:r>
      <w:r>
        <w:rPr>
          <w:rFonts w:ascii="Verdana" w:hAnsi="Verdana"/>
          <w:sz w:val="16"/>
          <w:szCs w:val="16"/>
        </w:rPr>
        <w:t>(</w:t>
      </w:r>
      <w:r w:rsidRPr="00761D24">
        <w:rPr>
          <w:rFonts w:ascii="Verdana" w:hAnsi="Verdana"/>
          <w:sz w:val="16"/>
          <w:szCs w:val="16"/>
        </w:rPr>
        <w:t>expediente de prueba, fs. 11422 a 11427</w:t>
      </w:r>
      <w:r>
        <w:rPr>
          <w:rFonts w:ascii="Verdana" w:hAnsi="Verdana"/>
          <w:sz w:val="16"/>
          <w:szCs w:val="16"/>
        </w:rPr>
        <w:t>)</w:t>
      </w:r>
      <w:r w:rsidRPr="00761D24">
        <w:rPr>
          <w:rFonts w:ascii="Verdana" w:hAnsi="Verdana"/>
          <w:sz w:val="16"/>
          <w:szCs w:val="16"/>
        </w:rPr>
        <w:t>.) Emilia Coromoto Meléndez, madre de Jimmy Guerrero, también declaró que su hijo</w:t>
      </w:r>
      <w:r>
        <w:rPr>
          <w:rFonts w:ascii="Verdana" w:hAnsi="Verdana"/>
          <w:sz w:val="16"/>
          <w:szCs w:val="16"/>
        </w:rPr>
        <w:t xml:space="preserve"> había tenido “problemas” desde “más jovencito”, y que</w:t>
      </w:r>
      <w:r w:rsidRPr="00761D24">
        <w:rPr>
          <w:rFonts w:ascii="Verdana" w:hAnsi="Verdana"/>
          <w:sz w:val="16"/>
          <w:szCs w:val="16"/>
        </w:rPr>
        <w:t xml:space="preserve"> fue amenazado y hostigado, y que él indicaba que esos actos provenían de funcionarios “de la policía y el Cuerpo de Investigaciones Científicas, Penales y Criminalísticas”.</w:t>
      </w:r>
      <w:r w:rsidRPr="00761D24">
        <w:rPr>
          <w:rFonts w:ascii="Verdana" w:hAnsi="Verdana"/>
          <w:b/>
          <w:sz w:val="16"/>
          <w:szCs w:val="16"/>
        </w:rPr>
        <w:t xml:space="preserve"> </w:t>
      </w:r>
      <w:r w:rsidRPr="00761D24">
        <w:rPr>
          <w:rFonts w:ascii="Verdana" w:hAnsi="Verdana"/>
          <w:sz w:val="16"/>
          <w:szCs w:val="16"/>
        </w:rPr>
        <w:t>También declaró que en una ocasión personal policial le dijo a ella que iban a matar a su hijo. (Declaración escrita de Emilia Coromoto Meléndez de Guerrero</w:t>
      </w:r>
      <w:r>
        <w:rPr>
          <w:rFonts w:ascii="Verdana" w:hAnsi="Verdana"/>
          <w:sz w:val="16"/>
          <w:szCs w:val="16"/>
        </w:rPr>
        <w:t xml:space="preserve"> (</w:t>
      </w:r>
      <w:r w:rsidRPr="00761D24">
        <w:rPr>
          <w:rFonts w:ascii="Verdana" w:hAnsi="Verdana"/>
          <w:sz w:val="16"/>
          <w:szCs w:val="16"/>
        </w:rPr>
        <w:t>expediente de prueba, fs. 11432 a 11436</w:t>
      </w:r>
      <w:r>
        <w:rPr>
          <w:rFonts w:ascii="Verdana" w:hAnsi="Verdana"/>
          <w:sz w:val="16"/>
          <w:szCs w:val="16"/>
        </w:rPr>
        <w:t>)</w:t>
      </w:r>
      <w:r w:rsidRPr="00761D24">
        <w:rPr>
          <w:rFonts w:ascii="Verdana" w:hAnsi="Verdana"/>
          <w:sz w:val="16"/>
          <w:szCs w:val="16"/>
        </w:rPr>
        <w:t>.)</w:t>
      </w:r>
      <w:r w:rsidRPr="00A24B4D">
        <w:rPr>
          <w:rFonts w:ascii="Verdana" w:hAnsi="Verdana"/>
          <w:sz w:val="16"/>
          <w:szCs w:val="16"/>
        </w:rPr>
        <w:t xml:space="preserve"> </w:t>
      </w:r>
      <w:r w:rsidRPr="00761D24">
        <w:rPr>
          <w:rFonts w:ascii="Verdana" w:hAnsi="Verdana"/>
          <w:sz w:val="16"/>
          <w:szCs w:val="16"/>
        </w:rPr>
        <w:t>Franklin</w:t>
      </w:r>
      <w:r>
        <w:rPr>
          <w:rFonts w:ascii="Verdana" w:hAnsi="Verdana"/>
          <w:sz w:val="16"/>
          <w:szCs w:val="16"/>
        </w:rPr>
        <w:t xml:space="preserve"> Felipe</w:t>
      </w:r>
      <w:r w:rsidRPr="00761D24">
        <w:rPr>
          <w:rFonts w:ascii="Verdana" w:hAnsi="Verdana"/>
          <w:sz w:val="16"/>
          <w:szCs w:val="16"/>
        </w:rPr>
        <w:t xml:space="preserve"> Guerrero</w:t>
      </w:r>
      <w:r>
        <w:rPr>
          <w:rFonts w:ascii="Verdana" w:hAnsi="Verdana"/>
          <w:sz w:val="16"/>
          <w:szCs w:val="16"/>
        </w:rPr>
        <w:t xml:space="preserve"> Meléndez</w:t>
      </w:r>
      <w:r w:rsidRPr="00761D24">
        <w:rPr>
          <w:rFonts w:ascii="Verdana" w:hAnsi="Verdana"/>
          <w:sz w:val="16"/>
          <w:szCs w:val="16"/>
        </w:rPr>
        <w:t>, hermano de Jimmy Guerrero, aseveró, en el mismo sentido que sus padres, que a Jimmy la policía lo hostigaba y lo acusaba siempre de estar involucrado en hechos delictivos (</w:t>
      </w:r>
      <w:r w:rsidRPr="008E4CE7">
        <w:rPr>
          <w:rFonts w:ascii="Verdana" w:hAnsi="Verdana"/>
          <w:i/>
          <w:sz w:val="16"/>
          <w:szCs w:val="16"/>
        </w:rPr>
        <w:t>cfr.</w:t>
      </w:r>
      <w:r>
        <w:rPr>
          <w:rFonts w:ascii="Verdana" w:hAnsi="Verdana"/>
          <w:sz w:val="16"/>
          <w:szCs w:val="16"/>
        </w:rPr>
        <w:t xml:space="preserve"> d</w:t>
      </w:r>
      <w:r w:rsidRPr="00761D24">
        <w:rPr>
          <w:rFonts w:ascii="Verdana" w:hAnsi="Verdana"/>
          <w:sz w:val="16"/>
          <w:szCs w:val="16"/>
        </w:rPr>
        <w:t>eclaració</w:t>
      </w:r>
      <w:r>
        <w:rPr>
          <w:rFonts w:ascii="Verdana" w:hAnsi="Verdana"/>
          <w:sz w:val="16"/>
          <w:szCs w:val="16"/>
        </w:rPr>
        <w:t>n escrita de Franklin Felipe Guerrero Meléndez (</w:t>
      </w:r>
      <w:r w:rsidRPr="00761D24">
        <w:rPr>
          <w:rFonts w:ascii="Verdana" w:hAnsi="Verdana"/>
          <w:sz w:val="16"/>
          <w:szCs w:val="16"/>
        </w:rPr>
        <w:t>expediente de prueba, fs. 11441 a 11444</w:t>
      </w:r>
      <w:r>
        <w:rPr>
          <w:rFonts w:ascii="Verdana" w:hAnsi="Verdana"/>
          <w:sz w:val="16"/>
          <w:szCs w:val="16"/>
        </w:rPr>
        <w:t>))</w:t>
      </w:r>
      <w:r w:rsidRPr="00761D24">
        <w:rPr>
          <w:rFonts w:ascii="Verdana" w:hAnsi="Verdana"/>
          <w:sz w:val="16"/>
          <w:szCs w:val="16"/>
        </w:rPr>
        <w:t>.</w:t>
      </w:r>
      <w:r>
        <w:rPr>
          <w:rFonts w:ascii="Verdana" w:hAnsi="Verdana"/>
          <w:sz w:val="16"/>
          <w:szCs w:val="16"/>
        </w:rPr>
        <w:t xml:space="preserve"> </w:t>
      </w:r>
      <w:r w:rsidRPr="00761D24">
        <w:rPr>
          <w:rFonts w:ascii="Verdana" w:hAnsi="Verdana"/>
          <w:sz w:val="16"/>
          <w:szCs w:val="16"/>
        </w:rPr>
        <w:t>En el mismo sentido declaró Yarelis Mercedes Guerrero Meléndez, hermana de Jimmy Guerrero (</w:t>
      </w:r>
      <w:r>
        <w:rPr>
          <w:rFonts w:ascii="Verdana" w:hAnsi="Verdana"/>
          <w:i/>
          <w:sz w:val="16"/>
          <w:szCs w:val="16"/>
        </w:rPr>
        <w:t>c</w:t>
      </w:r>
      <w:r w:rsidRPr="00761D24">
        <w:rPr>
          <w:rFonts w:ascii="Verdana" w:hAnsi="Verdana"/>
          <w:i/>
          <w:sz w:val="16"/>
          <w:szCs w:val="16"/>
        </w:rPr>
        <w:t>fr</w:t>
      </w:r>
      <w:r w:rsidRPr="00761D24">
        <w:rPr>
          <w:rFonts w:ascii="Verdana" w:hAnsi="Verdana"/>
          <w:sz w:val="16"/>
          <w:szCs w:val="16"/>
        </w:rPr>
        <w:t>. declaración escrita de Yare</w:t>
      </w:r>
      <w:r>
        <w:rPr>
          <w:rFonts w:ascii="Verdana" w:hAnsi="Verdana"/>
          <w:sz w:val="16"/>
          <w:szCs w:val="16"/>
        </w:rPr>
        <w:t>lis Mercedes Guerrero Meléndez (</w:t>
      </w:r>
      <w:r w:rsidRPr="00761D24">
        <w:rPr>
          <w:rFonts w:ascii="Verdana" w:hAnsi="Verdana"/>
          <w:sz w:val="16"/>
          <w:szCs w:val="16"/>
        </w:rPr>
        <w:t>expediente de prueba, fs. 11455 a 11460)</w:t>
      </w:r>
      <w:r>
        <w:rPr>
          <w:rFonts w:ascii="Verdana" w:hAnsi="Verdana"/>
          <w:sz w:val="16"/>
          <w:szCs w:val="16"/>
        </w:rPr>
        <w:t>)</w:t>
      </w:r>
      <w:r w:rsidRPr="00542071">
        <w:rPr>
          <w:rFonts w:ascii="Verdana" w:hAnsi="Verdana"/>
          <w:sz w:val="16"/>
          <w:szCs w:val="16"/>
        </w:rPr>
        <w:t xml:space="preserve">. </w:t>
      </w:r>
      <w:r>
        <w:rPr>
          <w:rFonts w:ascii="Verdana" w:hAnsi="Verdana"/>
          <w:sz w:val="16"/>
          <w:szCs w:val="16"/>
        </w:rPr>
        <w:t xml:space="preserve"> </w:t>
      </w:r>
    </w:p>
    <w:p w14:paraId="3D9BA2F5" w14:textId="77777777" w:rsidR="0087743B" w:rsidRPr="00542071" w:rsidRDefault="0087743B" w:rsidP="00685A14">
      <w:pPr>
        <w:pStyle w:val="Textonotapie"/>
        <w:jc w:val="both"/>
        <w:rPr>
          <w:rFonts w:ascii="Verdana" w:hAnsi="Verdana"/>
          <w:sz w:val="16"/>
          <w:szCs w:val="16"/>
        </w:rPr>
      </w:pPr>
    </w:p>
  </w:footnote>
  <w:footnote w:id="47">
    <w:p w14:paraId="16C76CCB" w14:textId="1AFDECC5" w:rsidR="0087743B" w:rsidRPr="007F313C" w:rsidRDefault="0087743B" w:rsidP="00685A14">
      <w:pPr>
        <w:pStyle w:val="Textonotapie"/>
        <w:jc w:val="both"/>
        <w:rPr>
          <w:rFonts w:ascii="Verdana" w:hAnsi="Verdana" w:cs="Times New Roman"/>
          <w:bCs/>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cs="Times New Roman"/>
          <w:bCs/>
          <w:sz w:val="16"/>
          <w:szCs w:val="16"/>
        </w:rPr>
        <w:t>Fiscalía Segunda</w:t>
      </w:r>
      <w:r>
        <w:rPr>
          <w:rFonts w:ascii="Verdana" w:hAnsi="Verdana" w:cs="Times New Roman"/>
          <w:bCs/>
          <w:sz w:val="16"/>
          <w:szCs w:val="16"/>
        </w:rPr>
        <w:t xml:space="preserve"> del Estado Falcón,</w:t>
      </w:r>
      <w:r w:rsidRPr="007F313C">
        <w:rPr>
          <w:rFonts w:ascii="Verdana" w:hAnsi="Verdana" w:cs="Times New Roman"/>
          <w:bCs/>
          <w:sz w:val="16"/>
          <w:szCs w:val="16"/>
        </w:rPr>
        <w:t xml:space="preserve"> </w:t>
      </w:r>
      <w:r>
        <w:rPr>
          <w:rFonts w:ascii="Verdana" w:hAnsi="Verdana" w:cs="Times New Roman"/>
          <w:bCs/>
          <w:sz w:val="16"/>
          <w:szCs w:val="16"/>
        </w:rPr>
        <w:t>d</w:t>
      </w:r>
      <w:r w:rsidRPr="007F313C">
        <w:rPr>
          <w:rFonts w:ascii="Verdana" w:hAnsi="Verdana" w:cs="Times New Roman"/>
          <w:bCs/>
          <w:sz w:val="16"/>
          <w:szCs w:val="16"/>
        </w:rPr>
        <w:t>enuncia manuscrita</w:t>
      </w:r>
      <w:r>
        <w:rPr>
          <w:rFonts w:ascii="Verdana" w:hAnsi="Verdana" w:cs="Times New Roman"/>
          <w:bCs/>
          <w:sz w:val="16"/>
          <w:szCs w:val="16"/>
        </w:rPr>
        <w:t xml:space="preserve"> de </w:t>
      </w:r>
      <w:r w:rsidRPr="007F313C">
        <w:rPr>
          <w:rFonts w:ascii="Verdana" w:hAnsi="Verdana" w:cs="Times New Roman"/>
          <w:bCs/>
          <w:sz w:val="16"/>
          <w:szCs w:val="16"/>
        </w:rPr>
        <w:t>16 de agosto de 2002</w:t>
      </w:r>
      <w:r>
        <w:rPr>
          <w:rFonts w:ascii="Verdana" w:hAnsi="Verdana" w:cs="Times New Roman"/>
          <w:bCs/>
          <w:sz w:val="16"/>
          <w:szCs w:val="16"/>
        </w:rPr>
        <w:t xml:space="preserve"> (expediente de prueba, a</w:t>
      </w:r>
      <w:r w:rsidRPr="007F313C">
        <w:rPr>
          <w:rFonts w:ascii="Verdana" w:hAnsi="Verdana" w:cs="Times New Roman"/>
          <w:bCs/>
          <w:sz w:val="16"/>
          <w:szCs w:val="16"/>
        </w:rPr>
        <w:t>nexo 3 al Informe de Fondo</w:t>
      </w:r>
      <w:r>
        <w:rPr>
          <w:rFonts w:ascii="Verdana" w:hAnsi="Verdana" w:cs="Times New Roman"/>
          <w:bCs/>
          <w:sz w:val="16"/>
          <w:szCs w:val="16"/>
        </w:rPr>
        <w:t xml:space="preserve">, f. 1717). </w:t>
      </w:r>
      <w:r w:rsidRPr="007F313C">
        <w:rPr>
          <w:rFonts w:ascii="Verdana" w:hAnsi="Verdana" w:cs="Times New Roman"/>
          <w:bCs/>
          <w:sz w:val="16"/>
          <w:szCs w:val="16"/>
        </w:rPr>
        <w:t xml:space="preserve"> </w:t>
      </w:r>
    </w:p>
    <w:p w14:paraId="7BA56EC6" w14:textId="77777777" w:rsidR="0087743B" w:rsidRPr="007F313C" w:rsidRDefault="0087743B" w:rsidP="00685A14">
      <w:pPr>
        <w:pStyle w:val="Textonotapie"/>
        <w:jc w:val="both"/>
        <w:rPr>
          <w:rFonts w:ascii="Verdana" w:hAnsi="Verdana"/>
          <w:sz w:val="16"/>
          <w:szCs w:val="16"/>
        </w:rPr>
      </w:pPr>
    </w:p>
  </w:footnote>
  <w:footnote w:id="48">
    <w:p w14:paraId="1497A9A1" w14:textId="07015D1A" w:rsidR="0087743B" w:rsidRPr="007F313C" w:rsidRDefault="0087743B" w:rsidP="00685A14">
      <w:pPr>
        <w:adjustRightInd w:val="0"/>
        <w:jc w:val="both"/>
        <w:rPr>
          <w:rFonts w:cs="Arial"/>
          <w:sz w:val="16"/>
          <w:szCs w:val="16"/>
        </w:rPr>
      </w:pPr>
      <w:r w:rsidRPr="007F313C">
        <w:rPr>
          <w:rStyle w:val="Refdenotaalpie"/>
          <w:sz w:val="16"/>
          <w:szCs w:val="16"/>
        </w:rPr>
        <w:footnoteRef/>
      </w:r>
      <w:r w:rsidRPr="007F313C">
        <w:rPr>
          <w:sz w:val="16"/>
          <w:szCs w:val="16"/>
        </w:rPr>
        <w:t xml:space="preserve">  </w:t>
      </w:r>
      <w:r w:rsidRPr="007F313C">
        <w:rPr>
          <w:sz w:val="16"/>
          <w:szCs w:val="16"/>
        </w:rPr>
        <w:tab/>
      </w:r>
      <w:r w:rsidRPr="007F313C">
        <w:rPr>
          <w:i/>
          <w:sz w:val="16"/>
          <w:szCs w:val="16"/>
        </w:rPr>
        <w:t>Cfr.</w:t>
      </w:r>
      <w:r w:rsidRPr="007F313C">
        <w:rPr>
          <w:sz w:val="16"/>
          <w:szCs w:val="16"/>
        </w:rPr>
        <w:t xml:space="preserve"> </w:t>
      </w:r>
      <w:r w:rsidRPr="00620163">
        <w:rPr>
          <w:rFonts w:cs="Arial"/>
          <w:sz w:val="16"/>
          <w:szCs w:val="16"/>
        </w:rPr>
        <w:t>Defensoría del Puebl</w:t>
      </w:r>
      <w:r>
        <w:rPr>
          <w:rFonts w:cs="Arial"/>
          <w:sz w:val="16"/>
          <w:szCs w:val="16"/>
        </w:rPr>
        <w:t>o,</w:t>
      </w:r>
      <w:r w:rsidRPr="00620163">
        <w:rPr>
          <w:rFonts w:cs="Arial"/>
          <w:sz w:val="16"/>
          <w:szCs w:val="16"/>
        </w:rPr>
        <w:t xml:space="preserve"> </w:t>
      </w:r>
      <w:r>
        <w:rPr>
          <w:rFonts w:cs="Arial"/>
          <w:sz w:val="16"/>
          <w:szCs w:val="16"/>
        </w:rPr>
        <w:t xml:space="preserve">Oficio DP/DDEF </w:t>
      </w:r>
      <w:proofErr w:type="spellStart"/>
      <w:r>
        <w:rPr>
          <w:rFonts w:cs="Arial"/>
          <w:sz w:val="16"/>
          <w:szCs w:val="16"/>
        </w:rPr>
        <w:t>N°</w:t>
      </w:r>
      <w:proofErr w:type="spellEnd"/>
      <w:r>
        <w:rPr>
          <w:rFonts w:cs="Arial"/>
          <w:sz w:val="16"/>
          <w:szCs w:val="16"/>
        </w:rPr>
        <w:t xml:space="preserve"> 00766-03 de</w:t>
      </w:r>
      <w:r w:rsidRPr="00620163">
        <w:rPr>
          <w:rFonts w:cs="Arial"/>
          <w:sz w:val="16"/>
          <w:szCs w:val="16"/>
        </w:rPr>
        <w:t xml:space="preserve"> 7 de abril de 2003 (expediente de prueba, trámite ante la Comisión, f</w:t>
      </w:r>
      <w:r>
        <w:rPr>
          <w:rFonts w:cs="Arial"/>
          <w:sz w:val="16"/>
          <w:szCs w:val="16"/>
        </w:rPr>
        <w:t>s</w:t>
      </w:r>
      <w:r w:rsidRPr="00620163">
        <w:rPr>
          <w:rFonts w:cs="Arial"/>
          <w:sz w:val="16"/>
          <w:szCs w:val="16"/>
        </w:rPr>
        <w:t>. 160 a</w:t>
      </w:r>
      <w:r>
        <w:rPr>
          <w:rFonts w:cs="Arial"/>
          <w:sz w:val="16"/>
          <w:szCs w:val="16"/>
        </w:rPr>
        <w:t xml:space="preserve"> 163</w:t>
      </w:r>
      <w:r w:rsidRPr="00542071">
        <w:rPr>
          <w:rFonts w:cs="Arial"/>
          <w:sz w:val="16"/>
          <w:szCs w:val="16"/>
        </w:rPr>
        <w:t>)</w:t>
      </w:r>
      <w:r w:rsidRPr="007F313C">
        <w:rPr>
          <w:rFonts w:cs="Arial"/>
          <w:sz w:val="16"/>
          <w:szCs w:val="16"/>
        </w:rPr>
        <w:t xml:space="preserve">. </w:t>
      </w:r>
    </w:p>
    <w:p w14:paraId="1953372B" w14:textId="77777777" w:rsidR="0087743B" w:rsidRPr="007F313C" w:rsidRDefault="0087743B" w:rsidP="00685A14">
      <w:pPr>
        <w:adjustRightInd w:val="0"/>
        <w:jc w:val="both"/>
        <w:rPr>
          <w:rFonts w:cs="Arial"/>
          <w:sz w:val="16"/>
          <w:szCs w:val="16"/>
        </w:rPr>
      </w:pPr>
    </w:p>
  </w:footnote>
  <w:footnote w:id="49">
    <w:p w14:paraId="28783082" w14:textId="77777777" w:rsidR="0087743B" w:rsidRPr="007F313C" w:rsidRDefault="0087743B" w:rsidP="00685A14">
      <w:pPr>
        <w:pStyle w:val="Textonotapie"/>
        <w:jc w:val="both"/>
        <w:rPr>
          <w:rFonts w:ascii="Verdana" w:hAnsi="Verdana"/>
          <w:sz w:val="16"/>
          <w:szCs w:val="16"/>
        </w:rPr>
      </w:pPr>
      <w:r w:rsidRPr="00F55065">
        <w:rPr>
          <w:rStyle w:val="Refdenotaalpie"/>
          <w:rFonts w:ascii="Verdana" w:hAnsi="Verdana"/>
          <w:sz w:val="16"/>
          <w:szCs w:val="16"/>
        </w:rPr>
        <w:footnoteRef/>
      </w:r>
      <w:r w:rsidRPr="00F55065">
        <w:rPr>
          <w:rFonts w:ascii="Verdana" w:hAnsi="Verdana"/>
          <w:sz w:val="16"/>
          <w:szCs w:val="16"/>
        </w:rPr>
        <w:t xml:space="preserve">  </w:t>
      </w:r>
      <w:r w:rsidRPr="00F55065">
        <w:rPr>
          <w:rFonts w:ascii="Verdana" w:hAnsi="Verdana"/>
          <w:sz w:val="16"/>
          <w:szCs w:val="16"/>
        </w:rPr>
        <w:tab/>
        <w:t xml:space="preserve">Declaración de Jean Carlos Guerrero de 4 de abril de 2016, recibida por la Comisión Interamericana en audiencia pública (disponible en internet: </w:t>
      </w:r>
      <w:hyperlink r:id="rId4" w:history="1">
        <w:r w:rsidRPr="00BA3295">
          <w:rPr>
            <w:rStyle w:val="Hipervnculo"/>
            <w:rFonts w:ascii="Verdana" w:hAnsi="Verdana"/>
            <w:color w:val="auto"/>
            <w:sz w:val="16"/>
            <w:szCs w:val="16"/>
            <w:u w:val="none"/>
          </w:rPr>
          <w:t>https://www.oas.org/es/cidh/audiencias/advanced.aspx?lang=es</w:t>
        </w:r>
      </w:hyperlink>
      <w:r w:rsidRPr="00F55065">
        <w:rPr>
          <w:rFonts w:ascii="Verdana" w:hAnsi="Verdana"/>
          <w:sz w:val="16"/>
          <w:szCs w:val="16"/>
        </w:rPr>
        <w:t xml:space="preserve">) </w:t>
      </w:r>
    </w:p>
    <w:p w14:paraId="25E9B46F" w14:textId="77777777" w:rsidR="0087743B" w:rsidRPr="007F313C" w:rsidRDefault="0087743B" w:rsidP="00685A14">
      <w:pPr>
        <w:pStyle w:val="Textonotapie"/>
        <w:jc w:val="both"/>
        <w:rPr>
          <w:rFonts w:ascii="Verdana" w:hAnsi="Verdana"/>
          <w:sz w:val="16"/>
          <w:szCs w:val="16"/>
        </w:rPr>
      </w:pPr>
    </w:p>
  </w:footnote>
  <w:footnote w:id="50">
    <w:p w14:paraId="11BBCB90" w14:textId="378F58DD" w:rsidR="0087743B" w:rsidRPr="00F55065" w:rsidRDefault="0087743B" w:rsidP="00685A14">
      <w:pPr>
        <w:adjustRightInd w:val="0"/>
        <w:jc w:val="both"/>
        <w:rPr>
          <w:rFonts w:cs="Arial"/>
          <w:sz w:val="16"/>
          <w:szCs w:val="16"/>
        </w:rPr>
      </w:pPr>
      <w:r w:rsidRPr="00703661">
        <w:rPr>
          <w:rStyle w:val="Refdenotaalpie"/>
          <w:sz w:val="16"/>
          <w:szCs w:val="16"/>
        </w:rPr>
        <w:footnoteRef/>
      </w:r>
      <w:r w:rsidRPr="00703661">
        <w:rPr>
          <w:sz w:val="16"/>
          <w:szCs w:val="16"/>
        </w:rPr>
        <w:t xml:space="preserve">  </w:t>
      </w:r>
      <w:r w:rsidRPr="00703661">
        <w:rPr>
          <w:sz w:val="16"/>
          <w:szCs w:val="16"/>
        </w:rPr>
        <w:tab/>
      </w:r>
      <w:r w:rsidRPr="00F55065">
        <w:rPr>
          <w:i/>
          <w:sz w:val="16"/>
          <w:szCs w:val="16"/>
        </w:rPr>
        <w:t>Cfr.</w:t>
      </w:r>
      <w:r w:rsidRPr="00F55065">
        <w:rPr>
          <w:sz w:val="16"/>
          <w:szCs w:val="16"/>
        </w:rPr>
        <w:t xml:space="preserve"> Fiscalía Superior, Oficio No. FAL-SUP-1567, de 14 de octubre de 2002, dirigido al Fiscal Primero del Ministerio Público de la Circunscripción Judicial del Estado Falcón, recibido el 5 de noviembre de 2002</w:t>
      </w:r>
      <w:r w:rsidRPr="00F55065">
        <w:rPr>
          <w:rFonts w:cs="Arial"/>
          <w:sz w:val="16"/>
          <w:szCs w:val="16"/>
        </w:rPr>
        <w:t xml:space="preserve"> (expediente de prueba, trámite ante la Comisión, f. 173).</w:t>
      </w:r>
      <w:r>
        <w:rPr>
          <w:rFonts w:cs="Arial"/>
          <w:sz w:val="16"/>
          <w:szCs w:val="16"/>
        </w:rPr>
        <w:t xml:space="preserve"> </w:t>
      </w:r>
      <w:r w:rsidRPr="00F55065">
        <w:rPr>
          <w:rFonts w:cs="Arial"/>
          <w:sz w:val="16"/>
          <w:szCs w:val="16"/>
        </w:rPr>
        <w:t xml:space="preserve">El documento alude a la remisión de “recaudos complementarios” de una causa penal. Los representantes aseveraron que por medio de dicho oficio se transmitió la denuncia de 27 de septiembre de 2002. Ello no fue controvertido. Los representantes, por otra parte, aludieron a la “Fiscalía Sexta”, pero el documento indica el destinatario </w:t>
      </w:r>
      <w:proofErr w:type="gramStart"/>
      <w:r w:rsidRPr="00F55065">
        <w:rPr>
          <w:rFonts w:cs="Arial"/>
          <w:sz w:val="16"/>
          <w:szCs w:val="16"/>
        </w:rPr>
        <w:t>del mismo</w:t>
      </w:r>
      <w:proofErr w:type="gramEnd"/>
      <w:r w:rsidRPr="00F55065">
        <w:rPr>
          <w:rFonts w:cs="Arial"/>
          <w:sz w:val="16"/>
          <w:szCs w:val="16"/>
        </w:rPr>
        <w:t xml:space="preserve"> como ha sido consignado.  </w:t>
      </w:r>
    </w:p>
    <w:p w14:paraId="6C7D007E" w14:textId="77777777" w:rsidR="0087743B" w:rsidRPr="007F313C" w:rsidRDefault="0087743B" w:rsidP="00685A14">
      <w:pPr>
        <w:adjustRightInd w:val="0"/>
        <w:jc w:val="both"/>
        <w:rPr>
          <w:rFonts w:cs="Arial"/>
          <w:sz w:val="16"/>
          <w:szCs w:val="16"/>
        </w:rPr>
      </w:pPr>
    </w:p>
  </w:footnote>
  <w:footnote w:id="51">
    <w:p w14:paraId="1288CFEC" w14:textId="5E2B7526"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Pr>
          <w:rFonts w:ascii="Verdana" w:hAnsi="Verdana" w:cs="Times New Roman"/>
          <w:bCs/>
          <w:sz w:val="16"/>
          <w:szCs w:val="16"/>
        </w:rPr>
        <w:t>Defensoría del Pueblo,</w:t>
      </w:r>
      <w:r w:rsidRPr="007F313C">
        <w:rPr>
          <w:rFonts w:ascii="Verdana" w:hAnsi="Verdana" w:cs="Times New Roman"/>
          <w:bCs/>
          <w:sz w:val="16"/>
          <w:szCs w:val="16"/>
        </w:rPr>
        <w:t xml:space="preserve"> </w:t>
      </w:r>
      <w:r>
        <w:rPr>
          <w:rFonts w:ascii="Verdana" w:hAnsi="Verdana" w:cs="Times New Roman"/>
          <w:bCs/>
          <w:sz w:val="16"/>
          <w:szCs w:val="16"/>
        </w:rPr>
        <w:t>d</w:t>
      </w:r>
      <w:r w:rsidRPr="007F313C">
        <w:rPr>
          <w:rFonts w:ascii="Verdana" w:hAnsi="Verdana" w:cs="Times New Roman"/>
          <w:bCs/>
          <w:sz w:val="16"/>
          <w:szCs w:val="16"/>
        </w:rPr>
        <w:t>eclaración de Jimmy Guerrero</w:t>
      </w:r>
      <w:r>
        <w:rPr>
          <w:rFonts w:ascii="Verdana" w:hAnsi="Verdana" w:cs="Times New Roman"/>
          <w:bCs/>
          <w:sz w:val="16"/>
          <w:szCs w:val="16"/>
        </w:rPr>
        <w:t xml:space="preserve"> de</w:t>
      </w:r>
      <w:r w:rsidRPr="007F313C">
        <w:rPr>
          <w:rFonts w:ascii="Verdana" w:hAnsi="Verdana" w:cs="Times New Roman"/>
          <w:bCs/>
          <w:sz w:val="16"/>
          <w:szCs w:val="16"/>
        </w:rPr>
        <w:t xml:space="preserve"> 28 de octubre de 2002</w:t>
      </w:r>
      <w:r>
        <w:rPr>
          <w:rFonts w:ascii="Verdana" w:hAnsi="Verdana" w:cs="Times New Roman"/>
          <w:bCs/>
          <w:sz w:val="16"/>
          <w:szCs w:val="16"/>
        </w:rPr>
        <w:t xml:space="preserve"> (expediente de prueba, a</w:t>
      </w:r>
      <w:r w:rsidRPr="007F313C">
        <w:rPr>
          <w:rFonts w:ascii="Verdana" w:hAnsi="Verdana" w:cs="Times New Roman"/>
          <w:bCs/>
          <w:sz w:val="16"/>
          <w:szCs w:val="16"/>
        </w:rPr>
        <w:t>nexo 8 al Informe de Fondo</w:t>
      </w:r>
      <w:r>
        <w:rPr>
          <w:rFonts w:ascii="Verdana" w:hAnsi="Verdana" w:cs="Times New Roman"/>
          <w:bCs/>
          <w:sz w:val="16"/>
          <w:szCs w:val="16"/>
        </w:rPr>
        <w:t>, f. 1727)</w:t>
      </w:r>
      <w:r w:rsidRPr="007F313C">
        <w:rPr>
          <w:rFonts w:ascii="Verdana" w:hAnsi="Verdana" w:cs="Times New Roman"/>
          <w:bCs/>
          <w:sz w:val="16"/>
          <w:szCs w:val="16"/>
        </w:rPr>
        <w:t>.</w:t>
      </w:r>
    </w:p>
  </w:footnote>
  <w:footnote w:id="52">
    <w:p w14:paraId="259D44D0" w14:textId="77777777" w:rsidR="0087743B" w:rsidRPr="007F313C" w:rsidRDefault="0087743B" w:rsidP="00685A14">
      <w:pPr>
        <w:adjustRightInd w:val="0"/>
        <w:jc w:val="both"/>
        <w:rPr>
          <w:sz w:val="16"/>
          <w:szCs w:val="16"/>
        </w:rPr>
      </w:pPr>
    </w:p>
    <w:p w14:paraId="1D659C42" w14:textId="017C5415" w:rsidR="0087743B" w:rsidRPr="007F313C" w:rsidRDefault="0087743B" w:rsidP="00685A14">
      <w:pPr>
        <w:adjustRightInd w:val="0"/>
        <w:jc w:val="both"/>
        <w:rPr>
          <w:rFonts w:cs="Times New Roman"/>
          <w:sz w:val="16"/>
          <w:szCs w:val="16"/>
        </w:rPr>
      </w:pPr>
      <w:r w:rsidRPr="007F313C">
        <w:rPr>
          <w:rStyle w:val="Refdenotaalpie"/>
          <w:sz w:val="16"/>
          <w:szCs w:val="16"/>
        </w:rPr>
        <w:footnoteRef/>
      </w:r>
      <w:r w:rsidRPr="007F313C">
        <w:rPr>
          <w:sz w:val="16"/>
          <w:szCs w:val="16"/>
        </w:rPr>
        <w:t xml:space="preserve"> </w:t>
      </w:r>
      <w:r w:rsidRPr="007F313C">
        <w:rPr>
          <w:sz w:val="16"/>
          <w:szCs w:val="16"/>
        </w:rPr>
        <w:tab/>
      </w:r>
      <w:r>
        <w:rPr>
          <w:rFonts w:cs="Times New Roman"/>
          <w:sz w:val="16"/>
          <w:szCs w:val="16"/>
        </w:rPr>
        <w:t>Defensoría del Pueblo,</w:t>
      </w:r>
      <w:r w:rsidRPr="007F313C">
        <w:rPr>
          <w:rFonts w:cs="Times New Roman"/>
          <w:sz w:val="16"/>
          <w:szCs w:val="16"/>
        </w:rPr>
        <w:t xml:space="preserve"> </w:t>
      </w:r>
      <w:r>
        <w:rPr>
          <w:rFonts w:cs="Times New Roman"/>
          <w:sz w:val="16"/>
          <w:szCs w:val="16"/>
        </w:rPr>
        <w:t>nota DP/DDEF No. 02674.02, de 8 de noviembre de 2002; r</w:t>
      </w:r>
      <w:r w:rsidRPr="007F313C">
        <w:rPr>
          <w:rFonts w:cs="Times New Roman"/>
          <w:sz w:val="16"/>
          <w:szCs w:val="16"/>
        </w:rPr>
        <w:t>emi</w:t>
      </w:r>
      <w:r>
        <w:rPr>
          <w:rFonts w:cs="Times New Roman"/>
          <w:sz w:val="16"/>
          <w:szCs w:val="16"/>
        </w:rPr>
        <w:t>sión de</w:t>
      </w:r>
      <w:r w:rsidRPr="007F313C">
        <w:rPr>
          <w:rFonts w:cs="Times New Roman"/>
          <w:sz w:val="16"/>
          <w:szCs w:val="16"/>
        </w:rPr>
        <w:t xml:space="preserve"> copia de artículo de prensa titulado </w:t>
      </w:r>
      <w:r>
        <w:rPr>
          <w:rFonts w:cs="Times New Roman"/>
          <w:sz w:val="16"/>
          <w:szCs w:val="16"/>
        </w:rPr>
        <w:t>“</w:t>
      </w:r>
      <w:r w:rsidRPr="007F313C">
        <w:rPr>
          <w:rFonts w:cs="Times New Roman"/>
          <w:sz w:val="16"/>
          <w:szCs w:val="16"/>
        </w:rPr>
        <w:t>Denuncia acoso por parte de Organismos de Seguridad</w:t>
      </w:r>
      <w:r>
        <w:rPr>
          <w:rFonts w:cs="Times New Roman"/>
          <w:sz w:val="16"/>
          <w:szCs w:val="16"/>
        </w:rPr>
        <w:t xml:space="preserve">”, de </w:t>
      </w:r>
      <w:r w:rsidRPr="007F313C">
        <w:rPr>
          <w:rFonts w:cs="Times New Roman"/>
          <w:sz w:val="16"/>
          <w:szCs w:val="16"/>
        </w:rPr>
        <w:t>7 de noviembre de 2002</w:t>
      </w:r>
      <w:r>
        <w:rPr>
          <w:rFonts w:cs="Times New Roman"/>
          <w:sz w:val="16"/>
          <w:szCs w:val="16"/>
        </w:rPr>
        <w:t xml:space="preserve"> (expediente de prueba, a</w:t>
      </w:r>
      <w:r w:rsidRPr="007F313C">
        <w:rPr>
          <w:rFonts w:cs="Times New Roman"/>
          <w:sz w:val="16"/>
          <w:szCs w:val="16"/>
        </w:rPr>
        <w:t>nexo 17 al Informe de Fondo</w:t>
      </w:r>
      <w:r>
        <w:rPr>
          <w:rFonts w:cs="Times New Roman"/>
          <w:sz w:val="16"/>
          <w:szCs w:val="16"/>
        </w:rPr>
        <w:t>, fs. 1746 a 1748)</w:t>
      </w:r>
      <w:r w:rsidRPr="007F313C">
        <w:rPr>
          <w:rFonts w:cs="Times New Roman"/>
          <w:sz w:val="16"/>
          <w:szCs w:val="16"/>
        </w:rPr>
        <w:t xml:space="preserve">. </w:t>
      </w:r>
    </w:p>
  </w:footnote>
  <w:footnote w:id="53">
    <w:p w14:paraId="5E284865" w14:textId="77777777" w:rsidR="0087743B" w:rsidRPr="007F313C" w:rsidRDefault="0087743B" w:rsidP="00685A14">
      <w:pPr>
        <w:pStyle w:val="Textonotapie"/>
        <w:jc w:val="both"/>
        <w:rPr>
          <w:rFonts w:ascii="Verdana" w:hAnsi="Verdana"/>
          <w:sz w:val="16"/>
          <w:szCs w:val="16"/>
        </w:rPr>
      </w:pPr>
    </w:p>
    <w:p w14:paraId="4A6E4247" w14:textId="7C096E4A" w:rsidR="0087743B"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Pr>
          <w:rFonts w:ascii="Verdana" w:hAnsi="Verdana"/>
          <w:sz w:val="16"/>
          <w:szCs w:val="16"/>
        </w:rPr>
        <w:t xml:space="preserve">Fiscalía 2, nota FAL 2683-02 de 11 de noviembre de 2002, dirigida a la Defensoría del Pueblo (expediente de prueba, trámite ante la Comisión, f. 1306). </w:t>
      </w:r>
    </w:p>
    <w:p w14:paraId="02F173BD" w14:textId="77777777" w:rsidR="0087743B" w:rsidRPr="007F313C" w:rsidRDefault="0087743B" w:rsidP="00685A14">
      <w:pPr>
        <w:pStyle w:val="Textonotapie"/>
        <w:jc w:val="both"/>
        <w:rPr>
          <w:rFonts w:ascii="Verdana" w:hAnsi="Verdana"/>
          <w:sz w:val="16"/>
          <w:szCs w:val="16"/>
        </w:rPr>
      </w:pPr>
    </w:p>
  </w:footnote>
  <w:footnote w:id="54">
    <w:p w14:paraId="03F1DA41" w14:textId="0AADD933" w:rsidR="0087743B" w:rsidRPr="007F313C" w:rsidRDefault="0087743B" w:rsidP="00685A14">
      <w:pPr>
        <w:pStyle w:val="Textonotapie"/>
        <w:jc w:val="both"/>
        <w:rPr>
          <w:rFonts w:ascii="Verdana" w:hAnsi="Verdana" w:cs="Times New Roman"/>
          <w:bCs/>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cs="Times New Roman"/>
          <w:bCs/>
          <w:sz w:val="16"/>
          <w:szCs w:val="16"/>
        </w:rPr>
        <w:t>Fiscal</w:t>
      </w:r>
      <w:r>
        <w:rPr>
          <w:rFonts w:ascii="Verdana" w:hAnsi="Verdana" w:cs="Times New Roman"/>
          <w:bCs/>
          <w:sz w:val="16"/>
          <w:szCs w:val="16"/>
        </w:rPr>
        <w:t>ía</w:t>
      </w:r>
      <w:r w:rsidRPr="007F313C">
        <w:rPr>
          <w:rFonts w:ascii="Verdana" w:hAnsi="Verdana" w:cs="Times New Roman"/>
          <w:bCs/>
          <w:sz w:val="16"/>
          <w:szCs w:val="16"/>
        </w:rPr>
        <w:t xml:space="preserve"> </w:t>
      </w:r>
      <w:r>
        <w:rPr>
          <w:rFonts w:ascii="Verdana" w:hAnsi="Verdana" w:cs="Times New Roman"/>
          <w:bCs/>
          <w:sz w:val="16"/>
          <w:szCs w:val="16"/>
        </w:rPr>
        <w:t>2,</w:t>
      </w:r>
      <w:r w:rsidRPr="007F313C">
        <w:rPr>
          <w:rFonts w:ascii="Verdana" w:hAnsi="Verdana" w:cs="Times New Roman"/>
          <w:bCs/>
          <w:sz w:val="16"/>
          <w:szCs w:val="16"/>
        </w:rPr>
        <w:t xml:space="preserve"> </w:t>
      </w:r>
      <w:r>
        <w:rPr>
          <w:rFonts w:ascii="Verdana" w:hAnsi="Verdana" w:cs="Times New Roman"/>
          <w:bCs/>
          <w:sz w:val="16"/>
          <w:szCs w:val="16"/>
        </w:rPr>
        <w:t>d</w:t>
      </w:r>
      <w:r w:rsidRPr="007F313C">
        <w:rPr>
          <w:rFonts w:ascii="Verdana" w:hAnsi="Verdana" w:cs="Times New Roman"/>
          <w:bCs/>
          <w:sz w:val="16"/>
          <w:szCs w:val="16"/>
        </w:rPr>
        <w:t>enuncia de Jimmy Guerrero de 4 de noviembre de 2002</w:t>
      </w:r>
      <w:r>
        <w:rPr>
          <w:rFonts w:ascii="Verdana" w:hAnsi="Verdana" w:cs="Times New Roman"/>
          <w:bCs/>
          <w:sz w:val="16"/>
          <w:szCs w:val="16"/>
        </w:rPr>
        <w:t xml:space="preserve"> (expediente de prueba, anexo</w:t>
      </w:r>
      <w:r w:rsidRPr="007F313C">
        <w:rPr>
          <w:rFonts w:ascii="Verdana" w:hAnsi="Verdana" w:cs="Times New Roman"/>
          <w:bCs/>
          <w:sz w:val="16"/>
          <w:szCs w:val="16"/>
        </w:rPr>
        <w:t xml:space="preserve"> 7 al Informe de Fondo</w:t>
      </w:r>
      <w:r>
        <w:rPr>
          <w:rFonts w:ascii="Verdana" w:hAnsi="Verdana" w:cs="Times New Roman"/>
          <w:bCs/>
          <w:sz w:val="16"/>
          <w:szCs w:val="16"/>
        </w:rPr>
        <w:t>, f. 1725)</w:t>
      </w:r>
      <w:r w:rsidRPr="007F313C">
        <w:rPr>
          <w:rFonts w:ascii="Verdana" w:hAnsi="Verdana" w:cs="Times New Roman"/>
          <w:bCs/>
          <w:sz w:val="16"/>
          <w:szCs w:val="16"/>
        </w:rPr>
        <w:t>.</w:t>
      </w:r>
    </w:p>
    <w:p w14:paraId="704E92C1" w14:textId="77777777" w:rsidR="0087743B" w:rsidRPr="007F313C" w:rsidRDefault="0087743B" w:rsidP="00685A14">
      <w:pPr>
        <w:pStyle w:val="Textonotapie"/>
        <w:jc w:val="both"/>
        <w:rPr>
          <w:rFonts w:ascii="Verdana" w:hAnsi="Verdana"/>
          <w:sz w:val="16"/>
          <w:szCs w:val="16"/>
        </w:rPr>
      </w:pPr>
    </w:p>
  </w:footnote>
  <w:footnote w:id="55">
    <w:p w14:paraId="1C9F48EB" w14:textId="3E4768A3" w:rsidR="0087743B" w:rsidRPr="009B58F0" w:rsidRDefault="0087743B" w:rsidP="009B58F0">
      <w:pPr>
        <w:pStyle w:val="Textonotapie"/>
        <w:jc w:val="both"/>
        <w:rPr>
          <w:rFonts w:ascii="Verdana" w:hAnsi="Verdana" w:cs="Times New Roman"/>
          <w:bCs/>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5428F4">
        <w:rPr>
          <w:rFonts w:ascii="Verdana" w:hAnsi="Verdana" w:cs="Times New Roman"/>
          <w:bCs/>
          <w:sz w:val="16"/>
          <w:szCs w:val="16"/>
        </w:rPr>
        <w:t>La presentación realizada por E.L. indica que el 17 de febrero de 2003 ella y otras personas estaban en la casa del señor Guerrero, y que, cerca de las 03:00 pm, llegaron “varios motorizados”. Conforme el relato, una mujer policía apuntó con un arma al señor Guerrero, y luego, sin “habla[</w:t>
      </w:r>
      <w:r>
        <w:rPr>
          <w:rFonts w:ascii="Verdana" w:hAnsi="Verdana" w:cs="Times New Roman"/>
          <w:bCs/>
          <w:sz w:val="16"/>
          <w:szCs w:val="16"/>
        </w:rPr>
        <w:t>r</w:t>
      </w:r>
      <w:r w:rsidRPr="005428F4">
        <w:rPr>
          <w:rFonts w:ascii="Verdana" w:hAnsi="Verdana" w:cs="Times New Roman"/>
          <w:bCs/>
          <w:sz w:val="16"/>
          <w:szCs w:val="16"/>
        </w:rPr>
        <w:t>] nada”, lo “golpearon salvajemente y le dieron un palo por la cabeza</w:t>
      </w:r>
      <w:r>
        <w:rPr>
          <w:rFonts w:ascii="Verdana" w:hAnsi="Verdana" w:cs="Times New Roman"/>
          <w:bCs/>
          <w:sz w:val="16"/>
          <w:szCs w:val="16"/>
        </w:rPr>
        <w:t>”,</w:t>
      </w:r>
      <w:r w:rsidRPr="005428F4">
        <w:rPr>
          <w:rFonts w:ascii="Verdana" w:hAnsi="Verdana" w:cs="Times New Roman"/>
          <w:bCs/>
          <w:sz w:val="16"/>
          <w:szCs w:val="16"/>
        </w:rPr>
        <w:t xml:space="preserve"> y después se lo llevaron</w:t>
      </w:r>
      <w:r>
        <w:rPr>
          <w:rFonts w:ascii="Verdana" w:hAnsi="Verdana" w:cs="Times New Roman"/>
          <w:bCs/>
          <w:sz w:val="16"/>
          <w:szCs w:val="16"/>
        </w:rPr>
        <w:t xml:space="preserve"> en un carro</w:t>
      </w:r>
      <w:r w:rsidRPr="005428F4">
        <w:rPr>
          <w:rFonts w:ascii="Verdana" w:hAnsi="Verdana" w:cs="Times New Roman"/>
          <w:bCs/>
          <w:sz w:val="16"/>
          <w:szCs w:val="16"/>
        </w:rPr>
        <w:t>. La denuncia refiere también que luego regresaron “como diez motorizados” que ingresaron a la casa “sin preguntar ni nada” y revisaron la residencia. La vecina señaló que ella preguntó al personal policial “porque registraban si no traían una orden”</w:t>
      </w:r>
      <w:r>
        <w:rPr>
          <w:rFonts w:ascii="Verdana" w:hAnsi="Verdana" w:cs="Times New Roman"/>
          <w:bCs/>
          <w:sz w:val="16"/>
          <w:szCs w:val="16"/>
        </w:rPr>
        <w:t>, y no indicó que le hubieran dado una respuesta. (Defensoría del Pueblo, declaración de E.L. de 17 de febrero de 2003 (expediente de prueba, a</w:t>
      </w:r>
      <w:r w:rsidRPr="007F313C">
        <w:rPr>
          <w:rFonts w:ascii="Verdana" w:hAnsi="Verdana" w:cs="Times New Roman"/>
          <w:bCs/>
          <w:sz w:val="16"/>
          <w:szCs w:val="16"/>
        </w:rPr>
        <w:t>nexo 10 al Informe de Fondo</w:t>
      </w:r>
      <w:r>
        <w:rPr>
          <w:rFonts w:ascii="Verdana" w:hAnsi="Verdana" w:cs="Times New Roman"/>
          <w:bCs/>
          <w:sz w:val="16"/>
          <w:szCs w:val="16"/>
        </w:rPr>
        <w:t xml:space="preserve">, f. 1731)). </w:t>
      </w:r>
      <w:r w:rsidRPr="009B58F0">
        <w:rPr>
          <w:rFonts w:ascii="Verdana" w:hAnsi="Verdana"/>
          <w:sz w:val="16"/>
          <w:szCs w:val="16"/>
        </w:rPr>
        <w:t>Se deja aclarado que, en la presente Sen</w:t>
      </w:r>
      <w:r>
        <w:rPr>
          <w:rFonts w:ascii="Verdana" w:hAnsi="Verdana"/>
          <w:sz w:val="16"/>
          <w:szCs w:val="16"/>
        </w:rPr>
        <w:t>tencia, con excepción de la mención de un hijo ya fallecido del señor Ramón Molina (</w:t>
      </w:r>
      <w:r>
        <w:rPr>
          <w:rFonts w:ascii="Verdana" w:hAnsi="Verdana"/>
          <w:i/>
          <w:sz w:val="16"/>
          <w:szCs w:val="16"/>
        </w:rPr>
        <w:t xml:space="preserve">infra </w:t>
      </w:r>
      <w:r>
        <w:rPr>
          <w:rFonts w:ascii="Verdana" w:hAnsi="Verdana"/>
          <w:sz w:val="16"/>
          <w:szCs w:val="16"/>
        </w:rPr>
        <w:t>párr. 70), se señala con iniciales</w:t>
      </w:r>
      <w:r w:rsidRPr="009B58F0">
        <w:rPr>
          <w:rFonts w:ascii="Verdana" w:hAnsi="Verdana"/>
          <w:sz w:val="16"/>
          <w:szCs w:val="16"/>
        </w:rPr>
        <w:t xml:space="preserve"> a personas respecto de las que no const</w:t>
      </w:r>
      <w:r>
        <w:rPr>
          <w:rFonts w:ascii="Verdana" w:hAnsi="Verdana"/>
          <w:sz w:val="16"/>
          <w:szCs w:val="16"/>
        </w:rPr>
        <w:t xml:space="preserve">a que hayan tenido intervención </w:t>
      </w:r>
      <w:r w:rsidRPr="009B58F0">
        <w:rPr>
          <w:rFonts w:ascii="Verdana" w:hAnsi="Verdana"/>
          <w:sz w:val="16"/>
          <w:szCs w:val="16"/>
        </w:rPr>
        <w:t>en el trámite del caso en el ámbito internacional, ante la Comisión Interamericana o la Corte Interamericana.</w:t>
      </w:r>
    </w:p>
    <w:p w14:paraId="52D32688" w14:textId="7517CABB" w:rsidR="0087743B" w:rsidRPr="007F313C" w:rsidRDefault="0087743B" w:rsidP="00685A14">
      <w:pPr>
        <w:pStyle w:val="Textonotapie"/>
        <w:jc w:val="both"/>
        <w:rPr>
          <w:rFonts w:ascii="Verdana" w:hAnsi="Verdana"/>
          <w:sz w:val="16"/>
          <w:szCs w:val="16"/>
        </w:rPr>
      </w:pPr>
    </w:p>
  </w:footnote>
  <w:footnote w:id="56">
    <w:p w14:paraId="58C311F6" w14:textId="7469C925" w:rsidR="0087743B" w:rsidRPr="007F313C" w:rsidRDefault="0087743B" w:rsidP="00685A14">
      <w:pPr>
        <w:pStyle w:val="Textonotapie"/>
        <w:jc w:val="both"/>
        <w:rPr>
          <w:rFonts w:ascii="Verdana" w:hAnsi="Verdana" w:cs="Times New Roman"/>
          <w:bCs/>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Pr>
          <w:rFonts w:ascii="Verdana" w:hAnsi="Verdana" w:cs="Times New Roman"/>
          <w:bCs/>
          <w:sz w:val="16"/>
          <w:szCs w:val="16"/>
        </w:rPr>
        <w:t>Defensoría del Pueblo,</w:t>
      </w:r>
      <w:r w:rsidRPr="007F313C">
        <w:rPr>
          <w:rFonts w:ascii="Verdana" w:hAnsi="Verdana" w:cs="Times New Roman"/>
          <w:bCs/>
          <w:sz w:val="16"/>
          <w:szCs w:val="16"/>
        </w:rPr>
        <w:t xml:space="preserve"> </w:t>
      </w:r>
      <w:r>
        <w:rPr>
          <w:rFonts w:ascii="Verdana" w:hAnsi="Verdana" w:cs="Times New Roman"/>
          <w:bCs/>
          <w:sz w:val="16"/>
          <w:szCs w:val="16"/>
        </w:rPr>
        <w:t>a</w:t>
      </w:r>
      <w:r w:rsidRPr="007F313C">
        <w:rPr>
          <w:rFonts w:ascii="Verdana" w:hAnsi="Verdana" w:cs="Times New Roman"/>
          <w:bCs/>
          <w:sz w:val="16"/>
          <w:szCs w:val="16"/>
        </w:rPr>
        <w:t xml:space="preserve">cta de Visita </w:t>
      </w:r>
      <w:r>
        <w:rPr>
          <w:rFonts w:ascii="Verdana" w:hAnsi="Verdana" w:cs="Times New Roman"/>
          <w:bCs/>
          <w:sz w:val="16"/>
          <w:szCs w:val="16"/>
        </w:rPr>
        <w:t xml:space="preserve">de </w:t>
      </w:r>
      <w:r w:rsidRPr="007F313C">
        <w:rPr>
          <w:rFonts w:ascii="Verdana" w:hAnsi="Verdana" w:cs="Times New Roman"/>
          <w:bCs/>
          <w:sz w:val="16"/>
          <w:szCs w:val="16"/>
        </w:rPr>
        <w:t>17 de febrero de 2003</w:t>
      </w:r>
      <w:r>
        <w:rPr>
          <w:rFonts w:ascii="Verdana" w:hAnsi="Verdana" w:cs="Times New Roman"/>
          <w:bCs/>
          <w:sz w:val="16"/>
          <w:szCs w:val="16"/>
        </w:rPr>
        <w:t xml:space="preserve"> (expediente de prueba, a</w:t>
      </w:r>
      <w:r w:rsidRPr="007F313C">
        <w:rPr>
          <w:rFonts w:ascii="Verdana" w:hAnsi="Verdana" w:cs="Times New Roman"/>
          <w:bCs/>
          <w:sz w:val="16"/>
          <w:szCs w:val="16"/>
        </w:rPr>
        <w:t>nexo 11 al Informe de Fondo</w:t>
      </w:r>
      <w:r>
        <w:rPr>
          <w:rFonts w:ascii="Verdana" w:hAnsi="Verdana" w:cs="Times New Roman"/>
          <w:bCs/>
          <w:sz w:val="16"/>
          <w:szCs w:val="16"/>
        </w:rPr>
        <w:t>, fs. 1733 y 1734)</w:t>
      </w:r>
      <w:r w:rsidRPr="007F313C">
        <w:rPr>
          <w:rFonts w:ascii="Verdana" w:hAnsi="Verdana" w:cs="Times New Roman"/>
          <w:bCs/>
          <w:sz w:val="16"/>
          <w:szCs w:val="16"/>
        </w:rPr>
        <w:t xml:space="preserve">. </w:t>
      </w:r>
    </w:p>
    <w:p w14:paraId="4E94F570" w14:textId="77777777" w:rsidR="0087743B" w:rsidRPr="007F313C" w:rsidRDefault="0087743B" w:rsidP="00685A14">
      <w:pPr>
        <w:pStyle w:val="Textonotapie"/>
        <w:jc w:val="both"/>
        <w:rPr>
          <w:rFonts w:ascii="Verdana" w:hAnsi="Verdana"/>
          <w:sz w:val="16"/>
          <w:szCs w:val="16"/>
        </w:rPr>
      </w:pPr>
    </w:p>
  </w:footnote>
  <w:footnote w:id="57">
    <w:p w14:paraId="4398B92E" w14:textId="77777777" w:rsidR="0087743B" w:rsidRPr="007F313C" w:rsidRDefault="0087743B" w:rsidP="00685A14">
      <w:pPr>
        <w:adjustRightInd w:val="0"/>
        <w:jc w:val="both"/>
        <w:rPr>
          <w:rFonts w:cs="Arial"/>
          <w:sz w:val="16"/>
          <w:szCs w:val="16"/>
        </w:rPr>
      </w:pPr>
      <w:r w:rsidRPr="007F313C">
        <w:rPr>
          <w:rStyle w:val="Refdenotaalpie"/>
          <w:sz w:val="16"/>
          <w:szCs w:val="16"/>
        </w:rPr>
        <w:footnoteRef/>
      </w:r>
      <w:r w:rsidRPr="007F313C">
        <w:rPr>
          <w:sz w:val="16"/>
          <w:szCs w:val="16"/>
        </w:rPr>
        <w:t xml:space="preserve"> </w:t>
      </w:r>
      <w:r w:rsidRPr="007F313C">
        <w:rPr>
          <w:sz w:val="16"/>
          <w:szCs w:val="16"/>
        </w:rPr>
        <w:tab/>
      </w:r>
      <w:r w:rsidRPr="007F313C">
        <w:rPr>
          <w:rFonts w:cs="Arial"/>
          <w:sz w:val="16"/>
          <w:szCs w:val="16"/>
        </w:rPr>
        <w:t>Defensoría del Pueblo, declaración de Jimmy Guerrero</w:t>
      </w:r>
      <w:r>
        <w:rPr>
          <w:rFonts w:cs="Arial"/>
          <w:sz w:val="16"/>
          <w:szCs w:val="16"/>
        </w:rPr>
        <w:t xml:space="preserve"> de </w:t>
      </w:r>
      <w:r w:rsidRPr="007F313C">
        <w:rPr>
          <w:rFonts w:cs="Arial"/>
          <w:sz w:val="16"/>
          <w:szCs w:val="16"/>
        </w:rPr>
        <w:t>18 de febrero de 2003</w:t>
      </w:r>
      <w:r>
        <w:rPr>
          <w:rFonts w:cs="Arial"/>
          <w:sz w:val="16"/>
          <w:szCs w:val="16"/>
        </w:rPr>
        <w:t xml:space="preserve"> (e</w:t>
      </w:r>
      <w:r w:rsidRPr="007F313C">
        <w:rPr>
          <w:rFonts w:cs="Arial"/>
          <w:sz w:val="16"/>
          <w:szCs w:val="16"/>
        </w:rPr>
        <w:t>xpediente de prueba, anexo 9 al Informe de Fondo, f. 1729</w:t>
      </w:r>
      <w:r>
        <w:rPr>
          <w:rFonts w:cs="Arial"/>
          <w:sz w:val="16"/>
          <w:szCs w:val="16"/>
        </w:rPr>
        <w:t>)</w:t>
      </w:r>
      <w:r w:rsidRPr="007F313C">
        <w:rPr>
          <w:rFonts w:cs="Arial"/>
          <w:sz w:val="16"/>
          <w:szCs w:val="16"/>
        </w:rPr>
        <w:t xml:space="preserve">. </w:t>
      </w:r>
    </w:p>
    <w:p w14:paraId="5504FE57" w14:textId="77777777" w:rsidR="0087743B" w:rsidRPr="007F313C" w:rsidRDefault="0087743B" w:rsidP="00685A14">
      <w:pPr>
        <w:adjustRightInd w:val="0"/>
        <w:jc w:val="both"/>
        <w:rPr>
          <w:sz w:val="16"/>
          <w:szCs w:val="16"/>
        </w:rPr>
      </w:pPr>
    </w:p>
  </w:footnote>
  <w:footnote w:id="58">
    <w:p w14:paraId="3B9E2746" w14:textId="77777777" w:rsidR="0087743B" w:rsidRPr="007F313C" w:rsidRDefault="0087743B" w:rsidP="00685A14">
      <w:pPr>
        <w:pStyle w:val="Textonotapie"/>
        <w:jc w:val="both"/>
        <w:rPr>
          <w:rFonts w:ascii="Verdana" w:hAnsi="Verdana"/>
          <w:b/>
          <w:sz w:val="16"/>
          <w:szCs w:val="16"/>
        </w:rPr>
      </w:pPr>
      <w:r w:rsidRPr="00703661">
        <w:rPr>
          <w:rStyle w:val="Refdenotaalpie"/>
          <w:rFonts w:ascii="Verdana" w:hAnsi="Verdana"/>
          <w:sz w:val="16"/>
          <w:szCs w:val="16"/>
        </w:rPr>
        <w:footnoteRef/>
      </w:r>
      <w:r w:rsidRPr="00703661">
        <w:rPr>
          <w:rFonts w:ascii="Verdana" w:hAnsi="Verdana"/>
          <w:sz w:val="16"/>
          <w:szCs w:val="16"/>
        </w:rPr>
        <w:t xml:space="preserve">  </w:t>
      </w:r>
      <w:r w:rsidRPr="00703661">
        <w:rPr>
          <w:rFonts w:ascii="Verdana" w:hAnsi="Verdana"/>
          <w:sz w:val="16"/>
          <w:szCs w:val="16"/>
        </w:rPr>
        <w:tab/>
      </w:r>
      <w:r w:rsidRPr="007F313C">
        <w:rPr>
          <w:rFonts w:ascii="Verdana" w:hAnsi="Verdana"/>
          <w:sz w:val="16"/>
          <w:szCs w:val="16"/>
        </w:rPr>
        <w:t>Los representantes señalaron que Jimmy Guerrero fue detenido “del 17 al 18 de febrero de 2003”</w:t>
      </w:r>
      <w:r w:rsidRPr="00F55065">
        <w:rPr>
          <w:rFonts w:ascii="Verdana" w:hAnsi="Verdana"/>
          <w:sz w:val="16"/>
          <w:szCs w:val="16"/>
        </w:rPr>
        <w:t>.</w:t>
      </w:r>
    </w:p>
    <w:p w14:paraId="3D556FD6" w14:textId="77777777" w:rsidR="0087743B" w:rsidRPr="007F313C" w:rsidRDefault="0087743B" w:rsidP="00685A14">
      <w:pPr>
        <w:pStyle w:val="Textonotapie"/>
        <w:jc w:val="both"/>
        <w:rPr>
          <w:rFonts w:ascii="Verdana" w:hAnsi="Verdana"/>
          <w:sz w:val="16"/>
          <w:szCs w:val="16"/>
        </w:rPr>
      </w:pPr>
    </w:p>
  </w:footnote>
  <w:footnote w:id="59">
    <w:p w14:paraId="11B0428E" w14:textId="77777777" w:rsidR="0087743B" w:rsidRPr="007F313C" w:rsidRDefault="0087743B" w:rsidP="00685A14">
      <w:pPr>
        <w:pStyle w:val="Textonotapie"/>
        <w:jc w:val="both"/>
        <w:rPr>
          <w:rFonts w:ascii="Verdana" w:hAnsi="Verdana" w:cs="Times New Roman"/>
          <w:bCs/>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cs="Times New Roman"/>
          <w:bCs/>
          <w:sz w:val="16"/>
          <w:szCs w:val="16"/>
        </w:rPr>
        <w:t xml:space="preserve">Defensoría del Pueblo. Informe de médico legal </w:t>
      </w:r>
      <w:r>
        <w:rPr>
          <w:rFonts w:ascii="Verdana" w:hAnsi="Verdana" w:cs="Times New Roman"/>
          <w:bCs/>
          <w:sz w:val="16"/>
          <w:szCs w:val="16"/>
        </w:rPr>
        <w:t xml:space="preserve">respecto </w:t>
      </w:r>
      <w:r w:rsidRPr="007F313C">
        <w:rPr>
          <w:rFonts w:ascii="Verdana" w:hAnsi="Verdana" w:cs="Times New Roman"/>
          <w:bCs/>
          <w:sz w:val="16"/>
          <w:szCs w:val="16"/>
        </w:rPr>
        <w:t>de Jimmy Guerrero</w:t>
      </w:r>
      <w:r>
        <w:rPr>
          <w:rFonts w:ascii="Verdana" w:hAnsi="Verdana" w:cs="Times New Roman"/>
          <w:bCs/>
          <w:sz w:val="16"/>
          <w:szCs w:val="16"/>
        </w:rPr>
        <w:t xml:space="preserve"> de </w:t>
      </w:r>
      <w:r w:rsidRPr="007F313C">
        <w:rPr>
          <w:rFonts w:ascii="Verdana" w:hAnsi="Verdana" w:cs="Times New Roman"/>
          <w:bCs/>
          <w:sz w:val="16"/>
          <w:szCs w:val="16"/>
        </w:rPr>
        <w:t>19 de febrero de 2003</w:t>
      </w:r>
      <w:r>
        <w:rPr>
          <w:rFonts w:ascii="Verdana" w:hAnsi="Verdana" w:cs="Times New Roman"/>
          <w:bCs/>
          <w:sz w:val="16"/>
          <w:szCs w:val="16"/>
        </w:rPr>
        <w:t xml:space="preserve"> (expediente de prueba,</w:t>
      </w:r>
      <w:r w:rsidRPr="007F313C">
        <w:rPr>
          <w:rFonts w:ascii="Verdana" w:hAnsi="Verdana" w:cs="Times New Roman"/>
          <w:bCs/>
          <w:sz w:val="16"/>
          <w:szCs w:val="16"/>
        </w:rPr>
        <w:t xml:space="preserve"> </w:t>
      </w:r>
      <w:r>
        <w:rPr>
          <w:rFonts w:ascii="Verdana" w:hAnsi="Verdana" w:cs="Times New Roman"/>
          <w:bCs/>
          <w:sz w:val="16"/>
          <w:szCs w:val="16"/>
        </w:rPr>
        <w:t>a</w:t>
      </w:r>
      <w:r w:rsidRPr="007F313C">
        <w:rPr>
          <w:rFonts w:ascii="Verdana" w:hAnsi="Verdana" w:cs="Times New Roman"/>
          <w:bCs/>
          <w:sz w:val="16"/>
          <w:szCs w:val="16"/>
        </w:rPr>
        <w:t>nexo 12 al Informe de Fondo</w:t>
      </w:r>
      <w:r>
        <w:rPr>
          <w:rFonts w:ascii="Verdana" w:hAnsi="Verdana" w:cs="Times New Roman"/>
          <w:bCs/>
          <w:sz w:val="16"/>
          <w:szCs w:val="16"/>
        </w:rPr>
        <w:t>, f. 1736)</w:t>
      </w:r>
      <w:r w:rsidRPr="007F313C">
        <w:rPr>
          <w:rFonts w:ascii="Verdana" w:hAnsi="Verdana" w:cs="Times New Roman"/>
          <w:bCs/>
          <w:sz w:val="16"/>
          <w:szCs w:val="16"/>
        </w:rPr>
        <w:t>.</w:t>
      </w:r>
    </w:p>
    <w:p w14:paraId="31F604F3" w14:textId="77777777" w:rsidR="0087743B" w:rsidRPr="007F313C" w:rsidRDefault="0087743B" w:rsidP="00685A14">
      <w:pPr>
        <w:pStyle w:val="Textonotapie"/>
        <w:jc w:val="both"/>
        <w:rPr>
          <w:rFonts w:ascii="Verdana" w:hAnsi="Verdana"/>
          <w:sz w:val="16"/>
          <w:szCs w:val="16"/>
        </w:rPr>
      </w:pPr>
    </w:p>
  </w:footnote>
  <w:footnote w:id="60">
    <w:p w14:paraId="46289D11" w14:textId="6A94C5AB" w:rsidR="0087743B" w:rsidRDefault="0087743B" w:rsidP="00685A14">
      <w:pPr>
        <w:pStyle w:val="Textonotapie"/>
        <w:jc w:val="both"/>
        <w:rPr>
          <w:rFonts w:ascii="Verdana" w:hAnsi="Verdana" w:cs="Times New Roman"/>
          <w:bCs/>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Pr>
          <w:rFonts w:ascii="Verdana" w:hAnsi="Verdana"/>
          <w:sz w:val="16"/>
          <w:szCs w:val="16"/>
        </w:rPr>
        <w:t xml:space="preserve">Defensoría del Pueblo, nota DP/ 00363-03, de 25 de febrero de 2003, dirigida a la Fiscalía Superior, con “Atención” a la Fiscalía 2 (expediente de prueba, anexo 13 al Informe de Fondo, fs. 1738 y 1739); </w:t>
      </w:r>
      <w:r w:rsidRPr="007F313C">
        <w:rPr>
          <w:rFonts w:ascii="Verdana" w:hAnsi="Verdana"/>
          <w:sz w:val="16"/>
          <w:szCs w:val="16"/>
        </w:rPr>
        <w:t>Defensoría del Pueblo,</w:t>
      </w:r>
      <w:r>
        <w:rPr>
          <w:rFonts w:ascii="Verdana" w:hAnsi="Verdana"/>
          <w:sz w:val="16"/>
          <w:szCs w:val="16"/>
        </w:rPr>
        <w:t xml:space="preserve"> nota </w:t>
      </w:r>
      <w:r w:rsidRPr="007F313C">
        <w:rPr>
          <w:rFonts w:ascii="Verdana" w:hAnsi="Verdana"/>
          <w:sz w:val="16"/>
          <w:szCs w:val="16"/>
        </w:rPr>
        <w:t>DP/DDEF No. 00388-03, de 26 de febrero de 2003, recibid</w:t>
      </w:r>
      <w:r>
        <w:rPr>
          <w:rFonts w:ascii="Verdana" w:hAnsi="Verdana"/>
          <w:sz w:val="16"/>
          <w:szCs w:val="16"/>
        </w:rPr>
        <w:t>a</w:t>
      </w:r>
      <w:r w:rsidRPr="007F313C">
        <w:rPr>
          <w:rFonts w:ascii="Verdana" w:hAnsi="Verdana"/>
          <w:sz w:val="16"/>
          <w:szCs w:val="16"/>
        </w:rPr>
        <w:t xml:space="preserve"> por la Fiscalía </w:t>
      </w:r>
      <w:r>
        <w:rPr>
          <w:rFonts w:ascii="Verdana" w:hAnsi="Verdana"/>
          <w:sz w:val="16"/>
          <w:szCs w:val="16"/>
        </w:rPr>
        <w:t>2</w:t>
      </w:r>
      <w:r w:rsidRPr="007F313C">
        <w:rPr>
          <w:rFonts w:ascii="Verdana" w:hAnsi="Verdana"/>
          <w:sz w:val="16"/>
          <w:szCs w:val="16"/>
        </w:rPr>
        <w:t xml:space="preserve"> el 27 de febrero de 2003</w:t>
      </w:r>
      <w:r>
        <w:rPr>
          <w:rFonts w:ascii="Verdana" w:hAnsi="Verdana"/>
          <w:sz w:val="16"/>
          <w:szCs w:val="16"/>
        </w:rPr>
        <w:t xml:space="preserve"> (e</w:t>
      </w:r>
      <w:r w:rsidRPr="007F313C">
        <w:rPr>
          <w:rFonts w:ascii="Verdana" w:hAnsi="Verdana"/>
          <w:sz w:val="16"/>
          <w:szCs w:val="16"/>
        </w:rPr>
        <w:t>xpediente de prueba, anexo 14 al Informe de Fondo, f. 1741</w:t>
      </w:r>
      <w:r>
        <w:rPr>
          <w:rFonts w:ascii="Verdana" w:hAnsi="Verdana"/>
          <w:sz w:val="16"/>
          <w:szCs w:val="16"/>
        </w:rPr>
        <w:t xml:space="preserve">), y </w:t>
      </w:r>
      <w:r w:rsidRPr="007F313C">
        <w:rPr>
          <w:rFonts w:ascii="Verdana" w:hAnsi="Verdana" w:cs="Times New Roman"/>
          <w:bCs/>
          <w:sz w:val="16"/>
          <w:szCs w:val="16"/>
        </w:rPr>
        <w:t>Defensoría del Pueblo</w:t>
      </w:r>
      <w:r>
        <w:rPr>
          <w:rFonts w:ascii="Verdana" w:hAnsi="Verdana" w:cs="Times New Roman"/>
          <w:bCs/>
          <w:sz w:val="16"/>
          <w:szCs w:val="16"/>
        </w:rPr>
        <w:t>, nota DP/DDEF No. 00502-03, de 10 de marzo de 2003, recibida por la Fiscalía 2 el día siguiente (expediente de prueba, a</w:t>
      </w:r>
      <w:r w:rsidRPr="007F313C">
        <w:rPr>
          <w:rFonts w:ascii="Verdana" w:hAnsi="Verdana" w:cs="Times New Roman"/>
          <w:bCs/>
          <w:sz w:val="16"/>
          <w:szCs w:val="16"/>
        </w:rPr>
        <w:t>nexo 16 al Informe de Fondo</w:t>
      </w:r>
      <w:r>
        <w:rPr>
          <w:rFonts w:ascii="Verdana" w:hAnsi="Verdana" w:cs="Times New Roman"/>
          <w:bCs/>
          <w:sz w:val="16"/>
          <w:szCs w:val="16"/>
        </w:rPr>
        <w:t>, f. 1745).</w:t>
      </w:r>
    </w:p>
    <w:p w14:paraId="1F1E7742" w14:textId="77777777" w:rsidR="0087743B" w:rsidRPr="007F313C" w:rsidRDefault="0087743B" w:rsidP="00685A14">
      <w:pPr>
        <w:pStyle w:val="Textonotapie"/>
        <w:jc w:val="both"/>
        <w:rPr>
          <w:rFonts w:ascii="Verdana" w:hAnsi="Verdana"/>
          <w:sz w:val="16"/>
          <w:szCs w:val="16"/>
        </w:rPr>
      </w:pPr>
    </w:p>
  </w:footnote>
  <w:footnote w:id="61">
    <w:p w14:paraId="6ED1EFE6" w14:textId="0C754F27" w:rsidR="0087743B" w:rsidRPr="007F313C" w:rsidRDefault="0087743B" w:rsidP="00685A14">
      <w:pPr>
        <w:pStyle w:val="Textonotapie"/>
        <w:jc w:val="both"/>
        <w:rPr>
          <w:rFonts w:ascii="Verdana" w:hAnsi="Verdana" w:cs="Times New Roman"/>
          <w:bCs/>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cs="Times New Roman"/>
          <w:bCs/>
          <w:sz w:val="16"/>
          <w:szCs w:val="16"/>
        </w:rPr>
        <w:t>Defensoría del Pueblo</w:t>
      </w:r>
      <w:r>
        <w:rPr>
          <w:rFonts w:ascii="Verdana" w:hAnsi="Verdana" w:cs="Times New Roman"/>
          <w:bCs/>
          <w:sz w:val="16"/>
          <w:szCs w:val="16"/>
        </w:rPr>
        <w:t>, d</w:t>
      </w:r>
      <w:r w:rsidRPr="007F313C">
        <w:rPr>
          <w:rFonts w:ascii="Verdana" w:hAnsi="Verdana" w:cs="Times New Roman"/>
          <w:bCs/>
          <w:sz w:val="16"/>
          <w:szCs w:val="16"/>
        </w:rPr>
        <w:t>eclaración de Jimmy Guerrero</w:t>
      </w:r>
      <w:r>
        <w:rPr>
          <w:rFonts w:ascii="Verdana" w:hAnsi="Verdana" w:cs="Times New Roman"/>
          <w:bCs/>
          <w:sz w:val="16"/>
          <w:szCs w:val="16"/>
        </w:rPr>
        <w:t xml:space="preserve"> de </w:t>
      </w:r>
      <w:r w:rsidRPr="007F313C">
        <w:rPr>
          <w:rFonts w:ascii="Verdana" w:hAnsi="Verdana" w:cs="Times New Roman"/>
          <w:bCs/>
          <w:sz w:val="16"/>
          <w:szCs w:val="16"/>
        </w:rPr>
        <w:t>6 de marzo de 2003</w:t>
      </w:r>
      <w:r>
        <w:rPr>
          <w:rFonts w:ascii="Verdana" w:hAnsi="Verdana" w:cs="Times New Roman"/>
          <w:bCs/>
          <w:sz w:val="16"/>
          <w:szCs w:val="16"/>
        </w:rPr>
        <w:t xml:space="preserve"> (expediente de prueba, anexo 15 al Informe de Fondo, f. 1743), y </w:t>
      </w:r>
      <w:r w:rsidRPr="007F313C">
        <w:rPr>
          <w:rFonts w:ascii="Verdana" w:hAnsi="Verdana" w:cs="Times New Roman"/>
          <w:bCs/>
          <w:sz w:val="16"/>
          <w:szCs w:val="16"/>
        </w:rPr>
        <w:t>Defensoría del Pueblo</w:t>
      </w:r>
      <w:r>
        <w:rPr>
          <w:rFonts w:ascii="Verdana" w:hAnsi="Verdana" w:cs="Times New Roman"/>
          <w:bCs/>
          <w:sz w:val="16"/>
          <w:szCs w:val="16"/>
        </w:rPr>
        <w:t>, nota DP/DDEF No. 00502-03, de 10 de marzo de 2003, recibida por la Fiscalía 2 el día siguiente.</w:t>
      </w:r>
    </w:p>
    <w:p w14:paraId="06ED2AFE" w14:textId="77777777" w:rsidR="0087743B" w:rsidRPr="007F313C" w:rsidRDefault="0087743B" w:rsidP="00685A14">
      <w:pPr>
        <w:pStyle w:val="Textonotapie"/>
        <w:jc w:val="both"/>
        <w:rPr>
          <w:rFonts w:ascii="Verdana" w:hAnsi="Verdana"/>
          <w:sz w:val="16"/>
          <w:szCs w:val="16"/>
        </w:rPr>
      </w:pPr>
    </w:p>
  </w:footnote>
  <w:footnote w:id="62">
    <w:p w14:paraId="5396FD0E" w14:textId="248D41A8" w:rsidR="0087743B" w:rsidRDefault="0087743B" w:rsidP="00685A14">
      <w:pPr>
        <w:pStyle w:val="Textonotapie"/>
        <w:jc w:val="both"/>
        <w:rPr>
          <w:rFonts w:ascii="Verdana" w:hAnsi="Verdana" w:cs="Times New Roman"/>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F55065">
        <w:rPr>
          <w:rFonts w:ascii="Verdana" w:hAnsi="Verdana"/>
          <w:sz w:val="16"/>
          <w:szCs w:val="16"/>
        </w:rPr>
        <w:t>Declaración de Jean Carlos Guerrero de 4 de abril de 2016, recibida por la Comisión Interamericana en audiencia pública</w:t>
      </w:r>
      <w:r>
        <w:rPr>
          <w:rFonts w:ascii="Verdana" w:hAnsi="Verdana" w:cs="Times New Roman"/>
          <w:sz w:val="16"/>
          <w:szCs w:val="16"/>
        </w:rPr>
        <w:t xml:space="preserve">. </w:t>
      </w:r>
    </w:p>
    <w:p w14:paraId="6276F76C" w14:textId="77777777" w:rsidR="0087743B" w:rsidRPr="007F313C" w:rsidRDefault="0087743B" w:rsidP="00685A14">
      <w:pPr>
        <w:pStyle w:val="Textonotapie"/>
        <w:jc w:val="both"/>
        <w:rPr>
          <w:rFonts w:ascii="Verdana" w:hAnsi="Verdana"/>
          <w:sz w:val="16"/>
          <w:szCs w:val="16"/>
        </w:rPr>
      </w:pPr>
    </w:p>
  </w:footnote>
  <w:footnote w:id="63">
    <w:p w14:paraId="08FED550" w14:textId="3FD36DA3"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Cfr</w:t>
      </w:r>
      <w:r w:rsidRPr="007F313C">
        <w:rPr>
          <w:rFonts w:ascii="Verdana" w:hAnsi="Verdana"/>
          <w:sz w:val="16"/>
          <w:szCs w:val="16"/>
        </w:rPr>
        <w:t>., respecto al lugar en que sucedieron los hechos</w:t>
      </w:r>
      <w:r>
        <w:rPr>
          <w:rFonts w:ascii="Verdana" w:hAnsi="Verdana"/>
          <w:sz w:val="16"/>
          <w:szCs w:val="16"/>
        </w:rPr>
        <w:t>,</w:t>
      </w:r>
      <w:r w:rsidRPr="007F313C">
        <w:rPr>
          <w:rFonts w:ascii="Verdana" w:hAnsi="Verdana"/>
          <w:sz w:val="16"/>
          <w:szCs w:val="16"/>
        </w:rPr>
        <w:t xml:space="preserve"> Tribunal</w:t>
      </w:r>
      <w:r>
        <w:rPr>
          <w:rFonts w:ascii="Verdana" w:hAnsi="Verdana"/>
          <w:sz w:val="16"/>
          <w:szCs w:val="16"/>
        </w:rPr>
        <w:t xml:space="preserve"> Penal de Control de Punto Fijo,</w:t>
      </w:r>
      <w:r w:rsidRPr="007F313C">
        <w:rPr>
          <w:rFonts w:ascii="Verdana" w:hAnsi="Verdana"/>
          <w:sz w:val="16"/>
          <w:szCs w:val="16"/>
        </w:rPr>
        <w:t xml:space="preserve"> Auto de admisión de control de prueba ant</w:t>
      </w:r>
      <w:r>
        <w:rPr>
          <w:rFonts w:ascii="Verdana" w:hAnsi="Verdana"/>
          <w:sz w:val="16"/>
          <w:szCs w:val="16"/>
        </w:rPr>
        <w:t>icipada de 4 de abril de 2003 (e</w:t>
      </w:r>
      <w:r w:rsidRPr="007F313C">
        <w:rPr>
          <w:rFonts w:ascii="Verdana" w:hAnsi="Verdana"/>
          <w:sz w:val="16"/>
          <w:szCs w:val="16"/>
        </w:rPr>
        <w:t>xpediente de prueba, anexo 30 al Informe de Fondo, fs. 1794 y 1795</w:t>
      </w:r>
      <w:r>
        <w:rPr>
          <w:rFonts w:ascii="Verdana" w:hAnsi="Verdana"/>
          <w:sz w:val="16"/>
          <w:szCs w:val="16"/>
        </w:rPr>
        <w:t>).</w:t>
      </w:r>
      <w:r w:rsidRPr="007F313C">
        <w:rPr>
          <w:rFonts w:ascii="Verdana" w:hAnsi="Verdana"/>
          <w:sz w:val="16"/>
          <w:szCs w:val="16"/>
        </w:rPr>
        <w:t xml:space="preserve"> </w:t>
      </w:r>
    </w:p>
  </w:footnote>
  <w:footnote w:id="64">
    <w:p w14:paraId="334A00D5" w14:textId="77777777" w:rsidR="0087743B" w:rsidRPr="007F313C" w:rsidRDefault="0087743B" w:rsidP="00685A14">
      <w:pPr>
        <w:pStyle w:val="Textonotapie"/>
        <w:jc w:val="both"/>
        <w:rPr>
          <w:rFonts w:ascii="Verdana" w:hAnsi="Verdana"/>
          <w:sz w:val="16"/>
          <w:szCs w:val="16"/>
        </w:rPr>
      </w:pPr>
    </w:p>
    <w:p w14:paraId="390EA9A5" w14:textId="77777777" w:rsidR="0087743B"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Respecto a la cantidad de personas que integraron el grupo que efectuó el ataque contra los señores Guerrero, Molina y J.L., el señor J.L. manifestó que vio </w:t>
      </w:r>
      <w:r>
        <w:rPr>
          <w:rFonts w:ascii="Verdana" w:hAnsi="Verdana"/>
          <w:sz w:val="16"/>
          <w:szCs w:val="16"/>
        </w:rPr>
        <w:t>cuatro</w:t>
      </w:r>
      <w:r w:rsidRPr="007F313C">
        <w:rPr>
          <w:rFonts w:ascii="Verdana" w:hAnsi="Verdana"/>
          <w:sz w:val="16"/>
          <w:szCs w:val="16"/>
        </w:rPr>
        <w:t xml:space="preserve">, y un testigo presencial </w:t>
      </w:r>
      <w:r>
        <w:rPr>
          <w:rFonts w:ascii="Verdana" w:hAnsi="Verdana"/>
          <w:sz w:val="16"/>
          <w:szCs w:val="16"/>
        </w:rPr>
        <w:t xml:space="preserve">aludió a </w:t>
      </w:r>
      <w:r w:rsidRPr="007F313C">
        <w:rPr>
          <w:rFonts w:ascii="Verdana" w:hAnsi="Verdana"/>
          <w:sz w:val="16"/>
          <w:szCs w:val="16"/>
        </w:rPr>
        <w:t xml:space="preserve">dos hombres </w:t>
      </w:r>
      <w:r w:rsidRPr="00542071">
        <w:rPr>
          <w:rFonts w:ascii="Verdana" w:hAnsi="Verdana"/>
          <w:sz w:val="16"/>
          <w:szCs w:val="16"/>
        </w:rPr>
        <w:t>(</w:t>
      </w:r>
      <w:r w:rsidRPr="00F55065">
        <w:rPr>
          <w:rFonts w:ascii="Verdana" w:hAnsi="Verdana"/>
          <w:i/>
          <w:sz w:val="16"/>
          <w:szCs w:val="16"/>
        </w:rPr>
        <w:t xml:space="preserve">cfr. </w:t>
      </w:r>
      <w:r>
        <w:rPr>
          <w:rFonts w:ascii="Verdana" w:hAnsi="Verdana"/>
          <w:sz w:val="16"/>
          <w:szCs w:val="16"/>
        </w:rPr>
        <w:t>Tribunal Penal de Control de Punto Fijo, Acta de 5 de abril de 2003, declaración de J.L</w:t>
      </w:r>
      <w:r w:rsidRPr="00542071">
        <w:rPr>
          <w:rFonts w:ascii="Verdana" w:hAnsi="Verdana"/>
          <w:sz w:val="16"/>
          <w:szCs w:val="16"/>
        </w:rPr>
        <w:t>. (expediente de prueba, anexo</w:t>
      </w:r>
      <w:r>
        <w:rPr>
          <w:rFonts w:ascii="Verdana" w:hAnsi="Verdana"/>
          <w:sz w:val="16"/>
          <w:szCs w:val="16"/>
        </w:rPr>
        <w:t xml:space="preserve"> </w:t>
      </w:r>
      <w:r w:rsidRPr="00542071">
        <w:rPr>
          <w:rFonts w:ascii="Verdana" w:hAnsi="Verdana"/>
          <w:sz w:val="16"/>
          <w:szCs w:val="16"/>
        </w:rPr>
        <w:t>31 al Informe de Fondo, fs. 1797 a 1800)</w:t>
      </w:r>
      <w:r>
        <w:rPr>
          <w:rFonts w:ascii="Verdana" w:hAnsi="Verdana"/>
          <w:sz w:val="16"/>
          <w:szCs w:val="16"/>
        </w:rPr>
        <w:t xml:space="preserve">, y </w:t>
      </w:r>
      <w:r>
        <w:rPr>
          <w:rFonts w:ascii="Verdana" w:hAnsi="Verdana" w:cs="Times New Roman"/>
          <w:sz w:val="16"/>
          <w:szCs w:val="16"/>
        </w:rPr>
        <w:t xml:space="preserve">CICPC, Acta de entrevista a M. </w:t>
      </w:r>
      <w:r w:rsidRPr="007F313C">
        <w:rPr>
          <w:rFonts w:ascii="Verdana" w:hAnsi="Verdana" w:cs="Times New Roman"/>
          <w:sz w:val="16"/>
          <w:szCs w:val="16"/>
        </w:rPr>
        <w:t xml:space="preserve">D. </w:t>
      </w:r>
      <w:r>
        <w:rPr>
          <w:rFonts w:ascii="Verdana" w:hAnsi="Verdana" w:cs="Times New Roman"/>
          <w:sz w:val="16"/>
          <w:szCs w:val="16"/>
        </w:rPr>
        <w:t>de 2 de abril de 2003 (e</w:t>
      </w:r>
      <w:r w:rsidRPr="007F313C">
        <w:rPr>
          <w:rFonts w:ascii="Verdana" w:hAnsi="Verdana" w:cs="Times New Roman"/>
          <w:sz w:val="16"/>
          <w:szCs w:val="16"/>
        </w:rPr>
        <w:t>xpediente de prueba, anexo 32 al Informe de Fondo, fs. 1802 a 1806</w:t>
      </w:r>
      <w:r>
        <w:rPr>
          <w:rFonts w:ascii="Verdana" w:hAnsi="Verdana" w:cs="Times New Roman"/>
          <w:sz w:val="16"/>
          <w:szCs w:val="16"/>
        </w:rPr>
        <w:t>))</w:t>
      </w:r>
      <w:r w:rsidRPr="007F313C">
        <w:rPr>
          <w:rFonts w:ascii="Verdana" w:hAnsi="Verdana" w:cs="Times New Roman"/>
          <w:sz w:val="16"/>
          <w:szCs w:val="16"/>
        </w:rPr>
        <w:t>.</w:t>
      </w:r>
    </w:p>
    <w:p w14:paraId="028EF69D" w14:textId="77777777" w:rsidR="0087743B" w:rsidRPr="007F313C" w:rsidRDefault="0087743B" w:rsidP="00685A14">
      <w:pPr>
        <w:pStyle w:val="Textonotapie"/>
        <w:jc w:val="both"/>
        <w:rPr>
          <w:rFonts w:ascii="Verdana" w:hAnsi="Verdana"/>
          <w:sz w:val="16"/>
          <w:szCs w:val="16"/>
        </w:rPr>
      </w:pPr>
    </w:p>
  </w:footnote>
  <w:footnote w:id="65">
    <w:p w14:paraId="41978614" w14:textId="7DCEDD21" w:rsidR="0087743B" w:rsidRPr="007F313C" w:rsidRDefault="0087743B" w:rsidP="00685A14">
      <w:pPr>
        <w:adjustRightInd w:val="0"/>
        <w:jc w:val="both"/>
        <w:rPr>
          <w:rFonts w:cs="Times New Roman"/>
          <w:sz w:val="16"/>
          <w:szCs w:val="16"/>
        </w:rPr>
      </w:pPr>
      <w:r w:rsidRPr="007F313C">
        <w:rPr>
          <w:rStyle w:val="Refdenotaalpie"/>
          <w:sz w:val="16"/>
          <w:szCs w:val="16"/>
        </w:rPr>
        <w:footnoteRef/>
      </w:r>
      <w:r w:rsidRPr="007F313C">
        <w:rPr>
          <w:sz w:val="16"/>
          <w:szCs w:val="16"/>
        </w:rPr>
        <w:t xml:space="preserve"> </w:t>
      </w:r>
      <w:r w:rsidRPr="007F313C">
        <w:rPr>
          <w:sz w:val="16"/>
          <w:szCs w:val="16"/>
        </w:rPr>
        <w:tab/>
      </w:r>
      <w:r>
        <w:rPr>
          <w:i/>
          <w:sz w:val="16"/>
          <w:szCs w:val="16"/>
        </w:rPr>
        <w:t>C</w:t>
      </w:r>
      <w:r w:rsidRPr="00061D92">
        <w:rPr>
          <w:i/>
          <w:sz w:val="16"/>
          <w:szCs w:val="16"/>
        </w:rPr>
        <w:t xml:space="preserve">fr. </w:t>
      </w:r>
      <w:r>
        <w:rPr>
          <w:sz w:val="16"/>
          <w:szCs w:val="16"/>
        </w:rPr>
        <w:t>Tribunal Penal de Control de Punto Fijo, Acta de 5 de abril de 2003, declaración de J.L</w:t>
      </w:r>
      <w:r w:rsidRPr="007F313C">
        <w:rPr>
          <w:rFonts w:cs="Times New Roman"/>
          <w:sz w:val="16"/>
          <w:szCs w:val="16"/>
        </w:rPr>
        <w:t xml:space="preserve">. </w:t>
      </w:r>
      <w:r>
        <w:rPr>
          <w:rFonts w:cs="Times New Roman"/>
          <w:sz w:val="16"/>
          <w:szCs w:val="16"/>
        </w:rPr>
        <w:t>S</w:t>
      </w:r>
      <w:r w:rsidRPr="007F313C">
        <w:rPr>
          <w:rFonts w:cs="Times New Roman"/>
          <w:sz w:val="16"/>
          <w:szCs w:val="16"/>
        </w:rPr>
        <w:t>e ha presentado una controversia respecto a la posibilidad de que el señor Guerrero permaneciera vivo luego de recibir el primer disparo. Ello se aborda más adelante (</w:t>
      </w:r>
      <w:r w:rsidRPr="007F313C">
        <w:rPr>
          <w:rFonts w:cs="Times New Roman"/>
          <w:i/>
          <w:sz w:val="16"/>
          <w:szCs w:val="16"/>
        </w:rPr>
        <w:t xml:space="preserve">infra </w:t>
      </w:r>
      <w:r w:rsidRPr="007F313C">
        <w:rPr>
          <w:rFonts w:cs="Times New Roman"/>
          <w:sz w:val="16"/>
          <w:szCs w:val="16"/>
        </w:rPr>
        <w:t>párr.</w:t>
      </w:r>
      <w:r>
        <w:rPr>
          <w:rFonts w:cs="Times New Roman"/>
          <w:sz w:val="16"/>
          <w:szCs w:val="16"/>
        </w:rPr>
        <w:t xml:space="preserve"> 126</w:t>
      </w:r>
      <w:r w:rsidRPr="007F313C">
        <w:rPr>
          <w:rFonts w:cs="Times New Roman"/>
          <w:sz w:val="16"/>
          <w:szCs w:val="16"/>
        </w:rPr>
        <w:t>).</w:t>
      </w:r>
    </w:p>
  </w:footnote>
  <w:footnote w:id="66">
    <w:p w14:paraId="6CFF8B13" w14:textId="77777777" w:rsidR="0087743B" w:rsidRPr="007F313C" w:rsidRDefault="0087743B" w:rsidP="00685A14">
      <w:pPr>
        <w:pStyle w:val="Textonotapie"/>
        <w:jc w:val="both"/>
        <w:rPr>
          <w:rFonts w:ascii="Verdana" w:hAnsi="Verdana"/>
          <w:sz w:val="16"/>
          <w:szCs w:val="16"/>
        </w:rPr>
      </w:pPr>
    </w:p>
    <w:p w14:paraId="228758A2" w14:textId="0CE969F3" w:rsidR="0087743B" w:rsidRPr="007F313C" w:rsidRDefault="0087743B" w:rsidP="00685A14">
      <w:pPr>
        <w:pStyle w:val="Textonotapie"/>
        <w:jc w:val="both"/>
        <w:rPr>
          <w:rFonts w:ascii="Verdana" w:hAnsi="Verdana" w:cs="Times New Roman"/>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Pr>
          <w:rFonts w:ascii="Verdana" w:hAnsi="Verdana" w:cs="Times New Roman"/>
          <w:sz w:val="16"/>
          <w:szCs w:val="16"/>
        </w:rPr>
        <w:t xml:space="preserve">CICPC, Acta de entrevista a M. </w:t>
      </w:r>
      <w:r w:rsidRPr="007F313C">
        <w:rPr>
          <w:rFonts w:ascii="Verdana" w:hAnsi="Verdana" w:cs="Times New Roman"/>
          <w:sz w:val="16"/>
          <w:szCs w:val="16"/>
        </w:rPr>
        <w:t xml:space="preserve">D. </w:t>
      </w:r>
      <w:r>
        <w:rPr>
          <w:rFonts w:ascii="Verdana" w:hAnsi="Verdana" w:cs="Times New Roman"/>
          <w:sz w:val="16"/>
          <w:szCs w:val="16"/>
        </w:rPr>
        <w:t>de 2 de abril de 2003</w:t>
      </w:r>
      <w:r w:rsidRPr="007F313C">
        <w:rPr>
          <w:rFonts w:ascii="Verdana" w:hAnsi="Verdana" w:cs="Times New Roman"/>
          <w:sz w:val="16"/>
          <w:szCs w:val="16"/>
        </w:rPr>
        <w:t xml:space="preserve">. </w:t>
      </w:r>
      <w:r w:rsidRPr="007F313C">
        <w:rPr>
          <w:rFonts w:ascii="Verdana" w:hAnsi="Verdana"/>
          <w:sz w:val="16"/>
          <w:szCs w:val="16"/>
        </w:rPr>
        <w:t>El testigo describió físicamente a los que identificó como los atacantes</w:t>
      </w:r>
      <w:r w:rsidRPr="007F313C">
        <w:rPr>
          <w:rFonts w:ascii="Verdana" w:hAnsi="Verdana" w:cs="Times New Roman"/>
          <w:sz w:val="16"/>
          <w:szCs w:val="16"/>
        </w:rPr>
        <w:t>. La Comisión, en el Informe de Fondo, expresó que “en[</w:t>
      </w:r>
      <w:proofErr w:type="spellStart"/>
      <w:r w:rsidRPr="007F313C">
        <w:rPr>
          <w:rFonts w:ascii="Verdana" w:hAnsi="Verdana" w:cs="Times New Roman"/>
          <w:sz w:val="16"/>
          <w:szCs w:val="16"/>
        </w:rPr>
        <w:t>contró</w:t>
      </w:r>
      <w:proofErr w:type="spellEnd"/>
      <w:r w:rsidRPr="007F313C">
        <w:rPr>
          <w:rFonts w:ascii="Verdana" w:hAnsi="Verdana" w:cs="Times New Roman"/>
          <w:sz w:val="16"/>
          <w:szCs w:val="16"/>
        </w:rPr>
        <w:t>] en el expediente otras declaraciones de testigos consistentes con el relato de la parte peticionaria en relación con el lugar del hallazgo de Jimmy Guerrero, la identificación del carro usado para comet</w:t>
      </w:r>
      <w:r>
        <w:rPr>
          <w:rFonts w:ascii="Verdana" w:hAnsi="Verdana" w:cs="Times New Roman"/>
          <w:sz w:val="16"/>
          <w:szCs w:val="16"/>
        </w:rPr>
        <w:t>e</w:t>
      </w:r>
      <w:r w:rsidRPr="007F313C">
        <w:rPr>
          <w:rFonts w:ascii="Verdana" w:hAnsi="Verdana" w:cs="Times New Roman"/>
          <w:sz w:val="16"/>
          <w:szCs w:val="16"/>
        </w:rPr>
        <w:t>r el asesinato y el arrastre de su cuerpo, y que, en general, notaron la dinámica de los hechos en los términos ya descritos”.</w:t>
      </w:r>
    </w:p>
  </w:footnote>
  <w:footnote w:id="67">
    <w:p w14:paraId="3D5FF4BA" w14:textId="77777777" w:rsidR="0087743B" w:rsidRPr="007F313C" w:rsidRDefault="0087743B" w:rsidP="00685A14">
      <w:pPr>
        <w:adjustRightInd w:val="0"/>
        <w:jc w:val="both"/>
        <w:rPr>
          <w:sz w:val="16"/>
          <w:szCs w:val="16"/>
        </w:rPr>
      </w:pPr>
    </w:p>
    <w:p w14:paraId="253C4E0D" w14:textId="2D052D0D" w:rsidR="0087743B" w:rsidRPr="007F313C" w:rsidRDefault="0087743B" w:rsidP="00685A14">
      <w:pPr>
        <w:adjustRightInd w:val="0"/>
        <w:jc w:val="both"/>
        <w:rPr>
          <w:rFonts w:cs="Times New Roman"/>
          <w:sz w:val="16"/>
          <w:szCs w:val="16"/>
        </w:rPr>
      </w:pPr>
      <w:r w:rsidRPr="007F313C">
        <w:rPr>
          <w:rStyle w:val="Refdenotaalpie"/>
          <w:sz w:val="16"/>
          <w:szCs w:val="16"/>
        </w:rPr>
        <w:footnoteRef/>
      </w:r>
      <w:r w:rsidRPr="007F313C">
        <w:rPr>
          <w:sz w:val="16"/>
          <w:szCs w:val="16"/>
        </w:rPr>
        <w:t xml:space="preserve"> </w:t>
      </w:r>
      <w:r w:rsidRPr="007F313C">
        <w:rPr>
          <w:sz w:val="16"/>
          <w:szCs w:val="16"/>
        </w:rPr>
        <w:tab/>
      </w:r>
      <w:r w:rsidRPr="00F55065">
        <w:rPr>
          <w:i/>
          <w:sz w:val="16"/>
          <w:szCs w:val="16"/>
        </w:rPr>
        <w:t>Cfr.</w:t>
      </w:r>
      <w:r>
        <w:rPr>
          <w:sz w:val="16"/>
          <w:szCs w:val="16"/>
        </w:rPr>
        <w:t xml:space="preserve"> Tribunal Penal de Control de Punto Fijo, Acta de 5 de abril de 2003, declaración de J.L</w:t>
      </w:r>
      <w:r w:rsidRPr="007F313C">
        <w:rPr>
          <w:rFonts w:cs="Times New Roman"/>
          <w:sz w:val="16"/>
          <w:szCs w:val="16"/>
        </w:rPr>
        <w:t>.</w:t>
      </w:r>
    </w:p>
  </w:footnote>
  <w:footnote w:id="68">
    <w:p w14:paraId="158B1155" w14:textId="77777777" w:rsidR="0087743B" w:rsidRPr="007F313C" w:rsidRDefault="0087743B" w:rsidP="00685A14">
      <w:pPr>
        <w:pStyle w:val="Textonotapie"/>
        <w:jc w:val="both"/>
        <w:rPr>
          <w:rFonts w:ascii="Verdana" w:hAnsi="Verdana"/>
          <w:sz w:val="16"/>
          <w:szCs w:val="16"/>
        </w:rPr>
      </w:pPr>
    </w:p>
    <w:p w14:paraId="13249DBB" w14:textId="77777777" w:rsidR="0087743B" w:rsidRPr="007F313C" w:rsidRDefault="0087743B" w:rsidP="00685A14">
      <w:pPr>
        <w:pStyle w:val="Textonotapie"/>
        <w:jc w:val="both"/>
        <w:rPr>
          <w:rFonts w:ascii="Verdana" w:hAnsi="Verdana" w:cs="Times New Roman"/>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F55065">
        <w:rPr>
          <w:rFonts w:ascii="Verdana" w:hAnsi="Verdana"/>
          <w:i/>
          <w:sz w:val="16"/>
          <w:szCs w:val="16"/>
        </w:rPr>
        <w:t>Cfr.</w:t>
      </w:r>
      <w:r>
        <w:rPr>
          <w:rFonts w:ascii="Verdana" w:hAnsi="Verdana"/>
          <w:sz w:val="16"/>
          <w:szCs w:val="16"/>
        </w:rPr>
        <w:t xml:space="preserve"> </w:t>
      </w:r>
      <w:r w:rsidRPr="007F313C">
        <w:rPr>
          <w:rFonts w:ascii="Verdana" w:hAnsi="Verdana" w:cs="Times New Roman"/>
          <w:sz w:val="16"/>
          <w:szCs w:val="16"/>
        </w:rPr>
        <w:t>Acta de Levantamiento de Cadáver</w:t>
      </w:r>
      <w:r>
        <w:rPr>
          <w:rFonts w:ascii="Verdana" w:hAnsi="Verdana" w:cs="Times New Roman"/>
          <w:sz w:val="16"/>
          <w:szCs w:val="16"/>
        </w:rPr>
        <w:t xml:space="preserve"> de </w:t>
      </w:r>
      <w:r w:rsidRPr="007F313C">
        <w:rPr>
          <w:rFonts w:ascii="Verdana" w:hAnsi="Verdana" w:cs="Times New Roman"/>
          <w:sz w:val="16"/>
          <w:szCs w:val="16"/>
        </w:rPr>
        <w:t>30 de marzo de 2003</w:t>
      </w:r>
      <w:r>
        <w:rPr>
          <w:rFonts w:ascii="Verdana" w:hAnsi="Verdana" w:cs="Times New Roman"/>
          <w:sz w:val="16"/>
          <w:szCs w:val="16"/>
        </w:rPr>
        <w:t xml:space="preserve"> (expediente de prueba, a</w:t>
      </w:r>
      <w:r w:rsidRPr="007F313C">
        <w:rPr>
          <w:rFonts w:ascii="Verdana" w:hAnsi="Verdana" w:cs="Times New Roman"/>
          <w:sz w:val="16"/>
          <w:szCs w:val="16"/>
        </w:rPr>
        <w:t>nexo 18 al Informe de Fondo</w:t>
      </w:r>
      <w:r>
        <w:rPr>
          <w:rFonts w:ascii="Verdana" w:hAnsi="Verdana" w:cs="Times New Roman"/>
          <w:sz w:val="16"/>
          <w:szCs w:val="16"/>
        </w:rPr>
        <w:t>, fs. 1750 a 1752)</w:t>
      </w:r>
      <w:r w:rsidRPr="007F313C">
        <w:rPr>
          <w:rFonts w:ascii="Verdana" w:hAnsi="Verdana" w:cs="Times New Roman"/>
          <w:sz w:val="16"/>
          <w:szCs w:val="16"/>
        </w:rPr>
        <w:t xml:space="preserve">. </w:t>
      </w:r>
      <w:r w:rsidRPr="007F313C">
        <w:rPr>
          <w:rFonts w:ascii="Verdana" w:hAnsi="Verdana"/>
          <w:sz w:val="16"/>
          <w:szCs w:val="16"/>
        </w:rPr>
        <w:t xml:space="preserve">Según el protocolo de autopsia, la muerte de Jimmy Guerrero fue </w:t>
      </w:r>
      <w:r>
        <w:rPr>
          <w:rFonts w:ascii="Verdana" w:hAnsi="Verdana"/>
          <w:sz w:val="16"/>
          <w:szCs w:val="16"/>
        </w:rPr>
        <w:t xml:space="preserve">causada por </w:t>
      </w:r>
      <w:r w:rsidRPr="007F313C">
        <w:rPr>
          <w:rFonts w:ascii="Verdana" w:hAnsi="Verdana"/>
          <w:sz w:val="16"/>
          <w:szCs w:val="16"/>
        </w:rPr>
        <w:t>"herida por proyectil disparado por arma de fuego". Asimismo, su cuerpo presentaba</w:t>
      </w:r>
      <w:r>
        <w:rPr>
          <w:rFonts w:ascii="Verdana" w:hAnsi="Verdana"/>
          <w:sz w:val="16"/>
          <w:szCs w:val="16"/>
        </w:rPr>
        <w:t>, entre otras lesiones,</w:t>
      </w:r>
      <w:r w:rsidRPr="007F313C">
        <w:rPr>
          <w:rFonts w:ascii="Verdana" w:hAnsi="Verdana"/>
          <w:sz w:val="16"/>
          <w:szCs w:val="16"/>
        </w:rPr>
        <w:t xml:space="preserve"> “extensas escoriaciones </w:t>
      </w:r>
      <w:r>
        <w:rPr>
          <w:rFonts w:ascii="Verdana" w:hAnsi="Verdana"/>
          <w:sz w:val="16"/>
          <w:szCs w:val="16"/>
        </w:rPr>
        <w:t xml:space="preserve">producida[s] por arrastre […] </w:t>
      </w:r>
      <w:r w:rsidRPr="007F313C">
        <w:rPr>
          <w:rFonts w:ascii="Verdana" w:hAnsi="Verdana"/>
          <w:sz w:val="16"/>
          <w:szCs w:val="16"/>
        </w:rPr>
        <w:t>con gran pérdida de pie</w:t>
      </w:r>
      <w:r>
        <w:rPr>
          <w:rFonts w:ascii="Verdana" w:hAnsi="Verdana"/>
          <w:sz w:val="16"/>
          <w:szCs w:val="16"/>
        </w:rPr>
        <w:t xml:space="preserve">l” </w:t>
      </w:r>
      <w:r w:rsidRPr="007F313C">
        <w:rPr>
          <w:rFonts w:ascii="Verdana" w:hAnsi="Verdana"/>
          <w:sz w:val="16"/>
          <w:szCs w:val="16"/>
        </w:rPr>
        <w:t>(</w:t>
      </w:r>
      <w:r w:rsidRPr="007F313C">
        <w:rPr>
          <w:rFonts w:ascii="Verdana" w:hAnsi="Verdana" w:cs="Times New Roman"/>
          <w:sz w:val="16"/>
          <w:szCs w:val="16"/>
        </w:rPr>
        <w:t>Protocolo de Autopsia de Jimmy Guerrero</w:t>
      </w:r>
      <w:r>
        <w:rPr>
          <w:rFonts w:ascii="Verdana" w:hAnsi="Verdana" w:cs="Times New Roman"/>
          <w:sz w:val="16"/>
          <w:szCs w:val="16"/>
        </w:rPr>
        <w:t xml:space="preserve"> de</w:t>
      </w:r>
      <w:r w:rsidRPr="007F313C">
        <w:rPr>
          <w:rFonts w:ascii="Verdana" w:hAnsi="Verdana" w:cs="Times New Roman"/>
          <w:sz w:val="16"/>
          <w:szCs w:val="16"/>
        </w:rPr>
        <w:t xml:space="preserve"> 3 de abril de 2003</w:t>
      </w:r>
      <w:r>
        <w:rPr>
          <w:rFonts w:ascii="Verdana" w:hAnsi="Verdana" w:cs="Times New Roman"/>
          <w:sz w:val="16"/>
          <w:szCs w:val="16"/>
        </w:rPr>
        <w:t xml:space="preserve"> (expediente de prueba, a</w:t>
      </w:r>
      <w:r w:rsidRPr="007F313C">
        <w:rPr>
          <w:rFonts w:ascii="Verdana" w:hAnsi="Verdana" w:cs="Times New Roman"/>
          <w:sz w:val="16"/>
          <w:szCs w:val="16"/>
        </w:rPr>
        <w:t>nexo 20 al Informe de Fondo</w:t>
      </w:r>
      <w:r>
        <w:rPr>
          <w:rFonts w:ascii="Verdana" w:hAnsi="Verdana" w:cs="Times New Roman"/>
          <w:sz w:val="16"/>
          <w:szCs w:val="16"/>
        </w:rPr>
        <w:t>, fs. 1759 a 1761</w:t>
      </w:r>
      <w:r w:rsidRPr="007F313C">
        <w:rPr>
          <w:rFonts w:ascii="Verdana" w:hAnsi="Verdana" w:cs="Times New Roman"/>
          <w:sz w:val="16"/>
          <w:szCs w:val="16"/>
        </w:rPr>
        <w:t>)</w:t>
      </w:r>
      <w:r>
        <w:rPr>
          <w:rFonts w:ascii="Verdana" w:hAnsi="Verdana" w:cs="Times New Roman"/>
          <w:sz w:val="16"/>
          <w:szCs w:val="16"/>
        </w:rPr>
        <w:t>)</w:t>
      </w:r>
      <w:r w:rsidRPr="007F313C">
        <w:rPr>
          <w:rFonts w:ascii="Verdana" w:hAnsi="Verdana"/>
          <w:sz w:val="16"/>
          <w:szCs w:val="16"/>
        </w:rPr>
        <w:t>. En cuanto a Ramón Molina, el protocolo de autopsia indica "lesión card</w:t>
      </w:r>
      <w:r>
        <w:rPr>
          <w:rFonts w:ascii="Verdana" w:hAnsi="Verdana"/>
          <w:sz w:val="16"/>
          <w:szCs w:val="16"/>
        </w:rPr>
        <w:t>í</w:t>
      </w:r>
      <w:r w:rsidRPr="007F313C">
        <w:rPr>
          <w:rFonts w:ascii="Verdana" w:hAnsi="Verdana"/>
          <w:sz w:val="16"/>
          <w:szCs w:val="16"/>
        </w:rPr>
        <w:t>aca severa debido a herida por proyectil disparado por arma de fuego</w:t>
      </w:r>
      <w:r>
        <w:rPr>
          <w:rFonts w:ascii="Verdana" w:hAnsi="Verdana"/>
          <w:sz w:val="16"/>
          <w:szCs w:val="16"/>
        </w:rPr>
        <w:t>”</w:t>
      </w:r>
      <w:r w:rsidRPr="007F313C">
        <w:rPr>
          <w:rFonts w:ascii="Verdana" w:hAnsi="Verdana"/>
          <w:sz w:val="16"/>
          <w:szCs w:val="16"/>
        </w:rPr>
        <w:t xml:space="preserve"> (</w:t>
      </w:r>
      <w:r w:rsidRPr="007F313C">
        <w:rPr>
          <w:rFonts w:ascii="Verdana" w:hAnsi="Verdana" w:cs="Times New Roman"/>
          <w:sz w:val="16"/>
          <w:szCs w:val="16"/>
        </w:rPr>
        <w:t>Protocolo Autopsia de Ramón M</w:t>
      </w:r>
      <w:r>
        <w:rPr>
          <w:rFonts w:ascii="Verdana" w:hAnsi="Verdana" w:cs="Times New Roman"/>
          <w:sz w:val="16"/>
          <w:szCs w:val="16"/>
        </w:rPr>
        <w:t>o</w:t>
      </w:r>
      <w:r w:rsidRPr="007F313C">
        <w:rPr>
          <w:rFonts w:ascii="Verdana" w:hAnsi="Verdana" w:cs="Times New Roman"/>
          <w:sz w:val="16"/>
          <w:szCs w:val="16"/>
        </w:rPr>
        <w:t>lina de 3 de abril de 2003</w:t>
      </w:r>
      <w:r>
        <w:rPr>
          <w:rFonts w:ascii="Verdana" w:hAnsi="Verdana" w:cs="Times New Roman"/>
          <w:sz w:val="16"/>
          <w:szCs w:val="16"/>
        </w:rPr>
        <w:t xml:space="preserve"> (expediente de prueba, a</w:t>
      </w:r>
      <w:r w:rsidRPr="007F313C">
        <w:rPr>
          <w:rFonts w:ascii="Verdana" w:hAnsi="Verdana" w:cs="Times New Roman"/>
          <w:sz w:val="16"/>
          <w:szCs w:val="16"/>
        </w:rPr>
        <w:t>nexo 21 al Informe de Fondo</w:t>
      </w:r>
      <w:r>
        <w:rPr>
          <w:rFonts w:ascii="Verdana" w:hAnsi="Verdana" w:cs="Times New Roman"/>
          <w:sz w:val="16"/>
          <w:szCs w:val="16"/>
        </w:rPr>
        <w:t>, fs. 1762 a 1764)</w:t>
      </w:r>
      <w:r w:rsidRPr="007F313C">
        <w:rPr>
          <w:rFonts w:ascii="Verdana" w:hAnsi="Verdana" w:cs="Times New Roman"/>
          <w:sz w:val="16"/>
          <w:szCs w:val="16"/>
        </w:rPr>
        <w:t>)</w:t>
      </w:r>
      <w:r w:rsidRPr="007F313C">
        <w:rPr>
          <w:rFonts w:ascii="Verdana" w:hAnsi="Verdana"/>
          <w:sz w:val="16"/>
          <w:szCs w:val="16"/>
        </w:rPr>
        <w:t>.</w:t>
      </w:r>
    </w:p>
    <w:p w14:paraId="7EC3DD15" w14:textId="77777777" w:rsidR="0087743B" w:rsidRPr="007F313C" w:rsidRDefault="0087743B" w:rsidP="00685A14">
      <w:pPr>
        <w:pStyle w:val="Textonotapie"/>
        <w:jc w:val="both"/>
        <w:rPr>
          <w:rFonts w:ascii="Verdana" w:hAnsi="Verdana"/>
          <w:sz w:val="16"/>
          <w:szCs w:val="16"/>
        </w:rPr>
      </w:pPr>
    </w:p>
  </w:footnote>
  <w:footnote w:id="69">
    <w:p w14:paraId="3B0559C7" w14:textId="77777777" w:rsidR="0087743B" w:rsidRPr="007F313C" w:rsidRDefault="0087743B" w:rsidP="00685A14">
      <w:pPr>
        <w:adjustRightInd w:val="0"/>
        <w:jc w:val="both"/>
        <w:rPr>
          <w:rFonts w:cs="Arial"/>
          <w:sz w:val="16"/>
          <w:szCs w:val="16"/>
        </w:rPr>
      </w:pPr>
      <w:r w:rsidRPr="007F313C">
        <w:rPr>
          <w:rStyle w:val="Refdenotaalpie"/>
          <w:sz w:val="16"/>
          <w:szCs w:val="16"/>
        </w:rPr>
        <w:footnoteRef/>
      </w:r>
      <w:r w:rsidRPr="007F313C">
        <w:rPr>
          <w:sz w:val="16"/>
          <w:szCs w:val="16"/>
        </w:rPr>
        <w:t xml:space="preserve"> </w:t>
      </w:r>
      <w:r w:rsidRPr="007F313C">
        <w:rPr>
          <w:sz w:val="16"/>
          <w:szCs w:val="16"/>
        </w:rPr>
        <w:tab/>
      </w:r>
      <w:r w:rsidRPr="00620163">
        <w:rPr>
          <w:i/>
          <w:sz w:val="16"/>
          <w:szCs w:val="16"/>
        </w:rPr>
        <w:t>Cfr.</w:t>
      </w:r>
      <w:r>
        <w:rPr>
          <w:sz w:val="16"/>
          <w:szCs w:val="16"/>
        </w:rPr>
        <w:t xml:space="preserve"> </w:t>
      </w:r>
      <w:r w:rsidRPr="007F313C">
        <w:rPr>
          <w:rFonts w:cs="Arial"/>
          <w:sz w:val="16"/>
          <w:szCs w:val="16"/>
        </w:rPr>
        <w:t>E</w:t>
      </w:r>
      <w:r>
        <w:rPr>
          <w:rFonts w:cs="Arial"/>
          <w:sz w:val="16"/>
          <w:szCs w:val="16"/>
        </w:rPr>
        <w:t xml:space="preserve">scrito de </w:t>
      </w:r>
      <w:r w:rsidRPr="0055025B">
        <w:rPr>
          <w:rFonts w:cs="Arial"/>
          <w:sz w:val="16"/>
          <w:szCs w:val="16"/>
        </w:rPr>
        <w:t>Jean Carlos Guerrero dirigido al Despacho de la Fiscalía Superior de la Circunscripción Judicial del Estado Falcón,</w:t>
      </w:r>
      <w:r>
        <w:rPr>
          <w:rFonts w:cs="Arial"/>
          <w:sz w:val="16"/>
          <w:szCs w:val="16"/>
        </w:rPr>
        <w:t xml:space="preserve"> titulado</w:t>
      </w:r>
      <w:r w:rsidRPr="0055025B">
        <w:rPr>
          <w:rFonts w:cs="Arial"/>
          <w:sz w:val="16"/>
          <w:szCs w:val="16"/>
        </w:rPr>
        <w:t xml:space="preserve"> </w:t>
      </w:r>
      <w:r>
        <w:rPr>
          <w:rFonts w:cs="Arial"/>
          <w:sz w:val="16"/>
          <w:szCs w:val="16"/>
        </w:rPr>
        <w:t>“</w:t>
      </w:r>
      <w:r w:rsidRPr="0055025B">
        <w:rPr>
          <w:rFonts w:cs="Arial"/>
          <w:sz w:val="16"/>
          <w:szCs w:val="16"/>
        </w:rPr>
        <w:t>Exposición de motivos</w:t>
      </w:r>
      <w:r>
        <w:rPr>
          <w:rFonts w:cs="Arial"/>
          <w:sz w:val="16"/>
          <w:szCs w:val="16"/>
        </w:rPr>
        <w:t>”</w:t>
      </w:r>
      <w:r w:rsidRPr="0055025B">
        <w:rPr>
          <w:rFonts w:cs="Arial"/>
          <w:sz w:val="16"/>
          <w:szCs w:val="16"/>
        </w:rPr>
        <w:t>,</w:t>
      </w:r>
      <w:r>
        <w:rPr>
          <w:rFonts w:cs="Arial"/>
          <w:sz w:val="16"/>
          <w:szCs w:val="16"/>
        </w:rPr>
        <w:t xml:space="preserve"> cuya copia fue recibida el</w:t>
      </w:r>
      <w:r w:rsidRPr="0055025B">
        <w:rPr>
          <w:rFonts w:cs="Arial"/>
          <w:sz w:val="16"/>
          <w:szCs w:val="16"/>
        </w:rPr>
        <w:t xml:space="preserve"> 1 de abril de 2003</w:t>
      </w:r>
      <w:r>
        <w:rPr>
          <w:rFonts w:cs="Arial"/>
          <w:sz w:val="16"/>
          <w:szCs w:val="16"/>
        </w:rPr>
        <w:t xml:space="preserve"> por la Defensoría del Pueblo</w:t>
      </w:r>
      <w:r w:rsidRPr="0055025B">
        <w:rPr>
          <w:rFonts w:cs="Arial"/>
          <w:sz w:val="16"/>
          <w:szCs w:val="16"/>
        </w:rPr>
        <w:t xml:space="preserve"> (expediente de prueba, trámite ante la Comisión, f. 226)</w:t>
      </w:r>
      <w:r>
        <w:rPr>
          <w:rFonts w:cs="Arial"/>
          <w:sz w:val="16"/>
          <w:szCs w:val="16"/>
        </w:rPr>
        <w:t xml:space="preserve">, y </w:t>
      </w:r>
      <w:r w:rsidRPr="0055025B">
        <w:rPr>
          <w:rFonts w:cs="Arial"/>
          <w:sz w:val="16"/>
          <w:szCs w:val="16"/>
        </w:rPr>
        <w:t>Fiscal</w:t>
      </w:r>
      <w:r>
        <w:rPr>
          <w:rFonts w:cs="Arial"/>
          <w:sz w:val="16"/>
          <w:szCs w:val="16"/>
        </w:rPr>
        <w:t>ía 2</w:t>
      </w:r>
      <w:r w:rsidRPr="0055025B">
        <w:rPr>
          <w:rFonts w:cs="Arial"/>
          <w:sz w:val="16"/>
          <w:szCs w:val="16"/>
        </w:rPr>
        <w:t>,</w:t>
      </w:r>
      <w:r>
        <w:rPr>
          <w:rFonts w:cs="Arial"/>
          <w:sz w:val="16"/>
          <w:szCs w:val="16"/>
        </w:rPr>
        <w:t xml:space="preserve"> documento titulado</w:t>
      </w:r>
      <w:r w:rsidRPr="0055025B">
        <w:rPr>
          <w:rFonts w:cs="Arial"/>
          <w:sz w:val="16"/>
          <w:szCs w:val="16"/>
        </w:rPr>
        <w:t xml:space="preserve"> </w:t>
      </w:r>
      <w:r>
        <w:rPr>
          <w:rFonts w:cs="Arial"/>
          <w:sz w:val="16"/>
          <w:szCs w:val="16"/>
        </w:rPr>
        <w:t>“</w:t>
      </w:r>
      <w:r w:rsidRPr="0055025B">
        <w:rPr>
          <w:rFonts w:cs="Arial"/>
          <w:sz w:val="16"/>
          <w:szCs w:val="16"/>
        </w:rPr>
        <w:t>Audiencia</w:t>
      </w:r>
      <w:r>
        <w:rPr>
          <w:rFonts w:cs="Arial"/>
          <w:sz w:val="16"/>
          <w:szCs w:val="16"/>
        </w:rPr>
        <w:t>”</w:t>
      </w:r>
      <w:r w:rsidRPr="0055025B">
        <w:rPr>
          <w:rFonts w:cs="Arial"/>
          <w:sz w:val="16"/>
          <w:szCs w:val="16"/>
        </w:rPr>
        <w:t xml:space="preserve">, </w:t>
      </w:r>
      <w:r>
        <w:rPr>
          <w:rFonts w:cs="Arial"/>
          <w:sz w:val="16"/>
          <w:szCs w:val="16"/>
        </w:rPr>
        <w:t xml:space="preserve">de </w:t>
      </w:r>
      <w:r w:rsidRPr="0055025B">
        <w:rPr>
          <w:rFonts w:cs="Arial"/>
          <w:sz w:val="16"/>
          <w:szCs w:val="16"/>
        </w:rPr>
        <w:t>2 de abril de 2003 (expediente de prue</w:t>
      </w:r>
      <w:r>
        <w:rPr>
          <w:rFonts w:cs="Arial"/>
          <w:sz w:val="16"/>
          <w:szCs w:val="16"/>
        </w:rPr>
        <w:t>ba, trámite ante la Comisión, f</w:t>
      </w:r>
      <w:r w:rsidRPr="0055025B">
        <w:rPr>
          <w:rFonts w:cs="Arial"/>
          <w:sz w:val="16"/>
          <w:szCs w:val="16"/>
        </w:rPr>
        <w:t>. 227).</w:t>
      </w:r>
      <w:r>
        <w:rPr>
          <w:rFonts w:cs="Arial"/>
          <w:sz w:val="16"/>
          <w:szCs w:val="16"/>
        </w:rPr>
        <w:t xml:space="preserve"> </w:t>
      </w:r>
    </w:p>
  </w:footnote>
  <w:footnote w:id="70">
    <w:p w14:paraId="5751F78A" w14:textId="77777777" w:rsidR="0087743B" w:rsidRPr="007F313C" w:rsidRDefault="0087743B" w:rsidP="00685A14">
      <w:pPr>
        <w:adjustRightInd w:val="0"/>
        <w:jc w:val="both"/>
        <w:rPr>
          <w:sz w:val="16"/>
          <w:szCs w:val="16"/>
        </w:rPr>
      </w:pPr>
    </w:p>
    <w:p w14:paraId="7E925793" w14:textId="77777777" w:rsidR="0087743B" w:rsidRPr="007F313C" w:rsidRDefault="0087743B" w:rsidP="00685A14">
      <w:pPr>
        <w:adjustRightInd w:val="0"/>
        <w:jc w:val="both"/>
        <w:rPr>
          <w:rFonts w:cs="Arial"/>
          <w:sz w:val="16"/>
          <w:szCs w:val="16"/>
        </w:rPr>
      </w:pPr>
      <w:r w:rsidRPr="007F313C">
        <w:rPr>
          <w:rStyle w:val="Refdenotaalpie"/>
          <w:sz w:val="16"/>
          <w:szCs w:val="16"/>
        </w:rPr>
        <w:footnoteRef/>
      </w:r>
      <w:r w:rsidRPr="007F313C">
        <w:rPr>
          <w:sz w:val="16"/>
          <w:szCs w:val="16"/>
        </w:rPr>
        <w:t xml:space="preserve"> </w:t>
      </w:r>
      <w:r w:rsidRPr="007F313C">
        <w:rPr>
          <w:sz w:val="16"/>
          <w:szCs w:val="16"/>
        </w:rPr>
        <w:tab/>
      </w:r>
      <w:r w:rsidRPr="009243B8">
        <w:rPr>
          <w:i/>
          <w:sz w:val="16"/>
          <w:szCs w:val="16"/>
        </w:rPr>
        <w:t>Cfr.</w:t>
      </w:r>
      <w:r>
        <w:rPr>
          <w:sz w:val="16"/>
          <w:szCs w:val="16"/>
        </w:rPr>
        <w:t xml:space="preserve"> </w:t>
      </w:r>
      <w:r w:rsidRPr="00703661">
        <w:rPr>
          <w:rFonts w:cs="Arial"/>
          <w:sz w:val="16"/>
          <w:szCs w:val="16"/>
        </w:rPr>
        <w:t>C</w:t>
      </w:r>
      <w:r w:rsidRPr="00620163">
        <w:rPr>
          <w:rFonts w:cs="Arial"/>
          <w:sz w:val="16"/>
          <w:szCs w:val="16"/>
        </w:rPr>
        <w:t xml:space="preserve">omunicación de Jean Carlos Guerrero Meléndez dirigida al Fiscal </w:t>
      </w:r>
      <w:r>
        <w:rPr>
          <w:rFonts w:cs="Arial"/>
          <w:sz w:val="16"/>
          <w:szCs w:val="16"/>
        </w:rPr>
        <w:t>Superior del Estado Falcón</w:t>
      </w:r>
      <w:r w:rsidRPr="00620163">
        <w:rPr>
          <w:rFonts w:cs="Arial"/>
          <w:sz w:val="16"/>
          <w:szCs w:val="16"/>
        </w:rPr>
        <w:t xml:space="preserve"> </w:t>
      </w:r>
      <w:r>
        <w:rPr>
          <w:rFonts w:cs="Arial"/>
          <w:sz w:val="16"/>
          <w:szCs w:val="16"/>
        </w:rPr>
        <w:t xml:space="preserve">de </w:t>
      </w:r>
      <w:r w:rsidRPr="00542071">
        <w:rPr>
          <w:rFonts w:cs="Arial"/>
          <w:sz w:val="16"/>
          <w:szCs w:val="16"/>
        </w:rPr>
        <w:t>13 de ma</w:t>
      </w:r>
      <w:r>
        <w:rPr>
          <w:rFonts w:cs="Arial"/>
          <w:sz w:val="16"/>
          <w:szCs w:val="16"/>
        </w:rPr>
        <w:t>y</w:t>
      </w:r>
      <w:r w:rsidRPr="00542071">
        <w:rPr>
          <w:rFonts w:cs="Arial"/>
          <w:sz w:val="16"/>
          <w:szCs w:val="16"/>
        </w:rPr>
        <w:t xml:space="preserve">o de 2003 </w:t>
      </w:r>
      <w:r>
        <w:rPr>
          <w:rFonts w:cs="Arial"/>
          <w:sz w:val="16"/>
          <w:szCs w:val="16"/>
        </w:rPr>
        <w:t>(expediente de prueba, anexo 26 al Informe de Fondo, fs. 1778 a 1784).</w:t>
      </w:r>
    </w:p>
    <w:p w14:paraId="4F369890" w14:textId="77777777" w:rsidR="0087743B" w:rsidRPr="007F313C" w:rsidRDefault="0087743B" w:rsidP="00685A14">
      <w:pPr>
        <w:adjustRightInd w:val="0"/>
        <w:jc w:val="both"/>
        <w:rPr>
          <w:rFonts w:cs="Arial"/>
          <w:sz w:val="16"/>
          <w:szCs w:val="16"/>
        </w:rPr>
      </w:pPr>
    </w:p>
  </w:footnote>
  <w:footnote w:id="71">
    <w:p w14:paraId="7C87B762" w14:textId="5BFA34A1"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542071">
        <w:rPr>
          <w:rFonts w:ascii="Verdana" w:hAnsi="Verdana"/>
          <w:i/>
          <w:sz w:val="16"/>
          <w:szCs w:val="16"/>
        </w:rPr>
        <w:t>Cfr.</w:t>
      </w:r>
      <w:r>
        <w:rPr>
          <w:rFonts w:ascii="Verdana" w:hAnsi="Verdana"/>
          <w:sz w:val="16"/>
          <w:szCs w:val="16"/>
        </w:rPr>
        <w:t xml:space="preserve"> </w:t>
      </w:r>
      <w:r w:rsidRPr="007F313C">
        <w:rPr>
          <w:rFonts w:ascii="Verdana" w:hAnsi="Verdana"/>
          <w:sz w:val="16"/>
          <w:szCs w:val="16"/>
        </w:rPr>
        <w:t xml:space="preserve">Fiscalía </w:t>
      </w:r>
      <w:r>
        <w:rPr>
          <w:rFonts w:ascii="Verdana" w:hAnsi="Verdana"/>
          <w:sz w:val="16"/>
          <w:szCs w:val="16"/>
        </w:rPr>
        <w:t>17. O</w:t>
      </w:r>
      <w:r w:rsidRPr="007F313C">
        <w:rPr>
          <w:rFonts w:ascii="Verdana" w:hAnsi="Verdana"/>
          <w:sz w:val="16"/>
          <w:szCs w:val="16"/>
        </w:rPr>
        <w:t>ficio No. 11F17-591-2008</w:t>
      </w:r>
      <w:r>
        <w:rPr>
          <w:rFonts w:ascii="Verdana" w:hAnsi="Verdana"/>
          <w:sz w:val="16"/>
          <w:szCs w:val="16"/>
        </w:rPr>
        <w:t xml:space="preserve"> de </w:t>
      </w:r>
      <w:r w:rsidRPr="007F313C">
        <w:rPr>
          <w:rFonts w:ascii="Verdana" w:hAnsi="Verdana"/>
          <w:sz w:val="16"/>
          <w:szCs w:val="16"/>
        </w:rPr>
        <w:t>4 de noviembre de 2008</w:t>
      </w:r>
      <w:r>
        <w:rPr>
          <w:rFonts w:ascii="Verdana" w:hAnsi="Verdana"/>
          <w:sz w:val="16"/>
          <w:szCs w:val="16"/>
        </w:rPr>
        <w:t xml:space="preserve"> (</w:t>
      </w:r>
      <w:r w:rsidRPr="00BD242F">
        <w:rPr>
          <w:rFonts w:ascii="Verdana" w:hAnsi="Verdana"/>
          <w:sz w:val="16"/>
          <w:szCs w:val="16"/>
        </w:rPr>
        <w:t>expediente</w:t>
      </w:r>
      <w:r>
        <w:rPr>
          <w:rFonts w:ascii="Verdana" w:hAnsi="Verdana"/>
          <w:sz w:val="16"/>
          <w:szCs w:val="16"/>
        </w:rPr>
        <w:t xml:space="preserve"> de prueba, trámite ante la Comisión</w:t>
      </w:r>
      <w:r w:rsidRPr="00BD242F">
        <w:rPr>
          <w:rFonts w:ascii="Verdana" w:hAnsi="Verdana"/>
          <w:sz w:val="16"/>
          <w:szCs w:val="16"/>
        </w:rPr>
        <w:t>, f</w:t>
      </w:r>
      <w:r>
        <w:rPr>
          <w:rFonts w:ascii="Verdana" w:hAnsi="Verdana"/>
          <w:sz w:val="16"/>
          <w:szCs w:val="16"/>
        </w:rPr>
        <w:t>s</w:t>
      </w:r>
      <w:r w:rsidRPr="00BD242F">
        <w:rPr>
          <w:rFonts w:ascii="Verdana" w:hAnsi="Verdana"/>
          <w:sz w:val="16"/>
          <w:szCs w:val="16"/>
        </w:rPr>
        <w:t>.</w:t>
      </w:r>
      <w:r>
        <w:rPr>
          <w:rFonts w:ascii="Verdana" w:hAnsi="Verdana"/>
          <w:sz w:val="16"/>
          <w:szCs w:val="16"/>
        </w:rPr>
        <w:t xml:space="preserve"> 1184 y 1185), y,</w:t>
      </w:r>
      <w:r w:rsidRPr="007F313C">
        <w:rPr>
          <w:rFonts w:ascii="Verdana" w:hAnsi="Verdana"/>
          <w:sz w:val="16"/>
          <w:szCs w:val="16"/>
        </w:rPr>
        <w:t xml:space="preserve"> </w:t>
      </w:r>
      <w:r>
        <w:rPr>
          <w:rFonts w:ascii="Verdana" w:hAnsi="Verdana"/>
          <w:sz w:val="16"/>
          <w:szCs w:val="16"/>
        </w:rPr>
        <w:t>a fin de cotejar que varias medidas habían sido dispuestas con anterioridad,</w:t>
      </w:r>
      <w:r w:rsidRPr="007F313C">
        <w:rPr>
          <w:rFonts w:ascii="Verdana" w:hAnsi="Verdana"/>
          <w:sz w:val="16"/>
          <w:szCs w:val="16"/>
        </w:rPr>
        <w:t xml:space="preserve"> </w:t>
      </w:r>
      <w:r>
        <w:rPr>
          <w:rFonts w:ascii="Verdana" w:hAnsi="Verdana"/>
          <w:sz w:val="16"/>
          <w:szCs w:val="16"/>
        </w:rPr>
        <w:t xml:space="preserve">Fiscalía 6, </w:t>
      </w:r>
      <w:r w:rsidRPr="007F313C">
        <w:rPr>
          <w:rFonts w:ascii="Verdana" w:hAnsi="Verdana"/>
          <w:sz w:val="16"/>
          <w:szCs w:val="16"/>
        </w:rPr>
        <w:t>Oficio No. FAL-6-05</w:t>
      </w:r>
      <w:r>
        <w:rPr>
          <w:rFonts w:ascii="Verdana" w:hAnsi="Verdana"/>
          <w:sz w:val="16"/>
          <w:szCs w:val="16"/>
        </w:rPr>
        <w:t xml:space="preserve">-1.852 de 30 de noviembre de </w:t>
      </w:r>
      <w:r w:rsidRPr="007F313C">
        <w:rPr>
          <w:rFonts w:ascii="Verdana" w:hAnsi="Verdana"/>
          <w:sz w:val="16"/>
          <w:szCs w:val="16"/>
        </w:rPr>
        <w:t>2005 (</w:t>
      </w:r>
      <w:r w:rsidRPr="00BD242F">
        <w:rPr>
          <w:rFonts w:ascii="Verdana" w:hAnsi="Verdana"/>
          <w:sz w:val="16"/>
          <w:szCs w:val="16"/>
        </w:rPr>
        <w:t>expediente</w:t>
      </w:r>
      <w:r>
        <w:rPr>
          <w:rFonts w:ascii="Verdana" w:hAnsi="Verdana"/>
          <w:sz w:val="16"/>
          <w:szCs w:val="16"/>
        </w:rPr>
        <w:t xml:space="preserve"> de prueba, trámite ante la Comisión</w:t>
      </w:r>
      <w:r w:rsidRPr="00BD242F">
        <w:rPr>
          <w:rFonts w:ascii="Verdana" w:hAnsi="Verdana"/>
          <w:sz w:val="16"/>
          <w:szCs w:val="16"/>
        </w:rPr>
        <w:t>, f</w:t>
      </w:r>
      <w:r>
        <w:rPr>
          <w:rFonts w:ascii="Verdana" w:hAnsi="Verdana"/>
          <w:sz w:val="16"/>
          <w:szCs w:val="16"/>
        </w:rPr>
        <w:t>s</w:t>
      </w:r>
      <w:r w:rsidRPr="00BD242F">
        <w:rPr>
          <w:rFonts w:ascii="Verdana" w:hAnsi="Verdana"/>
          <w:sz w:val="16"/>
          <w:szCs w:val="16"/>
        </w:rPr>
        <w:t>.</w:t>
      </w:r>
      <w:r>
        <w:rPr>
          <w:rFonts w:ascii="Verdana" w:hAnsi="Verdana"/>
          <w:sz w:val="16"/>
          <w:szCs w:val="16"/>
        </w:rPr>
        <w:t xml:space="preserve"> 1163 y 1164)</w:t>
      </w:r>
      <w:r w:rsidRPr="007F313C">
        <w:rPr>
          <w:rFonts w:ascii="Verdana" w:hAnsi="Verdana"/>
          <w:sz w:val="16"/>
          <w:szCs w:val="16"/>
        </w:rPr>
        <w:t>.</w:t>
      </w:r>
    </w:p>
    <w:p w14:paraId="7D931A17" w14:textId="77777777" w:rsidR="0087743B" w:rsidRPr="007F313C" w:rsidRDefault="0087743B" w:rsidP="00685A14">
      <w:pPr>
        <w:pStyle w:val="Textonotapie"/>
        <w:jc w:val="both"/>
        <w:rPr>
          <w:rFonts w:ascii="Verdana" w:hAnsi="Verdana"/>
          <w:sz w:val="16"/>
          <w:szCs w:val="16"/>
        </w:rPr>
      </w:pPr>
    </w:p>
  </w:footnote>
  <w:footnote w:id="72">
    <w:p w14:paraId="7B570112" w14:textId="5A889F76"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Fiscalía </w:t>
      </w:r>
      <w:r>
        <w:rPr>
          <w:rFonts w:ascii="Verdana" w:hAnsi="Verdana"/>
          <w:sz w:val="16"/>
          <w:szCs w:val="16"/>
        </w:rPr>
        <w:t>17</w:t>
      </w:r>
      <w:r w:rsidRPr="007F313C">
        <w:rPr>
          <w:rFonts w:ascii="Verdana" w:hAnsi="Verdana"/>
          <w:sz w:val="16"/>
          <w:szCs w:val="16"/>
        </w:rPr>
        <w:t>, Actas de entrevista</w:t>
      </w:r>
      <w:r>
        <w:rPr>
          <w:rFonts w:ascii="Verdana" w:hAnsi="Verdana"/>
          <w:sz w:val="16"/>
          <w:szCs w:val="16"/>
        </w:rPr>
        <w:t>s</w:t>
      </w:r>
      <w:r w:rsidRPr="007F313C">
        <w:rPr>
          <w:rFonts w:ascii="Verdana" w:hAnsi="Verdana"/>
          <w:sz w:val="16"/>
          <w:szCs w:val="16"/>
        </w:rPr>
        <w:t xml:space="preserve"> de 15 de abril y 11 de agosto de 2009 </w:t>
      </w:r>
      <w:r>
        <w:rPr>
          <w:rFonts w:ascii="Verdana" w:hAnsi="Verdana"/>
          <w:sz w:val="16"/>
          <w:szCs w:val="16"/>
        </w:rPr>
        <w:t>(expediente de prueba, trámite ante la Comisión, fs. 1197 y 1198 y 1208 a 1212, respectivamente).</w:t>
      </w:r>
    </w:p>
  </w:footnote>
  <w:footnote w:id="73">
    <w:p w14:paraId="149DF1A3" w14:textId="77777777" w:rsidR="0087743B" w:rsidRPr="007F313C" w:rsidRDefault="0087743B" w:rsidP="00685A14">
      <w:pPr>
        <w:adjustRightInd w:val="0"/>
        <w:jc w:val="both"/>
        <w:rPr>
          <w:sz w:val="16"/>
          <w:szCs w:val="16"/>
        </w:rPr>
      </w:pPr>
    </w:p>
    <w:p w14:paraId="0A4BA587" w14:textId="1633E851" w:rsidR="0087743B" w:rsidRPr="007F313C" w:rsidRDefault="0087743B" w:rsidP="00685A14">
      <w:pPr>
        <w:adjustRightInd w:val="0"/>
        <w:jc w:val="both"/>
        <w:rPr>
          <w:rFonts w:cs="Arial"/>
          <w:sz w:val="16"/>
          <w:szCs w:val="16"/>
        </w:rPr>
      </w:pPr>
      <w:r w:rsidRPr="007F313C">
        <w:rPr>
          <w:rStyle w:val="Refdenotaalpie"/>
          <w:sz w:val="16"/>
          <w:szCs w:val="16"/>
        </w:rPr>
        <w:footnoteRef/>
      </w:r>
      <w:r w:rsidRPr="007F313C">
        <w:rPr>
          <w:sz w:val="16"/>
          <w:szCs w:val="16"/>
        </w:rPr>
        <w:t xml:space="preserve"> </w:t>
      </w:r>
      <w:r w:rsidRPr="007F313C">
        <w:rPr>
          <w:sz w:val="16"/>
          <w:szCs w:val="16"/>
        </w:rPr>
        <w:tab/>
      </w:r>
      <w:r w:rsidRPr="007F313C">
        <w:rPr>
          <w:rFonts w:cs="Arial"/>
          <w:sz w:val="16"/>
          <w:szCs w:val="16"/>
        </w:rPr>
        <w:t xml:space="preserve">Fiscalía </w:t>
      </w:r>
      <w:r>
        <w:rPr>
          <w:rFonts w:cs="Arial"/>
          <w:sz w:val="16"/>
          <w:szCs w:val="16"/>
        </w:rPr>
        <w:t>17, O</w:t>
      </w:r>
      <w:r w:rsidRPr="007F313C">
        <w:rPr>
          <w:rFonts w:cs="Arial"/>
          <w:sz w:val="16"/>
          <w:szCs w:val="16"/>
        </w:rPr>
        <w:t>ficio</w:t>
      </w:r>
      <w:r>
        <w:rPr>
          <w:rFonts w:cs="Arial"/>
          <w:sz w:val="16"/>
          <w:szCs w:val="16"/>
        </w:rPr>
        <w:t>s</w:t>
      </w:r>
      <w:r w:rsidRPr="007F313C">
        <w:rPr>
          <w:rFonts w:cs="Arial"/>
          <w:sz w:val="16"/>
          <w:szCs w:val="16"/>
        </w:rPr>
        <w:t xml:space="preserve"> </w:t>
      </w:r>
      <w:r>
        <w:rPr>
          <w:rFonts w:cs="Arial"/>
          <w:sz w:val="16"/>
          <w:szCs w:val="16"/>
        </w:rPr>
        <w:t xml:space="preserve">FAL17-399-2014 y </w:t>
      </w:r>
      <w:r w:rsidRPr="007F313C">
        <w:rPr>
          <w:rFonts w:cs="Arial"/>
          <w:sz w:val="16"/>
          <w:szCs w:val="16"/>
        </w:rPr>
        <w:t>FAL17-400-2014</w:t>
      </w:r>
      <w:r>
        <w:rPr>
          <w:rFonts w:cs="Arial"/>
          <w:sz w:val="16"/>
          <w:szCs w:val="16"/>
        </w:rPr>
        <w:t>, ambos de</w:t>
      </w:r>
      <w:r w:rsidRPr="007F313C">
        <w:rPr>
          <w:rFonts w:cs="Arial"/>
          <w:sz w:val="16"/>
          <w:szCs w:val="16"/>
        </w:rPr>
        <w:t xml:space="preserve"> 27 de marzo de 2014 (</w:t>
      </w:r>
      <w:r>
        <w:rPr>
          <w:rFonts w:cs="Arial"/>
          <w:sz w:val="16"/>
          <w:szCs w:val="16"/>
        </w:rPr>
        <w:t>e</w:t>
      </w:r>
      <w:r w:rsidRPr="007F313C">
        <w:rPr>
          <w:rFonts w:cs="Arial"/>
          <w:sz w:val="16"/>
          <w:szCs w:val="16"/>
        </w:rPr>
        <w:t>xpediente</w:t>
      </w:r>
      <w:r>
        <w:rPr>
          <w:rFonts w:cs="Arial"/>
          <w:sz w:val="16"/>
          <w:szCs w:val="16"/>
        </w:rPr>
        <w:t xml:space="preserve"> de prueba, trámite</w:t>
      </w:r>
      <w:r w:rsidRPr="007F313C">
        <w:rPr>
          <w:rFonts w:cs="Arial"/>
          <w:sz w:val="16"/>
          <w:szCs w:val="16"/>
        </w:rPr>
        <w:t xml:space="preserve"> ante la C</w:t>
      </w:r>
      <w:r>
        <w:rPr>
          <w:rFonts w:cs="Arial"/>
          <w:sz w:val="16"/>
          <w:szCs w:val="16"/>
        </w:rPr>
        <w:t>omisión, fs. 1485 y 1486, respectivamente</w:t>
      </w:r>
      <w:r w:rsidRPr="007F313C">
        <w:rPr>
          <w:rFonts w:cs="Arial"/>
          <w:sz w:val="16"/>
          <w:szCs w:val="16"/>
        </w:rPr>
        <w:t>).</w:t>
      </w:r>
    </w:p>
  </w:footnote>
  <w:footnote w:id="74">
    <w:p w14:paraId="1319DF12" w14:textId="77777777" w:rsidR="0087743B" w:rsidRPr="007F313C" w:rsidRDefault="0087743B" w:rsidP="00685A14">
      <w:pPr>
        <w:adjustRightInd w:val="0"/>
        <w:jc w:val="both"/>
        <w:rPr>
          <w:sz w:val="16"/>
          <w:szCs w:val="16"/>
        </w:rPr>
      </w:pPr>
    </w:p>
    <w:p w14:paraId="628F83C3" w14:textId="77777777" w:rsidR="0087743B" w:rsidRPr="007F313C" w:rsidRDefault="0087743B" w:rsidP="00685A14">
      <w:pPr>
        <w:adjustRightInd w:val="0"/>
        <w:jc w:val="both"/>
        <w:rPr>
          <w:rFonts w:cs="Arial"/>
          <w:sz w:val="16"/>
          <w:szCs w:val="16"/>
        </w:rPr>
      </w:pPr>
      <w:r w:rsidRPr="007F313C">
        <w:rPr>
          <w:rStyle w:val="Refdenotaalpie"/>
          <w:sz w:val="16"/>
          <w:szCs w:val="16"/>
        </w:rPr>
        <w:footnoteRef/>
      </w:r>
      <w:r w:rsidRPr="007F313C">
        <w:rPr>
          <w:sz w:val="16"/>
          <w:szCs w:val="16"/>
        </w:rPr>
        <w:t xml:space="preserve"> </w:t>
      </w:r>
      <w:r w:rsidRPr="007F313C">
        <w:rPr>
          <w:sz w:val="16"/>
          <w:szCs w:val="16"/>
        </w:rPr>
        <w:tab/>
      </w:r>
      <w:r w:rsidRPr="007F313C">
        <w:rPr>
          <w:rFonts w:cs="Arial"/>
          <w:sz w:val="16"/>
          <w:szCs w:val="16"/>
        </w:rPr>
        <w:t>Cuerpo de Policía Estadal</w:t>
      </w:r>
      <w:r>
        <w:rPr>
          <w:rFonts w:cs="Arial"/>
          <w:sz w:val="16"/>
          <w:szCs w:val="16"/>
        </w:rPr>
        <w:t>,</w:t>
      </w:r>
      <w:r w:rsidRPr="007F313C">
        <w:rPr>
          <w:rFonts w:cs="Arial"/>
          <w:sz w:val="16"/>
          <w:szCs w:val="16"/>
        </w:rPr>
        <w:t xml:space="preserve"> Oficina de Consultoría Jurídica</w:t>
      </w:r>
      <w:r>
        <w:rPr>
          <w:rFonts w:cs="Arial"/>
          <w:sz w:val="16"/>
          <w:szCs w:val="16"/>
        </w:rPr>
        <w:t>,</w:t>
      </w:r>
      <w:r w:rsidRPr="007F313C">
        <w:rPr>
          <w:rFonts w:cs="Arial"/>
          <w:sz w:val="16"/>
          <w:szCs w:val="16"/>
        </w:rPr>
        <w:t xml:space="preserve"> Dirección General, Acta </w:t>
      </w:r>
      <w:r>
        <w:rPr>
          <w:rFonts w:cs="Arial"/>
          <w:sz w:val="16"/>
          <w:szCs w:val="16"/>
        </w:rPr>
        <w:t>de 27 de marzo de 2014 (expediente de prueba, a</w:t>
      </w:r>
      <w:r w:rsidRPr="007F313C">
        <w:rPr>
          <w:rFonts w:cs="Arial"/>
          <w:sz w:val="16"/>
          <w:szCs w:val="16"/>
        </w:rPr>
        <w:t>nexo 53 al Informe de Fondo</w:t>
      </w:r>
      <w:r>
        <w:rPr>
          <w:rFonts w:cs="Arial"/>
          <w:sz w:val="16"/>
          <w:szCs w:val="16"/>
        </w:rPr>
        <w:t>, fs</w:t>
      </w:r>
      <w:r w:rsidRPr="007F313C">
        <w:rPr>
          <w:rFonts w:cs="Arial"/>
          <w:sz w:val="16"/>
          <w:szCs w:val="16"/>
        </w:rPr>
        <w:t>.</w:t>
      </w:r>
      <w:r>
        <w:rPr>
          <w:rFonts w:cs="Arial"/>
          <w:sz w:val="16"/>
          <w:szCs w:val="16"/>
        </w:rPr>
        <w:t xml:space="preserve"> 1864 y 1865).</w:t>
      </w:r>
      <w:r w:rsidRPr="007F313C">
        <w:rPr>
          <w:rFonts w:cs="Arial"/>
          <w:sz w:val="16"/>
          <w:szCs w:val="16"/>
        </w:rPr>
        <w:t xml:space="preserve"> </w:t>
      </w:r>
    </w:p>
  </w:footnote>
  <w:footnote w:id="75">
    <w:p w14:paraId="36BEC1F5" w14:textId="77777777" w:rsidR="0087743B" w:rsidRPr="007F313C" w:rsidRDefault="0087743B" w:rsidP="00685A14">
      <w:pPr>
        <w:pStyle w:val="Textonotapie"/>
        <w:jc w:val="both"/>
        <w:rPr>
          <w:rFonts w:ascii="Verdana" w:hAnsi="Verdana"/>
          <w:sz w:val="16"/>
          <w:szCs w:val="16"/>
        </w:rPr>
      </w:pPr>
    </w:p>
    <w:p w14:paraId="4F239FFB" w14:textId="2D51BFD8"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F55065">
        <w:rPr>
          <w:rFonts w:ascii="Verdana" w:hAnsi="Verdana"/>
          <w:i/>
          <w:sz w:val="16"/>
          <w:szCs w:val="16"/>
        </w:rPr>
        <w:t>Cfr.</w:t>
      </w:r>
      <w:r>
        <w:rPr>
          <w:rFonts w:ascii="Verdana" w:hAnsi="Verdana"/>
          <w:sz w:val="16"/>
          <w:szCs w:val="16"/>
        </w:rPr>
        <w:t xml:space="preserve"> </w:t>
      </w:r>
      <w:r w:rsidRPr="007F313C">
        <w:rPr>
          <w:rFonts w:ascii="Verdana" w:hAnsi="Verdana" w:cs="Times New Roman"/>
          <w:bCs/>
          <w:sz w:val="16"/>
          <w:szCs w:val="16"/>
        </w:rPr>
        <w:t>Fiscalía 17</w:t>
      </w:r>
      <w:r>
        <w:rPr>
          <w:rFonts w:ascii="Verdana" w:hAnsi="Verdana" w:cs="Times New Roman"/>
          <w:bCs/>
          <w:sz w:val="16"/>
          <w:szCs w:val="16"/>
        </w:rPr>
        <w:t>,</w:t>
      </w:r>
      <w:r w:rsidRPr="007F313C">
        <w:rPr>
          <w:rFonts w:ascii="Verdana" w:hAnsi="Verdana" w:cs="Times New Roman"/>
          <w:bCs/>
          <w:sz w:val="16"/>
          <w:szCs w:val="16"/>
        </w:rPr>
        <w:t xml:space="preserve"> </w:t>
      </w:r>
      <w:r>
        <w:rPr>
          <w:rFonts w:ascii="Verdana" w:hAnsi="Verdana" w:cs="Times New Roman"/>
          <w:bCs/>
          <w:sz w:val="16"/>
          <w:szCs w:val="16"/>
        </w:rPr>
        <w:t>Oficio</w:t>
      </w:r>
      <w:r w:rsidRPr="007F313C">
        <w:rPr>
          <w:rFonts w:ascii="Verdana" w:hAnsi="Verdana" w:cs="Times New Roman"/>
          <w:bCs/>
          <w:sz w:val="16"/>
          <w:szCs w:val="16"/>
        </w:rPr>
        <w:t xml:space="preserve"> FAL17-169-2016</w:t>
      </w:r>
      <w:r>
        <w:rPr>
          <w:rFonts w:ascii="Verdana" w:hAnsi="Verdana" w:cs="Times New Roman"/>
          <w:bCs/>
          <w:sz w:val="16"/>
          <w:szCs w:val="16"/>
        </w:rPr>
        <w:t xml:space="preserve"> de </w:t>
      </w:r>
      <w:r w:rsidRPr="007F313C">
        <w:rPr>
          <w:rFonts w:ascii="Verdana" w:hAnsi="Verdana" w:cs="Times New Roman"/>
          <w:bCs/>
          <w:sz w:val="16"/>
          <w:szCs w:val="16"/>
        </w:rPr>
        <w:t>2 de febrero de 2016</w:t>
      </w:r>
      <w:r>
        <w:rPr>
          <w:rFonts w:ascii="Verdana" w:hAnsi="Verdana" w:cs="Times New Roman"/>
          <w:bCs/>
          <w:sz w:val="16"/>
          <w:szCs w:val="16"/>
        </w:rPr>
        <w:t xml:space="preserve"> (expediente de prueba, a</w:t>
      </w:r>
      <w:r w:rsidRPr="007F313C">
        <w:rPr>
          <w:rFonts w:ascii="Verdana" w:hAnsi="Verdana" w:cs="Times New Roman"/>
          <w:bCs/>
          <w:sz w:val="16"/>
          <w:szCs w:val="16"/>
        </w:rPr>
        <w:t>nexo 70 al Informe de Fondo</w:t>
      </w:r>
      <w:r>
        <w:rPr>
          <w:rFonts w:ascii="Verdana" w:hAnsi="Verdana" w:cs="Times New Roman"/>
          <w:bCs/>
          <w:sz w:val="16"/>
          <w:szCs w:val="16"/>
        </w:rPr>
        <w:t>, f. 1903), y</w:t>
      </w:r>
      <w:r w:rsidRPr="007F313C">
        <w:rPr>
          <w:rFonts w:ascii="Verdana" w:hAnsi="Verdana" w:cs="Times New Roman"/>
          <w:bCs/>
          <w:sz w:val="16"/>
          <w:szCs w:val="16"/>
        </w:rPr>
        <w:t xml:space="preserve"> Fiscalía 17</w:t>
      </w:r>
      <w:r>
        <w:rPr>
          <w:rFonts w:ascii="Verdana" w:hAnsi="Verdana" w:cs="Times New Roman"/>
          <w:bCs/>
          <w:sz w:val="16"/>
          <w:szCs w:val="16"/>
        </w:rPr>
        <w:t>, Oficio</w:t>
      </w:r>
      <w:r w:rsidRPr="007F313C">
        <w:rPr>
          <w:rFonts w:ascii="Verdana" w:hAnsi="Verdana" w:cs="Times New Roman"/>
          <w:bCs/>
          <w:sz w:val="16"/>
          <w:szCs w:val="16"/>
        </w:rPr>
        <w:t xml:space="preserve"> FAL-17</w:t>
      </w:r>
      <w:r>
        <w:rPr>
          <w:rFonts w:ascii="Verdana" w:hAnsi="Verdana" w:cs="Times New Roman"/>
          <w:bCs/>
          <w:sz w:val="16"/>
          <w:szCs w:val="16"/>
        </w:rPr>
        <w:t>-169-2016 de 11 de marzo de 2016 (expediente de prueba, anexo 71 al Informe de Fondo, f. 1905).</w:t>
      </w:r>
    </w:p>
  </w:footnote>
  <w:footnote w:id="76">
    <w:p w14:paraId="48926B4F" w14:textId="77777777" w:rsidR="0087743B" w:rsidRPr="007F313C" w:rsidRDefault="0087743B" w:rsidP="00685A14">
      <w:pPr>
        <w:pStyle w:val="Textonotapie"/>
        <w:jc w:val="both"/>
        <w:rPr>
          <w:rFonts w:ascii="Verdana" w:hAnsi="Verdana"/>
          <w:sz w:val="16"/>
          <w:szCs w:val="16"/>
        </w:rPr>
      </w:pPr>
    </w:p>
    <w:p w14:paraId="342B80C7" w14:textId="6D9D2834"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1F54F6">
        <w:rPr>
          <w:rFonts w:ascii="Verdana" w:hAnsi="Verdana"/>
          <w:i/>
          <w:sz w:val="16"/>
          <w:szCs w:val="16"/>
        </w:rPr>
        <w:t>Cfr.</w:t>
      </w:r>
      <w:r>
        <w:rPr>
          <w:rFonts w:ascii="Verdana" w:hAnsi="Verdana"/>
          <w:sz w:val="16"/>
          <w:szCs w:val="16"/>
        </w:rPr>
        <w:t xml:space="preserve"> </w:t>
      </w:r>
      <w:r w:rsidRPr="007F313C">
        <w:rPr>
          <w:rFonts w:ascii="Verdana" w:hAnsi="Verdana" w:cs="Times New Roman"/>
          <w:bCs/>
          <w:sz w:val="16"/>
          <w:szCs w:val="16"/>
        </w:rPr>
        <w:t>Fiscalía 17</w:t>
      </w:r>
      <w:r>
        <w:rPr>
          <w:rFonts w:ascii="Verdana" w:hAnsi="Verdana" w:cs="Times New Roman"/>
          <w:bCs/>
          <w:sz w:val="16"/>
          <w:szCs w:val="16"/>
        </w:rPr>
        <w:t xml:space="preserve">, Oficios </w:t>
      </w:r>
      <w:r w:rsidRPr="007F313C">
        <w:rPr>
          <w:rFonts w:ascii="Verdana" w:hAnsi="Verdana" w:cs="Times New Roman"/>
          <w:bCs/>
          <w:sz w:val="16"/>
          <w:szCs w:val="16"/>
        </w:rPr>
        <w:t>FAL17</w:t>
      </w:r>
      <w:r>
        <w:rPr>
          <w:rFonts w:ascii="Verdana" w:hAnsi="Verdana" w:cs="Times New Roman"/>
          <w:bCs/>
          <w:sz w:val="16"/>
          <w:szCs w:val="16"/>
        </w:rPr>
        <w:t>-192-2016 y FAL17-193-2016, ambos de 12 de marzo de 2016 (expediente de prueba, anexos 73 y 74 al Informe de Fondo, fs. 1909 y 1911, respectivamente).</w:t>
      </w:r>
    </w:p>
  </w:footnote>
  <w:footnote w:id="77">
    <w:p w14:paraId="03F82C49" w14:textId="77777777" w:rsidR="0087743B" w:rsidRPr="007F313C" w:rsidRDefault="0087743B" w:rsidP="00685A14">
      <w:pPr>
        <w:adjustRightInd w:val="0"/>
        <w:jc w:val="both"/>
        <w:rPr>
          <w:sz w:val="16"/>
          <w:szCs w:val="16"/>
        </w:rPr>
      </w:pPr>
    </w:p>
    <w:p w14:paraId="62C7A5C3" w14:textId="3311D81C"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F55065">
        <w:rPr>
          <w:rFonts w:ascii="Verdana" w:hAnsi="Verdana"/>
          <w:i/>
          <w:sz w:val="16"/>
          <w:szCs w:val="16"/>
        </w:rPr>
        <w:t>Cfr.</w:t>
      </w:r>
      <w:r>
        <w:rPr>
          <w:rFonts w:ascii="Verdana" w:hAnsi="Verdana"/>
          <w:sz w:val="16"/>
          <w:szCs w:val="16"/>
        </w:rPr>
        <w:t xml:space="preserve"> </w:t>
      </w:r>
      <w:r w:rsidRPr="007F313C">
        <w:rPr>
          <w:rFonts w:ascii="Verdana" w:hAnsi="Verdana" w:cs="Times New Roman"/>
          <w:sz w:val="16"/>
          <w:szCs w:val="16"/>
        </w:rPr>
        <w:t xml:space="preserve">Fiscalía </w:t>
      </w:r>
      <w:r>
        <w:rPr>
          <w:rFonts w:ascii="Verdana" w:hAnsi="Verdana" w:cs="Times New Roman"/>
          <w:sz w:val="16"/>
          <w:szCs w:val="16"/>
        </w:rPr>
        <w:t>1</w:t>
      </w:r>
      <w:r w:rsidRPr="007F313C">
        <w:rPr>
          <w:rFonts w:ascii="Verdana" w:hAnsi="Verdana" w:cs="Times New Roman"/>
          <w:sz w:val="16"/>
          <w:szCs w:val="16"/>
        </w:rPr>
        <w:t>7</w:t>
      </w:r>
      <w:r>
        <w:rPr>
          <w:rFonts w:ascii="Verdana" w:hAnsi="Verdana" w:cs="Times New Roman"/>
          <w:sz w:val="16"/>
          <w:szCs w:val="16"/>
        </w:rPr>
        <w:t>, Oficio FAL17-229-2016 de</w:t>
      </w:r>
      <w:r w:rsidRPr="007F313C">
        <w:rPr>
          <w:rFonts w:ascii="Verdana" w:hAnsi="Verdana" w:cs="Times New Roman"/>
          <w:sz w:val="16"/>
          <w:szCs w:val="16"/>
        </w:rPr>
        <w:t xml:space="preserve"> 1 de abril de 2016</w:t>
      </w:r>
      <w:r>
        <w:rPr>
          <w:rFonts w:ascii="Verdana" w:hAnsi="Verdana" w:cs="Times New Roman"/>
          <w:sz w:val="16"/>
          <w:szCs w:val="16"/>
        </w:rPr>
        <w:t xml:space="preserve"> (expediente de prueba, anexo 81 al Informe de Fondo, fs. 1926 a 1940), y T</w:t>
      </w:r>
      <w:r w:rsidRPr="007F313C">
        <w:rPr>
          <w:rFonts w:ascii="Verdana" w:hAnsi="Verdana" w:cs="Times New Roman"/>
          <w:sz w:val="16"/>
          <w:szCs w:val="16"/>
        </w:rPr>
        <w:t>ribunal Penal de Primera Instancia Estadales y Municipales en Funciones de Control</w:t>
      </w:r>
      <w:r>
        <w:rPr>
          <w:rFonts w:ascii="Verdana" w:hAnsi="Verdana" w:cs="Times New Roman"/>
          <w:sz w:val="16"/>
          <w:szCs w:val="16"/>
        </w:rPr>
        <w:t>,</w:t>
      </w:r>
      <w:r w:rsidRPr="007F313C">
        <w:rPr>
          <w:rFonts w:ascii="Verdana" w:hAnsi="Verdana" w:cs="Times New Roman"/>
          <w:sz w:val="16"/>
          <w:szCs w:val="16"/>
        </w:rPr>
        <w:t xml:space="preserve"> Oficio No 2C-920-2016</w:t>
      </w:r>
      <w:r>
        <w:rPr>
          <w:rFonts w:ascii="Verdana" w:hAnsi="Verdana" w:cs="Times New Roman"/>
          <w:sz w:val="16"/>
          <w:szCs w:val="16"/>
        </w:rPr>
        <w:t xml:space="preserve">, </w:t>
      </w:r>
      <w:r w:rsidRPr="007F313C">
        <w:rPr>
          <w:rFonts w:ascii="Verdana" w:hAnsi="Verdana" w:cs="Times New Roman"/>
          <w:sz w:val="16"/>
          <w:szCs w:val="16"/>
        </w:rPr>
        <w:t xml:space="preserve">Orden de aprehensión contra </w:t>
      </w:r>
      <w:r>
        <w:rPr>
          <w:rFonts w:ascii="Verdana" w:hAnsi="Verdana" w:cs="Times New Roman"/>
          <w:sz w:val="16"/>
          <w:szCs w:val="16"/>
        </w:rPr>
        <w:t>F.R. de</w:t>
      </w:r>
      <w:r w:rsidRPr="007F313C">
        <w:rPr>
          <w:rFonts w:ascii="Verdana" w:hAnsi="Verdana" w:cs="Times New Roman"/>
          <w:sz w:val="16"/>
          <w:szCs w:val="16"/>
        </w:rPr>
        <w:t xml:space="preserve"> 1 de abril de </w:t>
      </w:r>
      <w:r>
        <w:rPr>
          <w:rFonts w:ascii="Verdana" w:hAnsi="Verdana" w:cs="Times New Roman"/>
          <w:sz w:val="16"/>
          <w:szCs w:val="16"/>
        </w:rPr>
        <w:t>2</w:t>
      </w:r>
      <w:r w:rsidRPr="007F313C">
        <w:rPr>
          <w:rFonts w:ascii="Verdana" w:hAnsi="Verdana" w:cs="Times New Roman"/>
          <w:sz w:val="16"/>
          <w:szCs w:val="16"/>
        </w:rPr>
        <w:t>016</w:t>
      </w:r>
      <w:r>
        <w:rPr>
          <w:rFonts w:ascii="Verdana" w:hAnsi="Verdana" w:cs="Times New Roman"/>
          <w:sz w:val="16"/>
          <w:szCs w:val="16"/>
        </w:rPr>
        <w:t xml:space="preserve"> (expediente de prueba, a</w:t>
      </w:r>
      <w:r w:rsidRPr="007F313C">
        <w:rPr>
          <w:rFonts w:ascii="Verdana" w:hAnsi="Verdana" w:cs="Times New Roman"/>
          <w:sz w:val="16"/>
          <w:szCs w:val="16"/>
        </w:rPr>
        <w:t>nexo 80 al Informe de Fondo</w:t>
      </w:r>
      <w:r>
        <w:rPr>
          <w:rFonts w:ascii="Verdana" w:hAnsi="Verdana" w:cs="Times New Roman"/>
          <w:sz w:val="16"/>
          <w:szCs w:val="16"/>
        </w:rPr>
        <w:t xml:space="preserve">, f. 1924). </w:t>
      </w:r>
      <w:r w:rsidRPr="007F313C">
        <w:rPr>
          <w:rFonts w:ascii="Verdana" w:hAnsi="Verdana"/>
          <w:sz w:val="16"/>
          <w:szCs w:val="16"/>
        </w:rPr>
        <w:t xml:space="preserve">Los delitos señalados </w:t>
      </w:r>
      <w:r>
        <w:rPr>
          <w:rFonts w:ascii="Verdana" w:hAnsi="Verdana"/>
          <w:sz w:val="16"/>
          <w:szCs w:val="16"/>
        </w:rPr>
        <w:t>fueron</w:t>
      </w:r>
      <w:r w:rsidRPr="007F313C">
        <w:rPr>
          <w:rFonts w:ascii="Verdana" w:hAnsi="Verdana"/>
          <w:sz w:val="16"/>
          <w:szCs w:val="16"/>
        </w:rPr>
        <w:t xml:space="preserve"> los de </w:t>
      </w:r>
      <w:r>
        <w:rPr>
          <w:rFonts w:ascii="Verdana" w:hAnsi="Verdana"/>
          <w:sz w:val="16"/>
          <w:szCs w:val="16"/>
        </w:rPr>
        <w:t>“</w:t>
      </w:r>
      <w:r w:rsidRPr="007F313C">
        <w:rPr>
          <w:rFonts w:ascii="Verdana" w:hAnsi="Verdana"/>
          <w:sz w:val="16"/>
          <w:szCs w:val="16"/>
        </w:rPr>
        <w:t>homicidio calificado</w:t>
      </w:r>
      <w:r>
        <w:rPr>
          <w:rFonts w:ascii="Verdana" w:hAnsi="Verdana"/>
          <w:sz w:val="16"/>
          <w:szCs w:val="16"/>
        </w:rPr>
        <w:t>”</w:t>
      </w:r>
      <w:r w:rsidRPr="007F313C">
        <w:rPr>
          <w:rFonts w:ascii="Verdana" w:hAnsi="Verdana"/>
          <w:sz w:val="16"/>
          <w:szCs w:val="16"/>
        </w:rPr>
        <w:t xml:space="preserve">, en perjuicio de Jimmy Guerrero y Ramón Molina, y </w:t>
      </w:r>
      <w:r>
        <w:rPr>
          <w:rFonts w:ascii="Verdana" w:hAnsi="Verdana"/>
          <w:sz w:val="16"/>
          <w:szCs w:val="16"/>
        </w:rPr>
        <w:t>“</w:t>
      </w:r>
      <w:r w:rsidRPr="007F313C">
        <w:rPr>
          <w:rFonts w:ascii="Verdana" w:hAnsi="Verdana"/>
          <w:sz w:val="16"/>
          <w:szCs w:val="16"/>
        </w:rPr>
        <w:t>homicidio calificado frustrado</w:t>
      </w:r>
      <w:r>
        <w:rPr>
          <w:rFonts w:ascii="Verdana" w:hAnsi="Verdana"/>
          <w:sz w:val="16"/>
          <w:szCs w:val="16"/>
        </w:rPr>
        <w:t>”</w:t>
      </w:r>
      <w:r w:rsidRPr="007F313C">
        <w:rPr>
          <w:rFonts w:ascii="Verdana" w:hAnsi="Verdana"/>
          <w:sz w:val="16"/>
          <w:szCs w:val="16"/>
        </w:rPr>
        <w:t xml:space="preserve">, en perjuicio de J.L. </w:t>
      </w:r>
    </w:p>
    <w:p w14:paraId="202F215A" w14:textId="77777777" w:rsidR="0087743B" w:rsidRPr="007F313C" w:rsidRDefault="0087743B" w:rsidP="00685A14">
      <w:pPr>
        <w:pStyle w:val="Textonotapie"/>
        <w:jc w:val="both"/>
        <w:rPr>
          <w:rFonts w:ascii="Verdana" w:hAnsi="Verdana"/>
          <w:sz w:val="16"/>
          <w:szCs w:val="16"/>
        </w:rPr>
      </w:pPr>
    </w:p>
  </w:footnote>
  <w:footnote w:id="78">
    <w:p w14:paraId="4B1F48AB" w14:textId="1A815D40"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Centro de </w:t>
      </w:r>
      <w:r w:rsidRPr="007F313C">
        <w:rPr>
          <w:rFonts w:ascii="Verdana" w:hAnsi="Verdana"/>
          <w:sz w:val="16"/>
          <w:szCs w:val="16"/>
        </w:rPr>
        <w:t>C</w:t>
      </w:r>
      <w:r>
        <w:rPr>
          <w:rFonts w:ascii="Verdana" w:hAnsi="Verdana"/>
          <w:sz w:val="16"/>
          <w:szCs w:val="16"/>
        </w:rPr>
        <w:t xml:space="preserve">oordinación </w:t>
      </w:r>
      <w:r w:rsidRPr="007F313C">
        <w:rPr>
          <w:rFonts w:ascii="Verdana" w:hAnsi="Verdana"/>
          <w:sz w:val="16"/>
          <w:szCs w:val="16"/>
        </w:rPr>
        <w:t>P</w:t>
      </w:r>
      <w:r>
        <w:rPr>
          <w:rFonts w:ascii="Verdana" w:hAnsi="Verdana"/>
          <w:sz w:val="16"/>
          <w:szCs w:val="16"/>
        </w:rPr>
        <w:t>olicial</w:t>
      </w:r>
      <w:r w:rsidRPr="007F313C">
        <w:rPr>
          <w:rFonts w:ascii="Verdana" w:hAnsi="Verdana"/>
          <w:sz w:val="16"/>
          <w:szCs w:val="16"/>
        </w:rPr>
        <w:t xml:space="preserve"> </w:t>
      </w:r>
      <w:proofErr w:type="spellStart"/>
      <w:r w:rsidRPr="007F313C">
        <w:rPr>
          <w:rFonts w:ascii="Verdana" w:hAnsi="Verdana"/>
          <w:sz w:val="16"/>
          <w:szCs w:val="16"/>
        </w:rPr>
        <w:t>N°</w:t>
      </w:r>
      <w:proofErr w:type="spellEnd"/>
      <w:r w:rsidRPr="007F313C">
        <w:rPr>
          <w:rFonts w:ascii="Verdana" w:hAnsi="Verdana"/>
          <w:sz w:val="16"/>
          <w:szCs w:val="16"/>
        </w:rPr>
        <w:t xml:space="preserve"> </w:t>
      </w:r>
      <w:r>
        <w:rPr>
          <w:rFonts w:ascii="Verdana" w:hAnsi="Verdana"/>
          <w:sz w:val="16"/>
          <w:szCs w:val="16"/>
        </w:rPr>
        <w:t>0</w:t>
      </w:r>
      <w:r w:rsidRPr="007F313C">
        <w:rPr>
          <w:rFonts w:ascii="Verdana" w:hAnsi="Verdana"/>
          <w:sz w:val="16"/>
          <w:szCs w:val="16"/>
        </w:rPr>
        <w:t>2-COIN</w:t>
      </w:r>
      <w:r>
        <w:rPr>
          <w:rFonts w:ascii="Verdana" w:hAnsi="Verdana"/>
          <w:sz w:val="16"/>
          <w:szCs w:val="16"/>
        </w:rPr>
        <w:t>,</w:t>
      </w:r>
      <w:r w:rsidRPr="007F313C">
        <w:rPr>
          <w:rFonts w:ascii="Verdana" w:hAnsi="Verdana"/>
          <w:sz w:val="16"/>
          <w:szCs w:val="16"/>
        </w:rPr>
        <w:t xml:space="preserve"> O</w:t>
      </w:r>
      <w:r>
        <w:rPr>
          <w:rFonts w:ascii="Verdana" w:hAnsi="Verdana"/>
          <w:sz w:val="16"/>
          <w:szCs w:val="16"/>
        </w:rPr>
        <w:t>ficio</w:t>
      </w:r>
      <w:r w:rsidRPr="007F313C">
        <w:rPr>
          <w:rFonts w:ascii="Verdana" w:hAnsi="Verdana"/>
          <w:sz w:val="16"/>
          <w:szCs w:val="16"/>
        </w:rPr>
        <w:t xml:space="preserve"> </w:t>
      </w:r>
      <w:proofErr w:type="spellStart"/>
      <w:r w:rsidRPr="007F313C">
        <w:rPr>
          <w:rFonts w:ascii="Verdana" w:hAnsi="Verdana"/>
          <w:sz w:val="16"/>
          <w:szCs w:val="16"/>
        </w:rPr>
        <w:t>N°</w:t>
      </w:r>
      <w:proofErr w:type="spellEnd"/>
      <w:r w:rsidRPr="007F313C">
        <w:rPr>
          <w:rFonts w:ascii="Verdana" w:hAnsi="Verdana"/>
          <w:sz w:val="16"/>
          <w:szCs w:val="16"/>
        </w:rPr>
        <w:t xml:space="preserve"> 1192</w:t>
      </w:r>
      <w:r>
        <w:rPr>
          <w:rFonts w:ascii="Verdana" w:hAnsi="Verdana"/>
          <w:sz w:val="16"/>
          <w:szCs w:val="16"/>
        </w:rPr>
        <w:t xml:space="preserve"> de </w:t>
      </w:r>
      <w:r w:rsidRPr="007F313C">
        <w:rPr>
          <w:rFonts w:ascii="Verdana" w:hAnsi="Verdana"/>
          <w:sz w:val="16"/>
          <w:szCs w:val="16"/>
        </w:rPr>
        <w:t>14 de agosto de 2017, dirigido a</w:t>
      </w:r>
      <w:r>
        <w:rPr>
          <w:rFonts w:ascii="Verdana" w:hAnsi="Verdana"/>
          <w:sz w:val="16"/>
          <w:szCs w:val="16"/>
        </w:rPr>
        <w:t>l</w:t>
      </w:r>
      <w:r w:rsidRPr="007F313C">
        <w:rPr>
          <w:rFonts w:ascii="Verdana" w:hAnsi="Verdana"/>
          <w:sz w:val="16"/>
          <w:szCs w:val="16"/>
        </w:rPr>
        <w:t xml:space="preserve"> Juez Segundo de Control de </w:t>
      </w:r>
      <w:r>
        <w:rPr>
          <w:rFonts w:ascii="Verdana" w:hAnsi="Verdana"/>
          <w:sz w:val="16"/>
          <w:szCs w:val="16"/>
        </w:rPr>
        <w:t>T</w:t>
      </w:r>
      <w:r w:rsidRPr="007F313C">
        <w:rPr>
          <w:rFonts w:ascii="Verdana" w:hAnsi="Verdana"/>
          <w:sz w:val="16"/>
          <w:szCs w:val="16"/>
        </w:rPr>
        <w:t>ribunal Penal Extensión Punto Fijo</w:t>
      </w:r>
      <w:r>
        <w:rPr>
          <w:rFonts w:ascii="Verdana" w:hAnsi="Verdana"/>
          <w:sz w:val="16"/>
          <w:szCs w:val="16"/>
        </w:rPr>
        <w:t xml:space="preserve"> </w:t>
      </w:r>
      <w:r w:rsidRPr="007F313C">
        <w:rPr>
          <w:rFonts w:ascii="Verdana" w:hAnsi="Verdana"/>
          <w:sz w:val="16"/>
          <w:szCs w:val="16"/>
        </w:rPr>
        <w:t>y Acta Policial</w:t>
      </w:r>
      <w:r>
        <w:rPr>
          <w:rFonts w:ascii="Verdana" w:hAnsi="Verdana"/>
          <w:sz w:val="16"/>
          <w:szCs w:val="16"/>
        </w:rPr>
        <w:t xml:space="preserve"> de </w:t>
      </w:r>
      <w:r w:rsidRPr="007F313C">
        <w:rPr>
          <w:rFonts w:ascii="Verdana" w:hAnsi="Verdana"/>
          <w:sz w:val="16"/>
          <w:szCs w:val="16"/>
        </w:rPr>
        <w:t>14 de agosto de 2017</w:t>
      </w:r>
      <w:r>
        <w:rPr>
          <w:rFonts w:ascii="Verdana" w:hAnsi="Verdana"/>
          <w:sz w:val="16"/>
          <w:szCs w:val="16"/>
        </w:rPr>
        <w:t xml:space="preserve"> (</w:t>
      </w:r>
      <w:r w:rsidRPr="00061E52">
        <w:rPr>
          <w:rFonts w:ascii="Verdana" w:hAnsi="Verdana" w:cs="Times New Roman"/>
          <w:bCs/>
          <w:sz w:val="16"/>
          <w:szCs w:val="16"/>
        </w:rPr>
        <w:t xml:space="preserve">expediente de prueba, </w:t>
      </w:r>
      <w:r>
        <w:rPr>
          <w:rFonts w:ascii="Verdana" w:hAnsi="Verdana" w:cs="Times New Roman"/>
          <w:bCs/>
          <w:sz w:val="16"/>
          <w:szCs w:val="16"/>
        </w:rPr>
        <w:t>anexo 6.A al escrito de solicitudes y argumentos</w:t>
      </w:r>
      <w:r w:rsidRPr="00061E52">
        <w:rPr>
          <w:rFonts w:ascii="Verdana" w:hAnsi="Verdana" w:cs="Times New Roman"/>
          <w:bCs/>
          <w:sz w:val="16"/>
          <w:szCs w:val="16"/>
        </w:rPr>
        <w:t xml:space="preserve"> f</w:t>
      </w:r>
      <w:r>
        <w:rPr>
          <w:rFonts w:ascii="Verdana" w:hAnsi="Verdana" w:cs="Times New Roman"/>
          <w:bCs/>
          <w:sz w:val="16"/>
          <w:szCs w:val="16"/>
        </w:rPr>
        <w:t>s</w:t>
      </w:r>
      <w:r w:rsidRPr="00061E52">
        <w:rPr>
          <w:rFonts w:ascii="Verdana" w:hAnsi="Verdana" w:cs="Times New Roman"/>
          <w:bCs/>
          <w:sz w:val="16"/>
          <w:szCs w:val="16"/>
        </w:rPr>
        <w:t>.</w:t>
      </w:r>
      <w:r>
        <w:rPr>
          <w:rFonts w:ascii="Verdana" w:hAnsi="Verdana" w:cs="Times New Roman"/>
          <w:bCs/>
          <w:sz w:val="16"/>
          <w:szCs w:val="16"/>
        </w:rPr>
        <w:t xml:space="preserve"> 10943, y 10944 y 10945, respectivamente</w:t>
      </w:r>
      <w:r w:rsidRPr="007F313C">
        <w:rPr>
          <w:rFonts w:ascii="Verdana" w:hAnsi="Verdana"/>
          <w:sz w:val="16"/>
          <w:szCs w:val="16"/>
        </w:rPr>
        <w:t>).</w:t>
      </w:r>
    </w:p>
    <w:p w14:paraId="0A33B332" w14:textId="77777777" w:rsidR="0087743B" w:rsidRPr="007F313C" w:rsidRDefault="0087743B" w:rsidP="00685A14">
      <w:pPr>
        <w:pStyle w:val="Textonotapie"/>
        <w:jc w:val="both"/>
        <w:rPr>
          <w:rFonts w:ascii="Verdana" w:hAnsi="Verdana"/>
          <w:sz w:val="16"/>
          <w:szCs w:val="16"/>
        </w:rPr>
      </w:pPr>
    </w:p>
  </w:footnote>
  <w:footnote w:id="79">
    <w:p w14:paraId="7C6E4E4A" w14:textId="77777777" w:rsidR="0087743B" w:rsidRPr="007F313C" w:rsidRDefault="0087743B" w:rsidP="00685A14">
      <w:pPr>
        <w:adjustRightInd w:val="0"/>
        <w:jc w:val="both"/>
        <w:rPr>
          <w:rFonts w:cs="Arial"/>
          <w:b/>
          <w:sz w:val="16"/>
          <w:szCs w:val="16"/>
        </w:rPr>
      </w:pPr>
      <w:r w:rsidRPr="007F313C">
        <w:rPr>
          <w:rStyle w:val="Refdenotaalpie"/>
          <w:sz w:val="16"/>
          <w:szCs w:val="16"/>
        </w:rPr>
        <w:footnoteRef/>
      </w:r>
      <w:r w:rsidRPr="007F313C">
        <w:rPr>
          <w:sz w:val="16"/>
          <w:szCs w:val="16"/>
        </w:rPr>
        <w:t xml:space="preserve"> </w:t>
      </w:r>
      <w:r w:rsidRPr="007F313C">
        <w:rPr>
          <w:sz w:val="16"/>
          <w:szCs w:val="16"/>
        </w:rPr>
        <w:tab/>
      </w:r>
      <w:r w:rsidRPr="00F55065">
        <w:rPr>
          <w:i/>
          <w:sz w:val="16"/>
          <w:szCs w:val="16"/>
        </w:rPr>
        <w:t xml:space="preserve">Cfr. </w:t>
      </w:r>
      <w:r w:rsidRPr="007F313C">
        <w:rPr>
          <w:rFonts w:cs="Arial"/>
          <w:sz w:val="16"/>
          <w:szCs w:val="16"/>
        </w:rPr>
        <w:t>Poder Judicial, Tribunal Penal de Primera Instancia Estadales y Municipales en Funciones de Control, asunt</w:t>
      </w:r>
      <w:r>
        <w:rPr>
          <w:rFonts w:cs="Arial"/>
          <w:sz w:val="16"/>
          <w:szCs w:val="16"/>
        </w:rPr>
        <w:t xml:space="preserve">o principal: IJII-P-2016-000045: Resolución y Boleta de libertad de </w:t>
      </w:r>
      <w:r w:rsidRPr="007F313C">
        <w:rPr>
          <w:rFonts w:cs="Arial"/>
          <w:sz w:val="16"/>
          <w:szCs w:val="16"/>
        </w:rPr>
        <w:t xml:space="preserve">15 de agosto de 2017 </w:t>
      </w:r>
      <w:r>
        <w:rPr>
          <w:rFonts w:cs="Arial"/>
          <w:sz w:val="16"/>
          <w:szCs w:val="16"/>
        </w:rPr>
        <w:t xml:space="preserve">(expediente de prueba, anexo 6.A al escrito de solicitudes y argumentos, fs. 10948 a 10950 y 10951, respectivamente). </w:t>
      </w:r>
    </w:p>
    <w:p w14:paraId="2EBE77E0" w14:textId="77777777" w:rsidR="0087743B" w:rsidRPr="007F313C" w:rsidRDefault="0087743B" w:rsidP="00685A14">
      <w:pPr>
        <w:adjustRightInd w:val="0"/>
        <w:jc w:val="both"/>
        <w:rPr>
          <w:rFonts w:cs="Arial"/>
          <w:sz w:val="16"/>
          <w:szCs w:val="16"/>
        </w:rPr>
      </w:pPr>
    </w:p>
  </w:footnote>
  <w:footnote w:id="80">
    <w:p w14:paraId="5C09A41D" w14:textId="67B40D3F" w:rsidR="0087743B" w:rsidRPr="007F313C" w:rsidRDefault="0087743B" w:rsidP="00685A14">
      <w:pPr>
        <w:adjustRightInd w:val="0"/>
        <w:jc w:val="both"/>
        <w:rPr>
          <w:rFonts w:cs="Arial"/>
          <w:sz w:val="16"/>
          <w:szCs w:val="16"/>
        </w:rPr>
      </w:pPr>
      <w:r w:rsidRPr="007F313C">
        <w:rPr>
          <w:rStyle w:val="Refdenotaalpie"/>
          <w:sz w:val="16"/>
          <w:szCs w:val="16"/>
        </w:rPr>
        <w:footnoteRef/>
      </w:r>
      <w:r w:rsidRPr="007F313C">
        <w:rPr>
          <w:sz w:val="16"/>
          <w:szCs w:val="16"/>
        </w:rPr>
        <w:t xml:space="preserve"> </w:t>
      </w:r>
      <w:r w:rsidRPr="007F313C">
        <w:rPr>
          <w:sz w:val="16"/>
          <w:szCs w:val="16"/>
        </w:rPr>
        <w:tab/>
      </w:r>
      <w:r w:rsidRPr="007F313C">
        <w:rPr>
          <w:rFonts w:cs="Arial"/>
          <w:sz w:val="16"/>
          <w:szCs w:val="16"/>
        </w:rPr>
        <w:t xml:space="preserve">Fiscalía </w:t>
      </w:r>
      <w:r>
        <w:rPr>
          <w:rFonts w:cs="Arial"/>
          <w:sz w:val="16"/>
          <w:szCs w:val="16"/>
        </w:rPr>
        <w:t>17</w:t>
      </w:r>
      <w:r w:rsidRPr="007F313C">
        <w:rPr>
          <w:rFonts w:cs="Arial"/>
          <w:sz w:val="16"/>
          <w:szCs w:val="16"/>
        </w:rPr>
        <w:t xml:space="preserve">, </w:t>
      </w:r>
      <w:r>
        <w:rPr>
          <w:rFonts w:cs="Arial"/>
          <w:sz w:val="16"/>
          <w:szCs w:val="16"/>
        </w:rPr>
        <w:t xml:space="preserve">solicitud de sobreseimiento </w:t>
      </w:r>
      <w:r w:rsidRPr="007F313C">
        <w:rPr>
          <w:rFonts w:cs="Arial"/>
          <w:sz w:val="16"/>
          <w:szCs w:val="16"/>
        </w:rPr>
        <w:t>(</w:t>
      </w:r>
      <w:r>
        <w:rPr>
          <w:rFonts w:cs="Arial"/>
          <w:sz w:val="16"/>
          <w:szCs w:val="16"/>
        </w:rPr>
        <w:t>expediente de prueba, anexo 6.A al escrito de solicitudes y argumentos, fs. 10961 a 10965)</w:t>
      </w:r>
      <w:r w:rsidRPr="007F313C">
        <w:rPr>
          <w:rFonts w:cs="Arial"/>
          <w:sz w:val="16"/>
          <w:szCs w:val="16"/>
        </w:rPr>
        <w:t>.</w:t>
      </w:r>
      <w:r>
        <w:rPr>
          <w:rFonts w:cs="Arial"/>
          <w:sz w:val="16"/>
          <w:szCs w:val="16"/>
        </w:rPr>
        <w:t xml:space="preserve"> En cuanto a la fecha, el escrito indica haber sido redactado el 12 de septiembre de 2017, pero no puede leerse la fecha de recepción por parte del órgano judicial. Los representantes afirmaron que la solicitud de sobreseimiento se realizó el 16 de septiembre de 2017, lo que no fue controvertido. </w:t>
      </w:r>
    </w:p>
    <w:p w14:paraId="78E9E145" w14:textId="77777777" w:rsidR="0087743B" w:rsidRPr="007F313C" w:rsidRDefault="0087743B" w:rsidP="00685A14">
      <w:pPr>
        <w:adjustRightInd w:val="0"/>
        <w:jc w:val="both"/>
        <w:rPr>
          <w:rFonts w:cs="Arial"/>
          <w:sz w:val="16"/>
          <w:szCs w:val="16"/>
        </w:rPr>
      </w:pPr>
    </w:p>
  </w:footnote>
  <w:footnote w:id="81">
    <w:p w14:paraId="3F74141F" w14:textId="77777777" w:rsidR="0087743B" w:rsidRPr="007F313C" w:rsidRDefault="0087743B" w:rsidP="00685A14">
      <w:pPr>
        <w:adjustRightInd w:val="0"/>
        <w:jc w:val="both"/>
        <w:rPr>
          <w:rFonts w:cs="Arial"/>
          <w:sz w:val="16"/>
          <w:szCs w:val="16"/>
        </w:rPr>
      </w:pPr>
      <w:r w:rsidRPr="007F313C">
        <w:rPr>
          <w:rStyle w:val="Refdenotaalpie"/>
          <w:sz w:val="16"/>
          <w:szCs w:val="16"/>
        </w:rPr>
        <w:footnoteRef/>
      </w:r>
      <w:r w:rsidRPr="007F313C">
        <w:rPr>
          <w:sz w:val="16"/>
          <w:szCs w:val="16"/>
        </w:rPr>
        <w:t xml:space="preserve"> </w:t>
      </w:r>
      <w:r w:rsidRPr="007F313C">
        <w:rPr>
          <w:sz w:val="16"/>
          <w:szCs w:val="16"/>
        </w:rPr>
        <w:tab/>
      </w:r>
      <w:r w:rsidRPr="00F55065">
        <w:rPr>
          <w:i/>
          <w:sz w:val="16"/>
          <w:szCs w:val="16"/>
        </w:rPr>
        <w:t>Cfr.</w:t>
      </w:r>
      <w:r>
        <w:rPr>
          <w:sz w:val="16"/>
          <w:szCs w:val="16"/>
        </w:rPr>
        <w:t xml:space="preserve"> </w:t>
      </w:r>
      <w:r w:rsidRPr="007F313C">
        <w:rPr>
          <w:rFonts w:cs="Arial"/>
          <w:sz w:val="16"/>
          <w:szCs w:val="16"/>
        </w:rPr>
        <w:t>Poder Judicial, Tribunal Penal de Primera Instancia Estadale</w:t>
      </w:r>
      <w:r>
        <w:rPr>
          <w:rFonts w:cs="Arial"/>
          <w:sz w:val="16"/>
          <w:szCs w:val="16"/>
        </w:rPr>
        <w:t xml:space="preserve">s y Municipales en Funciones de </w:t>
      </w:r>
      <w:r w:rsidRPr="007F313C">
        <w:rPr>
          <w:rFonts w:cs="Arial"/>
          <w:sz w:val="16"/>
          <w:szCs w:val="16"/>
        </w:rPr>
        <w:t xml:space="preserve">Control, asunto </w:t>
      </w:r>
      <w:r>
        <w:rPr>
          <w:rFonts w:cs="Arial"/>
          <w:sz w:val="16"/>
          <w:szCs w:val="16"/>
        </w:rPr>
        <w:t xml:space="preserve">principal: IJII-P-2016-000045, Resolución de 25 de septiembre de 2017 (expediente de prueba, anexo 6.A al escrito de solicitudes y argumentos, fs. 10957 a 10960). </w:t>
      </w:r>
    </w:p>
  </w:footnote>
  <w:footnote w:id="82">
    <w:p w14:paraId="6334AD12" w14:textId="77777777" w:rsidR="0087743B" w:rsidRPr="007F313C" w:rsidRDefault="0087743B" w:rsidP="00685A14">
      <w:pPr>
        <w:adjustRightInd w:val="0"/>
        <w:jc w:val="both"/>
        <w:rPr>
          <w:sz w:val="16"/>
          <w:szCs w:val="16"/>
        </w:rPr>
      </w:pPr>
    </w:p>
    <w:p w14:paraId="76E07423" w14:textId="77777777" w:rsidR="0087743B" w:rsidRPr="007F313C" w:rsidRDefault="0087743B" w:rsidP="00685A14">
      <w:pPr>
        <w:adjustRightInd w:val="0"/>
        <w:jc w:val="both"/>
        <w:rPr>
          <w:rFonts w:cs="Arial"/>
          <w:sz w:val="16"/>
          <w:szCs w:val="16"/>
        </w:rPr>
      </w:pPr>
      <w:r w:rsidRPr="007F313C">
        <w:rPr>
          <w:rStyle w:val="Refdenotaalpie"/>
          <w:sz w:val="16"/>
          <w:szCs w:val="16"/>
        </w:rPr>
        <w:footnoteRef/>
      </w:r>
      <w:r w:rsidRPr="007F313C">
        <w:rPr>
          <w:sz w:val="16"/>
          <w:szCs w:val="16"/>
        </w:rPr>
        <w:t xml:space="preserve"> </w:t>
      </w:r>
      <w:r w:rsidRPr="007F313C">
        <w:rPr>
          <w:sz w:val="16"/>
          <w:szCs w:val="16"/>
        </w:rPr>
        <w:tab/>
      </w:r>
      <w:r w:rsidRPr="007F313C">
        <w:rPr>
          <w:rFonts w:cs="Arial"/>
          <w:sz w:val="16"/>
          <w:szCs w:val="16"/>
        </w:rPr>
        <w:t>Poder Judicial, Tribunal Penal de Primera Instancia Estadales y Municipales en Funciones de Control, asunto principal: IJII-P-2016-000045</w:t>
      </w:r>
      <w:r>
        <w:rPr>
          <w:rFonts w:cs="Arial"/>
          <w:sz w:val="16"/>
          <w:szCs w:val="16"/>
        </w:rPr>
        <w:t>, Oficio No 2C.3201-2017, de</w:t>
      </w:r>
      <w:r w:rsidRPr="007F313C">
        <w:rPr>
          <w:rFonts w:cs="Arial"/>
          <w:sz w:val="16"/>
          <w:szCs w:val="16"/>
        </w:rPr>
        <w:t xml:space="preserve"> 11 de octubre de 2017, </w:t>
      </w:r>
      <w:r>
        <w:rPr>
          <w:rFonts w:cs="Arial"/>
          <w:sz w:val="16"/>
          <w:szCs w:val="16"/>
        </w:rPr>
        <w:t>(expediente de prueba, anexo 6.A al escrito de solicitudes y argumentos, f. 10966)</w:t>
      </w:r>
      <w:r w:rsidRPr="007F313C">
        <w:rPr>
          <w:rFonts w:cs="Arial"/>
          <w:sz w:val="16"/>
          <w:szCs w:val="16"/>
        </w:rPr>
        <w:t>.</w:t>
      </w:r>
    </w:p>
  </w:footnote>
  <w:footnote w:id="83">
    <w:p w14:paraId="1BD4526F" w14:textId="77777777" w:rsidR="0087743B" w:rsidRPr="007F313C" w:rsidRDefault="0087743B" w:rsidP="00685A14">
      <w:pPr>
        <w:pStyle w:val="Textonotapie"/>
        <w:jc w:val="both"/>
        <w:rPr>
          <w:rFonts w:ascii="Verdana" w:hAnsi="Verdana"/>
          <w:sz w:val="16"/>
          <w:szCs w:val="16"/>
        </w:rPr>
      </w:pPr>
    </w:p>
    <w:p w14:paraId="3B6B3F92" w14:textId="77777777" w:rsidR="0087743B" w:rsidRPr="007F313C" w:rsidRDefault="0087743B" w:rsidP="00685A14">
      <w:pPr>
        <w:pStyle w:val="Textonotapie"/>
        <w:jc w:val="both"/>
        <w:rPr>
          <w:rFonts w:ascii="Verdana" w:hAnsi="Verdana"/>
          <w:b/>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proofErr w:type="gramStart"/>
      <w:r w:rsidRPr="007F313C">
        <w:rPr>
          <w:rFonts w:ascii="Verdana" w:hAnsi="Verdana"/>
          <w:sz w:val="16"/>
          <w:szCs w:val="16"/>
        </w:rPr>
        <w:t>De acuerdo a</w:t>
      </w:r>
      <w:proofErr w:type="gramEnd"/>
      <w:r w:rsidRPr="007F313C">
        <w:rPr>
          <w:rFonts w:ascii="Verdana" w:hAnsi="Verdana"/>
          <w:sz w:val="16"/>
          <w:szCs w:val="16"/>
        </w:rPr>
        <w:t xml:space="preserve"> lo afirmado por los representantes en su escrito de solicitudes y argumentos, de 26 de septiembre de 2019, para esa fecha, “no </w:t>
      </w:r>
      <w:proofErr w:type="spellStart"/>
      <w:r w:rsidRPr="007F313C">
        <w:rPr>
          <w:rFonts w:ascii="Verdana" w:hAnsi="Verdana"/>
          <w:sz w:val="16"/>
          <w:szCs w:val="16"/>
        </w:rPr>
        <w:t>exist</w:t>
      </w:r>
      <w:proofErr w:type="spellEnd"/>
      <w:r w:rsidRPr="007F313C">
        <w:rPr>
          <w:rFonts w:ascii="Verdana" w:hAnsi="Verdana"/>
          <w:sz w:val="16"/>
          <w:szCs w:val="16"/>
        </w:rPr>
        <w:t>[</w:t>
      </w:r>
      <w:proofErr w:type="spellStart"/>
      <w:r w:rsidRPr="007F313C">
        <w:rPr>
          <w:rFonts w:ascii="Verdana" w:hAnsi="Verdana"/>
          <w:sz w:val="16"/>
          <w:szCs w:val="16"/>
        </w:rPr>
        <w:t>ía</w:t>
      </w:r>
      <w:proofErr w:type="spellEnd"/>
      <w:r w:rsidRPr="007F313C">
        <w:rPr>
          <w:rFonts w:ascii="Verdana" w:hAnsi="Verdana"/>
          <w:sz w:val="16"/>
          <w:szCs w:val="16"/>
        </w:rPr>
        <w:t xml:space="preserve">] investigación respecto de [M.C. y S.C.], como [tampoco] de </w:t>
      </w:r>
      <w:r>
        <w:rPr>
          <w:rFonts w:ascii="Verdana" w:hAnsi="Verdana"/>
          <w:sz w:val="16"/>
          <w:szCs w:val="16"/>
        </w:rPr>
        <w:t xml:space="preserve">[posibles] </w:t>
      </w:r>
      <w:r w:rsidRPr="007F313C">
        <w:rPr>
          <w:rFonts w:ascii="Verdana" w:hAnsi="Verdana"/>
          <w:sz w:val="16"/>
          <w:szCs w:val="16"/>
        </w:rPr>
        <w:t>autores intelectuales”.</w:t>
      </w:r>
    </w:p>
    <w:p w14:paraId="1C729650" w14:textId="77777777" w:rsidR="0087743B" w:rsidRPr="007F313C" w:rsidRDefault="0087743B" w:rsidP="00685A14">
      <w:pPr>
        <w:pStyle w:val="Textonotapie"/>
        <w:jc w:val="both"/>
        <w:rPr>
          <w:rFonts w:ascii="Verdana" w:hAnsi="Verdana"/>
          <w:sz w:val="16"/>
          <w:szCs w:val="16"/>
        </w:rPr>
      </w:pPr>
    </w:p>
  </w:footnote>
  <w:footnote w:id="84">
    <w:p w14:paraId="72FD3F78" w14:textId="77777777"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La Corte considerará las violaciones a derechos alegadas por la Comisión y los representantes. Al respecto, ha indicado este Tribunal, de manera reiterada en su jurisprudencia, que siempre que sea con base en el marco fáctico presentado por la Comisión, los representantes </w:t>
      </w:r>
      <w:r>
        <w:rPr>
          <w:rFonts w:ascii="Verdana" w:hAnsi="Verdana"/>
          <w:sz w:val="16"/>
          <w:szCs w:val="16"/>
        </w:rPr>
        <w:t xml:space="preserve">de las presuntas víctimas </w:t>
      </w:r>
      <w:r w:rsidRPr="007F313C">
        <w:rPr>
          <w:rFonts w:ascii="Verdana" w:hAnsi="Verdana"/>
          <w:sz w:val="16"/>
          <w:szCs w:val="16"/>
        </w:rPr>
        <w:t>pueden invocar derechos distintos a aquellos señalados por la Comisión en su Informe de Fondo (</w:t>
      </w:r>
      <w:r w:rsidRPr="007F313C">
        <w:rPr>
          <w:rFonts w:ascii="Verdana" w:hAnsi="Verdana"/>
          <w:i/>
          <w:sz w:val="16"/>
          <w:szCs w:val="16"/>
        </w:rPr>
        <w:t xml:space="preserve">cfr. </w:t>
      </w:r>
      <w:r w:rsidRPr="00021B6F">
        <w:rPr>
          <w:rFonts w:ascii="Verdana" w:hAnsi="Verdana"/>
          <w:i/>
          <w:sz w:val="16"/>
          <w:szCs w:val="16"/>
        </w:rPr>
        <w:t>Caso “Cinco Pensionistas” Vs. Perú. Fondo, Reparaciones y Costas.</w:t>
      </w:r>
      <w:r w:rsidRPr="00F55065">
        <w:rPr>
          <w:rFonts w:ascii="Verdana" w:hAnsi="Verdana"/>
          <w:sz w:val="16"/>
          <w:szCs w:val="16"/>
        </w:rPr>
        <w:t xml:space="preserve"> Sentencia de 28 de febrero de 2003. Serie C No. 98, párr. 155</w:t>
      </w:r>
      <w:r w:rsidRPr="007F313C">
        <w:rPr>
          <w:rFonts w:ascii="Verdana" w:hAnsi="Verdana"/>
          <w:sz w:val="16"/>
          <w:szCs w:val="16"/>
        </w:rPr>
        <w:t xml:space="preserve">, y </w:t>
      </w:r>
      <w:r w:rsidRPr="00F55065">
        <w:rPr>
          <w:rFonts w:ascii="Verdana" w:hAnsi="Verdana"/>
          <w:i/>
          <w:sz w:val="16"/>
          <w:szCs w:val="16"/>
        </w:rPr>
        <w:t>Caso Casa Nina Vs. Perú. Excepciones Preliminares, Fondo, Reparaciones y Costas.</w:t>
      </w:r>
      <w:r w:rsidRPr="00021B6F">
        <w:rPr>
          <w:rFonts w:ascii="Verdana" w:hAnsi="Verdana"/>
          <w:sz w:val="16"/>
          <w:szCs w:val="16"/>
        </w:rPr>
        <w:t xml:space="preserve"> Sentencia de 24 de noviembre de 2020. Serie C No. 419</w:t>
      </w:r>
      <w:r>
        <w:rPr>
          <w:rFonts w:ascii="Verdana" w:hAnsi="Verdana"/>
          <w:sz w:val="16"/>
          <w:szCs w:val="16"/>
        </w:rPr>
        <w:t>, párr. 27</w:t>
      </w:r>
      <w:r w:rsidRPr="007F313C">
        <w:rPr>
          <w:rFonts w:ascii="Verdana" w:hAnsi="Verdana"/>
          <w:sz w:val="16"/>
          <w:szCs w:val="16"/>
        </w:rPr>
        <w:t>). En el presente caso, la Corte advierte que el Estado no controvirtió alegatos sobre violaciones a derechos humanos argüidas por los representantes y que no fueron determinadas en el Informe de Fondo (</w:t>
      </w:r>
      <w:r w:rsidRPr="007F313C">
        <w:rPr>
          <w:rFonts w:ascii="Verdana" w:hAnsi="Verdana"/>
          <w:i/>
          <w:sz w:val="16"/>
          <w:szCs w:val="16"/>
        </w:rPr>
        <w:t xml:space="preserve">supra </w:t>
      </w:r>
      <w:proofErr w:type="spellStart"/>
      <w:r w:rsidRPr="007F313C">
        <w:rPr>
          <w:rFonts w:ascii="Verdana" w:hAnsi="Verdana"/>
          <w:sz w:val="16"/>
          <w:szCs w:val="16"/>
        </w:rPr>
        <w:t>párr</w:t>
      </w:r>
      <w:r>
        <w:rPr>
          <w:rFonts w:ascii="Verdana" w:hAnsi="Verdana"/>
          <w:sz w:val="16"/>
          <w:szCs w:val="16"/>
        </w:rPr>
        <w:t>s</w:t>
      </w:r>
      <w:proofErr w:type="spellEnd"/>
      <w:r w:rsidRPr="007F313C">
        <w:rPr>
          <w:rFonts w:ascii="Verdana" w:hAnsi="Verdana"/>
          <w:sz w:val="16"/>
          <w:szCs w:val="16"/>
        </w:rPr>
        <w:t>.</w:t>
      </w:r>
      <w:r>
        <w:rPr>
          <w:rFonts w:ascii="Verdana" w:hAnsi="Verdana"/>
          <w:sz w:val="16"/>
          <w:szCs w:val="16"/>
        </w:rPr>
        <w:t xml:space="preserve"> 27 y 28 </w:t>
      </w:r>
      <w:r w:rsidRPr="007F313C">
        <w:rPr>
          <w:rFonts w:ascii="Verdana" w:hAnsi="Verdana"/>
          <w:sz w:val="16"/>
          <w:szCs w:val="16"/>
        </w:rPr>
        <w:t xml:space="preserve">y </w:t>
      </w:r>
      <w:r w:rsidRPr="00182649">
        <w:rPr>
          <w:rFonts w:ascii="Verdana" w:hAnsi="Verdana"/>
          <w:sz w:val="16"/>
          <w:szCs w:val="16"/>
        </w:rPr>
        <w:t>notas a pie de página 15 y 17).</w:t>
      </w:r>
      <w:r w:rsidRPr="007F313C">
        <w:rPr>
          <w:rFonts w:ascii="Verdana" w:hAnsi="Verdana"/>
          <w:sz w:val="16"/>
          <w:szCs w:val="16"/>
        </w:rPr>
        <w:t xml:space="preserve"> </w:t>
      </w:r>
    </w:p>
    <w:p w14:paraId="7878D893" w14:textId="77777777" w:rsidR="0087743B" w:rsidRPr="007F313C" w:rsidRDefault="0087743B" w:rsidP="00685A14">
      <w:pPr>
        <w:pStyle w:val="Textonotapie"/>
        <w:jc w:val="both"/>
        <w:rPr>
          <w:rFonts w:ascii="Verdana" w:hAnsi="Verdana"/>
          <w:sz w:val="16"/>
          <w:szCs w:val="16"/>
        </w:rPr>
      </w:pPr>
    </w:p>
  </w:footnote>
  <w:footnote w:id="85">
    <w:p w14:paraId="4F197484" w14:textId="77777777"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Artículo 1.1 de la Convención Americana.</w:t>
      </w:r>
    </w:p>
    <w:p w14:paraId="1E97C233" w14:textId="77777777" w:rsidR="0087743B" w:rsidRPr="007F313C" w:rsidRDefault="0087743B" w:rsidP="00685A14">
      <w:pPr>
        <w:pStyle w:val="Textonotapie"/>
        <w:jc w:val="both"/>
        <w:rPr>
          <w:rFonts w:ascii="Verdana" w:hAnsi="Verdana"/>
          <w:sz w:val="16"/>
          <w:szCs w:val="16"/>
        </w:rPr>
      </w:pPr>
    </w:p>
  </w:footnote>
  <w:footnote w:id="86">
    <w:p w14:paraId="3F01D4A0" w14:textId="1BB7F489" w:rsidR="0087743B" w:rsidRPr="00D14ADD" w:rsidRDefault="0087743B" w:rsidP="00685A14">
      <w:pPr>
        <w:pStyle w:val="Textonotapie"/>
        <w:jc w:val="both"/>
        <w:rPr>
          <w:rFonts w:ascii="Verdana" w:hAnsi="Verdana" w:cs="Arial"/>
          <w:sz w:val="16"/>
          <w:szCs w:val="16"/>
          <w:shd w:val="clear" w:color="auto" w:fill="FFFFFF"/>
        </w:rPr>
      </w:pPr>
      <w:r w:rsidRPr="00620163">
        <w:rPr>
          <w:rStyle w:val="Refdenotaalpie"/>
          <w:rFonts w:ascii="Verdana" w:hAnsi="Verdana"/>
          <w:sz w:val="16"/>
          <w:szCs w:val="16"/>
        </w:rPr>
        <w:footnoteRef/>
      </w:r>
      <w:r w:rsidRPr="00620163">
        <w:rPr>
          <w:rFonts w:ascii="Verdana" w:hAnsi="Verdana"/>
          <w:sz w:val="16"/>
          <w:szCs w:val="16"/>
        </w:rPr>
        <w:t xml:space="preserve"> </w:t>
      </w:r>
      <w:r>
        <w:rPr>
          <w:rFonts w:ascii="Verdana" w:hAnsi="Verdana"/>
          <w:sz w:val="16"/>
          <w:szCs w:val="16"/>
        </w:rPr>
        <w:tab/>
      </w:r>
      <w:r w:rsidRPr="00D14ADD">
        <w:rPr>
          <w:rFonts w:ascii="Verdana" w:hAnsi="Verdana"/>
          <w:i/>
          <w:sz w:val="16"/>
          <w:szCs w:val="16"/>
        </w:rPr>
        <w:t xml:space="preserve">Cfr. </w:t>
      </w:r>
      <w:r w:rsidRPr="00F55065">
        <w:rPr>
          <w:rFonts w:ascii="Verdana" w:hAnsi="Verdana"/>
          <w:i/>
          <w:spacing w:val="-1"/>
          <w:sz w:val="16"/>
          <w:szCs w:val="16"/>
        </w:rPr>
        <w:t>Propuesta</w:t>
      </w:r>
      <w:r w:rsidRPr="00F55065">
        <w:rPr>
          <w:rFonts w:ascii="Verdana" w:hAnsi="Verdana"/>
          <w:i/>
          <w:spacing w:val="-17"/>
          <w:sz w:val="16"/>
          <w:szCs w:val="16"/>
        </w:rPr>
        <w:t xml:space="preserve"> </w:t>
      </w:r>
      <w:r w:rsidRPr="00F55065">
        <w:rPr>
          <w:rFonts w:ascii="Verdana" w:hAnsi="Verdana"/>
          <w:i/>
          <w:sz w:val="16"/>
          <w:szCs w:val="16"/>
        </w:rPr>
        <w:t>de</w:t>
      </w:r>
      <w:r w:rsidRPr="00F55065">
        <w:rPr>
          <w:rFonts w:ascii="Verdana" w:hAnsi="Verdana"/>
          <w:i/>
          <w:spacing w:val="-13"/>
          <w:sz w:val="16"/>
          <w:szCs w:val="16"/>
        </w:rPr>
        <w:t xml:space="preserve"> </w:t>
      </w:r>
      <w:r w:rsidRPr="00F55065">
        <w:rPr>
          <w:rFonts w:ascii="Verdana" w:hAnsi="Verdana"/>
          <w:i/>
          <w:sz w:val="16"/>
          <w:szCs w:val="16"/>
        </w:rPr>
        <w:t>Modificación</w:t>
      </w:r>
      <w:r w:rsidRPr="00F55065">
        <w:rPr>
          <w:rFonts w:ascii="Verdana" w:hAnsi="Verdana"/>
          <w:i/>
          <w:spacing w:val="-17"/>
          <w:sz w:val="16"/>
          <w:szCs w:val="16"/>
        </w:rPr>
        <w:t xml:space="preserve"> </w:t>
      </w:r>
      <w:r w:rsidRPr="00F55065">
        <w:rPr>
          <w:rFonts w:ascii="Verdana" w:hAnsi="Verdana"/>
          <w:i/>
          <w:sz w:val="16"/>
          <w:szCs w:val="16"/>
        </w:rPr>
        <w:t>a</w:t>
      </w:r>
      <w:r w:rsidRPr="00F55065">
        <w:rPr>
          <w:rFonts w:ascii="Verdana" w:hAnsi="Verdana"/>
          <w:i/>
          <w:spacing w:val="-13"/>
          <w:sz w:val="16"/>
          <w:szCs w:val="16"/>
        </w:rPr>
        <w:t xml:space="preserve"> </w:t>
      </w:r>
      <w:r w:rsidRPr="00F55065">
        <w:rPr>
          <w:rFonts w:ascii="Verdana" w:hAnsi="Verdana"/>
          <w:i/>
          <w:sz w:val="16"/>
          <w:szCs w:val="16"/>
        </w:rPr>
        <w:t>la</w:t>
      </w:r>
      <w:r w:rsidRPr="00F55065">
        <w:rPr>
          <w:rFonts w:ascii="Verdana" w:hAnsi="Verdana"/>
          <w:i/>
          <w:spacing w:val="-14"/>
          <w:sz w:val="16"/>
          <w:szCs w:val="16"/>
        </w:rPr>
        <w:t xml:space="preserve"> </w:t>
      </w:r>
      <w:r w:rsidRPr="00F55065">
        <w:rPr>
          <w:rFonts w:ascii="Verdana" w:hAnsi="Verdana"/>
          <w:i/>
          <w:sz w:val="16"/>
          <w:szCs w:val="16"/>
        </w:rPr>
        <w:t>Constitución</w:t>
      </w:r>
      <w:r w:rsidRPr="00F55065">
        <w:rPr>
          <w:rFonts w:ascii="Verdana" w:hAnsi="Verdana"/>
          <w:i/>
          <w:spacing w:val="-14"/>
          <w:sz w:val="16"/>
          <w:szCs w:val="16"/>
        </w:rPr>
        <w:t xml:space="preserve"> </w:t>
      </w:r>
      <w:r w:rsidRPr="00F55065">
        <w:rPr>
          <w:rFonts w:ascii="Verdana" w:hAnsi="Verdana"/>
          <w:i/>
          <w:sz w:val="16"/>
          <w:szCs w:val="16"/>
        </w:rPr>
        <w:t>Política</w:t>
      </w:r>
      <w:r w:rsidRPr="00F55065">
        <w:rPr>
          <w:rFonts w:ascii="Verdana" w:hAnsi="Verdana"/>
          <w:i/>
          <w:spacing w:val="-14"/>
          <w:sz w:val="16"/>
          <w:szCs w:val="16"/>
        </w:rPr>
        <w:t xml:space="preserve"> </w:t>
      </w:r>
      <w:r w:rsidRPr="00F55065">
        <w:rPr>
          <w:rFonts w:ascii="Verdana" w:hAnsi="Verdana"/>
          <w:i/>
          <w:sz w:val="16"/>
          <w:szCs w:val="16"/>
        </w:rPr>
        <w:t>de</w:t>
      </w:r>
      <w:r w:rsidRPr="00F55065">
        <w:rPr>
          <w:rFonts w:ascii="Verdana" w:hAnsi="Verdana"/>
          <w:i/>
          <w:spacing w:val="-16"/>
          <w:sz w:val="16"/>
          <w:szCs w:val="16"/>
        </w:rPr>
        <w:t xml:space="preserve"> </w:t>
      </w:r>
      <w:r w:rsidRPr="00F55065">
        <w:rPr>
          <w:rFonts w:ascii="Verdana" w:hAnsi="Verdana"/>
          <w:i/>
          <w:sz w:val="16"/>
          <w:szCs w:val="16"/>
        </w:rPr>
        <w:t>Costa</w:t>
      </w:r>
      <w:r w:rsidRPr="00F55065">
        <w:rPr>
          <w:rFonts w:ascii="Verdana" w:hAnsi="Verdana"/>
          <w:i/>
          <w:spacing w:val="-13"/>
          <w:sz w:val="16"/>
          <w:szCs w:val="16"/>
        </w:rPr>
        <w:t xml:space="preserve"> </w:t>
      </w:r>
      <w:r w:rsidRPr="00F55065">
        <w:rPr>
          <w:rFonts w:ascii="Verdana" w:hAnsi="Verdana"/>
          <w:i/>
          <w:sz w:val="16"/>
          <w:szCs w:val="16"/>
        </w:rPr>
        <w:t>Rica</w:t>
      </w:r>
      <w:r w:rsidRPr="00F55065">
        <w:rPr>
          <w:rFonts w:ascii="Verdana" w:hAnsi="Verdana"/>
          <w:i/>
          <w:spacing w:val="-17"/>
          <w:sz w:val="16"/>
          <w:szCs w:val="16"/>
        </w:rPr>
        <w:t xml:space="preserve"> </w:t>
      </w:r>
      <w:r w:rsidRPr="00F55065">
        <w:rPr>
          <w:rFonts w:ascii="Verdana" w:hAnsi="Verdana"/>
          <w:i/>
          <w:sz w:val="16"/>
          <w:szCs w:val="16"/>
        </w:rPr>
        <w:t>relacionada</w:t>
      </w:r>
      <w:r w:rsidRPr="00F55065">
        <w:rPr>
          <w:rFonts w:ascii="Verdana" w:hAnsi="Verdana"/>
          <w:i/>
          <w:spacing w:val="-17"/>
          <w:sz w:val="16"/>
          <w:szCs w:val="16"/>
        </w:rPr>
        <w:t xml:space="preserve"> </w:t>
      </w:r>
      <w:r w:rsidRPr="00F55065">
        <w:rPr>
          <w:rFonts w:ascii="Verdana" w:hAnsi="Verdana"/>
          <w:i/>
          <w:sz w:val="16"/>
          <w:szCs w:val="16"/>
        </w:rPr>
        <w:t>con</w:t>
      </w:r>
      <w:r w:rsidRPr="00F55065">
        <w:rPr>
          <w:rFonts w:ascii="Verdana" w:hAnsi="Verdana"/>
          <w:i/>
          <w:spacing w:val="-14"/>
          <w:sz w:val="16"/>
          <w:szCs w:val="16"/>
        </w:rPr>
        <w:t xml:space="preserve"> </w:t>
      </w:r>
      <w:r w:rsidRPr="00F55065">
        <w:rPr>
          <w:rFonts w:ascii="Verdana" w:hAnsi="Verdana"/>
          <w:i/>
          <w:sz w:val="16"/>
          <w:szCs w:val="16"/>
        </w:rPr>
        <w:t>la</w:t>
      </w:r>
      <w:r w:rsidRPr="00F55065">
        <w:rPr>
          <w:rFonts w:ascii="Verdana" w:hAnsi="Verdana"/>
          <w:i/>
          <w:spacing w:val="-14"/>
          <w:sz w:val="16"/>
          <w:szCs w:val="16"/>
        </w:rPr>
        <w:t xml:space="preserve"> </w:t>
      </w:r>
      <w:r w:rsidRPr="00F55065">
        <w:rPr>
          <w:rFonts w:ascii="Verdana" w:hAnsi="Verdana"/>
          <w:i/>
          <w:sz w:val="16"/>
          <w:szCs w:val="16"/>
        </w:rPr>
        <w:t>Naturalización.</w:t>
      </w:r>
      <w:r w:rsidRPr="00F55065">
        <w:rPr>
          <w:rFonts w:ascii="Verdana" w:hAnsi="Verdana"/>
          <w:i/>
          <w:spacing w:val="-13"/>
          <w:sz w:val="16"/>
          <w:szCs w:val="16"/>
        </w:rPr>
        <w:t xml:space="preserve"> </w:t>
      </w:r>
      <w:r w:rsidRPr="00CF3ED4">
        <w:rPr>
          <w:rFonts w:ascii="Verdana" w:hAnsi="Verdana"/>
          <w:i/>
          <w:sz w:val="16"/>
          <w:szCs w:val="16"/>
        </w:rPr>
        <w:t>Opinión</w:t>
      </w:r>
      <w:r w:rsidRPr="00CF3ED4">
        <w:rPr>
          <w:rFonts w:ascii="Verdana" w:hAnsi="Verdana"/>
          <w:i/>
          <w:spacing w:val="-54"/>
          <w:sz w:val="16"/>
          <w:szCs w:val="16"/>
        </w:rPr>
        <w:t xml:space="preserve"> </w:t>
      </w:r>
      <w:r w:rsidRPr="00CF3ED4">
        <w:rPr>
          <w:rFonts w:ascii="Verdana" w:hAnsi="Verdana"/>
          <w:i/>
          <w:sz w:val="16"/>
          <w:szCs w:val="16"/>
        </w:rPr>
        <w:t>Consultiva OC-4/84</w:t>
      </w:r>
      <w:r w:rsidRPr="00F55065">
        <w:rPr>
          <w:rFonts w:ascii="Verdana" w:hAnsi="Verdana"/>
          <w:sz w:val="16"/>
          <w:szCs w:val="16"/>
        </w:rPr>
        <w:t xml:space="preserve"> de 19 de enero de 1984. Serie A No. 4, párr. 53</w:t>
      </w:r>
      <w:r w:rsidRPr="00D14ADD">
        <w:rPr>
          <w:rFonts w:ascii="Verdana" w:hAnsi="Verdana"/>
          <w:sz w:val="16"/>
          <w:szCs w:val="16"/>
        </w:rPr>
        <w:t xml:space="preserve">, y </w:t>
      </w:r>
      <w:r w:rsidRPr="00F55065">
        <w:rPr>
          <w:rFonts w:ascii="Verdana" w:hAnsi="Verdana" w:cs="Arial"/>
          <w:i/>
          <w:sz w:val="16"/>
          <w:szCs w:val="16"/>
          <w:shd w:val="clear" w:color="auto" w:fill="FFFFFF"/>
        </w:rPr>
        <w:t xml:space="preserve">Caso </w:t>
      </w:r>
      <w:proofErr w:type="spellStart"/>
      <w:r w:rsidRPr="00F55065">
        <w:rPr>
          <w:rFonts w:ascii="Verdana" w:hAnsi="Verdana" w:cs="Arial"/>
          <w:i/>
          <w:sz w:val="16"/>
          <w:szCs w:val="16"/>
          <w:shd w:val="clear" w:color="auto" w:fill="FFFFFF"/>
        </w:rPr>
        <w:t>Guachalá</w:t>
      </w:r>
      <w:proofErr w:type="spellEnd"/>
      <w:r w:rsidRPr="00F55065">
        <w:rPr>
          <w:rFonts w:ascii="Verdana" w:hAnsi="Verdana" w:cs="Arial"/>
          <w:i/>
          <w:sz w:val="16"/>
          <w:szCs w:val="16"/>
          <w:shd w:val="clear" w:color="auto" w:fill="FFFFFF"/>
        </w:rPr>
        <w:t xml:space="preserve"> Chimbo y otros Vs. Ecuador. Fondo, Reparaciones y Costas.</w:t>
      </w:r>
      <w:r w:rsidRPr="00F55065">
        <w:rPr>
          <w:rFonts w:ascii="Verdana" w:hAnsi="Verdana" w:cs="Arial"/>
          <w:sz w:val="16"/>
          <w:szCs w:val="16"/>
          <w:shd w:val="clear" w:color="auto" w:fill="FFFFFF"/>
        </w:rPr>
        <w:t xml:space="preserve"> Sentencia de 26 de marzo de 2021. Serie C No. 423</w:t>
      </w:r>
      <w:r>
        <w:rPr>
          <w:rFonts w:ascii="Verdana" w:hAnsi="Verdana" w:cs="Arial"/>
          <w:sz w:val="16"/>
          <w:szCs w:val="16"/>
          <w:shd w:val="clear" w:color="auto" w:fill="FFFFFF"/>
        </w:rPr>
        <w:t>, párr. 68.</w:t>
      </w:r>
    </w:p>
    <w:p w14:paraId="4446DD82" w14:textId="77777777" w:rsidR="0087743B" w:rsidRPr="00D14ADD" w:rsidRDefault="0087743B" w:rsidP="00685A14">
      <w:pPr>
        <w:pStyle w:val="Textonotapie"/>
        <w:jc w:val="both"/>
        <w:rPr>
          <w:rFonts w:ascii="Verdana" w:hAnsi="Verdana"/>
          <w:sz w:val="16"/>
          <w:szCs w:val="16"/>
        </w:rPr>
      </w:pPr>
    </w:p>
  </w:footnote>
  <w:footnote w:id="87">
    <w:p w14:paraId="6DACA6D4" w14:textId="48C3EA9E" w:rsidR="0087743B" w:rsidRPr="00620163" w:rsidRDefault="0087743B" w:rsidP="00685A14">
      <w:pPr>
        <w:pStyle w:val="Textonotapie"/>
        <w:jc w:val="both"/>
        <w:rPr>
          <w:rFonts w:ascii="Verdana" w:hAnsi="Verdana"/>
          <w:sz w:val="16"/>
          <w:szCs w:val="16"/>
        </w:rPr>
      </w:pPr>
      <w:r w:rsidRPr="00620163">
        <w:rPr>
          <w:rStyle w:val="Refdenotaalpie"/>
          <w:rFonts w:ascii="Verdana" w:hAnsi="Verdana"/>
          <w:sz w:val="16"/>
          <w:szCs w:val="16"/>
        </w:rPr>
        <w:footnoteRef/>
      </w:r>
      <w:r w:rsidRPr="00620163">
        <w:rPr>
          <w:rFonts w:ascii="Verdana" w:hAnsi="Verdana"/>
          <w:sz w:val="16"/>
          <w:szCs w:val="16"/>
        </w:rPr>
        <w:t xml:space="preserve"> </w:t>
      </w:r>
      <w:r w:rsidRPr="00620163">
        <w:rPr>
          <w:rFonts w:ascii="Verdana" w:hAnsi="Verdana"/>
          <w:sz w:val="16"/>
          <w:szCs w:val="16"/>
        </w:rPr>
        <w:tab/>
      </w:r>
      <w:r w:rsidRPr="00620163">
        <w:rPr>
          <w:rFonts w:ascii="Verdana" w:hAnsi="Verdana"/>
          <w:i/>
          <w:sz w:val="16"/>
          <w:szCs w:val="16"/>
        </w:rPr>
        <w:t xml:space="preserve">Cfr. Condición jurídica y derechos de los migrantes indocumentados. </w:t>
      </w:r>
      <w:r w:rsidRPr="00CF3ED4">
        <w:rPr>
          <w:rFonts w:ascii="Verdana" w:hAnsi="Verdana"/>
          <w:i/>
          <w:sz w:val="16"/>
          <w:szCs w:val="16"/>
        </w:rPr>
        <w:t>Opinión Consultiva OC-18/03</w:t>
      </w:r>
      <w:r w:rsidRPr="00620163">
        <w:rPr>
          <w:rFonts w:ascii="Verdana" w:hAnsi="Verdana"/>
          <w:sz w:val="16"/>
          <w:szCs w:val="16"/>
        </w:rPr>
        <w:t xml:space="preserve"> de 17 de septiembre de 2003. Serie A No. 18, párr. 85, y </w:t>
      </w:r>
      <w:r w:rsidRPr="00A70195">
        <w:rPr>
          <w:rFonts w:ascii="Verdana" w:hAnsi="Verdana"/>
          <w:i/>
          <w:sz w:val="16"/>
          <w:szCs w:val="16"/>
        </w:rPr>
        <w:t>Caso Vicky Hernández y otras Vs. Honduras</w:t>
      </w:r>
      <w:r>
        <w:rPr>
          <w:rFonts w:ascii="Verdana" w:hAnsi="Verdana"/>
          <w:sz w:val="16"/>
          <w:szCs w:val="16"/>
        </w:rPr>
        <w:t>, párr</w:t>
      </w:r>
      <w:r w:rsidRPr="00A507D4">
        <w:rPr>
          <w:rFonts w:ascii="Verdana" w:hAnsi="Verdana" w:cs="Arial"/>
          <w:sz w:val="16"/>
          <w:szCs w:val="16"/>
          <w:shd w:val="clear" w:color="auto" w:fill="FFFFFF"/>
        </w:rPr>
        <w:t>.</w:t>
      </w:r>
      <w:r>
        <w:rPr>
          <w:rFonts w:ascii="Verdana" w:hAnsi="Verdana" w:cs="Arial"/>
          <w:sz w:val="16"/>
          <w:szCs w:val="16"/>
          <w:shd w:val="clear" w:color="auto" w:fill="FFFFFF"/>
        </w:rPr>
        <w:t xml:space="preserve"> 64.</w:t>
      </w:r>
    </w:p>
    <w:p w14:paraId="138914B8" w14:textId="77777777" w:rsidR="0087743B" w:rsidRDefault="0087743B" w:rsidP="00685A14">
      <w:pPr>
        <w:pStyle w:val="Textonotapie"/>
      </w:pPr>
    </w:p>
  </w:footnote>
  <w:footnote w:id="88">
    <w:p w14:paraId="0CEC9A82" w14:textId="6CDAE48D" w:rsidR="0087743B" w:rsidRPr="007F313C" w:rsidRDefault="0087743B" w:rsidP="00685A14">
      <w:pPr>
        <w:pStyle w:val="Prrafodelista"/>
        <w:widowControl/>
        <w:autoSpaceDE/>
        <w:autoSpaceDN/>
        <w:ind w:left="0"/>
        <w:contextualSpacing/>
        <w:rPr>
          <w:sz w:val="16"/>
          <w:szCs w:val="16"/>
        </w:rPr>
      </w:pPr>
      <w:r w:rsidRPr="007F313C">
        <w:rPr>
          <w:rStyle w:val="Refdenotaalpie"/>
          <w:sz w:val="16"/>
          <w:szCs w:val="16"/>
        </w:rPr>
        <w:footnoteRef/>
      </w:r>
      <w:r w:rsidRPr="007F313C">
        <w:rPr>
          <w:sz w:val="16"/>
          <w:szCs w:val="16"/>
        </w:rPr>
        <w:tab/>
        <w:t xml:space="preserve">Las categorías señaladas en el artículo 1.1 no son un listado taxativo. Cuando el artículo 1.1 se refiere a “otra condición social” alude a categorías que son asimilables a las que menciona en su texto. En ese sentido, la Corte ha explicado que tales categorías aluden a “i) rasgos permanentes de las personas de los cuales éstas no pueden prescindir sin perder su identidad; </w:t>
      </w:r>
      <w:proofErr w:type="spellStart"/>
      <w:r w:rsidRPr="007F313C">
        <w:rPr>
          <w:sz w:val="16"/>
          <w:szCs w:val="16"/>
        </w:rPr>
        <w:t>ii</w:t>
      </w:r>
      <w:proofErr w:type="spellEnd"/>
      <w:r w:rsidRPr="007F313C">
        <w:rPr>
          <w:sz w:val="16"/>
          <w:szCs w:val="16"/>
        </w:rPr>
        <w:t xml:space="preserve">) grupos tradicionalmente marginados, excluidos o subordinados, y </w:t>
      </w:r>
      <w:proofErr w:type="spellStart"/>
      <w:r w:rsidRPr="007F313C">
        <w:rPr>
          <w:sz w:val="16"/>
          <w:szCs w:val="16"/>
        </w:rPr>
        <w:t>iii</w:t>
      </w:r>
      <w:proofErr w:type="spellEnd"/>
      <w:r w:rsidRPr="007F313C">
        <w:rPr>
          <w:sz w:val="16"/>
          <w:szCs w:val="16"/>
        </w:rPr>
        <w:t xml:space="preserve">) criterios irrelevantes para una distribución equitativa de bienes, derechos o cargas </w:t>
      </w:r>
      <w:r w:rsidRPr="00107701">
        <w:rPr>
          <w:sz w:val="16"/>
          <w:szCs w:val="16"/>
        </w:rPr>
        <w:t>sociales”. (</w:t>
      </w:r>
      <w:r w:rsidRPr="00F55065">
        <w:rPr>
          <w:i/>
          <w:sz w:val="16"/>
          <w:szCs w:val="16"/>
        </w:rPr>
        <w:t>Cfr.</w:t>
      </w:r>
      <w:r w:rsidRPr="00107701">
        <w:rPr>
          <w:sz w:val="16"/>
          <w:szCs w:val="16"/>
        </w:rPr>
        <w:t xml:space="preserve"> </w:t>
      </w:r>
      <w:r w:rsidRPr="00F55065">
        <w:rPr>
          <w:rFonts w:cs="Arial"/>
          <w:i/>
          <w:sz w:val="16"/>
          <w:szCs w:val="16"/>
          <w:shd w:val="clear" w:color="auto" w:fill="FFFFFF"/>
        </w:rPr>
        <w:t>Caso I.V. Vs. Bolivia. Excepciones Preliminares, Fondo, Reparaciones y Costas.</w:t>
      </w:r>
      <w:r w:rsidRPr="00F55065">
        <w:rPr>
          <w:rFonts w:cs="Arial"/>
          <w:sz w:val="16"/>
          <w:szCs w:val="16"/>
          <w:shd w:val="clear" w:color="auto" w:fill="FFFFFF"/>
        </w:rPr>
        <w:t xml:space="preserve"> Sentencia de 30 de noviembre de 2016. Serie C No. 329, párr. 24</w:t>
      </w:r>
      <w:r>
        <w:rPr>
          <w:rFonts w:cs="Arial"/>
          <w:sz w:val="16"/>
          <w:szCs w:val="16"/>
          <w:shd w:val="clear" w:color="auto" w:fill="FFFFFF"/>
        </w:rPr>
        <w:t>0, e</w:t>
      </w:r>
      <w:r w:rsidRPr="00F55065">
        <w:rPr>
          <w:rFonts w:cs="Arial"/>
          <w:sz w:val="16"/>
          <w:szCs w:val="16"/>
          <w:shd w:val="clear" w:color="auto" w:fill="FFFFFF"/>
        </w:rPr>
        <w:t xml:space="preserve"> </w:t>
      </w:r>
      <w:r w:rsidRPr="00107701">
        <w:rPr>
          <w:rFonts w:cs="Arial"/>
          <w:i/>
          <w:sz w:val="16"/>
          <w:szCs w:val="16"/>
          <w:shd w:val="clear" w:color="auto" w:fill="FFFFFF"/>
        </w:rPr>
        <w:t>Identidad de género, e igualdad y no discriminación a parejas del mismo sexo. Obligaciones estatales en relación con el cambio de nombre, la identidad de género, y los derechos derivados de un vínculo entre parejas del mismo sexo (interpretación y alcance de los artículos 1.1, 3, 7, 11.2, 13, 17, 18 y 24, en relación con el artículo 1 de la Convención Americana sobre Derechos Humanos). Opinión Consultiva OC-24/17</w:t>
      </w:r>
      <w:r w:rsidRPr="00107701">
        <w:rPr>
          <w:rFonts w:cs="Arial"/>
          <w:sz w:val="16"/>
          <w:szCs w:val="16"/>
          <w:shd w:val="clear" w:color="auto" w:fill="FFFFFF"/>
        </w:rPr>
        <w:t xml:space="preserve"> de 24 de noviembre de 2017. Serie A No. 24, </w:t>
      </w:r>
      <w:proofErr w:type="spellStart"/>
      <w:r w:rsidRPr="00107701">
        <w:rPr>
          <w:rFonts w:cs="Arial"/>
          <w:sz w:val="16"/>
          <w:szCs w:val="16"/>
          <w:shd w:val="clear" w:color="auto" w:fill="FFFFFF"/>
        </w:rPr>
        <w:t>párrs</w:t>
      </w:r>
      <w:proofErr w:type="spellEnd"/>
      <w:r w:rsidRPr="00107701">
        <w:rPr>
          <w:rFonts w:cs="Arial"/>
          <w:sz w:val="16"/>
          <w:szCs w:val="16"/>
          <w:shd w:val="clear" w:color="auto" w:fill="FFFFFF"/>
        </w:rPr>
        <w:t>. 66 y 67.)</w:t>
      </w:r>
    </w:p>
    <w:p w14:paraId="6BF02186" w14:textId="77777777" w:rsidR="0087743B" w:rsidRPr="007F313C" w:rsidRDefault="0087743B" w:rsidP="00685A14">
      <w:pPr>
        <w:pStyle w:val="Textonotapie"/>
        <w:jc w:val="both"/>
        <w:rPr>
          <w:rFonts w:ascii="Verdana" w:hAnsi="Verdana"/>
          <w:sz w:val="16"/>
          <w:szCs w:val="16"/>
        </w:rPr>
      </w:pPr>
    </w:p>
  </w:footnote>
  <w:footnote w:id="89">
    <w:p w14:paraId="764309A3" w14:textId="65A1F7EE" w:rsidR="0087743B" w:rsidRPr="007F313C" w:rsidRDefault="0087743B" w:rsidP="00685A14">
      <w:pPr>
        <w:pStyle w:val="Textonotapie"/>
        <w:jc w:val="both"/>
        <w:rPr>
          <w:rFonts w:ascii="Verdana" w:hAnsi="Verdana" w:cs="Arial"/>
          <w:sz w:val="16"/>
          <w:szCs w:val="16"/>
          <w:shd w:val="clear" w:color="auto" w:fill="FFFFFF"/>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cs="Arial"/>
          <w:i/>
          <w:sz w:val="16"/>
          <w:szCs w:val="16"/>
          <w:shd w:val="clear" w:color="auto" w:fill="FFFFFF"/>
        </w:rPr>
        <w:t xml:space="preserve">Caso Azul Rojas Marín y otra Vs. Perú. Excepciones Preliminares, Fondo, Reparaciones y Costas. </w:t>
      </w:r>
      <w:r w:rsidRPr="007F313C">
        <w:rPr>
          <w:rFonts w:ascii="Verdana" w:hAnsi="Verdana" w:cs="Arial"/>
          <w:sz w:val="16"/>
          <w:szCs w:val="16"/>
          <w:shd w:val="clear" w:color="auto" w:fill="FFFFFF"/>
        </w:rPr>
        <w:t>Sentencia de 12 de marzo de 2020. Serie C No. 402, párr. 89</w:t>
      </w:r>
      <w:r>
        <w:rPr>
          <w:rFonts w:ascii="Verdana" w:hAnsi="Verdana" w:cs="Arial"/>
          <w:sz w:val="16"/>
          <w:szCs w:val="16"/>
          <w:shd w:val="clear" w:color="auto" w:fill="FFFFFF"/>
        </w:rPr>
        <w:t xml:space="preserve">, y </w:t>
      </w:r>
      <w:r w:rsidRPr="00A70195">
        <w:rPr>
          <w:rFonts w:ascii="Verdana" w:hAnsi="Verdana"/>
          <w:i/>
          <w:sz w:val="16"/>
          <w:szCs w:val="16"/>
        </w:rPr>
        <w:t>Caso Vicky Hernández y otras Vs. Honduras</w:t>
      </w:r>
      <w:r>
        <w:rPr>
          <w:rFonts w:ascii="Verdana" w:hAnsi="Verdana"/>
          <w:sz w:val="16"/>
          <w:szCs w:val="16"/>
        </w:rPr>
        <w:t>, párr</w:t>
      </w:r>
      <w:r w:rsidRPr="007F313C">
        <w:rPr>
          <w:rFonts w:ascii="Verdana" w:hAnsi="Verdana" w:cs="Arial"/>
          <w:sz w:val="16"/>
          <w:szCs w:val="16"/>
          <w:shd w:val="clear" w:color="auto" w:fill="FFFFFF"/>
        </w:rPr>
        <w:t>.</w:t>
      </w:r>
      <w:r>
        <w:rPr>
          <w:rFonts w:ascii="Verdana" w:hAnsi="Verdana" w:cs="Arial"/>
          <w:sz w:val="16"/>
          <w:szCs w:val="16"/>
          <w:shd w:val="clear" w:color="auto" w:fill="FFFFFF"/>
        </w:rPr>
        <w:t xml:space="preserve"> 66.</w:t>
      </w:r>
    </w:p>
    <w:p w14:paraId="04D5AB14" w14:textId="77777777" w:rsidR="0087743B" w:rsidRPr="007F313C" w:rsidRDefault="0087743B" w:rsidP="00685A14">
      <w:pPr>
        <w:pStyle w:val="Textonotapie"/>
        <w:jc w:val="both"/>
        <w:rPr>
          <w:rFonts w:ascii="Verdana" w:hAnsi="Verdana"/>
          <w:sz w:val="16"/>
          <w:szCs w:val="16"/>
        </w:rPr>
      </w:pPr>
    </w:p>
  </w:footnote>
  <w:footnote w:id="90">
    <w:p w14:paraId="1410D14B" w14:textId="62D7A229" w:rsidR="0087743B" w:rsidRPr="00333EBB" w:rsidRDefault="0087743B" w:rsidP="00685A14">
      <w:pPr>
        <w:pStyle w:val="Textonotapie"/>
        <w:jc w:val="both"/>
        <w:rPr>
          <w:rFonts w:ascii="Verdana" w:hAnsi="Verdana"/>
          <w:sz w:val="16"/>
          <w:szCs w:val="16"/>
        </w:rPr>
      </w:pPr>
      <w:r w:rsidRPr="00333EBB">
        <w:rPr>
          <w:rStyle w:val="Refdenotaalpie"/>
          <w:rFonts w:ascii="Verdana" w:hAnsi="Verdana"/>
          <w:sz w:val="16"/>
          <w:szCs w:val="16"/>
        </w:rPr>
        <w:footnoteRef/>
      </w:r>
      <w:r w:rsidRPr="00333EBB">
        <w:rPr>
          <w:rFonts w:ascii="Verdana" w:hAnsi="Verdana"/>
          <w:sz w:val="16"/>
          <w:szCs w:val="16"/>
        </w:rPr>
        <w:tab/>
      </w:r>
      <w:r w:rsidRPr="00333EBB">
        <w:rPr>
          <w:rFonts w:ascii="Verdana" w:hAnsi="Verdana"/>
          <w:i/>
          <w:sz w:val="16"/>
          <w:szCs w:val="16"/>
        </w:rPr>
        <w:t>Cfr.</w:t>
      </w:r>
      <w:r w:rsidRPr="00333EBB">
        <w:rPr>
          <w:rFonts w:ascii="Verdana" w:hAnsi="Verdana"/>
          <w:sz w:val="16"/>
          <w:szCs w:val="16"/>
        </w:rPr>
        <w:t xml:space="preserve"> </w:t>
      </w:r>
      <w:r w:rsidRPr="00333EBB">
        <w:rPr>
          <w:rFonts w:ascii="Verdana" w:hAnsi="Verdana" w:cs="Arial"/>
          <w:i/>
          <w:sz w:val="16"/>
          <w:szCs w:val="16"/>
          <w:shd w:val="clear" w:color="auto" w:fill="FFFFFF"/>
        </w:rPr>
        <w:t>Caso del Penal Miguel Castro Vs. Perú. Fondo, Reparaciones y Costas.</w:t>
      </w:r>
      <w:r w:rsidRPr="00333EBB">
        <w:rPr>
          <w:rFonts w:ascii="Verdana" w:hAnsi="Verdana" w:cs="Arial"/>
          <w:sz w:val="16"/>
          <w:szCs w:val="16"/>
          <w:shd w:val="clear" w:color="auto" w:fill="FFFFFF"/>
        </w:rPr>
        <w:t xml:space="preserve"> Sentencia de 25 de noviembre de 2006. Serie C No. 160, párr. 303, y </w:t>
      </w:r>
      <w:r w:rsidRPr="00333EBB">
        <w:rPr>
          <w:rFonts w:ascii="Verdana" w:hAnsi="Verdana" w:cs="Arial"/>
          <w:i/>
          <w:sz w:val="16"/>
          <w:szCs w:val="16"/>
          <w:shd w:val="clear" w:color="auto" w:fill="FFFFFF"/>
        </w:rPr>
        <w:t>Caso Guzmán Albarracín y otras Vs. Ecuador. Fondo, Reparaciones y Costas.</w:t>
      </w:r>
      <w:r w:rsidRPr="00333EBB">
        <w:rPr>
          <w:rFonts w:ascii="Verdana" w:hAnsi="Verdana" w:cs="Arial"/>
          <w:sz w:val="16"/>
          <w:szCs w:val="16"/>
          <w:shd w:val="clear" w:color="auto" w:fill="FFFFFF"/>
        </w:rPr>
        <w:t xml:space="preserve"> Sentencia de 24 de junio de 2020. Serie C No. 405</w:t>
      </w:r>
      <w:r w:rsidRPr="00333EBB">
        <w:rPr>
          <w:rFonts w:ascii="Verdana" w:hAnsi="Verdana"/>
          <w:sz w:val="16"/>
          <w:szCs w:val="16"/>
        </w:rPr>
        <w:t>, párr. 113</w:t>
      </w:r>
      <w:r>
        <w:rPr>
          <w:rFonts w:ascii="Verdana" w:hAnsi="Verdana"/>
          <w:sz w:val="16"/>
          <w:szCs w:val="16"/>
        </w:rPr>
        <w:t>.</w:t>
      </w:r>
    </w:p>
    <w:p w14:paraId="6439F878" w14:textId="77777777" w:rsidR="0087743B" w:rsidRPr="007F313C" w:rsidRDefault="0087743B" w:rsidP="00685A14">
      <w:pPr>
        <w:pStyle w:val="Textonotapie"/>
        <w:jc w:val="both"/>
        <w:rPr>
          <w:rFonts w:ascii="Verdana" w:hAnsi="Verdana"/>
          <w:sz w:val="16"/>
          <w:szCs w:val="16"/>
        </w:rPr>
      </w:pPr>
    </w:p>
  </w:footnote>
  <w:footnote w:id="91">
    <w:p w14:paraId="1EFE05B6" w14:textId="75AEA3A7" w:rsidR="0087743B" w:rsidRPr="00F55065" w:rsidRDefault="0087743B" w:rsidP="00685A14">
      <w:pPr>
        <w:pStyle w:val="Textonotapie"/>
        <w:jc w:val="both"/>
        <w:rPr>
          <w:rFonts w:ascii="Verdana" w:hAnsi="Verdana" w:cs="Arial"/>
          <w:sz w:val="16"/>
          <w:szCs w:val="16"/>
          <w:shd w:val="clear" w:color="auto" w:fill="FFFFFF"/>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424C84">
        <w:rPr>
          <w:rFonts w:ascii="Verdana" w:hAnsi="Verdana" w:cs="Arial"/>
          <w:i/>
          <w:sz w:val="16"/>
          <w:szCs w:val="16"/>
          <w:shd w:val="clear" w:color="auto" w:fill="FFFFFF"/>
        </w:rPr>
        <w:t xml:space="preserve">Cfr. </w:t>
      </w:r>
      <w:r w:rsidRPr="00F55065">
        <w:rPr>
          <w:rFonts w:ascii="Verdana" w:hAnsi="Verdana" w:cs="Arial"/>
          <w:i/>
          <w:sz w:val="16"/>
          <w:szCs w:val="16"/>
          <w:shd w:val="clear" w:color="auto" w:fill="FFFFFF"/>
        </w:rPr>
        <w:t xml:space="preserve">Caso </w:t>
      </w:r>
      <w:proofErr w:type="spellStart"/>
      <w:r w:rsidRPr="00F55065">
        <w:rPr>
          <w:rFonts w:ascii="Verdana" w:hAnsi="Verdana" w:cs="Arial"/>
          <w:i/>
          <w:sz w:val="16"/>
          <w:szCs w:val="16"/>
          <w:shd w:val="clear" w:color="auto" w:fill="FFFFFF"/>
        </w:rPr>
        <w:t>Atala</w:t>
      </w:r>
      <w:proofErr w:type="spellEnd"/>
      <w:r w:rsidRPr="00F55065">
        <w:rPr>
          <w:rFonts w:ascii="Verdana" w:hAnsi="Verdana" w:cs="Arial"/>
          <w:i/>
          <w:sz w:val="16"/>
          <w:szCs w:val="16"/>
          <w:shd w:val="clear" w:color="auto" w:fill="FFFFFF"/>
        </w:rPr>
        <w:t xml:space="preserve"> Riffo y niñas Vs. Chile. Fondo, Reparaciones y Costas.</w:t>
      </w:r>
      <w:r w:rsidRPr="00F55065">
        <w:rPr>
          <w:rFonts w:ascii="Verdana" w:hAnsi="Verdana" w:cs="Arial"/>
          <w:sz w:val="16"/>
          <w:szCs w:val="16"/>
          <w:shd w:val="clear" w:color="auto" w:fill="FFFFFF"/>
        </w:rPr>
        <w:t xml:space="preserve"> Sentencia de 24 de febrero de 2012. Serie C No. 239, </w:t>
      </w:r>
      <w:proofErr w:type="spellStart"/>
      <w:r w:rsidRPr="00F55065">
        <w:rPr>
          <w:rFonts w:ascii="Verdana" w:hAnsi="Verdana" w:cs="Arial"/>
          <w:sz w:val="16"/>
          <w:szCs w:val="16"/>
          <w:shd w:val="clear" w:color="auto" w:fill="FFFFFF"/>
        </w:rPr>
        <w:t>párrs</w:t>
      </w:r>
      <w:proofErr w:type="spellEnd"/>
      <w:r w:rsidRPr="00F55065">
        <w:rPr>
          <w:rFonts w:ascii="Verdana" w:hAnsi="Verdana" w:cs="Arial"/>
          <w:sz w:val="16"/>
          <w:szCs w:val="16"/>
          <w:shd w:val="clear" w:color="auto" w:fill="FFFFFF"/>
        </w:rPr>
        <w:t>. 91 y 93</w:t>
      </w:r>
      <w:r>
        <w:rPr>
          <w:rFonts w:ascii="Verdana" w:hAnsi="Verdana" w:cs="Arial"/>
          <w:sz w:val="16"/>
          <w:szCs w:val="16"/>
          <w:shd w:val="clear" w:color="auto" w:fill="FFFFFF"/>
        </w:rPr>
        <w:t xml:space="preserve">; </w:t>
      </w:r>
      <w:r w:rsidRPr="00F55065">
        <w:rPr>
          <w:rFonts w:ascii="Verdana" w:hAnsi="Verdana" w:cs="Arial"/>
          <w:i/>
          <w:sz w:val="16"/>
          <w:szCs w:val="16"/>
          <w:shd w:val="clear" w:color="auto" w:fill="FFFFFF"/>
        </w:rPr>
        <w:t>Caso Flor Freire Vs. Ecuador. Excepción Preliminar, Fondo, Reparaciones y Costas.</w:t>
      </w:r>
      <w:r w:rsidRPr="000118F0">
        <w:rPr>
          <w:rFonts w:ascii="Verdana" w:hAnsi="Verdana" w:cs="Arial"/>
          <w:sz w:val="16"/>
          <w:szCs w:val="16"/>
          <w:shd w:val="clear" w:color="auto" w:fill="FFFFFF"/>
        </w:rPr>
        <w:t xml:space="preserve"> Sentencia de 31 de agosto de 2016. Serie C No. 315</w:t>
      </w:r>
      <w:r>
        <w:rPr>
          <w:rFonts w:ascii="Verdana" w:hAnsi="Verdana" w:cs="Arial"/>
          <w:sz w:val="16"/>
          <w:szCs w:val="16"/>
          <w:shd w:val="clear" w:color="auto" w:fill="FFFFFF"/>
        </w:rPr>
        <w:t xml:space="preserve">, </w:t>
      </w:r>
      <w:proofErr w:type="spellStart"/>
      <w:r>
        <w:rPr>
          <w:rFonts w:ascii="Verdana" w:hAnsi="Verdana" w:cs="Arial"/>
          <w:sz w:val="16"/>
          <w:szCs w:val="16"/>
          <w:shd w:val="clear" w:color="auto" w:fill="FFFFFF"/>
        </w:rPr>
        <w:t>párrs</w:t>
      </w:r>
      <w:proofErr w:type="spellEnd"/>
      <w:r>
        <w:rPr>
          <w:rFonts w:ascii="Verdana" w:hAnsi="Verdana" w:cs="Arial"/>
          <w:sz w:val="16"/>
          <w:szCs w:val="16"/>
          <w:shd w:val="clear" w:color="auto" w:fill="FFFFFF"/>
        </w:rPr>
        <w:t>. 118 a 124, y</w:t>
      </w:r>
      <w:r w:rsidRPr="00F55065">
        <w:rPr>
          <w:rFonts w:ascii="Verdana" w:hAnsi="Verdana" w:cs="Arial"/>
          <w:color w:val="494848"/>
          <w:sz w:val="16"/>
          <w:szCs w:val="16"/>
          <w:shd w:val="clear" w:color="auto" w:fill="FFFFFF"/>
        </w:rPr>
        <w:t xml:space="preserve"> </w:t>
      </w:r>
      <w:r w:rsidRPr="00A70195">
        <w:rPr>
          <w:rFonts w:ascii="Verdana" w:hAnsi="Verdana"/>
          <w:i/>
          <w:sz w:val="16"/>
          <w:szCs w:val="16"/>
        </w:rPr>
        <w:t>Caso Vicky Hernández y otras Vs. Honduras</w:t>
      </w:r>
      <w:r>
        <w:rPr>
          <w:rFonts w:ascii="Verdana" w:hAnsi="Verdana" w:cs="Arial"/>
          <w:sz w:val="16"/>
          <w:szCs w:val="16"/>
          <w:shd w:val="clear" w:color="auto" w:fill="FFFFFF"/>
        </w:rPr>
        <w:t xml:space="preserve">, párr. 67. De conformidad con la segunda de las sentencias citadas, la conducta que afecte a un derecho puede ser discriminatoria si tiene vinculación con la percepción de que la víctima pertenece a un grupo o sector social, de modo independiente a que ello se corresponda con la realidad o </w:t>
      </w:r>
      <w:proofErr w:type="spellStart"/>
      <w:proofErr w:type="gramStart"/>
      <w:r>
        <w:rPr>
          <w:rFonts w:ascii="Verdana" w:hAnsi="Verdana" w:cs="Arial"/>
          <w:sz w:val="16"/>
          <w:szCs w:val="16"/>
          <w:shd w:val="clear" w:color="auto" w:fill="FFFFFF"/>
        </w:rPr>
        <w:t>auto-identificación</w:t>
      </w:r>
      <w:proofErr w:type="spellEnd"/>
      <w:proofErr w:type="gramEnd"/>
      <w:r>
        <w:rPr>
          <w:rFonts w:ascii="Verdana" w:hAnsi="Verdana" w:cs="Arial"/>
          <w:sz w:val="16"/>
          <w:szCs w:val="16"/>
          <w:shd w:val="clear" w:color="auto" w:fill="FFFFFF"/>
        </w:rPr>
        <w:t xml:space="preserve"> de la víctima (ya antes en la Corte se había expresado en el mismo sentido: </w:t>
      </w:r>
      <w:r w:rsidRPr="00F55065">
        <w:rPr>
          <w:rFonts w:ascii="Verdana" w:hAnsi="Verdana" w:cs="Arial"/>
          <w:i/>
          <w:sz w:val="16"/>
          <w:szCs w:val="16"/>
          <w:shd w:val="clear" w:color="auto" w:fill="FFFFFF"/>
        </w:rPr>
        <w:t xml:space="preserve">cfr. Caso Perozo y otros Vs. Venezuela. Excepciones Preliminares, Fondo, Reparaciones y Costas. </w:t>
      </w:r>
      <w:r>
        <w:rPr>
          <w:rFonts w:ascii="Verdana" w:hAnsi="Verdana" w:cs="Arial"/>
          <w:sz w:val="16"/>
          <w:szCs w:val="16"/>
          <w:shd w:val="clear" w:color="auto" w:fill="FFFFFF"/>
        </w:rPr>
        <w:t xml:space="preserve">Sentencia de 28 de enero </w:t>
      </w:r>
      <w:r w:rsidRPr="00C22FBB">
        <w:rPr>
          <w:rFonts w:ascii="Verdana" w:hAnsi="Verdana" w:cs="Arial"/>
          <w:sz w:val="16"/>
          <w:szCs w:val="16"/>
          <w:shd w:val="clear" w:color="auto" w:fill="FFFFFF"/>
        </w:rPr>
        <w:t>de 2009. Serie C No. 195, párr. 380</w:t>
      </w:r>
      <w:r>
        <w:rPr>
          <w:rFonts w:ascii="Verdana" w:hAnsi="Verdana" w:cs="Arial"/>
          <w:sz w:val="16"/>
          <w:szCs w:val="16"/>
          <w:shd w:val="clear" w:color="auto" w:fill="FFFFFF"/>
        </w:rPr>
        <w:t>).</w:t>
      </w:r>
    </w:p>
    <w:p w14:paraId="122DE319" w14:textId="77777777" w:rsidR="0087743B" w:rsidRPr="007F313C" w:rsidRDefault="0087743B" w:rsidP="00685A14">
      <w:pPr>
        <w:pStyle w:val="Textonotapie"/>
        <w:jc w:val="both"/>
        <w:rPr>
          <w:rFonts w:ascii="Verdana" w:hAnsi="Verdana"/>
          <w:sz w:val="16"/>
          <w:szCs w:val="16"/>
        </w:rPr>
      </w:pPr>
    </w:p>
  </w:footnote>
  <w:footnote w:id="92">
    <w:p w14:paraId="056DF09B" w14:textId="77777777" w:rsidR="0087743B" w:rsidRPr="007F313C" w:rsidRDefault="0087743B" w:rsidP="00685A14">
      <w:pPr>
        <w:pStyle w:val="Textonotapie"/>
        <w:jc w:val="both"/>
        <w:rPr>
          <w:rFonts w:ascii="Verdana" w:hAnsi="Verdana" w:cs="Arial"/>
          <w:sz w:val="16"/>
          <w:szCs w:val="16"/>
          <w:shd w:val="clear" w:color="auto" w:fill="FFFFFF"/>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cs="Arial"/>
          <w:i/>
          <w:sz w:val="16"/>
          <w:szCs w:val="16"/>
          <w:shd w:val="clear" w:color="auto" w:fill="FFFFFF"/>
        </w:rPr>
        <w:t>Caso Acosta Martínez y otros Vs. Argentina. Fondo, Reparaciones y Costas.</w:t>
      </w:r>
      <w:r w:rsidRPr="007F313C">
        <w:rPr>
          <w:rFonts w:ascii="Verdana" w:hAnsi="Verdana" w:cs="Arial"/>
          <w:sz w:val="16"/>
          <w:szCs w:val="16"/>
          <w:shd w:val="clear" w:color="auto" w:fill="FFFFFF"/>
        </w:rPr>
        <w:t xml:space="preserve"> Sentencia de 31 de agosto de 2020. Serie C No. 410, </w:t>
      </w:r>
      <w:proofErr w:type="spellStart"/>
      <w:r w:rsidRPr="007F313C">
        <w:rPr>
          <w:rFonts w:ascii="Verdana" w:hAnsi="Verdana" w:cs="Arial"/>
          <w:sz w:val="16"/>
          <w:szCs w:val="16"/>
          <w:shd w:val="clear" w:color="auto" w:fill="FFFFFF"/>
        </w:rPr>
        <w:t>párrs</w:t>
      </w:r>
      <w:proofErr w:type="spellEnd"/>
      <w:r w:rsidRPr="007F313C">
        <w:rPr>
          <w:rFonts w:ascii="Verdana" w:hAnsi="Verdana" w:cs="Arial"/>
          <w:sz w:val="16"/>
          <w:szCs w:val="16"/>
          <w:shd w:val="clear" w:color="auto" w:fill="FFFFFF"/>
        </w:rPr>
        <w:t xml:space="preserve">. 100 y 101. </w:t>
      </w:r>
    </w:p>
    <w:p w14:paraId="65B41876" w14:textId="77777777" w:rsidR="0087743B" w:rsidRPr="007F313C" w:rsidRDefault="0087743B" w:rsidP="00685A14">
      <w:pPr>
        <w:pStyle w:val="Textonotapie"/>
        <w:jc w:val="both"/>
        <w:rPr>
          <w:rFonts w:ascii="Verdana" w:hAnsi="Verdana"/>
          <w:sz w:val="16"/>
          <w:szCs w:val="16"/>
        </w:rPr>
      </w:pPr>
    </w:p>
  </w:footnote>
  <w:footnote w:id="93">
    <w:p w14:paraId="491B62E0" w14:textId="77777777" w:rsidR="0087743B" w:rsidRPr="00966844" w:rsidRDefault="0087743B" w:rsidP="00685A14">
      <w:pPr>
        <w:pStyle w:val="Textonotapie"/>
        <w:jc w:val="both"/>
        <w:rPr>
          <w:rFonts w:ascii="Verdana" w:hAnsi="Verdana" w:cs="Arial"/>
          <w:sz w:val="16"/>
          <w:szCs w:val="16"/>
          <w:shd w:val="clear" w:color="auto" w:fill="FFFFFF"/>
        </w:rPr>
      </w:pPr>
      <w:r w:rsidRPr="00966844">
        <w:rPr>
          <w:rStyle w:val="Refdenotaalpie"/>
          <w:rFonts w:ascii="Verdana" w:hAnsi="Verdana"/>
          <w:sz w:val="16"/>
          <w:szCs w:val="16"/>
        </w:rPr>
        <w:footnoteRef/>
      </w:r>
      <w:r w:rsidRPr="00966844">
        <w:rPr>
          <w:rFonts w:ascii="Verdana" w:hAnsi="Verdana"/>
          <w:sz w:val="16"/>
          <w:szCs w:val="16"/>
        </w:rPr>
        <w:t xml:space="preserve">  </w:t>
      </w:r>
      <w:r w:rsidRPr="00966844">
        <w:rPr>
          <w:rFonts w:ascii="Verdana" w:hAnsi="Verdana"/>
          <w:sz w:val="16"/>
          <w:szCs w:val="16"/>
        </w:rPr>
        <w:tab/>
      </w:r>
      <w:r w:rsidRPr="00966844">
        <w:rPr>
          <w:rFonts w:ascii="Verdana" w:hAnsi="Verdana"/>
          <w:i/>
          <w:sz w:val="16"/>
          <w:szCs w:val="16"/>
        </w:rPr>
        <w:t xml:space="preserve">Cfr. </w:t>
      </w:r>
      <w:r w:rsidRPr="00966844">
        <w:rPr>
          <w:rFonts w:ascii="Verdana" w:hAnsi="Verdana" w:cs="Arial"/>
          <w:i/>
          <w:sz w:val="16"/>
          <w:szCs w:val="16"/>
          <w:shd w:val="clear" w:color="auto" w:fill="FFFFFF"/>
        </w:rPr>
        <w:t xml:space="preserve">Caso de los Empleados de la Fábrica de Fuegos de Santo </w:t>
      </w:r>
      <w:proofErr w:type="spellStart"/>
      <w:r w:rsidRPr="00966844">
        <w:rPr>
          <w:rFonts w:ascii="Verdana" w:hAnsi="Verdana" w:cs="Arial"/>
          <w:i/>
          <w:sz w:val="16"/>
          <w:szCs w:val="16"/>
          <w:shd w:val="clear" w:color="auto" w:fill="FFFFFF"/>
        </w:rPr>
        <w:t>Antônio</w:t>
      </w:r>
      <w:proofErr w:type="spellEnd"/>
      <w:r w:rsidRPr="00966844">
        <w:rPr>
          <w:rFonts w:ascii="Verdana" w:hAnsi="Verdana" w:cs="Arial"/>
          <w:i/>
          <w:sz w:val="16"/>
          <w:szCs w:val="16"/>
          <w:shd w:val="clear" w:color="auto" w:fill="FFFFFF"/>
        </w:rPr>
        <w:t xml:space="preserve"> de </w:t>
      </w:r>
      <w:proofErr w:type="spellStart"/>
      <w:r w:rsidRPr="00966844">
        <w:rPr>
          <w:rFonts w:ascii="Verdana" w:hAnsi="Verdana" w:cs="Arial"/>
          <w:i/>
          <w:sz w:val="16"/>
          <w:szCs w:val="16"/>
          <w:shd w:val="clear" w:color="auto" w:fill="FFFFFF"/>
        </w:rPr>
        <w:t>Jesus</w:t>
      </w:r>
      <w:proofErr w:type="spellEnd"/>
      <w:r w:rsidRPr="00966844">
        <w:rPr>
          <w:rFonts w:ascii="Verdana" w:hAnsi="Verdana" w:cs="Arial"/>
          <w:i/>
          <w:sz w:val="16"/>
          <w:szCs w:val="16"/>
          <w:shd w:val="clear" w:color="auto" w:fill="FFFFFF"/>
        </w:rPr>
        <w:t xml:space="preserve"> Vs. Brasil. Excepciones Preliminares, Fondo, Reparaciones y Costas.</w:t>
      </w:r>
      <w:r w:rsidRPr="00966844">
        <w:rPr>
          <w:rFonts w:ascii="Verdana" w:hAnsi="Verdana" w:cs="Arial"/>
          <w:sz w:val="16"/>
          <w:szCs w:val="16"/>
          <w:shd w:val="clear" w:color="auto" w:fill="FFFFFF"/>
        </w:rPr>
        <w:t xml:space="preserve"> Sentencia de 15 de julio de 2020. Serie C No. 407, párr. 185.</w:t>
      </w:r>
    </w:p>
    <w:p w14:paraId="3AACF674" w14:textId="77777777" w:rsidR="0087743B" w:rsidRDefault="0087743B" w:rsidP="00685A14">
      <w:pPr>
        <w:pStyle w:val="Textonotapie"/>
      </w:pPr>
    </w:p>
  </w:footnote>
  <w:footnote w:id="94">
    <w:p w14:paraId="18779A22" w14:textId="4F10E03D" w:rsidR="0087743B" w:rsidRPr="00D64A29" w:rsidRDefault="0087743B" w:rsidP="00685A14">
      <w:pPr>
        <w:pStyle w:val="Textonotapie"/>
        <w:jc w:val="both"/>
        <w:rPr>
          <w:rFonts w:ascii="Verdana" w:hAnsi="Verdana" w:cs="Arial"/>
          <w:sz w:val="16"/>
          <w:szCs w:val="16"/>
          <w:shd w:val="clear" w:color="auto" w:fill="FFFFFF"/>
        </w:rPr>
      </w:pPr>
      <w:r w:rsidRPr="00D64A29">
        <w:rPr>
          <w:rStyle w:val="Refdenotaalpie"/>
          <w:rFonts w:ascii="Verdana" w:hAnsi="Verdana"/>
          <w:sz w:val="16"/>
          <w:szCs w:val="16"/>
        </w:rPr>
        <w:footnoteRef/>
      </w:r>
      <w:r w:rsidRPr="00D64A29">
        <w:rPr>
          <w:rFonts w:ascii="Verdana" w:hAnsi="Verdana"/>
          <w:sz w:val="16"/>
          <w:szCs w:val="16"/>
        </w:rPr>
        <w:t xml:space="preserve">  </w:t>
      </w:r>
      <w:r w:rsidRPr="00D64A29">
        <w:rPr>
          <w:rFonts w:ascii="Verdana" w:hAnsi="Verdana"/>
          <w:sz w:val="16"/>
          <w:szCs w:val="16"/>
        </w:rPr>
        <w:tab/>
      </w:r>
      <w:r w:rsidRPr="00D64A29">
        <w:rPr>
          <w:rFonts w:ascii="Verdana" w:hAnsi="Verdana"/>
          <w:i/>
          <w:sz w:val="16"/>
          <w:szCs w:val="16"/>
        </w:rPr>
        <w:t>Cfr. Condición jurídica y derechos de los migrantes indocumentados</w:t>
      </w:r>
      <w:r w:rsidRPr="00D64A29">
        <w:rPr>
          <w:rFonts w:ascii="Verdana" w:hAnsi="Verdana"/>
          <w:sz w:val="16"/>
          <w:szCs w:val="16"/>
        </w:rPr>
        <w:t xml:space="preserve">. </w:t>
      </w:r>
      <w:r w:rsidRPr="00F55065">
        <w:rPr>
          <w:rFonts w:ascii="Verdana" w:hAnsi="Verdana"/>
          <w:i/>
          <w:sz w:val="16"/>
          <w:szCs w:val="16"/>
        </w:rPr>
        <w:t>Opinión Consultiva OC-18/03</w:t>
      </w:r>
      <w:r w:rsidRPr="00D64A29">
        <w:rPr>
          <w:rFonts w:ascii="Verdana" w:hAnsi="Verdana"/>
          <w:sz w:val="16"/>
          <w:szCs w:val="16"/>
        </w:rPr>
        <w:t xml:space="preserve">, párr. 101, y </w:t>
      </w:r>
      <w:r w:rsidRPr="00D64A29">
        <w:rPr>
          <w:rFonts w:ascii="Verdana" w:hAnsi="Verdana" w:cs="Arial"/>
          <w:i/>
          <w:sz w:val="16"/>
          <w:szCs w:val="16"/>
          <w:shd w:val="clear" w:color="auto" w:fill="FFFFFF"/>
        </w:rPr>
        <w:t xml:space="preserve">Caso Poblete Vilches y otros Vs. Chile. Fondo, Reparaciones y Costas. </w:t>
      </w:r>
      <w:r w:rsidRPr="00D64A29">
        <w:rPr>
          <w:rFonts w:ascii="Verdana" w:hAnsi="Verdana" w:cs="Arial"/>
          <w:sz w:val="16"/>
          <w:szCs w:val="16"/>
          <w:shd w:val="clear" w:color="auto" w:fill="FFFFFF"/>
        </w:rPr>
        <w:t>Sentencia de 8 de marzo de 2018. Serie C No. 349, párr. 122.</w:t>
      </w:r>
    </w:p>
    <w:p w14:paraId="3F60C399" w14:textId="77777777" w:rsidR="0087743B" w:rsidRDefault="0087743B" w:rsidP="00685A14">
      <w:pPr>
        <w:pStyle w:val="Textonotapie"/>
        <w:jc w:val="both"/>
      </w:pPr>
    </w:p>
  </w:footnote>
  <w:footnote w:id="95">
    <w:p w14:paraId="7E3C95BA" w14:textId="77777777" w:rsidR="0087743B" w:rsidRDefault="0087743B" w:rsidP="00685A14">
      <w:pPr>
        <w:pStyle w:val="Textonotapie"/>
        <w:jc w:val="both"/>
        <w:rPr>
          <w:rFonts w:ascii="Verdana" w:hAnsi="Verdana" w:cs="Arial"/>
          <w:sz w:val="16"/>
          <w:szCs w:val="16"/>
          <w:shd w:val="clear" w:color="auto" w:fill="FFFFFF"/>
        </w:rPr>
      </w:pPr>
      <w:r>
        <w:rPr>
          <w:rStyle w:val="Refdenotaalpie"/>
        </w:rPr>
        <w:footnoteRef/>
      </w:r>
      <w:r>
        <w:t xml:space="preserve"> </w:t>
      </w:r>
      <w:r>
        <w:tab/>
      </w:r>
      <w:r w:rsidRPr="007F313C">
        <w:rPr>
          <w:rFonts w:ascii="Verdana" w:hAnsi="Verdana" w:cs="Arial"/>
          <w:i/>
          <w:sz w:val="16"/>
          <w:szCs w:val="16"/>
          <w:shd w:val="clear" w:color="auto" w:fill="FFFFFF"/>
        </w:rPr>
        <w:t xml:space="preserve">Caso Fernández Prieto y </w:t>
      </w:r>
      <w:proofErr w:type="spellStart"/>
      <w:r w:rsidRPr="007F313C">
        <w:rPr>
          <w:rFonts w:ascii="Verdana" w:hAnsi="Verdana" w:cs="Arial"/>
          <w:i/>
          <w:sz w:val="16"/>
          <w:szCs w:val="16"/>
          <w:shd w:val="clear" w:color="auto" w:fill="FFFFFF"/>
        </w:rPr>
        <w:t>Tumbeiro</w:t>
      </w:r>
      <w:proofErr w:type="spellEnd"/>
      <w:r w:rsidRPr="007F313C">
        <w:rPr>
          <w:rFonts w:ascii="Verdana" w:hAnsi="Verdana" w:cs="Arial"/>
          <w:i/>
          <w:sz w:val="16"/>
          <w:szCs w:val="16"/>
          <w:shd w:val="clear" w:color="auto" w:fill="FFFFFF"/>
        </w:rPr>
        <w:t xml:space="preserve"> Vs. Argentina. Fondo y Reparaciones</w:t>
      </w:r>
      <w:r w:rsidRPr="007F313C">
        <w:rPr>
          <w:rFonts w:ascii="Verdana" w:hAnsi="Verdana" w:cs="Arial"/>
          <w:sz w:val="16"/>
          <w:szCs w:val="16"/>
          <w:shd w:val="clear" w:color="auto" w:fill="FFFFFF"/>
        </w:rPr>
        <w:t>. Sentencia de 1 de septiembre de 2020</w:t>
      </w:r>
      <w:r>
        <w:rPr>
          <w:rFonts w:ascii="Verdana" w:hAnsi="Verdana" w:cs="Arial"/>
          <w:sz w:val="16"/>
          <w:szCs w:val="16"/>
          <w:shd w:val="clear" w:color="auto" w:fill="FFFFFF"/>
        </w:rPr>
        <w:t>. Serie C No. 411, párr. 80</w:t>
      </w:r>
      <w:r w:rsidRPr="007F313C">
        <w:rPr>
          <w:rFonts w:ascii="Verdana" w:hAnsi="Verdana" w:cs="Arial"/>
          <w:sz w:val="16"/>
          <w:szCs w:val="16"/>
          <w:shd w:val="clear" w:color="auto" w:fill="FFFFFF"/>
        </w:rPr>
        <w:t>.</w:t>
      </w:r>
    </w:p>
    <w:p w14:paraId="7548F5E8" w14:textId="77777777" w:rsidR="0087743B" w:rsidRDefault="0087743B" w:rsidP="00685A14">
      <w:pPr>
        <w:pStyle w:val="Textonotapie"/>
      </w:pPr>
    </w:p>
  </w:footnote>
  <w:footnote w:id="96">
    <w:p w14:paraId="0B0EB082" w14:textId="4A8A3008" w:rsidR="0087743B" w:rsidRPr="007F313C" w:rsidRDefault="0087743B" w:rsidP="00685A14">
      <w:pPr>
        <w:pStyle w:val="Textonotapie"/>
        <w:jc w:val="both"/>
        <w:rPr>
          <w:rFonts w:ascii="Verdana" w:hAnsi="Verdana" w:cs="Arial"/>
          <w:sz w:val="16"/>
          <w:szCs w:val="16"/>
          <w:shd w:val="clear" w:color="auto" w:fill="FFFFFF"/>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Al respecto, por “estereotipo” debe entenderse la “</w:t>
      </w:r>
      <w:proofErr w:type="spellStart"/>
      <w:r w:rsidRPr="007F313C">
        <w:rPr>
          <w:rFonts w:ascii="Verdana" w:hAnsi="Verdana"/>
          <w:sz w:val="16"/>
          <w:szCs w:val="16"/>
        </w:rPr>
        <w:t>preconcepci</w:t>
      </w:r>
      <w:proofErr w:type="spellEnd"/>
      <w:r w:rsidRPr="007F313C">
        <w:rPr>
          <w:rFonts w:ascii="Verdana" w:hAnsi="Verdana"/>
          <w:sz w:val="16"/>
          <w:szCs w:val="16"/>
        </w:rPr>
        <w:t>[</w:t>
      </w:r>
      <w:proofErr w:type="spellStart"/>
      <w:r w:rsidRPr="007F313C">
        <w:rPr>
          <w:rFonts w:ascii="Verdana" w:hAnsi="Verdana"/>
          <w:sz w:val="16"/>
          <w:szCs w:val="16"/>
        </w:rPr>
        <w:t>ón</w:t>
      </w:r>
      <w:proofErr w:type="spellEnd"/>
      <w:r w:rsidRPr="007F313C">
        <w:rPr>
          <w:rFonts w:ascii="Verdana" w:hAnsi="Verdana"/>
          <w:sz w:val="16"/>
          <w:szCs w:val="16"/>
        </w:rPr>
        <w:t>] de los atributos, conductas, papeles o características poseídas por personas que pertenecen a un grupo identificado” (</w:t>
      </w:r>
      <w:r w:rsidRPr="007F313C">
        <w:rPr>
          <w:rFonts w:ascii="Verdana" w:hAnsi="Verdana"/>
          <w:i/>
          <w:sz w:val="16"/>
          <w:szCs w:val="16"/>
        </w:rPr>
        <w:t xml:space="preserve">cfr. Caso </w:t>
      </w:r>
      <w:proofErr w:type="spellStart"/>
      <w:r w:rsidRPr="007F313C">
        <w:rPr>
          <w:rFonts w:ascii="Verdana" w:hAnsi="Verdana"/>
          <w:i/>
          <w:sz w:val="16"/>
          <w:szCs w:val="16"/>
        </w:rPr>
        <w:t>Norín</w:t>
      </w:r>
      <w:proofErr w:type="spellEnd"/>
      <w:r w:rsidRPr="007F313C">
        <w:rPr>
          <w:rFonts w:ascii="Verdana" w:hAnsi="Verdana"/>
          <w:i/>
          <w:sz w:val="16"/>
          <w:szCs w:val="16"/>
        </w:rPr>
        <w:t xml:space="preserve"> </w:t>
      </w:r>
      <w:proofErr w:type="spellStart"/>
      <w:r w:rsidRPr="007F313C">
        <w:rPr>
          <w:rFonts w:ascii="Verdana" w:hAnsi="Verdana"/>
          <w:i/>
          <w:sz w:val="16"/>
          <w:szCs w:val="16"/>
        </w:rPr>
        <w:t>Catrimán</w:t>
      </w:r>
      <w:proofErr w:type="spellEnd"/>
      <w:r w:rsidRPr="007F313C">
        <w:rPr>
          <w:rFonts w:ascii="Verdana" w:hAnsi="Verdana"/>
          <w:i/>
          <w:sz w:val="16"/>
          <w:szCs w:val="16"/>
        </w:rPr>
        <w:t xml:space="preserve"> y Otros (Dirigentes, Miembros y Activista del Pueblo Indígena Mapuche) Vs. Chile. Fondo, Reparaciones y Costas.</w:t>
      </w:r>
      <w:r w:rsidRPr="007F313C">
        <w:rPr>
          <w:rFonts w:ascii="Verdana" w:hAnsi="Verdana"/>
          <w:sz w:val="16"/>
          <w:szCs w:val="16"/>
        </w:rPr>
        <w:t xml:space="preserve"> Sentencia de 29 de mayo de 2014. Serie C No. 279, párr. 223, y </w:t>
      </w:r>
      <w:r w:rsidRPr="007F313C">
        <w:rPr>
          <w:rFonts w:ascii="Verdana" w:hAnsi="Verdana" w:cs="Arial"/>
          <w:i/>
          <w:sz w:val="16"/>
          <w:szCs w:val="16"/>
          <w:shd w:val="clear" w:color="auto" w:fill="FFFFFF"/>
        </w:rPr>
        <w:t xml:space="preserve">Caso Fernández Prieto y </w:t>
      </w:r>
      <w:proofErr w:type="spellStart"/>
      <w:r w:rsidRPr="007F313C">
        <w:rPr>
          <w:rFonts w:ascii="Verdana" w:hAnsi="Verdana" w:cs="Arial"/>
          <w:i/>
          <w:sz w:val="16"/>
          <w:szCs w:val="16"/>
          <w:shd w:val="clear" w:color="auto" w:fill="FFFFFF"/>
        </w:rPr>
        <w:t>Tumbeiro</w:t>
      </w:r>
      <w:proofErr w:type="spellEnd"/>
      <w:r w:rsidRPr="007F313C">
        <w:rPr>
          <w:rFonts w:ascii="Verdana" w:hAnsi="Verdana" w:cs="Arial"/>
          <w:i/>
          <w:sz w:val="16"/>
          <w:szCs w:val="16"/>
          <w:shd w:val="clear" w:color="auto" w:fill="FFFFFF"/>
        </w:rPr>
        <w:t xml:space="preserve"> Vs. Argentina</w:t>
      </w:r>
      <w:r w:rsidRPr="007F313C">
        <w:rPr>
          <w:rFonts w:ascii="Verdana" w:hAnsi="Verdana" w:cs="Arial"/>
          <w:sz w:val="16"/>
          <w:szCs w:val="16"/>
          <w:shd w:val="clear" w:color="auto" w:fill="FFFFFF"/>
        </w:rPr>
        <w:t>, párr. 80).</w:t>
      </w:r>
    </w:p>
    <w:p w14:paraId="4D961C01" w14:textId="77777777" w:rsidR="0087743B" w:rsidRPr="007F313C" w:rsidRDefault="0087743B" w:rsidP="00685A14">
      <w:pPr>
        <w:pStyle w:val="Textonotapie"/>
        <w:jc w:val="both"/>
        <w:rPr>
          <w:rFonts w:ascii="Verdana" w:hAnsi="Verdana"/>
          <w:sz w:val="16"/>
          <w:szCs w:val="16"/>
        </w:rPr>
      </w:pPr>
    </w:p>
  </w:footnote>
  <w:footnote w:id="97">
    <w:p w14:paraId="12BD35B9" w14:textId="5EA90709"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cs="Arial"/>
          <w:i/>
          <w:sz w:val="16"/>
          <w:szCs w:val="16"/>
          <w:shd w:val="clear" w:color="auto" w:fill="FFFFFF"/>
        </w:rPr>
        <w:t xml:space="preserve">Caso Fernández Prieto y </w:t>
      </w:r>
      <w:proofErr w:type="spellStart"/>
      <w:r w:rsidRPr="007F313C">
        <w:rPr>
          <w:rFonts w:ascii="Verdana" w:hAnsi="Verdana" w:cs="Arial"/>
          <w:i/>
          <w:sz w:val="16"/>
          <w:szCs w:val="16"/>
          <w:shd w:val="clear" w:color="auto" w:fill="FFFFFF"/>
        </w:rPr>
        <w:t>Tumbeiro</w:t>
      </w:r>
      <w:proofErr w:type="spellEnd"/>
      <w:r w:rsidRPr="007F313C">
        <w:rPr>
          <w:rFonts w:ascii="Verdana" w:hAnsi="Verdana" w:cs="Arial"/>
          <w:i/>
          <w:sz w:val="16"/>
          <w:szCs w:val="16"/>
          <w:shd w:val="clear" w:color="auto" w:fill="FFFFFF"/>
        </w:rPr>
        <w:t xml:space="preserve"> Vs. Argentina</w:t>
      </w:r>
      <w:r w:rsidRPr="007F313C">
        <w:rPr>
          <w:rFonts w:ascii="Verdana" w:hAnsi="Verdana" w:cs="Arial"/>
          <w:sz w:val="16"/>
          <w:szCs w:val="16"/>
          <w:shd w:val="clear" w:color="auto" w:fill="FFFFFF"/>
        </w:rPr>
        <w:t xml:space="preserve">, </w:t>
      </w:r>
      <w:proofErr w:type="spellStart"/>
      <w:r w:rsidRPr="007F313C">
        <w:rPr>
          <w:rFonts w:ascii="Verdana" w:hAnsi="Verdana" w:cs="Arial"/>
          <w:sz w:val="16"/>
          <w:szCs w:val="16"/>
          <w:shd w:val="clear" w:color="auto" w:fill="FFFFFF"/>
        </w:rPr>
        <w:t>párr</w:t>
      </w:r>
      <w:r>
        <w:rPr>
          <w:rFonts w:ascii="Verdana" w:hAnsi="Verdana" w:cs="Arial"/>
          <w:sz w:val="16"/>
          <w:szCs w:val="16"/>
          <w:shd w:val="clear" w:color="auto" w:fill="FFFFFF"/>
        </w:rPr>
        <w:t>s</w:t>
      </w:r>
      <w:proofErr w:type="spellEnd"/>
      <w:r w:rsidRPr="007F313C">
        <w:rPr>
          <w:rFonts w:ascii="Verdana" w:hAnsi="Verdana" w:cs="Arial"/>
          <w:sz w:val="16"/>
          <w:szCs w:val="16"/>
          <w:shd w:val="clear" w:color="auto" w:fill="FFFFFF"/>
        </w:rPr>
        <w:t>. 80 a 82.</w:t>
      </w:r>
    </w:p>
    <w:p w14:paraId="7FC2A822" w14:textId="77777777" w:rsidR="0087743B" w:rsidRPr="007F313C" w:rsidRDefault="0087743B" w:rsidP="00685A14">
      <w:pPr>
        <w:pStyle w:val="Textonotapie"/>
        <w:jc w:val="both"/>
        <w:rPr>
          <w:rFonts w:ascii="Verdana" w:hAnsi="Verdana"/>
          <w:sz w:val="16"/>
          <w:szCs w:val="16"/>
        </w:rPr>
      </w:pPr>
    </w:p>
  </w:footnote>
  <w:footnote w:id="98">
    <w:p w14:paraId="69B92DD0" w14:textId="488A4F42" w:rsidR="0087743B" w:rsidRPr="007F313C" w:rsidRDefault="0087743B" w:rsidP="00685A14">
      <w:pPr>
        <w:pStyle w:val="Textonotapie"/>
        <w:jc w:val="both"/>
        <w:rPr>
          <w:rFonts w:ascii="Verdana" w:hAnsi="Verdana" w:cs="Arial"/>
          <w:sz w:val="16"/>
          <w:szCs w:val="16"/>
          <w:shd w:val="clear" w:color="auto" w:fill="FFFFFF"/>
        </w:rPr>
      </w:pPr>
      <w:r w:rsidRPr="007F313C">
        <w:rPr>
          <w:rStyle w:val="Refdenotaalpie"/>
          <w:rFonts w:ascii="Verdana" w:hAnsi="Verdana"/>
          <w:sz w:val="16"/>
          <w:szCs w:val="16"/>
        </w:rPr>
        <w:footnoteRef/>
      </w:r>
      <w:r w:rsidRPr="007F313C">
        <w:rPr>
          <w:rFonts w:ascii="Verdana" w:hAnsi="Verdana"/>
          <w:sz w:val="16"/>
          <w:szCs w:val="16"/>
        </w:rPr>
        <w:tab/>
      </w:r>
      <w:r w:rsidRPr="007F313C">
        <w:rPr>
          <w:rFonts w:ascii="Verdana" w:hAnsi="Verdana"/>
          <w:i/>
          <w:sz w:val="16"/>
          <w:szCs w:val="16"/>
        </w:rPr>
        <w:t xml:space="preserve">Cfr. </w:t>
      </w:r>
      <w:r w:rsidRPr="007F313C">
        <w:rPr>
          <w:rFonts w:ascii="Verdana" w:hAnsi="Verdana" w:cs="Arial"/>
          <w:i/>
          <w:sz w:val="16"/>
          <w:szCs w:val="16"/>
          <w:shd w:val="clear" w:color="auto" w:fill="FFFFFF"/>
        </w:rPr>
        <w:t>Caso Trabajadores de la Hacienda Brasil Verde Vs. Brasil. Excepciones Preliminares, Fondo, Reparaciones y Costas</w:t>
      </w:r>
      <w:r w:rsidRPr="007F313C">
        <w:rPr>
          <w:rFonts w:ascii="Verdana" w:hAnsi="Verdana" w:cs="Arial"/>
          <w:sz w:val="16"/>
          <w:szCs w:val="16"/>
          <w:shd w:val="clear" w:color="auto" w:fill="FFFFFF"/>
        </w:rPr>
        <w:t xml:space="preserve">. Sentencia de 20 de octubre de 2016. Serie C No. 318, párr. 418. En el mismo sentido, </w:t>
      </w:r>
      <w:r w:rsidRPr="00F55065">
        <w:rPr>
          <w:rFonts w:ascii="Verdana" w:hAnsi="Verdana" w:cs="Arial"/>
          <w:i/>
          <w:sz w:val="16"/>
          <w:szCs w:val="16"/>
          <w:shd w:val="clear" w:color="auto" w:fill="FFFFFF"/>
        </w:rPr>
        <w:t>Caso González y otras (“Campo Algodonero”) Vs. México. Excepción Preliminar, Fondo, Reparaciones y Costas.</w:t>
      </w:r>
      <w:r w:rsidRPr="00F55065">
        <w:rPr>
          <w:rFonts w:ascii="Verdana" w:hAnsi="Verdana" w:cs="Arial"/>
          <w:sz w:val="16"/>
          <w:szCs w:val="16"/>
          <w:shd w:val="clear" w:color="auto" w:fill="FFFFFF"/>
        </w:rPr>
        <w:t xml:space="preserve"> Sentencia de 16 de noviembre de 2009. Serie C No. 205, </w:t>
      </w:r>
      <w:proofErr w:type="spellStart"/>
      <w:r w:rsidRPr="00F55065">
        <w:rPr>
          <w:rFonts w:ascii="Verdana" w:hAnsi="Verdana" w:cs="Arial"/>
          <w:sz w:val="16"/>
          <w:szCs w:val="16"/>
          <w:shd w:val="clear" w:color="auto" w:fill="FFFFFF"/>
        </w:rPr>
        <w:t>párrs</w:t>
      </w:r>
      <w:proofErr w:type="spellEnd"/>
      <w:r w:rsidRPr="00F55065">
        <w:rPr>
          <w:rFonts w:ascii="Verdana" w:hAnsi="Verdana" w:cs="Arial"/>
          <w:sz w:val="16"/>
          <w:szCs w:val="16"/>
          <w:shd w:val="clear" w:color="auto" w:fill="FFFFFF"/>
        </w:rPr>
        <w:t>. 400 a 402</w:t>
      </w:r>
      <w:r>
        <w:rPr>
          <w:rFonts w:ascii="Verdana" w:hAnsi="Verdana" w:cs="Arial"/>
          <w:sz w:val="16"/>
          <w:szCs w:val="16"/>
          <w:shd w:val="clear" w:color="auto" w:fill="FFFFFF"/>
        </w:rPr>
        <w:t xml:space="preserve">, </w:t>
      </w:r>
      <w:r w:rsidRPr="00F55065">
        <w:rPr>
          <w:rFonts w:ascii="Verdana" w:hAnsi="Verdana" w:cs="Arial"/>
          <w:i/>
          <w:sz w:val="16"/>
          <w:szCs w:val="16"/>
          <w:shd w:val="clear" w:color="auto" w:fill="FFFFFF"/>
        </w:rPr>
        <w:t>Caso Guzmán Albarracín y otras Vs. Ecuador</w:t>
      </w:r>
      <w:r>
        <w:rPr>
          <w:rFonts w:ascii="Verdana" w:hAnsi="Verdana" w:cs="Arial"/>
          <w:sz w:val="16"/>
          <w:szCs w:val="16"/>
          <w:shd w:val="clear" w:color="auto" w:fill="FFFFFF"/>
        </w:rPr>
        <w:t xml:space="preserve">, </w:t>
      </w:r>
      <w:proofErr w:type="spellStart"/>
      <w:r>
        <w:rPr>
          <w:rFonts w:ascii="Verdana" w:hAnsi="Verdana" w:cs="Arial"/>
          <w:sz w:val="16"/>
          <w:szCs w:val="16"/>
          <w:shd w:val="clear" w:color="auto" w:fill="FFFFFF"/>
        </w:rPr>
        <w:t>párrs</w:t>
      </w:r>
      <w:proofErr w:type="spellEnd"/>
      <w:r>
        <w:rPr>
          <w:rFonts w:ascii="Verdana" w:hAnsi="Verdana" w:cs="Arial"/>
          <w:sz w:val="16"/>
          <w:szCs w:val="16"/>
          <w:shd w:val="clear" w:color="auto" w:fill="FFFFFF"/>
        </w:rPr>
        <w:t xml:space="preserve">. 188 a </w:t>
      </w:r>
      <w:r w:rsidRPr="003C20AF">
        <w:rPr>
          <w:rFonts w:ascii="Verdana" w:hAnsi="Verdana" w:cs="Arial"/>
          <w:sz w:val="16"/>
          <w:szCs w:val="16"/>
          <w:shd w:val="clear" w:color="auto" w:fill="FFFFFF"/>
        </w:rPr>
        <w:t>195</w:t>
      </w:r>
      <w:r>
        <w:rPr>
          <w:rFonts w:ascii="Verdana" w:hAnsi="Verdana" w:cs="Arial"/>
          <w:sz w:val="16"/>
          <w:szCs w:val="16"/>
          <w:shd w:val="clear" w:color="auto" w:fill="FFFFFF"/>
        </w:rPr>
        <w:t xml:space="preserve">, y </w:t>
      </w:r>
      <w:r w:rsidRPr="00A70195">
        <w:rPr>
          <w:rFonts w:ascii="Verdana" w:hAnsi="Verdana"/>
          <w:i/>
          <w:sz w:val="16"/>
          <w:szCs w:val="16"/>
        </w:rPr>
        <w:t>Caso Vicky Hernández y otras Vs. Honduras</w:t>
      </w:r>
      <w:r>
        <w:rPr>
          <w:rFonts w:ascii="Verdana" w:hAnsi="Verdana"/>
          <w:sz w:val="16"/>
          <w:szCs w:val="16"/>
        </w:rPr>
        <w:t>, párr. 114.</w:t>
      </w:r>
      <w:r w:rsidRPr="00F55065">
        <w:rPr>
          <w:rFonts w:ascii="Verdana" w:hAnsi="Verdana" w:cs="Arial"/>
          <w:sz w:val="16"/>
          <w:szCs w:val="16"/>
          <w:shd w:val="clear" w:color="auto" w:fill="FFFFFF"/>
        </w:rPr>
        <w:t xml:space="preserve"> </w:t>
      </w:r>
      <w:r>
        <w:rPr>
          <w:rFonts w:ascii="Verdana" w:hAnsi="Verdana" w:cs="Arial"/>
          <w:sz w:val="16"/>
          <w:szCs w:val="16"/>
          <w:shd w:val="clear" w:color="auto" w:fill="FFFFFF"/>
        </w:rPr>
        <w:t>E</w:t>
      </w:r>
      <w:r w:rsidRPr="007F313C">
        <w:rPr>
          <w:rFonts w:ascii="Verdana" w:hAnsi="Verdana" w:cs="Arial"/>
          <w:sz w:val="16"/>
          <w:szCs w:val="16"/>
          <w:shd w:val="clear" w:color="auto" w:fill="FFFFFF"/>
        </w:rPr>
        <w:t xml:space="preserve">l perito </w:t>
      </w:r>
      <w:proofErr w:type="spellStart"/>
      <w:r w:rsidRPr="007F313C">
        <w:rPr>
          <w:rFonts w:ascii="Verdana" w:hAnsi="Verdana" w:cs="Arial"/>
          <w:sz w:val="16"/>
          <w:szCs w:val="16"/>
          <w:shd w:val="clear" w:color="auto" w:fill="FFFFFF"/>
        </w:rPr>
        <w:t>Alston</w:t>
      </w:r>
      <w:proofErr w:type="spellEnd"/>
      <w:r w:rsidRPr="007F313C">
        <w:rPr>
          <w:rFonts w:ascii="Verdana" w:hAnsi="Verdana" w:cs="Arial"/>
          <w:sz w:val="16"/>
          <w:szCs w:val="16"/>
          <w:shd w:val="clear" w:color="auto" w:fill="FFFFFF"/>
        </w:rPr>
        <w:t xml:space="preserve"> explicó que </w:t>
      </w:r>
      <w:r w:rsidRPr="007F313C">
        <w:rPr>
          <w:rFonts w:ascii="Verdana" w:hAnsi="Verdana"/>
          <w:sz w:val="16"/>
          <w:szCs w:val="16"/>
        </w:rPr>
        <w:t xml:space="preserve">“[l]as posibilidades de acceso a la justicia de las víctimas de violaciones graves de los derechos humanos se ven gravemente limitadas por los obstáculos </w:t>
      </w:r>
      <w:proofErr w:type="gramStart"/>
      <w:r w:rsidRPr="007F313C">
        <w:rPr>
          <w:rFonts w:ascii="Verdana" w:hAnsi="Verdana"/>
          <w:sz w:val="16"/>
          <w:szCs w:val="16"/>
        </w:rPr>
        <w:t>sociales[</w:t>
      </w:r>
      <w:proofErr w:type="gramEnd"/>
      <w:r w:rsidRPr="007F313C">
        <w:rPr>
          <w:rFonts w:ascii="Verdana" w:hAnsi="Verdana"/>
          <w:sz w:val="16"/>
          <w:szCs w:val="16"/>
        </w:rPr>
        <w:t>. …] Entre las barreras sociales figuran el estigma y los estereotipos discriminatorios contra los pobres” (</w:t>
      </w:r>
      <w:r>
        <w:rPr>
          <w:rFonts w:ascii="Verdana" w:hAnsi="Verdana"/>
          <w:sz w:val="16"/>
          <w:szCs w:val="16"/>
        </w:rPr>
        <w:t>d</w:t>
      </w:r>
      <w:r w:rsidRPr="007F313C">
        <w:rPr>
          <w:rFonts w:ascii="Verdana" w:hAnsi="Verdana"/>
          <w:sz w:val="16"/>
          <w:szCs w:val="16"/>
        </w:rPr>
        <w:t>eclaración pericial</w:t>
      </w:r>
      <w:r>
        <w:rPr>
          <w:rFonts w:ascii="Verdana" w:hAnsi="Verdana"/>
          <w:sz w:val="16"/>
          <w:szCs w:val="16"/>
        </w:rPr>
        <w:t xml:space="preserve"> </w:t>
      </w:r>
      <w:r w:rsidRPr="007F313C">
        <w:rPr>
          <w:rFonts w:ascii="Verdana" w:hAnsi="Verdana"/>
          <w:sz w:val="16"/>
          <w:szCs w:val="16"/>
        </w:rPr>
        <w:t xml:space="preserve">de Philip </w:t>
      </w:r>
      <w:proofErr w:type="spellStart"/>
      <w:r w:rsidRPr="007F313C">
        <w:rPr>
          <w:rFonts w:ascii="Verdana" w:hAnsi="Verdana"/>
          <w:sz w:val="16"/>
          <w:szCs w:val="16"/>
        </w:rPr>
        <w:t>Alston</w:t>
      </w:r>
      <w:proofErr w:type="spellEnd"/>
      <w:r>
        <w:rPr>
          <w:rFonts w:ascii="Verdana" w:hAnsi="Verdana"/>
          <w:sz w:val="16"/>
          <w:szCs w:val="16"/>
        </w:rPr>
        <w:t>)</w:t>
      </w:r>
      <w:r w:rsidRPr="007F313C">
        <w:rPr>
          <w:rFonts w:ascii="Verdana" w:hAnsi="Verdana"/>
          <w:sz w:val="16"/>
          <w:szCs w:val="16"/>
        </w:rPr>
        <w:t>.</w:t>
      </w:r>
    </w:p>
    <w:p w14:paraId="001F825F" w14:textId="77777777" w:rsidR="0087743B" w:rsidRPr="007F313C" w:rsidRDefault="0087743B" w:rsidP="00685A14">
      <w:pPr>
        <w:pStyle w:val="Textonotapie"/>
        <w:jc w:val="both"/>
        <w:rPr>
          <w:rFonts w:ascii="Verdana" w:hAnsi="Verdana"/>
          <w:sz w:val="16"/>
          <w:szCs w:val="16"/>
        </w:rPr>
      </w:pPr>
    </w:p>
  </w:footnote>
  <w:footnote w:id="99">
    <w:p w14:paraId="53D92903" w14:textId="02223936" w:rsidR="0087743B" w:rsidRPr="007F313C" w:rsidRDefault="0087743B" w:rsidP="00685A14">
      <w:pPr>
        <w:pStyle w:val="Textonotapie"/>
        <w:jc w:val="both"/>
        <w:rPr>
          <w:rFonts w:ascii="Verdana" w:hAnsi="Verdana"/>
          <w:sz w:val="16"/>
          <w:szCs w:val="16"/>
        </w:rPr>
      </w:pPr>
      <w:r w:rsidRPr="00EA435B">
        <w:rPr>
          <w:rStyle w:val="Refdenotaalpie"/>
          <w:rFonts w:ascii="Verdana" w:hAnsi="Verdana"/>
          <w:sz w:val="16"/>
          <w:szCs w:val="16"/>
        </w:rPr>
        <w:footnoteRef/>
      </w:r>
      <w:r w:rsidRPr="00EA435B">
        <w:rPr>
          <w:rFonts w:ascii="Verdana" w:hAnsi="Verdana"/>
          <w:sz w:val="16"/>
          <w:szCs w:val="16"/>
        </w:rPr>
        <w:t xml:space="preserve">  </w:t>
      </w:r>
      <w:r w:rsidRPr="00EA435B">
        <w:rPr>
          <w:rFonts w:ascii="Verdana" w:hAnsi="Verdana"/>
          <w:sz w:val="16"/>
          <w:szCs w:val="16"/>
        </w:rPr>
        <w:tab/>
        <w:t xml:space="preserve">Declaración pericial de Philip </w:t>
      </w:r>
      <w:proofErr w:type="spellStart"/>
      <w:r w:rsidRPr="00EA435B">
        <w:rPr>
          <w:rFonts w:ascii="Verdana" w:hAnsi="Verdana"/>
          <w:sz w:val="16"/>
          <w:szCs w:val="16"/>
        </w:rPr>
        <w:t>Alston</w:t>
      </w:r>
      <w:proofErr w:type="spellEnd"/>
      <w:r w:rsidRPr="00EA435B">
        <w:rPr>
          <w:rFonts w:ascii="Verdana" w:hAnsi="Verdana"/>
          <w:sz w:val="16"/>
          <w:szCs w:val="16"/>
        </w:rPr>
        <w:t>.</w:t>
      </w:r>
    </w:p>
    <w:p w14:paraId="4D074244" w14:textId="77777777" w:rsidR="0087743B" w:rsidRPr="007F313C" w:rsidRDefault="0087743B" w:rsidP="00685A14">
      <w:pPr>
        <w:pStyle w:val="Textonotapie"/>
        <w:jc w:val="both"/>
        <w:rPr>
          <w:rFonts w:ascii="Verdana" w:hAnsi="Verdana"/>
          <w:sz w:val="16"/>
          <w:szCs w:val="16"/>
        </w:rPr>
      </w:pPr>
    </w:p>
  </w:footnote>
  <w:footnote w:id="100">
    <w:p w14:paraId="2A85FB54" w14:textId="77777777" w:rsidR="0087743B" w:rsidRPr="00542071" w:rsidRDefault="0087743B" w:rsidP="00685A14">
      <w:pPr>
        <w:pStyle w:val="Textonotapie"/>
        <w:jc w:val="both"/>
        <w:rPr>
          <w:rFonts w:ascii="Verdana" w:hAnsi="Verdana"/>
          <w:sz w:val="16"/>
          <w:szCs w:val="16"/>
        </w:rPr>
      </w:pPr>
      <w:r>
        <w:rPr>
          <w:rStyle w:val="Refdenotaalpie"/>
        </w:rPr>
        <w:footnoteRef/>
      </w:r>
      <w:r>
        <w:t xml:space="preserve">  </w:t>
      </w:r>
      <w:r>
        <w:tab/>
      </w:r>
      <w:r w:rsidRPr="00542071">
        <w:rPr>
          <w:rFonts w:ascii="Verdana" w:hAnsi="Verdana" w:cs="Arial"/>
          <w:i/>
          <w:sz w:val="16"/>
          <w:szCs w:val="16"/>
          <w:shd w:val="clear" w:color="auto" w:fill="FFFFFF"/>
        </w:rPr>
        <w:t>Caso Servellón García y otros Vs. Honduras</w:t>
      </w:r>
      <w:r w:rsidRPr="00542071">
        <w:rPr>
          <w:rFonts w:ascii="Verdana" w:hAnsi="Verdana" w:cs="Arial"/>
          <w:sz w:val="16"/>
          <w:szCs w:val="16"/>
          <w:shd w:val="clear" w:color="auto" w:fill="FFFFFF"/>
        </w:rPr>
        <w:t xml:space="preserve">. Sentencia de 21 de septiembre de 2006. Serie C No. 152, </w:t>
      </w:r>
      <w:proofErr w:type="spellStart"/>
      <w:r w:rsidRPr="00542071">
        <w:rPr>
          <w:rFonts w:ascii="Verdana" w:hAnsi="Verdana" w:cs="Arial"/>
          <w:sz w:val="16"/>
          <w:szCs w:val="16"/>
          <w:shd w:val="clear" w:color="auto" w:fill="FFFFFF"/>
        </w:rPr>
        <w:t>párrs</w:t>
      </w:r>
      <w:proofErr w:type="spellEnd"/>
      <w:r w:rsidRPr="00542071">
        <w:rPr>
          <w:rFonts w:ascii="Verdana" w:hAnsi="Verdana" w:cs="Arial"/>
          <w:sz w:val="16"/>
          <w:szCs w:val="16"/>
          <w:shd w:val="clear" w:color="auto" w:fill="FFFFFF"/>
        </w:rPr>
        <w:t>. 112 y 116.</w:t>
      </w:r>
    </w:p>
    <w:p w14:paraId="71078A13" w14:textId="77777777" w:rsidR="0087743B" w:rsidRDefault="0087743B" w:rsidP="00685A14">
      <w:pPr>
        <w:pStyle w:val="Textonotapie"/>
      </w:pPr>
    </w:p>
  </w:footnote>
  <w:footnote w:id="101">
    <w:p w14:paraId="4948DC75" w14:textId="2EEC6D29" w:rsidR="0087743B" w:rsidRPr="00CF3ED4" w:rsidRDefault="0087743B" w:rsidP="00685A14">
      <w:pPr>
        <w:pStyle w:val="Textonotapie"/>
        <w:jc w:val="both"/>
        <w:rPr>
          <w:rFonts w:ascii="Verdana" w:hAnsi="Verdana"/>
          <w:sz w:val="16"/>
          <w:szCs w:val="16"/>
        </w:rPr>
      </w:pPr>
      <w:r w:rsidRPr="00CF3ED4">
        <w:rPr>
          <w:rStyle w:val="Refdenotaalpie"/>
          <w:rFonts w:ascii="Verdana" w:hAnsi="Verdana"/>
          <w:sz w:val="16"/>
          <w:szCs w:val="16"/>
        </w:rPr>
        <w:footnoteRef/>
      </w:r>
      <w:r w:rsidRPr="00CF3ED4">
        <w:rPr>
          <w:rFonts w:ascii="Verdana" w:hAnsi="Verdana"/>
          <w:sz w:val="16"/>
          <w:szCs w:val="16"/>
        </w:rPr>
        <w:t xml:space="preserve">  </w:t>
      </w:r>
      <w:r w:rsidRPr="00CF3ED4">
        <w:rPr>
          <w:rFonts w:ascii="Verdana" w:hAnsi="Verdana"/>
          <w:sz w:val="16"/>
          <w:szCs w:val="16"/>
        </w:rPr>
        <w:tab/>
      </w:r>
      <w:r w:rsidRPr="00CF3ED4">
        <w:rPr>
          <w:rFonts w:ascii="Verdana" w:hAnsi="Verdana"/>
          <w:i/>
          <w:sz w:val="16"/>
          <w:szCs w:val="16"/>
        </w:rPr>
        <w:t xml:space="preserve">Cfr. </w:t>
      </w:r>
      <w:r w:rsidRPr="00CF3ED4">
        <w:rPr>
          <w:rFonts w:ascii="Verdana" w:hAnsi="Verdana"/>
          <w:sz w:val="16"/>
          <w:szCs w:val="16"/>
        </w:rPr>
        <w:t xml:space="preserve">sobre el concepto de interseccionalidad de la discriminación, como confluencia de distintos factores de vulnerabilidad, de riesgo o de fuentes de discriminación, </w:t>
      </w:r>
      <w:r w:rsidRPr="00CF3ED4">
        <w:rPr>
          <w:rFonts w:ascii="Verdana" w:hAnsi="Verdana" w:cs="Arial"/>
          <w:i/>
          <w:sz w:val="16"/>
          <w:szCs w:val="16"/>
          <w:shd w:val="clear" w:color="auto" w:fill="FFFFFF"/>
        </w:rPr>
        <w:t xml:space="preserve">Caso Gonzales </w:t>
      </w:r>
      <w:proofErr w:type="spellStart"/>
      <w:r w:rsidRPr="00CF3ED4">
        <w:rPr>
          <w:rFonts w:ascii="Verdana" w:hAnsi="Verdana" w:cs="Arial"/>
          <w:i/>
          <w:sz w:val="16"/>
          <w:szCs w:val="16"/>
          <w:shd w:val="clear" w:color="auto" w:fill="FFFFFF"/>
        </w:rPr>
        <w:t>Lluy</w:t>
      </w:r>
      <w:proofErr w:type="spellEnd"/>
      <w:r w:rsidRPr="00CF3ED4">
        <w:rPr>
          <w:rFonts w:ascii="Verdana" w:hAnsi="Verdana" w:cs="Arial"/>
          <w:i/>
          <w:sz w:val="16"/>
          <w:szCs w:val="16"/>
          <w:shd w:val="clear" w:color="auto" w:fill="FFFFFF"/>
        </w:rPr>
        <w:t xml:space="preserve"> y otros Vs. Ecuador. Excepciones Preliminares, Fondo, Reparaciones y Costas.</w:t>
      </w:r>
      <w:r w:rsidRPr="00CF3ED4">
        <w:rPr>
          <w:rFonts w:ascii="Verdana" w:hAnsi="Verdana" w:cs="Arial"/>
          <w:sz w:val="16"/>
          <w:szCs w:val="16"/>
          <w:shd w:val="clear" w:color="auto" w:fill="FFFFFF"/>
        </w:rPr>
        <w:t xml:space="preserve"> Sentencia de 1 de septiembre de 2015. Serie C No. 298, párr. 290, </w:t>
      </w:r>
      <w:r w:rsidRPr="00CF3ED4">
        <w:rPr>
          <w:rFonts w:ascii="Verdana" w:hAnsi="Verdana" w:cs="Arial"/>
          <w:i/>
          <w:sz w:val="16"/>
          <w:szCs w:val="16"/>
          <w:shd w:val="clear" w:color="auto" w:fill="FFFFFF"/>
        </w:rPr>
        <w:t>Caso Guzmán Albarracín y otras Vs. Ecuador</w:t>
      </w:r>
      <w:r w:rsidRPr="00CF3ED4">
        <w:rPr>
          <w:rFonts w:ascii="Verdana" w:hAnsi="Verdana" w:cs="Arial"/>
          <w:sz w:val="16"/>
          <w:szCs w:val="16"/>
          <w:shd w:val="clear" w:color="auto" w:fill="FFFFFF"/>
        </w:rPr>
        <w:t xml:space="preserve">, párr. 142, y </w:t>
      </w:r>
      <w:r w:rsidRPr="00CF3ED4">
        <w:rPr>
          <w:rFonts w:ascii="Verdana" w:hAnsi="Verdana"/>
          <w:i/>
          <w:sz w:val="16"/>
          <w:szCs w:val="16"/>
        </w:rPr>
        <w:t xml:space="preserve">Caso </w:t>
      </w:r>
      <w:proofErr w:type="spellStart"/>
      <w:r w:rsidRPr="00CF3ED4">
        <w:rPr>
          <w:rFonts w:ascii="Verdana" w:hAnsi="Verdana"/>
          <w:i/>
          <w:sz w:val="16"/>
          <w:szCs w:val="16"/>
        </w:rPr>
        <w:t>Guachalá</w:t>
      </w:r>
      <w:proofErr w:type="spellEnd"/>
      <w:r w:rsidRPr="00CF3ED4">
        <w:rPr>
          <w:rFonts w:ascii="Verdana" w:hAnsi="Verdana"/>
          <w:i/>
          <w:sz w:val="16"/>
          <w:szCs w:val="16"/>
        </w:rPr>
        <w:t xml:space="preserve"> Chimbo y otros Vs. Ecuador</w:t>
      </w:r>
      <w:r w:rsidRPr="00CF3ED4">
        <w:rPr>
          <w:rFonts w:ascii="Verdana" w:hAnsi="Verdana"/>
          <w:sz w:val="16"/>
          <w:szCs w:val="16"/>
        </w:rPr>
        <w:t xml:space="preserve">, párr. 91. </w:t>
      </w:r>
    </w:p>
    <w:p w14:paraId="0B3E6187" w14:textId="77777777" w:rsidR="0087743B" w:rsidRDefault="0087743B" w:rsidP="00685A14">
      <w:pPr>
        <w:pStyle w:val="Textonotapie"/>
        <w:jc w:val="both"/>
      </w:pPr>
    </w:p>
  </w:footnote>
  <w:footnote w:id="102">
    <w:p w14:paraId="1D41FAB9" w14:textId="4031B61B"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ab/>
        <w:t xml:space="preserve">Artículos 7.1, 7.2, 7.3, 7.4 y 7.5 de la Convención Americana. </w:t>
      </w:r>
    </w:p>
    <w:p w14:paraId="073C4521" w14:textId="77777777" w:rsidR="0087743B" w:rsidRPr="007F313C" w:rsidRDefault="0087743B" w:rsidP="00685A14">
      <w:pPr>
        <w:pStyle w:val="Textonotapie"/>
        <w:jc w:val="both"/>
        <w:rPr>
          <w:rFonts w:ascii="Verdana" w:hAnsi="Verdana"/>
          <w:sz w:val="16"/>
          <w:szCs w:val="16"/>
        </w:rPr>
      </w:pPr>
    </w:p>
  </w:footnote>
  <w:footnote w:id="103">
    <w:p w14:paraId="2E34C620" w14:textId="630FEC78"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ab/>
        <w:t xml:space="preserve">La </w:t>
      </w:r>
      <w:r w:rsidRPr="006244E4">
        <w:rPr>
          <w:rFonts w:ascii="Verdana" w:hAnsi="Verdana"/>
          <w:sz w:val="16"/>
          <w:szCs w:val="16"/>
        </w:rPr>
        <w:t>Comisión</w:t>
      </w:r>
      <w:r w:rsidRPr="00670C37">
        <w:rPr>
          <w:rFonts w:ascii="Verdana" w:hAnsi="Verdana"/>
          <w:sz w:val="16"/>
          <w:szCs w:val="16"/>
        </w:rPr>
        <w:t xml:space="preserve"> y el </w:t>
      </w:r>
      <w:r w:rsidRPr="006244E4">
        <w:rPr>
          <w:rFonts w:ascii="Verdana" w:hAnsi="Verdana"/>
          <w:sz w:val="16"/>
          <w:szCs w:val="16"/>
        </w:rPr>
        <w:t>Estado</w:t>
      </w:r>
      <w:r w:rsidRPr="007F313C">
        <w:rPr>
          <w:rFonts w:ascii="Verdana" w:hAnsi="Verdana"/>
          <w:b/>
          <w:i/>
          <w:sz w:val="16"/>
          <w:szCs w:val="16"/>
        </w:rPr>
        <w:t xml:space="preserve"> </w:t>
      </w:r>
      <w:r w:rsidRPr="007F313C">
        <w:rPr>
          <w:rFonts w:ascii="Verdana" w:hAnsi="Verdana"/>
          <w:sz w:val="16"/>
          <w:szCs w:val="16"/>
        </w:rPr>
        <w:t xml:space="preserve">y no se refirieron a las violaciones a derechos humanos alegadas por los representantes respecto a hechos ocurridos antes de los días 29 y 30 de marzo de 2003. La Comisión incluyó en su Informe de Fondo, como parte del marco fáctico del caso, hechos anteriores a esas fechas, mas no efectuó un análisis autónomo de los </w:t>
      </w:r>
      <w:r w:rsidRPr="00703A18">
        <w:rPr>
          <w:rFonts w:ascii="Verdana" w:hAnsi="Verdana"/>
          <w:sz w:val="16"/>
          <w:szCs w:val="16"/>
        </w:rPr>
        <w:t>mismos (</w:t>
      </w:r>
      <w:r w:rsidRPr="00703A18">
        <w:rPr>
          <w:rFonts w:ascii="Verdana" w:hAnsi="Verdana"/>
          <w:i/>
          <w:sz w:val="16"/>
          <w:szCs w:val="16"/>
        </w:rPr>
        <w:t>supra</w:t>
      </w:r>
      <w:r w:rsidRPr="00703A18">
        <w:rPr>
          <w:rFonts w:ascii="Verdana" w:hAnsi="Verdana"/>
          <w:sz w:val="16"/>
          <w:szCs w:val="16"/>
        </w:rPr>
        <w:t xml:space="preserve"> nota a pie de página 14). El Estado, por su parte, no aceptó expresamente su responsabilidad por tales hechos, pero tampoco controvirtió los alegatos de los representantes al respecto (</w:t>
      </w:r>
      <w:r w:rsidRPr="00703A18">
        <w:rPr>
          <w:rFonts w:ascii="Verdana" w:hAnsi="Verdana"/>
          <w:i/>
          <w:sz w:val="16"/>
          <w:szCs w:val="16"/>
        </w:rPr>
        <w:t xml:space="preserve">supra </w:t>
      </w:r>
      <w:proofErr w:type="spellStart"/>
      <w:r w:rsidRPr="00703A18">
        <w:rPr>
          <w:rFonts w:ascii="Verdana" w:hAnsi="Verdana"/>
          <w:sz w:val="16"/>
          <w:szCs w:val="16"/>
        </w:rPr>
        <w:t>párrs</w:t>
      </w:r>
      <w:proofErr w:type="spellEnd"/>
      <w:r w:rsidRPr="00703A18">
        <w:rPr>
          <w:rFonts w:ascii="Verdana" w:hAnsi="Verdana"/>
          <w:sz w:val="16"/>
          <w:szCs w:val="16"/>
        </w:rPr>
        <w:t>. 27, 28 y notas a pie de página 15, 17 y 83).</w:t>
      </w:r>
      <w:r w:rsidRPr="007F313C">
        <w:rPr>
          <w:rFonts w:ascii="Verdana" w:hAnsi="Verdana"/>
          <w:sz w:val="16"/>
          <w:szCs w:val="16"/>
        </w:rPr>
        <w:t xml:space="preserve"> </w:t>
      </w:r>
    </w:p>
    <w:p w14:paraId="39A189E0" w14:textId="77777777" w:rsidR="0087743B" w:rsidRPr="007F313C" w:rsidRDefault="0087743B" w:rsidP="00685A14">
      <w:pPr>
        <w:pStyle w:val="Textonotapie"/>
        <w:jc w:val="both"/>
        <w:rPr>
          <w:rFonts w:ascii="Verdana" w:hAnsi="Verdana"/>
          <w:sz w:val="16"/>
          <w:szCs w:val="16"/>
        </w:rPr>
      </w:pPr>
    </w:p>
  </w:footnote>
  <w:footnote w:id="104">
    <w:p w14:paraId="2A76FAF9" w14:textId="3AD670AE" w:rsidR="0087743B" w:rsidRPr="007F313C" w:rsidRDefault="0087743B" w:rsidP="00685A14">
      <w:pPr>
        <w:pStyle w:val="Textonotapie"/>
        <w:tabs>
          <w:tab w:val="left" w:pos="709"/>
        </w:tabs>
        <w:jc w:val="both"/>
        <w:rPr>
          <w:rStyle w:val="Textoennegrita"/>
          <w:rFonts w:ascii="Verdana" w:hAnsi="Verdana"/>
          <w:sz w:val="16"/>
          <w:szCs w:val="16"/>
          <w:shd w:val="clear" w:color="auto" w:fill="FFFFFF"/>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iCs/>
          <w:sz w:val="16"/>
          <w:szCs w:val="16"/>
        </w:rPr>
        <w:t>Cfr. Caso Juan Humberto Sánchez Vs. Honduras. Excepción Preliminar, Fondo, Reparaciones y Costas</w:t>
      </w:r>
      <w:r w:rsidRPr="007F313C">
        <w:rPr>
          <w:rFonts w:ascii="Verdana" w:hAnsi="Verdana"/>
          <w:sz w:val="16"/>
          <w:szCs w:val="16"/>
        </w:rPr>
        <w:t xml:space="preserve">. Sentencia de 7 de junio de 2003. Serie C No. 99, párr. 84, y </w:t>
      </w:r>
      <w:r w:rsidRPr="007F313C">
        <w:rPr>
          <w:rFonts w:ascii="Verdana" w:hAnsi="Verdana"/>
          <w:i/>
          <w:sz w:val="16"/>
          <w:szCs w:val="16"/>
        </w:rPr>
        <w:t xml:space="preserve">Caso Fernández Prieto y </w:t>
      </w:r>
      <w:proofErr w:type="spellStart"/>
      <w:r w:rsidRPr="007F313C">
        <w:rPr>
          <w:rFonts w:ascii="Verdana" w:hAnsi="Verdana"/>
          <w:i/>
          <w:sz w:val="16"/>
          <w:szCs w:val="16"/>
        </w:rPr>
        <w:t>Tumbeiro</w:t>
      </w:r>
      <w:proofErr w:type="spellEnd"/>
      <w:r w:rsidRPr="007F313C">
        <w:rPr>
          <w:rFonts w:ascii="Verdana" w:hAnsi="Verdana"/>
          <w:i/>
          <w:sz w:val="16"/>
          <w:szCs w:val="16"/>
        </w:rPr>
        <w:t xml:space="preserve"> Vs. Argentina</w:t>
      </w:r>
      <w:r w:rsidRPr="007F313C">
        <w:rPr>
          <w:rFonts w:ascii="Verdana" w:hAnsi="Verdana"/>
          <w:sz w:val="16"/>
          <w:szCs w:val="16"/>
        </w:rPr>
        <w:t>, párr. 65.</w:t>
      </w:r>
    </w:p>
    <w:p w14:paraId="3186E49F" w14:textId="77777777" w:rsidR="0087743B" w:rsidRPr="007F313C" w:rsidRDefault="0087743B" w:rsidP="00685A14">
      <w:pPr>
        <w:pStyle w:val="Textonotapie"/>
        <w:tabs>
          <w:tab w:val="left" w:pos="709"/>
        </w:tabs>
        <w:jc w:val="both"/>
        <w:rPr>
          <w:rFonts w:ascii="Verdana" w:eastAsia="MS Mincho" w:hAnsi="Verdana"/>
          <w:sz w:val="16"/>
          <w:szCs w:val="16"/>
        </w:rPr>
      </w:pPr>
    </w:p>
  </w:footnote>
  <w:footnote w:id="105">
    <w:p w14:paraId="1EFD6A27" w14:textId="32254354"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Cfr. Servellón García y otros Vs. Honduras</w:t>
      </w:r>
      <w:r w:rsidRPr="007F313C">
        <w:rPr>
          <w:rFonts w:ascii="Verdana" w:hAnsi="Verdana"/>
          <w:sz w:val="16"/>
          <w:szCs w:val="16"/>
        </w:rPr>
        <w:t xml:space="preserve">, párr. 86, y </w:t>
      </w:r>
      <w:r w:rsidRPr="007F313C">
        <w:rPr>
          <w:rFonts w:ascii="Verdana" w:hAnsi="Verdana"/>
          <w:i/>
          <w:sz w:val="16"/>
          <w:szCs w:val="16"/>
        </w:rPr>
        <w:t xml:space="preserve">Caso Fernández Prieto y </w:t>
      </w:r>
      <w:proofErr w:type="spellStart"/>
      <w:r w:rsidRPr="007F313C">
        <w:rPr>
          <w:rFonts w:ascii="Verdana" w:hAnsi="Verdana"/>
          <w:i/>
          <w:sz w:val="16"/>
          <w:szCs w:val="16"/>
        </w:rPr>
        <w:t>Tumbeiro</w:t>
      </w:r>
      <w:proofErr w:type="spellEnd"/>
      <w:r w:rsidRPr="007F313C">
        <w:rPr>
          <w:rFonts w:ascii="Verdana" w:hAnsi="Verdana"/>
          <w:i/>
          <w:sz w:val="16"/>
          <w:szCs w:val="16"/>
        </w:rPr>
        <w:t xml:space="preserve"> Vs. Argentina</w:t>
      </w:r>
      <w:r w:rsidRPr="007F313C">
        <w:rPr>
          <w:rFonts w:ascii="Verdana" w:hAnsi="Verdana"/>
          <w:sz w:val="16"/>
          <w:szCs w:val="16"/>
        </w:rPr>
        <w:t>, párr. 64.</w:t>
      </w:r>
    </w:p>
    <w:p w14:paraId="7ADE0B18" w14:textId="77777777" w:rsidR="0087743B" w:rsidRPr="007F313C" w:rsidRDefault="0087743B" w:rsidP="00685A14">
      <w:pPr>
        <w:pStyle w:val="Textonotapie"/>
        <w:jc w:val="both"/>
        <w:rPr>
          <w:rFonts w:ascii="Verdana" w:hAnsi="Verdana"/>
          <w:sz w:val="16"/>
          <w:szCs w:val="16"/>
        </w:rPr>
      </w:pPr>
    </w:p>
  </w:footnote>
  <w:footnote w:id="106">
    <w:p w14:paraId="335C8903" w14:textId="3EBBE982" w:rsidR="0087743B" w:rsidRPr="00CF3ED4" w:rsidRDefault="0087743B" w:rsidP="00685A14">
      <w:pPr>
        <w:pStyle w:val="Textonotapie"/>
        <w:tabs>
          <w:tab w:val="left" w:pos="709"/>
        </w:tabs>
        <w:jc w:val="both"/>
        <w:rPr>
          <w:rStyle w:val="Textoennegrita"/>
          <w:rFonts w:ascii="Verdana" w:hAnsi="Verdana"/>
          <w:b w:val="0"/>
          <w:sz w:val="16"/>
          <w:szCs w:val="16"/>
          <w:shd w:val="clear" w:color="auto" w:fill="FFFFFF"/>
        </w:rPr>
      </w:pPr>
      <w:r w:rsidRPr="007F313C">
        <w:rPr>
          <w:rFonts w:ascii="Verdana" w:hAnsi="Verdana"/>
          <w:iCs/>
          <w:sz w:val="16"/>
          <w:szCs w:val="16"/>
          <w:vertAlign w:val="superscript"/>
        </w:rPr>
        <w:footnoteRef/>
      </w:r>
      <w:r w:rsidRPr="007F313C">
        <w:rPr>
          <w:rFonts w:ascii="Verdana" w:hAnsi="Verdana"/>
          <w:i/>
          <w:iCs/>
          <w:sz w:val="16"/>
          <w:szCs w:val="16"/>
        </w:rPr>
        <w:t xml:space="preserve"> </w:t>
      </w:r>
      <w:r w:rsidRPr="007F313C">
        <w:rPr>
          <w:rFonts w:ascii="Verdana" w:hAnsi="Verdana"/>
          <w:i/>
          <w:iCs/>
          <w:sz w:val="16"/>
          <w:szCs w:val="16"/>
        </w:rPr>
        <w:tab/>
        <w:t xml:space="preserve">Cfr. Caso Chaparro Álvarez y Lapo Íñiguez Vs. Ecuador. Excepciones Preliminares, Fondo, Reparaciones y Costas. </w:t>
      </w:r>
      <w:r w:rsidRPr="007F313C">
        <w:rPr>
          <w:rFonts w:ascii="Verdana" w:hAnsi="Verdana"/>
          <w:sz w:val="16"/>
          <w:szCs w:val="16"/>
        </w:rPr>
        <w:t xml:space="preserve">Sentencia de 21 de noviembre de 2007. Serie C No. 170, párr. 54, y </w:t>
      </w:r>
      <w:r w:rsidRPr="007F313C">
        <w:rPr>
          <w:rFonts w:ascii="Verdana" w:hAnsi="Verdana"/>
          <w:i/>
          <w:sz w:val="16"/>
          <w:szCs w:val="16"/>
        </w:rPr>
        <w:t xml:space="preserve">Caso Fernández Prieto y </w:t>
      </w:r>
      <w:proofErr w:type="spellStart"/>
      <w:r w:rsidRPr="007F313C">
        <w:rPr>
          <w:rFonts w:ascii="Verdana" w:hAnsi="Verdana"/>
          <w:i/>
          <w:sz w:val="16"/>
          <w:szCs w:val="16"/>
        </w:rPr>
        <w:t>Tumbeiro</w:t>
      </w:r>
      <w:proofErr w:type="spellEnd"/>
      <w:r w:rsidRPr="007F313C">
        <w:rPr>
          <w:rFonts w:ascii="Verdana" w:hAnsi="Verdana"/>
          <w:i/>
          <w:sz w:val="16"/>
          <w:szCs w:val="16"/>
        </w:rPr>
        <w:t xml:space="preserve"> Vs. Argentina</w:t>
      </w:r>
      <w:r w:rsidRPr="007F313C">
        <w:rPr>
          <w:rFonts w:ascii="Verdana" w:hAnsi="Verdana"/>
          <w:sz w:val="16"/>
          <w:szCs w:val="16"/>
        </w:rPr>
        <w:t>, párr. 65</w:t>
      </w:r>
      <w:r w:rsidRPr="00CF3ED4">
        <w:rPr>
          <w:rStyle w:val="Textoennegrita"/>
          <w:rFonts w:ascii="Verdana" w:hAnsi="Verdana"/>
          <w:b w:val="0"/>
          <w:sz w:val="16"/>
          <w:szCs w:val="16"/>
          <w:shd w:val="clear" w:color="auto" w:fill="FFFFFF"/>
        </w:rPr>
        <w:t>.</w:t>
      </w:r>
    </w:p>
    <w:p w14:paraId="00010425" w14:textId="77777777" w:rsidR="0087743B" w:rsidRPr="007F313C" w:rsidRDefault="0087743B" w:rsidP="00685A14">
      <w:pPr>
        <w:pStyle w:val="Textonotapie"/>
        <w:tabs>
          <w:tab w:val="left" w:pos="709"/>
        </w:tabs>
        <w:jc w:val="both"/>
        <w:rPr>
          <w:rFonts w:ascii="Verdana" w:hAnsi="Verdana"/>
          <w:iCs/>
          <w:sz w:val="16"/>
          <w:szCs w:val="16"/>
        </w:rPr>
      </w:pPr>
    </w:p>
  </w:footnote>
  <w:footnote w:id="107">
    <w:p w14:paraId="4208C0EE" w14:textId="46AEA54F"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Cfr. Caso Chaparro Álvarez y Lapo Íñiguez Vs. Ecuador</w:t>
      </w:r>
      <w:r w:rsidRPr="007F313C">
        <w:rPr>
          <w:rFonts w:ascii="Verdana" w:hAnsi="Verdana"/>
          <w:sz w:val="16"/>
          <w:szCs w:val="16"/>
        </w:rPr>
        <w:t xml:space="preserve">, párr. 57, y </w:t>
      </w:r>
      <w:r w:rsidRPr="007F313C">
        <w:rPr>
          <w:rFonts w:ascii="Verdana" w:hAnsi="Verdana"/>
          <w:i/>
          <w:sz w:val="16"/>
          <w:szCs w:val="16"/>
        </w:rPr>
        <w:t xml:space="preserve">Caso Fernández Prieto y </w:t>
      </w:r>
      <w:proofErr w:type="spellStart"/>
      <w:r w:rsidRPr="007F313C">
        <w:rPr>
          <w:rFonts w:ascii="Verdana" w:hAnsi="Verdana"/>
          <w:i/>
          <w:sz w:val="16"/>
          <w:szCs w:val="16"/>
        </w:rPr>
        <w:t>Tumbeiro</w:t>
      </w:r>
      <w:proofErr w:type="spellEnd"/>
      <w:r w:rsidRPr="007F313C">
        <w:rPr>
          <w:rFonts w:ascii="Verdana" w:hAnsi="Verdana"/>
          <w:i/>
          <w:sz w:val="16"/>
          <w:szCs w:val="16"/>
        </w:rPr>
        <w:t xml:space="preserve"> Vs. Argentina</w:t>
      </w:r>
      <w:r w:rsidRPr="007F313C">
        <w:rPr>
          <w:rFonts w:ascii="Verdana" w:hAnsi="Verdana"/>
          <w:sz w:val="16"/>
          <w:szCs w:val="16"/>
        </w:rPr>
        <w:t>, párr. 67.</w:t>
      </w:r>
    </w:p>
    <w:p w14:paraId="64DE3ADC" w14:textId="77777777" w:rsidR="0087743B" w:rsidRPr="007F313C" w:rsidRDefault="0087743B" w:rsidP="00685A14">
      <w:pPr>
        <w:pStyle w:val="Textonotapie"/>
        <w:jc w:val="both"/>
        <w:rPr>
          <w:rFonts w:ascii="Verdana" w:hAnsi="Verdana"/>
          <w:sz w:val="16"/>
          <w:szCs w:val="16"/>
        </w:rPr>
      </w:pPr>
    </w:p>
  </w:footnote>
  <w:footnote w:id="108">
    <w:p w14:paraId="3C84EDCD" w14:textId="77777777"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 xml:space="preserve">Caso </w:t>
      </w:r>
      <w:proofErr w:type="spellStart"/>
      <w:r w:rsidRPr="007F313C">
        <w:rPr>
          <w:rFonts w:ascii="Verdana" w:hAnsi="Verdana"/>
          <w:i/>
          <w:sz w:val="16"/>
          <w:szCs w:val="16"/>
        </w:rPr>
        <w:t>Gangaram</w:t>
      </w:r>
      <w:proofErr w:type="spellEnd"/>
      <w:r w:rsidRPr="007F313C">
        <w:rPr>
          <w:rFonts w:ascii="Verdana" w:hAnsi="Verdana"/>
          <w:i/>
          <w:sz w:val="16"/>
          <w:szCs w:val="16"/>
        </w:rPr>
        <w:t xml:space="preserve"> </w:t>
      </w:r>
      <w:proofErr w:type="spellStart"/>
      <w:r w:rsidRPr="007F313C">
        <w:rPr>
          <w:rFonts w:ascii="Verdana" w:hAnsi="Verdana"/>
          <w:i/>
          <w:sz w:val="16"/>
          <w:szCs w:val="16"/>
        </w:rPr>
        <w:t>Panday</w:t>
      </w:r>
      <w:proofErr w:type="spellEnd"/>
      <w:r w:rsidRPr="007F313C">
        <w:rPr>
          <w:rFonts w:ascii="Verdana" w:hAnsi="Verdana"/>
          <w:i/>
          <w:sz w:val="16"/>
          <w:szCs w:val="16"/>
        </w:rPr>
        <w:t xml:space="preserve"> Vs. Surinam. Fondo, Reparaciones y Costas.</w:t>
      </w:r>
      <w:r w:rsidRPr="007F313C">
        <w:rPr>
          <w:rFonts w:ascii="Verdana" w:hAnsi="Verdana"/>
          <w:sz w:val="16"/>
          <w:szCs w:val="16"/>
        </w:rPr>
        <w:t xml:space="preserve"> Sentencia de 21 de enero de 1994. Serie C No. 16, párr. 47, y </w:t>
      </w:r>
      <w:r w:rsidRPr="007F313C">
        <w:rPr>
          <w:rFonts w:ascii="Verdana" w:hAnsi="Verdana"/>
          <w:i/>
          <w:sz w:val="16"/>
          <w:szCs w:val="16"/>
        </w:rPr>
        <w:t xml:space="preserve">Caso Hernández Vs. Argentina. Excepción Preliminar, Fondo, Reparaciones y Costas. </w:t>
      </w:r>
      <w:r w:rsidRPr="007F313C">
        <w:rPr>
          <w:rFonts w:ascii="Verdana" w:hAnsi="Verdana"/>
          <w:sz w:val="16"/>
          <w:szCs w:val="16"/>
        </w:rPr>
        <w:t xml:space="preserve">Sentencia de 22 de noviembre de 2019. Serie C No. 395, párr. 102. </w:t>
      </w:r>
    </w:p>
    <w:p w14:paraId="52A3B02E" w14:textId="77777777" w:rsidR="0087743B" w:rsidRPr="007F313C" w:rsidRDefault="0087743B" w:rsidP="00685A14">
      <w:pPr>
        <w:pStyle w:val="Textonotapie"/>
        <w:jc w:val="both"/>
        <w:rPr>
          <w:rFonts w:ascii="Verdana" w:hAnsi="Verdana"/>
          <w:sz w:val="16"/>
          <w:szCs w:val="16"/>
        </w:rPr>
      </w:pPr>
    </w:p>
  </w:footnote>
  <w:footnote w:id="109">
    <w:p w14:paraId="6CAAC553" w14:textId="5526F01D"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 xml:space="preserve">Cfr. Caso Fernández Prieto y </w:t>
      </w:r>
      <w:proofErr w:type="spellStart"/>
      <w:r w:rsidRPr="007F313C">
        <w:rPr>
          <w:rFonts w:ascii="Verdana" w:hAnsi="Verdana"/>
          <w:i/>
          <w:sz w:val="16"/>
          <w:szCs w:val="16"/>
        </w:rPr>
        <w:t>Tumbeiro</w:t>
      </w:r>
      <w:proofErr w:type="spellEnd"/>
      <w:r w:rsidRPr="007F313C">
        <w:rPr>
          <w:rFonts w:ascii="Verdana" w:hAnsi="Verdana"/>
          <w:i/>
          <w:sz w:val="16"/>
          <w:szCs w:val="16"/>
        </w:rPr>
        <w:t xml:space="preserve"> Vs. Argentina</w:t>
      </w:r>
      <w:r w:rsidRPr="007F313C">
        <w:rPr>
          <w:rFonts w:ascii="Verdana" w:hAnsi="Verdana"/>
          <w:sz w:val="16"/>
          <w:szCs w:val="16"/>
        </w:rPr>
        <w:t xml:space="preserve">, </w:t>
      </w:r>
      <w:proofErr w:type="spellStart"/>
      <w:r w:rsidRPr="007F313C">
        <w:rPr>
          <w:rFonts w:ascii="Verdana" w:hAnsi="Verdana"/>
          <w:sz w:val="16"/>
          <w:szCs w:val="16"/>
        </w:rPr>
        <w:t>párrs</w:t>
      </w:r>
      <w:proofErr w:type="spellEnd"/>
      <w:r w:rsidRPr="007F313C">
        <w:rPr>
          <w:rFonts w:ascii="Verdana" w:hAnsi="Verdana"/>
          <w:sz w:val="16"/>
          <w:szCs w:val="16"/>
        </w:rPr>
        <w:t xml:space="preserve">. 79, 80 y 82. Es preciso aclarar que, como surge de los párrafos 16 y 87 de la decisión citada, en el caso </w:t>
      </w:r>
      <w:r w:rsidRPr="007F313C">
        <w:rPr>
          <w:rFonts w:ascii="Verdana" w:hAnsi="Verdana"/>
          <w:i/>
          <w:sz w:val="16"/>
          <w:szCs w:val="16"/>
        </w:rPr>
        <w:t xml:space="preserve">Fernández Prieto y </w:t>
      </w:r>
      <w:proofErr w:type="spellStart"/>
      <w:r w:rsidRPr="007F313C">
        <w:rPr>
          <w:rFonts w:ascii="Verdana" w:hAnsi="Verdana"/>
          <w:i/>
          <w:sz w:val="16"/>
          <w:szCs w:val="16"/>
        </w:rPr>
        <w:t>Tumbeiro</w:t>
      </w:r>
      <w:proofErr w:type="spellEnd"/>
      <w:r w:rsidRPr="007F313C">
        <w:rPr>
          <w:rFonts w:ascii="Verdana" w:hAnsi="Verdana"/>
          <w:i/>
          <w:sz w:val="16"/>
          <w:szCs w:val="16"/>
        </w:rPr>
        <w:t xml:space="preserve"> Vs. Argentina</w:t>
      </w:r>
      <w:r w:rsidRPr="007F313C">
        <w:rPr>
          <w:rFonts w:ascii="Verdana" w:hAnsi="Verdana"/>
          <w:sz w:val="16"/>
          <w:szCs w:val="16"/>
        </w:rPr>
        <w:t xml:space="preserve"> se determinó que la arbitrariedad de la privación de libertad se vinculó a la vulneración del derecho a la igual protección de la ley, recogido por el artículo 24 de la Convención Americana, cuya violación había sido expresamente aceptada en ese caso por el Estado argentino. Otro tanto sucedió en un caso anterior: </w:t>
      </w:r>
      <w:r w:rsidRPr="007F313C">
        <w:rPr>
          <w:rFonts w:ascii="Verdana" w:hAnsi="Verdana"/>
          <w:i/>
          <w:sz w:val="16"/>
          <w:szCs w:val="16"/>
        </w:rPr>
        <w:t xml:space="preserve">Acosta </w:t>
      </w:r>
      <w:proofErr w:type="spellStart"/>
      <w:r w:rsidRPr="007F313C">
        <w:rPr>
          <w:rFonts w:ascii="Verdana" w:hAnsi="Verdana"/>
          <w:i/>
          <w:sz w:val="16"/>
          <w:szCs w:val="16"/>
        </w:rPr>
        <w:t>Martinez</w:t>
      </w:r>
      <w:proofErr w:type="spellEnd"/>
      <w:r w:rsidRPr="007F313C">
        <w:rPr>
          <w:rFonts w:ascii="Verdana" w:hAnsi="Verdana"/>
          <w:i/>
          <w:sz w:val="16"/>
          <w:szCs w:val="16"/>
        </w:rPr>
        <w:t xml:space="preserve"> y otros Vs. Argentina </w:t>
      </w:r>
      <w:r w:rsidRPr="007F313C">
        <w:rPr>
          <w:rFonts w:ascii="Verdana" w:hAnsi="Verdana"/>
          <w:sz w:val="16"/>
          <w:szCs w:val="16"/>
        </w:rPr>
        <w:t>(</w:t>
      </w:r>
      <w:proofErr w:type="spellStart"/>
      <w:r w:rsidRPr="007F313C">
        <w:rPr>
          <w:rFonts w:ascii="Verdana" w:hAnsi="Verdana"/>
          <w:sz w:val="16"/>
          <w:szCs w:val="16"/>
        </w:rPr>
        <w:t>párrs</w:t>
      </w:r>
      <w:proofErr w:type="spellEnd"/>
      <w:r w:rsidRPr="007F313C">
        <w:rPr>
          <w:rFonts w:ascii="Verdana" w:hAnsi="Verdana"/>
          <w:sz w:val="16"/>
          <w:szCs w:val="16"/>
        </w:rPr>
        <w:t>. 15, 21 y 98 a 101)</w:t>
      </w:r>
      <w:r w:rsidRPr="007F313C">
        <w:rPr>
          <w:rFonts w:ascii="Verdana" w:hAnsi="Verdana"/>
          <w:i/>
          <w:sz w:val="16"/>
          <w:szCs w:val="16"/>
        </w:rPr>
        <w:t xml:space="preserve">. </w:t>
      </w:r>
      <w:r w:rsidRPr="007F313C">
        <w:rPr>
          <w:rFonts w:ascii="Verdana" w:hAnsi="Verdana"/>
          <w:sz w:val="16"/>
          <w:szCs w:val="16"/>
        </w:rPr>
        <w:t xml:space="preserve">En su </w:t>
      </w:r>
      <w:r>
        <w:rPr>
          <w:rFonts w:ascii="Verdana" w:hAnsi="Verdana"/>
          <w:sz w:val="16"/>
          <w:szCs w:val="16"/>
        </w:rPr>
        <w:t xml:space="preserve">sentencia </w:t>
      </w:r>
      <w:r w:rsidRPr="007F313C">
        <w:rPr>
          <w:rFonts w:ascii="Verdana" w:hAnsi="Verdana"/>
          <w:sz w:val="16"/>
          <w:szCs w:val="16"/>
        </w:rPr>
        <w:t>la Corte advirtió que la utilización de normativas amplias en cuanto a las facultades de detención podía vincularse</w:t>
      </w:r>
      <w:r>
        <w:rPr>
          <w:rFonts w:ascii="Verdana" w:hAnsi="Verdana"/>
          <w:sz w:val="16"/>
          <w:szCs w:val="16"/>
        </w:rPr>
        <w:t xml:space="preserve"> al</w:t>
      </w:r>
      <w:r w:rsidRPr="007F313C">
        <w:rPr>
          <w:rFonts w:ascii="Verdana" w:hAnsi="Verdana"/>
          <w:sz w:val="16"/>
          <w:szCs w:val="16"/>
        </w:rPr>
        <w:t xml:space="preserve"> ejercicio discriminatorio de las mismas.</w:t>
      </w:r>
      <w:r w:rsidRPr="007F313C">
        <w:rPr>
          <w:rFonts w:ascii="Verdana" w:hAnsi="Verdana"/>
          <w:i/>
          <w:sz w:val="16"/>
          <w:szCs w:val="16"/>
        </w:rPr>
        <w:t xml:space="preserve"> </w:t>
      </w:r>
      <w:r w:rsidRPr="007F313C">
        <w:rPr>
          <w:rFonts w:ascii="Verdana" w:hAnsi="Verdana"/>
          <w:sz w:val="16"/>
          <w:szCs w:val="16"/>
        </w:rPr>
        <w:t xml:space="preserve">En forma contraria a los casos aludidos, el artículo 24 de la Convención no ha sido invocado por las partes o la Comisión en el presente caso </w:t>
      </w:r>
      <w:r w:rsidRPr="007F313C">
        <w:rPr>
          <w:rFonts w:ascii="Verdana" w:hAnsi="Verdana"/>
          <w:i/>
          <w:sz w:val="16"/>
          <w:szCs w:val="16"/>
        </w:rPr>
        <w:t>Guerrero, Molina y otros Vs. Venezuela,</w:t>
      </w:r>
      <w:r w:rsidRPr="007F313C">
        <w:rPr>
          <w:rFonts w:ascii="Verdana" w:hAnsi="Verdana"/>
          <w:sz w:val="16"/>
          <w:szCs w:val="16"/>
        </w:rPr>
        <w:t xml:space="preserve"> y no surgen elementos que hagan procedente su examen.</w:t>
      </w:r>
    </w:p>
    <w:p w14:paraId="6E610194" w14:textId="77777777" w:rsidR="0087743B" w:rsidRPr="007F313C" w:rsidRDefault="0087743B" w:rsidP="00685A14">
      <w:pPr>
        <w:pStyle w:val="Textonotapie"/>
        <w:jc w:val="both"/>
        <w:rPr>
          <w:rFonts w:ascii="Verdana" w:hAnsi="Verdana"/>
          <w:sz w:val="16"/>
          <w:szCs w:val="16"/>
        </w:rPr>
      </w:pPr>
    </w:p>
  </w:footnote>
  <w:footnote w:id="110">
    <w:p w14:paraId="1A86717F" w14:textId="48559813"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 xml:space="preserve">Cfr. Caso Cabrera García y Montiel Flores Vs. México. Excepción Preliminar, Fondo, Reparaciones y Costas. </w:t>
      </w:r>
      <w:r w:rsidRPr="007F313C">
        <w:rPr>
          <w:rFonts w:ascii="Verdana" w:hAnsi="Verdana"/>
          <w:sz w:val="16"/>
          <w:szCs w:val="16"/>
        </w:rPr>
        <w:t xml:space="preserve">Sentencia de 26 de noviembre de 2010. Serie C No. 220, párr. 106, y </w:t>
      </w:r>
      <w:r w:rsidRPr="007F313C">
        <w:rPr>
          <w:rFonts w:ascii="Verdana" w:hAnsi="Verdana"/>
          <w:i/>
          <w:sz w:val="16"/>
          <w:szCs w:val="16"/>
        </w:rPr>
        <w:t>Caso Azul Rojas Marín y otra Vs. Perú</w:t>
      </w:r>
      <w:r w:rsidRPr="007F313C">
        <w:rPr>
          <w:rFonts w:ascii="Verdana" w:hAnsi="Verdana"/>
          <w:sz w:val="16"/>
          <w:szCs w:val="16"/>
        </w:rPr>
        <w:t>, párr. 131.</w:t>
      </w:r>
    </w:p>
    <w:p w14:paraId="32BCC9D0" w14:textId="77777777" w:rsidR="0087743B" w:rsidRPr="007F313C" w:rsidRDefault="0087743B" w:rsidP="00685A14">
      <w:pPr>
        <w:pStyle w:val="Textonotapie"/>
        <w:jc w:val="both"/>
        <w:rPr>
          <w:rFonts w:ascii="Verdana" w:hAnsi="Verdana"/>
          <w:sz w:val="16"/>
          <w:szCs w:val="16"/>
        </w:rPr>
      </w:pPr>
      <w:r w:rsidRPr="007F313C">
        <w:rPr>
          <w:rFonts w:ascii="Verdana" w:hAnsi="Verdana"/>
          <w:sz w:val="16"/>
          <w:szCs w:val="16"/>
        </w:rPr>
        <w:t xml:space="preserve"> </w:t>
      </w:r>
    </w:p>
  </w:footnote>
  <w:footnote w:id="111">
    <w:p w14:paraId="0F96FEA4" w14:textId="3389FBA8"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Lo dicho “constituye un mecanismo para evitar detenciones ilegales o arbitrarias desde el momento mismo de la privación de libertad y, a su vez, garantiza el derecho de defensa del individuo” (</w:t>
      </w:r>
      <w:r>
        <w:rPr>
          <w:rFonts w:ascii="Verdana" w:hAnsi="Verdana"/>
          <w:i/>
          <w:sz w:val="16"/>
          <w:szCs w:val="16"/>
        </w:rPr>
        <w:t>c</w:t>
      </w:r>
      <w:r w:rsidRPr="007F313C">
        <w:rPr>
          <w:rFonts w:ascii="Verdana" w:hAnsi="Verdana"/>
          <w:i/>
          <w:sz w:val="16"/>
          <w:szCs w:val="16"/>
        </w:rPr>
        <w:t>fr. Caso Juan Humberto Sánchez Vs. Honduras</w:t>
      </w:r>
      <w:r w:rsidRPr="007F313C">
        <w:rPr>
          <w:rFonts w:ascii="Verdana" w:hAnsi="Verdana"/>
          <w:sz w:val="16"/>
          <w:szCs w:val="16"/>
        </w:rPr>
        <w:t xml:space="preserve">, párr. 82, y </w:t>
      </w:r>
      <w:r w:rsidRPr="007F313C">
        <w:rPr>
          <w:rFonts w:ascii="Verdana" w:hAnsi="Verdana"/>
          <w:i/>
          <w:sz w:val="16"/>
          <w:szCs w:val="16"/>
        </w:rPr>
        <w:t>Caso Azul Rojas Marín y otra Vs. Perú</w:t>
      </w:r>
      <w:r w:rsidRPr="007F313C">
        <w:rPr>
          <w:rFonts w:ascii="Verdana" w:hAnsi="Verdana"/>
          <w:sz w:val="16"/>
          <w:szCs w:val="16"/>
        </w:rPr>
        <w:t>, párr. 131). Asimismo, esta Corte ha señalado que “el agente que lleva a cabo la detención debe informar en un lenguaje simple, libre de tecnicismos, los hechos y bases jurídicas esenciales en los que se basa la detención y que no se satisface el artículo 7.4 de la Convención si sólo se menciona la base legal” (</w:t>
      </w:r>
      <w:r w:rsidRPr="007F313C">
        <w:rPr>
          <w:rFonts w:ascii="Verdana" w:hAnsi="Verdana"/>
          <w:i/>
          <w:sz w:val="16"/>
          <w:szCs w:val="16"/>
        </w:rPr>
        <w:t>Caso Chaparro Álvarez y Lapo Íñiguez Vs. Ecuador</w:t>
      </w:r>
      <w:r w:rsidRPr="007F313C">
        <w:rPr>
          <w:rFonts w:ascii="Verdana" w:hAnsi="Verdana"/>
          <w:sz w:val="16"/>
          <w:szCs w:val="16"/>
        </w:rPr>
        <w:t xml:space="preserve">, párr. 71, y </w:t>
      </w:r>
      <w:r w:rsidRPr="007F313C">
        <w:rPr>
          <w:rFonts w:ascii="Verdana" w:hAnsi="Verdana"/>
          <w:i/>
          <w:sz w:val="16"/>
          <w:szCs w:val="16"/>
        </w:rPr>
        <w:t>Caso Azul Rojas Marín y otra Vs. Perú</w:t>
      </w:r>
      <w:r w:rsidRPr="007F313C">
        <w:rPr>
          <w:rFonts w:ascii="Verdana" w:hAnsi="Verdana"/>
          <w:sz w:val="16"/>
          <w:szCs w:val="16"/>
        </w:rPr>
        <w:t>, párr. 131).</w:t>
      </w:r>
    </w:p>
    <w:p w14:paraId="2EB39765" w14:textId="77777777" w:rsidR="0087743B" w:rsidRPr="007F313C" w:rsidRDefault="0087743B" w:rsidP="00685A14">
      <w:pPr>
        <w:pStyle w:val="Textonotapie"/>
        <w:jc w:val="both"/>
        <w:rPr>
          <w:rFonts w:ascii="Verdana" w:hAnsi="Verdana"/>
          <w:sz w:val="16"/>
          <w:szCs w:val="16"/>
        </w:rPr>
      </w:pPr>
    </w:p>
  </w:footnote>
  <w:footnote w:id="112">
    <w:p w14:paraId="3AC3D1E9" w14:textId="58F45AA1" w:rsidR="0087743B" w:rsidRPr="007F313C" w:rsidRDefault="0087743B" w:rsidP="00685A14">
      <w:pPr>
        <w:adjustRightInd w:val="0"/>
        <w:jc w:val="both"/>
        <w:rPr>
          <w:rFonts w:cs="Arial"/>
          <w:sz w:val="16"/>
          <w:szCs w:val="16"/>
        </w:rPr>
      </w:pPr>
      <w:r w:rsidRPr="007F313C">
        <w:rPr>
          <w:rStyle w:val="Refdenotaalpie"/>
          <w:sz w:val="16"/>
          <w:szCs w:val="16"/>
        </w:rPr>
        <w:footnoteRef/>
      </w:r>
      <w:r w:rsidRPr="007F313C">
        <w:rPr>
          <w:sz w:val="16"/>
          <w:szCs w:val="16"/>
        </w:rPr>
        <w:t xml:space="preserve"> </w:t>
      </w:r>
      <w:r w:rsidRPr="007F313C">
        <w:rPr>
          <w:sz w:val="16"/>
          <w:szCs w:val="16"/>
        </w:rPr>
        <w:tab/>
      </w:r>
      <w:r w:rsidRPr="007F313C">
        <w:rPr>
          <w:rFonts w:cs="Arial"/>
          <w:sz w:val="16"/>
          <w:szCs w:val="16"/>
        </w:rPr>
        <w:t>Ello, “tomando en cuenta que en un Estado de Derecho corresponde al juzgador garantizar los derechos del detenido, autorizar la adopción de medidas cautelares o de coerción, cuando sea estrictamente necesario y procurar, en general, que se trate al inculpado de manera consecuente con la presunción de inocencia” (</w:t>
      </w:r>
      <w:r w:rsidRPr="007F313C">
        <w:rPr>
          <w:rFonts w:cs="Arial"/>
          <w:i/>
          <w:iCs/>
          <w:sz w:val="16"/>
          <w:szCs w:val="16"/>
        </w:rPr>
        <w:t>Caso Chaparro Álvarez y Lapo Íñiguez Vs. Ecuador</w:t>
      </w:r>
      <w:r w:rsidRPr="007F313C">
        <w:rPr>
          <w:rFonts w:cs="Arial"/>
          <w:sz w:val="16"/>
          <w:szCs w:val="16"/>
        </w:rPr>
        <w:t>, párr. 81).</w:t>
      </w:r>
    </w:p>
    <w:p w14:paraId="0558B7C8" w14:textId="77777777" w:rsidR="0087743B" w:rsidRPr="007F313C" w:rsidRDefault="0087743B" w:rsidP="00685A14">
      <w:pPr>
        <w:adjustRightInd w:val="0"/>
        <w:jc w:val="both"/>
        <w:rPr>
          <w:sz w:val="16"/>
          <w:szCs w:val="16"/>
        </w:rPr>
      </w:pPr>
    </w:p>
  </w:footnote>
  <w:footnote w:id="113">
    <w:p w14:paraId="378F28DB" w14:textId="780B490D" w:rsidR="0087743B" w:rsidRPr="00A826A3" w:rsidRDefault="0087743B" w:rsidP="00685A14">
      <w:pPr>
        <w:pStyle w:val="Textonotapie"/>
        <w:jc w:val="both"/>
        <w:rPr>
          <w:rFonts w:ascii="Verdana" w:hAnsi="Verdana" w:cs="Arial"/>
          <w:strike/>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De los hechos (</w:t>
      </w:r>
      <w:r w:rsidRPr="007F313C">
        <w:rPr>
          <w:rFonts w:ascii="Verdana" w:hAnsi="Verdana"/>
          <w:i/>
          <w:sz w:val="16"/>
          <w:szCs w:val="16"/>
        </w:rPr>
        <w:t xml:space="preserve">supra </w:t>
      </w:r>
      <w:proofErr w:type="spellStart"/>
      <w:r w:rsidRPr="007F313C">
        <w:rPr>
          <w:rFonts w:ascii="Verdana" w:hAnsi="Verdana"/>
          <w:sz w:val="16"/>
          <w:szCs w:val="16"/>
        </w:rPr>
        <w:t>párrs</w:t>
      </w:r>
      <w:proofErr w:type="spellEnd"/>
      <w:r w:rsidRPr="007F313C">
        <w:rPr>
          <w:rFonts w:ascii="Verdana" w:hAnsi="Verdana"/>
          <w:sz w:val="16"/>
          <w:szCs w:val="16"/>
        </w:rPr>
        <w:t>.</w:t>
      </w:r>
      <w:r>
        <w:rPr>
          <w:rFonts w:ascii="Verdana" w:hAnsi="Verdana"/>
          <w:sz w:val="16"/>
          <w:szCs w:val="16"/>
        </w:rPr>
        <w:t xml:space="preserve"> 62, 59 y 60, respectivamente</w:t>
      </w:r>
      <w:r w:rsidRPr="007F313C">
        <w:rPr>
          <w:rFonts w:ascii="Verdana" w:hAnsi="Verdana"/>
          <w:sz w:val="16"/>
          <w:szCs w:val="16"/>
        </w:rPr>
        <w:t xml:space="preserve">) surge también que el señor Guerrero fue retenido por autoridades el 23 de octubre de 2002, y que el 27 de septiembre de 2002 fue allanada su casa por funcionarios policiales, y en que en esa circunstancia </w:t>
      </w:r>
      <w:r w:rsidRPr="007F313C">
        <w:rPr>
          <w:rFonts w:ascii="Verdana" w:hAnsi="Verdana" w:cs="Arial"/>
          <w:sz w:val="16"/>
          <w:szCs w:val="16"/>
        </w:rPr>
        <w:t>su madre y su hermana, Emilia Meléndez de Guerrero y Yarelis Guerrero, resultaron detenidas, permaneciendo tres días privadas de su libertad ambulatoria.</w:t>
      </w:r>
    </w:p>
    <w:p w14:paraId="0A1F320D" w14:textId="77777777" w:rsidR="0087743B" w:rsidRPr="007F313C" w:rsidRDefault="0087743B" w:rsidP="00685A14">
      <w:pPr>
        <w:pStyle w:val="Textonotapie"/>
        <w:jc w:val="both"/>
        <w:rPr>
          <w:rFonts w:ascii="Verdana" w:hAnsi="Verdana"/>
          <w:sz w:val="16"/>
          <w:szCs w:val="16"/>
        </w:rPr>
      </w:pPr>
    </w:p>
  </w:footnote>
  <w:footnote w:id="114">
    <w:p w14:paraId="37F5CD40" w14:textId="705128CD" w:rsidR="0087743B" w:rsidRPr="00123A31" w:rsidRDefault="0087743B" w:rsidP="00123A31">
      <w:pPr>
        <w:pStyle w:val="Textonotapie"/>
        <w:jc w:val="both"/>
        <w:rPr>
          <w:rFonts w:ascii="Verdana" w:hAnsi="Verdana"/>
          <w:sz w:val="16"/>
          <w:szCs w:val="16"/>
        </w:rPr>
      </w:pPr>
      <w:r w:rsidRPr="00123A31">
        <w:rPr>
          <w:rStyle w:val="Refdenotaalpie"/>
          <w:rFonts w:ascii="Verdana" w:hAnsi="Verdana"/>
          <w:sz w:val="16"/>
          <w:szCs w:val="16"/>
        </w:rPr>
        <w:footnoteRef/>
      </w:r>
      <w:r w:rsidRPr="00123A31">
        <w:rPr>
          <w:rFonts w:ascii="Verdana" w:hAnsi="Verdana"/>
          <w:sz w:val="16"/>
          <w:szCs w:val="16"/>
        </w:rPr>
        <w:t xml:space="preserve">  </w:t>
      </w:r>
      <w:r w:rsidRPr="00123A31">
        <w:rPr>
          <w:rFonts w:ascii="Verdana" w:hAnsi="Verdana"/>
          <w:sz w:val="16"/>
          <w:szCs w:val="16"/>
        </w:rPr>
        <w:tab/>
        <w:t>Al respecto, este Tribunal recuerda que ha señalado que “[una] detención podrá tornarse arbitraria si en su curso se producen hechos atribuibles al Estado que sean incompatibles con el respeto a los derechos humanos del detenido” (</w:t>
      </w:r>
      <w:r w:rsidRPr="00123A31">
        <w:rPr>
          <w:rFonts w:ascii="Verdana" w:hAnsi="Verdana"/>
          <w:i/>
          <w:sz w:val="16"/>
          <w:szCs w:val="16"/>
        </w:rPr>
        <w:t>Caso López Álvarez Vs. Honduras. Fondo, Reparaciones y Costas.</w:t>
      </w:r>
      <w:r w:rsidRPr="00123A31">
        <w:rPr>
          <w:rFonts w:ascii="Verdana" w:hAnsi="Verdana"/>
          <w:sz w:val="16"/>
          <w:szCs w:val="16"/>
        </w:rPr>
        <w:t xml:space="preserve"> Sentencia de 1 de febrero de 2006. Serie C No, 141, párr. 66, y </w:t>
      </w:r>
      <w:r w:rsidRPr="00123A31">
        <w:rPr>
          <w:rFonts w:ascii="Verdana" w:hAnsi="Verdana"/>
          <w:i/>
          <w:sz w:val="16"/>
          <w:szCs w:val="16"/>
        </w:rPr>
        <w:t>Caso Mujeres Víctimas de Tortura Sexual en Atenco Vs. México. Excepción Preliminar, Fondo, Reparaciones y Costas.</w:t>
      </w:r>
      <w:r w:rsidRPr="00123A31">
        <w:rPr>
          <w:rFonts w:ascii="Verdana" w:hAnsi="Verdana"/>
          <w:sz w:val="16"/>
          <w:szCs w:val="16"/>
        </w:rPr>
        <w:t xml:space="preserve"> Sentencia de 28 de noviembre de 2018. Serie C No. 371, párr. 243)</w:t>
      </w:r>
    </w:p>
    <w:p w14:paraId="3DA2F1C2" w14:textId="77777777" w:rsidR="0087743B" w:rsidRDefault="0087743B">
      <w:pPr>
        <w:pStyle w:val="Textonotapie"/>
      </w:pPr>
    </w:p>
  </w:footnote>
  <w:footnote w:id="115">
    <w:p w14:paraId="69CFE40D" w14:textId="5F23FC49"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Tal serie de actos incluyó, entre otros, amenazas a Jimmy Guerrero, el ingreso a su domicilio y la detención de dos de sus familiares. El señor Guerrero manifestó</w:t>
      </w:r>
      <w:r>
        <w:rPr>
          <w:rFonts w:ascii="Verdana" w:hAnsi="Verdana"/>
          <w:sz w:val="16"/>
          <w:szCs w:val="16"/>
        </w:rPr>
        <w:t>,</w:t>
      </w:r>
      <w:r w:rsidRPr="007F313C">
        <w:rPr>
          <w:rFonts w:ascii="Verdana" w:hAnsi="Verdana"/>
          <w:sz w:val="16"/>
          <w:szCs w:val="16"/>
        </w:rPr>
        <w:t xml:space="preserve"> además que siempre que la policía lo veía en la calle lo detenía. Sin que implique una evaluación de cada uno de los actos aludidos en sí mismo, la Corte advierte que ellos se insertan en el contexto que aquí se alude, y coadyuvan a la convicción de que las detenciones sufridas por el señor Guerrero se vinculan al mismo.</w:t>
      </w:r>
    </w:p>
    <w:p w14:paraId="676CC3ED" w14:textId="77777777" w:rsidR="0087743B" w:rsidRPr="007F313C" w:rsidRDefault="0087743B" w:rsidP="00685A14">
      <w:pPr>
        <w:pStyle w:val="Textonotapie"/>
        <w:jc w:val="both"/>
        <w:rPr>
          <w:rFonts w:ascii="Verdana" w:hAnsi="Verdana"/>
          <w:sz w:val="16"/>
          <w:szCs w:val="16"/>
        </w:rPr>
      </w:pPr>
    </w:p>
  </w:footnote>
  <w:footnote w:id="116">
    <w:p w14:paraId="137E65F6" w14:textId="208A028C"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ab/>
        <w:t xml:space="preserve">Artículo 5.1 de la Convención Americana. </w:t>
      </w:r>
    </w:p>
    <w:p w14:paraId="731A3D58" w14:textId="77777777" w:rsidR="0087743B" w:rsidRPr="007F313C" w:rsidRDefault="0087743B" w:rsidP="00685A14">
      <w:pPr>
        <w:pStyle w:val="Textonotapie"/>
        <w:jc w:val="both"/>
        <w:rPr>
          <w:rFonts w:ascii="Verdana" w:hAnsi="Verdana"/>
          <w:sz w:val="16"/>
          <w:szCs w:val="16"/>
        </w:rPr>
      </w:pPr>
    </w:p>
  </w:footnote>
  <w:footnote w:id="117">
    <w:p w14:paraId="50B054E6" w14:textId="018642DE"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ab/>
        <w:t xml:space="preserve">Artículo 5.2 de la Convención Americana, y artículos 1 y 6 de la Convención Interamericana para Prevenir y Sancionar la Tortura. </w:t>
      </w:r>
    </w:p>
    <w:p w14:paraId="17B5E62E" w14:textId="77777777" w:rsidR="0087743B" w:rsidRPr="007F313C" w:rsidRDefault="0087743B" w:rsidP="00685A14">
      <w:pPr>
        <w:pStyle w:val="Textonotapie"/>
        <w:jc w:val="both"/>
        <w:rPr>
          <w:rFonts w:ascii="Verdana" w:hAnsi="Verdana"/>
          <w:sz w:val="16"/>
          <w:szCs w:val="16"/>
        </w:rPr>
      </w:pPr>
    </w:p>
  </w:footnote>
  <w:footnote w:id="118">
    <w:p w14:paraId="384C3865" w14:textId="1D671FF3"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Pr>
          <w:rFonts w:ascii="Verdana" w:hAnsi="Verdana"/>
          <w:sz w:val="16"/>
          <w:szCs w:val="16"/>
        </w:rPr>
        <w:tab/>
        <w:t>Conforme a lo que</w:t>
      </w:r>
      <w:r w:rsidRPr="007F313C">
        <w:rPr>
          <w:rFonts w:ascii="Verdana" w:hAnsi="Verdana"/>
          <w:sz w:val="16"/>
          <w:szCs w:val="16"/>
        </w:rPr>
        <w:t xml:space="preserve"> se ha señalado (</w:t>
      </w:r>
      <w:r>
        <w:rPr>
          <w:rFonts w:ascii="Verdana" w:hAnsi="Verdana"/>
          <w:i/>
          <w:sz w:val="16"/>
          <w:szCs w:val="16"/>
        </w:rPr>
        <w:t xml:space="preserve">supra </w:t>
      </w:r>
      <w:r>
        <w:rPr>
          <w:rFonts w:ascii="Verdana" w:hAnsi="Verdana"/>
          <w:sz w:val="16"/>
          <w:szCs w:val="16"/>
        </w:rPr>
        <w:t>párr. 28</w:t>
      </w:r>
      <w:r w:rsidRPr="007F313C">
        <w:rPr>
          <w:rFonts w:ascii="Verdana" w:hAnsi="Verdana"/>
          <w:sz w:val="16"/>
          <w:szCs w:val="16"/>
        </w:rPr>
        <w:t>),</w:t>
      </w:r>
      <w:r>
        <w:rPr>
          <w:rFonts w:ascii="Verdana" w:hAnsi="Verdana"/>
          <w:sz w:val="16"/>
          <w:szCs w:val="16"/>
        </w:rPr>
        <w:t xml:space="preserve"> la</w:t>
      </w:r>
      <w:r w:rsidRPr="007F313C">
        <w:rPr>
          <w:rFonts w:ascii="Verdana" w:hAnsi="Verdana"/>
          <w:sz w:val="16"/>
          <w:szCs w:val="16"/>
        </w:rPr>
        <w:t xml:space="preserve"> </w:t>
      </w:r>
      <w:r w:rsidRPr="006244E4">
        <w:rPr>
          <w:rFonts w:ascii="Verdana" w:hAnsi="Verdana"/>
          <w:sz w:val="16"/>
          <w:szCs w:val="16"/>
        </w:rPr>
        <w:t>Comisión</w:t>
      </w:r>
      <w:r w:rsidRPr="00665A52">
        <w:rPr>
          <w:rFonts w:ascii="Verdana" w:hAnsi="Verdana"/>
          <w:sz w:val="16"/>
          <w:szCs w:val="16"/>
        </w:rPr>
        <w:t xml:space="preserve"> y el </w:t>
      </w:r>
      <w:r w:rsidRPr="006244E4">
        <w:rPr>
          <w:rFonts w:ascii="Verdana" w:hAnsi="Verdana"/>
          <w:sz w:val="16"/>
          <w:szCs w:val="16"/>
        </w:rPr>
        <w:t>Estado</w:t>
      </w:r>
      <w:r w:rsidRPr="00C93411">
        <w:rPr>
          <w:rFonts w:ascii="Verdana" w:hAnsi="Verdana"/>
          <w:i/>
          <w:sz w:val="16"/>
          <w:szCs w:val="16"/>
        </w:rPr>
        <w:t xml:space="preserve"> </w:t>
      </w:r>
      <w:r w:rsidRPr="007F313C">
        <w:rPr>
          <w:rFonts w:ascii="Verdana" w:hAnsi="Verdana"/>
          <w:sz w:val="16"/>
          <w:szCs w:val="16"/>
        </w:rPr>
        <w:t xml:space="preserve">no se refirieron a las violaciones a derechos humanos alegadas por los representantes respecto a hechos ocurridos antes de los días 29 y 30 de marzo de 2003. </w:t>
      </w:r>
    </w:p>
    <w:p w14:paraId="5F1C51AE" w14:textId="77777777" w:rsidR="0087743B" w:rsidRPr="007F313C" w:rsidRDefault="0087743B" w:rsidP="00685A14">
      <w:pPr>
        <w:pStyle w:val="Textonotapie"/>
        <w:jc w:val="both"/>
        <w:rPr>
          <w:rFonts w:ascii="Verdana" w:hAnsi="Verdana"/>
          <w:sz w:val="16"/>
          <w:szCs w:val="16"/>
        </w:rPr>
      </w:pPr>
    </w:p>
  </w:footnote>
  <w:footnote w:id="119">
    <w:p w14:paraId="5C767BFE" w14:textId="16876955" w:rsidR="0087743B"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ab/>
        <w:t xml:space="preserve">Los representantes afirmaron también que tales hechos no fueron investigados. </w:t>
      </w:r>
      <w:r>
        <w:rPr>
          <w:rFonts w:ascii="Verdana" w:hAnsi="Verdana"/>
          <w:sz w:val="16"/>
          <w:szCs w:val="16"/>
        </w:rPr>
        <w:t xml:space="preserve">Además, en el apartado de su escrito de solicitudes y argumentos en que refirieron estos argumentos, aludieron al artículo 8 de la CIPST, pero lo omitieron, en ese apartado, en la conclusión que expusieron sobre las violaciones que adujeron. </w:t>
      </w:r>
      <w:r w:rsidRPr="007F313C">
        <w:rPr>
          <w:rFonts w:ascii="Verdana" w:hAnsi="Verdana"/>
          <w:sz w:val="16"/>
          <w:szCs w:val="16"/>
        </w:rPr>
        <w:t>Lo relativo a la investigación de los hechos del caso</w:t>
      </w:r>
      <w:r>
        <w:rPr>
          <w:rFonts w:ascii="Verdana" w:hAnsi="Verdana"/>
          <w:sz w:val="16"/>
          <w:szCs w:val="16"/>
        </w:rPr>
        <w:t xml:space="preserve"> y al artículo 8 indicado</w:t>
      </w:r>
      <w:r w:rsidRPr="007F313C">
        <w:rPr>
          <w:rFonts w:ascii="Verdana" w:hAnsi="Verdana"/>
          <w:sz w:val="16"/>
          <w:szCs w:val="16"/>
        </w:rPr>
        <w:t xml:space="preserve"> se ab</w:t>
      </w:r>
      <w:r>
        <w:rPr>
          <w:rFonts w:ascii="Verdana" w:hAnsi="Verdana"/>
          <w:sz w:val="16"/>
          <w:szCs w:val="16"/>
        </w:rPr>
        <w:t>orda más adelante, en el Capítulo VII</w:t>
      </w:r>
      <w:r w:rsidRPr="007F313C">
        <w:rPr>
          <w:rFonts w:ascii="Verdana" w:hAnsi="Verdana"/>
          <w:sz w:val="16"/>
          <w:szCs w:val="16"/>
        </w:rPr>
        <w:t>.</w:t>
      </w:r>
      <w:r>
        <w:rPr>
          <w:rFonts w:ascii="Verdana" w:hAnsi="Verdana"/>
          <w:sz w:val="16"/>
          <w:szCs w:val="16"/>
        </w:rPr>
        <w:t xml:space="preserve">5. </w:t>
      </w:r>
      <w:r w:rsidRPr="007F313C">
        <w:rPr>
          <w:rFonts w:ascii="Verdana" w:hAnsi="Verdana"/>
          <w:sz w:val="16"/>
          <w:szCs w:val="16"/>
        </w:rPr>
        <w:t xml:space="preserve"> </w:t>
      </w:r>
    </w:p>
    <w:p w14:paraId="487F9BCF" w14:textId="77777777" w:rsidR="0087743B" w:rsidRPr="007F313C" w:rsidRDefault="0087743B" w:rsidP="00685A14">
      <w:pPr>
        <w:pStyle w:val="Textonotapie"/>
        <w:jc w:val="both"/>
        <w:rPr>
          <w:rFonts w:ascii="Verdana" w:hAnsi="Verdana"/>
          <w:sz w:val="16"/>
          <w:szCs w:val="16"/>
        </w:rPr>
      </w:pPr>
    </w:p>
  </w:footnote>
  <w:footnote w:id="120">
    <w:p w14:paraId="62893A8D" w14:textId="4662FA45" w:rsidR="0087743B" w:rsidRPr="00D9587B" w:rsidRDefault="0087743B" w:rsidP="00685A14">
      <w:pPr>
        <w:tabs>
          <w:tab w:val="left" w:pos="0"/>
        </w:tabs>
        <w:jc w:val="both"/>
        <w:rPr>
          <w:rFonts w:eastAsia="Times New Roman"/>
          <w:i/>
          <w:sz w:val="16"/>
          <w:szCs w:val="16"/>
        </w:rPr>
      </w:pPr>
      <w:r w:rsidRPr="00D9587B">
        <w:rPr>
          <w:rStyle w:val="Refdenotaalpie"/>
          <w:rFonts w:eastAsiaTheme="majorEastAsia"/>
          <w:sz w:val="16"/>
          <w:szCs w:val="16"/>
        </w:rPr>
        <w:footnoteRef/>
      </w:r>
      <w:r w:rsidRPr="00D9587B">
        <w:rPr>
          <w:sz w:val="16"/>
          <w:szCs w:val="16"/>
        </w:rPr>
        <w:t xml:space="preserve"> </w:t>
      </w:r>
      <w:r w:rsidRPr="00D9587B">
        <w:rPr>
          <w:sz w:val="16"/>
          <w:szCs w:val="16"/>
        </w:rPr>
        <w:tab/>
      </w:r>
      <w:r w:rsidRPr="00D9587B">
        <w:rPr>
          <w:i/>
          <w:sz w:val="16"/>
          <w:szCs w:val="16"/>
        </w:rPr>
        <w:t xml:space="preserve">Cfr. </w:t>
      </w:r>
      <w:r w:rsidRPr="00F55065">
        <w:rPr>
          <w:rStyle w:val="Textoennegrita"/>
          <w:b w:val="0"/>
          <w:i/>
          <w:sz w:val="16"/>
          <w:szCs w:val="16"/>
          <w:shd w:val="clear" w:color="auto" w:fill="FFFFFF"/>
        </w:rPr>
        <w:t>Caso Loayza Tamayo Vs. Perú. Fondo.</w:t>
      </w:r>
      <w:r w:rsidRPr="00F55065">
        <w:rPr>
          <w:rStyle w:val="Textoennegrita"/>
          <w:b w:val="0"/>
          <w:sz w:val="16"/>
          <w:szCs w:val="16"/>
          <w:shd w:val="clear" w:color="auto" w:fill="FFFFFF"/>
        </w:rPr>
        <w:t xml:space="preserve"> Sentencia de 17 de septiembre de 1997. Serie C No. 33</w:t>
      </w:r>
      <w:r w:rsidRPr="00F55065">
        <w:rPr>
          <w:sz w:val="16"/>
          <w:szCs w:val="16"/>
        </w:rPr>
        <w:t xml:space="preserve">, </w:t>
      </w:r>
      <w:proofErr w:type="spellStart"/>
      <w:r w:rsidRPr="00F55065">
        <w:rPr>
          <w:sz w:val="16"/>
          <w:szCs w:val="16"/>
        </w:rPr>
        <w:t>párrs</w:t>
      </w:r>
      <w:proofErr w:type="spellEnd"/>
      <w:r w:rsidRPr="00F55065">
        <w:rPr>
          <w:sz w:val="16"/>
          <w:szCs w:val="16"/>
        </w:rPr>
        <w:t>. 57 y 58</w:t>
      </w:r>
      <w:r w:rsidRPr="00D9587B">
        <w:rPr>
          <w:sz w:val="16"/>
          <w:szCs w:val="16"/>
        </w:rPr>
        <w:t xml:space="preserve">, y </w:t>
      </w:r>
      <w:r w:rsidRPr="00F55065">
        <w:rPr>
          <w:rFonts w:cs="Arial"/>
          <w:i/>
          <w:sz w:val="16"/>
          <w:szCs w:val="16"/>
          <w:shd w:val="clear" w:color="auto" w:fill="FFFFFF"/>
        </w:rPr>
        <w:t>Caso Guzmán Albarracín y otras Vs. Ecuador</w:t>
      </w:r>
      <w:r w:rsidRPr="00D9587B">
        <w:rPr>
          <w:rStyle w:val="Textoennegrita"/>
          <w:b w:val="0"/>
          <w:sz w:val="16"/>
          <w:szCs w:val="16"/>
          <w:shd w:val="clear" w:color="auto" w:fill="FFFFFF"/>
        </w:rPr>
        <w:t>, párr. 148.</w:t>
      </w:r>
      <w:r>
        <w:rPr>
          <w:rStyle w:val="Textoennegrita"/>
          <w:b w:val="0"/>
          <w:sz w:val="16"/>
          <w:szCs w:val="16"/>
          <w:shd w:val="clear" w:color="auto" w:fill="FFFFFF"/>
        </w:rPr>
        <w:t xml:space="preserve"> </w:t>
      </w:r>
      <w:r w:rsidRPr="00B741C6">
        <w:rPr>
          <w:rStyle w:val="Textoennegrita"/>
          <w:b w:val="0"/>
          <w:i/>
          <w:sz w:val="16"/>
          <w:szCs w:val="16"/>
          <w:shd w:val="clear" w:color="auto" w:fill="FFFFFF"/>
        </w:rPr>
        <w:t>Cfr.</w:t>
      </w:r>
      <w:r>
        <w:rPr>
          <w:rStyle w:val="Textoennegrita"/>
          <w:b w:val="0"/>
          <w:sz w:val="16"/>
          <w:szCs w:val="16"/>
          <w:shd w:val="clear" w:color="auto" w:fill="FFFFFF"/>
        </w:rPr>
        <w:t xml:space="preserve">, en el mismo sentido, sobre las diversas connotaciones de grado que pueden tener las lesiones a la integridad personal, </w:t>
      </w:r>
      <w:r w:rsidRPr="00B741C6">
        <w:rPr>
          <w:rStyle w:val="Textoennegrita"/>
          <w:b w:val="0"/>
          <w:i/>
          <w:sz w:val="16"/>
          <w:szCs w:val="16"/>
          <w:shd w:val="clear" w:color="auto" w:fill="FFFFFF"/>
        </w:rPr>
        <w:t>Caso Vicky Hernández y otras Vs. Honduras</w:t>
      </w:r>
      <w:r>
        <w:rPr>
          <w:rStyle w:val="Textoennegrita"/>
          <w:b w:val="0"/>
          <w:sz w:val="16"/>
          <w:szCs w:val="16"/>
          <w:shd w:val="clear" w:color="auto" w:fill="FFFFFF"/>
        </w:rPr>
        <w:t>, párr. 86.</w:t>
      </w:r>
    </w:p>
  </w:footnote>
  <w:footnote w:id="121">
    <w:p w14:paraId="459811B5" w14:textId="77777777" w:rsidR="0087743B" w:rsidRPr="007F313C" w:rsidRDefault="0087743B" w:rsidP="00685A14">
      <w:pPr>
        <w:pStyle w:val="Textonotapie"/>
        <w:jc w:val="both"/>
        <w:rPr>
          <w:rFonts w:ascii="Verdana" w:hAnsi="Verdana"/>
          <w:sz w:val="16"/>
          <w:szCs w:val="16"/>
        </w:rPr>
      </w:pPr>
    </w:p>
    <w:p w14:paraId="75EC2877" w14:textId="57CF9FB4"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Caso Guzmán Albarracín y otras Vs. Ecuador</w:t>
      </w:r>
      <w:r w:rsidRPr="007F313C">
        <w:rPr>
          <w:rFonts w:ascii="Verdana" w:hAnsi="Verdana"/>
          <w:sz w:val="16"/>
          <w:szCs w:val="16"/>
        </w:rPr>
        <w:t>, párr. 152.</w:t>
      </w:r>
    </w:p>
    <w:p w14:paraId="7FD943A7" w14:textId="77777777" w:rsidR="0087743B" w:rsidRPr="007F313C" w:rsidRDefault="0087743B" w:rsidP="00685A14">
      <w:pPr>
        <w:pStyle w:val="Textonotapie"/>
        <w:jc w:val="both"/>
        <w:rPr>
          <w:rFonts w:ascii="Verdana" w:hAnsi="Verdana"/>
          <w:sz w:val="16"/>
          <w:szCs w:val="16"/>
        </w:rPr>
      </w:pPr>
    </w:p>
  </w:footnote>
  <w:footnote w:id="122">
    <w:p w14:paraId="4D05698F" w14:textId="0DB8FF83" w:rsidR="0087743B" w:rsidRPr="007F313C" w:rsidRDefault="0087743B" w:rsidP="00685A14">
      <w:pPr>
        <w:tabs>
          <w:tab w:val="left" w:pos="426"/>
          <w:tab w:val="left" w:pos="720"/>
        </w:tabs>
        <w:contextualSpacing/>
        <w:jc w:val="both"/>
        <w:rPr>
          <w:rFonts w:cs="Arial"/>
          <w:sz w:val="16"/>
          <w:szCs w:val="16"/>
          <w:shd w:val="clear" w:color="auto" w:fill="FFFFFF"/>
        </w:rPr>
      </w:pPr>
      <w:r w:rsidRPr="007F313C">
        <w:rPr>
          <w:rStyle w:val="Refdenotaalpie"/>
          <w:rFonts w:eastAsia="Calibri"/>
          <w:sz w:val="16"/>
          <w:szCs w:val="16"/>
        </w:rPr>
        <w:footnoteRef/>
      </w:r>
      <w:r w:rsidRPr="007F313C">
        <w:rPr>
          <w:rStyle w:val="Refdenotaalpie"/>
          <w:rFonts w:eastAsia="Calibri"/>
          <w:sz w:val="16"/>
          <w:szCs w:val="16"/>
        </w:rPr>
        <w:t xml:space="preserve"> </w:t>
      </w:r>
      <w:r w:rsidRPr="007F313C">
        <w:rPr>
          <w:rFonts w:eastAsia="Calibri"/>
          <w:sz w:val="16"/>
          <w:szCs w:val="16"/>
        </w:rPr>
        <w:tab/>
      </w:r>
      <w:r>
        <w:rPr>
          <w:rFonts w:eastAsia="Calibri"/>
          <w:sz w:val="16"/>
          <w:szCs w:val="16"/>
        </w:rPr>
        <w:t xml:space="preserve">     </w:t>
      </w:r>
      <w:r w:rsidRPr="007F313C">
        <w:rPr>
          <w:i/>
          <w:sz w:val="16"/>
          <w:szCs w:val="16"/>
        </w:rPr>
        <w:t xml:space="preserve">Cfr. Caso Bueno Alves Vs. Argentina. Fondo, Reparaciones y Costas. </w:t>
      </w:r>
      <w:r w:rsidRPr="007F313C">
        <w:rPr>
          <w:sz w:val="16"/>
          <w:szCs w:val="16"/>
        </w:rPr>
        <w:t>Sentencia de 11 de mayo de 2007. Serie C No. 164, párr. 79</w:t>
      </w:r>
      <w:r>
        <w:rPr>
          <w:sz w:val="16"/>
          <w:szCs w:val="16"/>
        </w:rPr>
        <w:t xml:space="preserve">, y </w:t>
      </w:r>
      <w:r w:rsidRPr="007F313C">
        <w:rPr>
          <w:i/>
          <w:sz w:val="16"/>
          <w:szCs w:val="16"/>
        </w:rPr>
        <w:t>Caso Guzmán Albarracín y otras Vs. Ecuador</w:t>
      </w:r>
      <w:r>
        <w:rPr>
          <w:sz w:val="16"/>
          <w:szCs w:val="16"/>
        </w:rPr>
        <w:t>, párr. 148.</w:t>
      </w:r>
    </w:p>
    <w:p w14:paraId="63AF7195" w14:textId="77777777" w:rsidR="0087743B" w:rsidRPr="007F313C" w:rsidRDefault="0087743B" w:rsidP="00685A14">
      <w:pPr>
        <w:tabs>
          <w:tab w:val="left" w:pos="426"/>
          <w:tab w:val="left" w:pos="720"/>
        </w:tabs>
        <w:contextualSpacing/>
        <w:jc w:val="both"/>
        <w:rPr>
          <w:sz w:val="16"/>
          <w:szCs w:val="16"/>
        </w:rPr>
      </w:pPr>
    </w:p>
  </w:footnote>
  <w:footnote w:id="123">
    <w:p w14:paraId="5CA54AC7" w14:textId="4831B2BE"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ab/>
      </w:r>
      <w:r w:rsidRPr="00F55065">
        <w:rPr>
          <w:rFonts w:ascii="Verdana" w:hAnsi="Verdana"/>
          <w:i/>
          <w:sz w:val="16"/>
          <w:szCs w:val="16"/>
        </w:rPr>
        <w:t>Cfr.</w:t>
      </w:r>
      <w:r w:rsidRPr="00816CEE">
        <w:rPr>
          <w:rFonts w:ascii="Verdana" w:hAnsi="Verdana"/>
          <w:sz w:val="16"/>
          <w:szCs w:val="16"/>
        </w:rPr>
        <w:t xml:space="preserve"> </w:t>
      </w:r>
      <w:r w:rsidRPr="00816CEE">
        <w:rPr>
          <w:rFonts w:ascii="Verdana" w:hAnsi="Verdana"/>
          <w:i/>
          <w:sz w:val="16"/>
          <w:szCs w:val="16"/>
        </w:rPr>
        <w:t xml:space="preserve">Caso Yvon </w:t>
      </w:r>
      <w:proofErr w:type="spellStart"/>
      <w:r w:rsidRPr="00816CEE">
        <w:rPr>
          <w:rFonts w:ascii="Verdana" w:hAnsi="Verdana"/>
          <w:i/>
          <w:sz w:val="16"/>
          <w:szCs w:val="16"/>
        </w:rPr>
        <w:t>Neptune</w:t>
      </w:r>
      <w:proofErr w:type="spellEnd"/>
      <w:r w:rsidRPr="00816CEE">
        <w:rPr>
          <w:rFonts w:ascii="Verdana" w:hAnsi="Verdana"/>
          <w:i/>
          <w:sz w:val="16"/>
          <w:szCs w:val="16"/>
        </w:rPr>
        <w:t xml:space="preserve"> Vs. Haití, Fondo, Reparaciones y Costas.</w:t>
      </w:r>
      <w:r w:rsidRPr="00816CEE">
        <w:rPr>
          <w:rFonts w:ascii="Verdana" w:hAnsi="Verdana"/>
          <w:sz w:val="16"/>
          <w:szCs w:val="16"/>
        </w:rPr>
        <w:t xml:space="preserve"> Sentencia de 6 de mayo de 2008. Serie C No. 180, párr. 129, y </w:t>
      </w:r>
      <w:r w:rsidRPr="00816CEE">
        <w:rPr>
          <w:rFonts w:ascii="Verdana" w:hAnsi="Verdana"/>
          <w:i/>
          <w:sz w:val="16"/>
          <w:szCs w:val="16"/>
        </w:rPr>
        <w:t>Caso Guzmán Albarracín y otras Vs. Ecuador</w:t>
      </w:r>
      <w:r w:rsidRPr="00F55065">
        <w:rPr>
          <w:rFonts w:ascii="Verdana" w:hAnsi="Verdana"/>
          <w:sz w:val="16"/>
          <w:szCs w:val="16"/>
        </w:rPr>
        <w:t>, párr. 148</w:t>
      </w:r>
      <w:r>
        <w:rPr>
          <w:rFonts w:ascii="Verdana" w:hAnsi="Verdana"/>
          <w:sz w:val="16"/>
          <w:szCs w:val="16"/>
        </w:rPr>
        <w:t>.</w:t>
      </w:r>
    </w:p>
    <w:p w14:paraId="4C32927A" w14:textId="77777777" w:rsidR="0087743B" w:rsidRPr="007F313C" w:rsidRDefault="0087743B" w:rsidP="00685A14">
      <w:pPr>
        <w:pStyle w:val="Textonotapie"/>
        <w:jc w:val="both"/>
        <w:rPr>
          <w:rFonts w:ascii="Verdana" w:hAnsi="Verdana"/>
          <w:sz w:val="16"/>
          <w:szCs w:val="16"/>
        </w:rPr>
      </w:pPr>
    </w:p>
  </w:footnote>
  <w:footnote w:id="124">
    <w:p w14:paraId="4B2A3886" w14:textId="715ABDC6"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ab/>
      </w:r>
      <w:r w:rsidRPr="007F313C">
        <w:rPr>
          <w:rFonts w:ascii="Verdana" w:hAnsi="Verdana"/>
          <w:i/>
          <w:sz w:val="16"/>
          <w:szCs w:val="16"/>
        </w:rPr>
        <w:t>Caso Azul Rojas Marín y otra Vs. Perú</w:t>
      </w:r>
      <w:r w:rsidRPr="007F313C">
        <w:rPr>
          <w:rFonts w:ascii="Verdana" w:hAnsi="Verdana"/>
          <w:sz w:val="16"/>
          <w:szCs w:val="16"/>
        </w:rPr>
        <w:t>,</w:t>
      </w:r>
      <w:r w:rsidRPr="007F313C">
        <w:rPr>
          <w:rFonts w:ascii="Verdana" w:hAnsi="Verdana"/>
          <w:i/>
          <w:sz w:val="16"/>
          <w:szCs w:val="16"/>
        </w:rPr>
        <w:t xml:space="preserve"> </w:t>
      </w:r>
      <w:r w:rsidRPr="007F313C">
        <w:rPr>
          <w:rFonts w:ascii="Verdana" w:hAnsi="Verdana"/>
          <w:sz w:val="16"/>
          <w:szCs w:val="16"/>
        </w:rPr>
        <w:t xml:space="preserve">párr. 143. </w:t>
      </w:r>
    </w:p>
    <w:p w14:paraId="2DC73D3B" w14:textId="77777777" w:rsidR="0087743B" w:rsidRPr="007F313C" w:rsidRDefault="0087743B" w:rsidP="00685A14">
      <w:pPr>
        <w:pStyle w:val="Textonotapie"/>
        <w:jc w:val="both"/>
        <w:rPr>
          <w:rFonts w:ascii="Verdana" w:hAnsi="Verdana"/>
          <w:sz w:val="16"/>
          <w:szCs w:val="16"/>
        </w:rPr>
      </w:pPr>
    </w:p>
  </w:footnote>
  <w:footnote w:id="125">
    <w:p w14:paraId="4F84BE06" w14:textId="77777777" w:rsidR="0087743B" w:rsidRPr="007F313C" w:rsidRDefault="0087743B" w:rsidP="00685A14">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Como surge de lo expuesto en el apartado de “Hechos del caso” (</w:t>
      </w:r>
      <w:r w:rsidRPr="007F313C">
        <w:rPr>
          <w:rFonts w:ascii="Verdana" w:hAnsi="Verdana"/>
          <w:i/>
          <w:sz w:val="16"/>
          <w:szCs w:val="16"/>
        </w:rPr>
        <w:t xml:space="preserve">supra </w:t>
      </w:r>
      <w:proofErr w:type="spellStart"/>
      <w:r w:rsidRPr="007F313C">
        <w:rPr>
          <w:rFonts w:ascii="Verdana" w:hAnsi="Verdana"/>
          <w:sz w:val="16"/>
          <w:szCs w:val="16"/>
        </w:rPr>
        <w:t>párrs</w:t>
      </w:r>
      <w:proofErr w:type="spellEnd"/>
      <w:r w:rsidRPr="007F313C">
        <w:rPr>
          <w:rFonts w:ascii="Verdana" w:hAnsi="Verdana"/>
          <w:sz w:val="16"/>
          <w:szCs w:val="16"/>
        </w:rPr>
        <w:t xml:space="preserve">. </w:t>
      </w:r>
      <w:r>
        <w:rPr>
          <w:rFonts w:ascii="Verdana" w:hAnsi="Verdana"/>
          <w:sz w:val="16"/>
          <w:szCs w:val="16"/>
        </w:rPr>
        <w:t>65 a 67</w:t>
      </w:r>
      <w:r w:rsidRPr="007F313C">
        <w:rPr>
          <w:rFonts w:ascii="Verdana" w:hAnsi="Verdana"/>
          <w:sz w:val="16"/>
          <w:szCs w:val="16"/>
        </w:rPr>
        <w:t xml:space="preserve">), la narración de estos hechos efectuada en el ámbito interno por el señor Guerreo resulta consistente con la de una testigo y con exámenes médicos. Lo expuesto, además, no fue controvertido por el Estado. Por otra parte, no consta que se haya efectuado una investigación de lo sucedido que determine que tales hechos no ocurrieron, o que sucedieron de modo distinto al señalado. Por lo tanto, las agresiones sufridas por el señor Guerrero el 17 de febrero de 2003 se tienen por establecidas en los términos señalados.  </w:t>
      </w:r>
    </w:p>
    <w:p w14:paraId="327AD1DC" w14:textId="77777777" w:rsidR="0087743B" w:rsidRPr="007F313C" w:rsidRDefault="0087743B" w:rsidP="00685A14">
      <w:pPr>
        <w:pStyle w:val="Textonotapie"/>
        <w:jc w:val="both"/>
        <w:rPr>
          <w:rFonts w:ascii="Verdana" w:hAnsi="Verdana"/>
          <w:sz w:val="16"/>
          <w:szCs w:val="16"/>
        </w:rPr>
      </w:pPr>
    </w:p>
  </w:footnote>
  <w:footnote w:id="126">
    <w:p w14:paraId="2CD1AB0E" w14:textId="4D257AB0" w:rsidR="0087743B" w:rsidRDefault="0087743B" w:rsidP="00685A14">
      <w:pPr>
        <w:pStyle w:val="Textonotapie"/>
        <w:jc w:val="both"/>
        <w:rPr>
          <w:rFonts w:ascii="Verdana" w:hAnsi="Verdana"/>
          <w:sz w:val="16"/>
          <w:szCs w:val="16"/>
        </w:rPr>
      </w:pPr>
      <w:r w:rsidRPr="00A5438A">
        <w:rPr>
          <w:rStyle w:val="Refdenotaalpie"/>
          <w:rFonts w:ascii="Verdana" w:hAnsi="Verdana"/>
          <w:sz w:val="16"/>
          <w:szCs w:val="16"/>
        </w:rPr>
        <w:footnoteRef/>
      </w:r>
      <w:r w:rsidRPr="00A5438A">
        <w:rPr>
          <w:rFonts w:ascii="Verdana" w:hAnsi="Verdana"/>
          <w:sz w:val="16"/>
          <w:szCs w:val="16"/>
        </w:rPr>
        <w:tab/>
        <w:t xml:space="preserve">Sobre lo dicho, vale resaltar que “las características personales de una supuesta víctima de tortura o tratos crueles, inhumanos o degradantes, deben ser tomadas en cuenta al momento de determinar si la integridad personal fue vulnerada, ya que tales características pueden cambiar la percepción de la realidad del individuo, y por ende, incrementar el sufrimiento y el sentido de humillación cuando son sometidas a ciertos </w:t>
      </w:r>
      <w:proofErr w:type="gramStart"/>
      <w:r w:rsidRPr="00A5438A">
        <w:rPr>
          <w:rFonts w:ascii="Verdana" w:hAnsi="Verdana"/>
          <w:sz w:val="16"/>
          <w:szCs w:val="16"/>
        </w:rPr>
        <w:t>tr</w:t>
      </w:r>
      <w:r>
        <w:rPr>
          <w:rFonts w:ascii="Verdana" w:hAnsi="Verdana"/>
          <w:sz w:val="16"/>
          <w:szCs w:val="16"/>
        </w:rPr>
        <w:t>atamientos</w:t>
      </w:r>
      <w:r w:rsidRPr="00A5438A">
        <w:rPr>
          <w:rFonts w:ascii="Verdana" w:hAnsi="Verdana"/>
          <w:sz w:val="16"/>
          <w:szCs w:val="16"/>
        </w:rPr>
        <w:t>[</w:t>
      </w:r>
      <w:proofErr w:type="gramEnd"/>
      <w:r>
        <w:rPr>
          <w:rFonts w:ascii="Verdana" w:hAnsi="Verdana"/>
          <w:sz w:val="16"/>
          <w:szCs w:val="16"/>
        </w:rPr>
        <w:t xml:space="preserve">. </w:t>
      </w:r>
      <w:r w:rsidRPr="00A5438A">
        <w:rPr>
          <w:rFonts w:ascii="Verdana" w:hAnsi="Verdana"/>
          <w:sz w:val="16"/>
          <w:szCs w:val="16"/>
        </w:rPr>
        <w:t>…E]l sufrimiento es una experiencia propia de cada individuo y, en esa medida, va a depender de una multiplicidad de factores que hacen a cada persona un ser único. En este sentido, sería un contrasentido escindir las experiencias pasadas de la forma como un individuo experimenta el sufrimiento” (</w:t>
      </w:r>
      <w:r w:rsidRPr="00A5438A">
        <w:rPr>
          <w:rFonts w:ascii="Verdana" w:hAnsi="Verdana"/>
          <w:i/>
          <w:sz w:val="16"/>
          <w:szCs w:val="16"/>
        </w:rPr>
        <w:t>Caso I.V. Vs. Bolivia</w:t>
      </w:r>
      <w:r w:rsidRPr="00A5438A">
        <w:rPr>
          <w:rFonts w:ascii="Verdana" w:hAnsi="Verdana"/>
          <w:sz w:val="16"/>
          <w:szCs w:val="16"/>
        </w:rPr>
        <w:t>, párr. 267).</w:t>
      </w:r>
    </w:p>
    <w:p w14:paraId="029C1287" w14:textId="77777777" w:rsidR="0087743B" w:rsidRPr="00542071" w:rsidRDefault="0087743B" w:rsidP="00685A14">
      <w:pPr>
        <w:pStyle w:val="Textonotapie"/>
        <w:jc w:val="both"/>
        <w:rPr>
          <w:rFonts w:ascii="Verdana" w:hAnsi="Verdana"/>
          <w:sz w:val="16"/>
          <w:szCs w:val="16"/>
        </w:rPr>
      </w:pPr>
    </w:p>
  </w:footnote>
  <w:footnote w:id="127">
    <w:p w14:paraId="387F81BC" w14:textId="113DB150" w:rsidR="0087743B" w:rsidRDefault="0087743B" w:rsidP="00685A14">
      <w:pPr>
        <w:pStyle w:val="Textonotapie"/>
        <w:jc w:val="both"/>
        <w:rPr>
          <w:rFonts w:ascii="Verdana" w:hAnsi="Verdana"/>
          <w:sz w:val="16"/>
          <w:szCs w:val="16"/>
        </w:rPr>
      </w:pPr>
      <w:r w:rsidRPr="00D64A29">
        <w:rPr>
          <w:rStyle w:val="Refdenotaalpie"/>
          <w:rFonts w:ascii="Verdana" w:hAnsi="Verdana"/>
          <w:sz w:val="16"/>
          <w:szCs w:val="16"/>
        </w:rPr>
        <w:footnoteRef/>
      </w:r>
      <w:r w:rsidRPr="00D64A29">
        <w:rPr>
          <w:rFonts w:ascii="Verdana" w:hAnsi="Verdana"/>
          <w:sz w:val="16"/>
          <w:szCs w:val="16"/>
        </w:rPr>
        <w:tab/>
        <w:t>Al respecto, la Corte ha advertido que “las amenazas y el peligro real de someter a una persona a lesiones físicas produce, en determinadas circunstancias, una angustia moral de tal grado que puede ser considerada tortura psicológica” (</w:t>
      </w:r>
      <w:r w:rsidRPr="00D64A29">
        <w:rPr>
          <w:rFonts w:ascii="Verdana" w:hAnsi="Verdana"/>
          <w:i/>
          <w:sz w:val="16"/>
          <w:szCs w:val="16"/>
        </w:rPr>
        <w:t>Caso Cantoral Benavides Vs. Perú. Fondo</w:t>
      </w:r>
      <w:r w:rsidRPr="00D64A29">
        <w:rPr>
          <w:rFonts w:ascii="Verdana" w:hAnsi="Verdana"/>
          <w:sz w:val="16"/>
          <w:szCs w:val="16"/>
        </w:rPr>
        <w:t xml:space="preserve">. </w:t>
      </w:r>
      <w:r w:rsidRPr="00D64A29">
        <w:rPr>
          <w:rFonts w:ascii="Verdana" w:hAnsi="Verdana" w:cs="Arial"/>
          <w:sz w:val="16"/>
          <w:szCs w:val="16"/>
          <w:shd w:val="clear" w:color="auto" w:fill="FFFFFF"/>
        </w:rPr>
        <w:t>Sentencia de 18 de agosto de 2000. Serie C No. 69</w:t>
      </w:r>
      <w:r w:rsidRPr="00D64A29">
        <w:rPr>
          <w:rFonts w:ascii="Verdana" w:hAnsi="Verdana" w:cs="Arial"/>
          <w:color w:val="494848"/>
          <w:sz w:val="16"/>
          <w:szCs w:val="16"/>
          <w:shd w:val="clear" w:color="auto" w:fill="FFFFFF"/>
        </w:rPr>
        <w:t xml:space="preserve">, </w:t>
      </w:r>
      <w:r w:rsidRPr="00D64A29">
        <w:rPr>
          <w:rFonts w:ascii="Verdana" w:hAnsi="Verdana"/>
          <w:sz w:val="16"/>
          <w:szCs w:val="16"/>
        </w:rPr>
        <w:t>párr. 102, y</w:t>
      </w:r>
      <w:r w:rsidRPr="000F18E4">
        <w:t xml:space="preserve"> </w:t>
      </w:r>
      <w:r w:rsidRPr="00F55065">
        <w:rPr>
          <w:rFonts w:ascii="Verdana" w:hAnsi="Verdana"/>
          <w:i/>
          <w:sz w:val="16"/>
          <w:szCs w:val="16"/>
        </w:rPr>
        <w:t>Caso Azul Rojas Marín y otra Vs. Perú</w:t>
      </w:r>
      <w:r>
        <w:rPr>
          <w:rFonts w:ascii="Verdana" w:hAnsi="Verdana"/>
          <w:sz w:val="16"/>
          <w:szCs w:val="16"/>
        </w:rPr>
        <w:t>, párr. 160</w:t>
      </w:r>
      <w:r w:rsidRPr="00D64A29">
        <w:rPr>
          <w:rFonts w:ascii="Verdana" w:hAnsi="Verdana"/>
          <w:sz w:val="16"/>
          <w:szCs w:val="16"/>
        </w:rPr>
        <w:t xml:space="preserve">). </w:t>
      </w:r>
    </w:p>
    <w:p w14:paraId="06C7F407" w14:textId="77777777" w:rsidR="0087743B" w:rsidRPr="00D64A29" w:rsidRDefault="0087743B" w:rsidP="00685A14">
      <w:pPr>
        <w:pStyle w:val="Textonotapie"/>
        <w:jc w:val="both"/>
        <w:rPr>
          <w:rFonts w:ascii="Verdana" w:hAnsi="Verdana"/>
          <w:sz w:val="16"/>
          <w:szCs w:val="16"/>
        </w:rPr>
      </w:pPr>
    </w:p>
  </w:footnote>
  <w:footnote w:id="128">
    <w:p w14:paraId="67B152F3" w14:textId="77777777" w:rsidR="0087743B" w:rsidRDefault="0087743B" w:rsidP="00ED0E0E">
      <w:pPr>
        <w:pStyle w:val="Textonotapie"/>
        <w:jc w:val="both"/>
        <w:rPr>
          <w:rFonts w:ascii="Verdana" w:hAnsi="Verdana"/>
          <w:b/>
          <w:sz w:val="16"/>
          <w:szCs w:val="16"/>
        </w:rPr>
      </w:pPr>
      <w:r w:rsidRPr="007F313C">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Entre los</w:t>
      </w:r>
      <w:r w:rsidRPr="007F313C">
        <w:rPr>
          <w:rFonts w:ascii="Verdana" w:hAnsi="Verdana"/>
          <w:sz w:val="16"/>
          <w:szCs w:val="16"/>
        </w:rPr>
        <w:t xml:space="preserve"> “elementos</w:t>
      </w:r>
      <w:r>
        <w:rPr>
          <w:rFonts w:ascii="Verdana" w:hAnsi="Verdana"/>
          <w:sz w:val="16"/>
          <w:szCs w:val="16"/>
        </w:rPr>
        <w:t xml:space="preserve"> aportados al proceso</w:t>
      </w:r>
      <w:r w:rsidRPr="007F313C">
        <w:rPr>
          <w:rFonts w:ascii="Verdana" w:hAnsi="Verdana"/>
          <w:sz w:val="16"/>
          <w:szCs w:val="16"/>
        </w:rPr>
        <w:t xml:space="preserve">” la Comisión se refirió al peritaje presentado por el médico forense José Luis Prieto Carrero, producido ante la Corte Interamericana. </w:t>
      </w:r>
    </w:p>
    <w:p w14:paraId="18C81F6D" w14:textId="77777777" w:rsidR="0087743B" w:rsidRPr="007F313C" w:rsidRDefault="0087743B" w:rsidP="00ED0E0E">
      <w:pPr>
        <w:pStyle w:val="Textonotapie"/>
        <w:jc w:val="both"/>
        <w:rPr>
          <w:rFonts w:ascii="Verdana" w:hAnsi="Verdana"/>
          <w:sz w:val="16"/>
          <w:szCs w:val="16"/>
        </w:rPr>
      </w:pPr>
    </w:p>
  </w:footnote>
  <w:footnote w:id="129">
    <w:p w14:paraId="506A68B2" w14:textId="77777777" w:rsidR="0087743B" w:rsidRPr="007F313C" w:rsidRDefault="0087743B" w:rsidP="00ED0E0E">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Los representantes sustentaron su aseveración en el peritaje de José Luis Prieto Carrero. </w:t>
      </w:r>
    </w:p>
    <w:p w14:paraId="1D3F552D" w14:textId="77777777" w:rsidR="0087743B" w:rsidRPr="007F313C" w:rsidRDefault="0087743B" w:rsidP="00ED0E0E">
      <w:pPr>
        <w:pStyle w:val="Textonotapie"/>
        <w:jc w:val="both"/>
        <w:rPr>
          <w:rFonts w:ascii="Verdana" w:hAnsi="Verdana"/>
          <w:sz w:val="16"/>
          <w:szCs w:val="16"/>
        </w:rPr>
      </w:pPr>
    </w:p>
  </w:footnote>
  <w:footnote w:id="130">
    <w:p w14:paraId="21B35107" w14:textId="77777777" w:rsidR="0087743B" w:rsidRPr="007F313C" w:rsidRDefault="0087743B" w:rsidP="00ED0E0E">
      <w:pPr>
        <w:pStyle w:val="Textonotapie"/>
        <w:jc w:val="both"/>
        <w:rPr>
          <w:rFonts w:ascii="Verdana" w:hAnsi="Verdana" w:cs="Arial"/>
          <w:sz w:val="16"/>
          <w:szCs w:val="16"/>
          <w:shd w:val="clear" w:color="auto" w:fill="FFFFFF"/>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cs="Arial"/>
          <w:i/>
          <w:sz w:val="16"/>
          <w:szCs w:val="16"/>
          <w:shd w:val="clear" w:color="auto" w:fill="FFFFFF"/>
        </w:rPr>
        <w:t>Cfr. Caso Cantoral Huamaní y García Santa Cruz Vs. Perú. Excepción Preliminar, Fondo, Reparaciones y Costas.</w:t>
      </w:r>
      <w:r w:rsidRPr="007F313C">
        <w:rPr>
          <w:rFonts w:ascii="Verdana" w:hAnsi="Verdana" w:cs="Arial"/>
          <w:sz w:val="16"/>
          <w:szCs w:val="16"/>
          <w:shd w:val="clear" w:color="auto" w:fill="FFFFFF"/>
        </w:rPr>
        <w:t xml:space="preserve"> Sentencia de 10 de julio de 2007. Serie C No. 167, párr. 99. </w:t>
      </w:r>
    </w:p>
    <w:p w14:paraId="77383D6D" w14:textId="77777777" w:rsidR="0087743B" w:rsidRPr="007F313C" w:rsidRDefault="0087743B" w:rsidP="00ED0E0E">
      <w:pPr>
        <w:pStyle w:val="Textonotapie"/>
        <w:jc w:val="both"/>
        <w:rPr>
          <w:rFonts w:ascii="Verdana" w:hAnsi="Verdana"/>
          <w:sz w:val="16"/>
          <w:szCs w:val="16"/>
        </w:rPr>
      </w:pPr>
    </w:p>
  </w:footnote>
  <w:footnote w:id="131">
    <w:p w14:paraId="43996E2A" w14:textId="1200BCF8" w:rsidR="0087743B" w:rsidRPr="007F313C" w:rsidRDefault="0087743B" w:rsidP="00ED0E0E">
      <w:pPr>
        <w:pStyle w:val="Textonotapie"/>
        <w:jc w:val="both"/>
        <w:rPr>
          <w:rFonts w:ascii="Verdana" w:hAnsi="Verdana" w:cs="Arial"/>
          <w:sz w:val="16"/>
          <w:szCs w:val="16"/>
          <w:shd w:val="clear" w:color="auto" w:fill="FFFFFF"/>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Es preciso notar que las circunstancias de este caso difieren de otras en que, por ejemplo, las víctimas fueron secuestradas antes de ser ejecutadas, </w:t>
      </w:r>
      <w:r>
        <w:rPr>
          <w:rFonts w:ascii="Verdana" w:hAnsi="Verdana"/>
          <w:sz w:val="16"/>
          <w:szCs w:val="16"/>
        </w:rPr>
        <w:t>o</w:t>
      </w:r>
      <w:r w:rsidRPr="007F313C">
        <w:rPr>
          <w:rFonts w:ascii="Verdana" w:hAnsi="Verdana"/>
          <w:sz w:val="16"/>
          <w:szCs w:val="16"/>
        </w:rPr>
        <w:t xml:space="preserve"> en que hubo, entre el inicio de los hechos y su conclusión, una temporalidad y diversidad de circunstancias más amplia</w:t>
      </w:r>
      <w:r>
        <w:rPr>
          <w:rFonts w:ascii="Verdana" w:hAnsi="Verdana"/>
          <w:sz w:val="16"/>
          <w:szCs w:val="16"/>
        </w:rPr>
        <w:t>, incluso respecto a vejámenes que excedieron las agresiones mortales</w:t>
      </w:r>
      <w:r w:rsidRPr="007F313C">
        <w:rPr>
          <w:rFonts w:ascii="Verdana" w:hAnsi="Verdana"/>
          <w:sz w:val="16"/>
          <w:szCs w:val="16"/>
        </w:rPr>
        <w:t xml:space="preserve"> (</w:t>
      </w:r>
      <w:r>
        <w:rPr>
          <w:rFonts w:ascii="Verdana" w:hAnsi="Verdana"/>
          <w:i/>
          <w:sz w:val="16"/>
          <w:szCs w:val="16"/>
        </w:rPr>
        <w:t>c</w:t>
      </w:r>
      <w:r w:rsidRPr="007F313C">
        <w:rPr>
          <w:rFonts w:ascii="Verdana" w:hAnsi="Verdana"/>
          <w:i/>
          <w:sz w:val="16"/>
          <w:szCs w:val="16"/>
        </w:rPr>
        <w:t>fr.</w:t>
      </w:r>
      <w:r w:rsidRPr="007F313C">
        <w:rPr>
          <w:rFonts w:ascii="Verdana" w:hAnsi="Verdana"/>
          <w:sz w:val="16"/>
          <w:szCs w:val="16"/>
        </w:rPr>
        <w:t xml:space="preserve"> </w:t>
      </w:r>
      <w:r w:rsidRPr="00D87BA4">
        <w:rPr>
          <w:rFonts w:ascii="Verdana" w:hAnsi="Verdana" w:cs="Arial"/>
          <w:i/>
          <w:sz w:val="16"/>
          <w:szCs w:val="16"/>
          <w:shd w:val="clear" w:color="auto" w:fill="FFFFFF"/>
        </w:rPr>
        <w:t xml:space="preserve">Caso </w:t>
      </w:r>
      <w:proofErr w:type="spellStart"/>
      <w:r w:rsidRPr="00D87BA4">
        <w:rPr>
          <w:rFonts w:ascii="Verdana" w:hAnsi="Verdana" w:cs="Arial"/>
          <w:i/>
          <w:sz w:val="16"/>
          <w:szCs w:val="16"/>
          <w:shd w:val="clear" w:color="auto" w:fill="FFFFFF"/>
        </w:rPr>
        <w:t>Escué</w:t>
      </w:r>
      <w:proofErr w:type="spellEnd"/>
      <w:r w:rsidRPr="00D87BA4">
        <w:rPr>
          <w:rFonts w:ascii="Verdana" w:hAnsi="Verdana" w:cs="Arial"/>
          <w:i/>
          <w:sz w:val="16"/>
          <w:szCs w:val="16"/>
          <w:shd w:val="clear" w:color="auto" w:fill="FFFFFF"/>
        </w:rPr>
        <w:t xml:space="preserve"> Zapata Vs. Colombia. Fondo, Reparaciones y Costas</w:t>
      </w:r>
      <w:r w:rsidRPr="007462DA">
        <w:rPr>
          <w:rFonts w:ascii="Verdana" w:hAnsi="Verdana" w:cs="Arial"/>
          <w:sz w:val="16"/>
          <w:szCs w:val="16"/>
          <w:shd w:val="clear" w:color="auto" w:fill="FFFFFF"/>
        </w:rPr>
        <w:t>. Sentencia de 4 de julio de 2007. Serie C No. 165</w:t>
      </w:r>
      <w:r>
        <w:rPr>
          <w:rFonts w:ascii="Verdana" w:hAnsi="Verdana" w:cs="Arial"/>
          <w:sz w:val="16"/>
          <w:szCs w:val="16"/>
          <w:shd w:val="clear" w:color="auto" w:fill="FFFFFF"/>
        </w:rPr>
        <w:t xml:space="preserve">, </w:t>
      </w:r>
      <w:proofErr w:type="spellStart"/>
      <w:r>
        <w:rPr>
          <w:rFonts w:ascii="Verdana" w:hAnsi="Verdana" w:cs="Arial"/>
          <w:sz w:val="16"/>
          <w:szCs w:val="16"/>
          <w:shd w:val="clear" w:color="auto" w:fill="FFFFFF"/>
        </w:rPr>
        <w:t>párrs</w:t>
      </w:r>
      <w:proofErr w:type="spellEnd"/>
      <w:r>
        <w:rPr>
          <w:rFonts w:ascii="Verdana" w:hAnsi="Verdana" w:cs="Arial"/>
          <w:sz w:val="16"/>
          <w:szCs w:val="16"/>
          <w:shd w:val="clear" w:color="auto" w:fill="FFFFFF"/>
        </w:rPr>
        <w:t xml:space="preserve">. 69 a 72; </w:t>
      </w:r>
      <w:r w:rsidRPr="007F313C">
        <w:rPr>
          <w:rFonts w:ascii="Verdana" w:hAnsi="Verdana" w:cs="Arial"/>
          <w:i/>
          <w:sz w:val="16"/>
          <w:szCs w:val="16"/>
          <w:shd w:val="clear" w:color="auto" w:fill="FFFFFF"/>
        </w:rPr>
        <w:t>Caso Cantoral Huamaní y García Santa Cruz Vs. Perú</w:t>
      </w:r>
      <w:r w:rsidRPr="007F313C">
        <w:rPr>
          <w:rFonts w:ascii="Verdana" w:hAnsi="Verdana" w:cs="Arial"/>
          <w:sz w:val="16"/>
          <w:szCs w:val="16"/>
          <w:shd w:val="clear" w:color="auto" w:fill="FFFFFF"/>
        </w:rPr>
        <w:t>, párr. 99</w:t>
      </w:r>
      <w:r>
        <w:rPr>
          <w:rFonts w:ascii="Verdana" w:hAnsi="Verdana" w:cs="Arial"/>
          <w:sz w:val="16"/>
          <w:szCs w:val="16"/>
          <w:shd w:val="clear" w:color="auto" w:fill="FFFFFF"/>
        </w:rPr>
        <w:t xml:space="preserve">, y </w:t>
      </w:r>
      <w:r w:rsidRPr="00A70195">
        <w:rPr>
          <w:rFonts w:ascii="Verdana" w:hAnsi="Verdana"/>
          <w:i/>
          <w:sz w:val="16"/>
          <w:szCs w:val="16"/>
        </w:rPr>
        <w:t>Caso Vicky Hernández y otras Vs. Honduras</w:t>
      </w:r>
      <w:r>
        <w:rPr>
          <w:rFonts w:ascii="Verdana" w:hAnsi="Verdana"/>
          <w:sz w:val="16"/>
          <w:szCs w:val="16"/>
        </w:rPr>
        <w:t>, párr. 102</w:t>
      </w:r>
      <w:r w:rsidRPr="007F313C">
        <w:rPr>
          <w:rFonts w:ascii="Verdana" w:hAnsi="Verdana" w:cs="Arial"/>
          <w:sz w:val="16"/>
          <w:szCs w:val="16"/>
          <w:shd w:val="clear" w:color="auto" w:fill="FFFFFF"/>
        </w:rPr>
        <w:t xml:space="preserve">). </w:t>
      </w:r>
    </w:p>
    <w:p w14:paraId="70242CED" w14:textId="77777777" w:rsidR="0087743B" w:rsidRPr="007F313C" w:rsidRDefault="0087743B" w:rsidP="00ED0E0E">
      <w:pPr>
        <w:pStyle w:val="Textonotapie"/>
        <w:jc w:val="both"/>
        <w:rPr>
          <w:rFonts w:ascii="Verdana" w:hAnsi="Verdana"/>
          <w:sz w:val="16"/>
          <w:szCs w:val="16"/>
        </w:rPr>
      </w:pPr>
    </w:p>
  </w:footnote>
  <w:footnote w:id="132">
    <w:p w14:paraId="36DC80FA" w14:textId="40103C8B" w:rsidR="0087743B" w:rsidRDefault="0087743B" w:rsidP="00ED0E0E">
      <w:pPr>
        <w:jc w:val="both"/>
        <w:rPr>
          <w:rFonts w:cs="Times New Roman"/>
          <w:b/>
          <w:sz w:val="16"/>
          <w:szCs w:val="16"/>
        </w:rPr>
      </w:pPr>
      <w:r w:rsidRPr="00620163">
        <w:rPr>
          <w:rStyle w:val="Refdenotaalpie"/>
          <w:sz w:val="16"/>
          <w:szCs w:val="16"/>
        </w:rPr>
        <w:footnoteRef/>
      </w:r>
      <w:r w:rsidRPr="00620163">
        <w:rPr>
          <w:sz w:val="16"/>
          <w:szCs w:val="16"/>
        </w:rPr>
        <w:tab/>
      </w:r>
      <w:r w:rsidRPr="002C4D0D">
        <w:rPr>
          <w:sz w:val="16"/>
          <w:szCs w:val="16"/>
        </w:rPr>
        <w:t xml:space="preserve">Al respecto, el perito Prieto Carrero, cuyas conclusiones fueron destacadas por los representantes y la </w:t>
      </w:r>
      <w:r w:rsidRPr="008B6265">
        <w:rPr>
          <w:sz w:val="16"/>
          <w:szCs w:val="16"/>
        </w:rPr>
        <w:t>Comisión, con base en el examen del informe de autopsia, entendió que Jimmy Guerrero sufrió un disparo inicial en el abdomen, y que pudo haber sobrevivido hasta 3 minutos luego de</w:t>
      </w:r>
      <w:r w:rsidRPr="00D84E1B">
        <w:rPr>
          <w:sz w:val="16"/>
          <w:szCs w:val="16"/>
        </w:rPr>
        <w:t xml:space="preserve"> esa agresión. Por el contrario, consta en actuaciones internas un testimonio presencial que refirió que el primer disparo contra el señor Guerrero fue en su cabeza</w:t>
      </w:r>
      <w:r>
        <w:rPr>
          <w:sz w:val="16"/>
          <w:szCs w:val="16"/>
        </w:rPr>
        <w:t>. (</w:t>
      </w:r>
      <w:r>
        <w:rPr>
          <w:i/>
          <w:sz w:val="16"/>
          <w:szCs w:val="16"/>
        </w:rPr>
        <w:t>C</w:t>
      </w:r>
      <w:r w:rsidRPr="00542071">
        <w:rPr>
          <w:i/>
          <w:sz w:val="16"/>
          <w:szCs w:val="16"/>
        </w:rPr>
        <w:t>fr.</w:t>
      </w:r>
      <w:r w:rsidRPr="00D84E1B">
        <w:rPr>
          <w:sz w:val="16"/>
          <w:szCs w:val="16"/>
        </w:rPr>
        <w:t xml:space="preserve"> </w:t>
      </w:r>
      <w:r>
        <w:rPr>
          <w:sz w:val="16"/>
          <w:szCs w:val="16"/>
        </w:rPr>
        <w:t>d</w:t>
      </w:r>
      <w:r w:rsidRPr="00D84E1B">
        <w:rPr>
          <w:sz w:val="16"/>
          <w:szCs w:val="16"/>
        </w:rPr>
        <w:t xml:space="preserve">eclaración pericial de José Luis Prieto Carrero (expediente de prueba, fs. </w:t>
      </w:r>
      <w:r>
        <w:rPr>
          <w:sz w:val="16"/>
          <w:szCs w:val="16"/>
        </w:rPr>
        <w:t>11587</w:t>
      </w:r>
      <w:r w:rsidRPr="00D84E1B">
        <w:rPr>
          <w:sz w:val="16"/>
          <w:szCs w:val="16"/>
        </w:rPr>
        <w:t xml:space="preserve"> a </w:t>
      </w:r>
      <w:r>
        <w:rPr>
          <w:sz w:val="16"/>
          <w:szCs w:val="16"/>
        </w:rPr>
        <w:t>11611</w:t>
      </w:r>
      <w:r w:rsidRPr="00CB25BF">
        <w:rPr>
          <w:sz w:val="16"/>
          <w:szCs w:val="16"/>
        </w:rPr>
        <w:t>)</w:t>
      </w:r>
      <w:r w:rsidRPr="00CB25BF">
        <w:rPr>
          <w:b/>
          <w:sz w:val="16"/>
          <w:szCs w:val="16"/>
        </w:rPr>
        <w:t xml:space="preserve"> </w:t>
      </w:r>
      <w:r w:rsidRPr="00CB25BF">
        <w:rPr>
          <w:sz w:val="16"/>
          <w:szCs w:val="16"/>
        </w:rPr>
        <w:t xml:space="preserve">y </w:t>
      </w:r>
      <w:r w:rsidRPr="00CB25BF">
        <w:rPr>
          <w:rFonts w:cs="Times New Roman"/>
          <w:sz w:val="16"/>
          <w:szCs w:val="16"/>
        </w:rPr>
        <w:t>CICPC</w:t>
      </w:r>
      <w:r>
        <w:rPr>
          <w:rFonts w:cs="Times New Roman"/>
          <w:sz w:val="16"/>
          <w:szCs w:val="16"/>
        </w:rPr>
        <w:t>,</w:t>
      </w:r>
      <w:r w:rsidRPr="00CB25BF">
        <w:rPr>
          <w:rFonts w:cs="Times New Roman"/>
          <w:sz w:val="16"/>
          <w:szCs w:val="16"/>
        </w:rPr>
        <w:t xml:space="preserve"> Acta de entrevista a M.D. </w:t>
      </w:r>
      <w:r>
        <w:rPr>
          <w:rFonts w:cs="Times New Roman"/>
          <w:sz w:val="16"/>
          <w:szCs w:val="16"/>
        </w:rPr>
        <w:t>de 2 de abril de 2003.</w:t>
      </w:r>
      <w:r w:rsidRPr="00CB25BF">
        <w:rPr>
          <w:rFonts w:cs="Times New Roman"/>
          <w:sz w:val="16"/>
          <w:szCs w:val="16"/>
        </w:rPr>
        <w:t xml:space="preserve">) </w:t>
      </w:r>
    </w:p>
    <w:p w14:paraId="444CBA7B" w14:textId="77777777" w:rsidR="0087743B" w:rsidRDefault="0087743B" w:rsidP="00ED0E0E">
      <w:pPr>
        <w:jc w:val="both"/>
      </w:pPr>
    </w:p>
  </w:footnote>
  <w:footnote w:id="133">
    <w:p w14:paraId="4E9ADB59" w14:textId="1590F3AE" w:rsidR="0087743B" w:rsidRPr="00D64A29" w:rsidRDefault="0087743B" w:rsidP="00ED0E0E">
      <w:pPr>
        <w:pStyle w:val="Textonotapie"/>
        <w:jc w:val="both"/>
        <w:rPr>
          <w:rFonts w:ascii="Verdana" w:hAnsi="Verdana"/>
          <w:sz w:val="16"/>
          <w:szCs w:val="16"/>
        </w:rPr>
      </w:pPr>
      <w:r w:rsidRPr="00D64A29">
        <w:rPr>
          <w:rStyle w:val="Refdenotaalpie"/>
          <w:rFonts w:ascii="Verdana" w:hAnsi="Verdana"/>
          <w:sz w:val="16"/>
          <w:szCs w:val="16"/>
        </w:rPr>
        <w:footnoteRef/>
      </w:r>
      <w:r w:rsidRPr="00D64A29">
        <w:rPr>
          <w:rFonts w:ascii="Verdana" w:hAnsi="Verdana"/>
          <w:sz w:val="16"/>
          <w:szCs w:val="16"/>
        </w:rPr>
        <w:t xml:space="preserve"> </w:t>
      </w:r>
      <w:r w:rsidRPr="00D64A29">
        <w:rPr>
          <w:rFonts w:ascii="Verdana" w:hAnsi="Verdana"/>
          <w:sz w:val="16"/>
          <w:szCs w:val="16"/>
        </w:rPr>
        <w:tab/>
      </w:r>
      <w:r w:rsidRPr="00D64A29">
        <w:rPr>
          <w:rFonts w:ascii="Verdana" w:hAnsi="Verdana"/>
          <w:i/>
          <w:sz w:val="16"/>
          <w:szCs w:val="16"/>
        </w:rPr>
        <w:t xml:space="preserve">Cfr. Caso </w:t>
      </w:r>
      <w:proofErr w:type="spellStart"/>
      <w:r w:rsidRPr="00D64A29">
        <w:rPr>
          <w:rFonts w:ascii="Verdana" w:hAnsi="Verdana"/>
          <w:i/>
          <w:sz w:val="16"/>
          <w:szCs w:val="16"/>
        </w:rPr>
        <w:t>Nadege</w:t>
      </w:r>
      <w:proofErr w:type="spellEnd"/>
      <w:r w:rsidRPr="00D64A29">
        <w:rPr>
          <w:rFonts w:ascii="Verdana" w:hAnsi="Verdana"/>
          <w:i/>
          <w:sz w:val="16"/>
          <w:szCs w:val="16"/>
        </w:rPr>
        <w:t xml:space="preserve"> </w:t>
      </w:r>
      <w:proofErr w:type="spellStart"/>
      <w:r w:rsidRPr="00D64A29">
        <w:rPr>
          <w:rFonts w:ascii="Verdana" w:hAnsi="Verdana"/>
          <w:i/>
          <w:sz w:val="16"/>
          <w:szCs w:val="16"/>
        </w:rPr>
        <w:t>Do</w:t>
      </w:r>
      <w:r>
        <w:rPr>
          <w:rFonts w:ascii="Verdana" w:hAnsi="Verdana"/>
          <w:i/>
          <w:sz w:val="16"/>
          <w:szCs w:val="16"/>
        </w:rPr>
        <w:t>r</w:t>
      </w:r>
      <w:r w:rsidRPr="00D64A29">
        <w:rPr>
          <w:rFonts w:ascii="Verdana" w:hAnsi="Verdana"/>
          <w:i/>
          <w:sz w:val="16"/>
          <w:szCs w:val="16"/>
        </w:rPr>
        <w:t>zema</w:t>
      </w:r>
      <w:proofErr w:type="spellEnd"/>
      <w:r w:rsidRPr="00D64A29">
        <w:rPr>
          <w:rFonts w:ascii="Verdana" w:hAnsi="Verdana"/>
          <w:i/>
          <w:sz w:val="16"/>
          <w:szCs w:val="16"/>
        </w:rPr>
        <w:t xml:space="preserve"> y otros Vs. República Dominicana. Fondo, Reparaciones y Costas. </w:t>
      </w:r>
      <w:r w:rsidRPr="00D64A29">
        <w:rPr>
          <w:rFonts w:ascii="Verdana" w:hAnsi="Verdana"/>
          <w:sz w:val="16"/>
          <w:szCs w:val="16"/>
        </w:rPr>
        <w:t xml:space="preserve">Sentencia de 24 de octubre de 2012 Serie C No. 251, párr. 117, y </w:t>
      </w:r>
      <w:r w:rsidRPr="00D64A29">
        <w:rPr>
          <w:rFonts w:ascii="Verdana" w:hAnsi="Verdana"/>
          <w:i/>
          <w:sz w:val="16"/>
          <w:szCs w:val="16"/>
        </w:rPr>
        <w:t>Caso Rodríguez Vera y otros (Desaparecidos del Palacio de Justicia) Vs. Colombia. Excepciones Preliminares, Fondo, Reparaciones y Costas.</w:t>
      </w:r>
      <w:r w:rsidRPr="00D64A29">
        <w:rPr>
          <w:rFonts w:ascii="Verdana" w:hAnsi="Verdana"/>
          <w:sz w:val="16"/>
          <w:szCs w:val="16"/>
        </w:rPr>
        <w:t xml:space="preserve"> Sentencia de 14 de noviembre de 2014. Serie C No. 287, párr. 327.</w:t>
      </w:r>
    </w:p>
    <w:p w14:paraId="25DDB6EE" w14:textId="77777777" w:rsidR="0087743B" w:rsidRDefault="0087743B" w:rsidP="00ED0E0E">
      <w:pPr>
        <w:pStyle w:val="Textonotapie"/>
      </w:pPr>
    </w:p>
  </w:footnote>
  <w:footnote w:id="134">
    <w:p w14:paraId="66BE4D72" w14:textId="0BBF640D" w:rsidR="0087743B" w:rsidRPr="00BD5852" w:rsidRDefault="0087743B" w:rsidP="004E64A8">
      <w:pPr>
        <w:pStyle w:val="Textonotapie"/>
        <w:rPr>
          <w:rFonts w:ascii="Verdana" w:hAnsi="Verdana"/>
          <w:sz w:val="16"/>
          <w:szCs w:val="16"/>
        </w:rPr>
      </w:pPr>
      <w:r w:rsidRPr="00BD5852">
        <w:rPr>
          <w:rStyle w:val="Refdenotaalpie"/>
          <w:rFonts w:ascii="Verdana" w:hAnsi="Verdana"/>
          <w:sz w:val="16"/>
          <w:szCs w:val="16"/>
        </w:rPr>
        <w:footnoteRef/>
      </w:r>
      <w:r w:rsidRPr="00BD5852">
        <w:rPr>
          <w:rFonts w:ascii="Verdana" w:hAnsi="Verdana"/>
          <w:sz w:val="16"/>
          <w:szCs w:val="16"/>
        </w:rPr>
        <w:tab/>
        <w:t xml:space="preserve">Artículo 8.1 de la Convención Americana. </w:t>
      </w:r>
    </w:p>
    <w:p w14:paraId="2DAE094C" w14:textId="77777777" w:rsidR="0087743B" w:rsidRPr="00BD5852" w:rsidRDefault="0087743B" w:rsidP="004E64A8">
      <w:pPr>
        <w:pStyle w:val="Textonotapie"/>
        <w:rPr>
          <w:rFonts w:ascii="Verdana" w:hAnsi="Verdana"/>
          <w:sz w:val="16"/>
          <w:szCs w:val="16"/>
        </w:rPr>
      </w:pPr>
    </w:p>
  </w:footnote>
  <w:footnote w:id="135">
    <w:p w14:paraId="08A77E42" w14:textId="4445B2E9" w:rsidR="0087743B" w:rsidRPr="00BD5852" w:rsidRDefault="0087743B" w:rsidP="00BD5852">
      <w:pPr>
        <w:pStyle w:val="Textonotapie"/>
        <w:jc w:val="both"/>
        <w:rPr>
          <w:rFonts w:ascii="Verdana" w:hAnsi="Verdana"/>
          <w:sz w:val="16"/>
          <w:szCs w:val="16"/>
        </w:rPr>
      </w:pPr>
      <w:r w:rsidRPr="00BD5852">
        <w:rPr>
          <w:rStyle w:val="Refdenotaalpie"/>
          <w:rFonts w:ascii="Verdana" w:hAnsi="Verdana"/>
          <w:sz w:val="16"/>
          <w:szCs w:val="16"/>
        </w:rPr>
        <w:footnoteRef/>
      </w:r>
      <w:r w:rsidRPr="00BD5852">
        <w:rPr>
          <w:rFonts w:ascii="Verdana" w:hAnsi="Verdana"/>
          <w:sz w:val="16"/>
          <w:szCs w:val="16"/>
        </w:rPr>
        <w:tab/>
        <w:t>Artículo 25.1 de la Convención Americana. En este apartado se examina también</w:t>
      </w:r>
      <w:r>
        <w:rPr>
          <w:rFonts w:ascii="Verdana" w:hAnsi="Verdana"/>
          <w:sz w:val="16"/>
          <w:szCs w:val="16"/>
        </w:rPr>
        <w:t>, en relación con los derechos a las garantías judiciales y a la protección judicial, en lo atinente a la obligación de investigación respecto de actos de tortura,</w:t>
      </w:r>
      <w:r w:rsidRPr="00BD5852">
        <w:rPr>
          <w:rFonts w:ascii="Verdana" w:hAnsi="Verdana"/>
          <w:sz w:val="16"/>
          <w:szCs w:val="16"/>
        </w:rPr>
        <w:t xml:space="preserve"> el artículo 8 de la CIPST, como así también los artículos 1 y 6 del mismo tratado, ya señalados (</w:t>
      </w:r>
      <w:r w:rsidRPr="00BD5852">
        <w:rPr>
          <w:rFonts w:ascii="Verdana" w:hAnsi="Verdana"/>
          <w:i/>
          <w:sz w:val="16"/>
          <w:szCs w:val="16"/>
        </w:rPr>
        <w:t>supra</w:t>
      </w:r>
      <w:r>
        <w:rPr>
          <w:rFonts w:ascii="Verdana" w:hAnsi="Verdana"/>
          <w:sz w:val="16"/>
          <w:szCs w:val="16"/>
        </w:rPr>
        <w:t xml:space="preserve"> nota a pie de página 116</w:t>
      </w:r>
      <w:r w:rsidRPr="00BD5852">
        <w:rPr>
          <w:rFonts w:ascii="Verdana" w:hAnsi="Verdana"/>
          <w:sz w:val="16"/>
          <w:szCs w:val="16"/>
        </w:rPr>
        <w:t>)</w:t>
      </w:r>
      <w:r>
        <w:rPr>
          <w:rFonts w:ascii="Verdana" w:hAnsi="Verdana"/>
          <w:sz w:val="16"/>
          <w:szCs w:val="16"/>
        </w:rPr>
        <w:t>.</w:t>
      </w:r>
    </w:p>
    <w:p w14:paraId="1CA34EB2" w14:textId="77777777" w:rsidR="0087743B" w:rsidRDefault="0087743B" w:rsidP="004E64A8">
      <w:pPr>
        <w:pStyle w:val="Textonotapie"/>
      </w:pPr>
    </w:p>
  </w:footnote>
  <w:footnote w:id="136">
    <w:p w14:paraId="6AFE6347" w14:textId="170CCC09" w:rsidR="0087743B" w:rsidRDefault="0087743B" w:rsidP="004E64A8">
      <w:pPr>
        <w:pStyle w:val="Prrafodelista"/>
        <w:ind w:left="0"/>
        <w:rPr>
          <w:sz w:val="16"/>
          <w:szCs w:val="16"/>
        </w:rPr>
      </w:pPr>
      <w:r w:rsidRPr="007F313C">
        <w:rPr>
          <w:rStyle w:val="Refdenotaalpie"/>
          <w:sz w:val="16"/>
          <w:szCs w:val="16"/>
        </w:rPr>
        <w:footnoteRef/>
      </w:r>
      <w:r w:rsidRPr="007F313C">
        <w:rPr>
          <w:sz w:val="16"/>
          <w:szCs w:val="16"/>
        </w:rPr>
        <w:t xml:space="preserve"> </w:t>
      </w:r>
      <w:r w:rsidRPr="007F313C">
        <w:rPr>
          <w:sz w:val="16"/>
          <w:szCs w:val="16"/>
        </w:rPr>
        <w:tab/>
        <w:t xml:space="preserve">También señaló que las pericias realizadas de tipo balístico, de los proyectiles encontrados, de la trayectoria del disparo y los informes de autopsia, contienen información aislada sin ningún análisis coordinado e integrado de las mismas hacia el esclarecimiento de las posibles hipótesis. </w:t>
      </w:r>
      <w:r>
        <w:rPr>
          <w:sz w:val="16"/>
          <w:szCs w:val="16"/>
        </w:rPr>
        <w:t>A</w:t>
      </w:r>
      <w:r w:rsidRPr="007F313C">
        <w:rPr>
          <w:sz w:val="16"/>
          <w:szCs w:val="16"/>
        </w:rPr>
        <w:t>dvirtió</w:t>
      </w:r>
      <w:r>
        <w:rPr>
          <w:sz w:val="16"/>
          <w:szCs w:val="16"/>
        </w:rPr>
        <w:t>, igualmente,</w:t>
      </w:r>
      <w:r w:rsidRPr="007F313C">
        <w:rPr>
          <w:sz w:val="16"/>
          <w:szCs w:val="16"/>
        </w:rPr>
        <w:t xml:space="preserve"> que los órganos encargados de la investigación </w:t>
      </w:r>
      <w:r>
        <w:rPr>
          <w:sz w:val="16"/>
          <w:szCs w:val="16"/>
        </w:rPr>
        <w:t>no</w:t>
      </w:r>
      <w:r w:rsidRPr="007F313C">
        <w:rPr>
          <w:sz w:val="16"/>
          <w:szCs w:val="16"/>
        </w:rPr>
        <w:t xml:space="preserve"> tomaron declaraciones de los miembros de las fuerzas policiales que fueron implicados en el ataque.</w:t>
      </w:r>
    </w:p>
    <w:p w14:paraId="3C338677" w14:textId="77777777" w:rsidR="0087743B" w:rsidRPr="007F313C" w:rsidRDefault="0087743B" w:rsidP="004E64A8">
      <w:pPr>
        <w:pStyle w:val="Prrafodelista"/>
        <w:ind w:left="0"/>
        <w:rPr>
          <w:sz w:val="16"/>
          <w:szCs w:val="16"/>
        </w:rPr>
      </w:pPr>
    </w:p>
  </w:footnote>
  <w:footnote w:id="137">
    <w:p w14:paraId="1FBA5DD2" w14:textId="67A3B549" w:rsidR="0087743B" w:rsidRPr="007F313C" w:rsidRDefault="0087743B" w:rsidP="004E64A8">
      <w:pPr>
        <w:pStyle w:val="Prrafodelista"/>
        <w:ind w:left="0"/>
        <w:rPr>
          <w:rFonts w:cs="Arial"/>
          <w:b/>
          <w:sz w:val="16"/>
          <w:szCs w:val="16"/>
        </w:rPr>
      </w:pPr>
      <w:r w:rsidRPr="007F313C">
        <w:rPr>
          <w:rStyle w:val="Refdenotaalpie"/>
          <w:sz w:val="16"/>
          <w:szCs w:val="16"/>
        </w:rPr>
        <w:footnoteRef/>
      </w:r>
      <w:r w:rsidRPr="007F313C">
        <w:rPr>
          <w:sz w:val="16"/>
          <w:szCs w:val="16"/>
        </w:rPr>
        <w:t xml:space="preserve"> </w:t>
      </w:r>
      <w:r w:rsidRPr="007F313C">
        <w:rPr>
          <w:sz w:val="16"/>
          <w:szCs w:val="16"/>
        </w:rPr>
        <w:tab/>
        <w:t xml:space="preserve">Los representantes aseveraron que </w:t>
      </w:r>
      <w:r w:rsidRPr="007F313C">
        <w:rPr>
          <w:rFonts w:cs="Arial"/>
          <w:sz w:val="16"/>
          <w:szCs w:val="16"/>
        </w:rPr>
        <w:t>“luego de la muerte de Jimmy y Ramón, y por la búsqueda de justicia, Franklin Guerrero fue hostigado por presuntos funcionarios policiales, advirtiéndole en diversas oportunidades que no siguiera con las averiguaciones que estaba haciend</w:t>
      </w:r>
      <w:r>
        <w:rPr>
          <w:rFonts w:cs="Arial"/>
          <w:sz w:val="16"/>
          <w:szCs w:val="16"/>
        </w:rPr>
        <w:t>o</w:t>
      </w:r>
      <w:r w:rsidRPr="007F313C">
        <w:rPr>
          <w:rFonts w:cs="Arial"/>
          <w:sz w:val="16"/>
          <w:szCs w:val="16"/>
        </w:rPr>
        <w:t xml:space="preserve"> en Punto Fijo, lugar de los hechos. Igualmente, Jean Carlos Guerrero, quien asumió un rol público de denuncia por lo ocurrido, recibió amenazas de muerte por vía telefónica o caminando en las calles de la ciudad. Además, el señor</w:t>
      </w:r>
      <w:r>
        <w:rPr>
          <w:rFonts w:cs="Arial"/>
          <w:sz w:val="16"/>
          <w:szCs w:val="16"/>
        </w:rPr>
        <w:t xml:space="preserve"> [J.L.],</w:t>
      </w:r>
      <w:r w:rsidRPr="007F313C">
        <w:rPr>
          <w:rFonts w:cs="Arial"/>
          <w:sz w:val="16"/>
          <w:szCs w:val="16"/>
        </w:rPr>
        <w:t xml:space="preserve"> testigo de los hechos, quien señaló la participación policial en los mismos, también sufrió amenazas y presiones por parte de miembros de las fuerzas policiales, por lo que se le otorgaron medidas de protección. Sin embargo, estas no fueron efectivas, lo que lo obligó a adoptar medidas de protección por cuenta propia, lo que ha provocado que </w:t>
      </w:r>
      <w:proofErr w:type="gramStart"/>
      <w:r w:rsidRPr="007F313C">
        <w:rPr>
          <w:rFonts w:cs="Arial"/>
          <w:sz w:val="16"/>
          <w:szCs w:val="16"/>
        </w:rPr>
        <w:t>al día de hoy</w:t>
      </w:r>
      <w:proofErr w:type="gramEnd"/>
      <w:r w:rsidRPr="007F313C">
        <w:rPr>
          <w:rFonts w:cs="Arial"/>
          <w:sz w:val="16"/>
          <w:szCs w:val="16"/>
        </w:rPr>
        <w:t xml:space="preserve"> se desconozca su paradero”.</w:t>
      </w:r>
    </w:p>
    <w:p w14:paraId="4BAE0BEB" w14:textId="77777777" w:rsidR="0087743B" w:rsidRPr="007F313C" w:rsidRDefault="0087743B" w:rsidP="004E64A8">
      <w:pPr>
        <w:pStyle w:val="Textonotapie"/>
        <w:jc w:val="both"/>
        <w:rPr>
          <w:rFonts w:ascii="Verdana" w:hAnsi="Verdana"/>
          <w:sz w:val="16"/>
          <w:szCs w:val="16"/>
        </w:rPr>
      </w:pPr>
    </w:p>
  </w:footnote>
  <w:footnote w:id="138">
    <w:p w14:paraId="6F0C0CE9" w14:textId="77777777" w:rsidR="0087743B" w:rsidRPr="00542071" w:rsidRDefault="0087743B" w:rsidP="004E64A8">
      <w:pPr>
        <w:pStyle w:val="Textonotapie"/>
        <w:jc w:val="both"/>
        <w:rPr>
          <w:rFonts w:ascii="Verdana" w:hAnsi="Verdana"/>
          <w:sz w:val="16"/>
          <w:szCs w:val="16"/>
        </w:rPr>
      </w:pPr>
      <w:r w:rsidRPr="00542071">
        <w:rPr>
          <w:rStyle w:val="Refdenotaalpie"/>
          <w:rFonts w:ascii="Verdana" w:hAnsi="Verdana"/>
          <w:sz w:val="16"/>
          <w:szCs w:val="16"/>
        </w:rPr>
        <w:footnoteRef/>
      </w:r>
      <w:r w:rsidRPr="00542071">
        <w:rPr>
          <w:rFonts w:ascii="Verdana" w:hAnsi="Verdana"/>
          <w:sz w:val="16"/>
          <w:szCs w:val="16"/>
        </w:rPr>
        <w:t xml:space="preserve">  </w:t>
      </w:r>
      <w:r w:rsidRPr="00542071">
        <w:rPr>
          <w:rFonts w:ascii="Verdana" w:hAnsi="Verdana"/>
          <w:sz w:val="16"/>
          <w:szCs w:val="16"/>
        </w:rPr>
        <w:tab/>
      </w:r>
      <w:r w:rsidRPr="00A5438A">
        <w:rPr>
          <w:rFonts w:ascii="Verdana" w:hAnsi="Verdana"/>
          <w:sz w:val="16"/>
          <w:szCs w:val="16"/>
        </w:rPr>
        <w:t xml:space="preserve">Además, los representantes adujeron que “[e]l </w:t>
      </w:r>
      <w:r w:rsidRPr="00A5438A">
        <w:rPr>
          <w:rFonts w:ascii="Verdana" w:hAnsi="Verdana" w:cs="Arial"/>
          <w:sz w:val="16"/>
          <w:szCs w:val="16"/>
        </w:rPr>
        <w:t xml:space="preserve">sobreseimiento </w:t>
      </w:r>
      <w:proofErr w:type="gramStart"/>
      <w:r w:rsidRPr="00A5438A">
        <w:rPr>
          <w:rFonts w:ascii="Verdana" w:hAnsi="Verdana" w:cs="Arial"/>
          <w:sz w:val="16"/>
          <w:szCs w:val="16"/>
        </w:rPr>
        <w:t>de[</w:t>
      </w:r>
      <w:proofErr w:type="gramEnd"/>
      <w:r w:rsidRPr="00A5438A">
        <w:rPr>
          <w:rFonts w:ascii="Verdana" w:hAnsi="Verdana" w:cs="Arial"/>
          <w:sz w:val="16"/>
          <w:szCs w:val="16"/>
        </w:rPr>
        <w:t>l policía F.R.] debe ser considerado cosa juzgada fraudulenta”, pues</w:t>
      </w:r>
      <w:r w:rsidRPr="00A5438A">
        <w:rPr>
          <w:rFonts w:ascii="Verdana" w:hAnsi="Verdana" w:cs="Arial"/>
          <w:b/>
          <w:sz w:val="16"/>
          <w:szCs w:val="16"/>
        </w:rPr>
        <w:t xml:space="preserve"> </w:t>
      </w:r>
      <w:r w:rsidRPr="00A5438A">
        <w:rPr>
          <w:rFonts w:ascii="Verdana" w:hAnsi="Verdana" w:cs="Arial"/>
          <w:sz w:val="16"/>
          <w:szCs w:val="16"/>
        </w:rPr>
        <w:t xml:space="preserve">“nunca hubo una intención real de investigar </w:t>
      </w:r>
      <w:r>
        <w:rPr>
          <w:rFonts w:ascii="Verdana" w:hAnsi="Verdana" w:cs="Arial"/>
          <w:sz w:val="16"/>
          <w:szCs w:val="16"/>
        </w:rPr>
        <w:t>[su]</w:t>
      </w:r>
      <w:r w:rsidRPr="00A5438A">
        <w:rPr>
          <w:rFonts w:ascii="Verdana" w:hAnsi="Verdana" w:cs="Arial"/>
          <w:sz w:val="16"/>
          <w:szCs w:val="16"/>
        </w:rPr>
        <w:t xml:space="preserve"> responsabilidad”, sino que, por el contrario, el proceso no fue llevado a cabo con independencia e imparcialidad, y hubo múltiples irregularidades en el mismo. La Corte tiene en cuenta este argumento en relación con las medidas de reparación que se ordenan en esta sentencia (</w:t>
      </w:r>
      <w:r w:rsidRPr="00A5438A">
        <w:rPr>
          <w:rFonts w:ascii="Verdana" w:hAnsi="Verdana" w:cs="Arial"/>
          <w:i/>
          <w:sz w:val="16"/>
          <w:szCs w:val="16"/>
        </w:rPr>
        <w:t xml:space="preserve">infra </w:t>
      </w:r>
      <w:r w:rsidRPr="00A5438A">
        <w:rPr>
          <w:rFonts w:ascii="Verdana" w:hAnsi="Verdana" w:cs="Arial"/>
          <w:sz w:val="16"/>
          <w:szCs w:val="16"/>
        </w:rPr>
        <w:t xml:space="preserve">Capítulo </w:t>
      </w:r>
      <w:r>
        <w:rPr>
          <w:rFonts w:ascii="Verdana" w:hAnsi="Verdana" w:cs="Arial"/>
          <w:sz w:val="16"/>
          <w:szCs w:val="16"/>
        </w:rPr>
        <w:t>VIII</w:t>
      </w:r>
      <w:r w:rsidRPr="00A5438A">
        <w:rPr>
          <w:rFonts w:ascii="Verdana" w:hAnsi="Verdana" w:cs="Arial"/>
          <w:sz w:val="16"/>
          <w:szCs w:val="16"/>
        </w:rPr>
        <w:t>)</w:t>
      </w:r>
      <w:r>
        <w:rPr>
          <w:rFonts w:ascii="Verdana" w:hAnsi="Verdana" w:cs="Arial"/>
          <w:sz w:val="16"/>
          <w:szCs w:val="16"/>
        </w:rPr>
        <w:t>.</w:t>
      </w:r>
    </w:p>
    <w:p w14:paraId="3C583EFB" w14:textId="77777777" w:rsidR="0087743B" w:rsidRDefault="0087743B" w:rsidP="004E64A8">
      <w:pPr>
        <w:pStyle w:val="Textonotapie"/>
      </w:pPr>
    </w:p>
  </w:footnote>
  <w:footnote w:id="139">
    <w:p w14:paraId="2074F23C" w14:textId="4AC25AA4" w:rsidR="0087743B" w:rsidRPr="007F313C" w:rsidRDefault="0087743B" w:rsidP="004E64A8">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cs="Arial"/>
          <w:i/>
          <w:sz w:val="16"/>
          <w:szCs w:val="16"/>
          <w:shd w:val="clear" w:color="auto" w:fill="FFFFFF"/>
        </w:rPr>
        <w:t xml:space="preserve">Caso Mota </w:t>
      </w:r>
      <w:proofErr w:type="spellStart"/>
      <w:r w:rsidRPr="007F313C">
        <w:rPr>
          <w:rFonts w:ascii="Verdana" w:hAnsi="Verdana" w:cs="Arial"/>
          <w:i/>
          <w:sz w:val="16"/>
          <w:szCs w:val="16"/>
          <w:shd w:val="clear" w:color="auto" w:fill="FFFFFF"/>
        </w:rPr>
        <w:t>Abarullo</w:t>
      </w:r>
      <w:proofErr w:type="spellEnd"/>
      <w:r w:rsidRPr="007F313C">
        <w:rPr>
          <w:rFonts w:ascii="Verdana" w:hAnsi="Verdana" w:cs="Arial"/>
          <w:i/>
          <w:sz w:val="16"/>
          <w:szCs w:val="16"/>
          <w:shd w:val="clear" w:color="auto" w:fill="FFFFFF"/>
        </w:rPr>
        <w:t xml:space="preserve"> y otros Vs. Venezuela</w:t>
      </w:r>
      <w:r w:rsidRPr="007F313C">
        <w:rPr>
          <w:rFonts w:ascii="Verdana" w:hAnsi="Verdana" w:cs="Arial"/>
          <w:sz w:val="16"/>
          <w:szCs w:val="16"/>
          <w:shd w:val="clear" w:color="auto" w:fill="FFFFFF"/>
        </w:rPr>
        <w:t>, párr. 120</w:t>
      </w:r>
      <w:r>
        <w:rPr>
          <w:rFonts w:ascii="Verdana" w:hAnsi="Verdana" w:cs="Arial"/>
          <w:sz w:val="16"/>
          <w:szCs w:val="16"/>
          <w:shd w:val="clear" w:color="auto" w:fill="FFFFFF"/>
        </w:rPr>
        <w:t xml:space="preserve">, y </w:t>
      </w:r>
      <w:r w:rsidRPr="00A70195">
        <w:rPr>
          <w:rFonts w:ascii="Verdana" w:hAnsi="Verdana"/>
          <w:i/>
          <w:sz w:val="16"/>
          <w:szCs w:val="16"/>
        </w:rPr>
        <w:t>Caso Vicky Hernández y otras Vs. Honduras</w:t>
      </w:r>
      <w:r>
        <w:rPr>
          <w:rFonts w:ascii="Verdana" w:hAnsi="Verdana"/>
          <w:sz w:val="16"/>
          <w:szCs w:val="16"/>
        </w:rPr>
        <w:t>, párr. 103</w:t>
      </w:r>
      <w:r w:rsidRPr="007F313C">
        <w:rPr>
          <w:rFonts w:ascii="Verdana" w:hAnsi="Verdana" w:cs="Arial"/>
          <w:sz w:val="16"/>
          <w:szCs w:val="16"/>
          <w:shd w:val="clear" w:color="auto" w:fill="FFFFFF"/>
        </w:rPr>
        <w:t xml:space="preserve">. Ver también, entre otros: </w:t>
      </w:r>
      <w:r w:rsidRPr="007F313C">
        <w:rPr>
          <w:rFonts w:ascii="Verdana" w:hAnsi="Verdana"/>
          <w:i/>
          <w:sz w:val="16"/>
          <w:szCs w:val="16"/>
        </w:rPr>
        <w:t>Caso Velásquez Rodríguez Vs. Honduras. Excepciones Preliminares.</w:t>
      </w:r>
      <w:r w:rsidRPr="007F313C">
        <w:rPr>
          <w:rFonts w:ascii="Verdana" w:hAnsi="Verdana"/>
          <w:sz w:val="16"/>
          <w:szCs w:val="16"/>
        </w:rPr>
        <w:t xml:space="preserve"> Sentencia de 26 de junio de 1987. Serie C No. 1, párr. 91, y </w:t>
      </w:r>
      <w:r w:rsidRPr="007F313C">
        <w:rPr>
          <w:rFonts w:ascii="Verdana" w:hAnsi="Verdana"/>
          <w:i/>
          <w:sz w:val="16"/>
          <w:szCs w:val="16"/>
        </w:rPr>
        <w:t>Caso Bulacio Vs. Argentina. Fondo, Reparaciones y Costas.</w:t>
      </w:r>
      <w:r w:rsidRPr="007F313C">
        <w:rPr>
          <w:rFonts w:ascii="Verdana" w:hAnsi="Verdana"/>
          <w:sz w:val="16"/>
          <w:szCs w:val="16"/>
        </w:rPr>
        <w:t xml:space="preserve"> Sentencia de 18 de septiembre de 2003. Serie C No. 100, párr. 114.</w:t>
      </w:r>
    </w:p>
    <w:p w14:paraId="417DB37A" w14:textId="77777777" w:rsidR="0087743B" w:rsidRPr="007F313C" w:rsidRDefault="0087743B" w:rsidP="004E64A8">
      <w:pPr>
        <w:pStyle w:val="Textonotapie"/>
        <w:jc w:val="both"/>
        <w:rPr>
          <w:rFonts w:ascii="Verdana" w:hAnsi="Verdana"/>
          <w:sz w:val="16"/>
          <w:szCs w:val="16"/>
        </w:rPr>
      </w:pPr>
    </w:p>
  </w:footnote>
  <w:footnote w:id="140">
    <w:p w14:paraId="0E5B1455" w14:textId="2F95D809" w:rsidR="0087743B" w:rsidRDefault="0087743B" w:rsidP="004E64A8">
      <w:pPr>
        <w:pStyle w:val="Textonotapie"/>
        <w:jc w:val="both"/>
        <w:rPr>
          <w:rFonts w:ascii="Verdana" w:hAnsi="Verdana" w:cs="Arial"/>
          <w:sz w:val="16"/>
          <w:szCs w:val="16"/>
          <w:shd w:val="clear" w:color="auto" w:fill="FFFFFF"/>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Caso de las Hermanas Serrano Cruz Vs. El Salvador. Fondo, Reparaciones y Costas.</w:t>
      </w:r>
      <w:r w:rsidRPr="007F313C">
        <w:rPr>
          <w:rFonts w:ascii="Verdana" w:hAnsi="Verdana"/>
          <w:sz w:val="16"/>
          <w:szCs w:val="16"/>
        </w:rPr>
        <w:t xml:space="preserve"> Sentencia de 1 de marzo de 2005. Serie C No. 120, </w:t>
      </w:r>
      <w:proofErr w:type="spellStart"/>
      <w:r w:rsidRPr="007F313C">
        <w:rPr>
          <w:rFonts w:ascii="Verdana" w:hAnsi="Verdana"/>
          <w:sz w:val="16"/>
          <w:szCs w:val="16"/>
        </w:rPr>
        <w:t>párrs</w:t>
      </w:r>
      <w:proofErr w:type="spellEnd"/>
      <w:r w:rsidRPr="007F313C">
        <w:rPr>
          <w:rFonts w:ascii="Verdana" w:hAnsi="Verdana"/>
          <w:sz w:val="16"/>
          <w:szCs w:val="16"/>
        </w:rPr>
        <w:t xml:space="preserve">. 88 y 105, y </w:t>
      </w:r>
      <w:r w:rsidRPr="007F313C">
        <w:rPr>
          <w:rFonts w:ascii="Verdana" w:hAnsi="Verdana" w:cs="Arial"/>
          <w:i/>
          <w:sz w:val="16"/>
          <w:szCs w:val="16"/>
          <w:shd w:val="clear" w:color="auto" w:fill="FFFFFF"/>
        </w:rPr>
        <w:t xml:space="preserve">Caso Mota </w:t>
      </w:r>
      <w:proofErr w:type="spellStart"/>
      <w:r w:rsidRPr="007F313C">
        <w:rPr>
          <w:rFonts w:ascii="Verdana" w:hAnsi="Verdana" w:cs="Arial"/>
          <w:i/>
          <w:sz w:val="16"/>
          <w:szCs w:val="16"/>
          <w:shd w:val="clear" w:color="auto" w:fill="FFFFFF"/>
        </w:rPr>
        <w:t>Abarullo</w:t>
      </w:r>
      <w:proofErr w:type="spellEnd"/>
      <w:r w:rsidRPr="007F313C">
        <w:rPr>
          <w:rFonts w:ascii="Verdana" w:hAnsi="Verdana" w:cs="Arial"/>
          <w:i/>
          <w:sz w:val="16"/>
          <w:szCs w:val="16"/>
          <w:shd w:val="clear" w:color="auto" w:fill="FFFFFF"/>
        </w:rPr>
        <w:t xml:space="preserve"> y otros Vs. Venezuela</w:t>
      </w:r>
      <w:r w:rsidRPr="007F313C">
        <w:rPr>
          <w:rFonts w:ascii="Verdana" w:hAnsi="Verdana" w:cs="Arial"/>
          <w:sz w:val="16"/>
          <w:szCs w:val="16"/>
          <w:shd w:val="clear" w:color="auto" w:fill="FFFFFF"/>
        </w:rPr>
        <w:t>, párr. 121.</w:t>
      </w:r>
      <w:r>
        <w:rPr>
          <w:rFonts w:ascii="Verdana" w:hAnsi="Verdana" w:cs="Arial"/>
          <w:sz w:val="16"/>
          <w:szCs w:val="16"/>
          <w:shd w:val="clear" w:color="auto" w:fill="FFFFFF"/>
        </w:rPr>
        <w:t xml:space="preserve"> En igual sentido, </w:t>
      </w:r>
      <w:r w:rsidRPr="00A70195">
        <w:rPr>
          <w:rFonts w:ascii="Verdana" w:hAnsi="Verdana"/>
          <w:i/>
          <w:sz w:val="16"/>
          <w:szCs w:val="16"/>
        </w:rPr>
        <w:t>Caso Vicky Hernández y otras Vs. Honduras</w:t>
      </w:r>
      <w:r>
        <w:rPr>
          <w:rFonts w:ascii="Verdana" w:hAnsi="Verdana"/>
          <w:sz w:val="16"/>
          <w:szCs w:val="16"/>
        </w:rPr>
        <w:t>, párr. 106.</w:t>
      </w:r>
    </w:p>
    <w:p w14:paraId="5727BF85" w14:textId="77777777" w:rsidR="0087743B" w:rsidRPr="007F313C" w:rsidRDefault="0087743B" w:rsidP="004E64A8">
      <w:pPr>
        <w:pStyle w:val="Textonotapie"/>
        <w:jc w:val="both"/>
        <w:rPr>
          <w:rFonts w:ascii="Verdana" w:hAnsi="Verdana"/>
          <w:sz w:val="16"/>
          <w:szCs w:val="16"/>
        </w:rPr>
      </w:pPr>
    </w:p>
  </w:footnote>
  <w:footnote w:id="141">
    <w:p w14:paraId="2AEB2576" w14:textId="77777777" w:rsidR="0087743B" w:rsidRPr="00C526A1" w:rsidRDefault="0087743B" w:rsidP="004E64A8">
      <w:pPr>
        <w:pStyle w:val="Textonotapie"/>
        <w:jc w:val="both"/>
        <w:rPr>
          <w:rFonts w:ascii="Verdana" w:hAnsi="Verdana"/>
          <w:sz w:val="16"/>
          <w:szCs w:val="16"/>
        </w:rPr>
      </w:pPr>
      <w:r w:rsidRPr="00C526A1">
        <w:rPr>
          <w:rStyle w:val="Refdenotaalpie"/>
          <w:rFonts w:ascii="Verdana" w:hAnsi="Verdana"/>
          <w:sz w:val="16"/>
          <w:szCs w:val="16"/>
        </w:rPr>
        <w:footnoteRef/>
      </w:r>
      <w:r w:rsidRPr="00C526A1">
        <w:rPr>
          <w:rFonts w:ascii="Verdana" w:hAnsi="Verdana"/>
          <w:sz w:val="16"/>
          <w:szCs w:val="16"/>
        </w:rPr>
        <w:t xml:space="preserve">  </w:t>
      </w:r>
      <w:r w:rsidRPr="00C526A1">
        <w:rPr>
          <w:rFonts w:ascii="Verdana" w:hAnsi="Verdana"/>
          <w:sz w:val="16"/>
          <w:szCs w:val="16"/>
        </w:rPr>
        <w:tab/>
        <w:t>La demora en la realización de diligencias se vincula también a lo que se señala más adelante sobre la obstaculización de las actuaciones (</w:t>
      </w:r>
      <w:r w:rsidRPr="00C526A1">
        <w:rPr>
          <w:rFonts w:ascii="Verdana" w:hAnsi="Verdana"/>
          <w:i/>
          <w:sz w:val="16"/>
          <w:szCs w:val="16"/>
        </w:rPr>
        <w:t xml:space="preserve">infra </w:t>
      </w:r>
      <w:proofErr w:type="spellStart"/>
      <w:r w:rsidRPr="00C526A1">
        <w:rPr>
          <w:rFonts w:ascii="Verdana" w:hAnsi="Verdana"/>
          <w:sz w:val="16"/>
          <w:szCs w:val="16"/>
        </w:rPr>
        <w:t>párrs</w:t>
      </w:r>
      <w:proofErr w:type="spellEnd"/>
      <w:r w:rsidRPr="00C526A1">
        <w:rPr>
          <w:rFonts w:ascii="Verdana" w:hAnsi="Verdana"/>
          <w:sz w:val="16"/>
          <w:szCs w:val="16"/>
        </w:rPr>
        <w:t xml:space="preserve">. </w:t>
      </w:r>
      <w:r>
        <w:rPr>
          <w:rFonts w:ascii="Verdana" w:hAnsi="Verdana"/>
          <w:sz w:val="16"/>
          <w:szCs w:val="16"/>
        </w:rPr>
        <w:t>145 a 153</w:t>
      </w:r>
      <w:r w:rsidRPr="00C526A1">
        <w:rPr>
          <w:rFonts w:ascii="Verdana" w:hAnsi="Verdana"/>
          <w:sz w:val="16"/>
          <w:szCs w:val="16"/>
        </w:rPr>
        <w:t>).</w:t>
      </w:r>
    </w:p>
  </w:footnote>
  <w:footnote w:id="142">
    <w:p w14:paraId="1A08F909" w14:textId="77777777" w:rsidR="0087743B" w:rsidRPr="007F313C" w:rsidRDefault="0087743B" w:rsidP="004E64A8">
      <w:pPr>
        <w:pStyle w:val="Textonotapie"/>
        <w:jc w:val="both"/>
        <w:rPr>
          <w:rFonts w:ascii="Verdana" w:hAnsi="Verdana"/>
          <w:sz w:val="16"/>
          <w:szCs w:val="16"/>
        </w:rPr>
      </w:pPr>
    </w:p>
    <w:p w14:paraId="65468796" w14:textId="77777777" w:rsidR="0087743B" w:rsidRDefault="0087743B" w:rsidP="004E64A8">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Resulta notorio, en forma particular, el período de más de cuatro años, entre el 11 de agosto de 2009 y el 27 de marzo de 2014 (</w:t>
      </w:r>
      <w:r w:rsidRPr="007F313C">
        <w:rPr>
          <w:rFonts w:ascii="Verdana" w:hAnsi="Verdana"/>
          <w:i/>
          <w:sz w:val="16"/>
          <w:szCs w:val="16"/>
        </w:rPr>
        <w:t xml:space="preserve">supra </w:t>
      </w:r>
      <w:proofErr w:type="spellStart"/>
      <w:r w:rsidRPr="007F313C">
        <w:rPr>
          <w:rFonts w:ascii="Verdana" w:hAnsi="Verdana"/>
          <w:sz w:val="16"/>
          <w:szCs w:val="16"/>
        </w:rPr>
        <w:t>párrs</w:t>
      </w:r>
      <w:proofErr w:type="spellEnd"/>
      <w:r w:rsidRPr="007F313C">
        <w:rPr>
          <w:rFonts w:ascii="Verdana" w:hAnsi="Verdana"/>
          <w:sz w:val="16"/>
          <w:szCs w:val="16"/>
        </w:rPr>
        <w:t>.</w:t>
      </w:r>
      <w:r>
        <w:rPr>
          <w:rFonts w:ascii="Verdana" w:hAnsi="Verdana"/>
          <w:sz w:val="16"/>
          <w:szCs w:val="16"/>
        </w:rPr>
        <w:t xml:space="preserve"> 81 y 82</w:t>
      </w:r>
      <w:r w:rsidRPr="007F313C">
        <w:rPr>
          <w:rFonts w:ascii="Verdana" w:hAnsi="Verdana"/>
          <w:sz w:val="16"/>
          <w:szCs w:val="16"/>
        </w:rPr>
        <w:t>), en que no constan actividades sustantivas de investigación o adelanto del proceso.</w:t>
      </w:r>
    </w:p>
    <w:p w14:paraId="5DCC83F8" w14:textId="77777777" w:rsidR="0087743B" w:rsidRPr="007F313C" w:rsidRDefault="0087743B" w:rsidP="004E64A8">
      <w:pPr>
        <w:pStyle w:val="Textonotapie"/>
        <w:jc w:val="both"/>
        <w:rPr>
          <w:rFonts w:ascii="Verdana" w:hAnsi="Verdana"/>
          <w:sz w:val="16"/>
          <w:szCs w:val="16"/>
        </w:rPr>
      </w:pPr>
    </w:p>
  </w:footnote>
  <w:footnote w:id="143">
    <w:p w14:paraId="09EFB250" w14:textId="310FB256" w:rsidR="0087743B" w:rsidRPr="007F313C" w:rsidRDefault="0087743B" w:rsidP="004E64A8">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Caso Cantoral Huamaní y García Santa Cruz Vs. Perú</w:t>
      </w:r>
      <w:r w:rsidRPr="007F313C">
        <w:rPr>
          <w:rFonts w:ascii="Verdana" w:hAnsi="Verdana"/>
          <w:sz w:val="16"/>
          <w:szCs w:val="16"/>
        </w:rPr>
        <w:t>, párr</w:t>
      </w:r>
      <w:r w:rsidRPr="00294CCA">
        <w:rPr>
          <w:rFonts w:ascii="Verdana" w:hAnsi="Verdana"/>
          <w:sz w:val="16"/>
          <w:szCs w:val="16"/>
        </w:rPr>
        <w:t>. 133</w:t>
      </w:r>
      <w:r>
        <w:rPr>
          <w:rFonts w:ascii="Verdana" w:hAnsi="Verdana"/>
          <w:sz w:val="16"/>
          <w:szCs w:val="16"/>
        </w:rPr>
        <w:t xml:space="preserve">, y </w:t>
      </w:r>
      <w:r w:rsidRPr="00F55065">
        <w:rPr>
          <w:rFonts w:ascii="Verdana" w:hAnsi="Verdana"/>
          <w:i/>
          <w:sz w:val="16"/>
          <w:szCs w:val="16"/>
        </w:rPr>
        <w:t xml:space="preserve">Caso Favela Nova </w:t>
      </w:r>
      <w:proofErr w:type="spellStart"/>
      <w:r w:rsidRPr="00F55065">
        <w:rPr>
          <w:rFonts w:ascii="Verdana" w:hAnsi="Verdana"/>
          <w:i/>
          <w:sz w:val="16"/>
          <w:szCs w:val="16"/>
        </w:rPr>
        <w:t>Brasília</w:t>
      </w:r>
      <w:proofErr w:type="spellEnd"/>
      <w:r w:rsidRPr="00F55065">
        <w:rPr>
          <w:rFonts w:ascii="Verdana" w:hAnsi="Verdana"/>
          <w:i/>
          <w:sz w:val="16"/>
          <w:szCs w:val="16"/>
        </w:rPr>
        <w:t xml:space="preserve"> Vs. Brasil. Excepciones Preliminares, Fondo, Reparaciones y Costas.</w:t>
      </w:r>
      <w:r w:rsidRPr="00561572">
        <w:rPr>
          <w:rFonts w:ascii="Verdana" w:hAnsi="Verdana"/>
          <w:sz w:val="16"/>
          <w:szCs w:val="16"/>
        </w:rPr>
        <w:t xml:space="preserve"> Sentencia de 16 de febrero de 2017. Serie C No. 333</w:t>
      </w:r>
      <w:r>
        <w:rPr>
          <w:rFonts w:ascii="Verdana" w:hAnsi="Verdana"/>
          <w:sz w:val="16"/>
          <w:szCs w:val="16"/>
        </w:rPr>
        <w:t>, párr. 185</w:t>
      </w:r>
      <w:r w:rsidRPr="00294CCA">
        <w:rPr>
          <w:rFonts w:ascii="Verdana" w:hAnsi="Verdana"/>
          <w:sz w:val="16"/>
          <w:szCs w:val="16"/>
        </w:rPr>
        <w:t xml:space="preserve">. En el mismo sentido, el señor Christof </w:t>
      </w:r>
      <w:proofErr w:type="spellStart"/>
      <w:r w:rsidRPr="00294CCA">
        <w:rPr>
          <w:rFonts w:ascii="Verdana" w:hAnsi="Verdana"/>
          <w:sz w:val="16"/>
          <w:szCs w:val="16"/>
        </w:rPr>
        <w:t>Heyns</w:t>
      </w:r>
      <w:proofErr w:type="spellEnd"/>
      <w:r w:rsidRPr="00294CCA">
        <w:rPr>
          <w:rFonts w:ascii="Verdana" w:hAnsi="Verdana"/>
          <w:sz w:val="16"/>
          <w:szCs w:val="16"/>
        </w:rPr>
        <w:t>, en su declaración que obra en este proceso como prueba documental (</w:t>
      </w:r>
      <w:r w:rsidRPr="00294CCA">
        <w:rPr>
          <w:rFonts w:ascii="Verdana" w:hAnsi="Verdana"/>
          <w:i/>
          <w:sz w:val="16"/>
          <w:szCs w:val="16"/>
        </w:rPr>
        <w:t xml:space="preserve">supra </w:t>
      </w:r>
      <w:r w:rsidRPr="00294CCA">
        <w:rPr>
          <w:rFonts w:ascii="Verdana" w:hAnsi="Verdana"/>
          <w:sz w:val="16"/>
          <w:szCs w:val="16"/>
        </w:rPr>
        <w:t>pár</w:t>
      </w:r>
      <w:r>
        <w:rPr>
          <w:rFonts w:ascii="Verdana" w:hAnsi="Verdana"/>
          <w:sz w:val="16"/>
          <w:szCs w:val="16"/>
        </w:rPr>
        <w:t>r</w:t>
      </w:r>
      <w:r w:rsidRPr="00294CCA">
        <w:rPr>
          <w:rFonts w:ascii="Verdana" w:hAnsi="Verdana"/>
          <w:sz w:val="16"/>
          <w:szCs w:val="16"/>
        </w:rPr>
        <w:t xml:space="preserve">. </w:t>
      </w:r>
      <w:r>
        <w:rPr>
          <w:rFonts w:ascii="Verdana" w:hAnsi="Verdana"/>
          <w:sz w:val="16"/>
          <w:szCs w:val="16"/>
        </w:rPr>
        <w:t>36</w:t>
      </w:r>
      <w:r w:rsidRPr="00294CCA">
        <w:rPr>
          <w:rFonts w:ascii="Verdana" w:hAnsi="Verdana"/>
          <w:sz w:val="16"/>
          <w:szCs w:val="16"/>
        </w:rPr>
        <w:t xml:space="preserve">), expresó que “los investigadores y el mecanismo de investigación deben ser independientes de la influencia indebida y deben así parecer. Esta independencia debe ser institucional y formal, tanto en la práctica </w:t>
      </w:r>
      <w:proofErr w:type="gramStart"/>
      <w:r w:rsidRPr="00294CCA">
        <w:rPr>
          <w:rFonts w:ascii="Verdana" w:hAnsi="Verdana"/>
          <w:sz w:val="16"/>
          <w:szCs w:val="16"/>
        </w:rPr>
        <w:t>cu</w:t>
      </w:r>
      <w:r>
        <w:rPr>
          <w:rFonts w:ascii="Verdana" w:hAnsi="Verdana"/>
          <w:sz w:val="16"/>
          <w:szCs w:val="16"/>
        </w:rPr>
        <w:t>a</w:t>
      </w:r>
      <w:r w:rsidRPr="00294CCA">
        <w:rPr>
          <w:rFonts w:ascii="Verdana" w:hAnsi="Verdana"/>
          <w:sz w:val="16"/>
          <w:szCs w:val="16"/>
        </w:rPr>
        <w:t>nto</w:t>
      </w:r>
      <w:proofErr w:type="gramEnd"/>
      <w:r w:rsidRPr="00294CCA">
        <w:rPr>
          <w:rFonts w:ascii="Verdana" w:hAnsi="Verdana"/>
          <w:sz w:val="16"/>
          <w:szCs w:val="16"/>
        </w:rPr>
        <w:t xml:space="preserve"> en términos de percepción, y debe existir en todas las etapas de la investigación. Cuando una investigación involucra un agente del Estado, debe ser independiente de cualquier sospechoso, así como de la unidad, institución o agencia al que </w:t>
      </w:r>
      <w:r>
        <w:rPr>
          <w:rFonts w:ascii="Verdana" w:hAnsi="Verdana"/>
          <w:sz w:val="16"/>
          <w:szCs w:val="16"/>
        </w:rPr>
        <w:t>[el mismo]</w:t>
      </w:r>
      <w:r w:rsidRPr="00294CCA">
        <w:rPr>
          <w:rFonts w:ascii="Verdana" w:hAnsi="Verdana"/>
          <w:sz w:val="16"/>
          <w:szCs w:val="16"/>
        </w:rPr>
        <w:t xml:space="preserve"> pertenezca. Asimismo, la investigación de una ejecución policial debe ser realizada sin cualquier influencia indebida que pueda surgir de la jerarquía institucional y de la cadena de mando de la policía u otro organismo de aplicación de la ley” (</w:t>
      </w:r>
      <w:r>
        <w:rPr>
          <w:rFonts w:ascii="Verdana" w:hAnsi="Verdana"/>
          <w:sz w:val="16"/>
          <w:szCs w:val="16"/>
        </w:rPr>
        <w:t>d</w:t>
      </w:r>
      <w:r w:rsidRPr="00294CCA">
        <w:rPr>
          <w:rFonts w:ascii="Verdana" w:hAnsi="Verdana"/>
          <w:sz w:val="16"/>
          <w:szCs w:val="16"/>
        </w:rPr>
        <w:t xml:space="preserve">eclaración pericial de Christof </w:t>
      </w:r>
      <w:proofErr w:type="spellStart"/>
      <w:r w:rsidRPr="00294CCA">
        <w:rPr>
          <w:rFonts w:ascii="Verdana" w:hAnsi="Verdana"/>
          <w:sz w:val="16"/>
          <w:szCs w:val="16"/>
        </w:rPr>
        <w:t>Heyns</w:t>
      </w:r>
      <w:proofErr w:type="spellEnd"/>
      <w:r w:rsidRPr="00294CCA">
        <w:rPr>
          <w:rFonts w:ascii="Verdana" w:hAnsi="Verdana"/>
          <w:sz w:val="16"/>
          <w:szCs w:val="16"/>
        </w:rPr>
        <w:t xml:space="preserve"> dada en el caso </w:t>
      </w:r>
      <w:r w:rsidRPr="00294CCA">
        <w:rPr>
          <w:rFonts w:ascii="Verdana" w:hAnsi="Verdana"/>
          <w:i/>
          <w:sz w:val="16"/>
          <w:szCs w:val="16"/>
        </w:rPr>
        <w:t>Favela Nova Brasilia Vs. Brasil</w:t>
      </w:r>
      <w:r w:rsidRPr="00F55065">
        <w:rPr>
          <w:rFonts w:ascii="Verdana" w:hAnsi="Verdana"/>
          <w:sz w:val="16"/>
          <w:szCs w:val="16"/>
        </w:rPr>
        <w:t>, incorporada como prueba documental</w:t>
      </w:r>
      <w:r>
        <w:rPr>
          <w:rFonts w:ascii="Verdana" w:hAnsi="Verdana"/>
          <w:sz w:val="16"/>
          <w:szCs w:val="16"/>
        </w:rPr>
        <w:t xml:space="preserve"> (</w:t>
      </w:r>
      <w:r w:rsidRPr="00294CCA">
        <w:rPr>
          <w:rFonts w:ascii="Verdana" w:hAnsi="Verdana"/>
          <w:sz w:val="16"/>
          <w:szCs w:val="16"/>
        </w:rPr>
        <w:t>expediente de prueba, fs. 11651 a 11661)</w:t>
      </w:r>
      <w:r>
        <w:rPr>
          <w:rFonts w:ascii="Verdana" w:hAnsi="Verdana"/>
          <w:sz w:val="16"/>
          <w:szCs w:val="16"/>
        </w:rPr>
        <w:t>).</w:t>
      </w:r>
      <w:r w:rsidRPr="00294CCA">
        <w:rPr>
          <w:rFonts w:ascii="Verdana" w:hAnsi="Verdana"/>
          <w:sz w:val="16"/>
          <w:szCs w:val="16"/>
        </w:rPr>
        <w:t xml:space="preserve"> </w:t>
      </w:r>
    </w:p>
  </w:footnote>
  <w:footnote w:id="144">
    <w:p w14:paraId="4B986C25" w14:textId="77777777" w:rsidR="0087743B" w:rsidRPr="007F313C" w:rsidRDefault="0087743B" w:rsidP="004E64A8">
      <w:pPr>
        <w:pStyle w:val="Textonotapie"/>
        <w:jc w:val="both"/>
        <w:rPr>
          <w:rFonts w:ascii="Verdana" w:hAnsi="Verdana"/>
          <w:sz w:val="16"/>
          <w:szCs w:val="16"/>
        </w:rPr>
      </w:pPr>
    </w:p>
    <w:p w14:paraId="3179B36A" w14:textId="722395FC" w:rsidR="0087743B" w:rsidRPr="007F313C" w:rsidRDefault="0087743B" w:rsidP="004E64A8">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Caso Uzcátegui y otros Vs. Venezuela</w:t>
      </w:r>
      <w:r w:rsidRPr="007F313C">
        <w:rPr>
          <w:rFonts w:ascii="Verdana" w:hAnsi="Verdana"/>
          <w:sz w:val="16"/>
          <w:szCs w:val="16"/>
        </w:rPr>
        <w:t xml:space="preserve">, párr. 220. En el mismo sentido, el perito Prieto Carrero indicó que “[l]as recomendaciones </w:t>
      </w:r>
      <w:r>
        <w:rPr>
          <w:rFonts w:ascii="Verdana" w:hAnsi="Verdana"/>
          <w:sz w:val="16"/>
          <w:szCs w:val="16"/>
        </w:rPr>
        <w:t xml:space="preserve">y </w:t>
      </w:r>
      <w:r w:rsidRPr="007F313C">
        <w:rPr>
          <w:rFonts w:ascii="Verdana" w:hAnsi="Verdana"/>
          <w:sz w:val="16"/>
          <w:szCs w:val="16"/>
        </w:rPr>
        <w:t xml:space="preserve">protocolos internacionales que guían actualmente a las ciencias forenses en la investigación de muertes potencialmente ilícitas […] </w:t>
      </w:r>
      <w:proofErr w:type="gramStart"/>
      <w:r w:rsidRPr="007F313C">
        <w:rPr>
          <w:rFonts w:ascii="Verdana" w:hAnsi="Verdana"/>
          <w:sz w:val="16"/>
          <w:szCs w:val="16"/>
        </w:rPr>
        <w:t>requiere[</w:t>
      </w:r>
      <w:proofErr w:type="gramEnd"/>
      <w:r w:rsidRPr="007F313C">
        <w:rPr>
          <w:rFonts w:ascii="Verdana" w:hAnsi="Verdana"/>
          <w:sz w:val="16"/>
          <w:szCs w:val="16"/>
        </w:rPr>
        <w:t xml:space="preserve">n…] que la investigación </w:t>
      </w:r>
      <w:r>
        <w:rPr>
          <w:rFonts w:ascii="Verdana" w:hAnsi="Verdana"/>
          <w:sz w:val="16"/>
          <w:szCs w:val="16"/>
        </w:rPr>
        <w:t>s</w:t>
      </w:r>
      <w:r w:rsidRPr="007F313C">
        <w:rPr>
          <w:rFonts w:ascii="Verdana" w:hAnsi="Verdana"/>
          <w:sz w:val="16"/>
          <w:szCs w:val="16"/>
        </w:rPr>
        <w:t>e realice por cuerpos policiales diferentes a aquellos que podrían estar implicados en la muerte [sobre la cual se indaga]” (</w:t>
      </w:r>
      <w:r>
        <w:rPr>
          <w:rFonts w:ascii="Verdana" w:hAnsi="Verdana"/>
          <w:sz w:val="16"/>
          <w:szCs w:val="16"/>
        </w:rPr>
        <w:t>d</w:t>
      </w:r>
      <w:r w:rsidRPr="007F313C">
        <w:rPr>
          <w:rFonts w:ascii="Verdana" w:hAnsi="Verdana"/>
          <w:sz w:val="16"/>
          <w:szCs w:val="16"/>
        </w:rPr>
        <w:t>eclaración perici</w:t>
      </w:r>
      <w:r>
        <w:rPr>
          <w:rFonts w:ascii="Verdana" w:hAnsi="Verdana"/>
          <w:sz w:val="16"/>
          <w:szCs w:val="16"/>
        </w:rPr>
        <w:t>al de José Luis Prieto Carrero).</w:t>
      </w:r>
    </w:p>
    <w:p w14:paraId="24E4B989" w14:textId="77777777" w:rsidR="0087743B" w:rsidRPr="007F313C" w:rsidRDefault="0087743B" w:rsidP="004E64A8">
      <w:pPr>
        <w:pStyle w:val="Textonotapie"/>
        <w:jc w:val="both"/>
        <w:rPr>
          <w:rFonts w:ascii="Verdana" w:hAnsi="Verdana"/>
          <w:sz w:val="16"/>
          <w:szCs w:val="16"/>
        </w:rPr>
      </w:pPr>
    </w:p>
  </w:footnote>
  <w:footnote w:id="145">
    <w:p w14:paraId="75AE6FF1" w14:textId="7E32043F" w:rsidR="0087743B" w:rsidRPr="007F313C" w:rsidRDefault="0087743B" w:rsidP="004E64A8">
      <w:pPr>
        <w:pStyle w:val="Textonotapie"/>
        <w:jc w:val="both"/>
        <w:rPr>
          <w:rFonts w:ascii="Verdana" w:hAnsi="Verdana"/>
          <w:sz w:val="16"/>
          <w:szCs w:val="16"/>
        </w:rPr>
      </w:pPr>
      <w:r w:rsidRPr="007F313C">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sidRPr="007F313C">
        <w:rPr>
          <w:rFonts w:ascii="Verdana" w:hAnsi="Verdana"/>
          <w:sz w:val="16"/>
          <w:szCs w:val="16"/>
        </w:rPr>
        <w:t xml:space="preserve"> en el mismo sentido, </w:t>
      </w:r>
      <w:r w:rsidRPr="007F313C">
        <w:rPr>
          <w:rFonts w:ascii="Verdana" w:hAnsi="Verdana"/>
          <w:i/>
          <w:sz w:val="16"/>
          <w:szCs w:val="16"/>
        </w:rPr>
        <w:t>Caso Uzcátegui y otros Vs. Venezuela</w:t>
      </w:r>
      <w:r w:rsidRPr="007F313C">
        <w:rPr>
          <w:rFonts w:ascii="Verdana" w:hAnsi="Verdana"/>
          <w:sz w:val="16"/>
          <w:szCs w:val="16"/>
        </w:rPr>
        <w:t xml:space="preserve">, </w:t>
      </w:r>
      <w:proofErr w:type="spellStart"/>
      <w:r w:rsidRPr="007F313C">
        <w:rPr>
          <w:rFonts w:ascii="Verdana" w:hAnsi="Verdana"/>
          <w:sz w:val="16"/>
          <w:szCs w:val="16"/>
        </w:rPr>
        <w:t>párrs</w:t>
      </w:r>
      <w:proofErr w:type="spellEnd"/>
      <w:r w:rsidRPr="007F313C">
        <w:rPr>
          <w:rFonts w:ascii="Verdana" w:hAnsi="Verdana"/>
          <w:sz w:val="16"/>
          <w:szCs w:val="16"/>
        </w:rPr>
        <w:t>. 220 y 223.</w:t>
      </w:r>
    </w:p>
    <w:p w14:paraId="40097314" w14:textId="77777777" w:rsidR="0087743B" w:rsidRPr="007F313C" w:rsidRDefault="0087743B" w:rsidP="004E64A8">
      <w:pPr>
        <w:pStyle w:val="Textonotapie"/>
        <w:jc w:val="both"/>
        <w:rPr>
          <w:rFonts w:ascii="Verdana" w:hAnsi="Verdana"/>
          <w:sz w:val="16"/>
          <w:szCs w:val="16"/>
        </w:rPr>
      </w:pPr>
    </w:p>
  </w:footnote>
  <w:footnote w:id="146">
    <w:p w14:paraId="459089ED" w14:textId="2608E6EB" w:rsidR="0087743B" w:rsidRPr="007F313C" w:rsidRDefault="0087743B" w:rsidP="004E64A8">
      <w:pPr>
        <w:pStyle w:val="Textonotapie"/>
        <w:jc w:val="both"/>
        <w:rPr>
          <w:rFonts w:ascii="Verdana" w:hAnsi="Verdana"/>
          <w:i/>
          <w:sz w:val="16"/>
          <w:szCs w:val="16"/>
        </w:rPr>
      </w:pPr>
      <w:r w:rsidRPr="007F313C">
        <w:rPr>
          <w:rStyle w:val="Refdenotaalpie"/>
          <w:rFonts w:ascii="Verdana" w:hAnsi="Verdana"/>
          <w:sz w:val="16"/>
          <w:szCs w:val="16"/>
        </w:rPr>
        <w:footnoteRef/>
      </w:r>
      <w:r w:rsidRPr="007F313C">
        <w:rPr>
          <w:rFonts w:ascii="Verdana" w:hAnsi="Verdana"/>
          <w:sz w:val="16"/>
          <w:szCs w:val="16"/>
        </w:rPr>
        <w:tab/>
      </w:r>
      <w:r w:rsidRPr="007F313C">
        <w:rPr>
          <w:rFonts w:ascii="Verdana" w:hAnsi="Verdana" w:cs="Arial"/>
          <w:i/>
          <w:iCs/>
          <w:sz w:val="16"/>
          <w:szCs w:val="16"/>
        </w:rPr>
        <w:t>Caso Gudiel Álvarez y otros ("Diario Militar") Vs. Guatemala</w:t>
      </w:r>
      <w:r w:rsidRPr="007F313C">
        <w:rPr>
          <w:rFonts w:ascii="Verdana" w:hAnsi="Verdana" w:cs="Arial"/>
          <w:sz w:val="16"/>
          <w:szCs w:val="16"/>
        </w:rPr>
        <w:t xml:space="preserve">. </w:t>
      </w:r>
      <w:r w:rsidRPr="007F313C">
        <w:rPr>
          <w:rFonts w:ascii="Verdana" w:hAnsi="Verdana" w:cs="Arial"/>
          <w:i/>
          <w:sz w:val="16"/>
          <w:szCs w:val="16"/>
        </w:rPr>
        <w:t>Fondo, Reparaciones y</w:t>
      </w:r>
      <w:r w:rsidRPr="007F313C">
        <w:rPr>
          <w:rFonts w:ascii="Verdana" w:hAnsi="Verdana"/>
          <w:i/>
          <w:sz w:val="16"/>
          <w:szCs w:val="16"/>
        </w:rPr>
        <w:t xml:space="preserve"> </w:t>
      </w:r>
      <w:r w:rsidRPr="007F313C">
        <w:rPr>
          <w:rFonts w:ascii="Verdana" w:hAnsi="Verdana" w:cs="Arial"/>
          <w:i/>
          <w:sz w:val="16"/>
          <w:szCs w:val="16"/>
        </w:rPr>
        <w:t>Costas.</w:t>
      </w:r>
      <w:r w:rsidRPr="007F313C">
        <w:rPr>
          <w:rFonts w:ascii="Verdana" w:hAnsi="Verdana" w:cs="Arial"/>
          <w:sz w:val="16"/>
          <w:szCs w:val="16"/>
        </w:rPr>
        <w:t xml:space="preserve"> Sentencia de 20 noviembre de 2012. Serie C No. 253, párr. 252.</w:t>
      </w:r>
      <w:r>
        <w:rPr>
          <w:rFonts w:ascii="Verdana" w:hAnsi="Verdana" w:cs="Arial"/>
          <w:sz w:val="16"/>
          <w:szCs w:val="16"/>
        </w:rPr>
        <w:t xml:space="preserve"> En el mismo sentido, </w:t>
      </w:r>
      <w:r w:rsidRPr="00F55065">
        <w:rPr>
          <w:rFonts w:ascii="Verdana" w:hAnsi="Verdana" w:cs="Arial"/>
          <w:i/>
          <w:sz w:val="16"/>
          <w:szCs w:val="16"/>
        </w:rPr>
        <w:t>Caso Masacres de Río Negro Vs. Guatemala. Excepción Preliminar, Fondo, Reparaciones y Costas.</w:t>
      </w:r>
      <w:r w:rsidRPr="008E2BA7">
        <w:rPr>
          <w:rFonts w:ascii="Verdana" w:hAnsi="Verdana" w:cs="Arial"/>
          <w:sz w:val="16"/>
          <w:szCs w:val="16"/>
        </w:rPr>
        <w:t xml:space="preserve"> Sentencia de 4 de septiembre de 2012. Serie C No. 250</w:t>
      </w:r>
      <w:r>
        <w:rPr>
          <w:rFonts w:ascii="Verdana" w:hAnsi="Verdana" w:cs="Arial"/>
          <w:sz w:val="16"/>
          <w:szCs w:val="16"/>
        </w:rPr>
        <w:t xml:space="preserve">, párr. 210. </w:t>
      </w:r>
    </w:p>
    <w:p w14:paraId="550823C3" w14:textId="77777777" w:rsidR="0087743B" w:rsidRPr="007F313C" w:rsidRDefault="0087743B" w:rsidP="004E64A8">
      <w:pPr>
        <w:pStyle w:val="Textonotapie"/>
        <w:jc w:val="both"/>
        <w:rPr>
          <w:rFonts w:ascii="Verdana" w:hAnsi="Verdana"/>
          <w:sz w:val="16"/>
          <w:szCs w:val="16"/>
        </w:rPr>
      </w:pPr>
    </w:p>
  </w:footnote>
  <w:footnote w:id="147">
    <w:p w14:paraId="3450C170" w14:textId="77777777" w:rsidR="0087743B" w:rsidRPr="007F313C" w:rsidRDefault="0087743B" w:rsidP="004E64A8">
      <w:pPr>
        <w:adjustRightInd w:val="0"/>
        <w:jc w:val="both"/>
        <w:rPr>
          <w:rFonts w:cs="Arial"/>
          <w:sz w:val="16"/>
          <w:szCs w:val="16"/>
        </w:rPr>
      </w:pPr>
      <w:r w:rsidRPr="007F313C">
        <w:rPr>
          <w:rStyle w:val="Refdenotaalpie"/>
          <w:sz w:val="16"/>
          <w:szCs w:val="16"/>
        </w:rPr>
        <w:footnoteRef/>
      </w:r>
      <w:r w:rsidRPr="007F313C">
        <w:rPr>
          <w:sz w:val="16"/>
          <w:szCs w:val="16"/>
        </w:rPr>
        <w:t xml:space="preserve"> </w:t>
      </w:r>
      <w:r w:rsidRPr="007F313C">
        <w:rPr>
          <w:sz w:val="16"/>
          <w:szCs w:val="16"/>
        </w:rPr>
        <w:tab/>
      </w:r>
      <w:r w:rsidRPr="001F0A42">
        <w:rPr>
          <w:rFonts w:cs="Cambria-Italic"/>
          <w:i/>
          <w:iCs/>
          <w:spacing w:val="-12"/>
          <w:sz w:val="16"/>
          <w:szCs w:val="16"/>
        </w:rPr>
        <w:t>C</w:t>
      </w:r>
      <w:r>
        <w:rPr>
          <w:rFonts w:cs="Cambria-Italic"/>
          <w:i/>
          <w:iCs/>
          <w:spacing w:val="-12"/>
          <w:sz w:val="16"/>
          <w:szCs w:val="16"/>
        </w:rPr>
        <w:t>fr. C</w:t>
      </w:r>
      <w:r w:rsidRPr="001F0A42">
        <w:rPr>
          <w:rFonts w:cs="Cambria-Italic"/>
          <w:i/>
          <w:iCs/>
          <w:spacing w:val="-12"/>
          <w:sz w:val="16"/>
          <w:szCs w:val="16"/>
        </w:rPr>
        <w:t xml:space="preserve">aso de la Comunidad </w:t>
      </w:r>
      <w:proofErr w:type="spellStart"/>
      <w:r w:rsidRPr="001F0A42">
        <w:rPr>
          <w:rFonts w:cs="Cambria-Italic"/>
          <w:i/>
          <w:iCs/>
          <w:spacing w:val="-12"/>
          <w:sz w:val="16"/>
          <w:szCs w:val="16"/>
        </w:rPr>
        <w:t>Moiwana</w:t>
      </w:r>
      <w:proofErr w:type="spellEnd"/>
      <w:r w:rsidRPr="001F0A42">
        <w:rPr>
          <w:rFonts w:cs="Cambria-Italic"/>
          <w:i/>
          <w:iCs/>
          <w:spacing w:val="-12"/>
          <w:sz w:val="16"/>
          <w:szCs w:val="16"/>
        </w:rPr>
        <w:t xml:space="preserve"> Vs. Surinam</w:t>
      </w:r>
      <w:r w:rsidRPr="001F0A42">
        <w:rPr>
          <w:rFonts w:cs="Cambria"/>
          <w:spacing w:val="-12"/>
          <w:sz w:val="16"/>
          <w:szCs w:val="16"/>
        </w:rPr>
        <w:t xml:space="preserve">. </w:t>
      </w:r>
      <w:r w:rsidRPr="00EC69C6">
        <w:rPr>
          <w:rFonts w:cs="Cambria"/>
          <w:i/>
          <w:spacing w:val="-12"/>
          <w:sz w:val="16"/>
          <w:szCs w:val="16"/>
        </w:rPr>
        <w:t>Excepciones Preliminares, Fondo, Reparaciones y Costas</w:t>
      </w:r>
      <w:r w:rsidRPr="001F0A42">
        <w:rPr>
          <w:rFonts w:cs="Cambria"/>
          <w:spacing w:val="-12"/>
          <w:sz w:val="16"/>
          <w:szCs w:val="16"/>
        </w:rPr>
        <w:t>. Sentencia de 15 de junio de 2005, Serie C No.</w:t>
      </w:r>
      <w:r>
        <w:rPr>
          <w:rFonts w:cs="Cambria"/>
          <w:spacing w:val="-12"/>
          <w:sz w:val="16"/>
          <w:szCs w:val="16"/>
        </w:rPr>
        <w:t xml:space="preserve"> 124. párr. 147, y</w:t>
      </w:r>
      <w:r>
        <w:rPr>
          <w:rFonts w:cs="Arial"/>
          <w:sz w:val="16"/>
          <w:szCs w:val="16"/>
        </w:rPr>
        <w:t xml:space="preserve"> </w:t>
      </w:r>
      <w:r w:rsidRPr="00F55065">
        <w:rPr>
          <w:rFonts w:cs="Arial"/>
          <w:i/>
          <w:sz w:val="16"/>
          <w:szCs w:val="16"/>
        </w:rPr>
        <w:t>Caso Acosta y otros Vs. Nicaragua. Excepciones Preliminares, Fondo, Reparaciones y Costas.</w:t>
      </w:r>
      <w:r w:rsidRPr="00F965A7">
        <w:rPr>
          <w:rFonts w:cs="Arial"/>
          <w:sz w:val="16"/>
          <w:szCs w:val="16"/>
        </w:rPr>
        <w:t xml:space="preserve"> Sentencia de 25 de marzo de 2017. Serie C No. 334</w:t>
      </w:r>
      <w:r>
        <w:rPr>
          <w:rFonts w:cs="Arial"/>
          <w:sz w:val="16"/>
          <w:szCs w:val="16"/>
        </w:rPr>
        <w:t>, párr. 153.</w:t>
      </w:r>
    </w:p>
    <w:p w14:paraId="1919B81C" w14:textId="77777777" w:rsidR="0087743B" w:rsidRPr="007F313C" w:rsidRDefault="0087743B" w:rsidP="004E64A8">
      <w:pPr>
        <w:adjustRightInd w:val="0"/>
        <w:jc w:val="both"/>
        <w:rPr>
          <w:sz w:val="16"/>
          <w:szCs w:val="16"/>
        </w:rPr>
      </w:pPr>
    </w:p>
  </w:footnote>
  <w:footnote w:id="148">
    <w:p w14:paraId="0AB8DC86" w14:textId="75B02DDF" w:rsidR="0087743B" w:rsidRPr="0049270D" w:rsidRDefault="0087743B" w:rsidP="004E64A8">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7F313C">
        <w:rPr>
          <w:rFonts w:ascii="Verdana" w:hAnsi="Verdana"/>
          <w:i/>
          <w:sz w:val="16"/>
          <w:szCs w:val="16"/>
        </w:rPr>
        <w:t>Caso Myrna Mack Chang Vs. Guatemala. Fondo, Reparaciones y Costas.</w:t>
      </w:r>
      <w:r w:rsidRPr="007F313C">
        <w:rPr>
          <w:rFonts w:ascii="Verdana" w:hAnsi="Verdana"/>
          <w:sz w:val="16"/>
          <w:szCs w:val="16"/>
        </w:rPr>
        <w:t xml:space="preserve"> Sentencia de 25 de noviembre de 2003. Serie C No. 101, párr. 199, y </w:t>
      </w:r>
      <w:r w:rsidRPr="00F55065">
        <w:rPr>
          <w:rFonts w:ascii="Verdana" w:hAnsi="Verdana" w:cs="Arial"/>
          <w:i/>
          <w:sz w:val="16"/>
          <w:szCs w:val="16"/>
          <w:shd w:val="clear" w:color="auto" w:fill="FFFFFF"/>
        </w:rPr>
        <w:t>Caso Díaz Loreto y otros Vs. Venezuela</w:t>
      </w:r>
      <w:r w:rsidRPr="0049270D">
        <w:rPr>
          <w:rFonts w:ascii="Verdana" w:hAnsi="Verdana"/>
          <w:sz w:val="16"/>
          <w:szCs w:val="16"/>
        </w:rPr>
        <w:t>, párr. 122.</w:t>
      </w:r>
    </w:p>
    <w:p w14:paraId="70F0A5B1" w14:textId="77777777" w:rsidR="0087743B" w:rsidRPr="007F313C" w:rsidRDefault="0087743B" w:rsidP="004E64A8">
      <w:pPr>
        <w:pStyle w:val="Textonotapie"/>
        <w:jc w:val="both"/>
        <w:rPr>
          <w:rFonts w:ascii="Verdana" w:hAnsi="Verdana"/>
          <w:sz w:val="16"/>
          <w:szCs w:val="16"/>
        </w:rPr>
      </w:pPr>
    </w:p>
  </w:footnote>
  <w:footnote w:id="149">
    <w:p w14:paraId="5B116D29" w14:textId="77777777" w:rsidR="0087743B" w:rsidRPr="007F313C" w:rsidRDefault="0087743B" w:rsidP="004E64A8">
      <w:pPr>
        <w:pStyle w:val="Textonotapie"/>
        <w:jc w:val="both"/>
        <w:rPr>
          <w:rFonts w:ascii="Verdana" w:hAnsi="Verdana"/>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 xml:space="preserve">La Comisión incluyó un señalamiento equivalente al que </w:t>
      </w:r>
      <w:r>
        <w:rPr>
          <w:rFonts w:ascii="Verdana" w:hAnsi="Verdana"/>
          <w:sz w:val="16"/>
          <w:szCs w:val="16"/>
        </w:rPr>
        <w:t xml:space="preserve">aquí </w:t>
      </w:r>
      <w:r w:rsidRPr="007F313C">
        <w:rPr>
          <w:rFonts w:ascii="Verdana" w:hAnsi="Verdana"/>
          <w:sz w:val="16"/>
          <w:szCs w:val="16"/>
        </w:rPr>
        <w:t>se realiza en el párrafo 47 de su Informe de Fondo</w:t>
      </w:r>
      <w:r>
        <w:rPr>
          <w:rFonts w:ascii="Verdana" w:hAnsi="Verdana"/>
          <w:sz w:val="16"/>
          <w:szCs w:val="16"/>
        </w:rPr>
        <w:t>,</w:t>
      </w:r>
      <w:r w:rsidRPr="007F313C">
        <w:rPr>
          <w:rFonts w:ascii="Verdana" w:hAnsi="Verdana"/>
          <w:sz w:val="16"/>
          <w:szCs w:val="16"/>
        </w:rPr>
        <w:t xml:space="preserve"> como uno de los aspectos fácticos del caso. Lo afirmado, por lo tanto, como cuestión de hecho, ha sido aceptado por el Estado (</w:t>
      </w:r>
      <w:r w:rsidRPr="007F313C">
        <w:rPr>
          <w:rFonts w:ascii="Verdana" w:hAnsi="Verdana"/>
          <w:i/>
          <w:sz w:val="16"/>
          <w:szCs w:val="16"/>
        </w:rPr>
        <w:t xml:space="preserve">supra </w:t>
      </w:r>
      <w:proofErr w:type="spellStart"/>
      <w:r w:rsidRPr="007F313C">
        <w:rPr>
          <w:rFonts w:ascii="Verdana" w:hAnsi="Verdana"/>
          <w:sz w:val="16"/>
          <w:szCs w:val="16"/>
        </w:rPr>
        <w:t>párr</w:t>
      </w:r>
      <w:r>
        <w:rPr>
          <w:rFonts w:ascii="Verdana" w:hAnsi="Verdana"/>
          <w:sz w:val="16"/>
          <w:szCs w:val="16"/>
        </w:rPr>
        <w:t>s</w:t>
      </w:r>
      <w:proofErr w:type="spellEnd"/>
      <w:r w:rsidRPr="007F313C">
        <w:rPr>
          <w:rFonts w:ascii="Verdana" w:hAnsi="Verdana"/>
          <w:sz w:val="16"/>
          <w:szCs w:val="16"/>
        </w:rPr>
        <w:t xml:space="preserve">. </w:t>
      </w:r>
      <w:r>
        <w:rPr>
          <w:rFonts w:ascii="Verdana" w:hAnsi="Verdana"/>
          <w:sz w:val="16"/>
          <w:szCs w:val="16"/>
        </w:rPr>
        <w:t>8, 14, 19 y 31</w:t>
      </w:r>
      <w:r w:rsidRPr="007F313C">
        <w:rPr>
          <w:rFonts w:ascii="Verdana" w:hAnsi="Verdana"/>
          <w:sz w:val="16"/>
          <w:szCs w:val="16"/>
        </w:rPr>
        <w:t>)</w:t>
      </w:r>
      <w:r>
        <w:rPr>
          <w:rFonts w:ascii="Verdana" w:hAnsi="Verdana"/>
          <w:sz w:val="16"/>
          <w:szCs w:val="16"/>
        </w:rPr>
        <w:t>.</w:t>
      </w:r>
      <w:r w:rsidRPr="007F313C">
        <w:rPr>
          <w:rFonts w:ascii="Verdana" w:hAnsi="Verdana"/>
          <w:sz w:val="16"/>
          <w:szCs w:val="16"/>
        </w:rPr>
        <w:t xml:space="preserve"> </w:t>
      </w:r>
      <w:r>
        <w:rPr>
          <w:rFonts w:ascii="Verdana" w:hAnsi="Verdana"/>
          <w:sz w:val="16"/>
          <w:szCs w:val="16"/>
        </w:rPr>
        <w:t xml:space="preserve">Lo anterior no incluye las referencias a solicitudes de información de 2005 y 2008, que surgen de la prueba.  </w:t>
      </w:r>
    </w:p>
    <w:p w14:paraId="4695B375" w14:textId="77777777" w:rsidR="0087743B" w:rsidRPr="007F313C" w:rsidRDefault="0087743B" w:rsidP="004E64A8">
      <w:pPr>
        <w:pStyle w:val="Textonotapie"/>
        <w:jc w:val="both"/>
        <w:rPr>
          <w:rFonts w:ascii="Verdana" w:hAnsi="Verdana"/>
          <w:sz w:val="16"/>
          <w:szCs w:val="16"/>
        </w:rPr>
      </w:pPr>
    </w:p>
  </w:footnote>
  <w:footnote w:id="150">
    <w:p w14:paraId="444010C9" w14:textId="4421DE02" w:rsidR="0087743B" w:rsidRDefault="0087743B" w:rsidP="002F7111">
      <w:pPr>
        <w:adjustRightInd w:val="0"/>
        <w:jc w:val="both"/>
        <w:rPr>
          <w:rFonts w:cs="Arial"/>
          <w:sz w:val="16"/>
          <w:szCs w:val="16"/>
        </w:rPr>
      </w:pPr>
      <w:r w:rsidRPr="00542071">
        <w:rPr>
          <w:rStyle w:val="Refdenotaalpie"/>
          <w:sz w:val="16"/>
          <w:szCs w:val="16"/>
        </w:rPr>
        <w:footnoteRef/>
      </w:r>
      <w:r>
        <w:rPr>
          <w:sz w:val="16"/>
          <w:szCs w:val="16"/>
        </w:rPr>
        <w:t xml:space="preserve">  </w:t>
      </w:r>
      <w:r>
        <w:rPr>
          <w:sz w:val="16"/>
          <w:szCs w:val="16"/>
        </w:rPr>
        <w:tab/>
      </w:r>
      <w:r w:rsidRPr="002F7111">
        <w:rPr>
          <w:i/>
          <w:sz w:val="16"/>
          <w:szCs w:val="16"/>
        </w:rPr>
        <w:t>Cfr.</w:t>
      </w:r>
      <w:r>
        <w:rPr>
          <w:sz w:val="16"/>
          <w:szCs w:val="16"/>
        </w:rPr>
        <w:t xml:space="preserve"> </w:t>
      </w:r>
      <w:r w:rsidRPr="00F345BE">
        <w:rPr>
          <w:sz w:val="16"/>
          <w:szCs w:val="16"/>
        </w:rPr>
        <w:t>CICPC, Oficio No. 9700-175-9836 de 26 de mayo de 2003;</w:t>
      </w:r>
      <w:r w:rsidRPr="00F345BE">
        <w:rPr>
          <w:rFonts w:cs="Arial"/>
          <w:sz w:val="16"/>
          <w:szCs w:val="16"/>
        </w:rPr>
        <w:t xml:space="preserve"> Oficio 9700-175-3381 de 21 de mayo de 2004; Oficio 9700-175-3945 de 27 de mayo de 2004; Oficio 05906 de 17 de agosto de 2004, y Oficio 9700-175-31 de 18 de agosto de 2004 (expediente de prueba, respectivamente: anexo 47 al Informe de Fondo, f. 1850; anexo 48 al Informe de Fondo, f. 1852; trámite ante la Comisión, f. 1147; anexo 49 al Informe de Fondo, f. 1854, y anexo 60 al Informe de Fondo, f. 1880). La Fiscalía 6 también solicitó información (</w:t>
      </w:r>
      <w:r w:rsidRPr="00F345BE">
        <w:rPr>
          <w:rFonts w:cs="Arial"/>
          <w:i/>
          <w:sz w:val="16"/>
          <w:szCs w:val="16"/>
        </w:rPr>
        <w:t xml:space="preserve">cfr. </w:t>
      </w:r>
      <w:r w:rsidRPr="00F345BE">
        <w:rPr>
          <w:sz w:val="16"/>
          <w:szCs w:val="16"/>
        </w:rPr>
        <w:t xml:space="preserve">Fiscalía 6: Oficio No. FAL-06-04-01.131 de 22 de julio de 2004 y </w:t>
      </w:r>
      <w:r w:rsidRPr="00F345BE">
        <w:rPr>
          <w:rFonts w:cs="Arial"/>
          <w:sz w:val="16"/>
          <w:szCs w:val="16"/>
        </w:rPr>
        <w:t xml:space="preserve">Oficio. </w:t>
      </w:r>
      <w:r w:rsidRPr="00F345BE">
        <w:rPr>
          <w:sz w:val="16"/>
          <w:szCs w:val="16"/>
        </w:rPr>
        <w:t xml:space="preserve">No. FAL-6-04-01.194 de 4 de agosto de 2004 (expediente de prueba, anexos 51 y 58 al Informe de Fondo, fs. 1860 y 1876, respectivamente)). </w:t>
      </w:r>
      <w:r w:rsidRPr="00F345BE">
        <w:rPr>
          <w:rFonts w:cs="Arial"/>
          <w:sz w:val="16"/>
          <w:szCs w:val="16"/>
        </w:rPr>
        <w:t>En febrero de 2005, el CICPC envió diversos oficios a la Policía y en noviembre posterior la Fiscalía 6 reiteró al CICPC la</w:t>
      </w:r>
      <w:r w:rsidRPr="00F345BE">
        <w:rPr>
          <w:sz w:val="16"/>
          <w:szCs w:val="16"/>
        </w:rPr>
        <w:t xml:space="preserve"> necesidad de </w:t>
      </w:r>
      <w:r w:rsidRPr="00F345BE">
        <w:rPr>
          <w:rFonts w:cs="Arial"/>
          <w:sz w:val="16"/>
          <w:szCs w:val="16"/>
        </w:rPr>
        <w:t>realización de diligencias (</w:t>
      </w:r>
      <w:r w:rsidRPr="00F345BE">
        <w:rPr>
          <w:rFonts w:cs="Arial"/>
          <w:i/>
          <w:sz w:val="16"/>
          <w:szCs w:val="16"/>
        </w:rPr>
        <w:t xml:space="preserve">cfr. </w:t>
      </w:r>
      <w:r w:rsidRPr="00F345BE">
        <w:rPr>
          <w:rFonts w:cs="Arial"/>
          <w:sz w:val="16"/>
          <w:szCs w:val="16"/>
        </w:rPr>
        <w:t>CICPC: Oficio No. 9700-175-973 de 1 de febrero de 2005; Oficio No. 9700-175-1084 de 9 de febrero de 2005; Oficio No. 9700-175-1085 de 9 de febrero de 2005, y Oficio No. 9700-175-1140 de 9 de febrero de 2005 (expediente de prueba: trámite ante la Comisión, fs. 972, 973 y 974, y anexo 63 al Informe de Fondo, f. 1887, respectivamente); y Fiscalía 6, Oficio No. FAL-6-05-1.852 de 30 de noviembre de 2005). En marzo de 2014 la Fiscalía 17 reiteró requerimientos de información (</w:t>
      </w:r>
      <w:r w:rsidRPr="00F345BE">
        <w:rPr>
          <w:rFonts w:cs="Arial"/>
          <w:i/>
          <w:sz w:val="16"/>
          <w:szCs w:val="16"/>
        </w:rPr>
        <w:t>cfr.</w:t>
      </w:r>
      <w:r w:rsidRPr="00F345BE">
        <w:rPr>
          <w:rFonts w:cs="Arial"/>
          <w:sz w:val="16"/>
          <w:szCs w:val="16"/>
        </w:rPr>
        <w:t xml:space="preserve"> Fiscalía 17, Oficio FAL17-399-2014 y Oficio FAL17-400-2014, ambos de 27 de marzo de 2014</w:t>
      </w:r>
      <w:r>
        <w:rPr>
          <w:rFonts w:cs="Arial"/>
          <w:sz w:val="16"/>
          <w:szCs w:val="16"/>
        </w:rPr>
        <w:t>).</w:t>
      </w:r>
    </w:p>
    <w:p w14:paraId="001DE142" w14:textId="77777777" w:rsidR="0087743B" w:rsidRPr="002F7111" w:rsidRDefault="0087743B" w:rsidP="002F7111">
      <w:pPr>
        <w:adjustRightInd w:val="0"/>
        <w:jc w:val="both"/>
        <w:rPr>
          <w:sz w:val="16"/>
          <w:szCs w:val="16"/>
        </w:rPr>
      </w:pPr>
    </w:p>
  </w:footnote>
  <w:footnote w:id="151">
    <w:p w14:paraId="01257B33" w14:textId="4503BEBC" w:rsidR="0087743B" w:rsidRPr="006240A7" w:rsidRDefault="0087743B" w:rsidP="004E64A8">
      <w:pPr>
        <w:pStyle w:val="Textonotapie"/>
        <w:jc w:val="both"/>
        <w:rPr>
          <w:rFonts w:ascii="Verdana" w:hAnsi="Verdana"/>
          <w:sz w:val="16"/>
          <w:szCs w:val="16"/>
        </w:rPr>
      </w:pPr>
      <w:r w:rsidRPr="006240A7">
        <w:rPr>
          <w:rStyle w:val="Refdenotaalpie"/>
          <w:rFonts w:ascii="Verdana" w:hAnsi="Verdana"/>
          <w:sz w:val="16"/>
          <w:szCs w:val="16"/>
        </w:rPr>
        <w:footnoteRef/>
      </w:r>
      <w:r w:rsidRPr="006240A7">
        <w:rPr>
          <w:rFonts w:ascii="Verdana" w:hAnsi="Verdana"/>
          <w:sz w:val="16"/>
          <w:szCs w:val="16"/>
        </w:rPr>
        <w:t xml:space="preserve">  </w:t>
      </w:r>
      <w:r w:rsidRPr="006240A7">
        <w:rPr>
          <w:rFonts w:ascii="Verdana" w:hAnsi="Verdana"/>
          <w:sz w:val="16"/>
          <w:szCs w:val="16"/>
        </w:rPr>
        <w:tab/>
        <w:t>Más adelante, e</w:t>
      </w:r>
      <w:r>
        <w:rPr>
          <w:rFonts w:ascii="Verdana" w:hAnsi="Verdana"/>
          <w:sz w:val="16"/>
          <w:szCs w:val="16"/>
        </w:rPr>
        <w:t>l 30 de marzo de</w:t>
      </w:r>
      <w:r w:rsidRPr="006240A7">
        <w:rPr>
          <w:rFonts w:ascii="Verdana" w:hAnsi="Verdana"/>
          <w:sz w:val="16"/>
          <w:szCs w:val="16"/>
        </w:rPr>
        <w:t xml:space="preserve"> 2016, informó a la Fiscalía 17, en el mismo sentido, que libros con información de las armas utilizadas por M.C., F.R.</w:t>
      </w:r>
      <w:r>
        <w:rPr>
          <w:rFonts w:ascii="Verdana" w:hAnsi="Verdana"/>
          <w:sz w:val="16"/>
          <w:szCs w:val="16"/>
        </w:rPr>
        <w:t xml:space="preserve">, </w:t>
      </w:r>
      <w:r w:rsidRPr="006240A7">
        <w:rPr>
          <w:rFonts w:ascii="Verdana" w:hAnsi="Verdana"/>
          <w:sz w:val="16"/>
          <w:szCs w:val="16"/>
        </w:rPr>
        <w:t>y S.C. en 2003 fueron dañados por las lluvias (</w:t>
      </w:r>
      <w:r w:rsidRPr="006240A7">
        <w:rPr>
          <w:rFonts w:ascii="Verdana" w:hAnsi="Verdana"/>
          <w:i/>
          <w:sz w:val="16"/>
          <w:szCs w:val="16"/>
        </w:rPr>
        <w:t>cfr.</w:t>
      </w:r>
      <w:r w:rsidRPr="006240A7">
        <w:rPr>
          <w:rFonts w:ascii="Verdana" w:hAnsi="Verdana"/>
          <w:sz w:val="16"/>
          <w:szCs w:val="16"/>
        </w:rPr>
        <w:t xml:space="preserve"> Secretaría de Seguridad Ciudadana</w:t>
      </w:r>
      <w:r>
        <w:rPr>
          <w:rFonts w:ascii="Verdana" w:hAnsi="Verdana"/>
          <w:sz w:val="16"/>
          <w:szCs w:val="16"/>
        </w:rPr>
        <w:t>,</w:t>
      </w:r>
      <w:r w:rsidRPr="006240A7">
        <w:rPr>
          <w:rFonts w:ascii="Verdana" w:hAnsi="Verdana"/>
          <w:sz w:val="16"/>
          <w:szCs w:val="16"/>
        </w:rPr>
        <w:t xml:space="preserve"> Cuerpo de Policía Estadal, Oficio No. 0251</w:t>
      </w:r>
      <w:r>
        <w:rPr>
          <w:rFonts w:ascii="Verdana" w:hAnsi="Verdana"/>
          <w:sz w:val="16"/>
          <w:szCs w:val="16"/>
        </w:rPr>
        <w:t xml:space="preserve"> de</w:t>
      </w:r>
      <w:r w:rsidRPr="006240A7">
        <w:rPr>
          <w:rFonts w:ascii="Verdana" w:hAnsi="Verdana"/>
          <w:sz w:val="16"/>
          <w:szCs w:val="16"/>
        </w:rPr>
        <w:t xml:space="preserve"> 30 de marzo de 2016 (expediente de prueba, trámite ante la Comisión, f.</w:t>
      </w:r>
      <w:r>
        <w:rPr>
          <w:rFonts w:ascii="Verdana" w:hAnsi="Verdana"/>
          <w:sz w:val="16"/>
          <w:szCs w:val="16"/>
        </w:rPr>
        <w:t xml:space="preserve"> </w:t>
      </w:r>
      <w:r w:rsidRPr="006240A7">
        <w:rPr>
          <w:rFonts w:ascii="Verdana" w:hAnsi="Verdana"/>
          <w:sz w:val="16"/>
          <w:szCs w:val="16"/>
        </w:rPr>
        <w:t>1513)</w:t>
      </w:r>
      <w:r>
        <w:rPr>
          <w:rFonts w:ascii="Verdana" w:hAnsi="Verdana"/>
          <w:sz w:val="16"/>
          <w:szCs w:val="16"/>
        </w:rPr>
        <w:t>).</w:t>
      </w:r>
      <w:r w:rsidRPr="006240A7">
        <w:rPr>
          <w:rFonts w:ascii="Verdana" w:hAnsi="Verdana"/>
          <w:sz w:val="16"/>
          <w:szCs w:val="16"/>
        </w:rPr>
        <w:t xml:space="preserve"> </w:t>
      </w:r>
    </w:p>
    <w:p w14:paraId="15F40D00" w14:textId="77777777" w:rsidR="0087743B" w:rsidRDefault="0087743B" w:rsidP="004E64A8">
      <w:pPr>
        <w:pStyle w:val="Textonotapie"/>
      </w:pPr>
    </w:p>
  </w:footnote>
  <w:footnote w:id="152">
    <w:p w14:paraId="4EA378B1" w14:textId="77777777" w:rsidR="0087743B" w:rsidRPr="007F313C" w:rsidRDefault="0087743B" w:rsidP="004E64A8">
      <w:pPr>
        <w:pStyle w:val="Textonotapie"/>
        <w:jc w:val="both"/>
        <w:rPr>
          <w:rFonts w:ascii="Verdana" w:hAnsi="Verdana"/>
          <w:b/>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t>El 1 de mayo de 200</w:t>
      </w:r>
      <w:r>
        <w:rPr>
          <w:rFonts w:ascii="Verdana" w:hAnsi="Verdana"/>
          <w:sz w:val="16"/>
          <w:szCs w:val="16"/>
        </w:rPr>
        <w:t>6</w:t>
      </w:r>
      <w:r w:rsidRPr="007F313C">
        <w:rPr>
          <w:rFonts w:ascii="Verdana" w:hAnsi="Verdana"/>
          <w:sz w:val="16"/>
          <w:szCs w:val="16"/>
        </w:rPr>
        <w:t xml:space="preserve"> la División de Análisis y Reconstrucción de Hechos Área de Trayectoria Balística practicó un peritaje de trayectoria balística, concluyendo, de forma similar respecto de Ramón Molina y Jimmy Guerrero, que "el tirador se encuentra hacia el frente de la víctima, efectuando disparo con la boca del cañón del arma de fuego en forma descendente, dirigido a la región anatómica comprometida". El 31 del mismo mes la División de Balística de la Dirección de Criminalística Identificativa - Comparativa, envió al </w:t>
      </w:r>
      <w:proofErr w:type="gramStart"/>
      <w:r w:rsidRPr="007F313C">
        <w:rPr>
          <w:rFonts w:ascii="Verdana" w:hAnsi="Verdana"/>
          <w:sz w:val="16"/>
          <w:szCs w:val="16"/>
        </w:rPr>
        <w:t>Jefe</w:t>
      </w:r>
      <w:proofErr w:type="gramEnd"/>
      <w:r w:rsidRPr="007F313C">
        <w:rPr>
          <w:rFonts w:ascii="Verdana" w:hAnsi="Verdana"/>
          <w:sz w:val="16"/>
          <w:szCs w:val="16"/>
        </w:rPr>
        <w:t xml:space="preserve"> de la subdelegación Punto Fijo, un Informe de Comparación Balística en el que concluyó que dos de los elementos analizados calibre 40 (proyectil completo y fragmento) fueron disparados por una misma arma de fuego y que el proyectil de calibre 9 milímetros fue disparada por otra arma.</w:t>
      </w:r>
    </w:p>
    <w:p w14:paraId="7059EC69" w14:textId="77777777" w:rsidR="0087743B" w:rsidRPr="007F313C" w:rsidRDefault="0087743B" w:rsidP="004E64A8">
      <w:pPr>
        <w:pStyle w:val="Textonotapie"/>
        <w:jc w:val="both"/>
        <w:rPr>
          <w:rFonts w:ascii="Verdana" w:hAnsi="Verdana"/>
          <w:sz w:val="16"/>
          <w:szCs w:val="16"/>
        </w:rPr>
      </w:pPr>
    </w:p>
  </w:footnote>
  <w:footnote w:id="153">
    <w:p w14:paraId="44CF7307" w14:textId="4634CCB7" w:rsidR="0087743B" w:rsidRPr="00542071" w:rsidRDefault="0087743B" w:rsidP="004E64A8">
      <w:pPr>
        <w:pStyle w:val="Prrafodelista"/>
        <w:widowControl/>
        <w:autoSpaceDE/>
        <w:autoSpaceDN/>
        <w:ind w:left="0"/>
        <w:contextualSpacing/>
        <w:rPr>
          <w:sz w:val="16"/>
          <w:szCs w:val="16"/>
        </w:rPr>
      </w:pPr>
      <w:r w:rsidRPr="00542071">
        <w:rPr>
          <w:rStyle w:val="Refdenotaalpie"/>
          <w:sz w:val="16"/>
          <w:szCs w:val="16"/>
        </w:rPr>
        <w:footnoteRef/>
      </w:r>
      <w:r w:rsidRPr="00542071">
        <w:rPr>
          <w:sz w:val="16"/>
          <w:szCs w:val="16"/>
        </w:rPr>
        <w:t xml:space="preserve"> </w:t>
      </w:r>
      <w:r w:rsidRPr="00542071">
        <w:rPr>
          <w:sz w:val="16"/>
          <w:szCs w:val="16"/>
        </w:rPr>
        <w:tab/>
        <w:t>El 26 de julio y el 4 de agosto de 2</w:t>
      </w:r>
      <w:r>
        <w:rPr>
          <w:sz w:val="16"/>
          <w:szCs w:val="16"/>
        </w:rPr>
        <w:t>004 la Fiscalía 6 solicitó al CI</w:t>
      </w:r>
      <w:r w:rsidRPr="00542071">
        <w:rPr>
          <w:sz w:val="16"/>
          <w:szCs w:val="16"/>
        </w:rPr>
        <w:t xml:space="preserve">CPC los resultados de las experticias de comparación balística, así como de los exámenes de “levantamiento planímetro” y de trayectoria balística e </w:t>
      </w:r>
      <w:proofErr w:type="spellStart"/>
      <w:r w:rsidRPr="00542071">
        <w:rPr>
          <w:sz w:val="16"/>
          <w:szCs w:val="16"/>
        </w:rPr>
        <w:t>intraorgánica</w:t>
      </w:r>
      <w:proofErr w:type="spellEnd"/>
      <w:r w:rsidRPr="00542071">
        <w:rPr>
          <w:sz w:val="16"/>
          <w:szCs w:val="16"/>
        </w:rPr>
        <w:t>, respectivamente</w:t>
      </w:r>
      <w:r>
        <w:rPr>
          <w:sz w:val="16"/>
          <w:szCs w:val="16"/>
        </w:rPr>
        <w:t xml:space="preserve"> (</w:t>
      </w:r>
      <w:r w:rsidRPr="00F55065">
        <w:rPr>
          <w:i/>
          <w:sz w:val="16"/>
          <w:szCs w:val="16"/>
        </w:rPr>
        <w:t>cfr.</w:t>
      </w:r>
      <w:r>
        <w:rPr>
          <w:sz w:val="16"/>
          <w:szCs w:val="16"/>
        </w:rPr>
        <w:t xml:space="preserve"> Fiscalía 6, Oficio FAL-06-04-01.153 de 26 de julio de 2004 (expediente de prueba, anexo 57 al Informe de Fondo, f. 1874), y Oficio FAL-06-04-01.194 de 4 de agosto de 2004)</w:t>
      </w:r>
      <w:r w:rsidRPr="00542071">
        <w:rPr>
          <w:sz w:val="16"/>
          <w:szCs w:val="16"/>
        </w:rPr>
        <w:t>. El CICPC cursó la solicitud a autoridades policiales</w:t>
      </w:r>
      <w:r>
        <w:rPr>
          <w:sz w:val="16"/>
          <w:szCs w:val="16"/>
        </w:rPr>
        <w:t xml:space="preserve"> el 17 de agosto del mismo año</w:t>
      </w:r>
      <w:r w:rsidRPr="00542071">
        <w:rPr>
          <w:sz w:val="16"/>
          <w:szCs w:val="16"/>
        </w:rPr>
        <w:t>, pero el 19 siguiente comunicó a la Fiscalía 6 que</w:t>
      </w:r>
      <w:r>
        <w:rPr>
          <w:sz w:val="16"/>
          <w:szCs w:val="16"/>
        </w:rPr>
        <w:t xml:space="preserve"> no</w:t>
      </w:r>
      <w:r w:rsidRPr="00542071">
        <w:rPr>
          <w:sz w:val="16"/>
          <w:szCs w:val="16"/>
        </w:rPr>
        <w:t xml:space="preserve"> había recibido </w:t>
      </w:r>
      <w:r>
        <w:rPr>
          <w:sz w:val="16"/>
          <w:szCs w:val="16"/>
        </w:rPr>
        <w:t xml:space="preserve">“ningún tipo de </w:t>
      </w:r>
      <w:r w:rsidRPr="00542071">
        <w:rPr>
          <w:sz w:val="16"/>
          <w:szCs w:val="16"/>
        </w:rPr>
        <w:t>respuesta</w:t>
      </w:r>
      <w:r>
        <w:rPr>
          <w:sz w:val="16"/>
          <w:szCs w:val="16"/>
        </w:rPr>
        <w:t>”</w:t>
      </w:r>
      <w:r w:rsidRPr="00542071">
        <w:rPr>
          <w:sz w:val="16"/>
          <w:szCs w:val="16"/>
        </w:rPr>
        <w:t xml:space="preserve"> (</w:t>
      </w:r>
      <w:r>
        <w:rPr>
          <w:i/>
          <w:sz w:val="16"/>
          <w:szCs w:val="16"/>
        </w:rPr>
        <w:t>c</w:t>
      </w:r>
      <w:r w:rsidRPr="00542071">
        <w:rPr>
          <w:i/>
          <w:sz w:val="16"/>
          <w:szCs w:val="16"/>
        </w:rPr>
        <w:t xml:space="preserve">fr. </w:t>
      </w:r>
      <w:r w:rsidRPr="00542071">
        <w:rPr>
          <w:sz w:val="16"/>
          <w:szCs w:val="16"/>
        </w:rPr>
        <w:t>C</w:t>
      </w:r>
      <w:r>
        <w:rPr>
          <w:sz w:val="16"/>
          <w:szCs w:val="16"/>
        </w:rPr>
        <w:t>ICPC: Memorándum de 17 de agosto de 2004, dirigido al “</w:t>
      </w:r>
      <w:proofErr w:type="gramStart"/>
      <w:r>
        <w:rPr>
          <w:sz w:val="16"/>
          <w:szCs w:val="16"/>
        </w:rPr>
        <w:t>Jefe</w:t>
      </w:r>
      <w:proofErr w:type="gramEnd"/>
      <w:r>
        <w:rPr>
          <w:sz w:val="16"/>
          <w:szCs w:val="16"/>
        </w:rPr>
        <w:t xml:space="preserve"> [de la] Sub-Delegación Punto Fijo”, y Oficio No. 9700-175-6010, de 19 de agosto de 2004, dirigido a la</w:t>
      </w:r>
      <w:r w:rsidRPr="00542071">
        <w:rPr>
          <w:sz w:val="16"/>
          <w:szCs w:val="16"/>
        </w:rPr>
        <w:t xml:space="preserve"> Fiscalía 6 </w:t>
      </w:r>
      <w:r>
        <w:rPr>
          <w:sz w:val="16"/>
          <w:szCs w:val="16"/>
        </w:rPr>
        <w:t>(e</w:t>
      </w:r>
      <w:r w:rsidRPr="00542071">
        <w:rPr>
          <w:sz w:val="16"/>
          <w:szCs w:val="16"/>
        </w:rPr>
        <w:t>xpediente de prueba, anexo</w:t>
      </w:r>
      <w:r>
        <w:rPr>
          <w:sz w:val="16"/>
          <w:szCs w:val="16"/>
        </w:rPr>
        <w:t>s 59 y</w:t>
      </w:r>
      <w:r w:rsidRPr="00542071">
        <w:rPr>
          <w:sz w:val="16"/>
          <w:szCs w:val="16"/>
        </w:rPr>
        <w:t xml:space="preserve"> 61 al Informe de Fondo, f</w:t>
      </w:r>
      <w:r>
        <w:rPr>
          <w:sz w:val="16"/>
          <w:szCs w:val="16"/>
        </w:rPr>
        <w:t>s.</w:t>
      </w:r>
      <w:r w:rsidRPr="00542071">
        <w:rPr>
          <w:sz w:val="16"/>
          <w:szCs w:val="16"/>
        </w:rPr>
        <w:t xml:space="preserve"> </w:t>
      </w:r>
      <w:r>
        <w:rPr>
          <w:sz w:val="16"/>
          <w:szCs w:val="16"/>
        </w:rPr>
        <w:t xml:space="preserve">1878 y </w:t>
      </w:r>
      <w:r w:rsidRPr="00542071">
        <w:rPr>
          <w:sz w:val="16"/>
          <w:szCs w:val="16"/>
        </w:rPr>
        <w:t>1882</w:t>
      </w:r>
      <w:r>
        <w:rPr>
          <w:sz w:val="16"/>
          <w:szCs w:val="16"/>
        </w:rPr>
        <w:t>, respectivamente)</w:t>
      </w:r>
      <w:r w:rsidRPr="00542071">
        <w:rPr>
          <w:sz w:val="16"/>
          <w:szCs w:val="16"/>
        </w:rPr>
        <w:t>).</w:t>
      </w:r>
      <w:r w:rsidRPr="00542071">
        <w:rPr>
          <w:b/>
          <w:sz w:val="16"/>
          <w:szCs w:val="16"/>
        </w:rPr>
        <w:t xml:space="preserve"> </w:t>
      </w:r>
      <w:r w:rsidRPr="00542071">
        <w:rPr>
          <w:sz w:val="16"/>
          <w:szCs w:val="16"/>
        </w:rPr>
        <w:t xml:space="preserve">El </w:t>
      </w:r>
      <w:r w:rsidRPr="00542071">
        <w:rPr>
          <w:rFonts w:cs="Arial"/>
          <w:sz w:val="16"/>
          <w:szCs w:val="16"/>
        </w:rPr>
        <w:t xml:space="preserve">10 de enero de 2005, la Fiscalía 6 reiteró el pedido de que se realicen </w:t>
      </w:r>
      <w:r>
        <w:rPr>
          <w:rFonts w:cs="Arial"/>
          <w:sz w:val="16"/>
          <w:szCs w:val="16"/>
        </w:rPr>
        <w:t>diversas</w:t>
      </w:r>
      <w:r w:rsidRPr="00542071">
        <w:rPr>
          <w:rFonts w:cs="Arial"/>
          <w:sz w:val="16"/>
          <w:szCs w:val="16"/>
        </w:rPr>
        <w:t xml:space="preserve"> diligencias solicitadas en mayo y agosto de 2004 (</w:t>
      </w:r>
      <w:r w:rsidRPr="00F55065">
        <w:rPr>
          <w:rFonts w:cs="Arial"/>
          <w:i/>
          <w:sz w:val="16"/>
          <w:szCs w:val="16"/>
        </w:rPr>
        <w:t>cfr.</w:t>
      </w:r>
      <w:r>
        <w:rPr>
          <w:rFonts w:cs="Arial"/>
          <w:sz w:val="16"/>
          <w:szCs w:val="16"/>
        </w:rPr>
        <w:t xml:space="preserve"> Fiscalía 6</w:t>
      </w:r>
      <w:r w:rsidRPr="00542071">
        <w:rPr>
          <w:rFonts w:cs="Arial"/>
          <w:sz w:val="16"/>
          <w:szCs w:val="16"/>
        </w:rPr>
        <w:t xml:space="preserve">, </w:t>
      </w:r>
      <w:r>
        <w:rPr>
          <w:rFonts w:cs="Arial"/>
          <w:sz w:val="16"/>
          <w:szCs w:val="16"/>
        </w:rPr>
        <w:t>O</w:t>
      </w:r>
      <w:r w:rsidRPr="00542071">
        <w:rPr>
          <w:rFonts w:cs="Arial"/>
          <w:sz w:val="16"/>
          <w:szCs w:val="16"/>
        </w:rPr>
        <w:t>ficio FAL-6-05-00036</w:t>
      </w:r>
      <w:r>
        <w:rPr>
          <w:rFonts w:cs="Arial"/>
          <w:sz w:val="16"/>
          <w:szCs w:val="16"/>
        </w:rPr>
        <w:t xml:space="preserve"> de</w:t>
      </w:r>
      <w:r w:rsidRPr="00542071">
        <w:rPr>
          <w:rFonts w:cs="Arial"/>
          <w:sz w:val="16"/>
          <w:szCs w:val="16"/>
        </w:rPr>
        <w:t xml:space="preserve"> 10 de enero de 2005</w:t>
      </w:r>
      <w:r>
        <w:rPr>
          <w:rFonts w:cs="Arial"/>
          <w:sz w:val="16"/>
          <w:szCs w:val="16"/>
        </w:rPr>
        <w:t xml:space="preserve"> (expediente de prueba, anexo 62 al</w:t>
      </w:r>
      <w:r w:rsidRPr="00542071">
        <w:rPr>
          <w:rFonts w:cs="Arial"/>
          <w:sz w:val="16"/>
          <w:szCs w:val="16"/>
        </w:rPr>
        <w:t xml:space="preserve"> informe de fondo, </w:t>
      </w:r>
      <w:r>
        <w:rPr>
          <w:rFonts w:cs="Arial"/>
          <w:sz w:val="16"/>
          <w:szCs w:val="16"/>
        </w:rPr>
        <w:t>fs. 1884 y 1885</w:t>
      </w:r>
      <w:r w:rsidRPr="00542071">
        <w:rPr>
          <w:rFonts w:cs="Arial"/>
          <w:sz w:val="16"/>
          <w:szCs w:val="16"/>
        </w:rPr>
        <w:t>)).</w:t>
      </w:r>
    </w:p>
    <w:p w14:paraId="657CA92F" w14:textId="77777777" w:rsidR="0087743B" w:rsidRPr="00542071" w:rsidRDefault="0087743B" w:rsidP="004E64A8">
      <w:pPr>
        <w:pStyle w:val="Textonotapie"/>
        <w:jc w:val="both"/>
        <w:rPr>
          <w:rFonts w:ascii="Verdana" w:hAnsi="Verdana"/>
          <w:sz w:val="16"/>
          <w:szCs w:val="16"/>
        </w:rPr>
      </w:pPr>
    </w:p>
  </w:footnote>
  <w:footnote w:id="154">
    <w:p w14:paraId="0025A33D" w14:textId="23299ED7" w:rsidR="0087743B" w:rsidRPr="00542071" w:rsidRDefault="0087743B" w:rsidP="004E64A8">
      <w:pPr>
        <w:pStyle w:val="Textonotapie"/>
        <w:jc w:val="both"/>
        <w:rPr>
          <w:rFonts w:ascii="Verdana" w:hAnsi="Verdana" w:cs="Arial"/>
          <w:sz w:val="16"/>
          <w:szCs w:val="16"/>
        </w:rPr>
      </w:pPr>
      <w:r w:rsidRPr="00542071">
        <w:rPr>
          <w:rStyle w:val="Refdenotaalpie"/>
          <w:rFonts w:ascii="Verdana" w:hAnsi="Verdana"/>
          <w:sz w:val="16"/>
          <w:szCs w:val="16"/>
        </w:rPr>
        <w:footnoteRef/>
      </w:r>
      <w:r w:rsidRPr="00542071">
        <w:rPr>
          <w:rFonts w:ascii="Verdana" w:hAnsi="Verdana"/>
          <w:sz w:val="16"/>
          <w:szCs w:val="16"/>
        </w:rPr>
        <w:t xml:space="preserve"> </w:t>
      </w:r>
      <w:r w:rsidRPr="00542071">
        <w:rPr>
          <w:rFonts w:ascii="Verdana" w:hAnsi="Verdana"/>
          <w:sz w:val="16"/>
          <w:szCs w:val="16"/>
        </w:rPr>
        <w:tab/>
      </w:r>
      <w:r w:rsidRPr="00542071">
        <w:rPr>
          <w:rFonts w:ascii="Verdana" w:hAnsi="Verdana"/>
          <w:i/>
          <w:sz w:val="16"/>
          <w:szCs w:val="16"/>
        </w:rPr>
        <w:t xml:space="preserve">Cfr. </w:t>
      </w:r>
      <w:r w:rsidRPr="00542071">
        <w:rPr>
          <w:rFonts w:ascii="Verdana" w:hAnsi="Verdana" w:cs="Arial"/>
          <w:sz w:val="16"/>
          <w:szCs w:val="16"/>
        </w:rPr>
        <w:t>Fiscal</w:t>
      </w:r>
      <w:r>
        <w:rPr>
          <w:rFonts w:ascii="Verdana" w:hAnsi="Verdana" w:cs="Arial"/>
          <w:sz w:val="16"/>
          <w:szCs w:val="16"/>
        </w:rPr>
        <w:t>ía 6</w:t>
      </w:r>
      <w:r w:rsidRPr="00542071">
        <w:rPr>
          <w:rFonts w:ascii="Verdana" w:hAnsi="Verdana" w:cs="Arial"/>
          <w:sz w:val="16"/>
          <w:szCs w:val="16"/>
        </w:rPr>
        <w:t xml:space="preserve">, </w:t>
      </w:r>
      <w:r>
        <w:rPr>
          <w:rFonts w:ascii="Verdana" w:hAnsi="Verdana" w:cs="Arial"/>
          <w:sz w:val="16"/>
          <w:szCs w:val="16"/>
        </w:rPr>
        <w:t>O</w:t>
      </w:r>
      <w:r w:rsidRPr="00542071">
        <w:rPr>
          <w:rFonts w:ascii="Verdana" w:hAnsi="Verdana" w:cs="Arial"/>
          <w:sz w:val="16"/>
          <w:szCs w:val="16"/>
        </w:rPr>
        <w:t>ficio No. FAL-6-05-00036</w:t>
      </w:r>
      <w:r>
        <w:rPr>
          <w:rFonts w:ascii="Verdana" w:hAnsi="Verdana" w:cs="Arial"/>
          <w:sz w:val="16"/>
          <w:szCs w:val="16"/>
        </w:rPr>
        <w:t xml:space="preserve"> de</w:t>
      </w:r>
      <w:r w:rsidRPr="00542071">
        <w:rPr>
          <w:rFonts w:ascii="Verdana" w:hAnsi="Verdana" w:cs="Arial"/>
          <w:sz w:val="16"/>
          <w:szCs w:val="16"/>
        </w:rPr>
        <w:t xml:space="preserve"> 10 de enero de 2005</w:t>
      </w:r>
      <w:r>
        <w:rPr>
          <w:rFonts w:ascii="Verdana" w:hAnsi="Verdana" w:cs="Arial"/>
          <w:sz w:val="16"/>
          <w:szCs w:val="16"/>
        </w:rPr>
        <w:t>, y</w:t>
      </w:r>
      <w:r w:rsidRPr="00542071">
        <w:rPr>
          <w:rFonts w:ascii="Verdana" w:hAnsi="Verdana" w:cs="Arial"/>
          <w:sz w:val="16"/>
          <w:szCs w:val="16"/>
        </w:rPr>
        <w:t xml:space="preserve"> </w:t>
      </w:r>
      <w:r>
        <w:rPr>
          <w:rFonts w:ascii="Verdana" w:hAnsi="Verdana" w:cs="Arial"/>
          <w:sz w:val="16"/>
          <w:szCs w:val="16"/>
        </w:rPr>
        <w:t>O</w:t>
      </w:r>
      <w:r w:rsidRPr="00542071">
        <w:rPr>
          <w:rFonts w:ascii="Verdana" w:hAnsi="Verdana" w:cs="Arial"/>
          <w:sz w:val="16"/>
          <w:szCs w:val="16"/>
        </w:rPr>
        <w:t>ficio No. FAL-6-05-1.852</w:t>
      </w:r>
      <w:r>
        <w:rPr>
          <w:rFonts w:ascii="Verdana" w:hAnsi="Verdana" w:cs="Arial"/>
          <w:sz w:val="16"/>
          <w:szCs w:val="16"/>
        </w:rPr>
        <w:t xml:space="preserve"> de</w:t>
      </w:r>
      <w:r w:rsidRPr="00542071">
        <w:rPr>
          <w:rFonts w:ascii="Verdana" w:hAnsi="Verdana" w:cs="Arial"/>
          <w:sz w:val="16"/>
          <w:szCs w:val="16"/>
        </w:rPr>
        <w:t xml:space="preserve"> 30 de noviembre de 2005.</w:t>
      </w:r>
    </w:p>
    <w:p w14:paraId="3EF40CEA" w14:textId="77777777" w:rsidR="0087743B" w:rsidRPr="00542071" w:rsidRDefault="0087743B" w:rsidP="004E64A8">
      <w:pPr>
        <w:pStyle w:val="Textonotapie"/>
        <w:jc w:val="both"/>
        <w:rPr>
          <w:rFonts w:ascii="Verdana" w:hAnsi="Verdana"/>
          <w:sz w:val="16"/>
          <w:szCs w:val="16"/>
        </w:rPr>
      </w:pPr>
    </w:p>
  </w:footnote>
  <w:footnote w:id="155">
    <w:p w14:paraId="33A037DD" w14:textId="5F898228" w:rsidR="0087743B" w:rsidRPr="00E30618" w:rsidRDefault="0087743B" w:rsidP="004E64A8">
      <w:pPr>
        <w:pStyle w:val="Prrafodelista"/>
        <w:widowControl/>
        <w:autoSpaceDE/>
        <w:autoSpaceDN/>
        <w:ind w:left="0"/>
        <w:contextualSpacing/>
        <w:rPr>
          <w:rFonts w:cs="Arial"/>
          <w:sz w:val="16"/>
          <w:szCs w:val="16"/>
        </w:rPr>
      </w:pPr>
      <w:r w:rsidRPr="00542071">
        <w:rPr>
          <w:rStyle w:val="Refdenotaalpie"/>
          <w:sz w:val="16"/>
          <w:szCs w:val="16"/>
        </w:rPr>
        <w:footnoteRef/>
      </w:r>
      <w:r w:rsidRPr="00542071">
        <w:rPr>
          <w:sz w:val="16"/>
          <w:szCs w:val="16"/>
        </w:rPr>
        <w:t xml:space="preserve"> </w:t>
      </w:r>
      <w:r w:rsidRPr="00542071">
        <w:rPr>
          <w:sz w:val="16"/>
          <w:szCs w:val="16"/>
        </w:rPr>
        <w:tab/>
      </w:r>
      <w:r w:rsidRPr="00542071">
        <w:rPr>
          <w:rFonts w:cs="Arial"/>
          <w:sz w:val="16"/>
          <w:szCs w:val="16"/>
        </w:rPr>
        <w:t>El 4 de noviembre de 2008 la Fiscalía 17 solicitó al CICPC realizar diversas diligencias de investigación que, en su mayoría, habían sido también requeridas por la Fiscalía 6 en años anteriores, entre ellas, ubicar testigos (</w:t>
      </w:r>
      <w:r w:rsidRPr="00E30618">
        <w:rPr>
          <w:rFonts w:cs="Arial"/>
          <w:i/>
          <w:sz w:val="16"/>
          <w:szCs w:val="16"/>
        </w:rPr>
        <w:t>cfr.</w:t>
      </w:r>
      <w:r>
        <w:rPr>
          <w:rFonts w:cs="Arial"/>
          <w:sz w:val="16"/>
          <w:szCs w:val="16"/>
        </w:rPr>
        <w:t xml:space="preserve"> Fiscalía 17</w:t>
      </w:r>
      <w:r w:rsidRPr="00D56055">
        <w:rPr>
          <w:rFonts w:cs="Arial"/>
          <w:sz w:val="16"/>
          <w:szCs w:val="16"/>
        </w:rPr>
        <w:t xml:space="preserve">, </w:t>
      </w:r>
      <w:r>
        <w:rPr>
          <w:rFonts w:cs="Arial"/>
          <w:sz w:val="16"/>
          <w:szCs w:val="16"/>
        </w:rPr>
        <w:t xml:space="preserve">Oficio No. 11F17-591-2008 de 4 de </w:t>
      </w:r>
      <w:r w:rsidRPr="00D56055">
        <w:rPr>
          <w:rFonts w:cs="Arial"/>
          <w:sz w:val="16"/>
          <w:szCs w:val="16"/>
        </w:rPr>
        <w:t>noviembre de 2008</w:t>
      </w:r>
      <w:r>
        <w:rPr>
          <w:rFonts w:cs="Arial"/>
          <w:sz w:val="16"/>
          <w:szCs w:val="16"/>
        </w:rPr>
        <w:t>).</w:t>
      </w:r>
      <w:r w:rsidRPr="00542071">
        <w:rPr>
          <w:sz w:val="16"/>
          <w:szCs w:val="16"/>
        </w:rPr>
        <w:t xml:space="preserve"> </w:t>
      </w:r>
    </w:p>
    <w:p w14:paraId="248BECC2" w14:textId="77777777" w:rsidR="0087743B" w:rsidRPr="00542071" w:rsidRDefault="0087743B" w:rsidP="004E64A8">
      <w:pPr>
        <w:pStyle w:val="Textonotapie"/>
        <w:jc w:val="both"/>
        <w:rPr>
          <w:rFonts w:ascii="Verdana" w:hAnsi="Verdana"/>
          <w:sz w:val="16"/>
          <w:szCs w:val="16"/>
        </w:rPr>
      </w:pPr>
    </w:p>
  </w:footnote>
  <w:footnote w:id="156">
    <w:p w14:paraId="27068F4B" w14:textId="77777777" w:rsidR="0087743B" w:rsidRDefault="0087743B" w:rsidP="004E64A8">
      <w:pPr>
        <w:pStyle w:val="Textonotapie"/>
        <w:jc w:val="both"/>
        <w:rPr>
          <w:rFonts w:ascii="Verdana" w:hAnsi="Verdana" w:cs="Times New Roman"/>
          <w:bCs/>
          <w:sz w:val="16"/>
          <w:szCs w:val="16"/>
        </w:rPr>
      </w:pPr>
      <w:r w:rsidRPr="007F313C">
        <w:rPr>
          <w:rStyle w:val="Refdenotaalpie"/>
          <w:rFonts w:ascii="Verdana" w:hAnsi="Verdana"/>
          <w:sz w:val="16"/>
          <w:szCs w:val="16"/>
        </w:rPr>
        <w:footnoteRef/>
      </w:r>
      <w:r w:rsidRPr="007F313C">
        <w:rPr>
          <w:rFonts w:ascii="Verdana" w:hAnsi="Verdana"/>
          <w:sz w:val="16"/>
          <w:szCs w:val="16"/>
        </w:rPr>
        <w:t xml:space="preserve"> </w:t>
      </w:r>
      <w:r w:rsidRPr="007F313C">
        <w:rPr>
          <w:rFonts w:ascii="Verdana" w:hAnsi="Verdana"/>
          <w:sz w:val="16"/>
          <w:szCs w:val="16"/>
        </w:rPr>
        <w:tab/>
      </w:r>
      <w:r w:rsidRPr="00F55065">
        <w:rPr>
          <w:rFonts w:ascii="Verdana" w:hAnsi="Verdana"/>
          <w:i/>
          <w:sz w:val="16"/>
          <w:szCs w:val="16"/>
        </w:rPr>
        <w:t>Cfr.</w:t>
      </w:r>
      <w:r>
        <w:rPr>
          <w:rFonts w:ascii="Verdana" w:hAnsi="Verdana"/>
          <w:sz w:val="16"/>
          <w:szCs w:val="16"/>
        </w:rPr>
        <w:t xml:space="preserve"> </w:t>
      </w:r>
      <w:r w:rsidRPr="007F313C">
        <w:rPr>
          <w:rFonts w:ascii="Verdana" w:hAnsi="Verdana" w:cs="Times New Roman"/>
          <w:bCs/>
          <w:sz w:val="16"/>
          <w:szCs w:val="16"/>
        </w:rPr>
        <w:t>Unidad Criminalística</w:t>
      </w:r>
      <w:r>
        <w:rPr>
          <w:rFonts w:ascii="Verdana" w:hAnsi="Verdana" w:cs="Times New Roman"/>
          <w:bCs/>
          <w:sz w:val="16"/>
          <w:szCs w:val="16"/>
        </w:rPr>
        <w:t>: A</w:t>
      </w:r>
      <w:r w:rsidRPr="007F313C">
        <w:rPr>
          <w:rFonts w:ascii="Verdana" w:hAnsi="Verdana" w:cs="Times New Roman"/>
          <w:bCs/>
          <w:sz w:val="16"/>
          <w:szCs w:val="16"/>
        </w:rPr>
        <w:t>cta</w:t>
      </w:r>
      <w:r>
        <w:rPr>
          <w:rFonts w:ascii="Verdana" w:hAnsi="Verdana" w:cs="Times New Roman"/>
          <w:bCs/>
          <w:sz w:val="16"/>
          <w:szCs w:val="16"/>
        </w:rPr>
        <w:t>s</w:t>
      </w:r>
      <w:r w:rsidRPr="007F313C">
        <w:rPr>
          <w:rFonts w:ascii="Verdana" w:hAnsi="Verdana" w:cs="Times New Roman"/>
          <w:bCs/>
          <w:sz w:val="16"/>
          <w:szCs w:val="16"/>
        </w:rPr>
        <w:t xml:space="preserve"> de investigación </w:t>
      </w:r>
      <w:r>
        <w:rPr>
          <w:rFonts w:ascii="Verdana" w:hAnsi="Verdana" w:cs="Times New Roman"/>
          <w:bCs/>
          <w:sz w:val="16"/>
          <w:szCs w:val="16"/>
        </w:rPr>
        <w:t>de 14 de marzo y 7 de abril de 2016 (expediente de prueba, a</w:t>
      </w:r>
      <w:r w:rsidRPr="007F313C">
        <w:rPr>
          <w:rFonts w:ascii="Verdana" w:hAnsi="Verdana" w:cs="Times New Roman"/>
          <w:bCs/>
          <w:sz w:val="16"/>
          <w:szCs w:val="16"/>
        </w:rPr>
        <w:t>nexo</w:t>
      </w:r>
      <w:r>
        <w:rPr>
          <w:rFonts w:ascii="Verdana" w:hAnsi="Verdana" w:cs="Times New Roman"/>
          <w:bCs/>
          <w:sz w:val="16"/>
          <w:szCs w:val="16"/>
        </w:rPr>
        <w:t>s</w:t>
      </w:r>
      <w:r w:rsidRPr="007F313C">
        <w:rPr>
          <w:rFonts w:ascii="Verdana" w:hAnsi="Verdana" w:cs="Times New Roman"/>
          <w:bCs/>
          <w:sz w:val="16"/>
          <w:szCs w:val="16"/>
        </w:rPr>
        <w:t xml:space="preserve"> 75 </w:t>
      </w:r>
      <w:r>
        <w:rPr>
          <w:rFonts w:ascii="Verdana" w:hAnsi="Verdana" w:cs="Times New Roman"/>
          <w:bCs/>
          <w:sz w:val="16"/>
          <w:szCs w:val="16"/>
        </w:rPr>
        <w:t xml:space="preserve">y 76 </w:t>
      </w:r>
      <w:r w:rsidRPr="007F313C">
        <w:rPr>
          <w:rFonts w:ascii="Verdana" w:hAnsi="Verdana" w:cs="Times New Roman"/>
          <w:bCs/>
          <w:sz w:val="16"/>
          <w:szCs w:val="16"/>
        </w:rPr>
        <w:t>al Informe de Fondo</w:t>
      </w:r>
      <w:r>
        <w:rPr>
          <w:rFonts w:ascii="Verdana" w:hAnsi="Verdana" w:cs="Times New Roman"/>
          <w:bCs/>
          <w:sz w:val="16"/>
          <w:szCs w:val="16"/>
        </w:rPr>
        <w:t xml:space="preserve">, fs. 1913 y 1914, y </w:t>
      </w:r>
      <w:r w:rsidRPr="00542071">
        <w:rPr>
          <w:rFonts w:ascii="Verdana" w:hAnsi="Verdana" w:cs="Times New Roman"/>
          <w:bCs/>
          <w:sz w:val="16"/>
          <w:szCs w:val="16"/>
        </w:rPr>
        <w:t>1916</w:t>
      </w:r>
      <w:r>
        <w:rPr>
          <w:rFonts w:ascii="Verdana" w:hAnsi="Verdana" w:cs="Times New Roman"/>
          <w:bCs/>
          <w:sz w:val="16"/>
          <w:szCs w:val="16"/>
        </w:rPr>
        <w:t>, respectivamente)</w:t>
      </w:r>
      <w:r w:rsidRPr="007F313C">
        <w:rPr>
          <w:rFonts w:ascii="Verdana" w:hAnsi="Verdana" w:cs="Times New Roman"/>
          <w:bCs/>
          <w:sz w:val="16"/>
          <w:szCs w:val="16"/>
        </w:rPr>
        <w:t xml:space="preserve">. </w:t>
      </w:r>
    </w:p>
    <w:p w14:paraId="41B3E84B" w14:textId="77777777" w:rsidR="0087743B" w:rsidRPr="007F313C" w:rsidRDefault="0087743B" w:rsidP="004E64A8">
      <w:pPr>
        <w:pStyle w:val="Textonotapie"/>
        <w:jc w:val="both"/>
        <w:rPr>
          <w:rFonts w:ascii="Verdana" w:hAnsi="Verdana"/>
          <w:sz w:val="16"/>
          <w:szCs w:val="16"/>
        </w:rPr>
      </w:pPr>
    </w:p>
  </w:footnote>
  <w:footnote w:id="157">
    <w:p w14:paraId="2DE359FE" w14:textId="6940336B" w:rsidR="0087743B" w:rsidRPr="00542071" w:rsidRDefault="0087743B" w:rsidP="004E64A8">
      <w:pPr>
        <w:pStyle w:val="Textonotapie"/>
        <w:jc w:val="both"/>
        <w:rPr>
          <w:rFonts w:ascii="Verdana" w:hAnsi="Verdana"/>
          <w:sz w:val="16"/>
          <w:szCs w:val="16"/>
        </w:rPr>
      </w:pPr>
      <w:r w:rsidRPr="00542071">
        <w:rPr>
          <w:rStyle w:val="Refdenotaalpie"/>
          <w:rFonts w:ascii="Verdana" w:hAnsi="Verdana"/>
          <w:sz w:val="16"/>
          <w:szCs w:val="16"/>
        </w:rPr>
        <w:footnoteRef/>
      </w:r>
      <w:r w:rsidRPr="00542071">
        <w:rPr>
          <w:rFonts w:ascii="Verdana" w:hAnsi="Verdana"/>
          <w:sz w:val="16"/>
          <w:szCs w:val="16"/>
        </w:rPr>
        <w:t xml:space="preserve">  </w:t>
      </w:r>
      <w:r w:rsidRPr="00542071">
        <w:rPr>
          <w:rFonts w:ascii="Verdana" w:hAnsi="Verdana"/>
          <w:sz w:val="16"/>
          <w:szCs w:val="16"/>
        </w:rPr>
        <w:tab/>
        <w:t xml:space="preserve">Los representantes, como prueba documental, remitieron un cuadro listando las </w:t>
      </w:r>
      <w:r>
        <w:rPr>
          <w:rFonts w:ascii="Verdana" w:hAnsi="Verdana"/>
          <w:sz w:val="16"/>
          <w:szCs w:val="16"/>
        </w:rPr>
        <w:t xml:space="preserve">solicitudes de </w:t>
      </w:r>
      <w:r w:rsidRPr="00542071">
        <w:rPr>
          <w:rFonts w:ascii="Verdana" w:hAnsi="Verdana"/>
          <w:sz w:val="16"/>
          <w:szCs w:val="16"/>
        </w:rPr>
        <w:t xml:space="preserve">diligencias de investigación solicitadas por autoridades internas y aquellas efectivamente realizadas. Del mismo surge que menos del 10% de los requerimientos </w:t>
      </w:r>
      <w:r>
        <w:rPr>
          <w:rFonts w:ascii="Verdana" w:hAnsi="Verdana"/>
          <w:sz w:val="16"/>
          <w:szCs w:val="16"/>
        </w:rPr>
        <w:t>tuvieron respuesta efectiva. A su vez, en el mismo documento, los representantes agruparon los requerimientos aludidos conforme el tipo de medida solicitada. Bajo esta clasificación, al menos el 70% de las medidas de investigación dispuestas no se realizaron.</w:t>
      </w:r>
      <w:r w:rsidRPr="00542071">
        <w:rPr>
          <w:rFonts w:ascii="Verdana" w:hAnsi="Verdana"/>
          <w:sz w:val="16"/>
          <w:szCs w:val="16"/>
        </w:rPr>
        <w:t xml:space="preserve"> El Estado no controvirtió esta información. (</w:t>
      </w:r>
      <w:r w:rsidRPr="00542071">
        <w:rPr>
          <w:rFonts w:ascii="Verdana" w:hAnsi="Verdana"/>
          <w:i/>
          <w:sz w:val="16"/>
          <w:szCs w:val="16"/>
        </w:rPr>
        <w:t>Cfr.</w:t>
      </w:r>
      <w:r w:rsidRPr="00542071">
        <w:rPr>
          <w:rFonts w:ascii="Verdana" w:hAnsi="Verdana"/>
          <w:sz w:val="16"/>
          <w:szCs w:val="16"/>
        </w:rPr>
        <w:t xml:space="preserve"> “Cuadro con solic</w:t>
      </w:r>
      <w:r>
        <w:rPr>
          <w:rFonts w:ascii="Verdana" w:hAnsi="Verdana"/>
          <w:sz w:val="16"/>
          <w:szCs w:val="16"/>
        </w:rPr>
        <w:t>itudes de diligencias penales” (e</w:t>
      </w:r>
      <w:r w:rsidRPr="00542071">
        <w:rPr>
          <w:rFonts w:ascii="Verdana" w:hAnsi="Verdana"/>
          <w:sz w:val="16"/>
          <w:szCs w:val="16"/>
        </w:rPr>
        <w:t>xpediente de prueba, anexo 7 A al escrito de solicitudes y argumentos, fs. 11089 a 11100)</w:t>
      </w:r>
      <w:r>
        <w:rPr>
          <w:rFonts w:ascii="Verdana" w:hAnsi="Verdana"/>
          <w:sz w:val="16"/>
          <w:szCs w:val="16"/>
        </w:rPr>
        <w:t>)</w:t>
      </w:r>
      <w:r w:rsidRPr="00542071">
        <w:rPr>
          <w:rFonts w:ascii="Verdana" w:hAnsi="Verdana"/>
          <w:sz w:val="16"/>
          <w:szCs w:val="16"/>
        </w:rPr>
        <w:t xml:space="preserve">. </w:t>
      </w:r>
    </w:p>
    <w:p w14:paraId="06002976" w14:textId="77777777" w:rsidR="0087743B" w:rsidRDefault="0087743B" w:rsidP="004E64A8">
      <w:pPr>
        <w:pStyle w:val="Textonotapie"/>
      </w:pPr>
    </w:p>
  </w:footnote>
  <w:footnote w:id="158">
    <w:p w14:paraId="4EAC182C" w14:textId="5213A94D" w:rsidR="0087743B" w:rsidRDefault="0087743B" w:rsidP="00F345BE">
      <w:pPr>
        <w:pStyle w:val="Prrafodelista"/>
        <w:widowControl/>
        <w:autoSpaceDE/>
        <w:autoSpaceDN/>
        <w:ind w:left="0"/>
        <w:contextualSpacing/>
        <w:rPr>
          <w:sz w:val="16"/>
          <w:szCs w:val="16"/>
        </w:rPr>
      </w:pPr>
      <w:r w:rsidRPr="007F313C">
        <w:rPr>
          <w:rStyle w:val="Refdenotaalpie"/>
          <w:sz w:val="16"/>
          <w:szCs w:val="16"/>
        </w:rPr>
        <w:footnoteRef/>
      </w:r>
      <w:r w:rsidRPr="007F313C">
        <w:rPr>
          <w:sz w:val="16"/>
          <w:szCs w:val="16"/>
        </w:rPr>
        <w:t xml:space="preserve"> </w:t>
      </w:r>
      <w:r>
        <w:rPr>
          <w:sz w:val="16"/>
          <w:szCs w:val="16"/>
        </w:rPr>
        <w:tab/>
      </w:r>
      <w:r>
        <w:rPr>
          <w:rFonts w:cs="Arial"/>
          <w:i/>
          <w:sz w:val="16"/>
          <w:szCs w:val="16"/>
        </w:rPr>
        <w:t>C</w:t>
      </w:r>
      <w:r w:rsidRPr="00F55065">
        <w:rPr>
          <w:rFonts w:cs="Arial"/>
          <w:i/>
          <w:sz w:val="16"/>
          <w:szCs w:val="16"/>
        </w:rPr>
        <w:t>fr.</w:t>
      </w:r>
      <w:r>
        <w:rPr>
          <w:rFonts w:cs="Arial"/>
          <w:sz w:val="16"/>
          <w:szCs w:val="16"/>
        </w:rPr>
        <w:t xml:space="preserve"> escritos de Jean Carlos Guerrero de 12 de noviembre de 2003, dirigido a la Fiscalía Superior, y de 6 de febrero de 2007, dirigido al Juez de Control de Punto</w:t>
      </w:r>
      <w:r w:rsidRPr="00542071">
        <w:rPr>
          <w:rFonts w:cs="Arial"/>
          <w:sz w:val="16"/>
          <w:szCs w:val="16"/>
        </w:rPr>
        <w:t xml:space="preserve"> Fijo</w:t>
      </w:r>
      <w:r>
        <w:rPr>
          <w:rFonts w:cs="Arial"/>
          <w:sz w:val="16"/>
          <w:szCs w:val="16"/>
        </w:rPr>
        <w:t xml:space="preserve">; constancia de 6 de febrero de 2007, en que consta la solicitud de 22 de marzo del año anterior, y </w:t>
      </w:r>
      <w:r w:rsidRPr="00542071">
        <w:rPr>
          <w:rFonts w:cs="Arial"/>
          <w:sz w:val="16"/>
          <w:szCs w:val="16"/>
        </w:rPr>
        <w:t xml:space="preserve">nota manuscrita de Jean Carlos Guerrero a </w:t>
      </w:r>
      <w:r>
        <w:rPr>
          <w:rFonts w:cs="Arial"/>
          <w:sz w:val="16"/>
          <w:szCs w:val="16"/>
        </w:rPr>
        <w:t xml:space="preserve">la </w:t>
      </w:r>
      <w:r w:rsidRPr="00542071">
        <w:rPr>
          <w:rFonts w:cs="Arial"/>
          <w:sz w:val="16"/>
          <w:szCs w:val="16"/>
        </w:rPr>
        <w:t>Fiscal</w:t>
      </w:r>
      <w:r>
        <w:rPr>
          <w:rFonts w:cs="Arial"/>
          <w:sz w:val="16"/>
          <w:szCs w:val="16"/>
        </w:rPr>
        <w:t>ía</w:t>
      </w:r>
      <w:r w:rsidRPr="00542071">
        <w:rPr>
          <w:rFonts w:cs="Arial"/>
          <w:sz w:val="16"/>
          <w:szCs w:val="16"/>
        </w:rPr>
        <w:t xml:space="preserve"> Superior</w:t>
      </w:r>
      <w:r>
        <w:rPr>
          <w:rFonts w:cs="Arial"/>
          <w:sz w:val="16"/>
          <w:szCs w:val="16"/>
        </w:rPr>
        <w:t xml:space="preserve"> de</w:t>
      </w:r>
      <w:r w:rsidRPr="00542071">
        <w:rPr>
          <w:rFonts w:cs="Arial"/>
          <w:sz w:val="16"/>
          <w:szCs w:val="16"/>
        </w:rPr>
        <w:t xml:space="preserve"> 4 de octubre de 2007 (expediente de prueba, trámite ante la Comisión, fs. </w:t>
      </w:r>
      <w:r>
        <w:rPr>
          <w:rFonts w:cs="Arial"/>
          <w:sz w:val="16"/>
          <w:szCs w:val="16"/>
        </w:rPr>
        <w:t xml:space="preserve">401. </w:t>
      </w:r>
      <w:r w:rsidRPr="00542071">
        <w:rPr>
          <w:rFonts w:cs="Arial"/>
          <w:sz w:val="16"/>
          <w:szCs w:val="16"/>
        </w:rPr>
        <w:t>749</w:t>
      </w:r>
      <w:r>
        <w:rPr>
          <w:rFonts w:cs="Arial"/>
          <w:sz w:val="16"/>
          <w:szCs w:val="16"/>
        </w:rPr>
        <w:t>,</w:t>
      </w:r>
      <w:r w:rsidRPr="00542071">
        <w:rPr>
          <w:rFonts w:cs="Arial"/>
          <w:sz w:val="16"/>
          <w:szCs w:val="16"/>
        </w:rPr>
        <w:t xml:space="preserve"> 750</w:t>
      </w:r>
      <w:r>
        <w:rPr>
          <w:rFonts w:cs="Arial"/>
          <w:sz w:val="16"/>
          <w:szCs w:val="16"/>
        </w:rPr>
        <w:t xml:space="preserve"> y 1369, respectivamente</w:t>
      </w:r>
      <w:r w:rsidRPr="00542071">
        <w:rPr>
          <w:rFonts w:cs="Arial"/>
          <w:sz w:val="16"/>
          <w:szCs w:val="16"/>
        </w:rPr>
        <w:t>)</w:t>
      </w:r>
      <w:r>
        <w:rPr>
          <w:rFonts w:cs="Arial"/>
          <w:sz w:val="16"/>
          <w:szCs w:val="16"/>
        </w:rPr>
        <w:t>)</w:t>
      </w:r>
      <w:r w:rsidRPr="00542071">
        <w:rPr>
          <w:rFonts w:cs="Arial"/>
          <w:sz w:val="16"/>
          <w:szCs w:val="16"/>
        </w:rPr>
        <w:t xml:space="preserve"> </w:t>
      </w:r>
      <w:r>
        <w:rPr>
          <w:rFonts w:cs="Arial"/>
          <w:sz w:val="16"/>
          <w:szCs w:val="16"/>
        </w:rPr>
        <w:t>El 31 de octubre de 2007 l</w:t>
      </w:r>
      <w:r w:rsidRPr="00542071">
        <w:rPr>
          <w:rFonts w:cs="Arial"/>
          <w:sz w:val="16"/>
          <w:szCs w:val="16"/>
        </w:rPr>
        <w:t>a Fiscalía Superior consideró pertinente la solicitud</w:t>
      </w:r>
      <w:r>
        <w:rPr>
          <w:rFonts w:cs="Arial"/>
          <w:sz w:val="16"/>
          <w:szCs w:val="16"/>
        </w:rPr>
        <w:t>, pero no consta la entrega efectiva al solicitante (</w:t>
      </w:r>
      <w:r w:rsidRPr="00F345BE">
        <w:rPr>
          <w:rFonts w:cs="Arial"/>
          <w:i/>
          <w:sz w:val="16"/>
          <w:szCs w:val="16"/>
        </w:rPr>
        <w:t>cfr.</w:t>
      </w:r>
      <w:r>
        <w:rPr>
          <w:rFonts w:cs="Arial"/>
          <w:sz w:val="16"/>
          <w:szCs w:val="16"/>
        </w:rPr>
        <w:t xml:space="preserve"> </w:t>
      </w:r>
      <w:r w:rsidRPr="00542071">
        <w:rPr>
          <w:rFonts w:cs="Arial"/>
          <w:sz w:val="16"/>
          <w:szCs w:val="16"/>
        </w:rPr>
        <w:t xml:space="preserve">Fiscalía Superior, </w:t>
      </w:r>
      <w:r>
        <w:rPr>
          <w:rFonts w:cs="Arial"/>
          <w:sz w:val="16"/>
          <w:szCs w:val="16"/>
        </w:rPr>
        <w:t xml:space="preserve">Oficio </w:t>
      </w:r>
      <w:r w:rsidRPr="00542071">
        <w:rPr>
          <w:rFonts w:cs="Arial"/>
          <w:sz w:val="16"/>
          <w:szCs w:val="16"/>
        </w:rPr>
        <w:t>FAL-SUP-1937</w:t>
      </w:r>
      <w:r>
        <w:rPr>
          <w:rFonts w:cs="Arial"/>
          <w:sz w:val="16"/>
          <w:szCs w:val="16"/>
        </w:rPr>
        <w:t xml:space="preserve"> de </w:t>
      </w:r>
      <w:r w:rsidRPr="00542071">
        <w:rPr>
          <w:rFonts w:cs="Arial"/>
          <w:sz w:val="16"/>
          <w:szCs w:val="16"/>
        </w:rPr>
        <w:t>31 de octubre de 2007 (expediente de prueba, trámite ante la Comisión, f. 1371)</w:t>
      </w:r>
      <w:r>
        <w:rPr>
          <w:rFonts w:cs="Arial"/>
          <w:sz w:val="16"/>
          <w:szCs w:val="16"/>
        </w:rPr>
        <w:t xml:space="preserve">) </w:t>
      </w:r>
      <w:r w:rsidRPr="00542071">
        <w:rPr>
          <w:sz w:val="16"/>
          <w:szCs w:val="16"/>
        </w:rPr>
        <w:t>Más adelante,</w:t>
      </w:r>
      <w:r>
        <w:rPr>
          <w:sz w:val="16"/>
          <w:szCs w:val="16"/>
        </w:rPr>
        <w:t xml:space="preserve"> durante 2016, Jean Carlos Guerrero hizo otras solicitudes </w:t>
      </w:r>
      <w:r w:rsidRPr="00542071">
        <w:rPr>
          <w:sz w:val="16"/>
          <w:szCs w:val="16"/>
        </w:rPr>
        <w:t>(</w:t>
      </w:r>
      <w:r>
        <w:rPr>
          <w:i/>
          <w:sz w:val="16"/>
          <w:szCs w:val="16"/>
        </w:rPr>
        <w:t>c</w:t>
      </w:r>
      <w:r w:rsidRPr="00542071">
        <w:rPr>
          <w:i/>
          <w:sz w:val="16"/>
          <w:szCs w:val="16"/>
        </w:rPr>
        <w:t>fr.</w:t>
      </w:r>
      <w:r w:rsidRPr="00542071">
        <w:rPr>
          <w:sz w:val="16"/>
          <w:szCs w:val="16"/>
        </w:rPr>
        <w:t xml:space="preserve"> </w:t>
      </w:r>
      <w:r>
        <w:rPr>
          <w:sz w:val="16"/>
          <w:szCs w:val="16"/>
        </w:rPr>
        <w:t>s</w:t>
      </w:r>
      <w:r w:rsidRPr="00542071">
        <w:rPr>
          <w:sz w:val="16"/>
          <w:szCs w:val="16"/>
        </w:rPr>
        <w:t>olicitud</w:t>
      </w:r>
      <w:r>
        <w:rPr>
          <w:sz w:val="16"/>
          <w:szCs w:val="16"/>
        </w:rPr>
        <w:t>es</w:t>
      </w:r>
      <w:r w:rsidRPr="00542071">
        <w:rPr>
          <w:sz w:val="16"/>
          <w:szCs w:val="16"/>
        </w:rPr>
        <w:t xml:space="preserve"> de copias </w:t>
      </w:r>
      <w:r>
        <w:rPr>
          <w:sz w:val="16"/>
          <w:szCs w:val="16"/>
        </w:rPr>
        <w:t xml:space="preserve">e información </w:t>
      </w:r>
      <w:r w:rsidRPr="00542071">
        <w:rPr>
          <w:sz w:val="16"/>
          <w:szCs w:val="16"/>
        </w:rPr>
        <w:t>de Jean Carlos Guerrero</w:t>
      </w:r>
      <w:r>
        <w:rPr>
          <w:sz w:val="16"/>
          <w:szCs w:val="16"/>
        </w:rPr>
        <w:t xml:space="preserve"> de</w:t>
      </w:r>
      <w:r w:rsidRPr="00542071">
        <w:rPr>
          <w:sz w:val="16"/>
          <w:szCs w:val="16"/>
        </w:rPr>
        <w:t xml:space="preserve"> 8 de marzo</w:t>
      </w:r>
      <w:r w:rsidRPr="00542071">
        <w:rPr>
          <w:rFonts w:cs="Arial"/>
          <w:sz w:val="16"/>
          <w:szCs w:val="16"/>
        </w:rPr>
        <w:t>, 23 de mayo</w:t>
      </w:r>
      <w:r>
        <w:rPr>
          <w:rFonts w:cs="Arial"/>
          <w:sz w:val="16"/>
          <w:szCs w:val="16"/>
        </w:rPr>
        <w:t>,</w:t>
      </w:r>
      <w:r w:rsidRPr="00542071">
        <w:rPr>
          <w:rFonts w:cs="Arial"/>
          <w:sz w:val="16"/>
          <w:szCs w:val="16"/>
        </w:rPr>
        <w:t xml:space="preserve"> </w:t>
      </w:r>
      <w:r>
        <w:rPr>
          <w:rFonts w:cs="Arial"/>
          <w:sz w:val="16"/>
          <w:szCs w:val="16"/>
        </w:rPr>
        <w:t xml:space="preserve">18 de julio y 14 de noviembre de </w:t>
      </w:r>
      <w:r w:rsidRPr="00542071">
        <w:rPr>
          <w:rFonts w:cs="Arial"/>
          <w:sz w:val="16"/>
          <w:szCs w:val="16"/>
        </w:rPr>
        <w:t>2016 (expediente de prueba, trámite ante la C</w:t>
      </w:r>
      <w:r>
        <w:rPr>
          <w:rFonts w:cs="Arial"/>
          <w:sz w:val="16"/>
          <w:szCs w:val="16"/>
        </w:rPr>
        <w:t>omisión</w:t>
      </w:r>
      <w:r w:rsidRPr="00542071">
        <w:rPr>
          <w:rFonts w:cs="Arial"/>
          <w:sz w:val="16"/>
          <w:szCs w:val="16"/>
        </w:rPr>
        <w:t>, f</w:t>
      </w:r>
      <w:r>
        <w:rPr>
          <w:rFonts w:cs="Arial"/>
          <w:sz w:val="16"/>
          <w:szCs w:val="16"/>
        </w:rPr>
        <w:t>s. 1487 y 1488, 1574, 1575 y</w:t>
      </w:r>
      <w:r w:rsidRPr="00542071">
        <w:rPr>
          <w:rFonts w:cs="Arial"/>
          <w:sz w:val="16"/>
          <w:szCs w:val="16"/>
        </w:rPr>
        <w:t xml:space="preserve"> 1581</w:t>
      </w:r>
      <w:r>
        <w:rPr>
          <w:rFonts w:cs="Arial"/>
          <w:sz w:val="16"/>
          <w:szCs w:val="16"/>
        </w:rPr>
        <w:t>, respectivamente</w:t>
      </w:r>
      <w:r w:rsidRPr="00542071">
        <w:rPr>
          <w:rFonts w:cs="Arial"/>
          <w:sz w:val="16"/>
          <w:szCs w:val="16"/>
        </w:rPr>
        <w:t>))</w:t>
      </w:r>
      <w:r w:rsidRPr="00542071">
        <w:rPr>
          <w:sz w:val="16"/>
          <w:szCs w:val="16"/>
        </w:rPr>
        <w:t>.</w:t>
      </w:r>
    </w:p>
    <w:p w14:paraId="0320D0A2" w14:textId="6CC4C48E" w:rsidR="0087743B" w:rsidRPr="009869FB" w:rsidRDefault="0087743B" w:rsidP="004E64A8">
      <w:pPr>
        <w:pStyle w:val="Textonotapie"/>
        <w:jc w:val="both"/>
        <w:rPr>
          <w:rFonts w:ascii="Verdana" w:hAnsi="Verdana"/>
          <w:sz w:val="16"/>
          <w:szCs w:val="16"/>
        </w:rPr>
      </w:pPr>
    </w:p>
  </w:footnote>
  <w:footnote w:id="159">
    <w:p w14:paraId="4D3D9491" w14:textId="015254D9" w:rsidR="0087743B" w:rsidRPr="009869FB" w:rsidRDefault="0087743B" w:rsidP="004E64A8">
      <w:pPr>
        <w:adjustRightInd w:val="0"/>
        <w:jc w:val="both"/>
        <w:rPr>
          <w:rFonts w:cs="Arial"/>
          <w:sz w:val="16"/>
          <w:szCs w:val="16"/>
          <w:lang w:val="es-CR"/>
        </w:rPr>
      </w:pPr>
      <w:r w:rsidRPr="009869FB">
        <w:rPr>
          <w:rStyle w:val="Refdenotaalpie"/>
          <w:sz w:val="16"/>
          <w:szCs w:val="16"/>
        </w:rPr>
        <w:footnoteRef/>
      </w:r>
      <w:r w:rsidRPr="009869FB">
        <w:rPr>
          <w:sz w:val="16"/>
          <w:szCs w:val="16"/>
        </w:rPr>
        <w:t xml:space="preserve"> </w:t>
      </w:r>
      <w:r w:rsidRPr="009869FB">
        <w:rPr>
          <w:sz w:val="16"/>
          <w:szCs w:val="16"/>
        </w:rPr>
        <w:tab/>
      </w:r>
      <w:r w:rsidRPr="00683470">
        <w:rPr>
          <w:i/>
          <w:sz w:val="16"/>
          <w:szCs w:val="16"/>
        </w:rPr>
        <w:t>Cfr.</w:t>
      </w:r>
      <w:r>
        <w:rPr>
          <w:sz w:val="16"/>
          <w:szCs w:val="16"/>
        </w:rPr>
        <w:t xml:space="preserve"> </w:t>
      </w:r>
      <w:r w:rsidRPr="009869FB">
        <w:rPr>
          <w:rFonts w:cs="Arial"/>
          <w:sz w:val="16"/>
          <w:szCs w:val="16"/>
          <w:lang w:val="es-CR"/>
        </w:rPr>
        <w:t xml:space="preserve">Nota periodística </w:t>
      </w:r>
      <w:r>
        <w:rPr>
          <w:rFonts w:cs="Arial"/>
          <w:sz w:val="16"/>
          <w:szCs w:val="16"/>
          <w:lang w:val="es-CR"/>
        </w:rPr>
        <w:t>del Diario</w:t>
      </w:r>
      <w:r w:rsidRPr="009869FB">
        <w:rPr>
          <w:rFonts w:cs="Arial"/>
          <w:sz w:val="16"/>
          <w:szCs w:val="16"/>
          <w:lang w:val="es-CR"/>
        </w:rPr>
        <w:t xml:space="preserve"> La Mañana, </w:t>
      </w:r>
      <w:r>
        <w:rPr>
          <w:rFonts w:cs="Arial"/>
          <w:sz w:val="16"/>
          <w:szCs w:val="16"/>
          <w:lang w:val="es-CR"/>
        </w:rPr>
        <w:t>titulada “</w:t>
      </w:r>
      <w:r w:rsidRPr="00F55065">
        <w:rPr>
          <w:rFonts w:cs="Arial"/>
          <w:iCs/>
          <w:sz w:val="16"/>
          <w:szCs w:val="16"/>
          <w:lang w:val="es-CR"/>
        </w:rPr>
        <w:t>Familiares de ajusticiados en Falcón exigen pronunciamiento</w:t>
      </w:r>
      <w:r>
        <w:rPr>
          <w:rFonts w:cs="Arial"/>
          <w:iCs/>
          <w:sz w:val="16"/>
          <w:szCs w:val="16"/>
          <w:lang w:val="es-CR"/>
        </w:rPr>
        <w:t>”</w:t>
      </w:r>
      <w:r w:rsidRPr="009869FB">
        <w:rPr>
          <w:rFonts w:cs="Arial"/>
          <w:sz w:val="16"/>
          <w:szCs w:val="16"/>
          <w:lang w:val="es-CR"/>
        </w:rPr>
        <w:t xml:space="preserve">, </w:t>
      </w:r>
      <w:r>
        <w:rPr>
          <w:rFonts w:cs="Arial"/>
          <w:sz w:val="16"/>
          <w:szCs w:val="16"/>
          <w:lang w:val="es-CR"/>
        </w:rPr>
        <w:t xml:space="preserve">de </w:t>
      </w:r>
      <w:r w:rsidRPr="009869FB">
        <w:rPr>
          <w:rFonts w:cs="Arial"/>
          <w:sz w:val="16"/>
          <w:szCs w:val="16"/>
          <w:lang w:val="es-CR"/>
        </w:rPr>
        <w:t>18 de julio de 2005 (</w:t>
      </w:r>
      <w:r>
        <w:rPr>
          <w:rFonts w:cs="Arial"/>
          <w:sz w:val="16"/>
          <w:szCs w:val="16"/>
          <w:lang w:val="es-CR"/>
        </w:rPr>
        <w:t>e</w:t>
      </w:r>
      <w:r w:rsidRPr="009869FB">
        <w:rPr>
          <w:rFonts w:cs="Arial"/>
          <w:sz w:val="16"/>
          <w:szCs w:val="16"/>
          <w:lang w:val="es-CR"/>
        </w:rPr>
        <w:t xml:space="preserve">xpediente </w:t>
      </w:r>
      <w:r>
        <w:rPr>
          <w:rFonts w:cs="Arial"/>
          <w:sz w:val="16"/>
          <w:szCs w:val="16"/>
          <w:lang w:val="es-CR"/>
        </w:rPr>
        <w:t xml:space="preserve">de prueba, trámite </w:t>
      </w:r>
      <w:r w:rsidRPr="009869FB">
        <w:rPr>
          <w:rFonts w:cs="Arial"/>
          <w:sz w:val="16"/>
          <w:szCs w:val="16"/>
          <w:lang w:val="es-CR"/>
        </w:rPr>
        <w:t>ante la C</w:t>
      </w:r>
      <w:r>
        <w:rPr>
          <w:rFonts w:cs="Arial"/>
          <w:sz w:val="16"/>
          <w:szCs w:val="16"/>
          <w:lang w:val="es-CR"/>
        </w:rPr>
        <w:t>omisión, f.</w:t>
      </w:r>
      <w:r w:rsidRPr="009869FB">
        <w:rPr>
          <w:rFonts w:cs="Arial"/>
          <w:sz w:val="16"/>
          <w:szCs w:val="16"/>
          <w:lang w:val="es-CR"/>
        </w:rPr>
        <w:t xml:space="preserve"> 129</w:t>
      </w:r>
      <w:r>
        <w:rPr>
          <w:rFonts w:cs="Arial"/>
          <w:sz w:val="16"/>
          <w:szCs w:val="16"/>
          <w:lang w:val="es-CR"/>
        </w:rPr>
        <w:t>)</w:t>
      </w:r>
      <w:r w:rsidRPr="009869FB">
        <w:rPr>
          <w:rFonts w:cs="Arial"/>
          <w:sz w:val="16"/>
          <w:szCs w:val="16"/>
          <w:lang w:val="es-CR"/>
        </w:rPr>
        <w:t>.</w:t>
      </w:r>
      <w:r>
        <w:rPr>
          <w:rFonts w:cs="Arial"/>
          <w:sz w:val="16"/>
          <w:szCs w:val="16"/>
          <w:lang w:val="es-CR"/>
        </w:rPr>
        <w:t xml:space="preserve"> Los representantes, en su escrito de solicitudes y argumentos, señalaron que Jean Carlos Guerrero intervino dentro del grupo que acudió a la prensa, integrado por familiares de supuestas víctimas (de diversos aducidos hechos de violencia, no solo de los atinentes a este caso). </w:t>
      </w:r>
    </w:p>
    <w:p w14:paraId="4E795EBC" w14:textId="77777777" w:rsidR="0087743B" w:rsidRPr="009869FB" w:rsidRDefault="0087743B" w:rsidP="004E64A8">
      <w:pPr>
        <w:adjustRightInd w:val="0"/>
        <w:jc w:val="both"/>
        <w:rPr>
          <w:rFonts w:cs="Arial"/>
          <w:i/>
          <w:iCs/>
          <w:sz w:val="16"/>
          <w:szCs w:val="16"/>
          <w:lang w:val="es-CR"/>
        </w:rPr>
      </w:pPr>
    </w:p>
  </w:footnote>
  <w:footnote w:id="160">
    <w:p w14:paraId="213426E5" w14:textId="248BBF33" w:rsidR="0087743B" w:rsidRPr="007F313C" w:rsidRDefault="0087743B" w:rsidP="004E64A8">
      <w:pPr>
        <w:adjustRightInd w:val="0"/>
        <w:jc w:val="both"/>
        <w:rPr>
          <w:rFonts w:cs="Arial"/>
          <w:sz w:val="16"/>
          <w:szCs w:val="16"/>
          <w:lang w:val="es-CR"/>
        </w:rPr>
      </w:pPr>
      <w:r w:rsidRPr="009869FB">
        <w:rPr>
          <w:rStyle w:val="Refdenotaalpie"/>
          <w:sz w:val="16"/>
          <w:szCs w:val="16"/>
        </w:rPr>
        <w:footnoteRef/>
      </w:r>
      <w:r w:rsidRPr="009869FB">
        <w:rPr>
          <w:sz w:val="16"/>
          <w:szCs w:val="16"/>
        </w:rPr>
        <w:t xml:space="preserve"> </w:t>
      </w:r>
      <w:r w:rsidRPr="009869FB">
        <w:rPr>
          <w:sz w:val="16"/>
          <w:szCs w:val="16"/>
        </w:rPr>
        <w:tab/>
      </w:r>
      <w:r w:rsidRPr="002C2B1C">
        <w:rPr>
          <w:rFonts w:cs="Arial"/>
          <w:sz w:val="16"/>
          <w:szCs w:val="16"/>
          <w:lang w:val="es-CR"/>
        </w:rPr>
        <w:t>Observaciones adicionales sobre el Fondo, presentadas ante la Comisión Interamericana (expediente de prueba, trámite ante la Comisión, fs. 325 a 399).</w:t>
      </w:r>
    </w:p>
    <w:p w14:paraId="68C4D570" w14:textId="77777777" w:rsidR="0087743B" w:rsidRPr="007F313C" w:rsidRDefault="0087743B" w:rsidP="004E64A8">
      <w:pPr>
        <w:adjustRightInd w:val="0"/>
        <w:jc w:val="both"/>
        <w:rPr>
          <w:rFonts w:cs="Arial"/>
          <w:sz w:val="16"/>
          <w:szCs w:val="16"/>
          <w:lang w:val="es-CR"/>
        </w:rPr>
      </w:pPr>
    </w:p>
  </w:footnote>
  <w:footnote w:id="161">
    <w:p w14:paraId="623D1702" w14:textId="1C4D1C30" w:rsidR="0087743B" w:rsidRPr="007F313C" w:rsidRDefault="0087743B" w:rsidP="004E64A8">
      <w:pPr>
        <w:pStyle w:val="Textonotapie"/>
        <w:jc w:val="both"/>
        <w:rPr>
          <w:rFonts w:ascii="Verdana" w:hAnsi="Verdana" w:cs="Arial"/>
          <w:sz w:val="16"/>
          <w:szCs w:val="16"/>
          <w:shd w:val="clear" w:color="auto" w:fill="FFFFFF"/>
        </w:rPr>
      </w:pPr>
      <w:r w:rsidRPr="007F313C">
        <w:rPr>
          <w:rStyle w:val="Refdenotaalpie"/>
          <w:rFonts w:ascii="Verdana" w:hAnsi="Verdana"/>
          <w:sz w:val="16"/>
          <w:szCs w:val="16"/>
        </w:rPr>
        <w:footnoteRef/>
      </w:r>
      <w:r w:rsidRPr="007F313C">
        <w:rPr>
          <w:rFonts w:ascii="Verdana" w:hAnsi="Verdana"/>
          <w:sz w:val="16"/>
          <w:szCs w:val="16"/>
        </w:rPr>
        <w:t xml:space="preserve"> </w:t>
      </w:r>
      <w:r>
        <w:rPr>
          <w:rFonts w:ascii="Verdana" w:hAnsi="Verdana"/>
          <w:sz w:val="16"/>
          <w:szCs w:val="16"/>
        </w:rPr>
        <w:tab/>
      </w:r>
      <w:r w:rsidRPr="00394BCA">
        <w:rPr>
          <w:rFonts w:ascii="Verdana" w:hAnsi="Verdana"/>
          <w:i/>
          <w:sz w:val="16"/>
          <w:szCs w:val="16"/>
        </w:rPr>
        <w:t xml:space="preserve">Cfr. Caso </w:t>
      </w:r>
      <w:proofErr w:type="spellStart"/>
      <w:r w:rsidRPr="00394BCA">
        <w:rPr>
          <w:rFonts w:ascii="Verdana" w:hAnsi="Verdana"/>
          <w:i/>
          <w:sz w:val="16"/>
          <w:szCs w:val="16"/>
        </w:rPr>
        <w:t>Ximenes</w:t>
      </w:r>
      <w:proofErr w:type="spellEnd"/>
      <w:r w:rsidRPr="00394BCA">
        <w:rPr>
          <w:rFonts w:ascii="Verdana" w:hAnsi="Verdana"/>
          <w:i/>
          <w:sz w:val="16"/>
          <w:szCs w:val="16"/>
        </w:rPr>
        <w:t xml:space="preserve"> </w:t>
      </w:r>
      <w:proofErr w:type="spellStart"/>
      <w:r w:rsidRPr="00394BCA">
        <w:rPr>
          <w:rFonts w:ascii="Verdana" w:hAnsi="Verdana"/>
          <w:i/>
          <w:sz w:val="16"/>
          <w:szCs w:val="16"/>
        </w:rPr>
        <w:t>Lopes</w:t>
      </w:r>
      <w:proofErr w:type="spellEnd"/>
      <w:r w:rsidRPr="00394BCA">
        <w:rPr>
          <w:rFonts w:ascii="Verdana" w:hAnsi="Verdana"/>
          <w:i/>
          <w:sz w:val="16"/>
          <w:szCs w:val="16"/>
        </w:rPr>
        <w:t xml:space="preserve"> Vs. Brasil</w:t>
      </w:r>
      <w:r w:rsidRPr="007F313C">
        <w:rPr>
          <w:rFonts w:ascii="Verdana" w:hAnsi="Verdana"/>
          <w:sz w:val="16"/>
          <w:szCs w:val="16"/>
        </w:rPr>
        <w:t xml:space="preserve">, </w:t>
      </w:r>
      <w:r w:rsidRPr="007F313C">
        <w:rPr>
          <w:rFonts w:ascii="Verdana" w:hAnsi="Verdana" w:cs="Arial"/>
          <w:sz w:val="16"/>
          <w:szCs w:val="16"/>
          <w:shd w:val="clear" w:color="auto" w:fill="FFFFFF"/>
        </w:rPr>
        <w:t>Sentencia de 4 de julio de 2006. Serie C No. 149</w:t>
      </w:r>
      <w:r w:rsidRPr="007F313C">
        <w:rPr>
          <w:rFonts w:ascii="Verdana" w:hAnsi="Verdana"/>
          <w:sz w:val="16"/>
          <w:szCs w:val="16"/>
        </w:rPr>
        <w:t xml:space="preserve">, párr. 147, y </w:t>
      </w:r>
      <w:r w:rsidRPr="00394BCA">
        <w:rPr>
          <w:rFonts w:ascii="Verdana" w:hAnsi="Verdana" w:cs="Arial"/>
          <w:i/>
          <w:sz w:val="16"/>
          <w:szCs w:val="16"/>
          <w:shd w:val="clear" w:color="auto" w:fill="FFFFFF"/>
        </w:rPr>
        <w:t>Caso Olivares Muñoz y otros Vs. Venezuela</w:t>
      </w:r>
      <w:r w:rsidRPr="007F313C">
        <w:rPr>
          <w:rFonts w:ascii="Verdana" w:hAnsi="Verdana" w:cs="Arial"/>
          <w:sz w:val="16"/>
          <w:szCs w:val="16"/>
          <w:shd w:val="clear" w:color="auto" w:fill="FFFFFF"/>
        </w:rPr>
        <w:t>, párr. 134.</w:t>
      </w:r>
    </w:p>
    <w:p w14:paraId="5CA88217" w14:textId="77777777" w:rsidR="0087743B" w:rsidRPr="007F313C" w:rsidRDefault="0087743B" w:rsidP="004E64A8">
      <w:pPr>
        <w:pStyle w:val="Textonotapie"/>
        <w:jc w:val="both"/>
        <w:rPr>
          <w:rFonts w:ascii="Verdana" w:hAnsi="Verdana"/>
          <w:sz w:val="16"/>
          <w:szCs w:val="16"/>
        </w:rPr>
      </w:pPr>
    </w:p>
  </w:footnote>
  <w:footnote w:id="162">
    <w:p w14:paraId="47938871" w14:textId="72C808F6" w:rsidR="0087743B" w:rsidRPr="007F313C" w:rsidRDefault="0087743B" w:rsidP="004E64A8">
      <w:pPr>
        <w:pStyle w:val="Textonotapie"/>
        <w:jc w:val="both"/>
        <w:rPr>
          <w:rFonts w:ascii="Verdana" w:hAnsi="Verdana" w:cs="Arial"/>
          <w:sz w:val="16"/>
          <w:szCs w:val="16"/>
          <w:shd w:val="clear" w:color="auto" w:fill="FFFFFF"/>
        </w:rPr>
      </w:pPr>
      <w:r w:rsidRPr="007F313C">
        <w:rPr>
          <w:rStyle w:val="Refdenotaalpie"/>
          <w:rFonts w:ascii="Verdana" w:hAnsi="Verdana"/>
          <w:sz w:val="16"/>
          <w:szCs w:val="16"/>
        </w:rPr>
        <w:footnoteRef/>
      </w:r>
      <w:r w:rsidRPr="007F313C">
        <w:rPr>
          <w:rFonts w:ascii="Verdana" w:hAnsi="Verdana"/>
          <w:sz w:val="16"/>
          <w:szCs w:val="16"/>
        </w:rPr>
        <w:t xml:space="preserve"> </w:t>
      </w:r>
      <w:r>
        <w:rPr>
          <w:rFonts w:ascii="Verdana" w:hAnsi="Verdana"/>
          <w:sz w:val="16"/>
          <w:szCs w:val="16"/>
        </w:rPr>
        <w:tab/>
      </w:r>
      <w:r w:rsidRPr="00394BCA">
        <w:rPr>
          <w:rFonts w:ascii="Verdana" w:hAnsi="Verdana"/>
          <w:i/>
          <w:sz w:val="16"/>
          <w:szCs w:val="16"/>
        </w:rPr>
        <w:t>Caso Gutiérrez Soler Vs. Colombia</w:t>
      </w:r>
      <w:r w:rsidRPr="007F313C">
        <w:rPr>
          <w:rFonts w:ascii="Verdana" w:hAnsi="Verdana"/>
          <w:sz w:val="16"/>
          <w:szCs w:val="16"/>
        </w:rPr>
        <w:t xml:space="preserve">. Sentencia de 12 de septiembre de 2005. Serie C No. 132, párr. 54, y </w:t>
      </w:r>
      <w:r w:rsidRPr="00394BCA">
        <w:rPr>
          <w:rFonts w:ascii="Verdana" w:hAnsi="Verdana" w:cs="Arial"/>
          <w:i/>
          <w:sz w:val="16"/>
          <w:szCs w:val="16"/>
          <w:shd w:val="clear" w:color="auto" w:fill="FFFFFF"/>
        </w:rPr>
        <w:t>Caso Olivares Muñoz y otros Vs. Venezuela</w:t>
      </w:r>
      <w:r w:rsidRPr="007F313C">
        <w:rPr>
          <w:rFonts w:ascii="Verdana" w:hAnsi="Verdana" w:cs="Arial"/>
          <w:sz w:val="16"/>
          <w:szCs w:val="16"/>
          <w:shd w:val="clear" w:color="auto" w:fill="FFFFFF"/>
        </w:rPr>
        <w:t>, párr. 134</w:t>
      </w:r>
      <w:r>
        <w:rPr>
          <w:rFonts w:ascii="Verdana" w:hAnsi="Verdana" w:cs="Arial"/>
          <w:sz w:val="16"/>
          <w:szCs w:val="16"/>
          <w:shd w:val="clear" w:color="auto" w:fill="FFFFFF"/>
        </w:rPr>
        <w:t>.</w:t>
      </w:r>
    </w:p>
    <w:p w14:paraId="01E639F6" w14:textId="77777777" w:rsidR="0087743B" w:rsidRPr="007F313C" w:rsidRDefault="0087743B" w:rsidP="004E64A8">
      <w:pPr>
        <w:pStyle w:val="Textonotapie"/>
        <w:jc w:val="both"/>
        <w:rPr>
          <w:rFonts w:ascii="Verdana" w:hAnsi="Verdana"/>
          <w:sz w:val="16"/>
          <w:szCs w:val="16"/>
        </w:rPr>
      </w:pPr>
    </w:p>
  </w:footnote>
  <w:footnote w:id="163">
    <w:p w14:paraId="784A3CD9" w14:textId="39F6E44F" w:rsidR="0087743B" w:rsidRDefault="0087743B" w:rsidP="004E64A8">
      <w:pPr>
        <w:pStyle w:val="Textonotapie"/>
        <w:jc w:val="both"/>
        <w:rPr>
          <w:rFonts w:ascii="Verdana" w:hAnsi="Verdana"/>
          <w:sz w:val="16"/>
          <w:szCs w:val="16"/>
        </w:rPr>
      </w:pPr>
      <w:r w:rsidRPr="00542071">
        <w:rPr>
          <w:rStyle w:val="Refdenotaalpie"/>
          <w:rFonts w:ascii="Verdana" w:hAnsi="Verdana"/>
          <w:sz w:val="16"/>
          <w:szCs w:val="16"/>
        </w:rPr>
        <w:footnoteRef/>
      </w:r>
      <w:r w:rsidRPr="00542071">
        <w:rPr>
          <w:rFonts w:ascii="Verdana" w:hAnsi="Verdana"/>
          <w:sz w:val="16"/>
          <w:szCs w:val="16"/>
        </w:rPr>
        <w:t xml:space="preserve">  </w:t>
      </w:r>
      <w:r w:rsidRPr="00542071">
        <w:rPr>
          <w:rFonts w:ascii="Verdana" w:hAnsi="Verdana"/>
          <w:sz w:val="16"/>
          <w:szCs w:val="16"/>
        </w:rPr>
        <w:tab/>
      </w:r>
      <w:r w:rsidRPr="00A5438A">
        <w:rPr>
          <w:rFonts w:ascii="Verdana" w:hAnsi="Verdana"/>
          <w:sz w:val="16"/>
          <w:szCs w:val="16"/>
        </w:rPr>
        <w:t>En el mismo sentido, en ocasiones anteriores, la Corte, aun en circunstancias en que no acreditó actos de tortura, pero que igualmente denotaban la posibilidad de su comisión, analizó el deber de investigar posibles torturas. Consideró, a tal efecto, además de los artículos pertinentes de la Convención Americana, los artículos 1, 6 y 8 de la CIPST, y declaró la violación de esas disposiciones (</w:t>
      </w:r>
      <w:r w:rsidRPr="00A5438A">
        <w:rPr>
          <w:rFonts w:ascii="Verdana" w:hAnsi="Verdana"/>
          <w:i/>
          <w:sz w:val="16"/>
          <w:szCs w:val="16"/>
        </w:rPr>
        <w:t xml:space="preserve">cfr. </w:t>
      </w:r>
      <w:r w:rsidRPr="003259D4">
        <w:rPr>
          <w:rFonts w:ascii="Verdana" w:hAnsi="Verdana"/>
          <w:i/>
          <w:sz w:val="16"/>
          <w:szCs w:val="16"/>
        </w:rPr>
        <w:t>Caso Gudiel Álvarez y otros ("Diario Militar") Vs. Guatemala</w:t>
      </w:r>
      <w:r w:rsidRPr="00F55065">
        <w:rPr>
          <w:rFonts w:ascii="Verdana" w:hAnsi="Verdana"/>
          <w:sz w:val="16"/>
          <w:szCs w:val="16"/>
        </w:rPr>
        <w:t>,</w:t>
      </w:r>
      <w:r>
        <w:rPr>
          <w:rFonts w:ascii="Verdana" w:hAnsi="Verdana"/>
          <w:i/>
          <w:sz w:val="16"/>
          <w:szCs w:val="16"/>
        </w:rPr>
        <w:t xml:space="preserve"> </w:t>
      </w:r>
      <w:proofErr w:type="spellStart"/>
      <w:r>
        <w:rPr>
          <w:rFonts w:ascii="Verdana" w:hAnsi="Verdana"/>
          <w:sz w:val="16"/>
          <w:szCs w:val="16"/>
        </w:rPr>
        <w:t>párrs</w:t>
      </w:r>
      <w:proofErr w:type="spellEnd"/>
      <w:r>
        <w:rPr>
          <w:rFonts w:ascii="Verdana" w:hAnsi="Verdana"/>
          <w:sz w:val="16"/>
          <w:szCs w:val="16"/>
        </w:rPr>
        <w:t xml:space="preserve">. 272 a 282, y </w:t>
      </w:r>
      <w:r w:rsidRPr="00A5438A">
        <w:rPr>
          <w:rFonts w:ascii="Verdana" w:hAnsi="Verdana"/>
          <w:i/>
          <w:sz w:val="16"/>
          <w:szCs w:val="16"/>
        </w:rPr>
        <w:t>Caso Olivares Muñoz y otros Vs. Venezuela</w:t>
      </w:r>
      <w:r w:rsidRPr="00A5438A">
        <w:rPr>
          <w:rFonts w:ascii="Verdana" w:hAnsi="Verdana"/>
          <w:sz w:val="16"/>
          <w:szCs w:val="16"/>
        </w:rPr>
        <w:t xml:space="preserve">, </w:t>
      </w:r>
      <w:proofErr w:type="spellStart"/>
      <w:r w:rsidRPr="00A5438A">
        <w:rPr>
          <w:rFonts w:ascii="Verdana" w:hAnsi="Verdana"/>
          <w:sz w:val="16"/>
          <w:szCs w:val="16"/>
        </w:rPr>
        <w:t>párrs</w:t>
      </w:r>
      <w:proofErr w:type="spellEnd"/>
      <w:r w:rsidRPr="00A5438A">
        <w:rPr>
          <w:rFonts w:ascii="Verdana" w:hAnsi="Verdana"/>
          <w:sz w:val="16"/>
          <w:szCs w:val="16"/>
        </w:rPr>
        <w:t>. 134 a 138).</w:t>
      </w:r>
    </w:p>
    <w:p w14:paraId="530D50A9" w14:textId="77777777" w:rsidR="0087743B" w:rsidRPr="00542071" w:rsidRDefault="0087743B" w:rsidP="004E64A8">
      <w:pPr>
        <w:pStyle w:val="Textonotapie"/>
        <w:jc w:val="both"/>
        <w:rPr>
          <w:rFonts w:ascii="Verdana" w:hAnsi="Verdana"/>
          <w:sz w:val="16"/>
          <w:szCs w:val="16"/>
        </w:rPr>
      </w:pPr>
    </w:p>
  </w:footnote>
  <w:footnote w:id="164">
    <w:p w14:paraId="40DC4FAB" w14:textId="16CCBD35" w:rsidR="0087743B" w:rsidRPr="00D64A29" w:rsidRDefault="0087743B" w:rsidP="004E64A8">
      <w:pPr>
        <w:pStyle w:val="Textonotapie"/>
        <w:jc w:val="both"/>
        <w:rPr>
          <w:rFonts w:ascii="Verdana" w:hAnsi="Verdana"/>
          <w:sz w:val="16"/>
          <w:szCs w:val="16"/>
        </w:rPr>
      </w:pPr>
      <w:r w:rsidRPr="00F55065">
        <w:rPr>
          <w:rStyle w:val="Refdenotaalpie"/>
          <w:rFonts w:ascii="Verdana" w:hAnsi="Verdana"/>
          <w:sz w:val="16"/>
          <w:szCs w:val="16"/>
        </w:rPr>
        <w:footnoteRef/>
      </w:r>
      <w:r w:rsidRPr="00F55065">
        <w:rPr>
          <w:rFonts w:ascii="Verdana" w:hAnsi="Verdana"/>
          <w:sz w:val="16"/>
          <w:szCs w:val="16"/>
        </w:rPr>
        <w:t xml:space="preserve"> </w:t>
      </w:r>
      <w:r w:rsidRPr="00F55065">
        <w:rPr>
          <w:rFonts w:ascii="Verdana" w:hAnsi="Verdana"/>
          <w:sz w:val="16"/>
          <w:szCs w:val="16"/>
        </w:rPr>
        <w:tab/>
      </w:r>
      <w:r w:rsidRPr="00F55065">
        <w:rPr>
          <w:rFonts w:ascii="Verdana" w:hAnsi="Verdana"/>
          <w:i/>
          <w:sz w:val="16"/>
          <w:szCs w:val="16"/>
        </w:rPr>
        <w:t xml:space="preserve">Cfr. </w:t>
      </w:r>
      <w:r w:rsidRPr="00F55065">
        <w:rPr>
          <w:rFonts w:ascii="Verdana" w:hAnsi="Verdana" w:cs="Arial"/>
          <w:i/>
          <w:sz w:val="16"/>
          <w:szCs w:val="16"/>
          <w:shd w:val="clear" w:color="auto" w:fill="FFFFFF"/>
        </w:rPr>
        <w:t>Caso Uzcátegui y otros Vs. Venezuela</w:t>
      </w:r>
      <w:r w:rsidRPr="00E73F42">
        <w:rPr>
          <w:rFonts w:ascii="Verdana" w:hAnsi="Verdana" w:cs="Arial"/>
          <w:sz w:val="16"/>
          <w:szCs w:val="16"/>
          <w:shd w:val="clear" w:color="auto" w:fill="FFFFFF"/>
        </w:rPr>
        <w:t xml:space="preserve">, </w:t>
      </w:r>
      <w:proofErr w:type="spellStart"/>
      <w:r w:rsidRPr="00E73F42">
        <w:rPr>
          <w:rFonts w:ascii="Verdana" w:hAnsi="Verdana" w:cs="Arial"/>
          <w:sz w:val="16"/>
          <w:szCs w:val="16"/>
          <w:shd w:val="clear" w:color="auto" w:fill="FFFFFF"/>
        </w:rPr>
        <w:t>párrs</w:t>
      </w:r>
      <w:proofErr w:type="spellEnd"/>
      <w:r w:rsidRPr="00E73F42">
        <w:rPr>
          <w:rFonts w:ascii="Verdana" w:hAnsi="Verdana" w:cs="Arial"/>
          <w:sz w:val="16"/>
          <w:szCs w:val="16"/>
          <w:shd w:val="clear" w:color="auto" w:fill="FFFFFF"/>
        </w:rPr>
        <w:t>. 237 a 239.</w:t>
      </w:r>
      <w:r w:rsidRPr="00E73F42">
        <w:rPr>
          <w:rFonts w:ascii="Verdana" w:hAnsi="Verdana" w:cs="Arial"/>
          <w:b/>
          <w:sz w:val="16"/>
          <w:szCs w:val="16"/>
          <w:shd w:val="clear" w:color="auto" w:fill="FFFFFF"/>
        </w:rPr>
        <w:t xml:space="preserve"> </w:t>
      </w:r>
      <w:r w:rsidRPr="00D64A29">
        <w:rPr>
          <w:rFonts w:ascii="Verdana" w:hAnsi="Verdana" w:cs="Arial"/>
          <w:sz w:val="16"/>
          <w:szCs w:val="16"/>
          <w:shd w:val="clear" w:color="auto" w:fill="FFFFFF"/>
        </w:rPr>
        <w:t>Al respecto, la Corte tiene en cuenta las Reglas de Brasilia sobre Acceso a la Justicia de las Personas en Condición de Vulnerabilidad (adoptadas por la Cumbre Judicial Iberoamericana el 6 de marzo de 2008), que señalan, en sus párrafos 10, 11, 15 y 25, lo que sigue. En primer lugar, que debe entenderse por “</w:t>
      </w:r>
      <w:r w:rsidRPr="00D64A29">
        <w:rPr>
          <w:rFonts w:ascii="Verdana" w:hAnsi="Verdana"/>
          <w:sz w:val="16"/>
          <w:szCs w:val="16"/>
        </w:rPr>
        <w:t>víctima” a “toda persona</w:t>
      </w:r>
      <w:r w:rsidRPr="00D64A29">
        <w:rPr>
          <w:rFonts w:ascii="Verdana" w:hAnsi="Verdana" w:cs="Arial"/>
          <w:sz w:val="16"/>
          <w:szCs w:val="16"/>
          <w:shd w:val="clear" w:color="auto" w:fill="FFFFFF"/>
        </w:rPr>
        <w:t xml:space="preserve"> </w:t>
      </w:r>
      <w:r w:rsidRPr="00D64A29">
        <w:rPr>
          <w:rFonts w:ascii="Verdana" w:hAnsi="Verdana"/>
          <w:sz w:val="16"/>
          <w:szCs w:val="16"/>
        </w:rPr>
        <w:t>física que ha sufrido un daño ocasionado por una infracción penal, incluida</w:t>
      </w:r>
      <w:r w:rsidRPr="00D64A29">
        <w:rPr>
          <w:rFonts w:ascii="Verdana" w:hAnsi="Verdana" w:cs="Arial"/>
          <w:sz w:val="16"/>
          <w:szCs w:val="16"/>
          <w:shd w:val="clear" w:color="auto" w:fill="FFFFFF"/>
        </w:rPr>
        <w:t xml:space="preserve"> </w:t>
      </w:r>
      <w:r w:rsidRPr="00D64A29">
        <w:rPr>
          <w:rFonts w:ascii="Verdana" w:hAnsi="Verdana"/>
          <w:sz w:val="16"/>
          <w:szCs w:val="16"/>
        </w:rPr>
        <w:t xml:space="preserve">tanto la lesión física o psíquica, como el sufrimiento moral y el perjuicio </w:t>
      </w:r>
      <w:proofErr w:type="gramStart"/>
      <w:r w:rsidRPr="00D64A29">
        <w:rPr>
          <w:rFonts w:ascii="Verdana" w:hAnsi="Verdana"/>
          <w:sz w:val="16"/>
          <w:szCs w:val="16"/>
        </w:rPr>
        <w:t>económico[</w:t>
      </w:r>
      <w:proofErr w:type="gramEnd"/>
      <w:r w:rsidRPr="00D64A29">
        <w:rPr>
          <w:rFonts w:ascii="Verdana" w:hAnsi="Verdana"/>
          <w:sz w:val="16"/>
          <w:szCs w:val="16"/>
        </w:rPr>
        <w:t>, y que e</w:t>
      </w:r>
      <w:r>
        <w:rPr>
          <w:rFonts w:ascii="Verdana" w:hAnsi="Verdana"/>
          <w:sz w:val="16"/>
          <w:szCs w:val="16"/>
        </w:rPr>
        <w:t>l</w:t>
      </w:r>
      <w:r w:rsidRPr="00D64A29">
        <w:rPr>
          <w:rFonts w:ascii="Verdana" w:hAnsi="Verdana"/>
          <w:sz w:val="16"/>
          <w:szCs w:val="16"/>
        </w:rPr>
        <w:t>] término víctima también podrá incluir, en su caso, a la familia inmediata o a las personas que están a cargo de la víctima directa”. En segundo término, las Reglas de Brasilia señalan que “[s]e considera en condición de vulnerabilidad aquella víctima del delito que tenga una relevante limitación para evitar o mitigar los daños y perjuicios derivados de la infracción penal o de su contacto con el sistema de justicia, o para afrontar los riesgos de sufrir una nueva victimización”. Entre l</w:t>
      </w:r>
      <w:r>
        <w:rPr>
          <w:rFonts w:ascii="Verdana" w:hAnsi="Verdana"/>
          <w:sz w:val="16"/>
          <w:szCs w:val="16"/>
        </w:rPr>
        <w:t>o</w:t>
      </w:r>
      <w:r w:rsidRPr="00D64A29">
        <w:rPr>
          <w:rFonts w:ascii="Verdana" w:hAnsi="Verdana"/>
          <w:sz w:val="16"/>
          <w:szCs w:val="16"/>
        </w:rPr>
        <w:t xml:space="preserve">s </w:t>
      </w:r>
      <w:r>
        <w:rPr>
          <w:rFonts w:ascii="Verdana" w:hAnsi="Verdana"/>
          <w:sz w:val="16"/>
          <w:szCs w:val="16"/>
        </w:rPr>
        <w:t>aspectos que conllevan una</w:t>
      </w:r>
      <w:r w:rsidRPr="00D64A29">
        <w:rPr>
          <w:rFonts w:ascii="Verdana" w:hAnsi="Verdana"/>
          <w:sz w:val="16"/>
          <w:szCs w:val="16"/>
        </w:rPr>
        <w:t xml:space="preserve"> condición de vulnerabilidad</w:t>
      </w:r>
      <w:r>
        <w:rPr>
          <w:rFonts w:ascii="Verdana" w:hAnsi="Verdana"/>
          <w:sz w:val="16"/>
          <w:szCs w:val="16"/>
        </w:rPr>
        <w:t xml:space="preserve"> </w:t>
      </w:r>
      <w:r w:rsidRPr="00D64A29">
        <w:rPr>
          <w:rFonts w:ascii="Verdana" w:hAnsi="Verdana"/>
          <w:sz w:val="16"/>
          <w:szCs w:val="16"/>
        </w:rPr>
        <w:t xml:space="preserve">se incluye a la “pobreza”, respecto a la que </w:t>
      </w:r>
      <w:r>
        <w:rPr>
          <w:rFonts w:ascii="Verdana" w:hAnsi="Verdana"/>
          <w:sz w:val="16"/>
          <w:szCs w:val="16"/>
        </w:rPr>
        <w:t xml:space="preserve">las Reglas de Brasilia </w:t>
      </w:r>
      <w:r w:rsidRPr="00D64A29">
        <w:rPr>
          <w:rFonts w:ascii="Verdana" w:hAnsi="Verdana"/>
          <w:sz w:val="16"/>
          <w:szCs w:val="16"/>
        </w:rPr>
        <w:t>indican que “constituye una causa de exclusión social, tanto en el plano económico como en los planos social y cultural, y supone un serio obstáculo para el acceso a la justicia” El texto señala, por último, el deber de los Estados de “promover […] las condiciones necesarias para que la tutela judicial de los derechos reconocidos por el ordenamiento sea efectiva, adoptando aquellas medidas que mejor se adapten a cada condición de vulnerabilidad”.</w:t>
      </w:r>
    </w:p>
    <w:p w14:paraId="5EE918A7" w14:textId="77777777" w:rsidR="0087743B" w:rsidRPr="007F313C" w:rsidRDefault="0087743B" w:rsidP="004E64A8">
      <w:pPr>
        <w:pStyle w:val="Textonotapie"/>
        <w:jc w:val="both"/>
        <w:rPr>
          <w:rFonts w:ascii="Verdana" w:hAnsi="Verdana"/>
          <w:sz w:val="16"/>
          <w:szCs w:val="16"/>
        </w:rPr>
      </w:pPr>
    </w:p>
  </w:footnote>
  <w:footnote w:id="165">
    <w:p w14:paraId="2F63AE16" w14:textId="5254C9D4" w:rsidR="0087743B" w:rsidRDefault="0087743B" w:rsidP="004E64A8">
      <w:pPr>
        <w:pStyle w:val="Textonotapie"/>
        <w:jc w:val="both"/>
        <w:rPr>
          <w:rFonts w:ascii="Verdana" w:hAnsi="Verdana"/>
          <w:i/>
          <w:sz w:val="16"/>
          <w:szCs w:val="16"/>
        </w:rPr>
      </w:pPr>
      <w:r w:rsidRPr="007211D3">
        <w:rPr>
          <w:rStyle w:val="Refdenotaalpie"/>
          <w:rFonts w:ascii="Verdana" w:hAnsi="Verdana"/>
          <w:sz w:val="16"/>
          <w:szCs w:val="16"/>
        </w:rPr>
        <w:footnoteRef/>
      </w:r>
      <w:r w:rsidRPr="007211D3">
        <w:rPr>
          <w:rFonts w:ascii="Verdana" w:hAnsi="Verdana"/>
          <w:sz w:val="16"/>
          <w:szCs w:val="16"/>
        </w:rPr>
        <w:t xml:space="preserve">  </w:t>
      </w:r>
      <w:r w:rsidRPr="007211D3">
        <w:rPr>
          <w:rFonts w:ascii="Verdana" w:hAnsi="Verdana"/>
          <w:sz w:val="16"/>
          <w:szCs w:val="16"/>
        </w:rPr>
        <w:tab/>
      </w:r>
      <w:r>
        <w:rPr>
          <w:rFonts w:ascii="Verdana" w:hAnsi="Verdana"/>
          <w:sz w:val="16"/>
          <w:szCs w:val="16"/>
        </w:rPr>
        <w:t>Los representantes mencionaron, en su escrito de solicitudes y argumentos, al argüir la falta de investigación de “amenazas y hostigamientos sufrid[o]s por Jimmy Guerrero previo a su muerte”, la “</w:t>
      </w:r>
      <w:r w:rsidRPr="00987030">
        <w:rPr>
          <w:rFonts w:ascii="Verdana" w:hAnsi="Verdana"/>
          <w:sz w:val="16"/>
          <w:szCs w:val="16"/>
        </w:rPr>
        <w:t>violación de los derechos al acceso</w:t>
      </w:r>
      <w:r>
        <w:rPr>
          <w:rFonts w:ascii="Verdana" w:hAnsi="Verdana"/>
          <w:sz w:val="16"/>
          <w:szCs w:val="16"/>
        </w:rPr>
        <w:t xml:space="preserve"> </w:t>
      </w:r>
      <w:r w:rsidRPr="00987030">
        <w:rPr>
          <w:rFonts w:ascii="Verdana" w:hAnsi="Verdana"/>
          <w:sz w:val="16"/>
          <w:szCs w:val="16"/>
        </w:rPr>
        <w:t>a la justicia y a la protección judicial de las víctimas y sus familiares</w:t>
      </w:r>
      <w:r>
        <w:rPr>
          <w:rFonts w:ascii="Verdana" w:hAnsi="Verdana"/>
          <w:sz w:val="16"/>
          <w:szCs w:val="16"/>
        </w:rPr>
        <w:t>”. No resulta claro si dicha alusión a “las víctimas” refiere a Ramón Molina, además de a Jimmy Guerrero. En todo caso, la Corte no encuentra fundamento para analizar esos argumentos sobre la investigación de los hechos, como tampoco otros relativos a la actividad investigativa y judicial, en relación con Ramón Molina</w:t>
      </w:r>
      <w:r>
        <w:rPr>
          <w:rFonts w:ascii="Verdana" w:hAnsi="Verdana" w:cs="Arial"/>
          <w:sz w:val="16"/>
          <w:szCs w:val="16"/>
          <w:shd w:val="clear" w:color="auto" w:fill="FFFFFF"/>
        </w:rPr>
        <w:t>.</w:t>
      </w:r>
    </w:p>
    <w:p w14:paraId="1E1A5FA8" w14:textId="77777777" w:rsidR="0087743B" w:rsidRPr="007211D3" w:rsidRDefault="0087743B" w:rsidP="004E64A8">
      <w:pPr>
        <w:pStyle w:val="Textonotapie"/>
        <w:jc w:val="both"/>
        <w:rPr>
          <w:rFonts w:ascii="Verdana" w:hAnsi="Verdana"/>
          <w:sz w:val="16"/>
          <w:szCs w:val="16"/>
        </w:rPr>
      </w:pPr>
    </w:p>
  </w:footnote>
  <w:footnote w:id="166">
    <w:p w14:paraId="74D46574" w14:textId="112611A2" w:rsidR="0087743B" w:rsidRDefault="0087743B" w:rsidP="004E64A8">
      <w:pPr>
        <w:pStyle w:val="Textonotapie"/>
        <w:jc w:val="both"/>
        <w:rPr>
          <w:rFonts w:ascii="Verdana" w:hAnsi="Verdana"/>
          <w:sz w:val="16"/>
          <w:szCs w:val="16"/>
        </w:rPr>
      </w:pPr>
      <w:r w:rsidRPr="00DF6A53">
        <w:rPr>
          <w:rStyle w:val="Refdenotaalpie"/>
          <w:rFonts w:ascii="Verdana" w:hAnsi="Verdana"/>
          <w:sz w:val="16"/>
          <w:szCs w:val="16"/>
        </w:rPr>
        <w:footnoteRef/>
      </w:r>
      <w:r w:rsidRPr="00DF6A53">
        <w:rPr>
          <w:rFonts w:ascii="Verdana" w:hAnsi="Verdana"/>
          <w:sz w:val="16"/>
          <w:szCs w:val="16"/>
        </w:rPr>
        <w:t xml:space="preserve"> </w:t>
      </w:r>
      <w:r w:rsidRPr="00DF6A53">
        <w:rPr>
          <w:rFonts w:ascii="Verdana" w:hAnsi="Verdana"/>
          <w:i/>
          <w:sz w:val="16"/>
          <w:szCs w:val="16"/>
        </w:rPr>
        <w:tab/>
        <w:t>Cfr. Velásquez Rodríguez Vs. Honduras</w:t>
      </w:r>
      <w:r>
        <w:rPr>
          <w:rFonts w:ascii="Verdana" w:hAnsi="Verdana"/>
          <w:i/>
          <w:sz w:val="16"/>
          <w:szCs w:val="16"/>
        </w:rPr>
        <w:t xml:space="preserve">. </w:t>
      </w:r>
      <w:r w:rsidRPr="003E5DEC">
        <w:rPr>
          <w:rFonts w:ascii="Verdana" w:hAnsi="Verdana"/>
          <w:i/>
          <w:sz w:val="16"/>
          <w:szCs w:val="16"/>
        </w:rPr>
        <w:t>Fondo</w:t>
      </w:r>
      <w:r w:rsidRPr="00DF6A53">
        <w:rPr>
          <w:rFonts w:ascii="Verdana" w:hAnsi="Verdana"/>
          <w:sz w:val="16"/>
          <w:szCs w:val="16"/>
        </w:rPr>
        <w:t xml:space="preserve">, párr. 174, y </w:t>
      </w:r>
      <w:r w:rsidRPr="00DF6A53">
        <w:rPr>
          <w:rFonts w:ascii="Verdana" w:hAnsi="Verdana" w:cs="Arial"/>
          <w:i/>
          <w:sz w:val="16"/>
          <w:szCs w:val="16"/>
          <w:shd w:val="clear" w:color="auto" w:fill="FFFFFF"/>
        </w:rPr>
        <w:t xml:space="preserve">Caso Valenzuela Ávila Vs. Guatemala. Fondo, Reparaciones y Costas. </w:t>
      </w:r>
      <w:r w:rsidRPr="00DF6A53">
        <w:rPr>
          <w:rFonts w:ascii="Verdana" w:hAnsi="Verdana" w:cs="Arial"/>
          <w:sz w:val="16"/>
          <w:szCs w:val="16"/>
          <w:shd w:val="clear" w:color="auto" w:fill="FFFFFF"/>
        </w:rPr>
        <w:t xml:space="preserve">Sentencia de 11 de octubre de 2019. Serie C No. 386, </w:t>
      </w:r>
      <w:proofErr w:type="spellStart"/>
      <w:r w:rsidRPr="00DF6A53">
        <w:rPr>
          <w:rFonts w:ascii="Verdana" w:hAnsi="Verdana" w:cs="Arial"/>
          <w:sz w:val="16"/>
          <w:szCs w:val="16"/>
          <w:shd w:val="clear" w:color="auto" w:fill="FFFFFF"/>
        </w:rPr>
        <w:t>párr</w:t>
      </w:r>
      <w:proofErr w:type="spellEnd"/>
      <w:r w:rsidRPr="00DF6A53">
        <w:rPr>
          <w:rFonts w:ascii="Verdana" w:hAnsi="Verdana" w:cs="Arial"/>
          <w:sz w:val="16"/>
          <w:szCs w:val="16"/>
          <w:shd w:val="clear" w:color="auto" w:fill="FFFFFF"/>
        </w:rPr>
        <w:t xml:space="preserve"> 142</w:t>
      </w:r>
      <w:r w:rsidRPr="00DF6A53">
        <w:rPr>
          <w:rFonts w:ascii="Verdana" w:hAnsi="Verdana"/>
          <w:i/>
          <w:sz w:val="16"/>
          <w:szCs w:val="16"/>
        </w:rPr>
        <w:t>.</w:t>
      </w:r>
      <w:r>
        <w:rPr>
          <w:rFonts w:ascii="Verdana" w:hAnsi="Verdana"/>
          <w:sz w:val="16"/>
          <w:szCs w:val="16"/>
        </w:rPr>
        <w:t xml:space="preserve"> En igual sentido, </w:t>
      </w:r>
      <w:r w:rsidRPr="00F55065">
        <w:rPr>
          <w:rFonts w:ascii="Verdana" w:hAnsi="Verdana"/>
          <w:i/>
          <w:sz w:val="16"/>
          <w:szCs w:val="16"/>
        </w:rPr>
        <w:t>Caso Vicky Hernández y otras Vs. Honduras</w:t>
      </w:r>
      <w:r>
        <w:rPr>
          <w:rFonts w:ascii="Verdana" w:hAnsi="Verdana"/>
          <w:sz w:val="16"/>
          <w:szCs w:val="16"/>
        </w:rPr>
        <w:t xml:space="preserve">, </w:t>
      </w:r>
      <w:proofErr w:type="spellStart"/>
      <w:r>
        <w:rPr>
          <w:rFonts w:ascii="Verdana" w:hAnsi="Verdana"/>
          <w:sz w:val="16"/>
          <w:szCs w:val="16"/>
        </w:rPr>
        <w:t>párrs</w:t>
      </w:r>
      <w:proofErr w:type="spellEnd"/>
      <w:r>
        <w:rPr>
          <w:rFonts w:ascii="Verdana" w:hAnsi="Verdana"/>
          <w:sz w:val="16"/>
          <w:szCs w:val="16"/>
        </w:rPr>
        <w:t>. 97 y 134.</w:t>
      </w:r>
    </w:p>
    <w:p w14:paraId="6D38810E" w14:textId="77777777" w:rsidR="0087743B" w:rsidRPr="00F55065" w:rsidRDefault="0087743B" w:rsidP="004E64A8">
      <w:pPr>
        <w:pStyle w:val="Textonotapie"/>
        <w:jc w:val="both"/>
        <w:rPr>
          <w:rFonts w:ascii="Verdana" w:hAnsi="Verdana"/>
          <w:sz w:val="16"/>
          <w:szCs w:val="16"/>
        </w:rPr>
      </w:pPr>
    </w:p>
  </w:footnote>
  <w:footnote w:id="167">
    <w:p w14:paraId="761DE1C1" w14:textId="59480008" w:rsidR="0087743B" w:rsidRPr="0069525B" w:rsidRDefault="0087743B" w:rsidP="004E64A8">
      <w:pPr>
        <w:pStyle w:val="Textonotapie"/>
        <w:jc w:val="both"/>
        <w:rPr>
          <w:rFonts w:ascii="Verdana" w:hAnsi="Verdana"/>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r>
      <w:r w:rsidRPr="0069525B">
        <w:rPr>
          <w:rFonts w:ascii="Verdana" w:hAnsi="Verdana"/>
          <w:i/>
          <w:sz w:val="16"/>
          <w:szCs w:val="16"/>
        </w:rPr>
        <w:t>Cfr. Caso Velásquez Rodríguez Vs. Honduras. Reparaciones y Costas</w:t>
      </w:r>
      <w:r w:rsidRPr="0069525B">
        <w:rPr>
          <w:rFonts w:ascii="Verdana" w:hAnsi="Verdana"/>
          <w:sz w:val="16"/>
          <w:szCs w:val="16"/>
        </w:rPr>
        <w:t xml:space="preserve">. Sentencia de 21 de julio de 1989. Serie C No. 7, párr. 25, </w:t>
      </w:r>
      <w:r w:rsidRPr="0069525B">
        <w:rPr>
          <w:rFonts w:ascii="Verdana" w:hAnsi="Verdana"/>
          <w:i/>
          <w:sz w:val="16"/>
          <w:szCs w:val="16"/>
        </w:rPr>
        <w:t xml:space="preserve">y </w:t>
      </w:r>
      <w:r w:rsidRPr="00E014EB">
        <w:rPr>
          <w:rFonts w:ascii="Verdana" w:hAnsi="Verdana"/>
          <w:i/>
          <w:sz w:val="16"/>
          <w:szCs w:val="16"/>
        </w:rPr>
        <w:t xml:space="preserve">Caso </w:t>
      </w:r>
      <w:proofErr w:type="spellStart"/>
      <w:r w:rsidRPr="00E014EB">
        <w:rPr>
          <w:rFonts w:ascii="Verdana" w:hAnsi="Verdana"/>
          <w:i/>
          <w:sz w:val="16"/>
          <w:szCs w:val="16"/>
        </w:rPr>
        <w:t>Guachalá</w:t>
      </w:r>
      <w:proofErr w:type="spellEnd"/>
      <w:r w:rsidRPr="00E014EB">
        <w:rPr>
          <w:rFonts w:ascii="Verdana" w:hAnsi="Verdana"/>
          <w:i/>
          <w:sz w:val="16"/>
          <w:szCs w:val="16"/>
        </w:rPr>
        <w:t xml:space="preserve"> Chimbo y otros Vs. Ecuador</w:t>
      </w:r>
      <w:r>
        <w:rPr>
          <w:rFonts w:ascii="Verdana" w:hAnsi="Verdana"/>
          <w:sz w:val="16"/>
          <w:szCs w:val="16"/>
        </w:rPr>
        <w:t>, párr. 222.</w:t>
      </w:r>
    </w:p>
    <w:p w14:paraId="736A9070" w14:textId="77777777" w:rsidR="0087743B" w:rsidRPr="0069525B" w:rsidRDefault="0087743B" w:rsidP="004E64A8">
      <w:pPr>
        <w:pStyle w:val="Textonotapie"/>
        <w:jc w:val="both"/>
        <w:rPr>
          <w:rFonts w:ascii="Verdana" w:hAnsi="Verdana"/>
          <w:sz w:val="16"/>
          <w:szCs w:val="16"/>
        </w:rPr>
      </w:pPr>
    </w:p>
  </w:footnote>
  <w:footnote w:id="168">
    <w:p w14:paraId="5A34051C" w14:textId="2BFE41D3" w:rsidR="0087743B" w:rsidRPr="0069525B" w:rsidRDefault="0087743B" w:rsidP="004E64A8">
      <w:pPr>
        <w:pStyle w:val="Textonotapie"/>
        <w:jc w:val="both"/>
        <w:rPr>
          <w:rFonts w:ascii="Verdana" w:hAnsi="Verdana"/>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r>
      <w:r w:rsidRPr="0069525B">
        <w:rPr>
          <w:rFonts w:ascii="Verdana" w:hAnsi="Verdana"/>
          <w:i/>
          <w:sz w:val="16"/>
          <w:szCs w:val="16"/>
        </w:rPr>
        <w:t>Cfr. Caso de la Masacre de Las Dos Erres Vs. Guatemala, Excepción Preliminar, Fondo, Reparaciones y Costas</w:t>
      </w:r>
      <w:r w:rsidRPr="0069525B">
        <w:rPr>
          <w:rFonts w:ascii="Verdana" w:hAnsi="Verdana"/>
          <w:sz w:val="16"/>
          <w:szCs w:val="16"/>
        </w:rPr>
        <w:t xml:space="preserve">. Sentencia de 24 de noviembre de 2009. Serie C No. 211, párr. 226, y </w:t>
      </w:r>
      <w:r w:rsidRPr="00F55065">
        <w:rPr>
          <w:rFonts w:ascii="Verdana" w:hAnsi="Verdana"/>
          <w:i/>
          <w:sz w:val="16"/>
          <w:szCs w:val="16"/>
        </w:rPr>
        <w:t>Caso Vicky Hernández y otras Vs. Honduras</w:t>
      </w:r>
      <w:r>
        <w:rPr>
          <w:rFonts w:ascii="Verdana" w:hAnsi="Verdana"/>
          <w:sz w:val="16"/>
          <w:szCs w:val="16"/>
        </w:rPr>
        <w:t>, párr. 145</w:t>
      </w:r>
      <w:r w:rsidRPr="0069525B">
        <w:rPr>
          <w:rFonts w:ascii="Verdana" w:hAnsi="Verdana"/>
          <w:sz w:val="16"/>
          <w:szCs w:val="16"/>
        </w:rPr>
        <w:t>.</w:t>
      </w:r>
    </w:p>
    <w:p w14:paraId="18B4D6B8" w14:textId="77777777" w:rsidR="0087743B" w:rsidRPr="0069525B" w:rsidRDefault="0087743B" w:rsidP="004E64A8">
      <w:pPr>
        <w:pStyle w:val="Textonotapie"/>
        <w:jc w:val="both"/>
        <w:rPr>
          <w:rFonts w:ascii="Verdana" w:hAnsi="Verdana"/>
          <w:sz w:val="16"/>
          <w:szCs w:val="16"/>
        </w:rPr>
      </w:pPr>
    </w:p>
  </w:footnote>
  <w:footnote w:id="169">
    <w:p w14:paraId="6C9E189F" w14:textId="3FF9E008" w:rsidR="0087743B" w:rsidRPr="0069525B" w:rsidRDefault="0087743B" w:rsidP="004E64A8">
      <w:pPr>
        <w:pStyle w:val="Textonotapie"/>
        <w:jc w:val="both"/>
        <w:rPr>
          <w:rFonts w:ascii="Verdana" w:hAnsi="Verdana"/>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r>
      <w:r w:rsidRPr="0069525B">
        <w:rPr>
          <w:rFonts w:ascii="Verdana" w:hAnsi="Verdana"/>
          <w:i/>
          <w:sz w:val="16"/>
          <w:szCs w:val="16"/>
        </w:rPr>
        <w:t>Cfr. Caso Ticona Estrada y otros Vs. Bolivia. Fondo, Reparaciones y Costas</w:t>
      </w:r>
      <w:r w:rsidRPr="0069525B">
        <w:rPr>
          <w:rFonts w:ascii="Verdana" w:hAnsi="Verdana"/>
          <w:sz w:val="16"/>
          <w:szCs w:val="16"/>
        </w:rPr>
        <w:t xml:space="preserve">. Sentencia de 27 de noviembre de 2008. Serie C No. 191, párr. 110, y </w:t>
      </w:r>
      <w:r w:rsidRPr="00E014EB">
        <w:rPr>
          <w:rFonts w:ascii="Verdana" w:hAnsi="Verdana"/>
          <w:i/>
          <w:sz w:val="16"/>
          <w:szCs w:val="16"/>
        </w:rPr>
        <w:t xml:space="preserve">Caso </w:t>
      </w:r>
      <w:proofErr w:type="spellStart"/>
      <w:r w:rsidRPr="00E014EB">
        <w:rPr>
          <w:rFonts w:ascii="Verdana" w:hAnsi="Verdana"/>
          <w:i/>
          <w:sz w:val="16"/>
          <w:szCs w:val="16"/>
        </w:rPr>
        <w:t>Guachalá</w:t>
      </w:r>
      <w:proofErr w:type="spellEnd"/>
      <w:r w:rsidRPr="00E014EB">
        <w:rPr>
          <w:rFonts w:ascii="Verdana" w:hAnsi="Verdana"/>
          <w:i/>
          <w:sz w:val="16"/>
          <w:szCs w:val="16"/>
        </w:rPr>
        <w:t xml:space="preserve"> Chimbo y otros Vs. Ecuador</w:t>
      </w:r>
      <w:r w:rsidRPr="00473385">
        <w:rPr>
          <w:rFonts w:ascii="Verdana" w:hAnsi="Verdana"/>
          <w:sz w:val="16"/>
          <w:szCs w:val="16"/>
        </w:rPr>
        <w:t xml:space="preserve">, </w:t>
      </w:r>
      <w:r>
        <w:rPr>
          <w:rFonts w:ascii="Verdana" w:hAnsi="Verdana"/>
          <w:sz w:val="16"/>
          <w:szCs w:val="16"/>
        </w:rPr>
        <w:t>párr. 222.</w:t>
      </w:r>
    </w:p>
    <w:p w14:paraId="08238C6B" w14:textId="77777777" w:rsidR="0087743B" w:rsidRPr="0069525B" w:rsidRDefault="0087743B" w:rsidP="004E64A8">
      <w:pPr>
        <w:pStyle w:val="Textonotapie"/>
        <w:jc w:val="both"/>
        <w:rPr>
          <w:rFonts w:ascii="Verdana" w:hAnsi="Verdana"/>
          <w:sz w:val="16"/>
          <w:szCs w:val="16"/>
        </w:rPr>
      </w:pPr>
    </w:p>
  </w:footnote>
  <w:footnote w:id="170">
    <w:p w14:paraId="56CE93B3" w14:textId="11C856EA" w:rsidR="0087743B" w:rsidRPr="0069525B" w:rsidRDefault="0087743B" w:rsidP="004E64A8">
      <w:pPr>
        <w:pStyle w:val="Textonotapie"/>
        <w:jc w:val="both"/>
        <w:rPr>
          <w:rFonts w:ascii="Verdana" w:hAnsi="Verdana"/>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r>
      <w:r w:rsidRPr="0069525B">
        <w:rPr>
          <w:rFonts w:ascii="Verdana" w:hAnsi="Verdana"/>
          <w:i/>
          <w:sz w:val="16"/>
          <w:szCs w:val="16"/>
        </w:rPr>
        <w:t>Cfr. Caso Velásquez Rodríguez Vs. Honduras. Reparaciones y Costas</w:t>
      </w:r>
      <w:r w:rsidRPr="0069525B">
        <w:rPr>
          <w:rFonts w:ascii="Verdana" w:hAnsi="Verdana"/>
          <w:sz w:val="16"/>
          <w:szCs w:val="16"/>
        </w:rPr>
        <w:t xml:space="preserve">, </w:t>
      </w:r>
      <w:proofErr w:type="spellStart"/>
      <w:r w:rsidRPr="0069525B">
        <w:rPr>
          <w:rFonts w:ascii="Verdana" w:hAnsi="Verdana"/>
          <w:sz w:val="16"/>
          <w:szCs w:val="16"/>
        </w:rPr>
        <w:t>párrs</w:t>
      </w:r>
      <w:proofErr w:type="spellEnd"/>
      <w:r w:rsidRPr="0069525B">
        <w:rPr>
          <w:rFonts w:ascii="Verdana" w:hAnsi="Verdana"/>
          <w:sz w:val="16"/>
          <w:szCs w:val="16"/>
        </w:rPr>
        <w:t xml:space="preserve">. 25 a 27, y </w:t>
      </w:r>
      <w:r w:rsidRPr="00E014EB">
        <w:rPr>
          <w:rFonts w:ascii="Verdana" w:hAnsi="Verdana"/>
          <w:i/>
          <w:sz w:val="16"/>
          <w:szCs w:val="16"/>
        </w:rPr>
        <w:t xml:space="preserve">Caso </w:t>
      </w:r>
      <w:proofErr w:type="spellStart"/>
      <w:r w:rsidRPr="00E014EB">
        <w:rPr>
          <w:rFonts w:ascii="Verdana" w:hAnsi="Verdana"/>
          <w:i/>
          <w:sz w:val="16"/>
          <w:szCs w:val="16"/>
        </w:rPr>
        <w:t>Guachalá</w:t>
      </w:r>
      <w:proofErr w:type="spellEnd"/>
      <w:r w:rsidRPr="00E014EB">
        <w:rPr>
          <w:rFonts w:ascii="Verdana" w:hAnsi="Verdana"/>
          <w:i/>
          <w:sz w:val="16"/>
          <w:szCs w:val="16"/>
        </w:rPr>
        <w:t xml:space="preserve"> Chimbo y otros Vs. Ecuador</w:t>
      </w:r>
      <w:r w:rsidRPr="00473385">
        <w:rPr>
          <w:rFonts w:ascii="Verdana" w:hAnsi="Verdana"/>
          <w:sz w:val="16"/>
          <w:szCs w:val="16"/>
        </w:rPr>
        <w:t xml:space="preserve">, </w:t>
      </w:r>
      <w:r>
        <w:rPr>
          <w:rFonts w:ascii="Verdana" w:hAnsi="Verdana"/>
          <w:sz w:val="16"/>
          <w:szCs w:val="16"/>
        </w:rPr>
        <w:t>párr. 223</w:t>
      </w:r>
      <w:r w:rsidRPr="0069525B">
        <w:rPr>
          <w:rFonts w:ascii="Verdana" w:hAnsi="Verdana"/>
          <w:sz w:val="16"/>
          <w:szCs w:val="16"/>
        </w:rPr>
        <w:t>.</w:t>
      </w:r>
    </w:p>
    <w:p w14:paraId="4E052806" w14:textId="77777777" w:rsidR="0087743B" w:rsidRPr="0069525B" w:rsidRDefault="0087743B" w:rsidP="004E64A8">
      <w:pPr>
        <w:pStyle w:val="Textonotapie"/>
        <w:jc w:val="both"/>
        <w:rPr>
          <w:rFonts w:ascii="Verdana" w:hAnsi="Verdana"/>
          <w:sz w:val="16"/>
          <w:szCs w:val="16"/>
        </w:rPr>
      </w:pPr>
    </w:p>
  </w:footnote>
  <w:footnote w:id="171">
    <w:p w14:paraId="36DD3A88" w14:textId="77777777" w:rsidR="0087743B" w:rsidRPr="0069525B" w:rsidRDefault="0087743B" w:rsidP="004E64A8">
      <w:pPr>
        <w:pStyle w:val="Textonotapie"/>
        <w:jc w:val="both"/>
        <w:rPr>
          <w:rFonts w:ascii="Verdana" w:hAnsi="Verdana"/>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t>La Corte entiende que este compromiso de Venezuela abarca el deber de informar de forma oportuna a la Corte sobre la implementación efectiva de las medidas de reparación que se establecen en esta Sentencia.</w:t>
      </w:r>
    </w:p>
    <w:p w14:paraId="601B50C4" w14:textId="77777777" w:rsidR="0087743B" w:rsidRPr="0069525B" w:rsidRDefault="0087743B" w:rsidP="004E64A8">
      <w:pPr>
        <w:pStyle w:val="Textonotapie"/>
        <w:jc w:val="both"/>
        <w:rPr>
          <w:rFonts w:ascii="Verdana" w:hAnsi="Verdana"/>
          <w:sz w:val="16"/>
          <w:szCs w:val="16"/>
        </w:rPr>
      </w:pPr>
    </w:p>
  </w:footnote>
  <w:footnote w:id="172">
    <w:p w14:paraId="12F6557C" w14:textId="79F087D1" w:rsidR="0087743B" w:rsidRDefault="0087743B" w:rsidP="004E64A8">
      <w:pPr>
        <w:jc w:val="both"/>
        <w:rPr>
          <w:sz w:val="16"/>
          <w:szCs w:val="16"/>
          <w:lang w:val="es-CR"/>
        </w:rPr>
      </w:pPr>
      <w:r w:rsidRPr="00542071">
        <w:rPr>
          <w:rStyle w:val="Refdenotaalpie"/>
          <w:sz w:val="16"/>
          <w:szCs w:val="16"/>
        </w:rPr>
        <w:footnoteRef/>
      </w:r>
      <w:r w:rsidRPr="00542071">
        <w:rPr>
          <w:sz w:val="16"/>
          <w:szCs w:val="16"/>
        </w:rPr>
        <w:t xml:space="preserve">  </w:t>
      </w:r>
      <w:r w:rsidRPr="00542071">
        <w:rPr>
          <w:sz w:val="16"/>
          <w:szCs w:val="16"/>
        </w:rPr>
        <w:tab/>
      </w:r>
      <w:r w:rsidRPr="008E0108">
        <w:rPr>
          <w:i/>
          <w:sz w:val="16"/>
          <w:szCs w:val="16"/>
        </w:rPr>
        <w:t>Cfr.</w:t>
      </w:r>
      <w:r w:rsidRPr="008E0108">
        <w:rPr>
          <w:sz w:val="16"/>
          <w:szCs w:val="16"/>
        </w:rPr>
        <w:t xml:space="preserve"> Fiscalía 17, Oficio FAL 17-229 -2016, de 1 de abril de 2016, y </w:t>
      </w:r>
      <w:r w:rsidRPr="008E0108">
        <w:rPr>
          <w:sz w:val="16"/>
          <w:szCs w:val="16"/>
          <w:lang w:val="es-CR"/>
        </w:rPr>
        <w:t>solicitud de sobreseimiento emitida por la Fiscalía 17.</w:t>
      </w:r>
    </w:p>
    <w:p w14:paraId="0528BF11" w14:textId="77777777" w:rsidR="0087743B" w:rsidRDefault="0087743B" w:rsidP="004E64A8">
      <w:pPr>
        <w:jc w:val="both"/>
      </w:pPr>
    </w:p>
  </w:footnote>
  <w:footnote w:id="173">
    <w:p w14:paraId="0F3A2734" w14:textId="25FF4E38" w:rsidR="0087743B" w:rsidRDefault="0087743B" w:rsidP="004E64A8">
      <w:pPr>
        <w:pStyle w:val="Textonotapie"/>
        <w:jc w:val="both"/>
      </w:pPr>
      <w:r w:rsidRPr="00542071">
        <w:rPr>
          <w:rStyle w:val="Refdenotaalpie"/>
          <w:rFonts w:ascii="Verdana" w:hAnsi="Verdana"/>
          <w:sz w:val="16"/>
          <w:szCs w:val="16"/>
        </w:rPr>
        <w:footnoteRef/>
      </w:r>
      <w:r w:rsidRPr="00542071">
        <w:rPr>
          <w:rFonts w:ascii="Verdana" w:hAnsi="Verdana"/>
          <w:sz w:val="16"/>
          <w:szCs w:val="16"/>
        </w:rPr>
        <w:tab/>
      </w:r>
      <w:r w:rsidRPr="008E0108">
        <w:rPr>
          <w:rFonts w:ascii="Verdana" w:hAnsi="Verdana"/>
          <w:sz w:val="16"/>
          <w:szCs w:val="16"/>
        </w:rPr>
        <w:t xml:space="preserve">Esta orden incluye los hechos relativos a la retención del señor Guerrero por autoridades el 23 de octubre de 2002, así como los hechos de 27 de septiembre de 2002, en que fue allanada su casa por funcionarios policiales, circunstancia en que </w:t>
      </w:r>
      <w:r w:rsidRPr="008E0108">
        <w:rPr>
          <w:rFonts w:ascii="Verdana" w:hAnsi="Verdana" w:cs="Arial"/>
          <w:sz w:val="16"/>
          <w:szCs w:val="16"/>
        </w:rPr>
        <w:t xml:space="preserve">su madre y su hermana resultaron detenidas. </w:t>
      </w:r>
      <w:r>
        <w:rPr>
          <w:rFonts w:ascii="Verdana" w:hAnsi="Verdana" w:cs="Arial"/>
          <w:sz w:val="16"/>
          <w:szCs w:val="16"/>
        </w:rPr>
        <w:t>S</w:t>
      </w:r>
      <w:r w:rsidRPr="008E0108">
        <w:rPr>
          <w:rFonts w:ascii="Verdana" w:hAnsi="Verdana" w:cs="Arial"/>
          <w:sz w:val="16"/>
          <w:szCs w:val="16"/>
        </w:rPr>
        <w:t>i bien la Corte no efectuó un examen autónomo de dichas circunstancias, ni de la posible afectación a los derechos de las dos mujeres, las consideró como parte del hostigamiento policial contra Jimmy Guerrero.</w:t>
      </w:r>
    </w:p>
    <w:p w14:paraId="44FEAF5C" w14:textId="77777777" w:rsidR="0087743B" w:rsidRDefault="0087743B" w:rsidP="004E64A8">
      <w:pPr>
        <w:pStyle w:val="Textonotapie"/>
      </w:pPr>
    </w:p>
  </w:footnote>
  <w:footnote w:id="174">
    <w:p w14:paraId="799A4279" w14:textId="77777777" w:rsidR="0087743B" w:rsidRPr="0069525B" w:rsidRDefault="0087743B" w:rsidP="004E64A8">
      <w:pPr>
        <w:pStyle w:val="Textonotapie"/>
        <w:jc w:val="both"/>
        <w:rPr>
          <w:rFonts w:ascii="Verdana" w:hAnsi="Verdana" w:cs="Arial"/>
          <w:sz w:val="16"/>
          <w:szCs w:val="16"/>
          <w:shd w:val="clear" w:color="auto" w:fill="FFFFFF"/>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r>
      <w:r w:rsidRPr="0069525B">
        <w:rPr>
          <w:rFonts w:ascii="Verdana" w:hAnsi="Verdana"/>
          <w:i/>
          <w:sz w:val="16"/>
          <w:szCs w:val="16"/>
        </w:rPr>
        <w:t>Cfr.</w:t>
      </w:r>
      <w:r>
        <w:rPr>
          <w:rFonts w:ascii="Verdana" w:hAnsi="Verdana"/>
          <w:i/>
          <w:sz w:val="16"/>
          <w:szCs w:val="16"/>
        </w:rPr>
        <w:t>,</w:t>
      </w:r>
      <w:r w:rsidRPr="0069525B">
        <w:rPr>
          <w:rFonts w:ascii="Verdana" w:hAnsi="Verdana"/>
          <w:i/>
          <w:sz w:val="16"/>
          <w:szCs w:val="16"/>
        </w:rPr>
        <w:t xml:space="preserve"> </w:t>
      </w:r>
      <w:r w:rsidRPr="0069525B">
        <w:rPr>
          <w:rFonts w:ascii="Verdana" w:hAnsi="Verdana"/>
          <w:sz w:val="16"/>
          <w:szCs w:val="16"/>
        </w:rPr>
        <w:t xml:space="preserve">en similar sentido, </w:t>
      </w:r>
      <w:r w:rsidRPr="0069525B">
        <w:rPr>
          <w:rFonts w:ascii="Verdana" w:hAnsi="Verdana" w:cs="Arial"/>
          <w:i/>
          <w:sz w:val="16"/>
          <w:szCs w:val="16"/>
          <w:shd w:val="clear" w:color="auto" w:fill="FFFFFF"/>
        </w:rPr>
        <w:t xml:space="preserve">Caso Gutiérrez y familia Vs. Argentina. Fondo, Reparaciones y Costas. </w:t>
      </w:r>
      <w:r w:rsidRPr="0069525B">
        <w:rPr>
          <w:rFonts w:ascii="Verdana" w:hAnsi="Verdana" w:cs="Arial"/>
          <w:sz w:val="16"/>
          <w:szCs w:val="16"/>
          <w:shd w:val="clear" w:color="auto" w:fill="FFFFFF"/>
        </w:rPr>
        <w:t>Sentencia de 25 de noviembre de 2013. Serie C No. 271, párr. 154.</w:t>
      </w:r>
    </w:p>
    <w:p w14:paraId="2DF504EF" w14:textId="77777777" w:rsidR="0087743B" w:rsidRPr="0069525B" w:rsidRDefault="0087743B" w:rsidP="004E64A8">
      <w:pPr>
        <w:pStyle w:val="Textonotapie"/>
        <w:jc w:val="both"/>
        <w:rPr>
          <w:rFonts w:ascii="Verdana" w:hAnsi="Verdana"/>
          <w:sz w:val="16"/>
          <w:szCs w:val="16"/>
        </w:rPr>
      </w:pPr>
    </w:p>
  </w:footnote>
  <w:footnote w:id="175">
    <w:p w14:paraId="2BCB0ABC" w14:textId="1BF38D61" w:rsidR="0087743B" w:rsidRDefault="0087743B" w:rsidP="00A24B4D">
      <w:pPr>
        <w:tabs>
          <w:tab w:val="left" w:pos="426"/>
          <w:tab w:val="left" w:pos="567"/>
        </w:tabs>
        <w:jc w:val="both"/>
        <w:rPr>
          <w:sz w:val="16"/>
          <w:szCs w:val="16"/>
        </w:rPr>
      </w:pPr>
      <w:r w:rsidRPr="00321CB6">
        <w:rPr>
          <w:rStyle w:val="Refdenotaalpie"/>
          <w:sz w:val="16"/>
          <w:szCs w:val="16"/>
        </w:rPr>
        <w:footnoteRef/>
      </w:r>
      <w:r w:rsidRPr="00321CB6">
        <w:rPr>
          <w:sz w:val="16"/>
          <w:szCs w:val="16"/>
          <w:lang w:val="es-CR"/>
        </w:rPr>
        <w:t xml:space="preserve"> </w:t>
      </w:r>
      <w:r w:rsidRPr="00321CB6">
        <w:rPr>
          <w:sz w:val="16"/>
          <w:szCs w:val="16"/>
          <w:lang w:val="es-MX"/>
        </w:rPr>
        <w:t xml:space="preserve"> </w:t>
      </w:r>
      <w:r w:rsidRPr="00321CB6">
        <w:rPr>
          <w:sz w:val="16"/>
          <w:szCs w:val="16"/>
          <w:lang w:val="es-MX"/>
        </w:rPr>
        <w:tab/>
      </w:r>
      <w:r w:rsidRPr="00321CB6">
        <w:rPr>
          <w:sz w:val="16"/>
          <w:szCs w:val="16"/>
          <w:lang w:val="es-MX"/>
        </w:rPr>
        <w:tab/>
      </w:r>
      <w:r>
        <w:rPr>
          <w:sz w:val="16"/>
          <w:szCs w:val="16"/>
          <w:lang w:val="es-MX"/>
        </w:rPr>
        <w:t xml:space="preserve">  </w:t>
      </w:r>
      <w:r w:rsidRPr="00321CB6">
        <w:rPr>
          <w:i/>
          <w:iCs/>
          <w:sz w:val="16"/>
          <w:szCs w:val="16"/>
          <w:lang w:val="es-MX"/>
        </w:rPr>
        <w:t xml:space="preserve">Cfr. Caso Barrios Altos Vs. Perú. Reparaciones y Costas. </w:t>
      </w:r>
      <w:r w:rsidRPr="00321CB6">
        <w:rPr>
          <w:sz w:val="16"/>
          <w:szCs w:val="16"/>
          <w:lang w:val="es-MX"/>
        </w:rPr>
        <w:t xml:space="preserve">Sentencia de 30 de noviembre de 2001. Serie C No. 87, párr. 42 y 45, y </w:t>
      </w:r>
      <w:r w:rsidRPr="00E014EB">
        <w:rPr>
          <w:i/>
          <w:sz w:val="16"/>
          <w:szCs w:val="16"/>
        </w:rPr>
        <w:t xml:space="preserve">Caso </w:t>
      </w:r>
      <w:proofErr w:type="spellStart"/>
      <w:r w:rsidRPr="00E014EB">
        <w:rPr>
          <w:i/>
          <w:sz w:val="16"/>
          <w:szCs w:val="16"/>
        </w:rPr>
        <w:t>Guachalá</w:t>
      </w:r>
      <w:proofErr w:type="spellEnd"/>
      <w:r w:rsidRPr="00E014EB">
        <w:rPr>
          <w:i/>
          <w:sz w:val="16"/>
          <w:szCs w:val="16"/>
        </w:rPr>
        <w:t xml:space="preserve"> Chimbo y otros Vs. Ecuador</w:t>
      </w:r>
      <w:r w:rsidRPr="00473385">
        <w:rPr>
          <w:sz w:val="16"/>
          <w:szCs w:val="16"/>
        </w:rPr>
        <w:t xml:space="preserve">, </w:t>
      </w:r>
      <w:r>
        <w:rPr>
          <w:sz w:val="16"/>
          <w:szCs w:val="16"/>
        </w:rPr>
        <w:t>párr. 234.</w:t>
      </w:r>
    </w:p>
    <w:p w14:paraId="69837FC1" w14:textId="77777777" w:rsidR="0087743B" w:rsidRPr="00321CB6" w:rsidRDefault="0087743B" w:rsidP="00A24B4D">
      <w:pPr>
        <w:tabs>
          <w:tab w:val="left" w:pos="426"/>
          <w:tab w:val="left" w:pos="567"/>
        </w:tabs>
        <w:jc w:val="both"/>
        <w:rPr>
          <w:rFonts w:eastAsia="Times New Roman"/>
          <w:sz w:val="16"/>
          <w:szCs w:val="16"/>
          <w:lang w:val="es-CR"/>
        </w:rPr>
      </w:pPr>
    </w:p>
  </w:footnote>
  <w:footnote w:id="176">
    <w:p w14:paraId="276793D5" w14:textId="74D4FB55" w:rsidR="0087743B" w:rsidRPr="0069525B" w:rsidRDefault="0087743B" w:rsidP="00A24B4D">
      <w:pPr>
        <w:pStyle w:val="Textonotapie"/>
        <w:jc w:val="both"/>
        <w:rPr>
          <w:rFonts w:ascii="Verdana" w:hAnsi="Verdana"/>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r>
      <w:r w:rsidRPr="0069525B">
        <w:rPr>
          <w:rFonts w:ascii="Verdana" w:hAnsi="Verdana"/>
          <w:i/>
          <w:sz w:val="16"/>
          <w:szCs w:val="16"/>
        </w:rPr>
        <w:t>Cfr. Caso Cantoral Benavides Vs. Perú. Reparaciones y Costas</w:t>
      </w:r>
      <w:r w:rsidRPr="0069525B">
        <w:rPr>
          <w:rFonts w:ascii="Verdana" w:hAnsi="Verdana"/>
          <w:sz w:val="16"/>
          <w:szCs w:val="16"/>
        </w:rPr>
        <w:t xml:space="preserve">. Sentencia de 3 de diciembre de 2001. Serie C No. 88, párr. 79, y </w:t>
      </w:r>
      <w:r w:rsidRPr="00E014EB">
        <w:rPr>
          <w:rFonts w:ascii="Verdana" w:hAnsi="Verdana"/>
          <w:i/>
          <w:sz w:val="16"/>
          <w:szCs w:val="16"/>
        </w:rPr>
        <w:t xml:space="preserve">Caso </w:t>
      </w:r>
      <w:proofErr w:type="spellStart"/>
      <w:r w:rsidRPr="00E014EB">
        <w:rPr>
          <w:rFonts w:ascii="Verdana" w:hAnsi="Verdana"/>
          <w:i/>
          <w:sz w:val="16"/>
          <w:szCs w:val="16"/>
        </w:rPr>
        <w:t>Guachalá</w:t>
      </w:r>
      <w:proofErr w:type="spellEnd"/>
      <w:r w:rsidRPr="00E014EB">
        <w:rPr>
          <w:rFonts w:ascii="Verdana" w:hAnsi="Verdana"/>
          <w:i/>
          <w:sz w:val="16"/>
          <w:szCs w:val="16"/>
        </w:rPr>
        <w:t xml:space="preserve"> Chimbo y otros Vs. Ecuador</w:t>
      </w:r>
      <w:r w:rsidRPr="00473385">
        <w:rPr>
          <w:rFonts w:ascii="Verdana" w:hAnsi="Verdana"/>
          <w:sz w:val="16"/>
          <w:szCs w:val="16"/>
        </w:rPr>
        <w:t xml:space="preserve">, </w:t>
      </w:r>
      <w:r>
        <w:rPr>
          <w:rFonts w:ascii="Verdana" w:hAnsi="Verdana"/>
          <w:sz w:val="16"/>
          <w:szCs w:val="16"/>
        </w:rPr>
        <w:t>párr. 236.</w:t>
      </w:r>
    </w:p>
    <w:p w14:paraId="4B9F1B6F" w14:textId="77777777" w:rsidR="0087743B" w:rsidRPr="0069525B" w:rsidRDefault="0087743B" w:rsidP="004E64A8">
      <w:pPr>
        <w:pStyle w:val="Textonotapie"/>
        <w:jc w:val="both"/>
        <w:rPr>
          <w:rFonts w:ascii="Verdana" w:hAnsi="Verdana"/>
          <w:sz w:val="16"/>
          <w:szCs w:val="16"/>
        </w:rPr>
      </w:pPr>
    </w:p>
  </w:footnote>
  <w:footnote w:id="177">
    <w:p w14:paraId="31EC4EFC" w14:textId="4A7CEF95" w:rsidR="0087743B" w:rsidRDefault="0087743B" w:rsidP="004E64A8">
      <w:pPr>
        <w:pStyle w:val="Textonotapie"/>
        <w:jc w:val="both"/>
        <w:rPr>
          <w:rFonts w:ascii="Verdana" w:hAnsi="Verdana"/>
          <w:sz w:val="16"/>
          <w:szCs w:val="16"/>
        </w:rPr>
      </w:pPr>
      <w:r w:rsidRPr="00A24B4D">
        <w:rPr>
          <w:rStyle w:val="Refdenotaalpie"/>
          <w:rFonts w:ascii="Verdana" w:hAnsi="Verdana"/>
          <w:sz w:val="16"/>
          <w:szCs w:val="16"/>
        </w:rPr>
        <w:footnoteRef/>
      </w:r>
      <w:r w:rsidRPr="00A24B4D">
        <w:rPr>
          <w:rFonts w:ascii="Verdana" w:hAnsi="Verdana"/>
          <w:sz w:val="16"/>
          <w:szCs w:val="16"/>
        </w:rPr>
        <w:t xml:space="preserve"> </w:t>
      </w:r>
      <w:r w:rsidRPr="00A24B4D">
        <w:rPr>
          <w:rFonts w:ascii="Verdana" w:hAnsi="Verdana"/>
          <w:sz w:val="16"/>
          <w:szCs w:val="16"/>
        </w:rPr>
        <w:tab/>
      </w:r>
      <w:r w:rsidRPr="00A24B4D">
        <w:rPr>
          <w:rFonts w:ascii="Verdana" w:hAnsi="Verdana"/>
          <w:i/>
          <w:iCs/>
          <w:sz w:val="16"/>
          <w:szCs w:val="16"/>
        </w:rPr>
        <w:t xml:space="preserve">Cfr. </w:t>
      </w:r>
      <w:r w:rsidRPr="00A24B4D">
        <w:rPr>
          <w:rFonts w:ascii="Verdana" w:hAnsi="Verdana"/>
          <w:sz w:val="16"/>
          <w:szCs w:val="16"/>
        </w:rPr>
        <w:t xml:space="preserve">Declaración oral de Jean Carlos Guerrero Meléndez y declaraciones escritas de Nieves Ramón Guerrero Pérez, Emilia Coromoto Meléndez, Franklin Felipe Guerrero Meléndez, </w:t>
      </w:r>
      <w:proofErr w:type="spellStart"/>
      <w:r w:rsidRPr="00A24B4D">
        <w:rPr>
          <w:rFonts w:ascii="Verdana" w:hAnsi="Verdana"/>
          <w:sz w:val="16"/>
          <w:szCs w:val="16"/>
        </w:rPr>
        <w:t>Jiannibeth</w:t>
      </w:r>
      <w:proofErr w:type="spellEnd"/>
      <w:r w:rsidRPr="00A24B4D">
        <w:rPr>
          <w:rFonts w:ascii="Verdana" w:hAnsi="Verdana"/>
          <w:sz w:val="16"/>
          <w:szCs w:val="16"/>
        </w:rPr>
        <w:t xml:space="preserve"> </w:t>
      </w:r>
      <w:proofErr w:type="spellStart"/>
      <w:r w:rsidRPr="00A24B4D">
        <w:rPr>
          <w:rFonts w:ascii="Verdana" w:hAnsi="Verdana"/>
          <w:sz w:val="16"/>
          <w:szCs w:val="16"/>
        </w:rPr>
        <w:t>Stephannie</w:t>
      </w:r>
      <w:proofErr w:type="spellEnd"/>
      <w:r w:rsidRPr="00A24B4D">
        <w:rPr>
          <w:rFonts w:ascii="Verdana" w:hAnsi="Verdana"/>
          <w:sz w:val="16"/>
          <w:szCs w:val="16"/>
        </w:rPr>
        <w:t xml:space="preserve"> Guerrero Colina (expediente de prueba, fs. 11448 a 11451), Yarelis Mercedes Guerrero Meléndez, </w:t>
      </w:r>
      <w:proofErr w:type="spellStart"/>
      <w:r w:rsidRPr="00A24B4D">
        <w:rPr>
          <w:rFonts w:ascii="Verdana" w:hAnsi="Verdana"/>
          <w:sz w:val="16"/>
          <w:szCs w:val="16"/>
        </w:rPr>
        <w:t>Fraily</w:t>
      </w:r>
      <w:proofErr w:type="spellEnd"/>
      <w:r w:rsidRPr="00A24B4D">
        <w:rPr>
          <w:rFonts w:ascii="Verdana" w:hAnsi="Verdana"/>
          <w:sz w:val="16"/>
          <w:szCs w:val="16"/>
        </w:rPr>
        <w:t xml:space="preserve"> </w:t>
      </w:r>
      <w:proofErr w:type="spellStart"/>
      <w:r w:rsidRPr="00A24B4D">
        <w:rPr>
          <w:rFonts w:ascii="Verdana" w:hAnsi="Verdana"/>
          <w:sz w:val="16"/>
          <w:szCs w:val="16"/>
        </w:rPr>
        <w:t>Danaee</w:t>
      </w:r>
      <w:proofErr w:type="spellEnd"/>
      <w:r w:rsidRPr="00A24B4D">
        <w:rPr>
          <w:rFonts w:ascii="Verdana" w:hAnsi="Verdana"/>
          <w:sz w:val="16"/>
          <w:szCs w:val="16"/>
        </w:rPr>
        <w:t xml:space="preserve"> Guerrero Chirinos (expediente de prueba, fs. 11465 a 11469) y </w:t>
      </w:r>
      <w:proofErr w:type="spellStart"/>
      <w:r w:rsidRPr="00A24B4D">
        <w:rPr>
          <w:rFonts w:ascii="Verdana" w:hAnsi="Verdana"/>
          <w:sz w:val="16"/>
          <w:szCs w:val="16"/>
        </w:rPr>
        <w:t>Soleida</w:t>
      </w:r>
      <w:proofErr w:type="spellEnd"/>
      <w:r w:rsidRPr="00A24B4D">
        <w:rPr>
          <w:rFonts w:ascii="Verdana" w:hAnsi="Verdana"/>
          <w:sz w:val="16"/>
          <w:szCs w:val="16"/>
        </w:rPr>
        <w:t xml:space="preserve"> Morillo (expediente de prueba, fs.11471 a 11474).</w:t>
      </w:r>
    </w:p>
    <w:p w14:paraId="35FFF761" w14:textId="77777777" w:rsidR="0087743B" w:rsidRPr="00A24B4D" w:rsidRDefault="0087743B" w:rsidP="004E64A8">
      <w:pPr>
        <w:pStyle w:val="Textonotapie"/>
        <w:jc w:val="both"/>
        <w:rPr>
          <w:rFonts w:ascii="Verdana" w:hAnsi="Verdana"/>
          <w:sz w:val="16"/>
          <w:szCs w:val="16"/>
        </w:rPr>
      </w:pPr>
    </w:p>
  </w:footnote>
  <w:footnote w:id="178">
    <w:p w14:paraId="519EF555" w14:textId="7E29B38E" w:rsidR="0087743B" w:rsidRPr="00542071" w:rsidRDefault="0087743B" w:rsidP="004E64A8">
      <w:pPr>
        <w:pStyle w:val="Textonotapie"/>
        <w:jc w:val="both"/>
        <w:rPr>
          <w:rFonts w:ascii="Verdana" w:hAnsi="Verdana"/>
          <w:sz w:val="16"/>
          <w:szCs w:val="16"/>
        </w:rPr>
      </w:pPr>
      <w:r w:rsidRPr="00542071">
        <w:rPr>
          <w:rStyle w:val="Refdenotaalpie"/>
          <w:rFonts w:ascii="Verdana" w:hAnsi="Verdana"/>
          <w:sz w:val="16"/>
          <w:szCs w:val="16"/>
        </w:rPr>
        <w:footnoteRef/>
      </w:r>
      <w:r w:rsidRPr="00542071">
        <w:rPr>
          <w:rFonts w:ascii="Verdana" w:hAnsi="Verdana"/>
          <w:sz w:val="16"/>
          <w:szCs w:val="16"/>
        </w:rPr>
        <w:tab/>
      </w:r>
      <w:r w:rsidRPr="00542071">
        <w:rPr>
          <w:rFonts w:ascii="Verdana" w:hAnsi="Verdana"/>
          <w:i/>
          <w:sz w:val="16"/>
          <w:szCs w:val="16"/>
        </w:rPr>
        <w:t>Cfr.</w:t>
      </w:r>
      <w:r w:rsidRPr="00542071">
        <w:rPr>
          <w:rFonts w:ascii="Verdana" w:hAnsi="Verdana"/>
          <w:sz w:val="16"/>
          <w:szCs w:val="16"/>
        </w:rPr>
        <w:t xml:space="preserve"> Declaración pericial de Ignacio Cano (expediente de prueba, fs. 11569 a 11572).</w:t>
      </w:r>
      <w:r w:rsidR="008524E9" w:rsidRPr="008524E9">
        <w:t xml:space="preserve"> </w:t>
      </w:r>
      <w:r w:rsidR="008524E9" w:rsidRPr="008524E9">
        <w:rPr>
          <w:rFonts w:ascii="Verdana" w:hAnsi="Verdana"/>
          <w:sz w:val="16"/>
          <w:szCs w:val="16"/>
        </w:rPr>
        <w:t xml:space="preserve">La Corte, igualmente, </w:t>
      </w:r>
      <w:r w:rsidR="008524E9">
        <w:rPr>
          <w:rFonts w:ascii="Verdana" w:hAnsi="Verdana"/>
          <w:sz w:val="16"/>
          <w:szCs w:val="16"/>
        </w:rPr>
        <w:t xml:space="preserve">en relación con las medidas de no repetición ordenadas, </w:t>
      </w:r>
      <w:r w:rsidR="008524E9" w:rsidRPr="008524E9">
        <w:rPr>
          <w:rFonts w:ascii="Verdana" w:hAnsi="Verdana"/>
          <w:sz w:val="16"/>
          <w:szCs w:val="16"/>
        </w:rPr>
        <w:t xml:space="preserve">deja sentado que advierte los señalamientos de </w:t>
      </w:r>
      <w:r w:rsidR="008524E9">
        <w:rPr>
          <w:rFonts w:ascii="Verdana" w:hAnsi="Verdana"/>
          <w:sz w:val="16"/>
          <w:szCs w:val="16"/>
        </w:rPr>
        <w:t xml:space="preserve">los peritos Briceño León y </w:t>
      </w:r>
      <w:proofErr w:type="spellStart"/>
      <w:r w:rsidR="008524E9">
        <w:rPr>
          <w:rFonts w:ascii="Verdana" w:hAnsi="Verdana"/>
          <w:sz w:val="16"/>
          <w:szCs w:val="16"/>
        </w:rPr>
        <w:t>Alston</w:t>
      </w:r>
      <w:proofErr w:type="spellEnd"/>
      <w:r w:rsidR="008524E9" w:rsidRPr="008524E9">
        <w:rPr>
          <w:rFonts w:ascii="Verdana" w:hAnsi="Verdana"/>
          <w:sz w:val="16"/>
          <w:szCs w:val="16"/>
        </w:rPr>
        <w:t xml:space="preserve"> sobre una situación actual en que actuaciones de fuerzas de seguridad resultan lesivas de derechos humanos en forma desproporcionada sobre personas en situación de pobreza (</w:t>
      </w:r>
      <w:r w:rsidR="008524E9" w:rsidRPr="008524E9">
        <w:rPr>
          <w:rFonts w:ascii="Verdana" w:hAnsi="Verdana"/>
          <w:i/>
          <w:sz w:val="16"/>
          <w:szCs w:val="16"/>
        </w:rPr>
        <w:t>cfr.</w:t>
      </w:r>
      <w:r w:rsidR="008524E9" w:rsidRPr="008524E9">
        <w:rPr>
          <w:rFonts w:ascii="Verdana" w:hAnsi="Verdana"/>
          <w:sz w:val="16"/>
          <w:szCs w:val="16"/>
        </w:rPr>
        <w:t xml:space="preserve"> declaraciones periciales de Roberto Briceño León y de Philip </w:t>
      </w:r>
      <w:proofErr w:type="spellStart"/>
      <w:r w:rsidR="008524E9" w:rsidRPr="008524E9">
        <w:rPr>
          <w:rFonts w:ascii="Verdana" w:hAnsi="Verdana"/>
          <w:sz w:val="16"/>
          <w:szCs w:val="16"/>
        </w:rPr>
        <w:t>Alston</w:t>
      </w:r>
      <w:proofErr w:type="spellEnd"/>
      <w:r w:rsidR="008524E9" w:rsidRPr="008524E9">
        <w:rPr>
          <w:rFonts w:ascii="Verdana" w:hAnsi="Verdana"/>
          <w:sz w:val="16"/>
          <w:szCs w:val="16"/>
        </w:rPr>
        <w:t>)</w:t>
      </w:r>
      <w:r w:rsidR="008524E9">
        <w:rPr>
          <w:rFonts w:ascii="Verdana" w:hAnsi="Verdana"/>
          <w:sz w:val="16"/>
          <w:szCs w:val="16"/>
        </w:rPr>
        <w:t>.</w:t>
      </w:r>
    </w:p>
  </w:footnote>
  <w:footnote w:id="179">
    <w:p w14:paraId="5A36AB46" w14:textId="0EFBEA6D" w:rsidR="0087743B" w:rsidRPr="0069525B" w:rsidRDefault="0087743B" w:rsidP="004E64A8">
      <w:pPr>
        <w:pStyle w:val="Textonotapie"/>
        <w:jc w:val="both"/>
        <w:rPr>
          <w:rFonts w:ascii="Verdana" w:hAnsi="Verdana"/>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r>
      <w:r w:rsidRPr="0069525B">
        <w:rPr>
          <w:rFonts w:ascii="Verdana" w:hAnsi="Verdana"/>
          <w:i/>
          <w:sz w:val="16"/>
          <w:szCs w:val="16"/>
        </w:rPr>
        <w:t xml:space="preserve">Cfr. Caso </w:t>
      </w:r>
      <w:proofErr w:type="spellStart"/>
      <w:r w:rsidRPr="0069525B">
        <w:rPr>
          <w:rFonts w:ascii="Verdana" w:hAnsi="Verdana"/>
          <w:i/>
          <w:sz w:val="16"/>
          <w:szCs w:val="16"/>
        </w:rPr>
        <w:t>Bámaca</w:t>
      </w:r>
      <w:proofErr w:type="spellEnd"/>
      <w:r w:rsidRPr="0069525B">
        <w:rPr>
          <w:rFonts w:ascii="Verdana" w:hAnsi="Verdana"/>
          <w:i/>
          <w:sz w:val="16"/>
          <w:szCs w:val="16"/>
        </w:rPr>
        <w:t xml:space="preserve"> </w:t>
      </w:r>
      <w:proofErr w:type="spellStart"/>
      <w:r w:rsidRPr="0069525B">
        <w:rPr>
          <w:rFonts w:ascii="Verdana" w:hAnsi="Verdana"/>
          <w:i/>
          <w:sz w:val="16"/>
          <w:szCs w:val="16"/>
        </w:rPr>
        <w:t>Velásquez</w:t>
      </w:r>
      <w:proofErr w:type="spellEnd"/>
      <w:r w:rsidRPr="0069525B">
        <w:rPr>
          <w:rFonts w:ascii="Verdana" w:hAnsi="Verdana"/>
          <w:i/>
          <w:sz w:val="16"/>
          <w:szCs w:val="16"/>
        </w:rPr>
        <w:t xml:space="preserve"> Vs. Guatemala. Reparaciones y Costas</w:t>
      </w:r>
      <w:r w:rsidRPr="0069525B">
        <w:rPr>
          <w:rFonts w:ascii="Verdana" w:hAnsi="Verdana"/>
          <w:sz w:val="16"/>
          <w:szCs w:val="16"/>
        </w:rPr>
        <w:t xml:space="preserve">. Sentencia de 22 de febrero de 2002. Serie C No. 91, párr. 43, </w:t>
      </w:r>
      <w:r w:rsidRPr="0069525B">
        <w:rPr>
          <w:rFonts w:ascii="Verdana" w:hAnsi="Verdana"/>
          <w:i/>
          <w:sz w:val="16"/>
          <w:szCs w:val="16"/>
        </w:rPr>
        <w:t xml:space="preserve">y </w:t>
      </w:r>
      <w:r w:rsidRPr="00E014EB">
        <w:rPr>
          <w:rFonts w:ascii="Verdana" w:hAnsi="Verdana"/>
          <w:i/>
          <w:sz w:val="16"/>
          <w:szCs w:val="16"/>
        </w:rPr>
        <w:t xml:space="preserve">Caso </w:t>
      </w:r>
      <w:proofErr w:type="spellStart"/>
      <w:r w:rsidRPr="00E014EB">
        <w:rPr>
          <w:rFonts w:ascii="Verdana" w:hAnsi="Verdana"/>
          <w:i/>
          <w:sz w:val="16"/>
          <w:szCs w:val="16"/>
        </w:rPr>
        <w:t>Guachalá</w:t>
      </w:r>
      <w:proofErr w:type="spellEnd"/>
      <w:r w:rsidRPr="00E014EB">
        <w:rPr>
          <w:rFonts w:ascii="Verdana" w:hAnsi="Verdana"/>
          <w:i/>
          <w:sz w:val="16"/>
          <w:szCs w:val="16"/>
        </w:rPr>
        <w:t xml:space="preserve"> Chimbo y otros Vs. Ecuador</w:t>
      </w:r>
      <w:r w:rsidRPr="00473385">
        <w:rPr>
          <w:rFonts w:ascii="Verdana" w:hAnsi="Verdana"/>
          <w:sz w:val="16"/>
          <w:szCs w:val="16"/>
        </w:rPr>
        <w:t xml:space="preserve">, </w:t>
      </w:r>
      <w:r>
        <w:rPr>
          <w:rFonts w:ascii="Verdana" w:hAnsi="Verdana"/>
          <w:sz w:val="16"/>
          <w:szCs w:val="16"/>
        </w:rPr>
        <w:t>párr. 257.</w:t>
      </w:r>
    </w:p>
    <w:p w14:paraId="7E557DC2" w14:textId="77777777" w:rsidR="0087743B" w:rsidRPr="0069525B" w:rsidRDefault="0087743B" w:rsidP="004E64A8">
      <w:pPr>
        <w:pStyle w:val="Textonotapie"/>
        <w:jc w:val="both"/>
        <w:rPr>
          <w:rFonts w:ascii="Verdana" w:hAnsi="Verdana"/>
          <w:sz w:val="16"/>
          <w:szCs w:val="16"/>
        </w:rPr>
      </w:pPr>
    </w:p>
  </w:footnote>
  <w:footnote w:id="180">
    <w:p w14:paraId="30C679CF" w14:textId="5346734F" w:rsidR="0087743B" w:rsidRPr="0069525B" w:rsidRDefault="0087743B" w:rsidP="004E64A8">
      <w:pPr>
        <w:pStyle w:val="Textonotapie"/>
        <w:jc w:val="both"/>
        <w:rPr>
          <w:rFonts w:ascii="Verdana" w:hAnsi="Verdana"/>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r>
      <w:r w:rsidRPr="0069525B">
        <w:rPr>
          <w:rFonts w:ascii="Verdana" w:hAnsi="Verdana"/>
          <w:i/>
          <w:sz w:val="16"/>
          <w:szCs w:val="16"/>
        </w:rPr>
        <w:t>Cfr. Caso de los “Niños de la Calle” (</w:t>
      </w:r>
      <w:proofErr w:type="spellStart"/>
      <w:r w:rsidRPr="0069525B">
        <w:rPr>
          <w:rFonts w:ascii="Verdana" w:hAnsi="Verdana"/>
          <w:i/>
          <w:sz w:val="16"/>
          <w:szCs w:val="16"/>
        </w:rPr>
        <w:t>Villagrán</w:t>
      </w:r>
      <w:proofErr w:type="spellEnd"/>
      <w:r w:rsidRPr="0069525B">
        <w:rPr>
          <w:rFonts w:ascii="Verdana" w:hAnsi="Verdana"/>
          <w:i/>
          <w:sz w:val="16"/>
          <w:szCs w:val="16"/>
        </w:rPr>
        <w:t xml:space="preserve"> Morales y otros) Vs. Guatemala. Reparaciones y Costas.</w:t>
      </w:r>
      <w:r w:rsidRPr="0069525B">
        <w:rPr>
          <w:rFonts w:ascii="Verdana" w:hAnsi="Verdana"/>
          <w:sz w:val="16"/>
          <w:szCs w:val="16"/>
        </w:rPr>
        <w:t xml:space="preserve"> Sentencia de 26 de mayo de 2001. Serie C No. 77, párr. 84, y </w:t>
      </w:r>
      <w:r w:rsidRPr="00E014EB">
        <w:rPr>
          <w:rFonts w:ascii="Verdana" w:hAnsi="Verdana"/>
          <w:i/>
          <w:sz w:val="16"/>
          <w:szCs w:val="16"/>
        </w:rPr>
        <w:t xml:space="preserve">Caso </w:t>
      </w:r>
      <w:proofErr w:type="spellStart"/>
      <w:r w:rsidRPr="00E014EB">
        <w:rPr>
          <w:rFonts w:ascii="Verdana" w:hAnsi="Verdana"/>
          <w:i/>
          <w:sz w:val="16"/>
          <w:szCs w:val="16"/>
        </w:rPr>
        <w:t>Guachalá</w:t>
      </w:r>
      <w:proofErr w:type="spellEnd"/>
      <w:r w:rsidRPr="00E014EB">
        <w:rPr>
          <w:rFonts w:ascii="Verdana" w:hAnsi="Verdana"/>
          <w:i/>
          <w:sz w:val="16"/>
          <w:szCs w:val="16"/>
        </w:rPr>
        <w:t xml:space="preserve"> Chimbo y otros Vs. Ecuador</w:t>
      </w:r>
      <w:r w:rsidRPr="00473385">
        <w:rPr>
          <w:rFonts w:ascii="Verdana" w:hAnsi="Verdana"/>
          <w:sz w:val="16"/>
          <w:szCs w:val="16"/>
        </w:rPr>
        <w:t xml:space="preserve">, </w:t>
      </w:r>
      <w:r>
        <w:rPr>
          <w:rFonts w:ascii="Verdana" w:hAnsi="Verdana"/>
          <w:sz w:val="16"/>
          <w:szCs w:val="16"/>
        </w:rPr>
        <w:t xml:space="preserve">párr. 261. </w:t>
      </w:r>
    </w:p>
    <w:p w14:paraId="493BB744" w14:textId="77777777" w:rsidR="0087743B" w:rsidRPr="0069525B" w:rsidRDefault="0087743B" w:rsidP="004E64A8">
      <w:pPr>
        <w:pStyle w:val="Textonotapie"/>
        <w:jc w:val="both"/>
        <w:rPr>
          <w:rFonts w:ascii="Verdana" w:hAnsi="Verdana"/>
          <w:sz w:val="16"/>
          <w:szCs w:val="16"/>
        </w:rPr>
      </w:pPr>
    </w:p>
  </w:footnote>
  <w:footnote w:id="181">
    <w:p w14:paraId="12F286F8" w14:textId="7A034A4E" w:rsidR="0087743B" w:rsidRPr="0069525B" w:rsidRDefault="0087743B" w:rsidP="004E64A8">
      <w:pPr>
        <w:pStyle w:val="Textonotapie"/>
        <w:jc w:val="both"/>
        <w:rPr>
          <w:rFonts w:ascii="Verdana" w:hAnsi="Verdana"/>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t>La Corte advierte que los representantes solicitan ordenar la indemnización por los conceptos de daño emergente y luc</w:t>
      </w:r>
      <w:r>
        <w:rPr>
          <w:rFonts w:ascii="Verdana" w:hAnsi="Verdana"/>
          <w:sz w:val="16"/>
          <w:szCs w:val="16"/>
        </w:rPr>
        <w:t>ro cesante, sin embargo, indicaron</w:t>
      </w:r>
      <w:r w:rsidRPr="0069525B">
        <w:rPr>
          <w:rFonts w:ascii="Verdana" w:hAnsi="Verdana"/>
          <w:sz w:val="16"/>
          <w:szCs w:val="16"/>
        </w:rPr>
        <w:t xml:space="preserve"> que “debido al transcurso del tiempo, las víctimas no cuentan con los comprobantes de los gastos”. Si bien señala</w:t>
      </w:r>
      <w:r>
        <w:rPr>
          <w:rFonts w:ascii="Verdana" w:hAnsi="Verdana"/>
          <w:sz w:val="16"/>
          <w:szCs w:val="16"/>
        </w:rPr>
        <w:t>ron</w:t>
      </w:r>
      <w:r w:rsidRPr="0069525B">
        <w:rPr>
          <w:rFonts w:ascii="Verdana" w:hAnsi="Verdana"/>
          <w:sz w:val="16"/>
          <w:szCs w:val="16"/>
        </w:rPr>
        <w:t xml:space="preserve"> los montos de US$ 65.000,00 por lucro cesante y US$ 300,00 por concepto de gastos funerarios, la Corte no posee suficientes elementos para calcular el daño material.</w:t>
      </w:r>
    </w:p>
    <w:p w14:paraId="7D3094B5" w14:textId="77777777" w:rsidR="0087743B" w:rsidRPr="0069525B" w:rsidRDefault="0087743B" w:rsidP="004E64A8">
      <w:pPr>
        <w:pStyle w:val="Textonotapie"/>
        <w:jc w:val="both"/>
        <w:rPr>
          <w:rFonts w:ascii="Verdana" w:hAnsi="Verdana"/>
          <w:sz w:val="16"/>
          <w:szCs w:val="16"/>
        </w:rPr>
      </w:pPr>
    </w:p>
  </w:footnote>
  <w:footnote w:id="182">
    <w:p w14:paraId="4BC5E1EF" w14:textId="05F6E988" w:rsidR="0087743B" w:rsidRPr="0069525B" w:rsidRDefault="0087743B" w:rsidP="004E64A8">
      <w:pPr>
        <w:pStyle w:val="Textonotapie"/>
        <w:jc w:val="both"/>
        <w:rPr>
          <w:rFonts w:ascii="Verdana" w:hAnsi="Verdana"/>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r>
      <w:r w:rsidRPr="0069525B">
        <w:rPr>
          <w:rFonts w:ascii="Verdana" w:hAnsi="Verdana"/>
          <w:i/>
          <w:sz w:val="16"/>
          <w:szCs w:val="16"/>
        </w:rPr>
        <w:t>Cfr. Caso Garrido y Baigorria Vs. Argentina. Reparaciones y Costas</w:t>
      </w:r>
      <w:r w:rsidRPr="0069525B">
        <w:rPr>
          <w:rFonts w:ascii="Verdana" w:hAnsi="Verdana"/>
          <w:sz w:val="16"/>
          <w:szCs w:val="16"/>
        </w:rPr>
        <w:t xml:space="preserve">. Sentencia de 27 de agosto de 1998. Serie C No. 39, párr. 82, y </w:t>
      </w:r>
      <w:r w:rsidRPr="00E014EB">
        <w:rPr>
          <w:rFonts w:ascii="Verdana" w:hAnsi="Verdana"/>
          <w:i/>
          <w:sz w:val="16"/>
          <w:szCs w:val="16"/>
        </w:rPr>
        <w:t xml:space="preserve">Caso </w:t>
      </w:r>
      <w:proofErr w:type="spellStart"/>
      <w:r w:rsidRPr="00E014EB">
        <w:rPr>
          <w:rFonts w:ascii="Verdana" w:hAnsi="Verdana"/>
          <w:i/>
          <w:sz w:val="16"/>
          <w:szCs w:val="16"/>
        </w:rPr>
        <w:t>Guachalá</w:t>
      </w:r>
      <w:proofErr w:type="spellEnd"/>
      <w:r w:rsidRPr="00E014EB">
        <w:rPr>
          <w:rFonts w:ascii="Verdana" w:hAnsi="Verdana"/>
          <w:i/>
          <w:sz w:val="16"/>
          <w:szCs w:val="16"/>
        </w:rPr>
        <w:t xml:space="preserve"> Chimbo y otros Vs. Ecuador</w:t>
      </w:r>
      <w:r w:rsidRPr="00473385">
        <w:rPr>
          <w:rFonts w:ascii="Verdana" w:hAnsi="Verdana"/>
          <w:sz w:val="16"/>
          <w:szCs w:val="16"/>
        </w:rPr>
        <w:t xml:space="preserve">, </w:t>
      </w:r>
      <w:r>
        <w:rPr>
          <w:rFonts w:ascii="Verdana" w:hAnsi="Verdana"/>
          <w:sz w:val="16"/>
          <w:szCs w:val="16"/>
        </w:rPr>
        <w:t>párr. 269.</w:t>
      </w:r>
    </w:p>
    <w:p w14:paraId="0179632C" w14:textId="77777777" w:rsidR="0087743B" w:rsidRPr="0069525B" w:rsidRDefault="0087743B" w:rsidP="004E64A8">
      <w:pPr>
        <w:pStyle w:val="Textonotapie"/>
        <w:jc w:val="both"/>
        <w:rPr>
          <w:rFonts w:ascii="Verdana" w:hAnsi="Verdana"/>
          <w:sz w:val="16"/>
          <w:szCs w:val="16"/>
        </w:rPr>
      </w:pPr>
    </w:p>
  </w:footnote>
  <w:footnote w:id="183">
    <w:p w14:paraId="28DE3E31" w14:textId="5D565531" w:rsidR="0087743B" w:rsidRPr="0069525B" w:rsidRDefault="0087743B" w:rsidP="004E64A8">
      <w:pPr>
        <w:pStyle w:val="Textonotapie"/>
        <w:jc w:val="both"/>
        <w:rPr>
          <w:rFonts w:ascii="Verdana" w:hAnsi="Verdana"/>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r>
      <w:r w:rsidRPr="0069525B">
        <w:rPr>
          <w:rFonts w:ascii="Verdana" w:hAnsi="Verdana"/>
          <w:i/>
          <w:sz w:val="16"/>
          <w:szCs w:val="16"/>
        </w:rPr>
        <w:t>Cfr. Caso Chaparro Álvarez y Lapo Íñiguez Vs. Ecuador</w:t>
      </w:r>
      <w:r w:rsidRPr="0069525B">
        <w:rPr>
          <w:rFonts w:ascii="Verdana" w:hAnsi="Verdana"/>
          <w:sz w:val="16"/>
          <w:szCs w:val="16"/>
        </w:rPr>
        <w:t xml:space="preserve">, párr. 277 y </w:t>
      </w:r>
      <w:r w:rsidRPr="00E014EB">
        <w:rPr>
          <w:rFonts w:ascii="Verdana" w:hAnsi="Verdana"/>
          <w:i/>
          <w:sz w:val="16"/>
          <w:szCs w:val="16"/>
        </w:rPr>
        <w:t xml:space="preserve">Caso </w:t>
      </w:r>
      <w:proofErr w:type="spellStart"/>
      <w:r w:rsidRPr="00E014EB">
        <w:rPr>
          <w:rFonts w:ascii="Verdana" w:hAnsi="Verdana"/>
          <w:i/>
          <w:sz w:val="16"/>
          <w:szCs w:val="16"/>
        </w:rPr>
        <w:t>Guachalá</w:t>
      </w:r>
      <w:proofErr w:type="spellEnd"/>
      <w:r w:rsidRPr="00E014EB">
        <w:rPr>
          <w:rFonts w:ascii="Verdana" w:hAnsi="Verdana"/>
          <w:i/>
          <w:sz w:val="16"/>
          <w:szCs w:val="16"/>
        </w:rPr>
        <w:t xml:space="preserve"> Chimbo y otros Vs. Ecuador</w:t>
      </w:r>
      <w:r w:rsidRPr="00473385">
        <w:rPr>
          <w:rFonts w:ascii="Verdana" w:hAnsi="Verdana"/>
          <w:sz w:val="16"/>
          <w:szCs w:val="16"/>
        </w:rPr>
        <w:t xml:space="preserve">, </w:t>
      </w:r>
      <w:r>
        <w:rPr>
          <w:rFonts w:ascii="Verdana" w:hAnsi="Verdana"/>
          <w:sz w:val="16"/>
          <w:szCs w:val="16"/>
        </w:rPr>
        <w:t>párr. 270.</w:t>
      </w:r>
    </w:p>
    <w:p w14:paraId="7104A1E9" w14:textId="77777777" w:rsidR="0087743B" w:rsidRPr="0069525B" w:rsidRDefault="0087743B" w:rsidP="004E64A8">
      <w:pPr>
        <w:pStyle w:val="Textonotapie"/>
        <w:jc w:val="both"/>
        <w:rPr>
          <w:rFonts w:ascii="Verdana" w:hAnsi="Verdana"/>
          <w:sz w:val="16"/>
          <w:szCs w:val="16"/>
        </w:rPr>
      </w:pPr>
    </w:p>
  </w:footnote>
  <w:footnote w:id="184">
    <w:p w14:paraId="59C45141" w14:textId="0B0DA0D2" w:rsidR="0087743B" w:rsidRPr="0069525B" w:rsidRDefault="0087743B" w:rsidP="004E64A8">
      <w:pPr>
        <w:pStyle w:val="Textonotapie"/>
        <w:jc w:val="both"/>
        <w:rPr>
          <w:rFonts w:ascii="Verdana" w:hAnsi="Verdana"/>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r>
      <w:r>
        <w:rPr>
          <w:rFonts w:ascii="Verdana" w:hAnsi="Verdana"/>
          <w:sz w:val="16"/>
          <w:szCs w:val="16"/>
        </w:rPr>
        <w:t xml:space="preserve">En ese sentido, por medio del escrito de solicitudes y argumentos y documentación anexa, los representantes adujeron que, por las acciones de litigio del caso en el proceso nacional y en el internacional, COFAVIC había erogado US$ 91,002.43, más US$ 8,906.00 por gastos posteriores a la presentación del referido escrito. No obstante, en documentación anexa a su escrito de solicitudes y argumentos refirieron gastos por distintos rubros, como gastos por abogados, transportes y viáticos, viaje a la Comisión Interamericana, y gastos administrativos, cuyo total es inferior a US$ 36,000.00. </w:t>
      </w:r>
      <w:r w:rsidRPr="0069525B">
        <w:rPr>
          <w:rFonts w:ascii="Verdana" w:hAnsi="Verdana"/>
          <w:sz w:val="16"/>
          <w:szCs w:val="16"/>
        </w:rPr>
        <w:t>A</w:t>
      </w:r>
      <w:r>
        <w:rPr>
          <w:rFonts w:ascii="Verdana" w:hAnsi="Verdana"/>
          <w:sz w:val="16"/>
          <w:szCs w:val="16"/>
        </w:rPr>
        <w:t xml:space="preserve">demás, a </w:t>
      </w:r>
      <w:r w:rsidRPr="0069525B">
        <w:rPr>
          <w:rFonts w:ascii="Verdana" w:hAnsi="Verdana"/>
          <w:sz w:val="16"/>
          <w:szCs w:val="16"/>
        </w:rPr>
        <w:t xml:space="preserve">modo de ejemplo, la Corte advierte que los representantes no especificaron la relación que guarda con el caso, los comprobantes denominados “Formativo en el Estado de Falcón” ni los montos por “Vuelos Caracas – Las Piedras”. Asimismo, con respecto a los gastos incurridos posterior a la presentación del Escrito de solicitudes y argumentos, los representantes aportaron comprobantes de pago salarial emitidos por la misma organización. </w:t>
      </w:r>
    </w:p>
    <w:p w14:paraId="5B6E1888" w14:textId="77777777" w:rsidR="0087743B" w:rsidRPr="0069525B" w:rsidRDefault="0087743B" w:rsidP="004E64A8">
      <w:pPr>
        <w:pStyle w:val="Textonotapie"/>
        <w:jc w:val="both"/>
        <w:rPr>
          <w:rFonts w:ascii="Verdana" w:hAnsi="Verdana"/>
          <w:sz w:val="16"/>
          <w:szCs w:val="16"/>
        </w:rPr>
      </w:pPr>
    </w:p>
  </w:footnote>
  <w:footnote w:id="185">
    <w:p w14:paraId="29B00528" w14:textId="39027A79" w:rsidR="0087743B" w:rsidRPr="0069525B" w:rsidRDefault="0087743B" w:rsidP="004E64A8">
      <w:pPr>
        <w:pStyle w:val="Textonotapie"/>
        <w:jc w:val="both"/>
        <w:rPr>
          <w:rFonts w:ascii="Verdana" w:hAnsi="Verdana"/>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r>
      <w:r w:rsidRPr="0069525B">
        <w:rPr>
          <w:rFonts w:ascii="Verdana" w:hAnsi="Verdana"/>
          <w:i/>
          <w:sz w:val="16"/>
          <w:szCs w:val="16"/>
        </w:rPr>
        <w:t>Cfr</w:t>
      </w:r>
      <w:r w:rsidRPr="0069525B">
        <w:rPr>
          <w:rFonts w:ascii="Verdana" w:hAnsi="Verdana"/>
          <w:sz w:val="16"/>
          <w:szCs w:val="16"/>
        </w:rPr>
        <w:t xml:space="preserve">. </w:t>
      </w:r>
      <w:r w:rsidRPr="0069525B">
        <w:rPr>
          <w:rFonts w:ascii="Verdana" w:hAnsi="Verdana"/>
          <w:i/>
          <w:sz w:val="16"/>
          <w:szCs w:val="16"/>
        </w:rPr>
        <w:t>Caso Ibsen Cárdenas e Ibsen Peña Vs. Bolivia. Fondo, Reparaciones y Costas</w:t>
      </w:r>
      <w:r w:rsidRPr="0069525B">
        <w:rPr>
          <w:rFonts w:ascii="Verdana" w:hAnsi="Verdana"/>
          <w:sz w:val="16"/>
          <w:szCs w:val="16"/>
        </w:rPr>
        <w:t xml:space="preserve">. Sentencia de 1 de septiembre de 2010. Serie C No. 217, párr. 29, y </w:t>
      </w:r>
      <w:r w:rsidRPr="00E014EB">
        <w:rPr>
          <w:rFonts w:ascii="Verdana" w:hAnsi="Verdana"/>
          <w:i/>
          <w:sz w:val="16"/>
          <w:szCs w:val="16"/>
        </w:rPr>
        <w:t xml:space="preserve">Caso </w:t>
      </w:r>
      <w:proofErr w:type="spellStart"/>
      <w:r w:rsidRPr="00E014EB">
        <w:rPr>
          <w:rFonts w:ascii="Verdana" w:hAnsi="Verdana"/>
          <w:i/>
          <w:sz w:val="16"/>
          <w:szCs w:val="16"/>
        </w:rPr>
        <w:t>Guachalá</w:t>
      </w:r>
      <w:proofErr w:type="spellEnd"/>
      <w:r w:rsidRPr="00E014EB">
        <w:rPr>
          <w:rFonts w:ascii="Verdana" w:hAnsi="Verdana"/>
          <w:i/>
          <w:sz w:val="16"/>
          <w:szCs w:val="16"/>
        </w:rPr>
        <w:t xml:space="preserve"> Chimbo y otros Vs. Ecuador</w:t>
      </w:r>
      <w:r w:rsidRPr="00473385">
        <w:rPr>
          <w:rFonts w:ascii="Verdana" w:hAnsi="Verdana"/>
          <w:sz w:val="16"/>
          <w:szCs w:val="16"/>
        </w:rPr>
        <w:t xml:space="preserve">, </w:t>
      </w:r>
      <w:r>
        <w:rPr>
          <w:rFonts w:ascii="Verdana" w:hAnsi="Verdana"/>
          <w:sz w:val="16"/>
          <w:szCs w:val="16"/>
        </w:rPr>
        <w:t>párr. 271.</w:t>
      </w:r>
    </w:p>
    <w:p w14:paraId="60C28AA6" w14:textId="77777777" w:rsidR="0087743B" w:rsidRPr="0069525B" w:rsidRDefault="0087743B" w:rsidP="004E64A8">
      <w:pPr>
        <w:pStyle w:val="Textonotapie"/>
        <w:jc w:val="both"/>
        <w:rPr>
          <w:rFonts w:ascii="Verdana" w:hAnsi="Verdana"/>
          <w:sz w:val="16"/>
          <w:szCs w:val="16"/>
        </w:rPr>
      </w:pPr>
    </w:p>
  </w:footnote>
  <w:footnote w:id="186">
    <w:p w14:paraId="6FA9D105" w14:textId="55B02B27" w:rsidR="0087743B" w:rsidRPr="0069525B" w:rsidRDefault="0087743B" w:rsidP="004E64A8">
      <w:pPr>
        <w:pStyle w:val="Textonotapie"/>
        <w:jc w:val="both"/>
        <w:rPr>
          <w:rFonts w:ascii="Verdana" w:hAnsi="Verdana"/>
          <w:b/>
          <w:sz w:val="16"/>
          <w:szCs w:val="16"/>
        </w:rPr>
      </w:pPr>
      <w:r w:rsidRPr="0069525B">
        <w:rPr>
          <w:rStyle w:val="Refdenotaalpie"/>
          <w:rFonts w:ascii="Verdana" w:hAnsi="Verdana"/>
          <w:sz w:val="16"/>
          <w:szCs w:val="16"/>
        </w:rPr>
        <w:footnoteRef/>
      </w:r>
      <w:r w:rsidRPr="0069525B">
        <w:rPr>
          <w:rFonts w:ascii="Verdana" w:hAnsi="Verdana"/>
          <w:sz w:val="16"/>
          <w:szCs w:val="16"/>
        </w:rPr>
        <w:t xml:space="preserve"> </w:t>
      </w:r>
      <w:r w:rsidRPr="0069525B">
        <w:rPr>
          <w:rFonts w:ascii="Verdana" w:hAnsi="Verdana"/>
          <w:sz w:val="16"/>
          <w:szCs w:val="16"/>
        </w:rPr>
        <w:tab/>
      </w:r>
      <w:r w:rsidRPr="0069525B">
        <w:rPr>
          <w:rFonts w:ascii="Verdana" w:hAnsi="Verdana"/>
          <w:i/>
          <w:sz w:val="16"/>
          <w:szCs w:val="16"/>
        </w:rPr>
        <w:t>Caso Guerrero y Otros Vs. Venezuela</w:t>
      </w:r>
      <w:r w:rsidRPr="0069525B">
        <w:rPr>
          <w:rFonts w:ascii="Verdana" w:hAnsi="Verdana"/>
          <w:sz w:val="16"/>
          <w:szCs w:val="16"/>
        </w:rPr>
        <w:t xml:space="preserve">. Resolución de la </w:t>
      </w:r>
      <w:proofErr w:type="gramStart"/>
      <w:r w:rsidRPr="0069525B">
        <w:rPr>
          <w:rFonts w:ascii="Verdana" w:hAnsi="Verdana"/>
          <w:sz w:val="16"/>
          <w:szCs w:val="16"/>
        </w:rPr>
        <w:t>Presidenta</w:t>
      </w:r>
      <w:proofErr w:type="gramEnd"/>
      <w:r w:rsidRPr="0069525B">
        <w:rPr>
          <w:rFonts w:ascii="Verdana" w:hAnsi="Verdana"/>
          <w:sz w:val="16"/>
          <w:szCs w:val="16"/>
        </w:rPr>
        <w:t xml:space="preserve"> de la Corte de 20 de enero de 2020, punto dispositivo 2. </w:t>
      </w:r>
      <w:r>
        <w:rPr>
          <w:rFonts w:ascii="Verdana" w:hAnsi="Verdana"/>
          <w:sz w:val="16"/>
          <w:szCs w:val="16"/>
        </w:rPr>
        <w:t xml:space="preserve">Disponible en: </w:t>
      </w:r>
      <w:hyperlink r:id="rId5" w:history="1">
        <w:r w:rsidRPr="009B58F0">
          <w:rPr>
            <w:rStyle w:val="Hipervnculo"/>
            <w:rFonts w:ascii="Verdana" w:hAnsi="Verdana"/>
            <w:color w:val="auto"/>
            <w:sz w:val="16"/>
            <w:szCs w:val="16"/>
            <w:u w:val="none"/>
          </w:rPr>
          <w:t>http://www.corteidh.or.cr/docs/asuntos/guerrero_fv_2020.pdf</w:t>
        </w:r>
      </w:hyperlink>
      <w:r>
        <w:rPr>
          <w:rFonts w:ascii="Verdana" w:hAnsi="Verdana"/>
          <w:sz w:val="16"/>
          <w:szCs w:val="16"/>
        </w:rPr>
        <w:t xml:space="preserve">. </w:t>
      </w:r>
    </w:p>
    <w:p w14:paraId="21D2144B" w14:textId="77777777" w:rsidR="0087743B" w:rsidRPr="0069525B" w:rsidRDefault="0087743B" w:rsidP="004E64A8">
      <w:pPr>
        <w:pStyle w:val="Textonotapie"/>
        <w:jc w:val="both"/>
        <w:rPr>
          <w:rFonts w:ascii="Verdana" w:hAnsi="Verdana"/>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782F"/>
    <w:multiLevelType w:val="hybridMultilevel"/>
    <w:tmpl w:val="4EAEF5D8"/>
    <w:lvl w:ilvl="0" w:tplc="B96AB5F0">
      <w:start w:val="1"/>
      <w:numFmt w:val="upperLetter"/>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 w15:restartNumberingAfterBreak="0">
    <w:nsid w:val="023F6B66"/>
    <w:multiLevelType w:val="hybridMultilevel"/>
    <w:tmpl w:val="3830D59E"/>
    <w:lvl w:ilvl="0" w:tplc="4E2A0C4C">
      <w:start w:val="1"/>
      <w:numFmt w:val="decimal"/>
      <w:pStyle w:val="PrrafodeSentencia"/>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054966AA"/>
    <w:multiLevelType w:val="multilevel"/>
    <w:tmpl w:val="83F487F0"/>
    <w:lvl w:ilvl="0">
      <w:start w:val="1"/>
      <w:numFmt w:val="upperRoman"/>
      <w:lvlText w:val="%1"/>
      <w:lvlJc w:val="left"/>
      <w:pPr>
        <w:ind w:left="573" w:hanging="176"/>
      </w:pPr>
      <w:rPr>
        <w:rFonts w:ascii="Verdana" w:eastAsia="Verdana" w:hAnsi="Verdana" w:cs="Verdana" w:hint="default"/>
        <w:b/>
        <w:bCs/>
        <w:w w:val="99"/>
        <w:sz w:val="20"/>
        <w:szCs w:val="20"/>
      </w:rPr>
    </w:lvl>
    <w:lvl w:ilvl="1">
      <w:start w:val="1"/>
      <w:numFmt w:val="decimal"/>
      <w:lvlText w:val="%1.%2"/>
      <w:lvlJc w:val="left"/>
      <w:pPr>
        <w:ind w:left="397" w:hanging="754"/>
      </w:pPr>
      <w:rPr>
        <w:rFonts w:ascii="Verdana" w:eastAsia="Verdana" w:hAnsi="Verdana" w:cs="Verdana" w:hint="default"/>
        <w:b/>
        <w:bCs/>
        <w:spacing w:val="-1"/>
        <w:w w:val="99"/>
        <w:sz w:val="20"/>
        <w:szCs w:val="20"/>
      </w:rPr>
    </w:lvl>
    <w:lvl w:ilvl="2">
      <w:numFmt w:val="bullet"/>
      <w:lvlText w:val="•"/>
      <w:lvlJc w:val="left"/>
      <w:pPr>
        <w:ind w:left="1648" w:hanging="754"/>
      </w:pPr>
      <w:rPr>
        <w:rFonts w:hint="default"/>
      </w:rPr>
    </w:lvl>
    <w:lvl w:ilvl="3">
      <w:numFmt w:val="bullet"/>
      <w:lvlText w:val="•"/>
      <w:lvlJc w:val="left"/>
      <w:pPr>
        <w:ind w:left="2717" w:hanging="754"/>
      </w:pPr>
      <w:rPr>
        <w:rFonts w:hint="default"/>
      </w:rPr>
    </w:lvl>
    <w:lvl w:ilvl="4">
      <w:numFmt w:val="bullet"/>
      <w:lvlText w:val="•"/>
      <w:lvlJc w:val="left"/>
      <w:pPr>
        <w:ind w:left="3786" w:hanging="754"/>
      </w:pPr>
      <w:rPr>
        <w:rFonts w:hint="default"/>
      </w:rPr>
    </w:lvl>
    <w:lvl w:ilvl="5">
      <w:numFmt w:val="bullet"/>
      <w:lvlText w:val="•"/>
      <w:lvlJc w:val="left"/>
      <w:pPr>
        <w:ind w:left="4855" w:hanging="754"/>
      </w:pPr>
      <w:rPr>
        <w:rFonts w:hint="default"/>
      </w:rPr>
    </w:lvl>
    <w:lvl w:ilvl="6">
      <w:numFmt w:val="bullet"/>
      <w:lvlText w:val="•"/>
      <w:lvlJc w:val="left"/>
      <w:pPr>
        <w:ind w:left="5924" w:hanging="754"/>
      </w:pPr>
      <w:rPr>
        <w:rFonts w:hint="default"/>
      </w:rPr>
    </w:lvl>
    <w:lvl w:ilvl="7">
      <w:numFmt w:val="bullet"/>
      <w:lvlText w:val="•"/>
      <w:lvlJc w:val="left"/>
      <w:pPr>
        <w:ind w:left="6993" w:hanging="754"/>
      </w:pPr>
      <w:rPr>
        <w:rFonts w:hint="default"/>
      </w:rPr>
    </w:lvl>
    <w:lvl w:ilvl="8">
      <w:numFmt w:val="bullet"/>
      <w:lvlText w:val="•"/>
      <w:lvlJc w:val="left"/>
      <w:pPr>
        <w:ind w:left="8062" w:hanging="754"/>
      </w:pPr>
      <w:rPr>
        <w:rFonts w:hint="default"/>
      </w:rPr>
    </w:lvl>
  </w:abstractNum>
  <w:abstractNum w:abstractNumId="3" w15:restartNumberingAfterBreak="0">
    <w:nsid w:val="0EDE1B90"/>
    <w:multiLevelType w:val="hybridMultilevel"/>
    <w:tmpl w:val="D9E6FEE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F5E410B"/>
    <w:multiLevelType w:val="hybridMultilevel"/>
    <w:tmpl w:val="D9922E2E"/>
    <w:lvl w:ilvl="0" w:tplc="26BA1118">
      <w:start w:val="1"/>
      <w:numFmt w:val="upperLetter"/>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59D66C6"/>
    <w:multiLevelType w:val="hybridMultilevel"/>
    <w:tmpl w:val="1AD6E0F2"/>
    <w:lvl w:ilvl="0" w:tplc="C8ECC394">
      <w:start w:val="1"/>
      <w:numFmt w:val="decimal"/>
      <w:lvlText w:val="%1."/>
      <w:lvlJc w:val="left"/>
      <w:pPr>
        <w:ind w:left="360" w:hanging="360"/>
      </w:pPr>
      <w:rPr>
        <w:rFonts w:ascii="Verdana" w:eastAsiaTheme="majorEastAsia" w:hAnsi="Verdana" w:cstheme="majorBidi" w:hint="default"/>
        <w:b w:val="0"/>
        <w:sz w:val="20"/>
        <w:lang w:val="es-E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A26037"/>
    <w:multiLevelType w:val="hybridMultilevel"/>
    <w:tmpl w:val="F9305B7E"/>
    <w:lvl w:ilvl="0" w:tplc="C1CC676C">
      <w:start w:val="1"/>
      <w:numFmt w:val="upperLetter"/>
      <w:lvlText w:val="%1)"/>
      <w:lvlJc w:val="left"/>
      <w:pPr>
        <w:ind w:left="758" w:hanging="360"/>
      </w:pPr>
      <w:rPr>
        <w:rFonts w:hint="default"/>
        <w:b/>
        <w:i/>
      </w:rPr>
    </w:lvl>
    <w:lvl w:ilvl="1" w:tplc="140A0019" w:tentative="1">
      <w:start w:val="1"/>
      <w:numFmt w:val="lowerLetter"/>
      <w:lvlText w:val="%2."/>
      <w:lvlJc w:val="left"/>
      <w:pPr>
        <w:ind w:left="1478" w:hanging="360"/>
      </w:pPr>
    </w:lvl>
    <w:lvl w:ilvl="2" w:tplc="140A001B" w:tentative="1">
      <w:start w:val="1"/>
      <w:numFmt w:val="lowerRoman"/>
      <w:lvlText w:val="%3."/>
      <w:lvlJc w:val="right"/>
      <w:pPr>
        <w:ind w:left="2198" w:hanging="180"/>
      </w:pPr>
    </w:lvl>
    <w:lvl w:ilvl="3" w:tplc="140A000F" w:tentative="1">
      <w:start w:val="1"/>
      <w:numFmt w:val="decimal"/>
      <w:lvlText w:val="%4."/>
      <w:lvlJc w:val="left"/>
      <w:pPr>
        <w:ind w:left="2918" w:hanging="360"/>
      </w:pPr>
    </w:lvl>
    <w:lvl w:ilvl="4" w:tplc="140A0019" w:tentative="1">
      <w:start w:val="1"/>
      <w:numFmt w:val="lowerLetter"/>
      <w:lvlText w:val="%5."/>
      <w:lvlJc w:val="left"/>
      <w:pPr>
        <w:ind w:left="3638" w:hanging="360"/>
      </w:pPr>
    </w:lvl>
    <w:lvl w:ilvl="5" w:tplc="140A001B" w:tentative="1">
      <w:start w:val="1"/>
      <w:numFmt w:val="lowerRoman"/>
      <w:lvlText w:val="%6."/>
      <w:lvlJc w:val="right"/>
      <w:pPr>
        <w:ind w:left="4358" w:hanging="180"/>
      </w:pPr>
    </w:lvl>
    <w:lvl w:ilvl="6" w:tplc="140A000F" w:tentative="1">
      <w:start w:val="1"/>
      <w:numFmt w:val="decimal"/>
      <w:lvlText w:val="%7."/>
      <w:lvlJc w:val="left"/>
      <w:pPr>
        <w:ind w:left="5078" w:hanging="360"/>
      </w:pPr>
    </w:lvl>
    <w:lvl w:ilvl="7" w:tplc="140A0019" w:tentative="1">
      <w:start w:val="1"/>
      <w:numFmt w:val="lowerLetter"/>
      <w:lvlText w:val="%8."/>
      <w:lvlJc w:val="left"/>
      <w:pPr>
        <w:ind w:left="5798" w:hanging="360"/>
      </w:pPr>
    </w:lvl>
    <w:lvl w:ilvl="8" w:tplc="140A001B" w:tentative="1">
      <w:start w:val="1"/>
      <w:numFmt w:val="lowerRoman"/>
      <w:lvlText w:val="%9."/>
      <w:lvlJc w:val="right"/>
      <w:pPr>
        <w:ind w:left="6518" w:hanging="180"/>
      </w:pPr>
    </w:lvl>
  </w:abstractNum>
  <w:abstractNum w:abstractNumId="7" w15:restartNumberingAfterBreak="0">
    <w:nsid w:val="19ED5772"/>
    <w:multiLevelType w:val="hybridMultilevel"/>
    <w:tmpl w:val="C4A455B0"/>
    <w:lvl w:ilvl="0" w:tplc="4ADEBE3E">
      <w:start w:val="1"/>
      <w:numFmt w:val="upperLetter"/>
      <w:lvlText w:val="%1)"/>
      <w:lvlJc w:val="left"/>
      <w:pPr>
        <w:ind w:left="758" w:hanging="360"/>
      </w:pPr>
      <w:rPr>
        <w:rFonts w:hint="default"/>
      </w:rPr>
    </w:lvl>
    <w:lvl w:ilvl="1" w:tplc="140A0019" w:tentative="1">
      <w:start w:val="1"/>
      <w:numFmt w:val="lowerLetter"/>
      <w:lvlText w:val="%2."/>
      <w:lvlJc w:val="left"/>
      <w:pPr>
        <w:ind w:left="1478" w:hanging="360"/>
      </w:pPr>
    </w:lvl>
    <w:lvl w:ilvl="2" w:tplc="140A001B" w:tentative="1">
      <w:start w:val="1"/>
      <w:numFmt w:val="lowerRoman"/>
      <w:lvlText w:val="%3."/>
      <w:lvlJc w:val="right"/>
      <w:pPr>
        <w:ind w:left="2198" w:hanging="180"/>
      </w:pPr>
    </w:lvl>
    <w:lvl w:ilvl="3" w:tplc="140A000F" w:tentative="1">
      <w:start w:val="1"/>
      <w:numFmt w:val="decimal"/>
      <w:lvlText w:val="%4."/>
      <w:lvlJc w:val="left"/>
      <w:pPr>
        <w:ind w:left="2918" w:hanging="360"/>
      </w:pPr>
    </w:lvl>
    <w:lvl w:ilvl="4" w:tplc="140A0019" w:tentative="1">
      <w:start w:val="1"/>
      <w:numFmt w:val="lowerLetter"/>
      <w:lvlText w:val="%5."/>
      <w:lvlJc w:val="left"/>
      <w:pPr>
        <w:ind w:left="3638" w:hanging="360"/>
      </w:pPr>
    </w:lvl>
    <w:lvl w:ilvl="5" w:tplc="140A001B" w:tentative="1">
      <w:start w:val="1"/>
      <w:numFmt w:val="lowerRoman"/>
      <w:lvlText w:val="%6."/>
      <w:lvlJc w:val="right"/>
      <w:pPr>
        <w:ind w:left="4358" w:hanging="180"/>
      </w:pPr>
    </w:lvl>
    <w:lvl w:ilvl="6" w:tplc="140A000F" w:tentative="1">
      <w:start w:val="1"/>
      <w:numFmt w:val="decimal"/>
      <w:lvlText w:val="%7."/>
      <w:lvlJc w:val="left"/>
      <w:pPr>
        <w:ind w:left="5078" w:hanging="360"/>
      </w:pPr>
    </w:lvl>
    <w:lvl w:ilvl="7" w:tplc="140A0019" w:tentative="1">
      <w:start w:val="1"/>
      <w:numFmt w:val="lowerLetter"/>
      <w:lvlText w:val="%8."/>
      <w:lvlJc w:val="left"/>
      <w:pPr>
        <w:ind w:left="5798" w:hanging="360"/>
      </w:pPr>
    </w:lvl>
    <w:lvl w:ilvl="8" w:tplc="140A001B" w:tentative="1">
      <w:start w:val="1"/>
      <w:numFmt w:val="lowerRoman"/>
      <w:lvlText w:val="%9."/>
      <w:lvlJc w:val="right"/>
      <w:pPr>
        <w:ind w:left="6518" w:hanging="180"/>
      </w:pPr>
    </w:lvl>
  </w:abstractNum>
  <w:abstractNum w:abstractNumId="8" w15:restartNumberingAfterBreak="0">
    <w:nsid w:val="19EE6AB7"/>
    <w:multiLevelType w:val="hybridMultilevel"/>
    <w:tmpl w:val="4EAEF5D8"/>
    <w:lvl w:ilvl="0" w:tplc="B96AB5F0">
      <w:start w:val="1"/>
      <w:numFmt w:val="upperLetter"/>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9" w15:restartNumberingAfterBreak="0">
    <w:nsid w:val="1F035F69"/>
    <w:multiLevelType w:val="hybridMultilevel"/>
    <w:tmpl w:val="8B48E972"/>
    <w:lvl w:ilvl="0" w:tplc="3C2A61D4">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0" w15:restartNumberingAfterBreak="0">
    <w:nsid w:val="208673AE"/>
    <w:multiLevelType w:val="hybridMultilevel"/>
    <w:tmpl w:val="21D2E38E"/>
    <w:lvl w:ilvl="0" w:tplc="71287228">
      <w:start w:val="1"/>
      <w:numFmt w:val="decimal"/>
      <w:lvlText w:val="%1."/>
      <w:lvlJc w:val="left"/>
      <w:pPr>
        <w:ind w:left="720" w:hanging="360"/>
      </w:pPr>
      <w:rPr>
        <w:rFonts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19D4309"/>
    <w:multiLevelType w:val="hybridMultilevel"/>
    <w:tmpl w:val="C98443D6"/>
    <w:lvl w:ilvl="0" w:tplc="E31E8236">
      <w:start w:val="1"/>
      <w:numFmt w:val="decimal"/>
      <w:lvlText w:val="%1."/>
      <w:lvlJc w:val="left"/>
      <w:pPr>
        <w:ind w:left="720" w:hanging="360"/>
      </w:pPr>
      <w:rPr>
        <w:rFonts w:ascii="Verdana" w:hAnsi="Verdana"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4BA0CFD"/>
    <w:multiLevelType w:val="hybridMultilevel"/>
    <w:tmpl w:val="FB603E04"/>
    <w:lvl w:ilvl="0" w:tplc="6F323EBC">
      <w:start w:val="1"/>
      <w:numFmt w:val="lowerLetter"/>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53C0861"/>
    <w:multiLevelType w:val="hybridMultilevel"/>
    <w:tmpl w:val="80B2C43A"/>
    <w:lvl w:ilvl="0" w:tplc="1706BBAE">
      <w:start w:val="1"/>
      <w:numFmt w:val="upperLetter"/>
      <w:lvlText w:val="%1)"/>
      <w:lvlJc w:val="left"/>
      <w:pPr>
        <w:ind w:left="502" w:hanging="360"/>
      </w:pPr>
      <w:rPr>
        <w:rFonts w:ascii="Verdana" w:hAnsi="Verdana" w:hint="default"/>
        <w:b/>
        <w:i/>
        <w:sz w:val="20"/>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4" w15:restartNumberingAfterBreak="0">
    <w:nsid w:val="35EC5C34"/>
    <w:multiLevelType w:val="hybridMultilevel"/>
    <w:tmpl w:val="9962BE40"/>
    <w:lvl w:ilvl="0" w:tplc="ABF8E334">
      <w:start w:val="1"/>
      <w:numFmt w:val="decimal"/>
      <w:lvlText w:val="%1."/>
      <w:lvlJc w:val="left"/>
      <w:pPr>
        <w:ind w:left="928" w:hanging="360"/>
      </w:pPr>
      <w:rPr>
        <w:rFonts w:ascii="Verdana" w:hAnsi="Verdana" w:hint="default"/>
        <w:b w:val="0"/>
        <w:i w:val="0"/>
        <w:color w:val="auto"/>
      </w:rPr>
    </w:lvl>
    <w:lvl w:ilvl="1" w:tplc="C23AC0AA">
      <w:start w:val="1"/>
      <w:numFmt w:val="lowerLetter"/>
      <w:lvlText w:val="%2)"/>
      <w:lvlJc w:val="left"/>
      <w:pPr>
        <w:ind w:left="1080" w:hanging="360"/>
      </w:pPr>
      <w:rPr>
        <w:rFonts w:hint="default"/>
        <w:i/>
      </w:r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3B4692"/>
    <w:multiLevelType w:val="hybridMultilevel"/>
    <w:tmpl w:val="79ECD4CA"/>
    <w:lvl w:ilvl="0" w:tplc="40F8DDE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87A6DBB"/>
    <w:multiLevelType w:val="hybridMultilevel"/>
    <w:tmpl w:val="CC488368"/>
    <w:lvl w:ilvl="0" w:tplc="2F32EF86">
      <w:start w:val="111"/>
      <w:numFmt w:val="decimal"/>
      <w:lvlText w:val="%1."/>
      <w:lvlJc w:val="left"/>
      <w:pPr>
        <w:ind w:left="965" w:hanging="567"/>
      </w:pPr>
      <w:rPr>
        <w:rFonts w:ascii="Verdana" w:eastAsia="Verdana" w:hAnsi="Verdana" w:cs="Verdana" w:hint="default"/>
        <w:b w:val="0"/>
        <w:i w:val="0"/>
        <w:w w:val="99"/>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91343DC"/>
    <w:multiLevelType w:val="hybridMultilevel"/>
    <w:tmpl w:val="33DE18B6"/>
    <w:lvl w:ilvl="0" w:tplc="3F7CDB3E">
      <w:start w:val="131"/>
      <w:numFmt w:val="decimal"/>
      <w:lvlText w:val="%1."/>
      <w:lvlJc w:val="left"/>
      <w:pPr>
        <w:ind w:left="965" w:hanging="567"/>
      </w:pPr>
      <w:rPr>
        <w:rFonts w:ascii="Verdana" w:eastAsia="Verdana" w:hAnsi="Verdana" w:cs="Verdana" w:hint="default"/>
        <w:b w:val="0"/>
        <w:i w:val="0"/>
        <w:w w:val="99"/>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C3862C4"/>
    <w:multiLevelType w:val="hybridMultilevel"/>
    <w:tmpl w:val="76503630"/>
    <w:lvl w:ilvl="0" w:tplc="79C86948">
      <w:start w:val="120"/>
      <w:numFmt w:val="decimal"/>
      <w:lvlText w:val="%1."/>
      <w:lvlJc w:val="left"/>
      <w:pPr>
        <w:ind w:left="927" w:hanging="567"/>
      </w:pPr>
      <w:rPr>
        <w:rFonts w:ascii="Verdana" w:eastAsia="Verdana" w:hAnsi="Verdana" w:cs="Verdana" w:hint="default"/>
        <w:b w:val="0"/>
        <w:i w:val="0"/>
        <w:w w:val="99"/>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22F4C26"/>
    <w:multiLevelType w:val="hybridMultilevel"/>
    <w:tmpl w:val="1E7CEB36"/>
    <w:lvl w:ilvl="0" w:tplc="1D2C6A68">
      <w:start w:val="1"/>
      <w:numFmt w:val="decimal"/>
      <w:lvlText w:val="%1."/>
      <w:lvlJc w:val="left"/>
      <w:pPr>
        <w:ind w:left="397" w:hanging="567"/>
      </w:pPr>
      <w:rPr>
        <w:rFonts w:ascii="Verdana" w:eastAsia="Verdana" w:hAnsi="Verdana" w:cs="Verdana" w:hint="default"/>
        <w:b w:val="0"/>
        <w:i w:val="0"/>
        <w:w w:val="99"/>
        <w:sz w:val="20"/>
        <w:szCs w:val="20"/>
      </w:rPr>
    </w:lvl>
    <w:lvl w:ilvl="1" w:tplc="0E449F0A">
      <w:start w:val="1"/>
      <w:numFmt w:val="lowerLetter"/>
      <w:lvlText w:val="%2)"/>
      <w:lvlJc w:val="left"/>
      <w:pPr>
        <w:ind w:left="1475" w:hanging="358"/>
      </w:pPr>
      <w:rPr>
        <w:rFonts w:ascii="Verdana" w:eastAsia="Verdana" w:hAnsi="Verdana" w:cs="Verdana" w:hint="default"/>
        <w:i w:val="0"/>
        <w:w w:val="99"/>
        <w:sz w:val="20"/>
        <w:szCs w:val="20"/>
      </w:rPr>
    </w:lvl>
    <w:lvl w:ilvl="2" w:tplc="CF6038C2">
      <w:numFmt w:val="bullet"/>
      <w:lvlText w:val="•"/>
      <w:lvlJc w:val="left"/>
      <w:pPr>
        <w:ind w:left="2448" w:hanging="358"/>
      </w:pPr>
      <w:rPr>
        <w:rFonts w:hint="default"/>
      </w:rPr>
    </w:lvl>
    <w:lvl w:ilvl="3" w:tplc="D8A23F38">
      <w:numFmt w:val="bullet"/>
      <w:lvlText w:val="•"/>
      <w:lvlJc w:val="left"/>
      <w:pPr>
        <w:ind w:left="3417" w:hanging="358"/>
      </w:pPr>
      <w:rPr>
        <w:rFonts w:hint="default"/>
      </w:rPr>
    </w:lvl>
    <w:lvl w:ilvl="4" w:tplc="9E1C0360">
      <w:numFmt w:val="bullet"/>
      <w:lvlText w:val="•"/>
      <w:lvlJc w:val="left"/>
      <w:pPr>
        <w:ind w:left="4386" w:hanging="358"/>
      </w:pPr>
      <w:rPr>
        <w:rFonts w:hint="default"/>
      </w:rPr>
    </w:lvl>
    <w:lvl w:ilvl="5" w:tplc="B26A3CCC">
      <w:numFmt w:val="bullet"/>
      <w:lvlText w:val="•"/>
      <w:lvlJc w:val="left"/>
      <w:pPr>
        <w:ind w:left="5355" w:hanging="358"/>
      </w:pPr>
      <w:rPr>
        <w:rFonts w:hint="default"/>
      </w:rPr>
    </w:lvl>
    <w:lvl w:ilvl="6" w:tplc="E8DE3DFE">
      <w:numFmt w:val="bullet"/>
      <w:lvlText w:val="•"/>
      <w:lvlJc w:val="left"/>
      <w:pPr>
        <w:ind w:left="6324" w:hanging="358"/>
      </w:pPr>
      <w:rPr>
        <w:rFonts w:hint="default"/>
      </w:rPr>
    </w:lvl>
    <w:lvl w:ilvl="7" w:tplc="C23C1B10">
      <w:numFmt w:val="bullet"/>
      <w:lvlText w:val="•"/>
      <w:lvlJc w:val="left"/>
      <w:pPr>
        <w:ind w:left="7293" w:hanging="358"/>
      </w:pPr>
      <w:rPr>
        <w:rFonts w:hint="default"/>
      </w:rPr>
    </w:lvl>
    <w:lvl w:ilvl="8" w:tplc="B7B0583E">
      <w:numFmt w:val="bullet"/>
      <w:lvlText w:val="•"/>
      <w:lvlJc w:val="left"/>
      <w:pPr>
        <w:ind w:left="8262" w:hanging="358"/>
      </w:pPr>
      <w:rPr>
        <w:rFonts w:hint="default"/>
      </w:rPr>
    </w:lvl>
  </w:abstractNum>
  <w:abstractNum w:abstractNumId="20" w15:restartNumberingAfterBreak="0">
    <w:nsid w:val="47AF5541"/>
    <w:multiLevelType w:val="hybridMultilevel"/>
    <w:tmpl w:val="B5F4DB32"/>
    <w:lvl w:ilvl="0" w:tplc="C1CC676C">
      <w:start w:val="1"/>
      <w:numFmt w:val="upperLetter"/>
      <w:lvlText w:val="%1)"/>
      <w:lvlJc w:val="left"/>
      <w:pPr>
        <w:ind w:left="758" w:hanging="360"/>
      </w:pPr>
      <w:rPr>
        <w:rFonts w:hint="default"/>
        <w:b/>
        <w:i/>
      </w:rPr>
    </w:lvl>
    <w:lvl w:ilvl="1" w:tplc="140A0019" w:tentative="1">
      <w:start w:val="1"/>
      <w:numFmt w:val="lowerLetter"/>
      <w:lvlText w:val="%2."/>
      <w:lvlJc w:val="left"/>
      <w:pPr>
        <w:ind w:left="1478" w:hanging="360"/>
      </w:pPr>
    </w:lvl>
    <w:lvl w:ilvl="2" w:tplc="140A001B" w:tentative="1">
      <w:start w:val="1"/>
      <w:numFmt w:val="lowerRoman"/>
      <w:lvlText w:val="%3."/>
      <w:lvlJc w:val="right"/>
      <w:pPr>
        <w:ind w:left="2198" w:hanging="180"/>
      </w:pPr>
    </w:lvl>
    <w:lvl w:ilvl="3" w:tplc="140A000F" w:tentative="1">
      <w:start w:val="1"/>
      <w:numFmt w:val="decimal"/>
      <w:lvlText w:val="%4."/>
      <w:lvlJc w:val="left"/>
      <w:pPr>
        <w:ind w:left="2918" w:hanging="360"/>
      </w:pPr>
    </w:lvl>
    <w:lvl w:ilvl="4" w:tplc="140A0019" w:tentative="1">
      <w:start w:val="1"/>
      <w:numFmt w:val="lowerLetter"/>
      <w:lvlText w:val="%5."/>
      <w:lvlJc w:val="left"/>
      <w:pPr>
        <w:ind w:left="3638" w:hanging="360"/>
      </w:pPr>
    </w:lvl>
    <w:lvl w:ilvl="5" w:tplc="140A001B" w:tentative="1">
      <w:start w:val="1"/>
      <w:numFmt w:val="lowerRoman"/>
      <w:lvlText w:val="%6."/>
      <w:lvlJc w:val="right"/>
      <w:pPr>
        <w:ind w:left="4358" w:hanging="180"/>
      </w:pPr>
    </w:lvl>
    <w:lvl w:ilvl="6" w:tplc="140A000F" w:tentative="1">
      <w:start w:val="1"/>
      <w:numFmt w:val="decimal"/>
      <w:lvlText w:val="%7."/>
      <w:lvlJc w:val="left"/>
      <w:pPr>
        <w:ind w:left="5078" w:hanging="360"/>
      </w:pPr>
    </w:lvl>
    <w:lvl w:ilvl="7" w:tplc="140A0019" w:tentative="1">
      <w:start w:val="1"/>
      <w:numFmt w:val="lowerLetter"/>
      <w:lvlText w:val="%8."/>
      <w:lvlJc w:val="left"/>
      <w:pPr>
        <w:ind w:left="5798" w:hanging="360"/>
      </w:pPr>
    </w:lvl>
    <w:lvl w:ilvl="8" w:tplc="140A001B" w:tentative="1">
      <w:start w:val="1"/>
      <w:numFmt w:val="lowerRoman"/>
      <w:lvlText w:val="%9."/>
      <w:lvlJc w:val="right"/>
      <w:pPr>
        <w:ind w:left="6518" w:hanging="180"/>
      </w:pPr>
    </w:lvl>
  </w:abstractNum>
  <w:abstractNum w:abstractNumId="21" w15:restartNumberingAfterBreak="0">
    <w:nsid w:val="4AA01D9B"/>
    <w:multiLevelType w:val="hybridMultilevel"/>
    <w:tmpl w:val="0A34B84E"/>
    <w:lvl w:ilvl="0" w:tplc="66067C3C">
      <w:start w:val="164"/>
      <w:numFmt w:val="decimal"/>
      <w:lvlText w:val="%1."/>
      <w:lvlJc w:val="left"/>
      <w:pPr>
        <w:ind w:left="397" w:hanging="567"/>
      </w:pPr>
      <w:rPr>
        <w:rFonts w:ascii="Verdana" w:eastAsia="Verdana" w:hAnsi="Verdana" w:cs="Verdana" w:hint="default"/>
        <w:b w:val="0"/>
        <w:i w:val="0"/>
        <w:w w:val="99"/>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AE56A32"/>
    <w:multiLevelType w:val="hybridMultilevel"/>
    <w:tmpl w:val="EF008A0A"/>
    <w:lvl w:ilvl="0" w:tplc="0818F2B6">
      <w:start w:val="1"/>
      <w:numFmt w:val="upperLetter"/>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3" w15:restartNumberingAfterBreak="0">
    <w:nsid w:val="4CCD1B5F"/>
    <w:multiLevelType w:val="hybridMultilevel"/>
    <w:tmpl w:val="91E0E35C"/>
    <w:lvl w:ilvl="0" w:tplc="B3E6F204">
      <w:start w:val="1"/>
      <w:numFmt w:val="decimal"/>
      <w:lvlText w:val="%1."/>
      <w:lvlJc w:val="left"/>
      <w:pPr>
        <w:ind w:left="1495" w:hanging="360"/>
      </w:pPr>
      <w:rPr>
        <w:rFonts w:ascii="Verdana" w:eastAsia="Batang" w:hAnsi="Verdana" w:cs="Times"/>
        <w:b w:val="0"/>
        <w:i w:val="0"/>
        <w:color w:val="auto"/>
        <w:sz w:val="20"/>
        <w:szCs w:val="20"/>
        <w:lang w:val="es-ES_tradnl"/>
      </w:rPr>
    </w:lvl>
    <w:lvl w:ilvl="1" w:tplc="62A25344">
      <w:start w:val="1"/>
      <w:numFmt w:val="lowerLetter"/>
      <w:lvlText w:val="%2)"/>
      <w:lvlJc w:val="left"/>
      <w:pPr>
        <w:ind w:left="1647" w:hanging="360"/>
      </w:pPr>
      <w:rPr>
        <w:rFonts w:ascii="Verdana" w:eastAsia="Batang" w:hAnsi="Verdana" w:cs="Times"/>
      </w:rPr>
    </w:lvl>
    <w:lvl w:ilvl="2" w:tplc="140A001B">
      <w:start w:val="1"/>
      <w:numFmt w:val="lowerRoman"/>
      <w:lvlText w:val="%3."/>
      <w:lvlJc w:val="right"/>
      <w:pPr>
        <w:ind w:left="2547" w:hanging="360"/>
      </w:pPr>
      <w:rPr>
        <w:rFonts w:hint="default"/>
      </w:rPr>
    </w:lvl>
    <w:lvl w:ilvl="3" w:tplc="F50C6474">
      <w:start w:val="1"/>
      <w:numFmt w:val="lowerLetter"/>
      <w:lvlText w:val="%4)"/>
      <w:lvlJc w:val="left"/>
      <w:pPr>
        <w:ind w:left="3087" w:hanging="360"/>
      </w:pPr>
      <w:rPr>
        <w:rFonts w:hint="default"/>
      </w:rPr>
    </w:lvl>
    <w:lvl w:ilvl="4" w:tplc="86144CC8">
      <w:start w:val="7"/>
      <w:numFmt w:val="decimal"/>
      <w:lvlText w:val="%5"/>
      <w:lvlJc w:val="left"/>
      <w:pPr>
        <w:ind w:left="3807" w:hanging="360"/>
      </w:pPr>
      <w:rPr>
        <w:rFonts w:hint="default"/>
        <w:i/>
      </w:r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4" w15:restartNumberingAfterBreak="0">
    <w:nsid w:val="52042250"/>
    <w:multiLevelType w:val="hybridMultilevel"/>
    <w:tmpl w:val="29BC6242"/>
    <w:lvl w:ilvl="0" w:tplc="15C4500E">
      <w:start w:val="100"/>
      <w:numFmt w:val="decimal"/>
      <w:lvlText w:val="%1."/>
      <w:lvlJc w:val="left"/>
      <w:pPr>
        <w:ind w:left="927" w:hanging="567"/>
      </w:pPr>
      <w:rPr>
        <w:rFonts w:ascii="Verdana" w:eastAsia="Verdana" w:hAnsi="Verdana" w:cs="Verdana" w:hint="default"/>
        <w:b w:val="0"/>
        <w:i w:val="0"/>
        <w:w w:val="99"/>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6FA798A"/>
    <w:multiLevelType w:val="hybridMultilevel"/>
    <w:tmpl w:val="1AD6E0F2"/>
    <w:lvl w:ilvl="0" w:tplc="C8ECC394">
      <w:start w:val="1"/>
      <w:numFmt w:val="decimal"/>
      <w:lvlText w:val="%1."/>
      <w:lvlJc w:val="left"/>
      <w:pPr>
        <w:ind w:left="360" w:hanging="360"/>
      </w:pPr>
      <w:rPr>
        <w:rFonts w:ascii="Verdana" w:eastAsiaTheme="majorEastAsia" w:hAnsi="Verdana" w:cstheme="majorBidi" w:hint="default"/>
        <w:b w:val="0"/>
        <w:sz w:val="20"/>
        <w:lang w:val="es-E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DB37189"/>
    <w:multiLevelType w:val="hybridMultilevel"/>
    <w:tmpl w:val="4EAEF5D8"/>
    <w:lvl w:ilvl="0" w:tplc="B96AB5F0">
      <w:start w:val="1"/>
      <w:numFmt w:val="upperLetter"/>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7" w15:restartNumberingAfterBreak="0">
    <w:nsid w:val="66A22E51"/>
    <w:multiLevelType w:val="hybridMultilevel"/>
    <w:tmpl w:val="79ECD4CA"/>
    <w:lvl w:ilvl="0" w:tplc="40F8DDE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9424F21"/>
    <w:multiLevelType w:val="hybridMultilevel"/>
    <w:tmpl w:val="6AA266D6"/>
    <w:lvl w:ilvl="0" w:tplc="FCB8C62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C9A1EA7"/>
    <w:multiLevelType w:val="hybridMultilevel"/>
    <w:tmpl w:val="AD1ECB66"/>
    <w:lvl w:ilvl="0" w:tplc="D410F42A">
      <w:start w:val="1"/>
      <w:numFmt w:val="upperLetter"/>
      <w:lvlText w:val="%1)"/>
      <w:lvlJc w:val="left"/>
      <w:pPr>
        <w:ind w:left="758" w:hanging="360"/>
      </w:pPr>
      <w:rPr>
        <w:rFonts w:hint="default"/>
      </w:rPr>
    </w:lvl>
    <w:lvl w:ilvl="1" w:tplc="140A0019" w:tentative="1">
      <w:start w:val="1"/>
      <w:numFmt w:val="lowerLetter"/>
      <w:lvlText w:val="%2."/>
      <w:lvlJc w:val="left"/>
      <w:pPr>
        <w:ind w:left="1478" w:hanging="360"/>
      </w:pPr>
    </w:lvl>
    <w:lvl w:ilvl="2" w:tplc="140A001B" w:tentative="1">
      <w:start w:val="1"/>
      <w:numFmt w:val="lowerRoman"/>
      <w:lvlText w:val="%3."/>
      <w:lvlJc w:val="right"/>
      <w:pPr>
        <w:ind w:left="2198" w:hanging="180"/>
      </w:pPr>
    </w:lvl>
    <w:lvl w:ilvl="3" w:tplc="140A000F" w:tentative="1">
      <w:start w:val="1"/>
      <w:numFmt w:val="decimal"/>
      <w:lvlText w:val="%4."/>
      <w:lvlJc w:val="left"/>
      <w:pPr>
        <w:ind w:left="2918" w:hanging="360"/>
      </w:pPr>
    </w:lvl>
    <w:lvl w:ilvl="4" w:tplc="140A0019" w:tentative="1">
      <w:start w:val="1"/>
      <w:numFmt w:val="lowerLetter"/>
      <w:lvlText w:val="%5."/>
      <w:lvlJc w:val="left"/>
      <w:pPr>
        <w:ind w:left="3638" w:hanging="360"/>
      </w:pPr>
    </w:lvl>
    <w:lvl w:ilvl="5" w:tplc="140A001B" w:tentative="1">
      <w:start w:val="1"/>
      <w:numFmt w:val="lowerRoman"/>
      <w:lvlText w:val="%6."/>
      <w:lvlJc w:val="right"/>
      <w:pPr>
        <w:ind w:left="4358" w:hanging="180"/>
      </w:pPr>
    </w:lvl>
    <w:lvl w:ilvl="6" w:tplc="140A000F" w:tentative="1">
      <w:start w:val="1"/>
      <w:numFmt w:val="decimal"/>
      <w:lvlText w:val="%7."/>
      <w:lvlJc w:val="left"/>
      <w:pPr>
        <w:ind w:left="5078" w:hanging="360"/>
      </w:pPr>
    </w:lvl>
    <w:lvl w:ilvl="7" w:tplc="140A0019" w:tentative="1">
      <w:start w:val="1"/>
      <w:numFmt w:val="lowerLetter"/>
      <w:lvlText w:val="%8."/>
      <w:lvlJc w:val="left"/>
      <w:pPr>
        <w:ind w:left="5798" w:hanging="360"/>
      </w:pPr>
    </w:lvl>
    <w:lvl w:ilvl="8" w:tplc="140A001B" w:tentative="1">
      <w:start w:val="1"/>
      <w:numFmt w:val="lowerRoman"/>
      <w:lvlText w:val="%9."/>
      <w:lvlJc w:val="right"/>
      <w:pPr>
        <w:ind w:left="6518" w:hanging="180"/>
      </w:pPr>
    </w:lvl>
  </w:abstractNum>
  <w:abstractNum w:abstractNumId="30" w15:restartNumberingAfterBreak="0">
    <w:nsid w:val="70467959"/>
    <w:multiLevelType w:val="hybridMultilevel"/>
    <w:tmpl w:val="5C1C129A"/>
    <w:lvl w:ilvl="0" w:tplc="F8EE49CE">
      <w:start w:val="54"/>
      <w:numFmt w:val="decimal"/>
      <w:lvlText w:val="%1."/>
      <w:lvlJc w:val="left"/>
      <w:pPr>
        <w:ind w:left="965" w:hanging="567"/>
      </w:pPr>
      <w:rPr>
        <w:rFonts w:ascii="Verdana" w:eastAsia="Verdana" w:hAnsi="Verdana" w:cs="Verdana" w:hint="default"/>
        <w:b w:val="0"/>
        <w:i w:val="0"/>
        <w:w w:val="99"/>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72A5C3F"/>
    <w:multiLevelType w:val="hybridMultilevel"/>
    <w:tmpl w:val="A7FACC40"/>
    <w:lvl w:ilvl="0" w:tplc="9F40DD2E">
      <w:start w:val="1"/>
      <w:numFmt w:val="upperLetter"/>
      <w:lvlText w:val="%1)"/>
      <w:lvlJc w:val="left"/>
      <w:pPr>
        <w:ind w:left="758" w:hanging="360"/>
      </w:pPr>
      <w:rPr>
        <w:rFonts w:hint="default"/>
      </w:rPr>
    </w:lvl>
    <w:lvl w:ilvl="1" w:tplc="140A0019" w:tentative="1">
      <w:start w:val="1"/>
      <w:numFmt w:val="lowerLetter"/>
      <w:lvlText w:val="%2."/>
      <w:lvlJc w:val="left"/>
      <w:pPr>
        <w:ind w:left="1478" w:hanging="360"/>
      </w:pPr>
    </w:lvl>
    <w:lvl w:ilvl="2" w:tplc="140A001B" w:tentative="1">
      <w:start w:val="1"/>
      <w:numFmt w:val="lowerRoman"/>
      <w:lvlText w:val="%3."/>
      <w:lvlJc w:val="right"/>
      <w:pPr>
        <w:ind w:left="2198" w:hanging="180"/>
      </w:pPr>
    </w:lvl>
    <w:lvl w:ilvl="3" w:tplc="140A000F" w:tentative="1">
      <w:start w:val="1"/>
      <w:numFmt w:val="decimal"/>
      <w:lvlText w:val="%4."/>
      <w:lvlJc w:val="left"/>
      <w:pPr>
        <w:ind w:left="2918" w:hanging="360"/>
      </w:pPr>
    </w:lvl>
    <w:lvl w:ilvl="4" w:tplc="140A0019" w:tentative="1">
      <w:start w:val="1"/>
      <w:numFmt w:val="lowerLetter"/>
      <w:lvlText w:val="%5."/>
      <w:lvlJc w:val="left"/>
      <w:pPr>
        <w:ind w:left="3638" w:hanging="360"/>
      </w:pPr>
    </w:lvl>
    <w:lvl w:ilvl="5" w:tplc="140A001B" w:tentative="1">
      <w:start w:val="1"/>
      <w:numFmt w:val="lowerRoman"/>
      <w:lvlText w:val="%6."/>
      <w:lvlJc w:val="right"/>
      <w:pPr>
        <w:ind w:left="4358" w:hanging="180"/>
      </w:pPr>
    </w:lvl>
    <w:lvl w:ilvl="6" w:tplc="140A000F" w:tentative="1">
      <w:start w:val="1"/>
      <w:numFmt w:val="decimal"/>
      <w:lvlText w:val="%7."/>
      <w:lvlJc w:val="left"/>
      <w:pPr>
        <w:ind w:left="5078" w:hanging="360"/>
      </w:pPr>
    </w:lvl>
    <w:lvl w:ilvl="7" w:tplc="140A0019" w:tentative="1">
      <w:start w:val="1"/>
      <w:numFmt w:val="lowerLetter"/>
      <w:lvlText w:val="%8."/>
      <w:lvlJc w:val="left"/>
      <w:pPr>
        <w:ind w:left="5798" w:hanging="360"/>
      </w:pPr>
    </w:lvl>
    <w:lvl w:ilvl="8" w:tplc="140A001B" w:tentative="1">
      <w:start w:val="1"/>
      <w:numFmt w:val="lowerRoman"/>
      <w:lvlText w:val="%9."/>
      <w:lvlJc w:val="right"/>
      <w:pPr>
        <w:ind w:left="6518" w:hanging="180"/>
      </w:pPr>
    </w:lvl>
  </w:abstractNum>
  <w:abstractNum w:abstractNumId="32" w15:restartNumberingAfterBreak="0">
    <w:nsid w:val="79354707"/>
    <w:multiLevelType w:val="hybridMultilevel"/>
    <w:tmpl w:val="3E14D708"/>
    <w:lvl w:ilvl="0" w:tplc="EB68A0D2">
      <w:start w:val="1"/>
      <w:numFmt w:val="decimal"/>
      <w:lvlText w:val="%1."/>
      <w:lvlJc w:val="left"/>
      <w:pPr>
        <w:ind w:left="7305" w:hanging="825"/>
      </w:pPr>
      <w:rPr>
        <w:rFonts w:ascii="Verdana" w:eastAsia="Verdana" w:hAnsi="Verdana" w:cs="Verdana" w:hint="default"/>
        <w:b w:val="0"/>
        <w:i w:val="0"/>
        <w:strike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19"/>
  </w:num>
  <w:num w:numId="2">
    <w:abstractNumId w:val="2"/>
  </w:num>
  <w:num w:numId="3">
    <w:abstractNumId w:val="32"/>
  </w:num>
  <w:num w:numId="4">
    <w:abstractNumId w:val="8"/>
  </w:num>
  <w:num w:numId="5">
    <w:abstractNumId w:val="25"/>
  </w:num>
  <w:num w:numId="6">
    <w:abstractNumId w:val="0"/>
  </w:num>
  <w:num w:numId="7">
    <w:abstractNumId w:val="7"/>
  </w:num>
  <w:num w:numId="8">
    <w:abstractNumId w:val="22"/>
  </w:num>
  <w:num w:numId="9">
    <w:abstractNumId w:val="26"/>
  </w:num>
  <w:num w:numId="10">
    <w:abstractNumId w:val="5"/>
  </w:num>
  <w:num w:numId="11">
    <w:abstractNumId w:val="15"/>
  </w:num>
  <w:num w:numId="12">
    <w:abstractNumId w:val="9"/>
  </w:num>
  <w:num w:numId="13">
    <w:abstractNumId w:val="1"/>
  </w:num>
  <w:num w:numId="14">
    <w:abstractNumId w:val="14"/>
  </w:num>
  <w:num w:numId="15">
    <w:abstractNumId w:val="27"/>
  </w:num>
  <w:num w:numId="16">
    <w:abstractNumId w:val="20"/>
  </w:num>
  <w:num w:numId="17">
    <w:abstractNumId w:val="6"/>
  </w:num>
  <w:num w:numId="18">
    <w:abstractNumId w:val="31"/>
  </w:num>
  <w:num w:numId="19">
    <w:abstractNumId w:val="29"/>
  </w:num>
  <w:num w:numId="20">
    <w:abstractNumId w:val="4"/>
  </w:num>
  <w:num w:numId="21">
    <w:abstractNumId w:val="28"/>
  </w:num>
  <w:num w:numId="22">
    <w:abstractNumId w:val="3"/>
  </w:num>
  <w:num w:numId="23">
    <w:abstractNumId w:val="11"/>
  </w:num>
  <w:num w:numId="24">
    <w:abstractNumId w:val="12"/>
  </w:num>
  <w:num w:numId="25">
    <w:abstractNumId w:val="13"/>
  </w:num>
  <w:num w:numId="26">
    <w:abstractNumId w:val="10"/>
  </w:num>
  <w:num w:numId="27">
    <w:abstractNumId w:val="23"/>
  </w:num>
  <w:num w:numId="28">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24"/>
  </w:num>
  <w:num w:numId="31">
    <w:abstractNumId w:val="16"/>
  </w:num>
  <w:num w:numId="32">
    <w:abstractNumId w:val="18"/>
  </w:num>
  <w:num w:numId="33">
    <w:abstractNumId w:val="17"/>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2E"/>
    <w:rsid w:val="000521C0"/>
    <w:rsid w:val="00055A87"/>
    <w:rsid w:val="00060818"/>
    <w:rsid w:val="00063586"/>
    <w:rsid w:val="00084537"/>
    <w:rsid w:val="00090F60"/>
    <w:rsid w:val="000A23CC"/>
    <w:rsid w:val="000A7C67"/>
    <w:rsid w:val="000C7C2E"/>
    <w:rsid w:val="000D1B78"/>
    <w:rsid w:val="000E3E1B"/>
    <w:rsid w:val="000E5D6B"/>
    <w:rsid w:val="000F2503"/>
    <w:rsid w:val="000F3630"/>
    <w:rsid w:val="001042D1"/>
    <w:rsid w:val="001051B7"/>
    <w:rsid w:val="00121005"/>
    <w:rsid w:val="00123A31"/>
    <w:rsid w:val="00146F39"/>
    <w:rsid w:val="001518A4"/>
    <w:rsid w:val="00171826"/>
    <w:rsid w:val="00176E89"/>
    <w:rsid w:val="00182649"/>
    <w:rsid w:val="00185043"/>
    <w:rsid w:val="00191ACD"/>
    <w:rsid w:val="001963D8"/>
    <w:rsid w:val="001A4E17"/>
    <w:rsid w:val="001B4609"/>
    <w:rsid w:val="001B655C"/>
    <w:rsid w:val="001D61D2"/>
    <w:rsid w:val="001D72E3"/>
    <w:rsid w:val="001E42EB"/>
    <w:rsid w:val="001E76FC"/>
    <w:rsid w:val="001F64B5"/>
    <w:rsid w:val="001F69B6"/>
    <w:rsid w:val="002115ED"/>
    <w:rsid w:val="00233FA8"/>
    <w:rsid w:val="00237338"/>
    <w:rsid w:val="00244AEA"/>
    <w:rsid w:val="00253986"/>
    <w:rsid w:val="0027270D"/>
    <w:rsid w:val="002729CB"/>
    <w:rsid w:val="0028235E"/>
    <w:rsid w:val="002B0AB0"/>
    <w:rsid w:val="002B37B8"/>
    <w:rsid w:val="002C2B1C"/>
    <w:rsid w:val="002C4EA6"/>
    <w:rsid w:val="002D70A1"/>
    <w:rsid w:val="002E20FB"/>
    <w:rsid w:val="002F7111"/>
    <w:rsid w:val="003119FA"/>
    <w:rsid w:val="0031515F"/>
    <w:rsid w:val="00321532"/>
    <w:rsid w:val="00324135"/>
    <w:rsid w:val="0033631F"/>
    <w:rsid w:val="00341881"/>
    <w:rsid w:val="00351064"/>
    <w:rsid w:val="00352AC1"/>
    <w:rsid w:val="00354AC9"/>
    <w:rsid w:val="003575E5"/>
    <w:rsid w:val="00365306"/>
    <w:rsid w:val="00382156"/>
    <w:rsid w:val="00382BF0"/>
    <w:rsid w:val="003C25A5"/>
    <w:rsid w:val="003D4BE1"/>
    <w:rsid w:val="003D7DCE"/>
    <w:rsid w:val="003F5472"/>
    <w:rsid w:val="00415288"/>
    <w:rsid w:val="004225A7"/>
    <w:rsid w:val="0042558E"/>
    <w:rsid w:val="0042724D"/>
    <w:rsid w:val="00436762"/>
    <w:rsid w:val="00457E10"/>
    <w:rsid w:val="00460473"/>
    <w:rsid w:val="004B3C5D"/>
    <w:rsid w:val="004B76B8"/>
    <w:rsid w:val="004D3B93"/>
    <w:rsid w:val="004E64A8"/>
    <w:rsid w:val="004F4161"/>
    <w:rsid w:val="0051237A"/>
    <w:rsid w:val="00512E8D"/>
    <w:rsid w:val="00522FC4"/>
    <w:rsid w:val="00533603"/>
    <w:rsid w:val="0053742E"/>
    <w:rsid w:val="00541CC4"/>
    <w:rsid w:val="00547F7F"/>
    <w:rsid w:val="005529EF"/>
    <w:rsid w:val="0055313C"/>
    <w:rsid w:val="005535B9"/>
    <w:rsid w:val="005569F5"/>
    <w:rsid w:val="0056662D"/>
    <w:rsid w:val="00574664"/>
    <w:rsid w:val="005877BE"/>
    <w:rsid w:val="005A12F0"/>
    <w:rsid w:val="005A1F31"/>
    <w:rsid w:val="005A5D4C"/>
    <w:rsid w:val="005C05F5"/>
    <w:rsid w:val="005E3238"/>
    <w:rsid w:val="00623CC2"/>
    <w:rsid w:val="006244E4"/>
    <w:rsid w:val="00653FAD"/>
    <w:rsid w:val="00657F5B"/>
    <w:rsid w:val="00665A52"/>
    <w:rsid w:val="0066619F"/>
    <w:rsid w:val="00670C37"/>
    <w:rsid w:val="00683470"/>
    <w:rsid w:val="00685A14"/>
    <w:rsid w:val="00686B83"/>
    <w:rsid w:val="006A38ED"/>
    <w:rsid w:val="006B1EA7"/>
    <w:rsid w:val="006C2656"/>
    <w:rsid w:val="006E1AE7"/>
    <w:rsid w:val="006F559F"/>
    <w:rsid w:val="006F7C48"/>
    <w:rsid w:val="00703A18"/>
    <w:rsid w:val="00705AA7"/>
    <w:rsid w:val="00705D78"/>
    <w:rsid w:val="00706B5B"/>
    <w:rsid w:val="00706C23"/>
    <w:rsid w:val="007074DF"/>
    <w:rsid w:val="007300C6"/>
    <w:rsid w:val="007325EA"/>
    <w:rsid w:val="007356FB"/>
    <w:rsid w:val="00735B28"/>
    <w:rsid w:val="007531C1"/>
    <w:rsid w:val="007672FC"/>
    <w:rsid w:val="00770E34"/>
    <w:rsid w:val="0077108C"/>
    <w:rsid w:val="0079161A"/>
    <w:rsid w:val="007C43C4"/>
    <w:rsid w:val="007D0D58"/>
    <w:rsid w:val="007D141F"/>
    <w:rsid w:val="007E2817"/>
    <w:rsid w:val="0082761F"/>
    <w:rsid w:val="00832B79"/>
    <w:rsid w:val="008356B5"/>
    <w:rsid w:val="008469FC"/>
    <w:rsid w:val="00847C35"/>
    <w:rsid w:val="008521B7"/>
    <w:rsid w:val="008524E9"/>
    <w:rsid w:val="00853951"/>
    <w:rsid w:val="00854ED7"/>
    <w:rsid w:val="00855356"/>
    <w:rsid w:val="008567B1"/>
    <w:rsid w:val="00867FD3"/>
    <w:rsid w:val="0087743B"/>
    <w:rsid w:val="0088259B"/>
    <w:rsid w:val="00894620"/>
    <w:rsid w:val="00896CF4"/>
    <w:rsid w:val="008A00A1"/>
    <w:rsid w:val="008A133E"/>
    <w:rsid w:val="008A4FA0"/>
    <w:rsid w:val="008A7E88"/>
    <w:rsid w:val="008C68BD"/>
    <w:rsid w:val="008D0F4E"/>
    <w:rsid w:val="008D1A79"/>
    <w:rsid w:val="008D220D"/>
    <w:rsid w:val="008E47EB"/>
    <w:rsid w:val="008E4CE7"/>
    <w:rsid w:val="008E7889"/>
    <w:rsid w:val="0090110C"/>
    <w:rsid w:val="00910B2F"/>
    <w:rsid w:val="00912627"/>
    <w:rsid w:val="00915A2D"/>
    <w:rsid w:val="00916672"/>
    <w:rsid w:val="00931AC6"/>
    <w:rsid w:val="00936C24"/>
    <w:rsid w:val="009479D9"/>
    <w:rsid w:val="009557A6"/>
    <w:rsid w:val="0097539A"/>
    <w:rsid w:val="0098197D"/>
    <w:rsid w:val="00981E0C"/>
    <w:rsid w:val="009879DA"/>
    <w:rsid w:val="00990A38"/>
    <w:rsid w:val="009A1CFE"/>
    <w:rsid w:val="009B58F0"/>
    <w:rsid w:val="009C13AF"/>
    <w:rsid w:val="009C39DA"/>
    <w:rsid w:val="009E285B"/>
    <w:rsid w:val="009F21C7"/>
    <w:rsid w:val="009F3673"/>
    <w:rsid w:val="009F45F6"/>
    <w:rsid w:val="009F7699"/>
    <w:rsid w:val="00A00593"/>
    <w:rsid w:val="00A15273"/>
    <w:rsid w:val="00A15E41"/>
    <w:rsid w:val="00A212D7"/>
    <w:rsid w:val="00A23433"/>
    <w:rsid w:val="00A246FF"/>
    <w:rsid w:val="00A24B4D"/>
    <w:rsid w:val="00A43D1A"/>
    <w:rsid w:val="00A446D4"/>
    <w:rsid w:val="00A50A7D"/>
    <w:rsid w:val="00A54DDE"/>
    <w:rsid w:val="00A6522C"/>
    <w:rsid w:val="00A70195"/>
    <w:rsid w:val="00A7287A"/>
    <w:rsid w:val="00A77BA6"/>
    <w:rsid w:val="00A84490"/>
    <w:rsid w:val="00A96CF0"/>
    <w:rsid w:val="00AA2F59"/>
    <w:rsid w:val="00AC39B9"/>
    <w:rsid w:val="00B10E70"/>
    <w:rsid w:val="00B2009D"/>
    <w:rsid w:val="00B27F60"/>
    <w:rsid w:val="00B4652D"/>
    <w:rsid w:val="00B66AD3"/>
    <w:rsid w:val="00B705D1"/>
    <w:rsid w:val="00B72297"/>
    <w:rsid w:val="00B741C6"/>
    <w:rsid w:val="00B74836"/>
    <w:rsid w:val="00BA1256"/>
    <w:rsid w:val="00BA3295"/>
    <w:rsid w:val="00BC12E8"/>
    <w:rsid w:val="00BD1F6E"/>
    <w:rsid w:val="00BD5852"/>
    <w:rsid w:val="00BE0A73"/>
    <w:rsid w:val="00C11C12"/>
    <w:rsid w:val="00C14C64"/>
    <w:rsid w:val="00C4030B"/>
    <w:rsid w:val="00C531AD"/>
    <w:rsid w:val="00C61055"/>
    <w:rsid w:val="00C80ED4"/>
    <w:rsid w:val="00C8170B"/>
    <w:rsid w:val="00C91531"/>
    <w:rsid w:val="00C93411"/>
    <w:rsid w:val="00CB5C74"/>
    <w:rsid w:val="00CC6723"/>
    <w:rsid w:val="00CD22AD"/>
    <w:rsid w:val="00CE279C"/>
    <w:rsid w:val="00CF0121"/>
    <w:rsid w:val="00CF0B89"/>
    <w:rsid w:val="00CF3ED4"/>
    <w:rsid w:val="00CF7FC0"/>
    <w:rsid w:val="00D04042"/>
    <w:rsid w:val="00D12B26"/>
    <w:rsid w:val="00D16DC3"/>
    <w:rsid w:val="00D24272"/>
    <w:rsid w:val="00D32C13"/>
    <w:rsid w:val="00D33A86"/>
    <w:rsid w:val="00D740A1"/>
    <w:rsid w:val="00D90C1A"/>
    <w:rsid w:val="00D925AB"/>
    <w:rsid w:val="00D952F0"/>
    <w:rsid w:val="00DA25E6"/>
    <w:rsid w:val="00DC07DB"/>
    <w:rsid w:val="00DC4619"/>
    <w:rsid w:val="00DE7C1A"/>
    <w:rsid w:val="00E41A5E"/>
    <w:rsid w:val="00E4385C"/>
    <w:rsid w:val="00E52025"/>
    <w:rsid w:val="00E53745"/>
    <w:rsid w:val="00E56356"/>
    <w:rsid w:val="00E6019C"/>
    <w:rsid w:val="00E60212"/>
    <w:rsid w:val="00E622B3"/>
    <w:rsid w:val="00E74A7C"/>
    <w:rsid w:val="00E805A4"/>
    <w:rsid w:val="00E85A72"/>
    <w:rsid w:val="00E917C5"/>
    <w:rsid w:val="00EB5417"/>
    <w:rsid w:val="00EB7E2B"/>
    <w:rsid w:val="00EC4CB9"/>
    <w:rsid w:val="00ED0E0E"/>
    <w:rsid w:val="00EE12AD"/>
    <w:rsid w:val="00EF4EF5"/>
    <w:rsid w:val="00F05053"/>
    <w:rsid w:val="00F13936"/>
    <w:rsid w:val="00F177A3"/>
    <w:rsid w:val="00F20371"/>
    <w:rsid w:val="00F345BE"/>
    <w:rsid w:val="00F3492A"/>
    <w:rsid w:val="00F44F3E"/>
    <w:rsid w:val="00F51624"/>
    <w:rsid w:val="00F53554"/>
    <w:rsid w:val="00F978CD"/>
    <w:rsid w:val="00FA08BE"/>
    <w:rsid w:val="00FB11DD"/>
    <w:rsid w:val="00FC6F68"/>
    <w:rsid w:val="00FD4F08"/>
    <w:rsid w:val="00FE3204"/>
    <w:rsid w:val="00FE329B"/>
    <w:rsid w:val="00FE5759"/>
    <w:rsid w:val="00FF473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00DAA"/>
  <w15:chartTrackingRefBased/>
  <w15:docId w15:val="{039D9C59-D0F6-480A-BC91-14A306AA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C7C2E"/>
    <w:pPr>
      <w:widowControl w:val="0"/>
      <w:autoSpaceDE w:val="0"/>
      <w:autoSpaceDN w:val="0"/>
      <w:spacing w:after="0" w:line="240" w:lineRule="auto"/>
    </w:pPr>
    <w:rPr>
      <w:rFonts w:ascii="Verdana" w:eastAsia="Verdana" w:hAnsi="Verdana" w:cs="Verdana"/>
      <w:lang w:val="es-ES"/>
    </w:rPr>
  </w:style>
  <w:style w:type="paragraph" w:styleId="Ttulo1">
    <w:name w:val="heading 1"/>
    <w:basedOn w:val="Normal"/>
    <w:link w:val="Ttulo1Car"/>
    <w:uiPriority w:val="1"/>
    <w:qFormat/>
    <w:rsid w:val="000C7C2E"/>
    <w:pPr>
      <w:ind w:left="1965"/>
      <w:jc w:val="center"/>
      <w:outlineLvl w:val="0"/>
    </w:pPr>
    <w:rPr>
      <w:b/>
      <w:bCs/>
      <w:sz w:val="20"/>
      <w:szCs w:val="20"/>
    </w:rPr>
  </w:style>
  <w:style w:type="paragraph" w:styleId="Ttulo2">
    <w:name w:val="heading 2"/>
    <w:basedOn w:val="Normal"/>
    <w:link w:val="Ttulo2Car"/>
    <w:uiPriority w:val="1"/>
    <w:qFormat/>
    <w:rsid w:val="000C7C2E"/>
    <w:pPr>
      <w:ind w:left="1259"/>
      <w:outlineLvl w:val="1"/>
    </w:pPr>
    <w:rPr>
      <w:b/>
      <w:bCs/>
      <w:i/>
      <w:sz w:val="20"/>
      <w:szCs w:val="20"/>
    </w:rPr>
  </w:style>
  <w:style w:type="paragraph" w:styleId="Ttulo3">
    <w:name w:val="heading 3"/>
    <w:basedOn w:val="Normal"/>
    <w:next w:val="Normal"/>
    <w:link w:val="Ttulo3Car"/>
    <w:uiPriority w:val="9"/>
    <w:semiHidden/>
    <w:unhideWhenUsed/>
    <w:qFormat/>
    <w:rsid w:val="000C7C2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C7C2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C7C2E"/>
    <w:rPr>
      <w:rFonts w:ascii="Verdana" w:eastAsia="Verdana" w:hAnsi="Verdana" w:cs="Verdana"/>
      <w:b/>
      <w:bCs/>
      <w:sz w:val="20"/>
      <w:szCs w:val="20"/>
      <w:lang w:val="es-ES"/>
    </w:rPr>
  </w:style>
  <w:style w:type="character" w:customStyle="1" w:styleId="Ttulo2Car">
    <w:name w:val="Título 2 Car"/>
    <w:basedOn w:val="Fuentedeprrafopredeter"/>
    <w:link w:val="Ttulo2"/>
    <w:uiPriority w:val="1"/>
    <w:rsid w:val="000C7C2E"/>
    <w:rPr>
      <w:rFonts w:ascii="Verdana" w:eastAsia="Verdana" w:hAnsi="Verdana" w:cs="Verdana"/>
      <w:b/>
      <w:bCs/>
      <w:i/>
      <w:sz w:val="20"/>
      <w:szCs w:val="20"/>
      <w:lang w:val="es-ES"/>
    </w:rPr>
  </w:style>
  <w:style w:type="character" w:customStyle="1" w:styleId="Ttulo3Car">
    <w:name w:val="Título 3 Car"/>
    <w:basedOn w:val="Fuentedeprrafopredeter"/>
    <w:link w:val="Ttulo3"/>
    <w:uiPriority w:val="9"/>
    <w:semiHidden/>
    <w:rsid w:val="000C7C2E"/>
    <w:rPr>
      <w:rFonts w:asciiTheme="majorHAnsi" w:eastAsiaTheme="majorEastAsia" w:hAnsiTheme="majorHAnsi" w:cstheme="majorBidi"/>
      <w:color w:val="1F4D78" w:themeColor="accent1" w:themeShade="7F"/>
      <w:sz w:val="24"/>
      <w:szCs w:val="24"/>
      <w:lang w:val="es-ES"/>
    </w:rPr>
  </w:style>
  <w:style w:type="character" w:customStyle="1" w:styleId="Ttulo4Car">
    <w:name w:val="Título 4 Car"/>
    <w:basedOn w:val="Fuentedeprrafopredeter"/>
    <w:link w:val="Ttulo4"/>
    <w:uiPriority w:val="9"/>
    <w:semiHidden/>
    <w:rsid w:val="000C7C2E"/>
    <w:rPr>
      <w:rFonts w:asciiTheme="majorHAnsi" w:eastAsiaTheme="majorEastAsia" w:hAnsiTheme="majorHAnsi" w:cstheme="majorBidi"/>
      <w:i/>
      <w:iCs/>
      <w:color w:val="2E74B5" w:themeColor="accent1" w:themeShade="BF"/>
      <w:lang w:val="es-ES"/>
    </w:rPr>
  </w:style>
  <w:style w:type="table" w:customStyle="1" w:styleId="TableNormal">
    <w:name w:val="Table Normal"/>
    <w:uiPriority w:val="2"/>
    <w:semiHidden/>
    <w:unhideWhenUsed/>
    <w:qFormat/>
    <w:rsid w:val="000C7C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39"/>
    <w:qFormat/>
    <w:rsid w:val="000C7C2E"/>
    <w:pPr>
      <w:spacing w:before="81"/>
      <w:ind w:left="726" w:hanging="329"/>
    </w:pPr>
    <w:rPr>
      <w:b/>
      <w:bCs/>
      <w:sz w:val="20"/>
      <w:szCs w:val="20"/>
    </w:rPr>
  </w:style>
  <w:style w:type="paragraph" w:styleId="TDC2">
    <w:name w:val="toc 2"/>
    <w:basedOn w:val="Normal"/>
    <w:uiPriority w:val="39"/>
    <w:qFormat/>
    <w:rsid w:val="000C7C2E"/>
    <w:pPr>
      <w:spacing w:before="81"/>
      <w:ind w:left="676" w:hanging="279"/>
    </w:pPr>
    <w:rPr>
      <w:i/>
      <w:sz w:val="20"/>
      <w:szCs w:val="20"/>
    </w:rPr>
  </w:style>
  <w:style w:type="paragraph" w:styleId="TDC3">
    <w:name w:val="toc 3"/>
    <w:basedOn w:val="Normal"/>
    <w:uiPriority w:val="39"/>
    <w:qFormat/>
    <w:rsid w:val="000C7C2E"/>
    <w:pPr>
      <w:spacing w:before="79"/>
      <w:ind w:left="986" w:hanging="590"/>
    </w:pPr>
    <w:rPr>
      <w:i/>
      <w:sz w:val="18"/>
      <w:szCs w:val="18"/>
    </w:rPr>
  </w:style>
  <w:style w:type="paragraph" w:styleId="Textoindependiente">
    <w:name w:val="Body Text"/>
    <w:basedOn w:val="Normal"/>
    <w:link w:val="TextoindependienteCar"/>
    <w:uiPriority w:val="1"/>
    <w:qFormat/>
    <w:rsid w:val="000C7C2E"/>
    <w:rPr>
      <w:sz w:val="20"/>
      <w:szCs w:val="20"/>
    </w:rPr>
  </w:style>
  <w:style w:type="character" w:customStyle="1" w:styleId="TextoindependienteCar">
    <w:name w:val="Texto independiente Car"/>
    <w:basedOn w:val="Fuentedeprrafopredeter"/>
    <w:link w:val="Textoindependiente"/>
    <w:uiPriority w:val="1"/>
    <w:rsid w:val="000C7C2E"/>
    <w:rPr>
      <w:rFonts w:ascii="Verdana" w:eastAsia="Verdana" w:hAnsi="Verdana" w:cs="Verdana"/>
      <w:sz w:val="20"/>
      <w:szCs w:val="20"/>
      <w:lang w:val="es-ES"/>
    </w:rPr>
  </w:style>
  <w:style w:type="paragraph" w:styleId="Prrafodelista">
    <w:name w:val="List Paragraph"/>
    <w:aliases w:val="Párrafo de lista1,List Paragraph1,Colorful List - Accent 11,List Paragraph2,Footnote,Lista vistosa - Énfasis 11,Subtle Emphasis1,Footnote1,Parrafos,List Paragraph11"/>
    <w:basedOn w:val="Normal"/>
    <w:link w:val="PrrafodelistaCar"/>
    <w:uiPriority w:val="34"/>
    <w:qFormat/>
    <w:rsid w:val="000C7C2E"/>
    <w:pPr>
      <w:ind w:left="398"/>
      <w:jc w:val="both"/>
    </w:pPr>
  </w:style>
  <w:style w:type="paragraph" w:customStyle="1" w:styleId="TableParagraph">
    <w:name w:val="Table Paragraph"/>
    <w:basedOn w:val="Normal"/>
    <w:uiPriority w:val="1"/>
    <w:qFormat/>
    <w:rsid w:val="000C7C2E"/>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Ca,FA Fu?notentext,FA Fu Car Car,C,ft"/>
    <w:basedOn w:val="Normal"/>
    <w:link w:val="TextonotapieCar"/>
    <w:unhideWhenUsed/>
    <w:qFormat/>
    <w:rsid w:val="000C7C2E"/>
    <w:pPr>
      <w:widowControl/>
      <w:autoSpaceDE/>
      <w:autoSpaceDN/>
    </w:pPr>
    <w:rPr>
      <w:rFonts w:asciiTheme="minorHAnsi" w:eastAsiaTheme="minorHAnsi" w:hAnsiTheme="minorHAnsi" w:cstheme="minorBidi"/>
      <w:sz w:val="20"/>
      <w:szCs w:val="20"/>
      <w:lang w:val="es-CR"/>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Ca Car,FA Fu Car Car Car"/>
    <w:basedOn w:val="Fuentedeprrafopredeter"/>
    <w:link w:val="Textonotapie"/>
    <w:qFormat/>
    <w:rsid w:val="000C7C2E"/>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0C7C2E"/>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C7C2E"/>
    <w:pPr>
      <w:widowControl/>
      <w:autoSpaceDE/>
      <w:autoSpaceDN/>
      <w:jc w:val="both"/>
    </w:pPr>
    <w:rPr>
      <w:rFonts w:asciiTheme="minorHAnsi" w:eastAsiaTheme="minorHAnsi" w:hAnsiTheme="minorHAnsi" w:cstheme="minorBidi"/>
      <w:vertAlign w:val="superscript"/>
      <w:lang w:val="es-CR"/>
    </w:rPr>
  </w:style>
  <w:style w:type="character" w:customStyle="1" w:styleId="PrrafodelistaCar">
    <w:name w:val="Párrafo de lista Car"/>
    <w:aliases w:val="Párrafo de lista1 Car,List Paragraph1 Car,Colorful List - Accent 11 Car,List Paragraph2 Car,Footnote Car,Lista vistosa - Énfasis 11 Car,Subtle Emphasis1 Car,Footnote1 Car,Parrafos Car,List Paragraph11 Car"/>
    <w:link w:val="Prrafodelista"/>
    <w:uiPriority w:val="34"/>
    <w:rsid w:val="000C7C2E"/>
    <w:rPr>
      <w:rFonts w:ascii="Verdana" w:eastAsia="Verdana" w:hAnsi="Verdana" w:cs="Verdana"/>
      <w:lang w:val="es-ES"/>
    </w:rPr>
  </w:style>
  <w:style w:type="character" w:styleId="Hipervnculo">
    <w:name w:val="Hyperlink"/>
    <w:basedOn w:val="Fuentedeprrafopredeter"/>
    <w:uiPriority w:val="99"/>
    <w:unhideWhenUsed/>
    <w:rsid w:val="000C7C2E"/>
    <w:rPr>
      <w:color w:val="0563C1" w:themeColor="hyperlink"/>
      <w:u w:val="single"/>
    </w:rPr>
  </w:style>
  <w:style w:type="paragraph" w:styleId="Sangra3detindependiente">
    <w:name w:val="Body Text Indent 3"/>
    <w:basedOn w:val="Normal"/>
    <w:link w:val="Sangra3detindependienteCar"/>
    <w:uiPriority w:val="99"/>
    <w:semiHidden/>
    <w:unhideWhenUsed/>
    <w:rsid w:val="000C7C2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0C7C2E"/>
    <w:rPr>
      <w:rFonts w:ascii="Verdana" w:eastAsia="Verdana" w:hAnsi="Verdana" w:cs="Verdana"/>
      <w:sz w:val="16"/>
      <w:szCs w:val="16"/>
      <w:lang w:val="es-E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0C7C2E"/>
    <w:pPr>
      <w:widowControl/>
      <w:autoSpaceDE/>
      <w:autoSpaceDN/>
      <w:spacing w:after="160" w:line="240" w:lineRule="exact"/>
    </w:pPr>
    <w:rPr>
      <w:rFonts w:asciiTheme="minorHAnsi" w:eastAsiaTheme="minorHAnsi" w:hAnsiTheme="minorHAnsi" w:cstheme="minorBidi"/>
      <w:vertAlign w:val="superscript"/>
      <w:lang w:val="es-CR"/>
    </w:rPr>
  </w:style>
  <w:style w:type="character" w:styleId="Textoennegrita">
    <w:name w:val="Strong"/>
    <w:aliases w:val="Heading 2.1"/>
    <w:basedOn w:val="Fuentedeprrafopredeter"/>
    <w:uiPriority w:val="22"/>
    <w:qFormat/>
    <w:rsid w:val="000C7C2E"/>
    <w:rPr>
      <w:b/>
      <w:bCs/>
    </w:rPr>
  </w:style>
  <w:style w:type="paragraph" w:customStyle="1" w:styleId="PrrafodeSentencia">
    <w:name w:val="*. Párrafo de Sentencia"/>
    <w:basedOn w:val="Normal"/>
    <w:next w:val="Normal"/>
    <w:link w:val="PrrafodeSentenciaChar"/>
    <w:qFormat/>
    <w:rsid w:val="000C7C2E"/>
    <w:pPr>
      <w:widowControl/>
      <w:numPr>
        <w:numId w:val="13"/>
      </w:numPr>
      <w:tabs>
        <w:tab w:val="left" w:pos="567"/>
      </w:tabs>
      <w:autoSpaceDE/>
      <w:autoSpaceDN/>
      <w:ind w:left="0" w:firstLine="0"/>
      <w:jc w:val="both"/>
    </w:pPr>
    <w:rPr>
      <w:rFonts w:eastAsia="Batang" w:cstheme="minorBidi"/>
      <w:spacing w:val="-4"/>
      <w:sz w:val="20"/>
      <w:lang w:val="es-CR" w:eastAsia="es-MX"/>
    </w:rPr>
  </w:style>
  <w:style w:type="character" w:customStyle="1" w:styleId="PrrafodeSentenciaChar">
    <w:name w:val="*. Párrafo de Sentencia Char"/>
    <w:link w:val="PrrafodeSentencia"/>
    <w:locked/>
    <w:rsid w:val="000C7C2E"/>
    <w:rPr>
      <w:rFonts w:ascii="Verdana" w:eastAsia="Batang" w:hAnsi="Verdana"/>
      <w:spacing w:val="-4"/>
      <w:sz w:val="20"/>
      <w:lang w:eastAsia="es-MX"/>
    </w:rPr>
  </w:style>
  <w:style w:type="paragraph" w:styleId="NormalWeb">
    <w:name w:val="Normal (Web)"/>
    <w:basedOn w:val="Normal"/>
    <w:uiPriority w:val="99"/>
    <w:unhideWhenUsed/>
    <w:rsid w:val="000C7C2E"/>
    <w:pPr>
      <w:widowControl/>
      <w:autoSpaceDE/>
      <w:autoSpaceDN/>
      <w:spacing w:before="100" w:beforeAutospacing="1" w:after="100" w:afterAutospacing="1"/>
    </w:pPr>
    <w:rPr>
      <w:rFonts w:eastAsiaTheme="minorHAnsi" w:cs="Times New Roman"/>
      <w:sz w:val="20"/>
      <w:szCs w:val="20"/>
      <w:lang w:val="es-CR" w:eastAsia="es-CR"/>
    </w:rPr>
  </w:style>
  <w:style w:type="paragraph" w:styleId="TDC4">
    <w:name w:val="toc 4"/>
    <w:basedOn w:val="Normal"/>
    <w:next w:val="Normal"/>
    <w:autoRedefine/>
    <w:uiPriority w:val="39"/>
    <w:unhideWhenUsed/>
    <w:rsid w:val="000C7C2E"/>
    <w:pPr>
      <w:spacing w:after="100"/>
      <w:ind w:left="660"/>
    </w:pPr>
  </w:style>
  <w:style w:type="paragraph" w:styleId="Encabezado">
    <w:name w:val="header"/>
    <w:basedOn w:val="Normal"/>
    <w:link w:val="EncabezadoCar"/>
    <w:uiPriority w:val="99"/>
    <w:unhideWhenUsed/>
    <w:rsid w:val="000C7C2E"/>
    <w:pPr>
      <w:tabs>
        <w:tab w:val="center" w:pos="4419"/>
        <w:tab w:val="right" w:pos="8838"/>
      </w:tabs>
    </w:pPr>
  </w:style>
  <w:style w:type="character" w:customStyle="1" w:styleId="EncabezadoCar">
    <w:name w:val="Encabezado Car"/>
    <w:basedOn w:val="Fuentedeprrafopredeter"/>
    <w:link w:val="Encabezado"/>
    <w:uiPriority w:val="99"/>
    <w:rsid w:val="000C7C2E"/>
    <w:rPr>
      <w:rFonts w:ascii="Verdana" w:eastAsia="Verdana" w:hAnsi="Verdana" w:cs="Verdana"/>
      <w:lang w:val="es-ES"/>
    </w:rPr>
  </w:style>
  <w:style w:type="paragraph" w:styleId="Piedepgina">
    <w:name w:val="footer"/>
    <w:basedOn w:val="Normal"/>
    <w:link w:val="PiedepginaCar"/>
    <w:uiPriority w:val="99"/>
    <w:unhideWhenUsed/>
    <w:rsid w:val="000C7C2E"/>
    <w:pPr>
      <w:tabs>
        <w:tab w:val="center" w:pos="4419"/>
        <w:tab w:val="right" w:pos="8838"/>
      </w:tabs>
    </w:pPr>
  </w:style>
  <w:style w:type="character" w:customStyle="1" w:styleId="PiedepginaCar">
    <w:name w:val="Pie de página Car"/>
    <w:basedOn w:val="Fuentedeprrafopredeter"/>
    <w:link w:val="Piedepgina"/>
    <w:uiPriority w:val="99"/>
    <w:rsid w:val="000C7C2E"/>
    <w:rPr>
      <w:rFonts w:ascii="Verdana" w:eastAsia="Verdana" w:hAnsi="Verdana" w:cs="Verdana"/>
      <w:lang w:val="es-ES"/>
    </w:rPr>
  </w:style>
  <w:style w:type="character" w:customStyle="1" w:styleId="Textodemarcadordeposicin">
    <w:name w:val="Texto de marcador de posición"/>
    <w:basedOn w:val="Fuentedeprrafopredeter"/>
    <w:uiPriority w:val="99"/>
    <w:semiHidden/>
    <w:rsid w:val="000C7C2E"/>
    <w:rPr>
      <w:color w:val="808080"/>
    </w:rPr>
  </w:style>
  <w:style w:type="character" w:styleId="Nmerodelnea">
    <w:name w:val="line number"/>
    <w:basedOn w:val="Fuentedeprrafopredeter"/>
    <w:uiPriority w:val="99"/>
    <w:semiHidden/>
    <w:unhideWhenUsed/>
    <w:rsid w:val="000C7C2E"/>
  </w:style>
  <w:style w:type="character" w:styleId="Refdecomentario">
    <w:name w:val="annotation reference"/>
    <w:basedOn w:val="Fuentedeprrafopredeter"/>
    <w:uiPriority w:val="99"/>
    <w:semiHidden/>
    <w:unhideWhenUsed/>
    <w:rsid w:val="000C7C2E"/>
    <w:rPr>
      <w:sz w:val="16"/>
      <w:szCs w:val="16"/>
    </w:rPr>
  </w:style>
  <w:style w:type="paragraph" w:styleId="Textocomentario">
    <w:name w:val="annotation text"/>
    <w:basedOn w:val="Normal"/>
    <w:link w:val="TextocomentarioCar"/>
    <w:uiPriority w:val="99"/>
    <w:semiHidden/>
    <w:unhideWhenUsed/>
    <w:rsid w:val="000C7C2E"/>
    <w:rPr>
      <w:sz w:val="20"/>
      <w:szCs w:val="20"/>
    </w:rPr>
  </w:style>
  <w:style w:type="character" w:customStyle="1" w:styleId="TextocomentarioCar">
    <w:name w:val="Texto comentario Car"/>
    <w:basedOn w:val="Fuentedeprrafopredeter"/>
    <w:link w:val="Textocomentario"/>
    <w:uiPriority w:val="99"/>
    <w:semiHidden/>
    <w:rsid w:val="000C7C2E"/>
    <w:rPr>
      <w:rFonts w:ascii="Verdana" w:eastAsia="Verdana" w:hAnsi="Verdana" w:cs="Verdana"/>
      <w:sz w:val="20"/>
      <w:szCs w:val="20"/>
      <w:lang w:val="es-ES"/>
    </w:rPr>
  </w:style>
  <w:style w:type="paragraph" w:styleId="Asuntodelcomentario">
    <w:name w:val="annotation subject"/>
    <w:basedOn w:val="Textocomentario"/>
    <w:next w:val="Textocomentario"/>
    <w:link w:val="AsuntodelcomentarioCar"/>
    <w:uiPriority w:val="99"/>
    <w:semiHidden/>
    <w:unhideWhenUsed/>
    <w:rsid w:val="000C7C2E"/>
    <w:rPr>
      <w:b/>
      <w:bCs/>
    </w:rPr>
  </w:style>
  <w:style w:type="character" w:customStyle="1" w:styleId="AsuntodelcomentarioCar">
    <w:name w:val="Asunto del comentario Car"/>
    <w:basedOn w:val="TextocomentarioCar"/>
    <w:link w:val="Asuntodelcomentario"/>
    <w:uiPriority w:val="99"/>
    <w:semiHidden/>
    <w:rsid w:val="000C7C2E"/>
    <w:rPr>
      <w:rFonts w:ascii="Verdana" w:eastAsia="Verdana" w:hAnsi="Verdana" w:cs="Verdana"/>
      <w:b/>
      <w:bCs/>
      <w:sz w:val="20"/>
      <w:szCs w:val="20"/>
      <w:lang w:val="es-ES"/>
    </w:rPr>
  </w:style>
  <w:style w:type="paragraph" w:styleId="Textodeglobo">
    <w:name w:val="Balloon Text"/>
    <w:basedOn w:val="Normal"/>
    <w:link w:val="TextodegloboCar"/>
    <w:uiPriority w:val="99"/>
    <w:semiHidden/>
    <w:unhideWhenUsed/>
    <w:rsid w:val="000C7C2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C7C2E"/>
    <w:rPr>
      <w:rFonts w:ascii="Segoe UI" w:eastAsia="Verdana" w:hAnsi="Segoe UI" w:cs="Segoe UI"/>
      <w:sz w:val="18"/>
      <w:szCs w:val="18"/>
      <w:lang w:val="es-ES"/>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qFormat/>
    <w:rsid w:val="000C7C2E"/>
    <w:rPr>
      <w:rFonts w:ascii="Verdana" w:eastAsia="Batang" w:hAnsi="Verdana" w:cs="Times"/>
      <w:noProof/>
      <w:sz w:val="16"/>
      <w:szCs w:val="20"/>
      <w:lang w:val="es-ES_tradnl"/>
    </w:rPr>
  </w:style>
  <w:style w:type="paragraph" w:styleId="Revisin">
    <w:name w:val="Revision"/>
    <w:hidden/>
    <w:uiPriority w:val="99"/>
    <w:semiHidden/>
    <w:rsid w:val="00D32C13"/>
    <w:pPr>
      <w:spacing w:after="0" w:line="240" w:lineRule="auto"/>
    </w:pPr>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159524">
      <w:bodyDiv w:val="1"/>
      <w:marLeft w:val="0"/>
      <w:marRight w:val="0"/>
      <w:marTop w:val="0"/>
      <w:marBottom w:val="0"/>
      <w:divBdr>
        <w:top w:val="none" w:sz="0" w:space="0" w:color="auto"/>
        <w:left w:val="none" w:sz="0" w:space="0" w:color="auto"/>
        <w:bottom w:val="none" w:sz="0" w:space="0" w:color="auto"/>
        <w:right w:val="none" w:sz="0" w:space="0" w:color="auto"/>
      </w:divBdr>
      <w:divsChild>
        <w:div w:id="1981155556">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acnur.org/biblioteca/pdf/1373.pdf?view=1" TargetMode="External"/><Relationship Id="rId2" Type="http://schemas.openxmlformats.org/officeDocument/2006/relationships/hyperlink" Target="http://daccess-ddsny.un.org/doc/UNDOC/GEN/G99/100/29/PDF/G9910029.pdf?OpenElement" TargetMode="External"/><Relationship Id="rId1" Type="http://schemas.openxmlformats.org/officeDocument/2006/relationships/hyperlink" Target="https://www.corteidh.or.cr/docs/asuntos/guerreromolina_13_10_20.pdf" TargetMode="External"/><Relationship Id="rId5" Type="http://schemas.openxmlformats.org/officeDocument/2006/relationships/hyperlink" Target="http://www.corteidh.or.cr/docs/asuntos/guerrero_fv_2020.pdf" TargetMode="External"/><Relationship Id="rId4" Type="http://schemas.openxmlformats.org/officeDocument/2006/relationships/hyperlink" Target="https://www.oas.org/es/cidh/audiencias/advanced.aspx?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8E7AD-235C-4258-AAA8-60D2FFD5C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23814</Words>
  <Characters>130977</Characters>
  <Application>Microsoft Office Word</Application>
  <DocSecurity>0</DocSecurity>
  <Lines>1091</Lines>
  <Paragraphs>308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3</cp:revision>
  <cp:lastPrinted>2021-07-23T15:56:00Z</cp:lastPrinted>
  <dcterms:created xsi:type="dcterms:W3CDTF">2021-07-23T15:55:00Z</dcterms:created>
  <dcterms:modified xsi:type="dcterms:W3CDTF">2021-07-23T15:56:00Z</dcterms:modified>
</cp:coreProperties>
</file>