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8FD80" w14:textId="486891C2" w:rsidR="009D2F86" w:rsidRPr="007163B6" w:rsidRDefault="009D2F86" w:rsidP="009849CC">
      <w:pPr>
        <w:autoSpaceDE w:val="0"/>
        <w:autoSpaceDN w:val="0"/>
        <w:adjustRightInd w:val="0"/>
        <w:jc w:val="center"/>
        <w:rPr>
          <w:rStyle w:val="Refdenotaalpie"/>
        </w:rPr>
      </w:pPr>
    </w:p>
    <w:p w14:paraId="6EACA2D4" w14:textId="3B15C574" w:rsidR="009D2F86" w:rsidRPr="00C6508C" w:rsidRDefault="009D2F86" w:rsidP="00F1757B">
      <w:pPr>
        <w:tabs>
          <w:tab w:val="left" w:pos="6615"/>
        </w:tabs>
        <w:autoSpaceDE w:val="0"/>
        <w:autoSpaceDN w:val="0"/>
        <w:adjustRightInd w:val="0"/>
        <w:jc w:val="center"/>
        <w:rPr>
          <w:rFonts w:ascii="Verdana" w:hAnsi="Verdana" w:cs="Arial"/>
          <w:b/>
          <w:bCs/>
          <w:color w:val="000000"/>
          <w:spacing w:val="-4"/>
          <w:sz w:val="20"/>
          <w:szCs w:val="20"/>
          <w:lang w:val="es-CR"/>
        </w:rPr>
      </w:pPr>
    </w:p>
    <w:p w14:paraId="44F939B3" w14:textId="07ACE052" w:rsidR="009D2F86" w:rsidRPr="00C6508C" w:rsidRDefault="009D2F86" w:rsidP="009849CC">
      <w:pPr>
        <w:autoSpaceDE w:val="0"/>
        <w:autoSpaceDN w:val="0"/>
        <w:adjustRightInd w:val="0"/>
        <w:jc w:val="center"/>
        <w:rPr>
          <w:rFonts w:ascii="Verdana" w:hAnsi="Verdana" w:cs="Arial"/>
          <w:b/>
          <w:bCs/>
          <w:color w:val="000000"/>
          <w:spacing w:val="-4"/>
          <w:sz w:val="20"/>
          <w:szCs w:val="20"/>
          <w:lang w:val="es-CR"/>
        </w:rPr>
      </w:pPr>
    </w:p>
    <w:p w14:paraId="0E265C98" w14:textId="57C2D6CA" w:rsidR="009D2F86" w:rsidRDefault="009D2F86" w:rsidP="009849CC">
      <w:pPr>
        <w:autoSpaceDE w:val="0"/>
        <w:autoSpaceDN w:val="0"/>
        <w:adjustRightInd w:val="0"/>
        <w:jc w:val="center"/>
        <w:rPr>
          <w:rFonts w:ascii="Verdana" w:hAnsi="Verdana" w:cs="Arial"/>
          <w:b/>
          <w:bCs/>
          <w:color w:val="000000"/>
          <w:spacing w:val="-4"/>
          <w:sz w:val="20"/>
          <w:szCs w:val="20"/>
          <w:lang w:val="es-CR"/>
        </w:rPr>
      </w:pPr>
    </w:p>
    <w:p w14:paraId="68B6ED41" w14:textId="1E81B783" w:rsidR="00F1757B" w:rsidRDefault="00F1757B" w:rsidP="009849CC">
      <w:pPr>
        <w:autoSpaceDE w:val="0"/>
        <w:autoSpaceDN w:val="0"/>
        <w:adjustRightInd w:val="0"/>
        <w:jc w:val="center"/>
        <w:rPr>
          <w:rFonts w:ascii="Verdana" w:hAnsi="Verdana" w:cs="Arial"/>
          <w:b/>
          <w:bCs/>
          <w:color w:val="000000"/>
          <w:spacing w:val="-4"/>
          <w:sz w:val="20"/>
          <w:szCs w:val="20"/>
          <w:lang w:val="es-CR"/>
        </w:rPr>
      </w:pPr>
    </w:p>
    <w:p w14:paraId="7169E75E" w14:textId="71448F73" w:rsidR="00F1757B" w:rsidRDefault="00F1757B" w:rsidP="009849CC">
      <w:pPr>
        <w:autoSpaceDE w:val="0"/>
        <w:autoSpaceDN w:val="0"/>
        <w:adjustRightInd w:val="0"/>
        <w:jc w:val="center"/>
        <w:rPr>
          <w:rFonts w:ascii="Verdana" w:hAnsi="Verdana" w:cs="Arial"/>
          <w:b/>
          <w:bCs/>
          <w:color w:val="000000"/>
          <w:spacing w:val="-4"/>
          <w:sz w:val="20"/>
          <w:szCs w:val="20"/>
          <w:lang w:val="es-CR"/>
        </w:rPr>
      </w:pPr>
    </w:p>
    <w:p w14:paraId="6E402D67" w14:textId="77777777" w:rsidR="00F1757B" w:rsidRPr="00C6508C" w:rsidRDefault="00F1757B" w:rsidP="009849CC">
      <w:pPr>
        <w:autoSpaceDE w:val="0"/>
        <w:autoSpaceDN w:val="0"/>
        <w:adjustRightInd w:val="0"/>
        <w:jc w:val="center"/>
        <w:rPr>
          <w:rFonts w:ascii="Verdana" w:hAnsi="Verdana" w:cs="Arial"/>
          <w:b/>
          <w:bCs/>
          <w:color w:val="000000"/>
          <w:spacing w:val="-4"/>
          <w:sz w:val="20"/>
          <w:szCs w:val="20"/>
          <w:lang w:val="es-CR"/>
        </w:rPr>
      </w:pPr>
    </w:p>
    <w:p w14:paraId="40132F00" w14:textId="77777777" w:rsidR="00640948" w:rsidRPr="00C6508C" w:rsidRDefault="00640948" w:rsidP="00640948">
      <w:pPr>
        <w:autoSpaceDE w:val="0"/>
        <w:autoSpaceDN w:val="0"/>
        <w:adjustRightInd w:val="0"/>
        <w:jc w:val="center"/>
        <w:rPr>
          <w:rFonts w:ascii="Verdana" w:hAnsi="Verdana" w:cs="Arial"/>
          <w:b/>
          <w:bCs/>
          <w:color w:val="000000"/>
          <w:spacing w:val="-4"/>
          <w:sz w:val="20"/>
          <w:szCs w:val="20"/>
          <w:lang w:val="es-CR"/>
        </w:rPr>
      </w:pPr>
      <w:r w:rsidRPr="00C6508C">
        <w:rPr>
          <w:rFonts w:ascii="Verdana" w:hAnsi="Verdana" w:cs="Arial"/>
          <w:b/>
          <w:bCs/>
          <w:color w:val="000000"/>
          <w:spacing w:val="-4"/>
          <w:sz w:val="20"/>
          <w:szCs w:val="20"/>
          <w:lang w:val="es-CR"/>
        </w:rPr>
        <w:t xml:space="preserve">RESOLUCIÓN DE LA </w:t>
      </w:r>
    </w:p>
    <w:p w14:paraId="3AFED6A9" w14:textId="77777777" w:rsidR="00640948" w:rsidRPr="00C6508C" w:rsidRDefault="00640948" w:rsidP="00640948">
      <w:pPr>
        <w:autoSpaceDE w:val="0"/>
        <w:autoSpaceDN w:val="0"/>
        <w:adjustRightInd w:val="0"/>
        <w:jc w:val="center"/>
        <w:rPr>
          <w:rFonts w:ascii="Verdana" w:hAnsi="Verdana" w:cs="Arial"/>
          <w:b/>
          <w:bCs/>
          <w:color w:val="000000"/>
          <w:spacing w:val="-4"/>
          <w:sz w:val="20"/>
          <w:szCs w:val="20"/>
          <w:lang w:val="es-CR"/>
        </w:rPr>
      </w:pPr>
      <w:r w:rsidRPr="00C6508C">
        <w:rPr>
          <w:rFonts w:ascii="Verdana" w:hAnsi="Verdana" w:cs="Arial"/>
          <w:b/>
          <w:bCs/>
          <w:color w:val="000000"/>
          <w:spacing w:val="-4"/>
          <w:sz w:val="20"/>
          <w:szCs w:val="20"/>
          <w:lang w:val="es-CR"/>
        </w:rPr>
        <w:t>CORTE INTERAMERICANA DE DERECHOS HUMANOS</w:t>
      </w:r>
      <w:r w:rsidRPr="00C6508C">
        <w:rPr>
          <w:rStyle w:val="Refdenotaalpie"/>
          <w:rFonts w:cs="Arial"/>
          <w:b/>
          <w:bCs/>
          <w:color w:val="000000"/>
          <w:spacing w:val="-4"/>
          <w:sz w:val="20"/>
          <w:szCs w:val="20"/>
          <w:lang w:val="es-CR"/>
        </w:rPr>
        <w:footnoteReference w:customMarkFollows="1" w:id="1"/>
        <w:t>*</w:t>
      </w:r>
    </w:p>
    <w:p w14:paraId="777D98D0" w14:textId="77777777" w:rsidR="00521AEC" w:rsidRPr="00C6508C" w:rsidRDefault="00521AEC" w:rsidP="00640948">
      <w:pPr>
        <w:autoSpaceDE w:val="0"/>
        <w:autoSpaceDN w:val="0"/>
        <w:adjustRightInd w:val="0"/>
        <w:jc w:val="center"/>
        <w:rPr>
          <w:rFonts w:ascii="Verdana" w:hAnsi="Verdana" w:cs="Arial"/>
          <w:b/>
          <w:bCs/>
          <w:color w:val="000000"/>
          <w:spacing w:val="-4"/>
          <w:sz w:val="20"/>
          <w:szCs w:val="20"/>
          <w:lang w:val="es-CR"/>
        </w:rPr>
      </w:pPr>
    </w:p>
    <w:p w14:paraId="5D7DEC0E" w14:textId="1A6780B1" w:rsidR="00640948" w:rsidRPr="00C6508C" w:rsidRDefault="00640948" w:rsidP="00640948">
      <w:pPr>
        <w:autoSpaceDE w:val="0"/>
        <w:autoSpaceDN w:val="0"/>
        <w:adjustRightInd w:val="0"/>
        <w:jc w:val="center"/>
        <w:rPr>
          <w:rFonts w:ascii="Verdana" w:hAnsi="Verdana" w:cs="Arial"/>
          <w:b/>
          <w:bCs/>
          <w:color w:val="000000"/>
          <w:spacing w:val="-4"/>
          <w:sz w:val="20"/>
          <w:szCs w:val="20"/>
          <w:lang w:val="es-CR"/>
        </w:rPr>
      </w:pPr>
      <w:r w:rsidRPr="00C6508C">
        <w:rPr>
          <w:rFonts w:ascii="Verdana" w:hAnsi="Verdana" w:cs="Arial"/>
          <w:b/>
          <w:bCs/>
          <w:color w:val="000000"/>
          <w:spacing w:val="-4"/>
          <w:sz w:val="20"/>
          <w:szCs w:val="20"/>
          <w:lang w:val="es-CR"/>
        </w:rPr>
        <w:t xml:space="preserve">DE </w:t>
      </w:r>
      <w:r w:rsidR="00C6508C" w:rsidRPr="00C6508C">
        <w:rPr>
          <w:rFonts w:ascii="Verdana" w:hAnsi="Verdana" w:cs="Arial"/>
          <w:b/>
          <w:bCs/>
          <w:color w:val="000000"/>
          <w:spacing w:val="-4"/>
          <w:sz w:val="20"/>
          <w:szCs w:val="20"/>
          <w:lang w:val="es-CR"/>
        </w:rPr>
        <w:t>24</w:t>
      </w:r>
      <w:r w:rsidRPr="00C6508C">
        <w:rPr>
          <w:rFonts w:ascii="Verdana" w:hAnsi="Verdana" w:cs="Arial"/>
          <w:b/>
          <w:bCs/>
          <w:color w:val="000000"/>
          <w:spacing w:val="-4"/>
          <w:sz w:val="20"/>
          <w:szCs w:val="20"/>
          <w:lang w:val="es-CR"/>
        </w:rPr>
        <w:t xml:space="preserve"> DE </w:t>
      </w:r>
      <w:r w:rsidR="00C6508C" w:rsidRPr="00C6508C">
        <w:rPr>
          <w:rFonts w:ascii="Verdana" w:hAnsi="Verdana" w:cs="Arial"/>
          <w:b/>
          <w:bCs/>
          <w:color w:val="000000"/>
          <w:spacing w:val="-4"/>
          <w:sz w:val="20"/>
          <w:szCs w:val="20"/>
          <w:lang w:val="es-CR"/>
        </w:rPr>
        <w:t>JUNIO</w:t>
      </w:r>
      <w:r w:rsidR="002E65A1" w:rsidRPr="00C6508C">
        <w:rPr>
          <w:rFonts w:ascii="Verdana" w:hAnsi="Verdana" w:cs="Arial"/>
          <w:b/>
          <w:bCs/>
          <w:color w:val="000000"/>
          <w:spacing w:val="-4"/>
          <w:sz w:val="20"/>
          <w:szCs w:val="20"/>
          <w:lang w:val="es-CR"/>
        </w:rPr>
        <w:t xml:space="preserve"> </w:t>
      </w:r>
      <w:r w:rsidRPr="00C6508C">
        <w:rPr>
          <w:rFonts w:ascii="Verdana" w:hAnsi="Verdana" w:cs="Arial"/>
          <w:b/>
          <w:bCs/>
          <w:color w:val="000000"/>
          <w:spacing w:val="-4"/>
          <w:sz w:val="20"/>
          <w:szCs w:val="20"/>
          <w:lang w:val="es-CR"/>
        </w:rPr>
        <w:t>DE 202</w:t>
      </w:r>
      <w:r w:rsidR="002E65A1" w:rsidRPr="00C6508C">
        <w:rPr>
          <w:rFonts w:ascii="Verdana" w:hAnsi="Verdana" w:cs="Arial"/>
          <w:b/>
          <w:bCs/>
          <w:color w:val="000000"/>
          <w:spacing w:val="-4"/>
          <w:sz w:val="20"/>
          <w:szCs w:val="20"/>
          <w:lang w:val="es-CR"/>
        </w:rPr>
        <w:t>1</w:t>
      </w:r>
    </w:p>
    <w:p w14:paraId="0195F726" w14:textId="4961695E" w:rsidR="005F5399" w:rsidRPr="00C6508C" w:rsidRDefault="005F5399" w:rsidP="00795433">
      <w:pPr>
        <w:autoSpaceDE w:val="0"/>
        <w:autoSpaceDN w:val="0"/>
        <w:adjustRightInd w:val="0"/>
        <w:rPr>
          <w:rFonts w:ascii="Verdana" w:hAnsi="Verdana" w:cs="Arial"/>
          <w:b/>
          <w:bCs/>
          <w:color w:val="000000"/>
          <w:spacing w:val="-4"/>
          <w:sz w:val="20"/>
          <w:szCs w:val="20"/>
          <w:lang w:val="es-CR"/>
        </w:rPr>
      </w:pPr>
    </w:p>
    <w:p w14:paraId="550682D7" w14:textId="77777777" w:rsidR="004C2A90" w:rsidRPr="00C6508C" w:rsidRDefault="00640948" w:rsidP="007A05A1">
      <w:pPr>
        <w:autoSpaceDE w:val="0"/>
        <w:autoSpaceDN w:val="0"/>
        <w:adjustRightInd w:val="0"/>
        <w:jc w:val="center"/>
        <w:rPr>
          <w:rFonts w:ascii="Verdana" w:hAnsi="Verdana" w:cs="Arial"/>
          <w:b/>
          <w:bCs/>
          <w:color w:val="000000"/>
          <w:spacing w:val="-4"/>
          <w:sz w:val="20"/>
          <w:szCs w:val="20"/>
          <w:lang w:val="es-CR"/>
        </w:rPr>
      </w:pPr>
      <w:r w:rsidRPr="00C6508C">
        <w:rPr>
          <w:rFonts w:ascii="Verdana" w:hAnsi="Verdana" w:cs="Arial"/>
          <w:b/>
          <w:bCs/>
          <w:color w:val="000000"/>
          <w:spacing w:val="-4"/>
          <w:sz w:val="20"/>
          <w:szCs w:val="20"/>
          <w:lang w:val="es-CR"/>
        </w:rPr>
        <w:t>SOLICITUD DE MEDIDAS PROVISIONALES</w:t>
      </w:r>
      <w:r w:rsidR="005F5399" w:rsidRPr="00C6508C">
        <w:rPr>
          <w:rFonts w:ascii="Verdana" w:hAnsi="Verdana" w:cs="Arial"/>
          <w:b/>
          <w:bCs/>
          <w:color w:val="000000"/>
          <w:spacing w:val="-4"/>
          <w:sz w:val="20"/>
          <w:szCs w:val="20"/>
          <w:lang w:val="es-CR"/>
        </w:rPr>
        <w:t xml:space="preserve"> </w:t>
      </w:r>
      <w:r w:rsidR="004C2A90" w:rsidRPr="00C6508C">
        <w:rPr>
          <w:rFonts w:ascii="Verdana" w:hAnsi="Verdana" w:cs="Arial"/>
          <w:b/>
          <w:bCs/>
          <w:color w:val="000000"/>
          <w:spacing w:val="-4"/>
          <w:sz w:val="20"/>
          <w:szCs w:val="20"/>
          <w:lang w:val="es-CR"/>
        </w:rPr>
        <w:t xml:space="preserve">Y </w:t>
      </w:r>
    </w:p>
    <w:p w14:paraId="1F2817C8" w14:textId="4D2A6C98" w:rsidR="00640948" w:rsidRPr="00C6508C" w:rsidRDefault="004C2A90" w:rsidP="007A05A1">
      <w:pPr>
        <w:autoSpaceDE w:val="0"/>
        <w:autoSpaceDN w:val="0"/>
        <w:adjustRightInd w:val="0"/>
        <w:jc w:val="center"/>
        <w:rPr>
          <w:rFonts w:ascii="Verdana" w:hAnsi="Verdana" w:cs="Arial"/>
          <w:b/>
          <w:bCs/>
          <w:color w:val="000000"/>
          <w:spacing w:val="-4"/>
          <w:sz w:val="20"/>
          <w:szCs w:val="20"/>
          <w:lang w:val="es-CR"/>
        </w:rPr>
      </w:pPr>
      <w:r w:rsidRPr="00C6508C">
        <w:rPr>
          <w:rFonts w:ascii="Verdana" w:hAnsi="Verdana" w:cs="Arial"/>
          <w:b/>
          <w:bCs/>
          <w:color w:val="000000"/>
          <w:spacing w:val="-4"/>
          <w:sz w:val="20"/>
          <w:szCs w:val="20"/>
          <w:lang w:val="es-CR"/>
        </w:rPr>
        <w:t>SUPERVISI</w:t>
      </w:r>
      <w:r w:rsidR="002E65A1" w:rsidRPr="00C6508C">
        <w:rPr>
          <w:rFonts w:ascii="Verdana" w:hAnsi="Verdana" w:cs="Arial"/>
          <w:b/>
          <w:bCs/>
          <w:color w:val="000000"/>
          <w:spacing w:val="-4"/>
          <w:sz w:val="20"/>
          <w:szCs w:val="20"/>
          <w:lang w:val="es-CR"/>
        </w:rPr>
        <w:t>ÓN DE CUMPLIMIENTO DE SENTENCIA</w:t>
      </w:r>
    </w:p>
    <w:p w14:paraId="49A033B1" w14:textId="77777777" w:rsidR="005F5399" w:rsidRPr="00C6508C" w:rsidRDefault="005F5399" w:rsidP="00640948">
      <w:pPr>
        <w:autoSpaceDE w:val="0"/>
        <w:autoSpaceDN w:val="0"/>
        <w:adjustRightInd w:val="0"/>
        <w:jc w:val="center"/>
        <w:rPr>
          <w:rFonts w:ascii="Verdana" w:hAnsi="Verdana" w:cs="Arial"/>
          <w:b/>
          <w:bCs/>
          <w:i/>
          <w:color w:val="000000"/>
          <w:spacing w:val="-4"/>
          <w:sz w:val="20"/>
          <w:szCs w:val="20"/>
          <w:lang w:val="es-CR"/>
        </w:rPr>
      </w:pPr>
    </w:p>
    <w:p w14:paraId="60252600" w14:textId="30C3634A" w:rsidR="00640948" w:rsidRPr="00C6508C" w:rsidRDefault="00640948" w:rsidP="00640948">
      <w:pPr>
        <w:autoSpaceDE w:val="0"/>
        <w:autoSpaceDN w:val="0"/>
        <w:adjustRightInd w:val="0"/>
        <w:jc w:val="center"/>
        <w:rPr>
          <w:rFonts w:ascii="Verdana" w:hAnsi="Verdana" w:cs="Arial"/>
          <w:b/>
          <w:bCs/>
          <w:i/>
          <w:color w:val="000000"/>
          <w:spacing w:val="-4"/>
          <w:sz w:val="20"/>
          <w:szCs w:val="20"/>
          <w:lang w:val="es-CR"/>
        </w:rPr>
      </w:pPr>
      <w:r w:rsidRPr="00C6508C">
        <w:rPr>
          <w:rFonts w:ascii="Verdana" w:hAnsi="Verdana" w:cs="Arial"/>
          <w:b/>
          <w:bCs/>
          <w:i/>
          <w:color w:val="000000"/>
          <w:spacing w:val="-4"/>
          <w:sz w:val="20"/>
          <w:szCs w:val="20"/>
          <w:lang w:val="es-CR"/>
        </w:rPr>
        <w:t xml:space="preserve">CASO </w:t>
      </w:r>
      <w:r w:rsidR="002E65A1" w:rsidRPr="00C6508C">
        <w:rPr>
          <w:rFonts w:ascii="Verdana" w:hAnsi="Verdana" w:cs="Arial"/>
          <w:b/>
          <w:bCs/>
          <w:i/>
          <w:color w:val="000000"/>
          <w:spacing w:val="-4"/>
          <w:sz w:val="20"/>
          <w:szCs w:val="20"/>
          <w:lang w:val="es-CR"/>
        </w:rPr>
        <w:t>PETRO URREGO</w:t>
      </w:r>
      <w:r w:rsidR="004973F9" w:rsidRPr="00C6508C">
        <w:rPr>
          <w:rFonts w:ascii="Verdana" w:hAnsi="Verdana" w:cs="Arial"/>
          <w:b/>
          <w:bCs/>
          <w:i/>
          <w:color w:val="000000"/>
          <w:spacing w:val="-4"/>
          <w:sz w:val="20"/>
          <w:szCs w:val="20"/>
          <w:lang w:val="es-CR"/>
        </w:rPr>
        <w:t xml:space="preserve"> VS. COLOMBIA</w:t>
      </w:r>
      <w:r w:rsidR="004973F9" w:rsidRPr="00C6508C">
        <w:rPr>
          <w:rFonts w:ascii="Verdana" w:hAnsi="Verdana" w:cs="Arial"/>
          <w:b/>
          <w:bCs/>
          <w:i/>
          <w:color w:val="000000"/>
          <w:spacing w:val="-4"/>
          <w:sz w:val="20"/>
          <w:szCs w:val="20"/>
          <w:vertAlign w:val="superscript"/>
          <w:lang w:val="es-CR"/>
        </w:rPr>
        <w:t>**</w:t>
      </w:r>
    </w:p>
    <w:p w14:paraId="0C2FBFBF" w14:textId="6238DAEE" w:rsidR="00640948" w:rsidRPr="00C6508C" w:rsidRDefault="00640948" w:rsidP="00640948">
      <w:pPr>
        <w:autoSpaceDE w:val="0"/>
        <w:autoSpaceDN w:val="0"/>
        <w:adjustRightInd w:val="0"/>
        <w:jc w:val="both"/>
        <w:rPr>
          <w:rFonts w:ascii="Verdana" w:hAnsi="Verdana" w:cs="Arial"/>
          <w:b/>
          <w:bCs/>
          <w:color w:val="000000"/>
          <w:spacing w:val="-4"/>
          <w:sz w:val="20"/>
          <w:szCs w:val="20"/>
          <w:lang w:val="es-CR"/>
        </w:rPr>
      </w:pPr>
    </w:p>
    <w:p w14:paraId="3A33CA88" w14:textId="3ECAA74D" w:rsidR="004973F9" w:rsidRPr="00C6508C" w:rsidRDefault="004973F9" w:rsidP="00640948">
      <w:pPr>
        <w:autoSpaceDE w:val="0"/>
        <w:autoSpaceDN w:val="0"/>
        <w:adjustRightInd w:val="0"/>
        <w:jc w:val="both"/>
        <w:rPr>
          <w:rFonts w:ascii="Verdana" w:hAnsi="Verdana" w:cs="Arial"/>
          <w:b/>
          <w:bCs/>
          <w:color w:val="000000"/>
          <w:spacing w:val="-4"/>
          <w:sz w:val="20"/>
          <w:szCs w:val="20"/>
          <w:lang w:val="es-CR"/>
        </w:rPr>
      </w:pPr>
    </w:p>
    <w:p w14:paraId="1EDBAB86" w14:textId="77777777" w:rsidR="00640948" w:rsidRPr="00C6508C" w:rsidRDefault="00640948" w:rsidP="00640948">
      <w:pPr>
        <w:autoSpaceDE w:val="0"/>
        <w:autoSpaceDN w:val="0"/>
        <w:adjustRightInd w:val="0"/>
        <w:jc w:val="both"/>
        <w:rPr>
          <w:rFonts w:ascii="Verdana" w:hAnsi="Verdana" w:cs="Arial"/>
          <w:b/>
          <w:bCs/>
          <w:color w:val="000000"/>
          <w:spacing w:val="-4"/>
          <w:sz w:val="20"/>
          <w:szCs w:val="20"/>
          <w:lang w:val="es-CR"/>
        </w:rPr>
      </w:pPr>
      <w:r w:rsidRPr="00C6508C">
        <w:rPr>
          <w:rFonts w:ascii="Verdana" w:hAnsi="Verdana" w:cs="Arial"/>
          <w:b/>
          <w:bCs/>
          <w:color w:val="000000"/>
          <w:spacing w:val="-4"/>
          <w:sz w:val="20"/>
          <w:szCs w:val="20"/>
          <w:lang w:val="es-CR"/>
        </w:rPr>
        <w:t>VISTO:</w:t>
      </w:r>
    </w:p>
    <w:p w14:paraId="063B262E" w14:textId="17BC6176" w:rsidR="007D7AFE" w:rsidRPr="00C6508C" w:rsidRDefault="00640948" w:rsidP="004A3881">
      <w:pPr>
        <w:pStyle w:val="Prrafodelista"/>
        <w:numPr>
          <w:ilvl w:val="0"/>
          <w:numId w:val="11"/>
        </w:numPr>
        <w:autoSpaceDE w:val="0"/>
        <w:autoSpaceDN w:val="0"/>
        <w:adjustRightInd w:val="0"/>
        <w:spacing w:before="120" w:after="120" w:line="240" w:lineRule="auto"/>
        <w:ind w:left="0" w:firstLine="0"/>
        <w:contextualSpacing w:val="0"/>
        <w:jc w:val="both"/>
        <w:rPr>
          <w:rFonts w:ascii="Verdana" w:hAnsi="Verdana"/>
          <w:spacing w:val="-4"/>
          <w:sz w:val="20"/>
          <w:szCs w:val="20"/>
          <w:lang w:val="es-ES_tradnl" w:eastAsia="es-CR"/>
        </w:rPr>
      </w:pPr>
      <w:r w:rsidRPr="00C6508C">
        <w:rPr>
          <w:rFonts w:ascii="Verdana" w:eastAsia="Calibri" w:hAnsi="Verdana" w:cs="Arial"/>
          <w:spacing w:val="-4"/>
          <w:sz w:val="20"/>
          <w:lang w:val="es-ES_tradnl"/>
        </w:rPr>
        <w:t>La</w:t>
      </w:r>
      <w:r w:rsidR="002E65A1" w:rsidRPr="00C6508C">
        <w:rPr>
          <w:rFonts w:ascii="Verdana" w:eastAsia="Calibri" w:hAnsi="Verdana" w:cs="Arial"/>
          <w:spacing w:val="-4"/>
          <w:sz w:val="20"/>
          <w:lang w:val="es-ES_tradnl"/>
        </w:rPr>
        <w:t xml:space="preserve"> Sentencia de excepciones preliminares, fondo, reparaciones y costas </w:t>
      </w:r>
      <w:r w:rsidR="007D7AFE" w:rsidRPr="00C6508C">
        <w:rPr>
          <w:rFonts w:ascii="Verdana" w:eastAsia="Calibri" w:hAnsi="Verdana" w:cs="Arial"/>
          <w:spacing w:val="-4"/>
          <w:sz w:val="20"/>
          <w:lang w:val="es-ES_tradnl"/>
        </w:rPr>
        <w:t xml:space="preserve">(en adelante “la Sentencia” o “el Fallo”) </w:t>
      </w:r>
      <w:r w:rsidR="002E65A1" w:rsidRPr="00C6508C">
        <w:rPr>
          <w:rFonts w:ascii="Verdana" w:eastAsia="Calibri" w:hAnsi="Verdana" w:cs="Arial"/>
          <w:spacing w:val="-4"/>
          <w:sz w:val="20"/>
          <w:lang w:val="es-ES_tradnl"/>
        </w:rPr>
        <w:t xml:space="preserve">emitida por la </w:t>
      </w:r>
      <w:r w:rsidR="004C2A90" w:rsidRPr="00C6508C">
        <w:rPr>
          <w:rFonts w:ascii="Verdana" w:hAnsi="Verdana" w:cs="Arial"/>
          <w:spacing w:val="-4"/>
          <w:sz w:val="20"/>
          <w:lang w:val="es-ES_tradnl"/>
        </w:rPr>
        <w:t xml:space="preserve">Corte Interamericana de Derechos Humanos (en adelante “la Corte Interamericana”, “la Corte” o “el Tribunal”) el </w:t>
      </w:r>
      <w:r w:rsidR="002E65A1" w:rsidRPr="00C6508C">
        <w:rPr>
          <w:rFonts w:ascii="Verdana" w:hAnsi="Verdana" w:cs="Arial"/>
          <w:spacing w:val="-4"/>
          <w:sz w:val="20"/>
          <w:lang w:val="es-ES_tradnl"/>
        </w:rPr>
        <w:t xml:space="preserve">8 de julio de </w:t>
      </w:r>
      <w:r w:rsidR="002E65A1" w:rsidRPr="001E626F">
        <w:rPr>
          <w:rFonts w:ascii="Verdana" w:hAnsi="Verdana" w:cs="Arial"/>
          <w:spacing w:val="-4"/>
          <w:sz w:val="20"/>
          <w:szCs w:val="20"/>
          <w:lang w:val="es-ES_tradnl"/>
        </w:rPr>
        <w:t>2020</w:t>
      </w:r>
      <w:r w:rsidR="00BA75AD" w:rsidRPr="00C10D20">
        <w:rPr>
          <w:rStyle w:val="Refdenotaalpie"/>
          <w:rFonts w:cs="Arial"/>
          <w:spacing w:val="-4"/>
          <w:sz w:val="20"/>
          <w:szCs w:val="20"/>
          <w:lang w:val="es-ES_tradnl"/>
        </w:rPr>
        <w:footnoteReference w:id="2"/>
      </w:r>
      <w:r w:rsidR="002E65A1" w:rsidRPr="001E626F">
        <w:rPr>
          <w:rFonts w:ascii="Verdana" w:hAnsi="Verdana" w:cs="Arial"/>
          <w:spacing w:val="-4"/>
          <w:sz w:val="20"/>
          <w:szCs w:val="20"/>
          <w:lang w:val="es-ES_tradnl"/>
        </w:rPr>
        <w:t>.</w:t>
      </w:r>
      <w:r w:rsidR="002E65A1" w:rsidRPr="00C6508C">
        <w:rPr>
          <w:rFonts w:ascii="Verdana" w:hAnsi="Verdana" w:cs="Arial"/>
          <w:spacing w:val="-4"/>
          <w:sz w:val="20"/>
          <w:lang w:val="es-ES_tradnl"/>
        </w:rPr>
        <w:t xml:space="preserve"> </w:t>
      </w:r>
      <w:r w:rsidR="00BA75AD" w:rsidRPr="00C6508C">
        <w:rPr>
          <w:rFonts w:ascii="Verdana" w:hAnsi="Verdana" w:cs="Arial"/>
          <w:spacing w:val="-4"/>
          <w:sz w:val="20"/>
          <w:lang w:val="es-ES_tradnl"/>
        </w:rPr>
        <w:t xml:space="preserve">En la Sentencia, este Tribunal declaró la responsabilidad internacional de la República de Colombia (en adelante “el Estado” o “Colombia”) por la violación a los derechos políticos y a varias garantías judiciales en perjuicio del señor Gustavo Francisco Petro Urrego. En particular, la Corte encontró que los derechos políticos del señor Petro se vieron afectados como consecuencia de la sanción disciplinaria de destitución como </w:t>
      </w:r>
      <w:proofErr w:type="gramStart"/>
      <w:r w:rsidR="00BA75AD" w:rsidRPr="00C6508C">
        <w:rPr>
          <w:rFonts w:ascii="Verdana" w:hAnsi="Verdana" w:cs="Arial"/>
          <w:spacing w:val="-4"/>
          <w:sz w:val="20"/>
          <w:lang w:val="es-ES_tradnl"/>
        </w:rPr>
        <w:t>Alcalde</w:t>
      </w:r>
      <w:proofErr w:type="gramEnd"/>
      <w:r w:rsidR="00BA75AD" w:rsidRPr="00C6508C">
        <w:rPr>
          <w:rFonts w:ascii="Verdana" w:hAnsi="Verdana" w:cs="Arial"/>
          <w:spacing w:val="-4"/>
          <w:sz w:val="20"/>
          <w:lang w:val="es-ES_tradnl"/>
        </w:rPr>
        <w:t xml:space="preserve"> Mayor de Bogotá, D.C., e inhabilitación por el término de 15 años para ocupar cargos públicos, que le fue impuesta por la Procuraduría General de la República (en adelante también “la Procuraduría”) el 9 de diciembre de 2013.</w:t>
      </w:r>
      <w:r w:rsidR="00BA75AD" w:rsidRPr="00C6508C">
        <w:rPr>
          <w:rFonts w:ascii="Verdana" w:hAnsi="Verdana"/>
          <w:lang w:val="es-CR"/>
        </w:rPr>
        <w:t xml:space="preserve"> </w:t>
      </w:r>
      <w:r w:rsidR="00BA75AD" w:rsidRPr="00C6508C">
        <w:rPr>
          <w:rFonts w:ascii="Verdana" w:hAnsi="Verdana" w:cs="Arial"/>
          <w:spacing w:val="-4"/>
          <w:sz w:val="20"/>
          <w:lang w:val="es-ES_tradnl"/>
        </w:rPr>
        <w:t>Adicionalmente, el Tribunal concluyó que la vigencia de las normas que facultan a la Procuraduría a imponer dichas sanciones a funcionarios democráticamente electos –como fue el caso del señor Petro- así como aquellas que tienen el efecto práctico de producir una inhabilidad en el ejercicio de los derechos políticos como resultado de una decisión de la Contraloría, eran contrarias a la Convención Americana sobre Derechos Humanos y constituye</w:t>
      </w:r>
      <w:r w:rsidR="0032248E">
        <w:rPr>
          <w:rFonts w:ascii="Verdana" w:hAnsi="Verdana" w:cs="Arial"/>
          <w:spacing w:val="-4"/>
          <w:sz w:val="20"/>
          <w:lang w:val="es-ES_tradnl"/>
        </w:rPr>
        <w:t>ro</w:t>
      </w:r>
      <w:r w:rsidR="00BA75AD" w:rsidRPr="00C6508C">
        <w:rPr>
          <w:rFonts w:ascii="Verdana" w:hAnsi="Verdana" w:cs="Arial"/>
          <w:spacing w:val="-4"/>
          <w:sz w:val="20"/>
          <w:lang w:val="es-ES_tradnl"/>
        </w:rPr>
        <w:t>n una violación a los derechos políticos en relación con la obligación estatal de adoptar disposiciones de derecho interno. Asimismo, la Corte determinó que</w:t>
      </w:r>
      <w:r w:rsidR="0032248E">
        <w:rPr>
          <w:rFonts w:ascii="Verdana" w:hAnsi="Verdana" w:cs="Arial"/>
          <w:spacing w:val="-4"/>
          <w:sz w:val="20"/>
          <w:lang w:val="es-ES_tradnl"/>
        </w:rPr>
        <w:t>,</w:t>
      </w:r>
      <w:r w:rsidR="00BA75AD" w:rsidRPr="00C6508C">
        <w:rPr>
          <w:rFonts w:ascii="Verdana" w:hAnsi="Verdana" w:cs="Arial"/>
          <w:spacing w:val="-4"/>
          <w:sz w:val="20"/>
          <w:lang w:val="es-ES_tradnl"/>
        </w:rPr>
        <w:t xml:space="preserve"> en el proceso disciplinario seguido </w:t>
      </w:r>
      <w:r w:rsidR="00D50FC4">
        <w:rPr>
          <w:rFonts w:ascii="Verdana" w:hAnsi="Verdana" w:cs="Arial"/>
          <w:spacing w:val="-4"/>
          <w:sz w:val="20"/>
          <w:lang w:val="es-ES_tradnl"/>
        </w:rPr>
        <w:t xml:space="preserve">en </w:t>
      </w:r>
      <w:r w:rsidR="00BA75AD" w:rsidRPr="00C6508C">
        <w:rPr>
          <w:rFonts w:ascii="Verdana" w:hAnsi="Verdana" w:cs="Arial"/>
          <w:spacing w:val="-4"/>
          <w:sz w:val="20"/>
          <w:lang w:val="es-ES_tradnl"/>
        </w:rPr>
        <w:t>contra del señor Petro</w:t>
      </w:r>
      <w:r w:rsidR="0032248E">
        <w:rPr>
          <w:rFonts w:ascii="Verdana" w:hAnsi="Verdana" w:cs="Arial"/>
          <w:spacing w:val="-4"/>
          <w:sz w:val="20"/>
          <w:lang w:val="es-ES_tradnl"/>
        </w:rPr>
        <w:t>,</w:t>
      </w:r>
      <w:r w:rsidR="00BA75AD" w:rsidRPr="00C6508C">
        <w:rPr>
          <w:rFonts w:ascii="Verdana" w:hAnsi="Verdana" w:cs="Arial"/>
          <w:spacing w:val="-4"/>
          <w:sz w:val="20"/>
          <w:lang w:val="es-ES_tradnl"/>
        </w:rPr>
        <w:t xml:space="preserve"> se violó el principio de jurisdiccionalidad, la garantía de imparcialidad, el principio de presunción de inocencia y el derecho a la defensa. </w:t>
      </w:r>
      <w:r w:rsidR="00395069" w:rsidRPr="00C6508C">
        <w:rPr>
          <w:rFonts w:ascii="Verdana" w:hAnsi="Verdana" w:cs="Arial"/>
          <w:spacing w:val="-4"/>
          <w:sz w:val="20"/>
          <w:lang w:val="es-ES_tradnl"/>
        </w:rPr>
        <w:t>L</w:t>
      </w:r>
      <w:r w:rsidRPr="00C6508C">
        <w:rPr>
          <w:rFonts w:ascii="Verdana" w:hAnsi="Verdana" w:cs="Arial"/>
          <w:spacing w:val="-4"/>
          <w:sz w:val="20"/>
          <w:lang w:val="es-ES_tradnl"/>
        </w:rPr>
        <w:t>a Corte</w:t>
      </w:r>
      <w:r w:rsidR="00813A97" w:rsidRPr="00C6508C">
        <w:rPr>
          <w:rFonts w:ascii="Verdana" w:hAnsi="Verdana" w:cs="Arial"/>
          <w:spacing w:val="-4"/>
          <w:sz w:val="20"/>
          <w:lang w:val="es-ES_tradnl"/>
        </w:rPr>
        <w:t xml:space="preserve"> estableció que su Sentencia</w:t>
      </w:r>
      <w:r w:rsidR="00BA75AD" w:rsidRPr="00C6508C">
        <w:rPr>
          <w:rFonts w:ascii="Verdana" w:hAnsi="Verdana" w:cs="Arial"/>
          <w:spacing w:val="-4"/>
          <w:sz w:val="20"/>
          <w:lang w:val="es-ES_tradnl"/>
        </w:rPr>
        <w:t xml:space="preserve"> </w:t>
      </w:r>
      <w:r w:rsidR="00813A97" w:rsidRPr="00C6508C">
        <w:rPr>
          <w:rFonts w:ascii="Verdana" w:hAnsi="Verdana" w:cs="Arial"/>
          <w:spacing w:val="-4"/>
          <w:sz w:val="20"/>
          <w:lang w:val="es-ES_tradnl"/>
        </w:rPr>
        <w:t>constituye por sí misma una forma de reparación y, adicionalmente,</w:t>
      </w:r>
      <w:r w:rsidR="008E0B94" w:rsidRPr="00C6508C">
        <w:rPr>
          <w:rFonts w:ascii="Verdana" w:hAnsi="Verdana" w:cs="Arial"/>
          <w:spacing w:val="-4"/>
          <w:sz w:val="20"/>
          <w:lang w:val="es-ES_tradnl"/>
        </w:rPr>
        <w:t xml:space="preserve"> </w:t>
      </w:r>
      <w:r w:rsidRPr="00C6508C">
        <w:rPr>
          <w:rFonts w:ascii="Verdana" w:hAnsi="Verdana" w:cs="Arial"/>
          <w:spacing w:val="-4"/>
          <w:sz w:val="20"/>
          <w:lang w:val="es-ES_tradnl"/>
        </w:rPr>
        <w:t xml:space="preserve">ordenó determinadas medidas de reparación, entre ellas </w:t>
      </w:r>
      <w:r w:rsidR="007D7AFE" w:rsidRPr="00C6508C">
        <w:rPr>
          <w:rFonts w:ascii="Verdana" w:hAnsi="Verdana" w:cs="Arial"/>
          <w:spacing w:val="-4"/>
          <w:sz w:val="20"/>
          <w:lang w:val="es-ES_tradnl"/>
        </w:rPr>
        <w:t>la adecuación de su ordenamiento jurídico interno a los parámetros de protección de los derechos políticos dispuestos en el Fallo</w:t>
      </w:r>
      <w:r w:rsidRPr="00C6508C">
        <w:rPr>
          <w:rFonts w:ascii="Verdana" w:hAnsi="Verdana" w:cs="Arial"/>
          <w:spacing w:val="-4"/>
          <w:sz w:val="20"/>
          <w:lang w:val="es-ES_tradnl"/>
        </w:rPr>
        <w:t xml:space="preserve"> (</w:t>
      </w:r>
      <w:r w:rsidRPr="00C6508C">
        <w:rPr>
          <w:rFonts w:ascii="Verdana" w:hAnsi="Verdana" w:cs="Arial"/>
          <w:i/>
          <w:spacing w:val="-4"/>
          <w:sz w:val="20"/>
          <w:lang w:val="es-ES_tradnl"/>
        </w:rPr>
        <w:t>infra</w:t>
      </w:r>
      <w:r w:rsidRPr="00C6508C">
        <w:rPr>
          <w:rFonts w:ascii="Verdana" w:hAnsi="Verdana" w:cs="Arial"/>
          <w:spacing w:val="-4"/>
          <w:sz w:val="20"/>
          <w:lang w:val="es-ES_tradnl"/>
        </w:rPr>
        <w:t xml:space="preserve"> </w:t>
      </w:r>
      <w:r w:rsidR="00395069" w:rsidRPr="00C6508C">
        <w:rPr>
          <w:rFonts w:ascii="Verdana" w:hAnsi="Verdana" w:cs="Arial"/>
          <w:spacing w:val="-4"/>
          <w:sz w:val="20"/>
          <w:lang w:val="es-ES_tradnl"/>
        </w:rPr>
        <w:t xml:space="preserve">Considerando </w:t>
      </w:r>
      <w:r w:rsidR="00B76380" w:rsidRPr="00C6508C">
        <w:rPr>
          <w:rFonts w:ascii="Verdana" w:hAnsi="Verdana" w:cs="Arial"/>
          <w:spacing w:val="-4"/>
          <w:sz w:val="20"/>
          <w:lang w:val="es-ES_tradnl"/>
        </w:rPr>
        <w:t>1</w:t>
      </w:r>
      <w:r w:rsidRPr="00C6508C">
        <w:rPr>
          <w:rFonts w:ascii="Verdana" w:hAnsi="Verdana" w:cs="Arial"/>
          <w:spacing w:val="-4"/>
          <w:sz w:val="20"/>
          <w:lang w:val="es-ES_tradnl"/>
        </w:rPr>
        <w:t>).</w:t>
      </w:r>
    </w:p>
    <w:p w14:paraId="1370D60F" w14:textId="13C976C2" w:rsidR="007E3C80" w:rsidRPr="00C6508C" w:rsidRDefault="004973F9" w:rsidP="004A3881">
      <w:pPr>
        <w:pStyle w:val="Prrafodelista"/>
        <w:numPr>
          <w:ilvl w:val="0"/>
          <w:numId w:val="11"/>
        </w:numPr>
        <w:autoSpaceDE w:val="0"/>
        <w:autoSpaceDN w:val="0"/>
        <w:adjustRightInd w:val="0"/>
        <w:spacing w:before="120" w:after="120" w:line="240" w:lineRule="auto"/>
        <w:ind w:left="0" w:firstLine="0"/>
        <w:contextualSpacing w:val="0"/>
        <w:jc w:val="both"/>
        <w:rPr>
          <w:rFonts w:ascii="Verdana" w:hAnsi="Verdana"/>
          <w:spacing w:val="-4"/>
          <w:sz w:val="20"/>
          <w:szCs w:val="20"/>
          <w:lang w:val="es-ES_tradnl" w:eastAsia="es-CR"/>
        </w:rPr>
      </w:pPr>
      <w:r w:rsidRPr="00C6508C">
        <w:rPr>
          <w:rFonts w:ascii="Verdana" w:hAnsi="Verdana"/>
          <w:spacing w:val="-4"/>
          <w:sz w:val="20"/>
          <w:szCs w:val="20"/>
          <w:lang w:val="es-ES_tradnl" w:eastAsia="es-CR"/>
        </w:rPr>
        <w:lastRenderedPageBreak/>
        <w:t xml:space="preserve">El </w:t>
      </w:r>
      <w:r w:rsidR="00640948" w:rsidRPr="00C6508C">
        <w:rPr>
          <w:rFonts w:ascii="Verdana" w:hAnsi="Verdana"/>
          <w:spacing w:val="-4"/>
          <w:sz w:val="20"/>
          <w:szCs w:val="20"/>
          <w:lang w:val="es-ES_tradnl" w:eastAsia="es-CR"/>
        </w:rPr>
        <w:t>escrito</w:t>
      </w:r>
      <w:r w:rsidRPr="00C6508C">
        <w:rPr>
          <w:rFonts w:ascii="Verdana" w:hAnsi="Verdana"/>
          <w:spacing w:val="-4"/>
          <w:sz w:val="20"/>
          <w:szCs w:val="20"/>
          <w:lang w:val="es-ES_tradnl" w:eastAsia="es-CR"/>
        </w:rPr>
        <w:t xml:space="preserve"> de </w:t>
      </w:r>
      <w:r w:rsidR="00C6508C">
        <w:rPr>
          <w:rFonts w:ascii="Verdana" w:hAnsi="Verdana"/>
          <w:spacing w:val="-4"/>
          <w:sz w:val="20"/>
          <w:szCs w:val="20"/>
          <w:lang w:val="es-ES_tradnl" w:eastAsia="es-CR"/>
        </w:rPr>
        <w:t>18</w:t>
      </w:r>
      <w:r w:rsidRPr="00C6508C">
        <w:rPr>
          <w:rFonts w:ascii="Verdana" w:hAnsi="Verdana"/>
          <w:spacing w:val="-4"/>
          <w:sz w:val="20"/>
          <w:szCs w:val="20"/>
          <w:lang w:val="es-ES_tradnl" w:eastAsia="es-CR"/>
        </w:rPr>
        <w:t xml:space="preserve"> de </w:t>
      </w:r>
      <w:r w:rsidR="007E3C80" w:rsidRPr="00C6508C">
        <w:rPr>
          <w:rFonts w:ascii="Verdana" w:hAnsi="Verdana"/>
          <w:spacing w:val="-4"/>
          <w:sz w:val="20"/>
          <w:szCs w:val="20"/>
          <w:lang w:val="es-ES_tradnl" w:eastAsia="es-CR"/>
        </w:rPr>
        <w:t>junio de 2021</w:t>
      </w:r>
      <w:r w:rsidRPr="00C6508C">
        <w:rPr>
          <w:rFonts w:ascii="Verdana" w:hAnsi="Verdana"/>
          <w:spacing w:val="-4"/>
          <w:sz w:val="20"/>
          <w:szCs w:val="20"/>
          <w:lang w:val="es-ES_tradnl" w:eastAsia="es-CR"/>
        </w:rPr>
        <w:t xml:space="preserve">, mediante </w:t>
      </w:r>
      <w:r w:rsidR="00CB6CE4" w:rsidRPr="00C6508C">
        <w:rPr>
          <w:rFonts w:ascii="Verdana" w:hAnsi="Verdana"/>
          <w:spacing w:val="-4"/>
          <w:sz w:val="20"/>
          <w:szCs w:val="20"/>
          <w:lang w:val="es-ES_tradnl" w:eastAsia="es-CR"/>
        </w:rPr>
        <w:t>el cual</w:t>
      </w:r>
      <w:r w:rsidRPr="00C6508C">
        <w:rPr>
          <w:rFonts w:ascii="Verdana" w:hAnsi="Verdana"/>
          <w:spacing w:val="-4"/>
          <w:sz w:val="20"/>
          <w:szCs w:val="20"/>
          <w:lang w:val="es-ES_tradnl" w:eastAsia="es-CR"/>
        </w:rPr>
        <w:t xml:space="preserve"> </w:t>
      </w:r>
      <w:r w:rsidR="007E3C80" w:rsidRPr="00C6508C">
        <w:rPr>
          <w:rFonts w:ascii="Verdana" w:hAnsi="Verdana"/>
          <w:spacing w:val="-4"/>
          <w:sz w:val="20"/>
          <w:szCs w:val="20"/>
          <w:lang w:val="es-ES_tradnl" w:eastAsia="es-CR"/>
        </w:rPr>
        <w:t>los</w:t>
      </w:r>
      <w:r w:rsidRPr="00C6508C">
        <w:rPr>
          <w:rFonts w:ascii="Verdana" w:hAnsi="Verdana"/>
          <w:spacing w:val="-4"/>
          <w:sz w:val="20"/>
          <w:szCs w:val="20"/>
          <w:lang w:val="es-ES_tradnl" w:eastAsia="es-CR"/>
        </w:rPr>
        <w:t xml:space="preserve"> representantes </w:t>
      </w:r>
      <w:r w:rsidR="007E3C80" w:rsidRPr="00C6508C">
        <w:rPr>
          <w:rFonts w:ascii="Verdana" w:hAnsi="Verdana"/>
          <w:spacing w:val="-4"/>
          <w:sz w:val="20"/>
          <w:szCs w:val="20"/>
          <w:lang w:val="es-ES_tradnl" w:eastAsia="es-CR"/>
        </w:rPr>
        <w:t>de la</w:t>
      </w:r>
      <w:r w:rsidR="00FE3561" w:rsidRPr="00C6508C">
        <w:rPr>
          <w:rFonts w:ascii="Verdana" w:hAnsi="Verdana"/>
          <w:spacing w:val="-4"/>
          <w:sz w:val="20"/>
          <w:szCs w:val="20"/>
          <w:lang w:val="es-ES_tradnl" w:eastAsia="es-CR"/>
        </w:rPr>
        <w:t xml:space="preserve"> víctima</w:t>
      </w:r>
      <w:r w:rsidR="00B22E8A" w:rsidRPr="00C6508C">
        <w:rPr>
          <w:rFonts w:ascii="Verdana" w:hAnsi="Verdana"/>
          <w:spacing w:val="-4"/>
          <w:sz w:val="20"/>
          <w:szCs w:val="20"/>
          <w:lang w:val="es-ES_tradnl" w:eastAsia="es-CR"/>
        </w:rPr>
        <w:t xml:space="preserve"> (en adelante “los representantes</w:t>
      </w:r>
      <w:r w:rsidR="00B22E8A" w:rsidRPr="001E626F">
        <w:rPr>
          <w:rFonts w:ascii="Verdana" w:hAnsi="Verdana"/>
          <w:spacing w:val="-4"/>
          <w:sz w:val="20"/>
          <w:szCs w:val="20"/>
          <w:lang w:val="es-ES_tradnl" w:eastAsia="es-CR"/>
        </w:rPr>
        <w:t>”)</w:t>
      </w:r>
      <w:r w:rsidR="007E3C80" w:rsidRPr="00C10D20">
        <w:rPr>
          <w:rStyle w:val="Refdenotaalpie"/>
          <w:spacing w:val="-4"/>
          <w:sz w:val="20"/>
          <w:szCs w:val="20"/>
          <w:lang w:val="es-ES_tradnl" w:eastAsia="es-CR"/>
        </w:rPr>
        <w:footnoteReference w:id="3"/>
      </w:r>
      <w:r w:rsidRPr="001E626F">
        <w:rPr>
          <w:rFonts w:ascii="Verdana" w:hAnsi="Verdana"/>
          <w:spacing w:val="-4"/>
          <w:sz w:val="20"/>
          <w:szCs w:val="20"/>
          <w:lang w:val="es-ES_tradnl" w:eastAsia="es-CR"/>
        </w:rPr>
        <w:t xml:space="preserve">, </w:t>
      </w:r>
      <w:r w:rsidRPr="00C6508C">
        <w:rPr>
          <w:rFonts w:ascii="Verdana" w:hAnsi="Verdana"/>
          <w:spacing w:val="-4"/>
          <w:sz w:val="20"/>
          <w:szCs w:val="20"/>
          <w:lang w:val="es-ES_tradnl" w:eastAsia="es-CR"/>
        </w:rPr>
        <w:t>realizaron una solicitud de medidas provisionales</w:t>
      </w:r>
      <w:r w:rsidR="00B22E8A" w:rsidRPr="00C6508C">
        <w:rPr>
          <w:rFonts w:ascii="Verdana" w:hAnsi="Verdana"/>
          <w:spacing w:val="-4"/>
          <w:sz w:val="20"/>
          <w:szCs w:val="20"/>
          <w:lang w:val="es-ES_tradnl" w:eastAsia="es-CR"/>
        </w:rPr>
        <w:t>,</w:t>
      </w:r>
      <w:r w:rsidR="00CB6CE4" w:rsidRPr="00C6508C">
        <w:rPr>
          <w:rFonts w:ascii="Verdana" w:hAnsi="Verdana"/>
          <w:spacing w:val="-4"/>
          <w:sz w:val="20"/>
          <w:szCs w:val="20"/>
          <w:lang w:val="es-ES_tradnl" w:eastAsia="es-CR"/>
        </w:rPr>
        <w:t xml:space="preserve"> </w:t>
      </w:r>
      <w:r w:rsidR="00B22E8A" w:rsidRPr="00C6508C">
        <w:rPr>
          <w:rFonts w:ascii="Verdana" w:hAnsi="Verdana"/>
          <w:sz w:val="20"/>
          <w:szCs w:val="20"/>
          <w:lang w:val="es-CR"/>
        </w:rPr>
        <w:t>de conformidad con los artículos 63.2 de la Convención Americana sobre Derechos Humanos (en adelante “la Convención Americana” o “la Convención”) y 27.3 del Reglamento de la Corte (en adelante “el Reglamento”)</w:t>
      </w:r>
      <w:r w:rsidR="00B22E8A" w:rsidRPr="00C6508C">
        <w:rPr>
          <w:rFonts w:ascii="Verdana" w:hAnsi="Verdana"/>
          <w:spacing w:val="-4"/>
          <w:sz w:val="20"/>
          <w:szCs w:val="20"/>
          <w:lang w:val="es-ES_tradnl" w:eastAsia="es-CR"/>
        </w:rPr>
        <w:t xml:space="preserve"> y, además</w:t>
      </w:r>
      <w:r w:rsidR="007E3C80" w:rsidRPr="00C6508C">
        <w:rPr>
          <w:rFonts w:ascii="Verdana" w:hAnsi="Verdana"/>
          <w:spacing w:val="-4"/>
          <w:sz w:val="20"/>
          <w:szCs w:val="20"/>
          <w:lang w:val="es-ES_tradnl" w:eastAsia="es-CR"/>
        </w:rPr>
        <w:t xml:space="preserve"> solicitaron que se convoque a una audiencia de supervisión de cumplimiento de Sentencia en este caso </w:t>
      </w:r>
      <w:r w:rsidR="007E3C80" w:rsidRPr="00F40BB2">
        <w:rPr>
          <w:rFonts w:ascii="Verdana" w:hAnsi="Verdana"/>
          <w:spacing w:val="-4"/>
          <w:sz w:val="20"/>
          <w:szCs w:val="20"/>
          <w:lang w:val="es-ES_tradnl" w:eastAsia="es-CR"/>
        </w:rPr>
        <w:t>(</w:t>
      </w:r>
      <w:r w:rsidR="007E3C80" w:rsidRPr="00F40BB2">
        <w:rPr>
          <w:rFonts w:ascii="Verdana" w:hAnsi="Verdana"/>
          <w:i/>
          <w:iCs/>
          <w:spacing w:val="-4"/>
          <w:sz w:val="20"/>
          <w:szCs w:val="20"/>
          <w:lang w:val="es-ES_tradnl" w:eastAsia="es-CR"/>
        </w:rPr>
        <w:t>infra</w:t>
      </w:r>
      <w:r w:rsidR="007E3C80" w:rsidRPr="00F40BB2">
        <w:rPr>
          <w:rFonts w:ascii="Verdana" w:hAnsi="Verdana"/>
          <w:spacing w:val="-4"/>
          <w:sz w:val="20"/>
          <w:szCs w:val="20"/>
          <w:lang w:val="es-ES_tradnl" w:eastAsia="es-CR"/>
        </w:rPr>
        <w:t xml:space="preserve"> Considerando</w:t>
      </w:r>
      <w:r w:rsidR="000F2006">
        <w:rPr>
          <w:rFonts w:ascii="Verdana" w:hAnsi="Verdana"/>
          <w:spacing w:val="-4"/>
          <w:sz w:val="20"/>
          <w:szCs w:val="20"/>
          <w:lang w:val="es-ES_tradnl" w:eastAsia="es-CR"/>
        </w:rPr>
        <w:t>s</w:t>
      </w:r>
      <w:r w:rsidR="007E3C80" w:rsidRPr="00DD1B5A">
        <w:rPr>
          <w:rFonts w:ascii="Verdana" w:hAnsi="Verdana"/>
          <w:spacing w:val="-4"/>
          <w:sz w:val="20"/>
          <w:szCs w:val="20"/>
          <w:lang w:val="es-ES_tradnl" w:eastAsia="es-CR"/>
        </w:rPr>
        <w:t xml:space="preserve"> </w:t>
      </w:r>
      <w:r w:rsidR="00F40BB2" w:rsidRPr="000F2006">
        <w:rPr>
          <w:rFonts w:ascii="Verdana" w:hAnsi="Verdana"/>
          <w:spacing w:val="-4"/>
          <w:sz w:val="20"/>
          <w:szCs w:val="20"/>
          <w:lang w:val="es-ES_tradnl" w:eastAsia="es-CR"/>
        </w:rPr>
        <w:t>4</w:t>
      </w:r>
      <w:r w:rsidR="000F2006">
        <w:rPr>
          <w:rFonts w:ascii="Verdana" w:hAnsi="Verdana"/>
          <w:spacing w:val="-4"/>
          <w:sz w:val="20"/>
          <w:szCs w:val="20"/>
          <w:lang w:val="es-ES_tradnl" w:eastAsia="es-CR"/>
        </w:rPr>
        <w:t xml:space="preserve"> a 7</w:t>
      </w:r>
      <w:r w:rsidR="007E3C80" w:rsidRPr="00F40BB2">
        <w:rPr>
          <w:rFonts w:ascii="Verdana" w:hAnsi="Verdana"/>
          <w:spacing w:val="-4"/>
          <w:sz w:val="20"/>
          <w:szCs w:val="20"/>
          <w:lang w:val="es-ES_tradnl" w:eastAsia="es-CR"/>
        </w:rPr>
        <w:t>).</w:t>
      </w:r>
      <w:r w:rsidR="007E3C80" w:rsidRPr="00C6508C">
        <w:rPr>
          <w:rFonts w:ascii="Verdana" w:hAnsi="Verdana"/>
          <w:spacing w:val="-4"/>
          <w:sz w:val="20"/>
          <w:szCs w:val="20"/>
          <w:lang w:val="es-ES_tradnl" w:eastAsia="es-CR"/>
        </w:rPr>
        <w:t xml:space="preserve"> </w:t>
      </w:r>
    </w:p>
    <w:p w14:paraId="45EAC922" w14:textId="77777777" w:rsidR="007E3C80" w:rsidRPr="00C6508C" w:rsidRDefault="007E3C80" w:rsidP="007E3C80">
      <w:pPr>
        <w:pStyle w:val="Prrafodelista"/>
        <w:autoSpaceDE w:val="0"/>
        <w:autoSpaceDN w:val="0"/>
        <w:adjustRightInd w:val="0"/>
        <w:spacing w:before="120" w:after="120" w:line="240" w:lineRule="auto"/>
        <w:ind w:left="0"/>
        <w:contextualSpacing w:val="0"/>
        <w:jc w:val="both"/>
        <w:rPr>
          <w:rFonts w:ascii="Verdana" w:hAnsi="Verdana" w:cs="Arial"/>
          <w:b/>
          <w:bCs/>
          <w:color w:val="000000"/>
          <w:spacing w:val="-4"/>
          <w:sz w:val="12"/>
          <w:szCs w:val="12"/>
          <w:lang w:val="es-CR"/>
        </w:rPr>
      </w:pPr>
    </w:p>
    <w:p w14:paraId="3AD208FB" w14:textId="161C8D4D" w:rsidR="00640948" w:rsidRPr="00C6508C" w:rsidRDefault="00640948" w:rsidP="00DF63E8">
      <w:pPr>
        <w:autoSpaceDE w:val="0"/>
        <w:autoSpaceDN w:val="0"/>
        <w:adjustRightInd w:val="0"/>
        <w:spacing w:before="120" w:after="120"/>
        <w:jc w:val="both"/>
        <w:rPr>
          <w:rFonts w:ascii="Verdana" w:hAnsi="Verdana" w:cs="Arial"/>
          <w:b/>
          <w:bCs/>
          <w:color w:val="000000"/>
          <w:spacing w:val="-4"/>
          <w:sz w:val="20"/>
          <w:szCs w:val="20"/>
          <w:lang w:val="es-CR"/>
        </w:rPr>
      </w:pPr>
      <w:r w:rsidRPr="00C6508C">
        <w:rPr>
          <w:rFonts w:ascii="Verdana" w:hAnsi="Verdana" w:cs="Arial"/>
          <w:b/>
          <w:bCs/>
          <w:color w:val="000000"/>
          <w:spacing w:val="-4"/>
          <w:sz w:val="20"/>
          <w:szCs w:val="20"/>
          <w:lang w:val="es-CR"/>
        </w:rPr>
        <w:t>CONSIDERANDO QUE:</w:t>
      </w:r>
    </w:p>
    <w:p w14:paraId="778EE006" w14:textId="1D830FD3" w:rsidR="006E67CE" w:rsidRPr="00F1757B" w:rsidRDefault="00B76380" w:rsidP="00CD2867">
      <w:pPr>
        <w:pStyle w:val="Prrafodelista"/>
        <w:numPr>
          <w:ilvl w:val="0"/>
          <w:numId w:val="31"/>
        </w:numPr>
        <w:autoSpaceDE w:val="0"/>
        <w:autoSpaceDN w:val="0"/>
        <w:adjustRightInd w:val="0"/>
        <w:spacing w:before="120" w:after="120" w:line="240" w:lineRule="auto"/>
        <w:ind w:left="0" w:firstLine="0"/>
        <w:contextualSpacing w:val="0"/>
        <w:jc w:val="both"/>
        <w:rPr>
          <w:rFonts w:ascii="Verdana" w:eastAsia="Calibri" w:hAnsi="Verdana" w:cs="Verdana"/>
          <w:sz w:val="20"/>
          <w:szCs w:val="20"/>
          <w:lang w:val="es-ES"/>
        </w:rPr>
      </w:pPr>
      <w:r w:rsidRPr="00F1757B">
        <w:rPr>
          <w:rFonts w:ascii="Verdana" w:eastAsia="Batang" w:hAnsi="Verdana"/>
          <w:sz w:val="20"/>
          <w:szCs w:val="20"/>
          <w:lang w:val="es-ES"/>
        </w:rPr>
        <w:t>La Corte emitió Sentencia en est</w:t>
      </w:r>
      <w:r w:rsidR="00B22E8A" w:rsidRPr="00F1757B">
        <w:rPr>
          <w:rFonts w:ascii="Verdana" w:eastAsia="Batang" w:hAnsi="Verdana"/>
          <w:sz w:val="20"/>
          <w:szCs w:val="20"/>
          <w:lang w:val="es-ES"/>
        </w:rPr>
        <w:t>e caso en el año 2020</w:t>
      </w:r>
      <w:r w:rsidRPr="00F1757B">
        <w:rPr>
          <w:rFonts w:ascii="Verdana" w:eastAsia="Batang" w:hAnsi="Verdana"/>
          <w:sz w:val="20"/>
          <w:szCs w:val="20"/>
          <w:lang w:val="es-ES"/>
        </w:rPr>
        <w:t xml:space="preserve"> (</w:t>
      </w:r>
      <w:r w:rsidRPr="00F1757B">
        <w:rPr>
          <w:rFonts w:ascii="Verdana" w:eastAsia="Batang" w:hAnsi="Verdana"/>
          <w:i/>
          <w:sz w:val="20"/>
          <w:szCs w:val="20"/>
          <w:lang w:val="es-ES"/>
        </w:rPr>
        <w:t xml:space="preserve">supra </w:t>
      </w:r>
      <w:r w:rsidRPr="00F1757B">
        <w:rPr>
          <w:rFonts w:ascii="Verdana" w:eastAsia="Batang" w:hAnsi="Verdana"/>
          <w:sz w:val="20"/>
          <w:szCs w:val="20"/>
          <w:lang w:val="es-ES"/>
        </w:rPr>
        <w:t xml:space="preserve">Visto 1), </w:t>
      </w:r>
      <w:r w:rsidR="00B22E8A" w:rsidRPr="00F1757B">
        <w:rPr>
          <w:rFonts w:ascii="Verdana" w:eastAsia="Batang" w:hAnsi="Verdana"/>
          <w:sz w:val="20"/>
          <w:szCs w:val="20"/>
          <w:lang w:val="es-ES"/>
        </w:rPr>
        <w:t>el cual</w:t>
      </w:r>
      <w:r w:rsidRPr="00F1757B">
        <w:rPr>
          <w:rFonts w:ascii="Verdana" w:eastAsia="Batang" w:hAnsi="Verdana"/>
          <w:sz w:val="20"/>
          <w:szCs w:val="20"/>
          <w:lang w:val="es-ES"/>
        </w:rPr>
        <w:t xml:space="preserve"> se encuentra en etapa de supervisión de cumplimiento. </w:t>
      </w:r>
      <w:r w:rsidR="004E7CF0">
        <w:rPr>
          <w:rFonts w:ascii="Verdana" w:eastAsia="Batang" w:hAnsi="Verdana"/>
          <w:sz w:val="20"/>
          <w:szCs w:val="20"/>
          <w:lang w:val="es-ES"/>
        </w:rPr>
        <w:t>E</w:t>
      </w:r>
      <w:r w:rsidRPr="00F1757B">
        <w:rPr>
          <w:rFonts w:ascii="Verdana" w:eastAsia="Batang" w:hAnsi="Verdana"/>
          <w:sz w:val="20"/>
          <w:szCs w:val="20"/>
          <w:lang w:val="es-ES"/>
        </w:rPr>
        <w:t xml:space="preserve">ntre otras reparaciones, </w:t>
      </w:r>
      <w:r w:rsidR="004E7CF0">
        <w:rPr>
          <w:rFonts w:ascii="Verdana" w:eastAsia="Batang" w:hAnsi="Verdana"/>
          <w:sz w:val="20"/>
          <w:szCs w:val="20"/>
          <w:lang w:val="es-ES"/>
        </w:rPr>
        <w:t xml:space="preserve">ordenó en el punto resolutivo octavo y </w:t>
      </w:r>
      <w:r w:rsidR="001E626F">
        <w:rPr>
          <w:rFonts w:ascii="Verdana" w:eastAsia="Batang" w:hAnsi="Verdana"/>
          <w:sz w:val="20"/>
          <w:szCs w:val="20"/>
          <w:lang w:val="es-ES"/>
        </w:rPr>
        <w:t xml:space="preserve">los </w:t>
      </w:r>
      <w:r w:rsidR="004E7CF0">
        <w:rPr>
          <w:rFonts w:ascii="Verdana" w:eastAsia="Batang" w:hAnsi="Verdana"/>
          <w:sz w:val="20"/>
          <w:szCs w:val="20"/>
          <w:lang w:val="es-ES"/>
        </w:rPr>
        <w:t xml:space="preserve">párrafos </w:t>
      </w:r>
      <w:r w:rsidR="00B90AE3">
        <w:rPr>
          <w:rFonts w:ascii="Verdana" w:eastAsia="Batang" w:hAnsi="Verdana"/>
          <w:sz w:val="20"/>
          <w:szCs w:val="20"/>
          <w:lang w:val="es-ES"/>
        </w:rPr>
        <w:t>111 a 116 y 154</w:t>
      </w:r>
      <w:r w:rsidR="004E7CF0">
        <w:rPr>
          <w:rFonts w:ascii="Verdana" w:eastAsia="Batang" w:hAnsi="Verdana"/>
          <w:sz w:val="20"/>
          <w:szCs w:val="20"/>
          <w:lang w:val="es-ES"/>
        </w:rPr>
        <w:t xml:space="preserve"> </w:t>
      </w:r>
      <w:r w:rsidRPr="00F1757B">
        <w:rPr>
          <w:rFonts w:ascii="Verdana" w:eastAsia="Batang" w:hAnsi="Verdana"/>
          <w:sz w:val="20"/>
          <w:szCs w:val="20"/>
          <w:lang w:val="es-ES"/>
        </w:rPr>
        <w:t xml:space="preserve">que el Estado </w:t>
      </w:r>
      <w:r w:rsidR="00B22E8A" w:rsidRPr="00F1757B">
        <w:rPr>
          <w:rFonts w:ascii="Verdana" w:eastAsia="Batang" w:hAnsi="Verdana"/>
          <w:sz w:val="20"/>
          <w:szCs w:val="20"/>
          <w:lang w:val="es-ES"/>
        </w:rPr>
        <w:t>debía</w:t>
      </w:r>
      <w:r w:rsidR="00E82FD3" w:rsidRPr="00F1757B">
        <w:rPr>
          <w:rFonts w:ascii="Verdana" w:eastAsia="Batang" w:hAnsi="Verdana"/>
          <w:sz w:val="20"/>
          <w:szCs w:val="20"/>
          <w:lang w:val="es-ES"/>
        </w:rPr>
        <w:t>, en un plazo razonable, adecuar varias disposiciones de su ordenamiento jurídico</w:t>
      </w:r>
      <w:r w:rsidR="001E626F">
        <w:rPr>
          <w:rFonts w:ascii="Verdana" w:eastAsia="Batang" w:hAnsi="Verdana"/>
          <w:sz w:val="20"/>
          <w:szCs w:val="20"/>
          <w:lang w:val="es-ES"/>
        </w:rPr>
        <w:t>, a saber</w:t>
      </w:r>
      <w:r w:rsidR="005C4F83" w:rsidRPr="00F1757B">
        <w:rPr>
          <w:rFonts w:ascii="Verdana" w:eastAsia="Batang" w:hAnsi="Verdana"/>
          <w:sz w:val="20"/>
          <w:szCs w:val="20"/>
          <w:lang w:val="es-ES"/>
        </w:rPr>
        <w:t xml:space="preserve">: </w:t>
      </w:r>
    </w:p>
    <w:p w14:paraId="3530E5D9" w14:textId="47AF2860" w:rsidR="00F1757B" w:rsidRPr="00A54E9C" w:rsidRDefault="00F1757B" w:rsidP="000F2006">
      <w:pPr>
        <w:pStyle w:val="Prrafodelista"/>
        <w:numPr>
          <w:ilvl w:val="0"/>
          <w:numId w:val="49"/>
        </w:numPr>
        <w:autoSpaceDE w:val="0"/>
        <w:autoSpaceDN w:val="0"/>
        <w:adjustRightInd w:val="0"/>
        <w:spacing w:before="120" w:after="120" w:line="240" w:lineRule="auto"/>
        <w:ind w:left="1077"/>
        <w:contextualSpacing w:val="0"/>
        <w:jc w:val="both"/>
        <w:rPr>
          <w:rFonts w:ascii="Verdana" w:eastAsia="Batang" w:hAnsi="Verdana"/>
          <w:sz w:val="20"/>
          <w:szCs w:val="19"/>
          <w:lang w:val="es-ES"/>
        </w:rPr>
      </w:pPr>
      <w:r w:rsidRPr="00A54E9C">
        <w:rPr>
          <w:rFonts w:ascii="Verdana" w:eastAsia="Batang" w:hAnsi="Verdana"/>
          <w:sz w:val="20"/>
          <w:szCs w:val="19"/>
          <w:lang w:val="es-ES"/>
        </w:rPr>
        <w:t>los artículos del Código Disciplinario Único que facultan a la Procuraduría para imponer sanciones de destitución e inhabilitación a funcionarios públicos democráticamente electos (arts. 44 y 45), ya que “una sanción de inhabilitación o destitución de un funcionario público democráticamente electo por vía de autoridad administrativa y no por ‘condena, por juez competente, en proceso penal’, es contraria al artículo 23.2 de la Convención y al objeto y fin de la Convención</w:t>
      </w:r>
      <w:r w:rsidR="00C10D20">
        <w:rPr>
          <w:rFonts w:ascii="Verdana" w:eastAsia="Batang" w:hAnsi="Verdana"/>
          <w:sz w:val="20"/>
          <w:szCs w:val="19"/>
          <w:lang w:val="es-ES"/>
        </w:rPr>
        <w:t>”</w:t>
      </w:r>
      <w:r w:rsidRPr="00A54E9C">
        <w:rPr>
          <w:rFonts w:ascii="Verdana" w:eastAsia="Batang" w:hAnsi="Verdana"/>
          <w:sz w:val="20"/>
          <w:szCs w:val="19"/>
          <w:lang w:val="es-ES"/>
        </w:rPr>
        <w:t xml:space="preserve">; </w:t>
      </w:r>
    </w:p>
    <w:p w14:paraId="58572A26" w14:textId="1C69EC02" w:rsidR="00F1757B" w:rsidRPr="00A54E9C" w:rsidRDefault="00F1757B" w:rsidP="000F2006">
      <w:pPr>
        <w:pStyle w:val="Prrafodelista"/>
        <w:numPr>
          <w:ilvl w:val="0"/>
          <w:numId w:val="49"/>
        </w:numPr>
        <w:autoSpaceDE w:val="0"/>
        <w:autoSpaceDN w:val="0"/>
        <w:adjustRightInd w:val="0"/>
        <w:spacing w:before="120" w:after="120" w:line="240" w:lineRule="auto"/>
        <w:ind w:left="1077"/>
        <w:contextualSpacing w:val="0"/>
        <w:jc w:val="both"/>
        <w:rPr>
          <w:rFonts w:ascii="Verdana" w:eastAsia="Calibri" w:hAnsi="Verdana" w:cs="Verdana"/>
          <w:sz w:val="20"/>
          <w:szCs w:val="19"/>
          <w:lang w:val="es-ES"/>
        </w:rPr>
      </w:pPr>
      <w:r w:rsidRPr="00A54E9C">
        <w:rPr>
          <w:rFonts w:ascii="Verdana" w:eastAsia="Batang" w:hAnsi="Verdana"/>
          <w:sz w:val="20"/>
          <w:szCs w:val="19"/>
          <w:lang w:val="es-ES"/>
        </w:rPr>
        <w:t>las normas que prevén sanciones impuestas por la Contraloría a estos funcionarios, que pueden tener el efecto práctico</w:t>
      </w:r>
      <w:r w:rsidR="007703A4">
        <w:rPr>
          <w:rFonts w:ascii="Verdana" w:eastAsia="Batang" w:hAnsi="Verdana"/>
          <w:sz w:val="20"/>
          <w:szCs w:val="19"/>
          <w:lang w:val="es-ES"/>
        </w:rPr>
        <w:t xml:space="preserve"> de</w:t>
      </w:r>
      <w:r w:rsidRPr="00A54E9C">
        <w:rPr>
          <w:rFonts w:ascii="Verdana" w:eastAsia="Batang" w:hAnsi="Verdana"/>
          <w:sz w:val="20"/>
          <w:szCs w:val="19"/>
          <w:lang w:val="es-ES"/>
        </w:rPr>
        <w:t xml:space="preserve"> restringir derechos políticos (art. 60 de la Ley 610 de 18 de agosto de 2000 y art. 38 fracción</w:t>
      </w:r>
      <w:r w:rsidR="007703A4">
        <w:rPr>
          <w:rFonts w:ascii="Verdana" w:eastAsia="Batang" w:hAnsi="Verdana"/>
          <w:sz w:val="20"/>
          <w:szCs w:val="19"/>
          <w:lang w:val="es-ES"/>
        </w:rPr>
        <w:t xml:space="preserve"> 4</w:t>
      </w:r>
      <w:r w:rsidRPr="00A54E9C">
        <w:rPr>
          <w:rFonts w:ascii="Verdana" w:eastAsia="Batang" w:hAnsi="Verdana"/>
          <w:sz w:val="20"/>
          <w:szCs w:val="19"/>
          <w:lang w:val="es-ES"/>
        </w:rPr>
        <w:t xml:space="preserve"> del Código Disciplinario Único), y </w:t>
      </w:r>
    </w:p>
    <w:p w14:paraId="6BDCE43E" w14:textId="4E560386" w:rsidR="00F1757B" w:rsidRPr="00A54E9C" w:rsidRDefault="00F1757B" w:rsidP="000F2006">
      <w:pPr>
        <w:pStyle w:val="Prrafodelista"/>
        <w:numPr>
          <w:ilvl w:val="0"/>
          <w:numId w:val="49"/>
        </w:numPr>
        <w:autoSpaceDE w:val="0"/>
        <w:autoSpaceDN w:val="0"/>
        <w:adjustRightInd w:val="0"/>
        <w:spacing w:before="120" w:after="120" w:line="240" w:lineRule="auto"/>
        <w:ind w:left="1077"/>
        <w:contextualSpacing w:val="0"/>
        <w:jc w:val="both"/>
        <w:rPr>
          <w:rFonts w:ascii="Verdana" w:eastAsia="Calibri" w:hAnsi="Verdana" w:cs="Verdana"/>
          <w:sz w:val="20"/>
          <w:szCs w:val="19"/>
          <w:lang w:val="es-ES"/>
        </w:rPr>
      </w:pPr>
      <w:r w:rsidRPr="00A54E9C">
        <w:rPr>
          <w:rFonts w:ascii="Verdana" w:eastAsia="Batang" w:hAnsi="Verdana"/>
          <w:sz w:val="20"/>
          <w:szCs w:val="19"/>
          <w:lang w:val="es-ES"/>
        </w:rPr>
        <w:t>el art</w:t>
      </w:r>
      <w:r w:rsidR="00C251EC">
        <w:rPr>
          <w:rFonts w:ascii="Verdana" w:eastAsia="Batang" w:hAnsi="Verdana"/>
          <w:sz w:val="20"/>
          <w:szCs w:val="19"/>
          <w:lang w:val="es-ES"/>
        </w:rPr>
        <w:t>ículo</w:t>
      </w:r>
      <w:r w:rsidRPr="00A54E9C">
        <w:rPr>
          <w:rFonts w:ascii="Verdana" w:eastAsia="Batang" w:hAnsi="Verdana"/>
          <w:sz w:val="20"/>
          <w:szCs w:val="19"/>
          <w:lang w:val="es-ES"/>
        </w:rPr>
        <w:t xml:space="preserve"> 5 </w:t>
      </w:r>
      <w:r w:rsidR="00C251EC">
        <w:rPr>
          <w:rFonts w:ascii="Verdana" w:eastAsia="Batang" w:hAnsi="Verdana"/>
          <w:sz w:val="20"/>
          <w:szCs w:val="19"/>
          <w:lang w:val="es-ES"/>
        </w:rPr>
        <w:t xml:space="preserve">de la </w:t>
      </w:r>
      <w:r w:rsidRPr="00A54E9C">
        <w:rPr>
          <w:rFonts w:ascii="Verdana" w:hAnsi="Verdana"/>
          <w:sz w:val="20"/>
          <w:szCs w:val="19"/>
          <w:lang w:val="es-CR"/>
        </w:rPr>
        <w:t>Ley 1864 de 2017 que estableció el tipo penal de “elección ilícita de candidatos”, “en tanto puede generar el efecto de inhibir a una persona para postularse a un cargo público de elección popular cuando haya sido objeto de una sanción disciplinaria o fiscal, pues podría incurrir en un delito sancionado con una pena de 4 a 9 años de prisión”</w:t>
      </w:r>
      <w:r w:rsidRPr="00A54E9C">
        <w:rPr>
          <w:rStyle w:val="Refdenotaalpie"/>
          <w:rFonts w:eastAsia="Batang"/>
          <w:sz w:val="20"/>
          <w:szCs w:val="19"/>
          <w:lang w:val="es-ES"/>
        </w:rPr>
        <w:footnoteReference w:id="4"/>
      </w:r>
      <w:r w:rsidRPr="00A54E9C">
        <w:rPr>
          <w:rFonts w:ascii="Verdana" w:eastAsia="Batang" w:hAnsi="Verdana"/>
          <w:sz w:val="20"/>
          <w:szCs w:val="19"/>
          <w:lang w:val="es-ES"/>
        </w:rPr>
        <w:t>.</w:t>
      </w:r>
    </w:p>
    <w:p w14:paraId="2B355780" w14:textId="4A9974FA" w:rsidR="00F1757B" w:rsidRDefault="00B22E8A" w:rsidP="00F1757B">
      <w:pPr>
        <w:pStyle w:val="Prrafodelista"/>
        <w:numPr>
          <w:ilvl w:val="0"/>
          <w:numId w:val="31"/>
        </w:numPr>
        <w:autoSpaceDE w:val="0"/>
        <w:autoSpaceDN w:val="0"/>
        <w:adjustRightInd w:val="0"/>
        <w:spacing w:before="120" w:after="120" w:line="240" w:lineRule="auto"/>
        <w:ind w:left="0" w:firstLine="0"/>
        <w:contextualSpacing w:val="0"/>
        <w:jc w:val="both"/>
        <w:rPr>
          <w:rFonts w:ascii="Verdana" w:eastAsia="Calibri" w:hAnsi="Verdana" w:cs="Verdana"/>
          <w:sz w:val="20"/>
          <w:szCs w:val="20"/>
          <w:lang w:val="es-ES"/>
        </w:rPr>
      </w:pPr>
      <w:r w:rsidRPr="00C6508C">
        <w:rPr>
          <w:rFonts w:ascii="Verdana" w:eastAsia="Batang" w:hAnsi="Verdana"/>
          <w:sz w:val="20"/>
          <w:szCs w:val="20"/>
          <w:lang w:val="es-ES"/>
        </w:rPr>
        <w:t xml:space="preserve">Asimismo, </w:t>
      </w:r>
      <w:r w:rsidR="006E67CE" w:rsidRPr="00C6508C">
        <w:rPr>
          <w:rFonts w:ascii="Verdana" w:eastAsia="Batang" w:hAnsi="Verdana"/>
          <w:sz w:val="20"/>
          <w:szCs w:val="20"/>
          <w:lang w:val="es-ES"/>
        </w:rPr>
        <w:t xml:space="preserve">en la Sentencia </w:t>
      </w:r>
      <w:r w:rsidRPr="00C6508C">
        <w:rPr>
          <w:rFonts w:ascii="Verdana" w:eastAsia="Batang" w:hAnsi="Verdana"/>
          <w:sz w:val="20"/>
          <w:szCs w:val="20"/>
          <w:lang w:val="es-ES"/>
        </w:rPr>
        <w:t>se dispuso que</w:t>
      </w:r>
      <w:r w:rsidR="00AC2840" w:rsidRPr="00C6508C">
        <w:rPr>
          <w:rFonts w:ascii="Verdana" w:eastAsia="Batang" w:hAnsi="Verdana"/>
          <w:sz w:val="20"/>
          <w:szCs w:val="20"/>
          <w:lang w:val="es-ES"/>
        </w:rPr>
        <w:t>,</w:t>
      </w:r>
      <w:r w:rsidRPr="00C6508C">
        <w:rPr>
          <w:rFonts w:ascii="Verdana" w:eastAsia="Batang" w:hAnsi="Verdana"/>
          <w:sz w:val="20"/>
          <w:szCs w:val="20"/>
          <w:lang w:val="es-ES"/>
        </w:rPr>
        <w:t xml:space="preserve"> </w:t>
      </w:r>
      <w:r w:rsidR="00AC2840" w:rsidRPr="00C6508C">
        <w:rPr>
          <w:rFonts w:ascii="Verdana" w:eastAsia="Batang" w:hAnsi="Verdana"/>
          <w:sz w:val="20"/>
          <w:szCs w:val="20"/>
          <w:lang w:val="es-ES"/>
        </w:rPr>
        <w:t xml:space="preserve">dentro del plazo de un año, contado a partir de la notificación de </w:t>
      </w:r>
      <w:r w:rsidR="000F2006">
        <w:rPr>
          <w:rFonts w:ascii="Verdana" w:eastAsia="Batang" w:hAnsi="Verdana"/>
          <w:sz w:val="20"/>
          <w:szCs w:val="20"/>
          <w:lang w:val="es-ES"/>
        </w:rPr>
        <w:t>é</w:t>
      </w:r>
      <w:r w:rsidR="00603E75">
        <w:rPr>
          <w:rFonts w:ascii="Verdana" w:eastAsia="Batang" w:hAnsi="Verdana"/>
          <w:sz w:val="20"/>
          <w:szCs w:val="20"/>
          <w:lang w:val="es-ES"/>
        </w:rPr>
        <w:t>sta</w:t>
      </w:r>
      <w:r w:rsidR="00AC2840" w:rsidRPr="00C6508C">
        <w:rPr>
          <w:rFonts w:ascii="Verdana" w:eastAsia="Batang" w:hAnsi="Verdana"/>
          <w:sz w:val="20"/>
          <w:szCs w:val="20"/>
          <w:lang w:val="es-ES"/>
        </w:rPr>
        <w:t xml:space="preserve">, el </w:t>
      </w:r>
      <w:r w:rsidRPr="00C6508C">
        <w:rPr>
          <w:rFonts w:ascii="Verdana" w:eastAsia="Batang" w:hAnsi="Verdana"/>
          <w:sz w:val="20"/>
          <w:szCs w:val="20"/>
          <w:lang w:val="es-ES"/>
        </w:rPr>
        <w:t xml:space="preserve">Estado </w:t>
      </w:r>
      <w:r w:rsidR="00AC2840" w:rsidRPr="00C6508C">
        <w:rPr>
          <w:rFonts w:ascii="Verdana" w:eastAsia="Batang" w:hAnsi="Verdana"/>
          <w:sz w:val="20"/>
          <w:szCs w:val="20"/>
          <w:lang w:val="es-ES"/>
        </w:rPr>
        <w:t>debe rendir un informe sobre las medidas adoptadas para cumplir con la misma</w:t>
      </w:r>
      <w:r w:rsidR="00AC2840" w:rsidRPr="00C6508C">
        <w:rPr>
          <w:rStyle w:val="Refdenotaalpie"/>
          <w:rFonts w:eastAsia="Batang"/>
          <w:szCs w:val="20"/>
          <w:lang w:val="es-ES"/>
        </w:rPr>
        <w:footnoteReference w:id="5"/>
      </w:r>
      <w:r w:rsidR="00AC2840" w:rsidRPr="00C6508C">
        <w:rPr>
          <w:rFonts w:ascii="Verdana" w:eastAsia="Batang" w:hAnsi="Verdana"/>
          <w:sz w:val="20"/>
          <w:szCs w:val="20"/>
          <w:lang w:val="es-ES"/>
        </w:rPr>
        <w:t>. Ese plazo vence el</w:t>
      </w:r>
      <w:r w:rsidRPr="00C6508C">
        <w:rPr>
          <w:rFonts w:ascii="Verdana" w:eastAsia="Batang" w:hAnsi="Verdana"/>
          <w:sz w:val="20"/>
          <w:szCs w:val="20"/>
          <w:lang w:val="es-ES"/>
        </w:rPr>
        <w:t xml:space="preserve"> </w:t>
      </w:r>
      <w:r w:rsidR="00AC2840" w:rsidRPr="00C6508C">
        <w:rPr>
          <w:rFonts w:ascii="Verdana" w:eastAsia="Batang" w:hAnsi="Verdana"/>
          <w:sz w:val="20"/>
          <w:szCs w:val="20"/>
          <w:lang w:val="es-ES"/>
        </w:rPr>
        <w:t>19 de agosto de 2021.</w:t>
      </w:r>
    </w:p>
    <w:p w14:paraId="67B2EEC1" w14:textId="5109DA1C" w:rsidR="00D87537" w:rsidRPr="00F1757B" w:rsidRDefault="00D87537" w:rsidP="00F1757B">
      <w:pPr>
        <w:pStyle w:val="Prrafodelista"/>
        <w:numPr>
          <w:ilvl w:val="0"/>
          <w:numId w:val="31"/>
        </w:numPr>
        <w:autoSpaceDE w:val="0"/>
        <w:autoSpaceDN w:val="0"/>
        <w:adjustRightInd w:val="0"/>
        <w:spacing w:before="120" w:after="120" w:line="240" w:lineRule="auto"/>
        <w:ind w:left="0" w:firstLine="0"/>
        <w:contextualSpacing w:val="0"/>
        <w:jc w:val="both"/>
        <w:rPr>
          <w:rFonts w:ascii="Verdana" w:eastAsia="Calibri" w:hAnsi="Verdana" w:cs="Verdana"/>
          <w:sz w:val="20"/>
          <w:szCs w:val="20"/>
          <w:lang w:val="es-ES"/>
        </w:rPr>
      </w:pPr>
      <w:r w:rsidRPr="00F1757B">
        <w:rPr>
          <w:rFonts w:ascii="Verdana" w:hAnsi="Verdana"/>
          <w:sz w:val="20"/>
          <w:szCs w:val="20"/>
          <w:shd w:val="clear" w:color="auto" w:fill="FFFFFF"/>
          <w:lang w:val="es-ES"/>
        </w:rPr>
        <w:t>En la presente Resolución, la Corte se pronunciará sobre la solicitud de medidas provisionales presentada</w:t>
      </w:r>
      <w:r w:rsidR="00C80DC6">
        <w:rPr>
          <w:rFonts w:ascii="Verdana" w:hAnsi="Verdana"/>
          <w:sz w:val="20"/>
          <w:szCs w:val="20"/>
          <w:shd w:val="clear" w:color="auto" w:fill="FFFFFF"/>
          <w:lang w:val="es-ES"/>
        </w:rPr>
        <w:t xml:space="preserve"> por </w:t>
      </w:r>
      <w:r w:rsidR="00EF653C" w:rsidRPr="00F1757B">
        <w:rPr>
          <w:rFonts w:ascii="Verdana" w:hAnsi="Verdana"/>
          <w:sz w:val="20"/>
          <w:szCs w:val="20"/>
          <w:shd w:val="clear" w:color="auto" w:fill="FFFFFF"/>
          <w:lang w:val="es-ES"/>
        </w:rPr>
        <w:t xml:space="preserve">los representantes </w:t>
      </w:r>
      <w:r w:rsidR="006629F8" w:rsidRPr="00F1757B">
        <w:rPr>
          <w:rFonts w:ascii="Verdana" w:hAnsi="Verdana"/>
          <w:sz w:val="20"/>
          <w:szCs w:val="20"/>
          <w:shd w:val="clear" w:color="auto" w:fill="FFFFFF"/>
          <w:lang w:val="es-ES"/>
        </w:rPr>
        <w:t xml:space="preserve">y </w:t>
      </w:r>
      <w:r w:rsidRPr="00F1757B">
        <w:rPr>
          <w:rFonts w:ascii="Verdana" w:hAnsi="Verdana"/>
          <w:spacing w:val="-4"/>
          <w:sz w:val="20"/>
          <w:szCs w:val="20"/>
          <w:lang w:val="es-AR"/>
        </w:rPr>
        <w:t>realizará las valoraciones que</w:t>
      </w:r>
      <w:r w:rsidRPr="00F1757B">
        <w:rPr>
          <w:rFonts w:ascii="Verdana" w:hAnsi="Verdana"/>
          <w:sz w:val="20"/>
          <w:szCs w:val="20"/>
          <w:shd w:val="clear" w:color="auto" w:fill="FFFFFF"/>
          <w:lang w:val="es-CR"/>
        </w:rPr>
        <w:t xml:space="preserve"> correspondan efectuarse en el marco de la supervisión del cumplimiento de la Sentencia</w:t>
      </w:r>
      <w:r w:rsidR="00C433F6" w:rsidRPr="00F1757B">
        <w:rPr>
          <w:rFonts w:ascii="Verdana" w:hAnsi="Verdana"/>
          <w:sz w:val="20"/>
          <w:szCs w:val="20"/>
          <w:shd w:val="clear" w:color="auto" w:fill="FFFFFF"/>
          <w:lang w:val="es-CR"/>
        </w:rPr>
        <w:t xml:space="preserve"> </w:t>
      </w:r>
      <w:r w:rsidR="00C433F6" w:rsidRPr="006A2026">
        <w:rPr>
          <w:rFonts w:ascii="Verdana" w:hAnsi="Verdana"/>
          <w:sz w:val="20"/>
          <w:szCs w:val="20"/>
          <w:shd w:val="clear" w:color="auto" w:fill="FFFFFF"/>
          <w:lang w:val="es-CR"/>
        </w:rPr>
        <w:t>(</w:t>
      </w:r>
      <w:r w:rsidR="00C433F6" w:rsidRPr="006A2026">
        <w:rPr>
          <w:rFonts w:ascii="Verdana" w:hAnsi="Verdana"/>
          <w:i/>
          <w:iCs/>
          <w:sz w:val="20"/>
          <w:szCs w:val="20"/>
          <w:shd w:val="clear" w:color="auto" w:fill="FFFFFF"/>
          <w:lang w:val="es-CR"/>
        </w:rPr>
        <w:t>infra</w:t>
      </w:r>
      <w:r w:rsidR="00C433F6" w:rsidRPr="00EF61E7">
        <w:rPr>
          <w:rFonts w:ascii="Verdana" w:hAnsi="Verdana"/>
          <w:sz w:val="20"/>
          <w:szCs w:val="20"/>
          <w:shd w:val="clear" w:color="auto" w:fill="FFFFFF"/>
          <w:lang w:val="es-CR"/>
        </w:rPr>
        <w:t xml:space="preserve"> Considerandos </w:t>
      </w:r>
      <w:r w:rsidR="006A2026" w:rsidRPr="000F2006">
        <w:rPr>
          <w:rFonts w:ascii="Verdana" w:hAnsi="Verdana"/>
          <w:sz w:val="20"/>
          <w:szCs w:val="20"/>
          <w:shd w:val="clear" w:color="auto" w:fill="FFFFFF"/>
          <w:lang w:val="es-CR"/>
        </w:rPr>
        <w:t>8 al 19</w:t>
      </w:r>
      <w:r w:rsidR="00C433F6" w:rsidRPr="006A2026">
        <w:rPr>
          <w:rFonts w:ascii="Verdana" w:hAnsi="Verdana"/>
          <w:sz w:val="20"/>
          <w:szCs w:val="20"/>
          <w:shd w:val="clear" w:color="auto" w:fill="FFFFFF"/>
          <w:lang w:val="es-CR"/>
        </w:rPr>
        <w:t>)</w:t>
      </w:r>
      <w:r w:rsidRPr="00EF61E7">
        <w:rPr>
          <w:rFonts w:ascii="Verdana" w:hAnsi="Verdana"/>
          <w:sz w:val="20"/>
          <w:szCs w:val="20"/>
          <w:shd w:val="clear" w:color="auto" w:fill="FFFFFF"/>
          <w:lang w:val="es-CR"/>
        </w:rPr>
        <w:t>.</w:t>
      </w:r>
    </w:p>
    <w:p w14:paraId="04D25148" w14:textId="77777777" w:rsidR="00A54E9C" w:rsidRPr="00C6508C" w:rsidRDefault="00A54E9C" w:rsidP="00D419D5">
      <w:pPr>
        <w:pStyle w:val="Prrafodelista"/>
        <w:autoSpaceDE w:val="0"/>
        <w:autoSpaceDN w:val="0"/>
        <w:adjustRightInd w:val="0"/>
        <w:spacing w:before="120" w:after="120" w:line="240" w:lineRule="auto"/>
        <w:ind w:left="0"/>
        <w:contextualSpacing w:val="0"/>
        <w:jc w:val="both"/>
        <w:rPr>
          <w:rFonts w:ascii="Verdana" w:eastAsia="Calibri" w:hAnsi="Verdana" w:cs="Verdana"/>
          <w:sz w:val="12"/>
          <w:szCs w:val="12"/>
          <w:lang w:val="es-ES"/>
        </w:rPr>
      </w:pPr>
    </w:p>
    <w:p w14:paraId="517340E8" w14:textId="466DB5CD" w:rsidR="00F62D49" w:rsidRPr="00C6508C" w:rsidRDefault="00F62D49" w:rsidP="009B1644">
      <w:pPr>
        <w:pStyle w:val="Prrafodelista"/>
        <w:numPr>
          <w:ilvl w:val="0"/>
          <w:numId w:val="34"/>
        </w:numPr>
        <w:autoSpaceDE w:val="0"/>
        <w:autoSpaceDN w:val="0"/>
        <w:adjustRightInd w:val="0"/>
        <w:spacing w:before="120" w:after="120" w:line="240" w:lineRule="auto"/>
        <w:contextualSpacing w:val="0"/>
        <w:jc w:val="both"/>
        <w:rPr>
          <w:rFonts w:ascii="Verdana" w:eastAsia="Calibri" w:hAnsi="Verdana" w:cs="Verdana"/>
          <w:b/>
          <w:bCs/>
          <w:i/>
          <w:iCs/>
          <w:sz w:val="20"/>
          <w:szCs w:val="20"/>
          <w:lang w:val="es-ES"/>
        </w:rPr>
      </w:pPr>
      <w:r w:rsidRPr="00C6508C">
        <w:rPr>
          <w:rFonts w:ascii="Verdana" w:eastAsia="Calibri" w:hAnsi="Verdana" w:cs="Verdana"/>
          <w:b/>
          <w:bCs/>
          <w:i/>
          <w:iCs/>
          <w:sz w:val="20"/>
          <w:szCs w:val="20"/>
          <w:lang w:val="es-ES"/>
        </w:rPr>
        <w:t xml:space="preserve">Solicitud </w:t>
      </w:r>
      <w:r w:rsidR="00E16D63" w:rsidRPr="00C6508C">
        <w:rPr>
          <w:rFonts w:ascii="Verdana" w:eastAsia="Calibri" w:hAnsi="Verdana" w:cs="Verdana"/>
          <w:b/>
          <w:bCs/>
          <w:i/>
          <w:iCs/>
          <w:sz w:val="20"/>
          <w:szCs w:val="20"/>
          <w:lang w:val="es-ES"/>
        </w:rPr>
        <w:t xml:space="preserve">de medidas provisionales </w:t>
      </w:r>
      <w:r w:rsidRPr="00C6508C">
        <w:rPr>
          <w:rFonts w:ascii="Verdana" w:eastAsia="Calibri" w:hAnsi="Verdana" w:cs="Verdana"/>
          <w:b/>
          <w:bCs/>
          <w:i/>
          <w:iCs/>
          <w:sz w:val="20"/>
          <w:szCs w:val="20"/>
          <w:lang w:val="es-ES"/>
        </w:rPr>
        <w:t>presentada por los representantes</w:t>
      </w:r>
    </w:p>
    <w:p w14:paraId="3D8AC145" w14:textId="4614DFD2" w:rsidR="00B76380" w:rsidRPr="00C6508C" w:rsidRDefault="00E16D63" w:rsidP="00F1757B">
      <w:pPr>
        <w:pStyle w:val="Prrafodelista"/>
        <w:numPr>
          <w:ilvl w:val="0"/>
          <w:numId w:val="31"/>
        </w:numPr>
        <w:autoSpaceDE w:val="0"/>
        <w:autoSpaceDN w:val="0"/>
        <w:adjustRightInd w:val="0"/>
        <w:spacing w:before="120" w:after="120" w:line="240" w:lineRule="auto"/>
        <w:ind w:left="0" w:firstLine="0"/>
        <w:contextualSpacing w:val="0"/>
        <w:jc w:val="both"/>
        <w:rPr>
          <w:rFonts w:ascii="Verdana" w:eastAsia="Calibri" w:hAnsi="Verdana" w:cs="Verdana"/>
          <w:sz w:val="20"/>
          <w:szCs w:val="20"/>
          <w:lang w:val="es-ES"/>
        </w:rPr>
      </w:pPr>
      <w:r w:rsidRPr="00C6508C">
        <w:rPr>
          <w:rFonts w:ascii="Verdana" w:eastAsia="Calibri" w:hAnsi="Verdana" w:cs="Verdana"/>
          <w:sz w:val="20"/>
          <w:szCs w:val="20"/>
          <w:lang w:val="es-ES"/>
        </w:rPr>
        <w:t xml:space="preserve">En su escrito de </w:t>
      </w:r>
      <w:r w:rsidR="006629F8">
        <w:rPr>
          <w:rFonts w:ascii="Verdana" w:eastAsia="Calibri" w:hAnsi="Verdana" w:cs="Verdana"/>
          <w:sz w:val="20"/>
          <w:szCs w:val="20"/>
          <w:lang w:val="es-ES"/>
        </w:rPr>
        <w:t>18</w:t>
      </w:r>
      <w:r w:rsidR="00EF653C" w:rsidRPr="00C6508C">
        <w:rPr>
          <w:rFonts w:ascii="Verdana" w:eastAsia="Calibri" w:hAnsi="Verdana" w:cs="Verdana"/>
          <w:sz w:val="20"/>
          <w:szCs w:val="20"/>
          <w:lang w:val="es-ES"/>
        </w:rPr>
        <w:t xml:space="preserve"> de junio de 2021</w:t>
      </w:r>
      <w:r w:rsidRPr="00C6508C">
        <w:rPr>
          <w:rFonts w:ascii="Verdana" w:eastAsia="Calibri" w:hAnsi="Verdana" w:cs="Verdana"/>
          <w:sz w:val="20"/>
          <w:szCs w:val="20"/>
          <w:lang w:val="es-ES"/>
        </w:rPr>
        <w:t>, los representantes solicitaron a la Corte que:</w:t>
      </w:r>
    </w:p>
    <w:p w14:paraId="1131FBE1" w14:textId="787A6E97" w:rsidR="004C4D33" w:rsidRPr="000F2006" w:rsidRDefault="004C4D33" w:rsidP="00F40BB2">
      <w:pPr>
        <w:pStyle w:val="Prrafodelista"/>
        <w:spacing w:after="0" w:line="240" w:lineRule="auto"/>
        <w:ind w:left="426" w:right="424"/>
        <w:contextualSpacing w:val="0"/>
        <w:jc w:val="both"/>
        <w:rPr>
          <w:rFonts w:ascii="Verdana" w:hAnsi="Verdana"/>
          <w:sz w:val="16"/>
          <w:szCs w:val="16"/>
          <w:lang w:val="es-CR"/>
        </w:rPr>
      </w:pPr>
      <w:r w:rsidRPr="00C6508C">
        <w:rPr>
          <w:rFonts w:ascii="Verdana" w:hAnsi="Verdana"/>
          <w:sz w:val="16"/>
          <w:szCs w:val="16"/>
          <w:lang w:val="es-ES"/>
        </w:rPr>
        <w:t>“</w:t>
      </w:r>
      <w:r w:rsidRPr="00C6508C">
        <w:rPr>
          <w:rFonts w:ascii="Verdana" w:hAnsi="Verdana"/>
          <w:sz w:val="16"/>
          <w:szCs w:val="16"/>
          <w:lang w:val="es-CR"/>
        </w:rPr>
        <w:t xml:space="preserve">1. </w:t>
      </w:r>
      <w:r w:rsidRPr="00C6508C">
        <w:rPr>
          <w:rFonts w:ascii="Verdana" w:hAnsi="Verdana"/>
          <w:sz w:val="16"/>
          <w:szCs w:val="16"/>
          <w:lang w:val="es-CR"/>
        </w:rPr>
        <w:tab/>
        <w:t>[…]</w:t>
      </w:r>
      <w:r w:rsidR="00AC2840" w:rsidRPr="00C6508C">
        <w:rPr>
          <w:rFonts w:ascii="Verdana" w:hAnsi="Verdana"/>
          <w:sz w:val="16"/>
          <w:szCs w:val="16"/>
          <w:lang w:val="es-CR"/>
        </w:rPr>
        <w:t xml:space="preserve"> </w:t>
      </w:r>
      <w:r w:rsidR="00AC2840" w:rsidRPr="00D259B0">
        <w:rPr>
          <w:rFonts w:ascii="Verdana" w:hAnsi="Verdana"/>
          <w:bCs/>
          <w:sz w:val="16"/>
          <w:szCs w:val="16"/>
          <w:lang w:val="es-CR"/>
        </w:rPr>
        <w:t>dicte medidas provisionales</w:t>
      </w:r>
      <w:r w:rsidR="00AC2840" w:rsidRPr="00C6508C">
        <w:rPr>
          <w:rFonts w:ascii="Verdana" w:hAnsi="Verdana"/>
          <w:sz w:val="16"/>
          <w:szCs w:val="16"/>
          <w:lang w:val="es-CR"/>
        </w:rPr>
        <w:t xml:space="preserve"> en favor de Gusto Petro Urrego, de conformidad con los artículos 63.2 de la Convención y 27 del Reglamento de la Corte IDH, p</w:t>
      </w:r>
      <w:r w:rsidR="005806BD" w:rsidRPr="00C6508C">
        <w:rPr>
          <w:rFonts w:ascii="Verdana" w:hAnsi="Verdana"/>
          <w:sz w:val="16"/>
          <w:szCs w:val="16"/>
          <w:lang w:val="es-CR"/>
        </w:rPr>
        <w:t>ara que el Gobierno de Colombia</w:t>
      </w:r>
      <w:r w:rsidR="00F40BB2">
        <w:rPr>
          <w:rFonts w:ascii="Verdana" w:hAnsi="Verdana"/>
          <w:sz w:val="16"/>
          <w:szCs w:val="16"/>
          <w:lang w:val="es-CR"/>
        </w:rPr>
        <w:t xml:space="preserve">, </w:t>
      </w:r>
      <w:r w:rsidR="005806BD" w:rsidRPr="00C6508C">
        <w:rPr>
          <w:rFonts w:ascii="Verdana" w:hAnsi="Verdana"/>
          <w:sz w:val="16"/>
          <w:szCs w:val="16"/>
          <w:lang w:val="es-CR"/>
        </w:rPr>
        <w:t>[</w:t>
      </w:r>
      <w:r w:rsidR="005806BD" w:rsidRPr="000F2006">
        <w:rPr>
          <w:rFonts w:ascii="Verdana" w:hAnsi="Verdana"/>
          <w:sz w:val="16"/>
          <w:szCs w:val="16"/>
          <w:lang w:val="es-CR"/>
        </w:rPr>
        <w:t xml:space="preserve"> en cabeza del Presidente de la República,] </w:t>
      </w:r>
      <w:r w:rsidR="00AC2840" w:rsidRPr="000F2006">
        <w:rPr>
          <w:rFonts w:ascii="Verdana" w:hAnsi="Verdana"/>
          <w:sz w:val="16"/>
          <w:szCs w:val="16"/>
          <w:lang w:val="es-CR"/>
        </w:rPr>
        <w:t>objete el proyecto de ley 421 de 2021</w:t>
      </w:r>
      <w:r w:rsidRPr="000F2006">
        <w:rPr>
          <w:rFonts w:ascii="Verdana" w:hAnsi="Verdana"/>
          <w:sz w:val="16"/>
          <w:szCs w:val="16"/>
          <w:lang w:val="es-CR"/>
        </w:rPr>
        <w:t xml:space="preserve"> [</w:t>
      </w:r>
      <w:r w:rsidRPr="000F2006">
        <w:rPr>
          <w:rFonts w:ascii="Verdana" w:hAnsi="Verdana" w:cs="Arial"/>
          <w:color w:val="000000"/>
          <w:sz w:val="16"/>
          <w:szCs w:val="16"/>
          <w:lang w:val="es-CR"/>
        </w:rPr>
        <w:t>por medio del cual se reforma el Nuevo Código Disciplinario Único (Ley 1952 de 2019)</w:t>
      </w:r>
      <w:r w:rsidRPr="000F2006">
        <w:rPr>
          <w:rFonts w:ascii="Verdana" w:hAnsi="Verdana"/>
          <w:sz w:val="16"/>
          <w:szCs w:val="16"/>
          <w:lang w:val="es-CR"/>
        </w:rPr>
        <w:t>]</w:t>
      </w:r>
      <w:r w:rsidR="00AC2840" w:rsidRPr="000F2006">
        <w:rPr>
          <w:rFonts w:ascii="Verdana" w:hAnsi="Verdana"/>
          <w:sz w:val="16"/>
          <w:szCs w:val="16"/>
          <w:lang w:val="es-CR"/>
        </w:rPr>
        <w:t xml:space="preserve">, en tanto no se ajusta a la Convención Americana sobre Derechos Humanos, pues contradice una sentencia </w:t>
      </w:r>
      <w:r w:rsidR="00AC2840" w:rsidRPr="000F2006">
        <w:rPr>
          <w:rFonts w:ascii="Verdana" w:hAnsi="Verdana"/>
          <w:sz w:val="16"/>
          <w:szCs w:val="16"/>
          <w:lang w:val="es-CR"/>
        </w:rPr>
        <w:lastRenderedPageBreak/>
        <w:t>obligatoria y desconoce el artículo 23.2 de la Convención, lo que constituye una situación de extrema gravedad y urgencia y puede ocasionar perjuicios irreparables.</w:t>
      </w:r>
    </w:p>
    <w:p w14:paraId="1A375884" w14:textId="77777777" w:rsidR="004C4D33" w:rsidRPr="00C6508C" w:rsidRDefault="004C4D33" w:rsidP="004C4D33">
      <w:pPr>
        <w:pStyle w:val="Prrafodelista"/>
        <w:spacing w:after="0" w:line="240" w:lineRule="auto"/>
        <w:ind w:left="426" w:right="424"/>
        <w:contextualSpacing w:val="0"/>
        <w:jc w:val="both"/>
        <w:rPr>
          <w:rFonts w:ascii="Verdana" w:hAnsi="Verdana"/>
          <w:sz w:val="16"/>
          <w:szCs w:val="16"/>
          <w:lang w:val="es-CR"/>
        </w:rPr>
      </w:pPr>
    </w:p>
    <w:p w14:paraId="1BA51929" w14:textId="3BFE5D8D" w:rsidR="00AC2840" w:rsidRPr="00C6508C" w:rsidRDefault="004C4D33" w:rsidP="004C4D33">
      <w:pPr>
        <w:pStyle w:val="Prrafodelista"/>
        <w:spacing w:after="0" w:line="240" w:lineRule="auto"/>
        <w:ind w:left="426" w:right="424"/>
        <w:contextualSpacing w:val="0"/>
        <w:jc w:val="both"/>
        <w:rPr>
          <w:rFonts w:ascii="Verdana" w:hAnsi="Verdana"/>
          <w:sz w:val="16"/>
          <w:szCs w:val="16"/>
          <w:lang w:val="es-CR"/>
        </w:rPr>
      </w:pPr>
      <w:r w:rsidRPr="00C6508C">
        <w:rPr>
          <w:rFonts w:ascii="Verdana" w:hAnsi="Verdana"/>
          <w:sz w:val="16"/>
          <w:szCs w:val="16"/>
          <w:lang w:val="es-CR"/>
        </w:rPr>
        <w:t>2.</w:t>
      </w:r>
      <w:r w:rsidRPr="00C6508C">
        <w:rPr>
          <w:rFonts w:ascii="Verdana" w:hAnsi="Verdana"/>
          <w:sz w:val="16"/>
          <w:szCs w:val="16"/>
          <w:lang w:val="es-CR"/>
        </w:rPr>
        <w:tab/>
      </w:r>
      <w:r w:rsidR="005806BD" w:rsidRPr="00C6508C">
        <w:rPr>
          <w:rFonts w:ascii="Verdana" w:hAnsi="Verdana"/>
          <w:sz w:val="16"/>
          <w:szCs w:val="16"/>
          <w:lang w:val="es-CR"/>
        </w:rPr>
        <w:tab/>
      </w:r>
      <w:proofErr w:type="spellStart"/>
      <w:r w:rsidR="00AC2840" w:rsidRPr="00D259B0">
        <w:rPr>
          <w:rFonts w:ascii="Verdana" w:hAnsi="Verdana"/>
          <w:sz w:val="16"/>
          <w:szCs w:val="16"/>
          <w:lang w:val="es-CR"/>
        </w:rPr>
        <w:t>Convo</w:t>
      </w:r>
      <w:proofErr w:type="spellEnd"/>
      <w:r w:rsidR="00C84779" w:rsidRPr="00D259B0">
        <w:rPr>
          <w:rFonts w:ascii="Verdana" w:hAnsi="Verdana"/>
          <w:sz w:val="16"/>
          <w:szCs w:val="16"/>
          <w:lang w:val="es-CR"/>
        </w:rPr>
        <w:t>[que]</w:t>
      </w:r>
      <w:r w:rsidR="00AC2840" w:rsidRPr="004E7CF0">
        <w:rPr>
          <w:rFonts w:ascii="Verdana" w:hAnsi="Verdana"/>
          <w:sz w:val="16"/>
          <w:szCs w:val="16"/>
          <w:lang w:val="es-CR"/>
        </w:rPr>
        <w:t xml:space="preserve"> </w:t>
      </w:r>
      <w:r w:rsidR="00AC2840" w:rsidRPr="00D259B0">
        <w:rPr>
          <w:rFonts w:ascii="Verdana" w:hAnsi="Verdana"/>
          <w:bCs/>
          <w:sz w:val="16"/>
          <w:szCs w:val="16"/>
          <w:lang w:val="es-CR"/>
        </w:rPr>
        <w:t>a una audiencia de supervisión del cumplimiento</w:t>
      </w:r>
      <w:r w:rsidR="00AC2840" w:rsidRPr="00C6508C">
        <w:rPr>
          <w:rFonts w:ascii="Verdana" w:hAnsi="Verdana"/>
          <w:sz w:val="16"/>
          <w:szCs w:val="16"/>
          <w:lang w:val="es-CR"/>
        </w:rPr>
        <w:t xml:space="preserve"> de la sentencia, con el fin de escuchar a las partes y tomar las decisiones que correspondan”. </w:t>
      </w:r>
    </w:p>
    <w:p w14:paraId="00BF18B4" w14:textId="77777777" w:rsidR="005806BD" w:rsidRPr="00C6508C" w:rsidRDefault="005806BD" w:rsidP="004C4D33">
      <w:pPr>
        <w:pStyle w:val="Prrafodelista"/>
        <w:spacing w:after="0" w:line="240" w:lineRule="auto"/>
        <w:ind w:left="426" w:right="424"/>
        <w:contextualSpacing w:val="0"/>
        <w:jc w:val="both"/>
        <w:rPr>
          <w:rFonts w:ascii="Verdana" w:hAnsi="Verdana"/>
          <w:sz w:val="16"/>
          <w:szCs w:val="16"/>
          <w:lang w:val="es-CR"/>
        </w:rPr>
      </w:pPr>
    </w:p>
    <w:p w14:paraId="07C6C941" w14:textId="6B089D1F" w:rsidR="00F1757B" w:rsidRDefault="006177D1" w:rsidP="00F1757B">
      <w:pPr>
        <w:pStyle w:val="Prrafodelista"/>
        <w:numPr>
          <w:ilvl w:val="0"/>
          <w:numId w:val="31"/>
        </w:numPr>
        <w:autoSpaceDE w:val="0"/>
        <w:autoSpaceDN w:val="0"/>
        <w:adjustRightInd w:val="0"/>
        <w:spacing w:before="120" w:after="120" w:line="240" w:lineRule="auto"/>
        <w:ind w:left="0" w:firstLine="0"/>
        <w:contextualSpacing w:val="0"/>
        <w:jc w:val="both"/>
        <w:rPr>
          <w:rFonts w:ascii="Verdana" w:hAnsi="Verdana"/>
          <w:spacing w:val="-4"/>
          <w:sz w:val="20"/>
          <w:szCs w:val="20"/>
          <w:lang w:val="es-AR"/>
        </w:rPr>
      </w:pPr>
      <w:r w:rsidRPr="00C6508C">
        <w:rPr>
          <w:rFonts w:ascii="Verdana" w:hAnsi="Verdana"/>
          <w:spacing w:val="-4"/>
          <w:sz w:val="20"/>
          <w:szCs w:val="20"/>
          <w:lang w:val="es-AR"/>
        </w:rPr>
        <w:t>Asimismo, consideraron relevante que la Corte “requiera al Estado colombiano información sobre el [referido] proyecto de ley 423 de 2021”.</w:t>
      </w:r>
    </w:p>
    <w:p w14:paraId="1978A09C" w14:textId="17203F8C" w:rsidR="00EF653C" w:rsidRPr="00F1757B" w:rsidRDefault="00CA1090" w:rsidP="00F1757B">
      <w:pPr>
        <w:pStyle w:val="Prrafodelista"/>
        <w:numPr>
          <w:ilvl w:val="0"/>
          <w:numId w:val="31"/>
        </w:numPr>
        <w:autoSpaceDE w:val="0"/>
        <w:autoSpaceDN w:val="0"/>
        <w:adjustRightInd w:val="0"/>
        <w:spacing w:before="120" w:after="120" w:line="240" w:lineRule="auto"/>
        <w:ind w:left="0" w:firstLine="0"/>
        <w:contextualSpacing w:val="0"/>
        <w:jc w:val="both"/>
        <w:rPr>
          <w:rFonts w:ascii="Verdana" w:hAnsi="Verdana"/>
          <w:spacing w:val="-4"/>
          <w:sz w:val="20"/>
          <w:szCs w:val="20"/>
          <w:lang w:val="es-AR"/>
        </w:rPr>
      </w:pPr>
      <w:r>
        <w:rPr>
          <w:rFonts w:ascii="Verdana" w:eastAsia="Calibri" w:hAnsi="Verdana" w:cs="Verdana"/>
          <w:sz w:val="20"/>
          <w:szCs w:val="20"/>
          <w:lang w:val="es-ES"/>
        </w:rPr>
        <w:t xml:space="preserve">Los representantes argumentaron que la referida solicitud guarda relación con la garantía de no repetición ordenada en </w:t>
      </w:r>
      <w:r w:rsidR="004E7CF0">
        <w:rPr>
          <w:rFonts w:ascii="Verdana" w:eastAsia="Calibri" w:hAnsi="Verdana" w:cs="Verdana"/>
          <w:sz w:val="20"/>
          <w:szCs w:val="20"/>
          <w:lang w:val="es-ES"/>
        </w:rPr>
        <w:t xml:space="preserve">el punto resolutivo octavo de </w:t>
      </w:r>
      <w:r>
        <w:rPr>
          <w:rFonts w:ascii="Verdana" w:eastAsia="Calibri" w:hAnsi="Verdana" w:cs="Verdana"/>
          <w:sz w:val="20"/>
          <w:szCs w:val="20"/>
          <w:lang w:val="es-ES"/>
        </w:rPr>
        <w:t>la Sentencia de este caso y con</w:t>
      </w:r>
      <w:r w:rsidR="00DD1B5A">
        <w:rPr>
          <w:rFonts w:ascii="Verdana" w:eastAsia="Calibri" w:hAnsi="Verdana" w:cs="Verdana"/>
          <w:sz w:val="20"/>
          <w:szCs w:val="20"/>
          <w:lang w:val="es-ES"/>
        </w:rPr>
        <w:t xml:space="preserve"> las</w:t>
      </w:r>
      <w:r>
        <w:rPr>
          <w:rFonts w:ascii="Verdana" w:eastAsia="Calibri" w:hAnsi="Verdana" w:cs="Verdana"/>
          <w:sz w:val="20"/>
          <w:szCs w:val="20"/>
          <w:lang w:val="es-ES"/>
        </w:rPr>
        <w:t xml:space="preserve"> acciones posteriores que se están implementando a nivel interno que serían contrarias a la misma. </w:t>
      </w:r>
      <w:r w:rsidR="00EF653C" w:rsidRPr="00F1757B">
        <w:rPr>
          <w:rFonts w:ascii="Verdana" w:eastAsia="Calibri" w:hAnsi="Verdana" w:cs="Verdana"/>
          <w:sz w:val="20"/>
          <w:szCs w:val="20"/>
          <w:lang w:val="es-ES"/>
        </w:rPr>
        <w:t>En cuanto a los hechos en los que basan dicha solicitud</w:t>
      </w:r>
      <w:r w:rsidR="00DD1B5A">
        <w:rPr>
          <w:rFonts w:ascii="Verdana" w:eastAsia="Calibri" w:hAnsi="Verdana" w:cs="Verdana"/>
          <w:sz w:val="20"/>
          <w:szCs w:val="20"/>
          <w:lang w:val="es-ES"/>
        </w:rPr>
        <w:t>,</w:t>
      </w:r>
      <w:r w:rsidR="00EF653C" w:rsidRPr="00F1757B">
        <w:rPr>
          <w:rFonts w:ascii="Verdana" w:eastAsia="Calibri" w:hAnsi="Verdana" w:cs="Verdana"/>
          <w:sz w:val="20"/>
          <w:szCs w:val="20"/>
          <w:lang w:val="es-ES"/>
        </w:rPr>
        <w:t xml:space="preserve"> </w:t>
      </w:r>
      <w:r w:rsidR="00BC1FB8" w:rsidRPr="00F1757B">
        <w:rPr>
          <w:rFonts w:ascii="Verdana" w:eastAsia="Calibri" w:hAnsi="Verdana" w:cs="Verdana"/>
          <w:sz w:val="20"/>
          <w:szCs w:val="20"/>
          <w:lang w:val="es-ES"/>
        </w:rPr>
        <w:t>indicaron que:</w:t>
      </w:r>
    </w:p>
    <w:p w14:paraId="571C45A0" w14:textId="561A1294" w:rsidR="00BC1FB8" w:rsidRPr="00BA6172" w:rsidRDefault="00BE5E77" w:rsidP="00BC1FB8">
      <w:pPr>
        <w:pStyle w:val="Prrafodelista"/>
        <w:numPr>
          <w:ilvl w:val="0"/>
          <w:numId w:val="44"/>
        </w:numPr>
        <w:autoSpaceDE w:val="0"/>
        <w:autoSpaceDN w:val="0"/>
        <w:adjustRightInd w:val="0"/>
        <w:spacing w:before="120" w:after="120" w:line="240" w:lineRule="auto"/>
        <w:contextualSpacing w:val="0"/>
        <w:jc w:val="both"/>
        <w:rPr>
          <w:rFonts w:ascii="Verdana" w:hAnsi="Verdana"/>
          <w:spacing w:val="-4"/>
          <w:sz w:val="20"/>
          <w:szCs w:val="19"/>
          <w:lang w:val="es-AR"/>
        </w:rPr>
      </w:pPr>
      <w:r>
        <w:rPr>
          <w:rFonts w:ascii="Verdana" w:eastAsia="Calibri" w:hAnsi="Verdana" w:cs="Verdana"/>
          <w:sz w:val="20"/>
          <w:szCs w:val="19"/>
          <w:lang w:val="es-ES"/>
        </w:rPr>
        <w:t>E</w:t>
      </w:r>
      <w:r w:rsidR="00BC1FB8" w:rsidRPr="00BA6172">
        <w:rPr>
          <w:rFonts w:ascii="Verdana" w:eastAsia="Calibri" w:hAnsi="Verdana" w:cs="Verdana"/>
          <w:sz w:val="20"/>
          <w:szCs w:val="19"/>
          <w:lang w:val="es-ES"/>
        </w:rPr>
        <w:t>n marzo de 2021, el Minist</w:t>
      </w:r>
      <w:r w:rsidR="00ED33DB">
        <w:rPr>
          <w:rFonts w:ascii="Verdana" w:eastAsia="Calibri" w:hAnsi="Verdana" w:cs="Verdana"/>
          <w:sz w:val="20"/>
          <w:szCs w:val="19"/>
          <w:lang w:val="es-ES"/>
        </w:rPr>
        <w:t>ro</w:t>
      </w:r>
      <w:r w:rsidR="00BC1FB8" w:rsidRPr="00BA6172">
        <w:rPr>
          <w:rFonts w:ascii="Verdana" w:eastAsia="Calibri" w:hAnsi="Verdana" w:cs="Verdana"/>
          <w:sz w:val="20"/>
          <w:szCs w:val="19"/>
          <w:lang w:val="es-ES"/>
        </w:rPr>
        <w:t xml:space="preserve"> del Interior y la Procuradora General de la Nación presentaron al Congreso el proyecto de ley 423 de 2021</w:t>
      </w:r>
      <w:r w:rsidR="001D6330">
        <w:rPr>
          <w:rFonts w:ascii="Verdana" w:eastAsia="Calibri" w:hAnsi="Verdana" w:cs="Verdana"/>
          <w:sz w:val="20"/>
          <w:szCs w:val="19"/>
          <w:lang w:val="es-ES"/>
        </w:rPr>
        <w:t>,</w:t>
      </w:r>
      <w:r w:rsidR="00BC1FB8" w:rsidRPr="00BA6172">
        <w:rPr>
          <w:rFonts w:ascii="Verdana" w:eastAsia="Calibri" w:hAnsi="Verdana" w:cs="Verdana"/>
          <w:sz w:val="20"/>
          <w:szCs w:val="19"/>
          <w:lang w:val="es-ES"/>
        </w:rPr>
        <w:t xml:space="preserve"> “</w:t>
      </w:r>
      <w:r w:rsidR="001D6330">
        <w:rPr>
          <w:rFonts w:ascii="Verdana" w:eastAsia="Calibri" w:hAnsi="Verdana" w:cs="Verdana"/>
          <w:sz w:val="20"/>
          <w:szCs w:val="19"/>
          <w:lang w:val="es-ES"/>
        </w:rPr>
        <w:t>[p]</w:t>
      </w:r>
      <w:proofErr w:type="spellStart"/>
      <w:r w:rsidR="00BC1FB8" w:rsidRPr="00BA6172">
        <w:rPr>
          <w:rFonts w:ascii="Verdana" w:eastAsia="Calibri" w:hAnsi="Verdana" w:cs="Verdana"/>
          <w:sz w:val="20"/>
          <w:szCs w:val="19"/>
          <w:lang w:val="es-ES"/>
        </w:rPr>
        <w:t>or</w:t>
      </w:r>
      <w:proofErr w:type="spellEnd"/>
      <w:r w:rsidR="00BC1FB8" w:rsidRPr="00BA6172">
        <w:rPr>
          <w:rFonts w:ascii="Verdana" w:eastAsia="Calibri" w:hAnsi="Verdana" w:cs="Verdana"/>
          <w:sz w:val="20"/>
          <w:szCs w:val="19"/>
          <w:lang w:val="es-ES"/>
        </w:rPr>
        <w:t xml:space="preserve"> medio de</w:t>
      </w:r>
      <w:r w:rsidR="001D6330">
        <w:rPr>
          <w:rFonts w:ascii="Verdana" w:eastAsia="Calibri" w:hAnsi="Verdana" w:cs="Verdana"/>
          <w:sz w:val="20"/>
          <w:szCs w:val="19"/>
          <w:lang w:val="es-ES"/>
        </w:rPr>
        <w:t>l</w:t>
      </w:r>
      <w:r w:rsidR="00BC1FB8" w:rsidRPr="00BA6172">
        <w:rPr>
          <w:rFonts w:ascii="Verdana" w:eastAsia="Calibri" w:hAnsi="Verdana" w:cs="Verdana"/>
          <w:sz w:val="20"/>
          <w:szCs w:val="19"/>
          <w:lang w:val="es-ES"/>
        </w:rPr>
        <w:t xml:space="preserve"> cual se reforma [el Nuevo Código Disciplinario Único] Ley 1952 de 2019 y se dictan otras disposiciones”, el cual “ya fue aprobado por los dos cuerpos colegiados que integran el Congreso […</w:t>
      </w:r>
      <w:r w:rsidR="004E7CF0">
        <w:rPr>
          <w:rFonts w:ascii="Verdana" w:eastAsia="Calibri" w:hAnsi="Verdana" w:cs="Verdana"/>
          <w:sz w:val="20"/>
          <w:szCs w:val="19"/>
          <w:lang w:val="es-ES"/>
        </w:rPr>
        <w:t>,</w:t>
      </w:r>
      <w:r w:rsidR="00BC1FB8" w:rsidRPr="00BA6172">
        <w:rPr>
          <w:rFonts w:ascii="Verdana" w:eastAsia="Calibri" w:hAnsi="Verdana" w:cs="Verdana"/>
          <w:sz w:val="20"/>
          <w:szCs w:val="19"/>
          <w:lang w:val="es-ES"/>
        </w:rPr>
        <w:t xml:space="preserve">] restando solo la conciliación del texto y sanción presidencial pues fue presentado con mensaje de urgencia por parte del Gobierno” y su posterior “promulgación”, “salvo que el </w:t>
      </w:r>
      <w:r w:rsidR="00FD5F62">
        <w:rPr>
          <w:rFonts w:ascii="Verdana" w:eastAsia="Calibri" w:hAnsi="Verdana" w:cs="Verdana"/>
          <w:sz w:val="20"/>
          <w:szCs w:val="19"/>
          <w:lang w:val="es-ES"/>
        </w:rPr>
        <w:t>[P]</w:t>
      </w:r>
      <w:r w:rsidR="00BC1FB8" w:rsidRPr="00BA6172">
        <w:rPr>
          <w:rFonts w:ascii="Verdana" w:eastAsia="Calibri" w:hAnsi="Verdana" w:cs="Verdana"/>
          <w:sz w:val="20"/>
          <w:szCs w:val="19"/>
          <w:lang w:val="es-ES"/>
        </w:rPr>
        <w:t>residente lo objete por razones de conveniencia o por inconstitucionalidad”.</w:t>
      </w:r>
    </w:p>
    <w:p w14:paraId="24360894" w14:textId="77083F30" w:rsidR="00BC1FB8" w:rsidRPr="00BA6172" w:rsidRDefault="00BC1FB8" w:rsidP="00BC1FB8">
      <w:pPr>
        <w:pStyle w:val="Prrafodelista"/>
        <w:numPr>
          <w:ilvl w:val="0"/>
          <w:numId w:val="44"/>
        </w:numPr>
        <w:autoSpaceDE w:val="0"/>
        <w:autoSpaceDN w:val="0"/>
        <w:adjustRightInd w:val="0"/>
        <w:spacing w:before="120" w:after="120" w:line="240" w:lineRule="auto"/>
        <w:contextualSpacing w:val="0"/>
        <w:jc w:val="both"/>
        <w:rPr>
          <w:rFonts w:ascii="Verdana" w:hAnsi="Verdana"/>
          <w:spacing w:val="-4"/>
          <w:sz w:val="20"/>
          <w:szCs w:val="19"/>
          <w:lang w:val="es-AR"/>
        </w:rPr>
      </w:pPr>
      <w:r w:rsidRPr="00BA6172">
        <w:rPr>
          <w:rFonts w:ascii="Verdana" w:eastAsia="Calibri" w:hAnsi="Verdana" w:cs="Verdana"/>
          <w:sz w:val="20"/>
          <w:szCs w:val="19"/>
          <w:lang w:val="es-AR"/>
        </w:rPr>
        <w:t xml:space="preserve">El referido proyecto “no fue consultado con el peticionario o representantes, salvo las intervenciones que se hicieron en audiencia pública convocada [por] el Congreso”. </w:t>
      </w:r>
    </w:p>
    <w:p w14:paraId="38053CE9" w14:textId="77777777" w:rsidR="00DF5FA2" w:rsidRPr="00BA6172" w:rsidRDefault="00BC1FB8" w:rsidP="00DF5FA2">
      <w:pPr>
        <w:pStyle w:val="Prrafodelista"/>
        <w:numPr>
          <w:ilvl w:val="0"/>
          <w:numId w:val="44"/>
        </w:numPr>
        <w:autoSpaceDE w:val="0"/>
        <w:autoSpaceDN w:val="0"/>
        <w:adjustRightInd w:val="0"/>
        <w:spacing w:before="120" w:after="120" w:line="240" w:lineRule="auto"/>
        <w:contextualSpacing w:val="0"/>
        <w:jc w:val="both"/>
        <w:rPr>
          <w:rFonts w:ascii="Verdana" w:hAnsi="Verdana"/>
          <w:spacing w:val="-4"/>
          <w:sz w:val="20"/>
          <w:szCs w:val="19"/>
          <w:lang w:val="es-AR"/>
        </w:rPr>
      </w:pPr>
      <w:r w:rsidRPr="00BA6172">
        <w:rPr>
          <w:rFonts w:ascii="Verdana" w:hAnsi="Verdana"/>
          <w:spacing w:val="-4"/>
          <w:sz w:val="20"/>
          <w:szCs w:val="19"/>
          <w:lang w:val="es-AR"/>
        </w:rPr>
        <w:t>Este proyecto “propone establecer una Sala Disciplinaria de Juzgamiento de los servidores públicos de elección popular que ‘conocerá el juzgamiento’ de estos funcionarios públicos y otorga al Procurador General la segunda instancia sobre las decisiones de la menciona[da] Sala Disciplinaria”</w:t>
      </w:r>
      <w:r w:rsidR="00DF5FA2" w:rsidRPr="00BA6172">
        <w:rPr>
          <w:rFonts w:ascii="Verdana" w:hAnsi="Verdana"/>
          <w:spacing w:val="-4"/>
          <w:sz w:val="20"/>
          <w:szCs w:val="19"/>
          <w:lang w:val="es-AR"/>
        </w:rPr>
        <w:t xml:space="preserve">. </w:t>
      </w:r>
    </w:p>
    <w:p w14:paraId="4A2A64E3" w14:textId="2C0DE2EE" w:rsidR="00DF5FA2" w:rsidRPr="00BA6172" w:rsidRDefault="00DF5FA2" w:rsidP="00DF5FA2">
      <w:pPr>
        <w:pStyle w:val="Prrafodelista"/>
        <w:numPr>
          <w:ilvl w:val="0"/>
          <w:numId w:val="44"/>
        </w:numPr>
        <w:autoSpaceDE w:val="0"/>
        <w:autoSpaceDN w:val="0"/>
        <w:adjustRightInd w:val="0"/>
        <w:spacing w:before="120" w:after="120" w:line="240" w:lineRule="auto"/>
        <w:contextualSpacing w:val="0"/>
        <w:jc w:val="both"/>
        <w:rPr>
          <w:rFonts w:ascii="Verdana" w:hAnsi="Verdana" w:cs="Arial"/>
          <w:color w:val="000000"/>
          <w:sz w:val="20"/>
          <w:szCs w:val="19"/>
          <w:lang w:val="es-CR"/>
        </w:rPr>
      </w:pPr>
      <w:r w:rsidRPr="00BA6172">
        <w:rPr>
          <w:rFonts w:ascii="Verdana" w:hAnsi="Verdana"/>
          <w:spacing w:val="-4"/>
          <w:sz w:val="20"/>
          <w:szCs w:val="19"/>
          <w:lang w:val="es-AR"/>
        </w:rPr>
        <w:t>Dicha propuesta “no cumple con la obligación del artículo 2 de la Convención</w:t>
      </w:r>
      <w:r w:rsidR="00062D16">
        <w:rPr>
          <w:rFonts w:ascii="Verdana" w:hAnsi="Verdana"/>
          <w:spacing w:val="-4"/>
          <w:sz w:val="20"/>
          <w:szCs w:val="19"/>
          <w:lang w:val="es-AR"/>
        </w:rPr>
        <w:t xml:space="preserve"> [</w:t>
      </w:r>
      <w:r w:rsidR="00062D16" w:rsidRPr="00BA6172">
        <w:rPr>
          <w:rFonts w:ascii="Verdana" w:hAnsi="Verdana"/>
          <w:spacing w:val="-4"/>
          <w:sz w:val="20"/>
          <w:szCs w:val="19"/>
          <w:lang w:val="es-AR"/>
        </w:rPr>
        <w:t>Americana</w:t>
      </w:r>
      <w:r w:rsidR="00062D16">
        <w:rPr>
          <w:rFonts w:ascii="Verdana" w:hAnsi="Verdana"/>
          <w:spacing w:val="-4"/>
          <w:sz w:val="20"/>
          <w:szCs w:val="19"/>
          <w:lang w:val="es-AR"/>
        </w:rPr>
        <w:t>]</w:t>
      </w:r>
      <w:r w:rsidRPr="00BA6172">
        <w:rPr>
          <w:rFonts w:ascii="Verdana" w:hAnsi="Verdana"/>
          <w:spacing w:val="-4"/>
          <w:sz w:val="20"/>
          <w:szCs w:val="19"/>
          <w:lang w:val="es-AR"/>
        </w:rPr>
        <w:t xml:space="preserve">” y </w:t>
      </w:r>
      <w:r w:rsidR="00E8154F" w:rsidRPr="00BA6172">
        <w:rPr>
          <w:rFonts w:ascii="Verdana" w:hAnsi="Verdana"/>
          <w:spacing w:val="-4"/>
          <w:sz w:val="20"/>
          <w:szCs w:val="19"/>
          <w:lang w:val="es-AR"/>
        </w:rPr>
        <w:t xml:space="preserve">“desconoce </w:t>
      </w:r>
      <w:r w:rsidRPr="00BA6172">
        <w:rPr>
          <w:rFonts w:ascii="Verdana" w:hAnsi="Verdana"/>
          <w:spacing w:val="-4"/>
          <w:sz w:val="20"/>
          <w:szCs w:val="19"/>
          <w:lang w:val="es-AR"/>
        </w:rPr>
        <w:t xml:space="preserve">la decisión de la […] Corte Interamericana [en este caso], </w:t>
      </w:r>
      <w:r w:rsidRPr="00BA6172">
        <w:rPr>
          <w:rFonts w:ascii="Verdana" w:hAnsi="Verdana" w:cs="Arial"/>
          <w:color w:val="000000"/>
          <w:sz w:val="20"/>
          <w:szCs w:val="19"/>
          <w:lang w:val="es-CR"/>
        </w:rPr>
        <w:t>pues no adecúa sus normas internas para que la destitución e inhabilidad de los funcionarios públicos de elección popular sea conocida y decidida por un ‘</w:t>
      </w:r>
      <w:r w:rsidRPr="00BA6172">
        <w:rPr>
          <w:rFonts w:ascii="Verdana" w:hAnsi="Verdana" w:cs="Arial"/>
          <w:i/>
          <w:iCs/>
          <w:color w:val="000000"/>
          <w:sz w:val="20"/>
          <w:szCs w:val="19"/>
          <w:lang w:val="es-CR"/>
        </w:rPr>
        <w:t>juez competente, en proceso pena</w:t>
      </w:r>
      <w:r w:rsidRPr="00D259B0">
        <w:rPr>
          <w:rFonts w:ascii="Verdana" w:hAnsi="Verdana" w:cs="Arial"/>
          <w:i/>
          <w:color w:val="000000"/>
          <w:sz w:val="20"/>
          <w:szCs w:val="19"/>
          <w:lang w:val="es-CR"/>
        </w:rPr>
        <w:t>l’</w:t>
      </w:r>
      <w:r w:rsidRPr="00BA6172">
        <w:rPr>
          <w:rFonts w:ascii="Verdana" w:hAnsi="Verdana" w:cs="Arial"/>
          <w:color w:val="000000"/>
          <w:sz w:val="20"/>
          <w:szCs w:val="19"/>
          <w:lang w:val="es-CR"/>
        </w:rPr>
        <w:t>, como ordena el artículo 23.2 de la Convención, sino que retiene tal facultad en la Procuraduría, creando una sala con funciones jurisdiccionales, pero dentro del proceso disciplinario”. Además, “tiene un agravante, y es que quienes ejerzan funciones jurisdiccionales, dependerían funcionalmente de quien ejerza la titularidad de la Procuraduría General de la Nación, que en Colombia no pertenece a la Rama Judicial, sino a los órganos de control tal como establece la Constitución Política”. Ante ello, el Consejo de Estado se pronunció considerando que “el otorgamiento de facultades jurisdiccionales a la Procuraduría General de la Nación desconoce la función constitucional de la jurisdicción de lo contencioso administrativo y el principio de división funcional de los poderes públicos”.</w:t>
      </w:r>
    </w:p>
    <w:p w14:paraId="1282DA4D" w14:textId="77777777" w:rsidR="00D509BF" w:rsidRPr="00C6508C" w:rsidRDefault="00D509BF" w:rsidP="00D509BF">
      <w:pPr>
        <w:pStyle w:val="Prrafodelista"/>
        <w:autoSpaceDE w:val="0"/>
        <w:autoSpaceDN w:val="0"/>
        <w:adjustRightInd w:val="0"/>
        <w:spacing w:before="120" w:after="120" w:line="240" w:lineRule="auto"/>
        <w:contextualSpacing w:val="0"/>
        <w:jc w:val="both"/>
        <w:rPr>
          <w:rFonts w:ascii="Verdana" w:hAnsi="Verdana" w:cs="Arial"/>
          <w:color w:val="000000"/>
          <w:sz w:val="2"/>
          <w:szCs w:val="2"/>
          <w:lang w:val="es-CR"/>
        </w:rPr>
      </w:pPr>
    </w:p>
    <w:p w14:paraId="40C93621" w14:textId="1A3FB725" w:rsidR="00213A25" w:rsidRPr="00C6508C" w:rsidRDefault="00D509BF" w:rsidP="00F1757B">
      <w:pPr>
        <w:pStyle w:val="Prrafodelista"/>
        <w:numPr>
          <w:ilvl w:val="0"/>
          <w:numId w:val="31"/>
        </w:numPr>
        <w:autoSpaceDE w:val="0"/>
        <w:autoSpaceDN w:val="0"/>
        <w:adjustRightInd w:val="0"/>
        <w:spacing w:before="120" w:after="120" w:line="240" w:lineRule="auto"/>
        <w:ind w:left="0" w:firstLine="0"/>
        <w:contextualSpacing w:val="0"/>
        <w:jc w:val="both"/>
        <w:rPr>
          <w:rFonts w:ascii="Verdana" w:hAnsi="Verdana"/>
          <w:spacing w:val="-4"/>
          <w:sz w:val="20"/>
          <w:szCs w:val="20"/>
          <w:lang w:val="es-AR"/>
        </w:rPr>
      </w:pPr>
      <w:r w:rsidRPr="00C6508C">
        <w:rPr>
          <w:rFonts w:ascii="Verdana" w:hAnsi="Verdana"/>
          <w:spacing w:val="-4"/>
          <w:sz w:val="20"/>
          <w:szCs w:val="20"/>
          <w:lang w:val="es-AR"/>
        </w:rPr>
        <w:t>Con respecto al “[c]</w:t>
      </w:r>
      <w:proofErr w:type="spellStart"/>
      <w:r w:rsidRPr="00C6508C">
        <w:rPr>
          <w:rFonts w:ascii="Verdana" w:hAnsi="Verdana"/>
          <w:spacing w:val="-4"/>
          <w:sz w:val="20"/>
          <w:szCs w:val="20"/>
          <w:lang w:val="es-AR"/>
        </w:rPr>
        <w:t>umplimiento</w:t>
      </w:r>
      <w:proofErr w:type="spellEnd"/>
      <w:r w:rsidRPr="00C6508C">
        <w:rPr>
          <w:rFonts w:ascii="Verdana" w:hAnsi="Verdana"/>
          <w:spacing w:val="-4"/>
          <w:sz w:val="20"/>
          <w:szCs w:val="20"/>
          <w:lang w:val="es-AR"/>
        </w:rPr>
        <w:t xml:space="preserve"> de los requisitos de </w:t>
      </w:r>
      <w:r w:rsidR="00213A25" w:rsidRPr="00C6508C">
        <w:rPr>
          <w:rFonts w:ascii="Verdana" w:hAnsi="Verdana"/>
          <w:spacing w:val="-4"/>
          <w:sz w:val="20"/>
          <w:szCs w:val="20"/>
          <w:lang w:val="es-AR"/>
        </w:rPr>
        <w:t xml:space="preserve">extrema gravedad, urgencia e </w:t>
      </w:r>
      <w:proofErr w:type="spellStart"/>
      <w:r w:rsidR="00213A25" w:rsidRPr="00C6508C">
        <w:rPr>
          <w:rFonts w:ascii="Verdana" w:hAnsi="Verdana"/>
          <w:spacing w:val="-4"/>
          <w:sz w:val="20"/>
          <w:szCs w:val="20"/>
          <w:lang w:val="es-AR"/>
        </w:rPr>
        <w:t>irreparabilidad</w:t>
      </w:r>
      <w:proofErr w:type="spellEnd"/>
      <w:r w:rsidR="00213A25" w:rsidRPr="00C6508C">
        <w:rPr>
          <w:rFonts w:ascii="Verdana" w:hAnsi="Verdana"/>
          <w:spacing w:val="-4"/>
          <w:sz w:val="20"/>
          <w:szCs w:val="20"/>
          <w:lang w:val="es-AR"/>
        </w:rPr>
        <w:t xml:space="preserve"> del daño” necesarios para la adopción de medidas provisionales</w:t>
      </w:r>
      <w:r w:rsidR="003853C4">
        <w:rPr>
          <w:rFonts w:ascii="Verdana" w:hAnsi="Verdana"/>
          <w:spacing w:val="-4"/>
          <w:sz w:val="20"/>
          <w:szCs w:val="20"/>
          <w:lang w:val="es-AR"/>
        </w:rPr>
        <w:t>,</w:t>
      </w:r>
      <w:r w:rsidR="00213A25" w:rsidRPr="00C6508C">
        <w:rPr>
          <w:rFonts w:ascii="Verdana" w:hAnsi="Verdana"/>
          <w:spacing w:val="-4"/>
          <w:sz w:val="20"/>
          <w:szCs w:val="20"/>
          <w:lang w:val="es-AR"/>
        </w:rPr>
        <w:t xml:space="preserve"> indicaron que:</w:t>
      </w:r>
    </w:p>
    <w:p w14:paraId="422581B6" w14:textId="0F8BBAE0" w:rsidR="00347F9B" w:rsidRPr="00BA6172" w:rsidRDefault="00213A25" w:rsidP="00C24A97">
      <w:pPr>
        <w:pStyle w:val="Prrafodelista"/>
        <w:numPr>
          <w:ilvl w:val="0"/>
          <w:numId w:val="47"/>
        </w:numPr>
        <w:autoSpaceDE w:val="0"/>
        <w:autoSpaceDN w:val="0"/>
        <w:adjustRightInd w:val="0"/>
        <w:spacing w:before="120" w:after="120" w:line="240" w:lineRule="auto"/>
        <w:contextualSpacing w:val="0"/>
        <w:jc w:val="both"/>
        <w:rPr>
          <w:rFonts w:ascii="Verdana" w:hAnsi="Verdana" w:cs="Arial"/>
          <w:color w:val="000000"/>
          <w:sz w:val="20"/>
          <w:szCs w:val="19"/>
          <w:lang w:val="es-CR"/>
        </w:rPr>
      </w:pPr>
      <w:r w:rsidRPr="00BA6172">
        <w:rPr>
          <w:rFonts w:ascii="Verdana" w:hAnsi="Verdana" w:cs="Arial"/>
          <w:color w:val="000000"/>
          <w:sz w:val="20"/>
          <w:szCs w:val="19"/>
          <w:lang w:val="es-CR"/>
        </w:rPr>
        <w:t>“[e]</w:t>
      </w:r>
      <w:proofErr w:type="spellStart"/>
      <w:r w:rsidRPr="00BA6172">
        <w:rPr>
          <w:rFonts w:ascii="Verdana" w:hAnsi="Verdana" w:cs="Arial"/>
          <w:color w:val="000000"/>
          <w:sz w:val="20"/>
          <w:szCs w:val="19"/>
          <w:lang w:val="es-CR"/>
        </w:rPr>
        <w:t>xiste</w:t>
      </w:r>
      <w:proofErr w:type="spellEnd"/>
      <w:r w:rsidRPr="00BA6172">
        <w:rPr>
          <w:rFonts w:ascii="Verdana" w:hAnsi="Verdana" w:cs="Arial"/>
          <w:color w:val="000000"/>
          <w:sz w:val="20"/>
          <w:szCs w:val="19"/>
          <w:lang w:val="es-CR"/>
        </w:rPr>
        <w:t xml:space="preserve"> actualmente una situación de extrema gravedad y urgencia, la cual está íntimamente relacionada con </w:t>
      </w:r>
      <w:r w:rsidR="00C24A97" w:rsidRPr="00BA6172">
        <w:rPr>
          <w:rFonts w:ascii="Verdana" w:hAnsi="Verdana" w:cs="Arial"/>
          <w:color w:val="000000"/>
          <w:sz w:val="20"/>
          <w:szCs w:val="19"/>
          <w:lang w:val="es-CR"/>
        </w:rPr>
        <w:t xml:space="preserve">[evitar] </w:t>
      </w:r>
      <w:r w:rsidRPr="00BA6172">
        <w:rPr>
          <w:rFonts w:ascii="Verdana" w:hAnsi="Verdana" w:cs="Arial"/>
          <w:color w:val="000000"/>
          <w:sz w:val="20"/>
          <w:szCs w:val="19"/>
          <w:lang w:val="es-CR"/>
        </w:rPr>
        <w:t>el flagrante incumplimiento del Estado […] frente a lo ordenado […] en el punto resolutivo 8 de la Sentencia[,] relativo a la adecuación de su ordenamiento jurídico […] y</w:t>
      </w:r>
      <w:r w:rsidR="001747CB">
        <w:rPr>
          <w:rFonts w:ascii="Verdana" w:hAnsi="Verdana" w:cs="Arial"/>
          <w:color w:val="000000"/>
          <w:sz w:val="20"/>
          <w:szCs w:val="19"/>
          <w:lang w:val="es-CR"/>
        </w:rPr>
        <w:t xml:space="preserve"> </w:t>
      </w:r>
      <w:r w:rsidR="00C24A97" w:rsidRPr="00BA6172">
        <w:rPr>
          <w:rFonts w:ascii="Verdana" w:hAnsi="Verdana" w:cs="Arial"/>
          <w:color w:val="000000"/>
          <w:sz w:val="20"/>
          <w:szCs w:val="19"/>
          <w:lang w:val="es-CR"/>
        </w:rPr>
        <w:t>[a que]</w:t>
      </w:r>
      <w:r w:rsidRPr="00BA6172">
        <w:rPr>
          <w:rFonts w:ascii="Verdana" w:hAnsi="Verdana" w:cs="Arial"/>
          <w:color w:val="000000"/>
          <w:sz w:val="20"/>
          <w:szCs w:val="19"/>
          <w:lang w:val="es-CR"/>
        </w:rPr>
        <w:t xml:space="preserve">, de no tener una </w:t>
      </w:r>
      <w:r w:rsidRPr="00BA6172">
        <w:rPr>
          <w:rFonts w:ascii="Verdana" w:hAnsi="Verdana" w:cs="Arial"/>
          <w:color w:val="000000"/>
          <w:sz w:val="20"/>
          <w:szCs w:val="19"/>
          <w:lang w:val="es-CR"/>
        </w:rPr>
        <w:lastRenderedPageBreak/>
        <w:t>intervención pronta por parte de la Corte Interamericana, se generaría un perjuicio irremediable para la víctima”</w:t>
      </w:r>
      <w:r w:rsidR="00C24A97" w:rsidRPr="00BA6172">
        <w:rPr>
          <w:rFonts w:ascii="Verdana" w:hAnsi="Verdana" w:cs="Arial"/>
          <w:color w:val="000000"/>
          <w:sz w:val="20"/>
          <w:szCs w:val="19"/>
          <w:lang w:val="es-CR"/>
        </w:rPr>
        <w:t xml:space="preserve"> que puede “devenga[r] en una violación de sus derechos convencionales y </w:t>
      </w:r>
      <w:r w:rsidR="00657ADF">
        <w:rPr>
          <w:rFonts w:ascii="Verdana" w:hAnsi="Verdana" w:cs="Arial"/>
          <w:color w:val="000000"/>
          <w:sz w:val="20"/>
          <w:szCs w:val="19"/>
          <w:lang w:val="es-CR"/>
        </w:rPr>
        <w:t xml:space="preserve">el </w:t>
      </w:r>
      <w:r w:rsidR="00C24A97" w:rsidRPr="00BA6172">
        <w:rPr>
          <w:rFonts w:ascii="Verdana" w:hAnsi="Verdana" w:cs="Arial"/>
          <w:color w:val="000000"/>
          <w:sz w:val="20"/>
          <w:szCs w:val="19"/>
          <w:lang w:val="es-CR"/>
        </w:rPr>
        <w:t>acceso a la justicia”</w:t>
      </w:r>
      <w:r w:rsidR="00347F9B" w:rsidRPr="00BA6172">
        <w:rPr>
          <w:rFonts w:ascii="Verdana" w:hAnsi="Verdana" w:cs="Arial"/>
          <w:color w:val="000000"/>
          <w:sz w:val="20"/>
          <w:szCs w:val="19"/>
          <w:lang w:val="es-CR"/>
        </w:rPr>
        <w:t xml:space="preserve">. </w:t>
      </w:r>
      <w:r w:rsidRPr="00BA6172">
        <w:rPr>
          <w:rFonts w:ascii="Verdana" w:hAnsi="Verdana" w:cs="Arial"/>
          <w:color w:val="000000"/>
          <w:sz w:val="20"/>
          <w:szCs w:val="19"/>
          <w:lang w:val="es-CR"/>
        </w:rPr>
        <w:t>Explicaron que esta situación implica</w:t>
      </w:r>
      <w:r w:rsidR="00A360B2" w:rsidRPr="00BA6172">
        <w:rPr>
          <w:rFonts w:ascii="Verdana" w:hAnsi="Verdana" w:cs="Arial"/>
          <w:color w:val="000000"/>
          <w:sz w:val="20"/>
          <w:szCs w:val="19"/>
          <w:lang w:val="es-CR"/>
        </w:rPr>
        <w:t>: (i)</w:t>
      </w:r>
      <w:r w:rsidRPr="00BA6172">
        <w:rPr>
          <w:rFonts w:ascii="Verdana" w:hAnsi="Verdana" w:cs="Arial"/>
          <w:color w:val="000000"/>
          <w:sz w:val="20"/>
          <w:szCs w:val="19"/>
          <w:lang w:val="es-CR"/>
        </w:rPr>
        <w:t xml:space="preserve"> “un desconocimiento </w:t>
      </w:r>
      <w:r w:rsidR="00657ADF">
        <w:rPr>
          <w:rFonts w:ascii="Verdana" w:hAnsi="Verdana" w:cs="Arial"/>
          <w:color w:val="000000"/>
          <w:sz w:val="20"/>
          <w:szCs w:val="19"/>
          <w:lang w:val="es-CR"/>
        </w:rPr>
        <w:t>[</w:t>
      </w:r>
      <w:r w:rsidRPr="00BA6172">
        <w:rPr>
          <w:rFonts w:ascii="Verdana" w:hAnsi="Verdana" w:cs="Arial"/>
          <w:color w:val="000000"/>
          <w:sz w:val="20"/>
          <w:szCs w:val="19"/>
          <w:lang w:val="es-CR"/>
        </w:rPr>
        <w:t>de</w:t>
      </w:r>
      <w:r w:rsidR="00657ADF">
        <w:rPr>
          <w:rFonts w:ascii="Verdana" w:hAnsi="Verdana" w:cs="Arial"/>
          <w:color w:val="000000"/>
          <w:sz w:val="20"/>
          <w:szCs w:val="19"/>
          <w:lang w:val="es-CR"/>
        </w:rPr>
        <w:t>]</w:t>
      </w:r>
      <w:r w:rsidRPr="00BA6172">
        <w:rPr>
          <w:rFonts w:ascii="Verdana" w:hAnsi="Verdana" w:cs="Arial"/>
          <w:color w:val="000000"/>
          <w:sz w:val="20"/>
          <w:szCs w:val="19"/>
          <w:lang w:val="es-CR"/>
        </w:rPr>
        <w:t xml:space="preserve"> la obligatoriedad de las </w:t>
      </w:r>
      <w:r w:rsidR="00657ADF">
        <w:rPr>
          <w:rFonts w:ascii="Verdana" w:hAnsi="Verdana" w:cs="Arial"/>
          <w:color w:val="000000"/>
          <w:sz w:val="20"/>
          <w:szCs w:val="19"/>
          <w:lang w:val="es-CR"/>
        </w:rPr>
        <w:t>[</w:t>
      </w:r>
      <w:r w:rsidRPr="00BA6172">
        <w:rPr>
          <w:rFonts w:ascii="Verdana" w:hAnsi="Verdana" w:cs="Arial"/>
          <w:color w:val="000000"/>
          <w:sz w:val="20"/>
          <w:szCs w:val="19"/>
          <w:lang w:val="es-CR"/>
        </w:rPr>
        <w:t>S</w:t>
      </w:r>
      <w:r w:rsidR="00657ADF">
        <w:rPr>
          <w:rFonts w:ascii="Verdana" w:hAnsi="Verdana" w:cs="Arial"/>
          <w:color w:val="000000"/>
          <w:sz w:val="20"/>
          <w:szCs w:val="19"/>
          <w:lang w:val="es-CR"/>
        </w:rPr>
        <w:t>]</w:t>
      </w:r>
      <w:proofErr w:type="spellStart"/>
      <w:r w:rsidRPr="00BA6172">
        <w:rPr>
          <w:rFonts w:ascii="Verdana" w:hAnsi="Verdana" w:cs="Arial"/>
          <w:color w:val="000000"/>
          <w:sz w:val="20"/>
          <w:szCs w:val="19"/>
          <w:lang w:val="es-CR"/>
        </w:rPr>
        <w:t>entencias</w:t>
      </w:r>
      <w:proofErr w:type="spellEnd"/>
      <w:r w:rsidRPr="00BA6172">
        <w:rPr>
          <w:rFonts w:ascii="Verdana" w:hAnsi="Verdana" w:cs="Arial"/>
          <w:color w:val="000000"/>
          <w:sz w:val="20"/>
          <w:szCs w:val="19"/>
          <w:lang w:val="es-CR"/>
        </w:rPr>
        <w:t xml:space="preserve"> de la Corte Interamericana de conformidad con los artículos 67 y 68 de la C[</w:t>
      </w:r>
      <w:proofErr w:type="spellStart"/>
      <w:r w:rsidRPr="00BA6172">
        <w:rPr>
          <w:rFonts w:ascii="Verdana" w:hAnsi="Verdana" w:cs="Arial"/>
          <w:color w:val="000000"/>
          <w:sz w:val="20"/>
          <w:szCs w:val="19"/>
          <w:lang w:val="es-CR"/>
        </w:rPr>
        <w:t>onvención</w:t>
      </w:r>
      <w:proofErr w:type="spellEnd"/>
      <w:r w:rsidRPr="00BA6172">
        <w:rPr>
          <w:rFonts w:ascii="Verdana" w:hAnsi="Verdana" w:cs="Arial"/>
          <w:color w:val="000000"/>
          <w:sz w:val="20"/>
          <w:szCs w:val="19"/>
          <w:lang w:val="es-CR"/>
        </w:rPr>
        <w:t>], así como la inobservancia del</w:t>
      </w:r>
      <w:r w:rsidR="00657ADF">
        <w:rPr>
          <w:rFonts w:ascii="Verdana" w:hAnsi="Verdana" w:cs="Arial"/>
          <w:color w:val="000000"/>
          <w:sz w:val="20"/>
          <w:szCs w:val="19"/>
          <w:lang w:val="es-CR"/>
        </w:rPr>
        <w:t xml:space="preserve"> principio</w:t>
      </w:r>
      <w:r w:rsidRPr="00BA6172">
        <w:rPr>
          <w:rFonts w:ascii="Verdana" w:hAnsi="Verdana" w:cs="Arial"/>
          <w:color w:val="000000"/>
          <w:sz w:val="20"/>
          <w:szCs w:val="19"/>
          <w:lang w:val="es-CR"/>
        </w:rPr>
        <w:t xml:space="preserve"> </w:t>
      </w:r>
      <w:r w:rsidRPr="00BA6172">
        <w:rPr>
          <w:rFonts w:ascii="Verdana" w:hAnsi="Verdana" w:cs="Arial"/>
          <w:i/>
          <w:color w:val="000000"/>
          <w:sz w:val="20"/>
          <w:szCs w:val="19"/>
          <w:lang w:val="es-CR"/>
        </w:rPr>
        <w:t xml:space="preserve">Pacta Sunt </w:t>
      </w:r>
      <w:proofErr w:type="spellStart"/>
      <w:r w:rsidRPr="00BA6172">
        <w:rPr>
          <w:rFonts w:ascii="Verdana" w:hAnsi="Verdana" w:cs="Arial"/>
          <w:i/>
          <w:color w:val="000000"/>
          <w:sz w:val="20"/>
          <w:szCs w:val="19"/>
          <w:lang w:val="es-CR"/>
        </w:rPr>
        <w:t>Servanda</w:t>
      </w:r>
      <w:proofErr w:type="spellEnd"/>
      <w:r w:rsidRPr="00BA6172">
        <w:rPr>
          <w:rFonts w:ascii="Verdana" w:hAnsi="Verdana" w:cs="Arial"/>
          <w:color w:val="000000"/>
          <w:sz w:val="20"/>
          <w:szCs w:val="19"/>
          <w:lang w:val="es-CR"/>
        </w:rPr>
        <w:t>”, pues, entre otros, en la “parte motiva” del referido proyecto de ley se “expone una serie de ra</w:t>
      </w:r>
      <w:r w:rsidR="00A360B2" w:rsidRPr="00BA6172">
        <w:rPr>
          <w:rFonts w:ascii="Verdana" w:hAnsi="Verdana" w:cs="Arial"/>
          <w:color w:val="000000"/>
          <w:sz w:val="20"/>
          <w:szCs w:val="19"/>
          <w:lang w:val="es-CR"/>
        </w:rPr>
        <w:t>z</w:t>
      </w:r>
      <w:r w:rsidRPr="00BA6172">
        <w:rPr>
          <w:rFonts w:ascii="Verdana" w:hAnsi="Verdana" w:cs="Arial"/>
          <w:color w:val="000000"/>
          <w:sz w:val="20"/>
          <w:szCs w:val="19"/>
          <w:lang w:val="es-CR"/>
        </w:rPr>
        <w:t>ones por las que abiertamente [la Procuraduría] decide no cumplir lo ordenado por la Corte I[</w:t>
      </w:r>
      <w:proofErr w:type="spellStart"/>
      <w:r w:rsidRPr="00BA6172">
        <w:rPr>
          <w:rFonts w:ascii="Verdana" w:hAnsi="Verdana" w:cs="Arial"/>
          <w:color w:val="000000"/>
          <w:sz w:val="20"/>
          <w:szCs w:val="19"/>
          <w:lang w:val="es-CR"/>
        </w:rPr>
        <w:t>nterameri</w:t>
      </w:r>
      <w:r w:rsidR="004E7CF0">
        <w:rPr>
          <w:rFonts w:ascii="Verdana" w:hAnsi="Verdana" w:cs="Arial"/>
          <w:color w:val="000000"/>
          <w:sz w:val="20"/>
          <w:szCs w:val="19"/>
          <w:lang w:val="es-CR"/>
        </w:rPr>
        <w:t>c</w:t>
      </w:r>
      <w:r w:rsidRPr="00BA6172">
        <w:rPr>
          <w:rFonts w:ascii="Verdana" w:hAnsi="Verdana" w:cs="Arial"/>
          <w:color w:val="000000"/>
          <w:sz w:val="20"/>
          <w:szCs w:val="19"/>
          <w:lang w:val="es-CR"/>
        </w:rPr>
        <w:t>ana</w:t>
      </w:r>
      <w:proofErr w:type="spellEnd"/>
      <w:r w:rsidRPr="00BA6172">
        <w:rPr>
          <w:rFonts w:ascii="Verdana" w:hAnsi="Verdana" w:cs="Arial"/>
          <w:color w:val="000000"/>
          <w:sz w:val="20"/>
          <w:szCs w:val="19"/>
          <w:lang w:val="es-CR"/>
        </w:rPr>
        <w:t xml:space="preserve">] en un acápite titulado </w:t>
      </w:r>
      <w:r w:rsidRPr="000F2006">
        <w:rPr>
          <w:rFonts w:ascii="Verdana" w:hAnsi="Verdana" w:cs="Arial"/>
          <w:i/>
          <w:color w:val="000000"/>
          <w:sz w:val="20"/>
          <w:szCs w:val="19"/>
          <w:lang w:val="es-CR"/>
        </w:rPr>
        <w:t>‘La necesidad de proteger y mantener la institucionalidad de</w:t>
      </w:r>
      <w:r w:rsidR="00A360B2" w:rsidRPr="000F2006">
        <w:rPr>
          <w:rFonts w:ascii="Verdana" w:hAnsi="Verdana" w:cs="Arial"/>
          <w:i/>
          <w:color w:val="000000"/>
          <w:sz w:val="20"/>
          <w:szCs w:val="19"/>
          <w:lang w:val="es-CR"/>
        </w:rPr>
        <w:t>l Estado colombiano’</w:t>
      </w:r>
      <w:r w:rsidR="00A360B2" w:rsidRPr="00BA6172">
        <w:rPr>
          <w:rFonts w:ascii="Verdana" w:hAnsi="Verdana" w:cs="Arial"/>
          <w:color w:val="000000"/>
          <w:sz w:val="20"/>
          <w:szCs w:val="19"/>
          <w:lang w:val="es-CR"/>
        </w:rPr>
        <w:t xml:space="preserve">, en el cual, a pesar de reconocer que la Corte IDH le ordenó </w:t>
      </w:r>
      <w:r w:rsidR="00347F9B" w:rsidRPr="00BA6172">
        <w:rPr>
          <w:rFonts w:ascii="Verdana" w:hAnsi="Verdana" w:cs="Arial"/>
          <w:color w:val="000000"/>
          <w:sz w:val="20"/>
          <w:szCs w:val="19"/>
          <w:lang w:val="es-CR"/>
        </w:rPr>
        <w:t>modificar</w:t>
      </w:r>
      <w:r w:rsidR="00A360B2" w:rsidRPr="00BA6172">
        <w:rPr>
          <w:rFonts w:ascii="Verdana" w:hAnsi="Verdana" w:cs="Arial"/>
          <w:color w:val="000000"/>
          <w:sz w:val="20"/>
          <w:szCs w:val="19"/>
          <w:lang w:val="es-CR"/>
        </w:rPr>
        <w:t xml:space="preserve"> su ordenamiento interno, abiertamente decide no acatarlo y vuelve a realizar su propia interpretación del artículo 23.2 [de la Convención</w:t>
      </w:r>
      <w:r w:rsidR="004E7CF0">
        <w:rPr>
          <w:rFonts w:ascii="Verdana" w:hAnsi="Verdana" w:cs="Arial"/>
          <w:color w:val="000000"/>
          <w:sz w:val="20"/>
          <w:szCs w:val="19"/>
          <w:lang w:val="es-CR"/>
        </w:rPr>
        <w:t>,</w:t>
      </w:r>
      <w:r w:rsidR="00A360B2" w:rsidRPr="00BA6172">
        <w:rPr>
          <w:rFonts w:ascii="Verdana" w:hAnsi="Verdana" w:cs="Arial"/>
          <w:color w:val="000000"/>
          <w:sz w:val="20"/>
          <w:szCs w:val="19"/>
          <w:lang w:val="es-CR"/>
        </w:rPr>
        <w:t>] haciendo caso omiso de la cosa juzgada internacional”, y (</w:t>
      </w:r>
      <w:proofErr w:type="spellStart"/>
      <w:r w:rsidR="00A360B2" w:rsidRPr="00BA6172">
        <w:rPr>
          <w:rFonts w:ascii="Verdana" w:hAnsi="Verdana" w:cs="Arial"/>
          <w:color w:val="000000"/>
          <w:sz w:val="20"/>
          <w:szCs w:val="19"/>
          <w:lang w:val="es-CR"/>
        </w:rPr>
        <w:t>ii</w:t>
      </w:r>
      <w:proofErr w:type="spellEnd"/>
      <w:r w:rsidR="00A360B2" w:rsidRPr="00BA6172">
        <w:rPr>
          <w:rFonts w:ascii="Verdana" w:hAnsi="Verdana" w:cs="Arial"/>
          <w:color w:val="000000"/>
          <w:sz w:val="20"/>
          <w:szCs w:val="19"/>
          <w:lang w:val="es-CR"/>
        </w:rPr>
        <w:t>)</w:t>
      </w:r>
      <w:r w:rsidR="00347F9B" w:rsidRPr="00BA6172">
        <w:rPr>
          <w:rFonts w:ascii="Verdana" w:hAnsi="Verdana" w:cs="Arial"/>
          <w:color w:val="000000"/>
          <w:sz w:val="20"/>
          <w:szCs w:val="19"/>
          <w:lang w:val="es-CR"/>
        </w:rPr>
        <w:t xml:space="preserve"> de sancionarse este proyecto de ley por el Presidente de la República, “entra[ría] a regir de forma inmediata”</w:t>
      </w:r>
      <w:r w:rsidR="0043115C">
        <w:rPr>
          <w:rFonts w:ascii="Verdana" w:hAnsi="Verdana" w:cs="Arial"/>
          <w:color w:val="000000"/>
          <w:sz w:val="20"/>
          <w:szCs w:val="19"/>
          <w:lang w:val="es-CR"/>
        </w:rPr>
        <w:t xml:space="preserve">, </w:t>
      </w:r>
      <w:r w:rsidR="000F2006">
        <w:rPr>
          <w:rFonts w:ascii="Verdana" w:hAnsi="Verdana" w:cs="Arial"/>
          <w:color w:val="000000"/>
          <w:sz w:val="20"/>
          <w:szCs w:val="19"/>
          <w:lang w:val="es-CR"/>
        </w:rPr>
        <w:t>“</w:t>
      </w:r>
      <w:proofErr w:type="spellStart"/>
      <w:r w:rsidR="0043115C">
        <w:rPr>
          <w:rFonts w:ascii="Verdana" w:hAnsi="Verdana" w:cs="Arial"/>
          <w:color w:val="000000"/>
          <w:sz w:val="20"/>
          <w:szCs w:val="19"/>
          <w:lang w:val="es-CR"/>
        </w:rPr>
        <w:t>gener</w:t>
      </w:r>
      <w:proofErr w:type="spellEnd"/>
      <w:r w:rsidR="000F2006">
        <w:rPr>
          <w:rFonts w:ascii="Verdana" w:hAnsi="Verdana" w:cs="Arial"/>
          <w:color w:val="000000"/>
          <w:sz w:val="20"/>
          <w:szCs w:val="19"/>
          <w:lang w:val="es-CR"/>
        </w:rPr>
        <w:t>[</w:t>
      </w:r>
      <w:proofErr w:type="spellStart"/>
      <w:r w:rsidR="0043115C">
        <w:rPr>
          <w:rFonts w:ascii="Verdana" w:hAnsi="Verdana" w:cs="Arial"/>
          <w:color w:val="000000"/>
          <w:sz w:val="20"/>
          <w:szCs w:val="19"/>
          <w:lang w:val="es-CR"/>
        </w:rPr>
        <w:t>ándose</w:t>
      </w:r>
      <w:proofErr w:type="spellEnd"/>
      <w:r w:rsidR="000F2006">
        <w:rPr>
          <w:rFonts w:ascii="Verdana" w:hAnsi="Verdana" w:cs="Arial"/>
          <w:color w:val="000000"/>
          <w:sz w:val="20"/>
          <w:szCs w:val="19"/>
          <w:lang w:val="es-CR"/>
        </w:rPr>
        <w:t xml:space="preserve">] </w:t>
      </w:r>
      <w:r w:rsidR="00347F9B" w:rsidRPr="00BA6172">
        <w:rPr>
          <w:rFonts w:ascii="Verdana" w:hAnsi="Verdana" w:cs="Arial"/>
          <w:color w:val="000000"/>
          <w:sz w:val="20"/>
          <w:szCs w:val="19"/>
          <w:lang w:val="es-CR"/>
        </w:rPr>
        <w:t>un impacto y un daño irreparable a Gustavo Petro, como víctima, en su derecho de acceso a la justicia internacional” por cuanto en la Sentencia se estableció que la adecuación del derecho interno era una reparación para las violaciones a sus derechos, y con su incumplimiento “</w:t>
      </w:r>
      <w:r w:rsidR="0043115C">
        <w:rPr>
          <w:rFonts w:ascii="Verdana" w:hAnsi="Verdana" w:cs="Arial"/>
          <w:color w:val="000000"/>
          <w:sz w:val="20"/>
          <w:szCs w:val="19"/>
          <w:lang w:val="es-CR"/>
        </w:rPr>
        <w:t xml:space="preserve">se </w:t>
      </w:r>
      <w:r w:rsidR="00347F9B" w:rsidRPr="00BA6172">
        <w:rPr>
          <w:rFonts w:ascii="Verdana" w:hAnsi="Verdana" w:cs="Arial"/>
          <w:color w:val="000000"/>
          <w:sz w:val="20"/>
          <w:szCs w:val="19"/>
          <w:lang w:val="es-CR"/>
        </w:rPr>
        <w:t xml:space="preserve">estarían afectando directamente derechos de la víctima”. </w:t>
      </w:r>
    </w:p>
    <w:p w14:paraId="78B07ABB" w14:textId="630D088E" w:rsidR="00213A25" w:rsidRPr="00BA6172" w:rsidRDefault="00347F9B" w:rsidP="00C24A97">
      <w:pPr>
        <w:pStyle w:val="Prrafodelista"/>
        <w:numPr>
          <w:ilvl w:val="0"/>
          <w:numId w:val="47"/>
        </w:numPr>
        <w:autoSpaceDE w:val="0"/>
        <w:autoSpaceDN w:val="0"/>
        <w:adjustRightInd w:val="0"/>
        <w:spacing w:before="120" w:after="120" w:line="240" w:lineRule="auto"/>
        <w:contextualSpacing w:val="0"/>
        <w:jc w:val="both"/>
        <w:rPr>
          <w:rFonts w:ascii="Verdana" w:hAnsi="Verdana" w:cs="Arial"/>
          <w:color w:val="000000"/>
          <w:sz w:val="20"/>
          <w:szCs w:val="19"/>
          <w:lang w:val="es-CR"/>
        </w:rPr>
      </w:pPr>
      <w:r w:rsidRPr="00BA6172">
        <w:rPr>
          <w:rFonts w:ascii="Verdana" w:hAnsi="Verdana" w:cs="Arial"/>
          <w:color w:val="000000"/>
          <w:sz w:val="20"/>
          <w:szCs w:val="19"/>
          <w:lang w:val="es-CR"/>
        </w:rPr>
        <w:t xml:space="preserve">Si entra en vigor una ley cuyo “contenido […] y razones para </w:t>
      </w:r>
      <w:proofErr w:type="spellStart"/>
      <w:r w:rsidRPr="00BA6172">
        <w:rPr>
          <w:rFonts w:ascii="Verdana" w:hAnsi="Verdana" w:cs="Arial"/>
          <w:color w:val="000000"/>
          <w:sz w:val="20"/>
          <w:szCs w:val="19"/>
          <w:lang w:val="es-CR"/>
        </w:rPr>
        <w:t>aprobarl</w:t>
      </w:r>
      <w:proofErr w:type="spellEnd"/>
      <w:r w:rsidRPr="00BA6172">
        <w:rPr>
          <w:rFonts w:ascii="Verdana" w:hAnsi="Verdana" w:cs="Arial"/>
          <w:color w:val="000000"/>
          <w:sz w:val="20"/>
          <w:szCs w:val="19"/>
          <w:lang w:val="es-CR"/>
        </w:rPr>
        <w:t xml:space="preserve">[a] </w:t>
      </w:r>
      <w:r w:rsidR="00A360B2" w:rsidRPr="00BA6172">
        <w:rPr>
          <w:rFonts w:ascii="Verdana" w:hAnsi="Verdana" w:cs="Arial"/>
          <w:color w:val="000000"/>
          <w:sz w:val="20"/>
          <w:szCs w:val="19"/>
          <w:lang w:val="es-CR"/>
        </w:rPr>
        <w:t xml:space="preserve">fueron abiertamente </w:t>
      </w:r>
      <w:proofErr w:type="spellStart"/>
      <w:r w:rsidR="00A360B2" w:rsidRPr="00BA6172">
        <w:rPr>
          <w:rFonts w:ascii="Verdana" w:hAnsi="Verdana" w:cs="Arial"/>
          <w:color w:val="000000"/>
          <w:sz w:val="20"/>
          <w:szCs w:val="19"/>
          <w:lang w:val="es-CR"/>
        </w:rPr>
        <w:t>inconvencionales</w:t>
      </w:r>
      <w:proofErr w:type="spellEnd"/>
      <w:r w:rsidR="00A360B2" w:rsidRPr="00BA6172">
        <w:rPr>
          <w:rFonts w:ascii="Verdana" w:hAnsi="Verdana" w:cs="Arial"/>
          <w:color w:val="000000"/>
          <w:sz w:val="20"/>
          <w:szCs w:val="19"/>
          <w:lang w:val="es-CR"/>
        </w:rPr>
        <w:t xml:space="preserve"> y contrarias al bloque de constitucionalidad […] al violar disposiciones internacionales con jerarquía constitucional</w:t>
      </w:r>
      <w:r w:rsidRPr="00BA6172">
        <w:rPr>
          <w:rFonts w:ascii="Verdana" w:hAnsi="Verdana" w:cs="Arial"/>
          <w:color w:val="000000"/>
          <w:sz w:val="20"/>
          <w:szCs w:val="19"/>
          <w:lang w:val="es-CR"/>
        </w:rPr>
        <w:t xml:space="preserve">”, será necesario modificarla, para lo cual “será necesario expedir otra norma legal, cuyo trámite tardará muchos meses”, y durante su vigencia “el Estado seguirá incumpliendo la decisión de la Corte y vulnerando normas convencionales”. </w:t>
      </w:r>
    </w:p>
    <w:p w14:paraId="79345795" w14:textId="0ECEB073" w:rsidR="00347F9B" w:rsidRPr="00BA6172" w:rsidRDefault="00347F9B" w:rsidP="00C24A97">
      <w:pPr>
        <w:pStyle w:val="Prrafodelista"/>
        <w:numPr>
          <w:ilvl w:val="0"/>
          <w:numId w:val="47"/>
        </w:numPr>
        <w:autoSpaceDE w:val="0"/>
        <w:autoSpaceDN w:val="0"/>
        <w:adjustRightInd w:val="0"/>
        <w:spacing w:before="120" w:after="120" w:line="240" w:lineRule="auto"/>
        <w:contextualSpacing w:val="0"/>
        <w:jc w:val="both"/>
        <w:rPr>
          <w:rFonts w:ascii="Verdana" w:hAnsi="Verdana" w:cs="Arial"/>
          <w:color w:val="000000"/>
          <w:sz w:val="20"/>
          <w:szCs w:val="19"/>
          <w:lang w:val="es-CR"/>
        </w:rPr>
      </w:pPr>
      <w:r w:rsidRPr="00BA6172">
        <w:rPr>
          <w:rFonts w:ascii="Verdana" w:hAnsi="Verdana" w:cs="Arial"/>
          <w:color w:val="000000"/>
          <w:sz w:val="20"/>
          <w:szCs w:val="19"/>
          <w:lang w:val="es-CR"/>
        </w:rPr>
        <w:t>“Los efectos de este proyecto de ley, no solo son perjudiciales para Gustavo Pe</w:t>
      </w:r>
      <w:r w:rsidR="005C641D">
        <w:rPr>
          <w:rFonts w:ascii="Verdana" w:hAnsi="Verdana" w:cs="Arial"/>
          <w:color w:val="000000"/>
          <w:sz w:val="20"/>
          <w:szCs w:val="19"/>
          <w:lang w:val="es-CR"/>
        </w:rPr>
        <w:t>t</w:t>
      </w:r>
      <w:r w:rsidRPr="00BA6172">
        <w:rPr>
          <w:rFonts w:ascii="Verdana" w:hAnsi="Verdana" w:cs="Arial"/>
          <w:color w:val="000000"/>
          <w:sz w:val="20"/>
          <w:szCs w:val="19"/>
          <w:lang w:val="es-CR"/>
        </w:rPr>
        <w:t>ro en el caso concreto, sino que los mismos también perjudicarían a los funcionarios elegidos popularmente que sean investigados, juzgados y sancionados por esta Sala Disciplinaria y la Procuraduría General de la Nación durante la vigencia de esta ley”</w:t>
      </w:r>
      <w:r w:rsidR="00C24A97" w:rsidRPr="00BA6172">
        <w:rPr>
          <w:rFonts w:ascii="Verdana" w:hAnsi="Verdana" w:cs="Arial"/>
          <w:color w:val="000000"/>
          <w:sz w:val="20"/>
          <w:szCs w:val="19"/>
          <w:lang w:val="es-CR"/>
        </w:rPr>
        <w:t>.</w:t>
      </w:r>
    </w:p>
    <w:p w14:paraId="47AB370E" w14:textId="77777777" w:rsidR="00766FFC" w:rsidRPr="00DC6C90" w:rsidRDefault="00766FFC" w:rsidP="00521F0B">
      <w:pPr>
        <w:autoSpaceDE w:val="0"/>
        <w:autoSpaceDN w:val="0"/>
        <w:adjustRightInd w:val="0"/>
        <w:spacing w:before="120" w:after="120"/>
        <w:jc w:val="both"/>
        <w:rPr>
          <w:rFonts w:ascii="Verdana" w:hAnsi="Verdana"/>
          <w:spacing w:val="-4"/>
          <w:sz w:val="20"/>
          <w:szCs w:val="12"/>
          <w:lang w:val="es-CR"/>
        </w:rPr>
      </w:pPr>
    </w:p>
    <w:p w14:paraId="55D70B06" w14:textId="02146288" w:rsidR="00521F0B" w:rsidRPr="005F4642" w:rsidRDefault="00521F0B" w:rsidP="00521F0B">
      <w:pPr>
        <w:pStyle w:val="Prrafodelista"/>
        <w:numPr>
          <w:ilvl w:val="0"/>
          <w:numId w:val="34"/>
        </w:numPr>
        <w:autoSpaceDE w:val="0"/>
        <w:autoSpaceDN w:val="0"/>
        <w:adjustRightInd w:val="0"/>
        <w:spacing w:before="120" w:after="120" w:line="240" w:lineRule="auto"/>
        <w:contextualSpacing w:val="0"/>
        <w:jc w:val="both"/>
        <w:rPr>
          <w:rFonts w:ascii="Verdana" w:hAnsi="Verdana" w:cs="Verdana"/>
          <w:spacing w:val="-4"/>
          <w:sz w:val="20"/>
          <w:szCs w:val="20"/>
          <w:lang w:val="es-ES"/>
        </w:rPr>
      </w:pPr>
      <w:bookmarkStart w:id="0" w:name="_Toc20920734"/>
      <w:r w:rsidRPr="00C6508C">
        <w:rPr>
          <w:rFonts w:ascii="Verdana" w:eastAsia="Times New Roman" w:hAnsi="Verdana"/>
          <w:b/>
          <w:i/>
          <w:sz w:val="20"/>
          <w:szCs w:val="20"/>
          <w:lang w:val="es-ES" w:eastAsia="es-ES"/>
        </w:rPr>
        <w:t>Consideraciones de la Corte respecto de la solicitud de medidas provisionales</w:t>
      </w:r>
      <w:bookmarkEnd w:id="0"/>
    </w:p>
    <w:p w14:paraId="0EAC5A03" w14:textId="77777777" w:rsidR="00F1757B" w:rsidRDefault="00521F0B" w:rsidP="00F1757B">
      <w:pPr>
        <w:pStyle w:val="Prrafodelista"/>
        <w:numPr>
          <w:ilvl w:val="0"/>
          <w:numId w:val="31"/>
        </w:numPr>
        <w:autoSpaceDE w:val="0"/>
        <w:autoSpaceDN w:val="0"/>
        <w:adjustRightInd w:val="0"/>
        <w:spacing w:before="120" w:after="120" w:line="240" w:lineRule="auto"/>
        <w:ind w:left="0" w:firstLine="0"/>
        <w:contextualSpacing w:val="0"/>
        <w:jc w:val="both"/>
        <w:rPr>
          <w:rFonts w:ascii="Verdana" w:eastAsia="Calibri" w:hAnsi="Verdana" w:cs="Calibri"/>
          <w:sz w:val="20"/>
          <w:szCs w:val="20"/>
          <w:lang w:val="es-ES" w:eastAsia="es-ES"/>
        </w:rPr>
      </w:pPr>
      <w:r w:rsidRPr="00C6508C">
        <w:rPr>
          <w:rFonts w:ascii="Verdana" w:eastAsia="Times New Roman" w:hAnsi="Verdana" w:cs="Times New Roman"/>
          <w:sz w:val="20"/>
          <w:szCs w:val="20"/>
          <w:lang w:val="es-ES" w:eastAsia="es-ES"/>
        </w:rPr>
        <w:t>El artículo 63.2 de la Convención Americana sobre Derechos Humanos dispone, en lo relevante, que “[e]n casos de extrema gravedad y urgencia, y cuando se haga necesario evitar daños irreparables a las personas, la Corte, en los asuntos que esté conociendo, podrá tomar las medidas provisionales que considere pertinentes”.</w:t>
      </w:r>
    </w:p>
    <w:p w14:paraId="5A296466" w14:textId="77777777" w:rsidR="00F1757B" w:rsidRDefault="00521F0B" w:rsidP="00F1757B">
      <w:pPr>
        <w:pStyle w:val="Prrafodelista"/>
        <w:numPr>
          <w:ilvl w:val="0"/>
          <w:numId w:val="31"/>
        </w:numPr>
        <w:autoSpaceDE w:val="0"/>
        <w:autoSpaceDN w:val="0"/>
        <w:adjustRightInd w:val="0"/>
        <w:spacing w:before="120" w:after="120" w:line="240" w:lineRule="auto"/>
        <w:ind w:left="0" w:firstLine="0"/>
        <w:contextualSpacing w:val="0"/>
        <w:jc w:val="both"/>
        <w:rPr>
          <w:rFonts w:ascii="Verdana" w:eastAsia="Calibri" w:hAnsi="Verdana" w:cs="Calibri"/>
          <w:sz w:val="20"/>
          <w:szCs w:val="20"/>
          <w:lang w:val="es-ES" w:eastAsia="es-ES"/>
        </w:rPr>
      </w:pPr>
      <w:r w:rsidRPr="00F1757B">
        <w:rPr>
          <w:rFonts w:ascii="Verdana" w:eastAsia="Times New Roman" w:hAnsi="Verdana"/>
          <w:sz w:val="20"/>
          <w:szCs w:val="20"/>
          <w:lang w:val="es-ES" w:eastAsia="es-ES"/>
        </w:rPr>
        <w:t>En el Derecho Internacional de los Derechos Humanos las medidas provisionales tienen un carácter no sólo cautelar, en el sentido de que preservan una situación jurídica, sino fundamentalmente tutelar, por cuanto protegen derechos humanos, en tanto que buscan evitar daños irreparables a las personas. Éstas se aplican siempre y cuando se reúnan los requisitos básicos de extrema gravedad y urgencia y de la prevención de daños irreparables a las personas. De esta manera, las medidas provisionales se transforman en una verdadera garantía jurisdiccional de carácter preventivo</w:t>
      </w:r>
      <w:r w:rsidRPr="00C6508C">
        <w:rPr>
          <w:rFonts w:ascii="Verdana" w:hAnsi="Verdana"/>
          <w:vertAlign w:val="superscript"/>
          <w:lang w:eastAsia="es-ES"/>
        </w:rPr>
        <w:footnoteReference w:id="6"/>
      </w:r>
      <w:r w:rsidRPr="00F1757B">
        <w:rPr>
          <w:rFonts w:ascii="Verdana" w:eastAsia="Times New Roman" w:hAnsi="Verdana"/>
          <w:sz w:val="20"/>
          <w:szCs w:val="20"/>
          <w:lang w:val="es-ES" w:eastAsia="es-ES"/>
        </w:rPr>
        <w:t>.</w:t>
      </w:r>
    </w:p>
    <w:p w14:paraId="12401F1B" w14:textId="77777777" w:rsidR="00F1757B" w:rsidRPr="00F1757B" w:rsidRDefault="00521F0B" w:rsidP="00F1757B">
      <w:pPr>
        <w:pStyle w:val="Prrafodelista"/>
        <w:numPr>
          <w:ilvl w:val="0"/>
          <w:numId w:val="31"/>
        </w:numPr>
        <w:autoSpaceDE w:val="0"/>
        <w:autoSpaceDN w:val="0"/>
        <w:adjustRightInd w:val="0"/>
        <w:spacing w:before="120" w:after="120" w:line="240" w:lineRule="auto"/>
        <w:ind w:left="0" w:firstLine="0"/>
        <w:contextualSpacing w:val="0"/>
        <w:jc w:val="both"/>
        <w:rPr>
          <w:rFonts w:ascii="Verdana" w:eastAsia="Calibri" w:hAnsi="Verdana" w:cs="Calibri"/>
          <w:sz w:val="20"/>
          <w:szCs w:val="20"/>
          <w:lang w:val="es-ES" w:eastAsia="es-ES"/>
        </w:rPr>
      </w:pPr>
      <w:r w:rsidRPr="00F1757B">
        <w:rPr>
          <w:rFonts w:ascii="Verdana" w:eastAsia="Times New Roman" w:hAnsi="Verdana" w:cs="Times New Roman"/>
          <w:sz w:val="20"/>
          <w:szCs w:val="20"/>
          <w:lang w:val="es-PR" w:eastAsia="es-ES"/>
        </w:rPr>
        <w:lastRenderedPageBreak/>
        <w:t>Asimismo, el a</w:t>
      </w:r>
      <w:r w:rsidRPr="00F1757B">
        <w:rPr>
          <w:rFonts w:ascii="Verdana" w:eastAsia="Times New Roman" w:hAnsi="Verdana" w:cs="Arial"/>
          <w:sz w:val="20"/>
          <w:szCs w:val="20"/>
          <w:lang w:val="es-PR" w:eastAsia="es-ES"/>
        </w:rPr>
        <w:t>rtículo 27.3</w:t>
      </w:r>
      <w:r w:rsidRPr="00F1757B">
        <w:rPr>
          <w:rFonts w:ascii="Verdana" w:eastAsia="Times New Roman" w:hAnsi="Verdana" w:cs="Times New Roman"/>
          <w:sz w:val="20"/>
          <w:szCs w:val="20"/>
          <w:lang w:val="es-PR" w:eastAsia="es-ES"/>
        </w:rPr>
        <w:t xml:space="preserve"> del Reglamento del Tribunal establece que</w:t>
      </w:r>
      <w:r w:rsidRPr="00F1757B">
        <w:rPr>
          <w:rFonts w:ascii="Verdana" w:eastAsia="Times New Roman" w:hAnsi="Verdana" w:cs="Arial"/>
          <w:sz w:val="20"/>
          <w:szCs w:val="20"/>
          <w:lang w:val="es-PR" w:eastAsia="es-ES"/>
        </w:rPr>
        <w:t xml:space="preserve"> “[e]n los casos contenciosos que se encuentren en conocimiento de la Corte, las víctimas o las presuntas víctimas, o sus representantes, podrán presentar directamente a ésta una solicitud de medidas provisionales, las que deberán tener re</w:t>
      </w:r>
      <w:r w:rsidR="00F1757B">
        <w:rPr>
          <w:rFonts w:ascii="Verdana" w:eastAsia="Times New Roman" w:hAnsi="Verdana" w:cs="Arial"/>
          <w:sz w:val="20"/>
          <w:szCs w:val="20"/>
          <w:lang w:val="es-PR" w:eastAsia="es-ES"/>
        </w:rPr>
        <w:t>lación con el objeto del caso”.</w:t>
      </w:r>
    </w:p>
    <w:p w14:paraId="0764B378" w14:textId="117C5B69" w:rsidR="00F1757B" w:rsidRDefault="00521F0B" w:rsidP="00F1757B">
      <w:pPr>
        <w:pStyle w:val="Prrafodelista"/>
        <w:numPr>
          <w:ilvl w:val="0"/>
          <w:numId w:val="31"/>
        </w:numPr>
        <w:autoSpaceDE w:val="0"/>
        <w:autoSpaceDN w:val="0"/>
        <w:adjustRightInd w:val="0"/>
        <w:spacing w:before="120" w:after="120" w:line="240" w:lineRule="auto"/>
        <w:ind w:left="0" w:firstLine="0"/>
        <w:contextualSpacing w:val="0"/>
        <w:jc w:val="both"/>
        <w:rPr>
          <w:rFonts w:ascii="Verdana" w:eastAsia="Calibri" w:hAnsi="Verdana" w:cs="Calibri"/>
          <w:sz w:val="20"/>
          <w:szCs w:val="20"/>
          <w:lang w:val="es-ES" w:eastAsia="es-ES"/>
        </w:rPr>
      </w:pPr>
      <w:r w:rsidRPr="00F1757B">
        <w:rPr>
          <w:rFonts w:ascii="Verdana" w:hAnsi="Verdana"/>
          <w:sz w:val="20"/>
          <w:szCs w:val="20"/>
          <w:lang w:val="es-ES"/>
        </w:rPr>
        <w:t>La solicitud de medidas provisionales fue presentada por l</w:t>
      </w:r>
      <w:r w:rsidR="00A50096" w:rsidRPr="00F1757B">
        <w:rPr>
          <w:rFonts w:ascii="Verdana" w:hAnsi="Verdana"/>
          <w:sz w:val="20"/>
          <w:szCs w:val="20"/>
          <w:lang w:val="es-ES"/>
        </w:rPr>
        <w:t>o</w:t>
      </w:r>
      <w:r w:rsidRPr="00F1757B">
        <w:rPr>
          <w:rFonts w:ascii="Verdana" w:hAnsi="Verdana"/>
          <w:sz w:val="20"/>
          <w:szCs w:val="20"/>
          <w:lang w:val="es-ES"/>
        </w:rPr>
        <w:t>s r</w:t>
      </w:r>
      <w:r w:rsidR="00D2082C" w:rsidRPr="00F1757B">
        <w:rPr>
          <w:rFonts w:ascii="Verdana" w:hAnsi="Verdana"/>
          <w:sz w:val="20"/>
          <w:szCs w:val="20"/>
          <w:lang w:val="es-ES"/>
        </w:rPr>
        <w:t>epresentantes de la víctima del caso Petro Urrego</w:t>
      </w:r>
      <w:r w:rsidR="00DC60B4" w:rsidRPr="00F1757B">
        <w:rPr>
          <w:rFonts w:ascii="Verdana" w:hAnsi="Verdana"/>
          <w:sz w:val="20"/>
          <w:szCs w:val="20"/>
          <w:lang w:val="es-ES"/>
        </w:rPr>
        <w:t xml:space="preserve">, </w:t>
      </w:r>
      <w:r w:rsidR="00D2082C" w:rsidRPr="00F1757B">
        <w:rPr>
          <w:rFonts w:ascii="Verdana" w:hAnsi="Verdana"/>
          <w:sz w:val="20"/>
          <w:szCs w:val="20"/>
          <w:lang w:val="es-ES"/>
        </w:rPr>
        <w:t>el</w:t>
      </w:r>
      <w:r w:rsidR="00A50096" w:rsidRPr="00F1757B">
        <w:rPr>
          <w:rFonts w:ascii="Verdana" w:hAnsi="Verdana"/>
          <w:sz w:val="20"/>
          <w:szCs w:val="20"/>
          <w:lang w:val="es-ES"/>
        </w:rPr>
        <w:t xml:space="preserve"> cual</w:t>
      </w:r>
      <w:r w:rsidRPr="00F1757B">
        <w:rPr>
          <w:rFonts w:ascii="Verdana" w:hAnsi="Verdana"/>
          <w:sz w:val="20"/>
          <w:szCs w:val="20"/>
          <w:lang w:val="es-ES"/>
        </w:rPr>
        <w:t xml:space="preserve"> se encuentra actualmente en etapa de supervisión de cumplimiento de </w:t>
      </w:r>
      <w:r w:rsidR="005D023B">
        <w:rPr>
          <w:rFonts w:ascii="Verdana" w:hAnsi="Verdana"/>
          <w:sz w:val="20"/>
          <w:szCs w:val="20"/>
          <w:lang w:val="es-ES"/>
        </w:rPr>
        <w:t>S</w:t>
      </w:r>
      <w:r w:rsidRPr="00F1757B">
        <w:rPr>
          <w:rFonts w:ascii="Verdana" w:hAnsi="Verdana"/>
          <w:sz w:val="20"/>
          <w:szCs w:val="20"/>
          <w:lang w:val="es-ES"/>
        </w:rPr>
        <w:t xml:space="preserve">entencia, con lo cual se cumple con lo requerido en </w:t>
      </w:r>
      <w:r w:rsidR="005D023B">
        <w:rPr>
          <w:rFonts w:ascii="Verdana" w:hAnsi="Verdana"/>
          <w:sz w:val="20"/>
          <w:szCs w:val="20"/>
          <w:lang w:val="es-ES"/>
        </w:rPr>
        <w:t>el citado</w:t>
      </w:r>
      <w:r w:rsidR="005D023B" w:rsidRPr="00F1757B">
        <w:rPr>
          <w:rFonts w:ascii="Verdana" w:hAnsi="Verdana"/>
          <w:sz w:val="20"/>
          <w:szCs w:val="20"/>
          <w:lang w:val="es-ES"/>
        </w:rPr>
        <w:t xml:space="preserve"> </w:t>
      </w:r>
      <w:r w:rsidRPr="00F1757B">
        <w:rPr>
          <w:rFonts w:ascii="Verdana" w:hAnsi="Verdana"/>
          <w:sz w:val="20"/>
          <w:szCs w:val="20"/>
          <w:lang w:val="es-ES"/>
        </w:rPr>
        <w:t xml:space="preserve">artículo 27.3 en lo que respecta a la legitimación para presentar la solicitud.  </w:t>
      </w:r>
    </w:p>
    <w:p w14:paraId="5C1A720D" w14:textId="3E1AB2CD" w:rsidR="00F1757B" w:rsidRDefault="006E036F" w:rsidP="00F1757B">
      <w:pPr>
        <w:pStyle w:val="Prrafodelista"/>
        <w:numPr>
          <w:ilvl w:val="0"/>
          <w:numId w:val="31"/>
        </w:numPr>
        <w:autoSpaceDE w:val="0"/>
        <w:autoSpaceDN w:val="0"/>
        <w:adjustRightInd w:val="0"/>
        <w:spacing w:before="120" w:after="120" w:line="240" w:lineRule="auto"/>
        <w:ind w:left="0" w:firstLine="0"/>
        <w:contextualSpacing w:val="0"/>
        <w:jc w:val="both"/>
        <w:rPr>
          <w:rFonts w:ascii="Verdana" w:eastAsia="Calibri" w:hAnsi="Verdana" w:cs="Calibri"/>
          <w:sz w:val="20"/>
          <w:szCs w:val="20"/>
          <w:lang w:val="es-ES" w:eastAsia="es-ES"/>
        </w:rPr>
      </w:pPr>
      <w:r w:rsidRPr="00F1757B">
        <w:rPr>
          <w:rFonts w:ascii="Verdana" w:hAnsi="Verdana"/>
          <w:sz w:val="20"/>
          <w:szCs w:val="20"/>
          <w:lang w:val="es-ES"/>
        </w:rPr>
        <w:t>Con esta solicitud</w:t>
      </w:r>
      <w:r w:rsidR="009B5ADD">
        <w:rPr>
          <w:rFonts w:ascii="Verdana" w:hAnsi="Verdana"/>
          <w:sz w:val="20"/>
          <w:szCs w:val="20"/>
          <w:lang w:val="es-ES"/>
        </w:rPr>
        <w:t xml:space="preserve"> y de acuerdo a lo manifestado en la misma</w:t>
      </w:r>
      <w:r w:rsidRPr="00F1757B">
        <w:rPr>
          <w:rFonts w:ascii="Verdana" w:hAnsi="Verdana"/>
          <w:sz w:val="20"/>
          <w:szCs w:val="20"/>
          <w:lang w:val="es-ES"/>
        </w:rPr>
        <w:t>, los representantes</w:t>
      </w:r>
      <w:r w:rsidR="00A50096" w:rsidRPr="00F1757B">
        <w:rPr>
          <w:rFonts w:ascii="Verdana" w:hAnsi="Verdana"/>
          <w:sz w:val="20"/>
          <w:szCs w:val="20"/>
          <w:lang w:val="es-ES"/>
        </w:rPr>
        <w:t xml:space="preserve"> busca</w:t>
      </w:r>
      <w:r w:rsidRPr="00F1757B">
        <w:rPr>
          <w:rFonts w:ascii="Verdana" w:hAnsi="Verdana"/>
          <w:sz w:val="20"/>
          <w:szCs w:val="20"/>
          <w:lang w:val="es-ES"/>
        </w:rPr>
        <w:t>n la</w:t>
      </w:r>
      <w:r w:rsidR="00A50096" w:rsidRPr="00F1757B">
        <w:rPr>
          <w:rFonts w:ascii="Verdana" w:hAnsi="Verdana"/>
          <w:sz w:val="20"/>
          <w:szCs w:val="20"/>
          <w:lang w:val="es-ES"/>
        </w:rPr>
        <w:t xml:space="preserve"> prote</w:t>
      </w:r>
      <w:r w:rsidRPr="00F1757B">
        <w:rPr>
          <w:rFonts w:ascii="Verdana" w:hAnsi="Verdana"/>
          <w:sz w:val="20"/>
          <w:szCs w:val="20"/>
          <w:lang w:val="es-ES"/>
        </w:rPr>
        <w:t>cción d</w:t>
      </w:r>
      <w:r w:rsidR="00A50096" w:rsidRPr="00F1757B">
        <w:rPr>
          <w:rFonts w:ascii="Verdana" w:hAnsi="Verdana"/>
          <w:sz w:val="20"/>
          <w:szCs w:val="20"/>
          <w:lang w:val="es-ES"/>
        </w:rPr>
        <w:t xml:space="preserve">el </w:t>
      </w:r>
      <w:r w:rsidR="00D2082C" w:rsidRPr="00F1757B">
        <w:rPr>
          <w:rFonts w:ascii="Verdana" w:hAnsi="Verdana"/>
          <w:sz w:val="20"/>
          <w:szCs w:val="20"/>
          <w:lang w:val="es-ES"/>
        </w:rPr>
        <w:t>“</w:t>
      </w:r>
      <w:r w:rsidR="00A50096" w:rsidRPr="00F1757B">
        <w:rPr>
          <w:rFonts w:ascii="Verdana" w:hAnsi="Verdana"/>
          <w:sz w:val="20"/>
          <w:szCs w:val="20"/>
          <w:lang w:val="es-ES"/>
        </w:rPr>
        <w:t xml:space="preserve">derecho </w:t>
      </w:r>
      <w:r w:rsidR="009D0AFC">
        <w:rPr>
          <w:rFonts w:ascii="Verdana" w:hAnsi="Verdana"/>
          <w:sz w:val="20"/>
          <w:szCs w:val="20"/>
          <w:lang w:val="es-ES"/>
        </w:rPr>
        <w:t>[</w:t>
      </w:r>
      <w:r w:rsidR="00D2082C" w:rsidRPr="00F1757B">
        <w:rPr>
          <w:rFonts w:ascii="Verdana" w:hAnsi="Verdana"/>
          <w:sz w:val="20"/>
          <w:szCs w:val="20"/>
          <w:lang w:val="es-ES"/>
        </w:rPr>
        <w:t>al</w:t>
      </w:r>
      <w:r w:rsidR="009D0AFC">
        <w:rPr>
          <w:rFonts w:ascii="Verdana" w:hAnsi="Verdana"/>
          <w:sz w:val="20"/>
          <w:szCs w:val="20"/>
          <w:lang w:val="es-ES"/>
        </w:rPr>
        <w:t>]</w:t>
      </w:r>
      <w:r w:rsidR="00D2082C" w:rsidRPr="00F1757B">
        <w:rPr>
          <w:rFonts w:ascii="Verdana" w:hAnsi="Verdana"/>
          <w:sz w:val="20"/>
          <w:szCs w:val="20"/>
          <w:lang w:val="es-ES"/>
        </w:rPr>
        <w:t xml:space="preserve"> acceso a la justicia internacional” de la víctima, ante el posible incumplimiento de la Sentencia que se generaría con la sanción de un proyecto de ley que </w:t>
      </w:r>
      <w:r w:rsidR="005C4749">
        <w:rPr>
          <w:rFonts w:ascii="Verdana" w:hAnsi="Verdana"/>
          <w:sz w:val="20"/>
          <w:szCs w:val="20"/>
          <w:lang w:val="es-ES"/>
        </w:rPr>
        <w:t>consideran</w:t>
      </w:r>
      <w:r w:rsidR="005C4749" w:rsidRPr="00F1757B">
        <w:rPr>
          <w:rFonts w:ascii="Verdana" w:hAnsi="Verdana"/>
          <w:sz w:val="20"/>
          <w:szCs w:val="20"/>
          <w:lang w:val="es-ES"/>
        </w:rPr>
        <w:t xml:space="preserve"> </w:t>
      </w:r>
      <w:r w:rsidR="00D2082C" w:rsidRPr="00F1757B">
        <w:rPr>
          <w:rFonts w:ascii="Verdana" w:hAnsi="Verdana"/>
          <w:sz w:val="20"/>
          <w:szCs w:val="20"/>
          <w:lang w:val="es-ES"/>
        </w:rPr>
        <w:t xml:space="preserve">contrario a lo dispuesto por la Corte </w:t>
      </w:r>
      <w:r w:rsidR="005C4749">
        <w:rPr>
          <w:rFonts w:ascii="Verdana" w:hAnsi="Verdana"/>
          <w:sz w:val="20"/>
          <w:szCs w:val="20"/>
          <w:lang w:val="es-ES"/>
        </w:rPr>
        <w:t xml:space="preserve">en el punto resolutivo </w:t>
      </w:r>
      <w:r w:rsidR="00E26436">
        <w:rPr>
          <w:rFonts w:ascii="Verdana" w:hAnsi="Verdana"/>
          <w:sz w:val="20"/>
          <w:szCs w:val="20"/>
          <w:lang w:val="es-ES"/>
        </w:rPr>
        <w:t>octavo</w:t>
      </w:r>
      <w:r w:rsidR="005C4749">
        <w:rPr>
          <w:rFonts w:ascii="Verdana" w:hAnsi="Verdana"/>
          <w:sz w:val="20"/>
          <w:szCs w:val="20"/>
          <w:lang w:val="es-ES"/>
        </w:rPr>
        <w:t xml:space="preserve"> de</w:t>
      </w:r>
      <w:r w:rsidR="00D2082C" w:rsidRPr="00F1757B">
        <w:rPr>
          <w:rFonts w:ascii="Verdana" w:hAnsi="Verdana"/>
          <w:sz w:val="20"/>
          <w:szCs w:val="20"/>
          <w:lang w:val="es-ES"/>
        </w:rPr>
        <w:t xml:space="preserve"> la Sentencia</w:t>
      </w:r>
      <w:r w:rsidR="005C4749">
        <w:rPr>
          <w:rFonts w:ascii="Verdana" w:hAnsi="Verdana"/>
          <w:sz w:val="20"/>
          <w:szCs w:val="20"/>
          <w:lang w:val="es-ES"/>
        </w:rPr>
        <w:t>,</w:t>
      </w:r>
      <w:r w:rsidR="00D2082C" w:rsidRPr="00F1757B">
        <w:rPr>
          <w:rFonts w:ascii="Verdana" w:hAnsi="Verdana"/>
          <w:sz w:val="20"/>
          <w:szCs w:val="20"/>
          <w:lang w:val="es-ES"/>
        </w:rPr>
        <w:t xml:space="preserve"> en cuanto a la protección de los derechos políticos y a la garantía de no repetición de adecuación del derecho interno dispuesta por </w:t>
      </w:r>
      <w:r w:rsidR="006A2026">
        <w:rPr>
          <w:rFonts w:ascii="Verdana" w:hAnsi="Verdana"/>
          <w:sz w:val="20"/>
          <w:szCs w:val="20"/>
          <w:lang w:val="es-ES"/>
        </w:rPr>
        <w:t>el Tribunal</w:t>
      </w:r>
      <w:r w:rsidR="00D2082C" w:rsidRPr="00F1757B">
        <w:rPr>
          <w:rFonts w:ascii="Verdana" w:hAnsi="Verdana"/>
          <w:sz w:val="20"/>
          <w:szCs w:val="20"/>
          <w:lang w:val="es-ES"/>
        </w:rPr>
        <w:t xml:space="preserve"> </w:t>
      </w:r>
      <w:r w:rsidR="006629F8" w:rsidRPr="00F1757B">
        <w:rPr>
          <w:rFonts w:ascii="Verdana" w:hAnsi="Verdana"/>
          <w:sz w:val="20"/>
          <w:szCs w:val="20"/>
          <w:lang w:val="es-ES"/>
        </w:rPr>
        <w:t xml:space="preserve">respecto de la destitución de </w:t>
      </w:r>
      <w:r w:rsidR="00D2082C" w:rsidRPr="00F1757B">
        <w:rPr>
          <w:rFonts w:ascii="Verdana" w:hAnsi="Verdana"/>
          <w:sz w:val="20"/>
          <w:szCs w:val="20"/>
          <w:lang w:val="es-CR"/>
        </w:rPr>
        <w:t>funcionarios de elección popular (</w:t>
      </w:r>
      <w:r w:rsidR="00D2082C" w:rsidRPr="00F1757B">
        <w:rPr>
          <w:rFonts w:ascii="Verdana" w:hAnsi="Verdana"/>
          <w:i/>
          <w:sz w:val="20"/>
          <w:szCs w:val="20"/>
          <w:lang w:val="es-CR"/>
        </w:rPr>
        <w:t>supra</w:t>
      </w:r>
      <w:r w:rsidR="00D2082C" w:rsidRPr="00F1757B">
        <w:rPr>
          <w:rFonts w:ascii="Verdana" w:hAnsi="Verdana"/>
          <w:sz w:val="20"/>
          <w:szCs w:val="20"/>
          <w:lang w:val="es-CR"/>
        </w:rPr>
        <w:t xml:space="preserve"> Considerando</w:t>
      </w:r>
      <w:r w:rsidR="00803003">
        <w:rPr>
          <w:rFonts w:ascii="Verdana" w:hAnsi="Verdana"/>
          <w:sz w:val="20"/>
          <w:szCs w:val="20"/>
          <w:lang w:val="es-CR"/>
        </w:rPr>
        <w:t xml:space="preserve"> 1</w:t>
      </w:r>
      <w:r w:rsidR="00D2082C" w:rsidRPr="00F1757B">
        <w:rPr>
          <w:rFonts w:ascii="Verdana" w:hAnsi="Verdana"/>
          <w:sz w:val="20"/>
          <w:szCs w:val="20"/>
          <w:lang w:val="es-CR"/>
        </w:rPr>
        <w:t>)</w:t>
      </w:r>
      <w:r w:rsidR="00D2082C" w:rsidRPr="00F1757B">
        <w:rPr>
          <w:rFonts w:ascii="Verdana" w:eastAsia="Batang" w:hAnsi="Verdana"/>
          <w:sz w:val="20"/>
          <w:szCs w:val="20"/>
          <w:lang w:val="es-ES"/>
        </w:rPr>
        <w:t>.</w:t>
      </w:r>
      <w:r w:rsidR="006629F8" w:rsidRPr="00F1757B">
        <w:rPr>
          <w:rFonts w:ascii="Verdana" w:eastAsia="Batang" w:hAnsi="Verdana"/>
          <w:sz w:val="20"/>
          <w:szCs w:val="20"/>
          <w:lang w:val="es-ES"/>
        </w:rPr>
        <w:t xml:space="preserve"> No </w:t>
      </w:r>
      <w:r w:rsidR="005C4749">
        <w:rPr>
          <w:rFonts w:ascii="Verdana" w:eastAsia="Batang" w:hAnsi="Verdana"/>
          <w:sz w:val="20"/>
          <w:szCs w:val="20"/>
          <w:lang w:val="es-ES"/>
        </w:rPr>
        <w:t xml:space="preserve">obstante, </w:t>
      </w:r>
      <w:r w:rsidR="004E7CF0">
        <w:rPr>
          <w:rFonts w:ascii="Verdana" w:eastAsia="Batang" w:hAnsi="Verdana"/>
          <w:sz w:val="20"/>
          <w:szCs w:val="20"/>
          <w:lang w:val="es-ES"/>
        </w:rPr>
        <w:t xml:space="preserve">aun cuando afirman que dicha ley “generaría un perjuicio irremediable para la víctima”, </w:t>
      </w:r>
      <w:r w:rsidR="005C4749">
        <w:rPr>
          <w:rFonts w:ascii="Verdana" w:eastAsia="Batang" w:hAnsi="Verdana"/>
          <w:sz w:val="20"/>
          <w:szCs w:val="20"/>
          <w:lang w:val="es-ES"/>
        </w:rPr>
        <w:t xml:space="preserve">no </w:t>
      </w:r>
      <w:r w:rsidR="006629F8" w:rsidRPr="00F1757B">
        <w:rPr>
          <w:rFonts w:ascii="Verdana" w:eastAsia="Batang" w:hAnsi="Verdana"/>
          <w:sz w:val="20"/>
          <w:szCs w:val="20"/>
          <w:lang w:val="es-ES"/>
        </w:rPr>
        <w:t>han indicado ningún hecho específico en cuanto a la situación actual de la víctima de este caso</w:t>
      </w:r>
      <w:r w:rsidR="005C4749">
        <w:rPr>
          <w:rFonts w:ascii="Verdana" w:eastAsia="Batang" w:hAnsi="Verdana"/>
          <w:sz w:val="20"/>
          <w:szCs w:val="20"/>
          <w:lang w:val="es-ES"/>
        </w:rPr>
        <w:t xml:space="preserve"> o la posible afectación a sus derechos con consecuencias irreparables</w:t>
      </w:r>
      <w:r w:rsidR="006629F8" w:rsidRPr="00F1757B">
        <w:rPr>
          <w:rFonts w:ascii="Verdana" w:eastAsia="Batang" w:hAnsi="Verdana"/>
          <w:sz w:val="20"/>
          <w:szCs w:val="20"/>
          <w:lang w:val="es-ES"/>
        </w:rPr>
        <w:t xml:space="preserve">. </w:t>
      </w:r>
    </w:p>
    <w:p w14:paraId="7BCFF67D" w14:textId="77777777" w:rsidR="00F1757B" w:rsidRDefault="00521F0B" w:rsidP="00F1757B">
      <w:pPr>
        <w:pStyle w:val="Prrafodelista"/>
        <w:numPr>
          <w:ilvl w:val="0"/>
          <w:numId w:val="31"/>
        </w:numPr>
        <w:autoSpaceDE w:val="0"/>
        <w:autoSpaceDN w:val="0"/>
        <w:adjustRightInd w:val="0"/>
        <w:spacing w:before="120" w:after="120" w:line="240" w:lineRule="auto"/>
        <w:ind w:left="0" w:firstLine="0"/>
        <w:contextualSpacing w:val="0"/>
        <w:jc w:val="both"/>
        <w:rPr>
          <w:rFonts w:ascii="Verdana" w:eastAsia="Calibri" w:hAnsi="Verdana" w:cs="Calibri"/>
          <w:sz w:val="20"/>
          <w:szCs w:val="20"/>
          <w:lang w:val="es-ES" w:eastAsia="es-ES"/>
        </w:rPr>
      </w:pPr>
      <w:r w:rsidRPr="00F1757B">
        <w:rPr>
          <w:rFonts w:ascii="Verdana" w:hAnsi="Verdana"/>
          <w:sz w:val="20"/>
          <w:szCs w:val="20"/>
          <w:lang w:val="es-ES"/>
        </w:rPr>
        <w:t>L</w:t>
      </w:r>
      <w:r w:rsidRPr="00F1757B">
        <w:rPr>
          <w:rFonts w:ascii="Verdana" w:eastAsia="Verdana" w:hAnsi="Verdana" w:cs="Verdana"/>
          <w:sz w:val="20"/>
          <w:szCs w:val="20"/>
          <w:lang w:val="es-ES"/>
        </w:rPr>
        <w:t xml:space="preserve">a Corte ha considerado como regla general que </w:t>
      </w:r>
      <w:r w:rsidRPr="00F1757B">
        <w:rPr>
          <w:rFonts w:ascii="Verdana" w:hAnsi="Verdana"/>
          <w:sz w:val="20"/>
          <w:szCs w:val="20"/>
          <w:lang w:val="es-AR"/>
        </w:rPr>
        <w:t>la valoración de información relacionada con el cumplimiento de medidas de reparación ordenadas en la</w:t>
      </w:r>
      <w:r w:rsidR="00D42D3D" w:rsidRPr="00F1757B">
        <w:rPr>
          <w:rFonts w:ascii="Verdana" w:hAnsi="Verdana"/>
          <w:sz w:val="20"/>
          <w:szCs w:val="20"/>
          <w:lang w:val="es-AR"/>
        </w:rPr>
        <w:t>s</w:t>
      </w:r>
      <w:r w:rsidRPr="00F1757B">
        <w:rPr>
          <w:rFonts w:ascii="Verdana" w:hAnsi="Verdana"/>
          <w:sz w:val="20"/>
          <w:szCs w:val="20"/>
          <w:lang w:val="es-AR"/>
        </w:rPr>
        <w:t xml:space="preserve"> Sentencia</w:t>
      </w:r>
      <w:r w:rsidR="00D42D3D" w:rsidRPr="00F1757B">
        <w:rPr>
          <w:rFonts w:ascii="Verdana" w:hAnsi="Verdana"/>
          <w:sz w:val="20"/>
          <w:szCs w:val="20"/>
          <w:lang w:val="es-AR"/>
        </w:rPr>
        <w:t>s</w:t>
      </w:r>
      <w:r w:rsidRPr="00F1757B">
        <w:rPr>
          <w:rFonts w:ascii="Verdana" w:hAnsi="Verdana"/>
          <w:sz w:val="20"/>
          <w:szCs w:val="20"/>
          <w:lang w:val="es-AR"/>
        </w:rPr>
        <w:t xml:space="preserve"> debe ser evaluada en el marco de la supervisión de cumplimiento de Sentencia. Así lo ha entendido en múltiples casos</w:t>
      </w:r>
      <w:r w:rsidRPr="00C6508C">
        <w:rPr>
          <w:rStyle w:val="Refdenotaalpie"/>
          <w:sz w:val="20"/>
          <w:szCs w:val="20"/>
        </w:rPr>
        <w:footnoteReference w:id="7"/>
      </w:r>
      <w:r w:rsidRPr="00F1757B">
        <w:rPr>
          <w:rFonts w:ascii="Verdana" w:hAnsi="Verdana"/>
          <w:sz w:val="20"/>
          <w:szCs w:val="20"/>
          <w:lang w:val="es-AR"/>
        </w:rPr>
        <w:t xml:space="preserve">. </w:t>
      </w:r>
      <w:r w:rsidR="00BF3A2E" w:rsidRPr="00F1757B">
        <w:rPr>
          <w:rFonts w:ascii="Verdana" w:hAnsi="Verdana"/>
          <w:sz w:val="20"/>
          <w:szCs w:val="20"/>
          <w:shd w:val="clear" w:color="auto" w:fill="FFFFFF"/>
          <w:lang w:val="es-AR"/>
        </w:rPr>
        <w:t xml:space="preserve">Sin </w:t>
      </w:r>
      <w:r w:rsidR="006953C8" w:rsidRPr="00F1757B">
        <w:rPr>
          <w:rFonts w:ascii="Verdana" w:hAnsi="Verdana"/>
          <w:sz w:val="20"/>
          <w:szCs w:val="20"/>
          <w:shd w:val="clear" w:color="auto" w:fill="FFFFFF"/>
          <w:lang w:val="es-AR"/>
        </w:rPr>
        <w:t xml:space="preserve">embargo, de forma excepcional </w:t>
      </w:r>
      <w:r w:rsidR="00BF3A2E" w:rsidRPr="00F1757B">
        <w:rPr>
          <w:rFonts w:ascii="Verdana" w:hAnsi="Verdana"/>
          <w:sz w:val="20"/>
          <w:szCs w:val="20"/>
          <w:shd w:val="clear" w:color="auto" w:fill="FFFFFF"/>
          <w:lang w:val="es-AR"/>
        </w:rPr>
        <w:t>ha analizado si se configu</w:t>
      </w:r>
      <w:r w:rsidR="006953C8" w:rsidRPr="00F1757B">
        <w:rPr>
          <w:rFonts w:ascii="Verdana" w:hAnsi="Verdana"/>
          <w:sz w:val="20"/>
          <w:szCs w:val="20"/>
          <w:shd w:val="clear" w:color="auto" w:fill="FFFFFF"/>
          <w:lang w:val="es-AR"/>
        </w:rPr>
        <w:t xml:space="preserve">ran los requisitos para adoptar </w:t>
      </w:r>
      <w:r w:rsidR="00BF3A2E" w:rsidRPr="00F1757B">
        <w:rPr>
          <w:rFonts w:ascii="Verdana" w:hAnsi="Verdana"/>
          <w:sz w:val="20"/>
          <w:szCs w:val="20"/>
          <w:shd w:val="clear" w:color="auto" w:fill="FFFFFF"/>
          <w:lang w:val="es-AR"/>
        </w:rPr>
        <w:t>medidas provisionales ante condiciones de particular gravedad cuando guardan relación con la Sentencia</w:t>
      </w:r>
      <w:r w:rsidRPr="00C6508C">
        <w:rPr>
          <w:rStyle w:val="Refdenotaalpie"/>
          <w:sz w:val="20"/>
          <w:szCs w:val="20"/>
        </w:rPr>
        <w:footnoteReference w:id="8"/>
      </w:r>
      <w:r w:rsidRPr="00F1757B">
        <w:rPr>
          <w:rFonts w:ascii="Verdana" w:hAnsi="Verdana"/>
          <w:sz w:val="20"/>
          <w:szCs w:val="20"/>
          <w:lang w:val="es-AR"/>
        </w:rPr>
        <w:t xml:space="preserve">. </w:t>
      </w:r>
    </w:p>
    <w:p w14:paraId="2A544998" w14:textId="238367DF" w:rsidR="00521F0B" w:rsidRPr="00D259B0" w:rsidRDefault="00521F0B" w:rsidP="00F1757B">
      <w:pPr>
        <w:pStyle w:val="Prrafodelista"/>
        <w:numPr>
          <w:ilvl w:val="0"/>
          <w:numId w:val="31"/>
        </w:numPr>
        <w:autoSpaceDE w:val="0"/>
        <w:autoSpaceDN w:val="0"/>
        <w:adjustRightInd w:val="0"/>
        <w:spacing w:before="120" w:after="120" w:line="240" w:lineRule="auto"/>
        <w:ind w:left="0" w:firstLine="0"/>
        <w:contextualSpacing w:val="0"/>
        <w:jc w:val="both"/>
        <w:rPr>
          <w:rFonts w:ascii="Verdana" w:eastAsia="Calibri" w:hAnsi="Verdana" w:cs="Calibri"/>
          <w:sz w:val="20"/>
          <w:szCs w:val="20"/>
          <w:lang w:val="es-ES" w:eastAsia="es-ES"/>
        </w:rPr>
      </w:pPr>
      <w:r w:rsidRPr="00F1757B">
        <w:rPr>
          <w:rFonts w:ascii="Verdana" w:hAnsi="Verdana"/>
          <w:sz w:val="20"/>
          <w:szCs w:val="20"/>
          <w:lang w:val="es-AR"/>
        </w:rPr>
        <w:t xml:space="preserve">En este caso, </w:t>
      </w:r>
      <w:r w:rsidRPr="00F1757B">
        <w:rPr>
          <w:rFonts w:ascii="Verdana" w:eastAsia="Calibri" w:hAnsi="Verdana" w:cs="Calibri"/>
          <w:sz w:val="20"/>
          <w:szCs w:val="20"/>
          <w:lang w:val="es-MX" w:eastAsia="es-ES"/>
        </w:rPr>
        <w:t xml:space="preserve">el Tribunal </w:t>
      </w:r>
      <w:r w:rsidRPr="00F1757B">
        <w:rPr>
          <w:rFonts w:ascii="Verdana" w:eastAsia="Times New Roman" w:hAnsi="Verdana"/>
          <w:sz w:val="20"/>
          <w:lang w:val="es-MX" w:eastAsia="es-ES"/>
        </w:rPr>
        <w:t xml:space="preserve">considera que la información y argumentos expuestos por los representantes en la solicitud de medidas provisionales deben ser evaluados en el marco de la </w:t>
      </w:r>
      <w:r w:rsidRPr="00F1757B">
        <w:rPr>
          <w:rFonts w:ascii="Verdana" w:eastAsia="Times New Roman" w:hAnsi="Verdana"/>
          <w:sz w:val="20"/>
          <w:szCs w:val="20"/>
          <w:lang w:val="es-MX" w:eastAsia="es-ES"/>
        </w:rPr>
        <w:t>supervisión del cumplimiento de la Sentencia</w:t>
      </w:r>
      <w:r w:rsidR="00D42D3D" w:rsidRPr="00F1757B">
        <w:rPr>
          <w:rFonts w:ascii="Verdana" w:eastAsia="Times New Roman" w:hAnsi="Verdana"/>
          <w:sz w:val="20"/>
          <w:szCs w:val="20"/>
          <w:lang w:val="es-MX" w:eastAsia="es-ES"/>
        </w:rPr>
        <w:t xml:space="preserve"> en cuestión</w:t>
      </w:r>
      <w:r w:rsidRPr="00F1757B">
        <w:rPr>
          <w:rFonts w:ascii="Verdana" w:eastAsia="Times New Roman" w:hAnsi="Verdana"/>
          <w:sz w:val="20"/>
          <w:szCs w:val="20"/>
          <w:lang w:val="es-MX" w:eastAsia="es-ES"/>
        </w:rPr>
        <w:t xml:space="preserve"> </w:t>
      </w:r>
      <w:r w:rsidRPr="00F1757B">
        <w:rPr>
          <w:rFonts w:ascii="Verdana" w:eastAsia="Times New Roman" w:hAnsi="Verdana"/>
          <w:sz w:val="20"/>
          <w:lang w:val="es-MX" w:eastAsia="es-ES"/>
        </w:rPr>
        <w:t>y no bajo un análisis de los requisitos convencionales de las medidas provisionales</w:t>
      </w:r>
      <w:r w:rsidRPr="00F1757B">
        <w:rPr>
          <w:rFonts w:ascii="Verdana" w:eastAsia="Times New Roman" w:hAnsi="Verdana"/>
          <w:sz w:val="20"/>
          <w:szCs w:val="20"/>
          <w:lang w:val="es-MX" w:eastAsia="es-ES"/>
        </w:rPr>
        <w:t>.</w:t>
      </w:r>
      <w:r w:rsidRPr="00F1757B">
        <w:rPr>
          <w:rFonts w:ascii="Verdana" w:eastAsia="Times New Roman" w:hAnsi="Verdana"/>
          <w:sz w:val="20"/>
          <w:lang w:val="es-MX" w:eastAsia="es-ES"/>
        </w:rPr>
        <w:t xml:space="preserve"> Por tanto, el Tribunal encuentra improcedente la adopción de las medidas provisionales solicitadas en </w:t>
      </w:r>
      <w:r w:rsidR="00D61876" w:rsidRPr="00F1757B">
        <w:rPr>
          <w:rFonts w:ascii="Verdana" w:eastAsia="Times New Roman" w:hAnsi="Verdana"/>
          <w:sz w:val="20"/>
          <w:lang w:val="es-MX" w:eastAsia="es-ES"/>
        </w:rPr>
        <w:t>este caso</w:t>
      </w:r>
      <w:r w:rsidRPr="00F1757B">
        <w:rPr>
          <w:rFonts w:ascii="Verdana" w:eastAsia="Times New Roman" w:hAnsi="Verdana"/>
          <w:sz w:val="20"/>
          <w:lang w:val="es-MX" w:eastAsia="es-ES"/>
        </w:rPr>
        <w:t>.</w:t>
      </w:r>
    </w:p>
    <w:p w14:paraId="4333DFEB" w14:textId="77777777" w:rsidR="00D259B0" w:rsidRPr="00D259B0" w:rsidRDefault="00D259B0" w:rsidP="00D259B0">
      <w:pPr>
        <w:autoSpaceDE w:val="0"/>
        <w:autoSpaceDN w:val="0"/>
        <w:adjustRightInd w:val="0"/>
        <w:spacing w:before="120" w:after="120"/>
        <w:jc w:val="both"/>
        <w:rPr>
          <w:rFonts w:ascii="Verdana" w:eastAsia="Calibri" w:hAnsi="Verdana" w:cs="Calibri"/>
          <w:sz w:val="20"/>
          <w:szCs w:val="20"/>
          <w:lang w:val="es-ES" w:eastAsia="es-ES"/>
        </w:rPr>
      </w:pPr>
    </w:p>
    <w:p w14:paraId="7E98126C" w14:textId="3CB6FB2A" w:rsidR="00521F0B" w:rsidRDefault="008275AC" w:rsidP="0073426F">
      <w:pPr>
        <w:pStyle w:val="Prrafodelista"/>
        <w:numPr>
          <w:ilvl w:val="0"/>
          <w:numId w:val="34"/>
        </w:numPr>
        <w:autoSpaceDE w:val="0"/>
        <w:autoSpaceDN w:val="0"/>
        <w:adjustRightInd w:val="0"/>
        <w:spacing w:before="120" w:after="120" w:line="240" w:lineRule="auto"/>
        <w:contextualSpacing w:val="0"/>
        <w:jc w:val="both"/>
        <w:rPr>
          <w:rFonts w:ascii="Verdana" w:eastAsia="Calibri" w:hAnsi="Verdana" w:cs="Calibri"/>
          <w:b/>
          <w:bCs/>
          <w:i/>
          <w:iCs/>
          <w:sz w:val="20"/>
          <w:szCs w:val="20"/>
          <w:lang w:val="es-ES" w:eastAsia="es-ES"/>
        </w:rPr>
      </w:pPr>
      <w:r w:rsidRPr="00C6508C">
        <w:rPr>
          <w:rFonts w:ascii="Verdana" w:eastAsia="Calibri" w:hAnsi="Verdana" w:cs="Calibri"/>
          <w:b/>
          <w:bCs/>
          <w:i/>
          <w:iCs/>
          <w:sz w:val="20"/>
          <w:szCs w:val="20"/>
          <w:lang w:val="es-ES" w:eastAsia="es-ES"/>
        </w:rPr>
        <w:t xml:space="preserve">Supervisión de </w:t>
      </w:r>
      <w:r w:rsidR="006953C8" w:rsidRPr="00C6508C">
        <w:rPr>
          <w:rFonts w:ascii="Verdana" w:eastAsia="Calibri" w:hAnsi="Verdana" w:cs="Calibri"/>
          <w:b/>
          <w:bCs/>
          <w:i/>
          <w:iCs/>
          <w:sz w:val="20"/>
          <w:szCs w:val="20"/>
          <w:lang w:val="es-ES" w:eastAsia="es-ES"/>
        </w:rPr>
        <w:t>c</w:t>
      </w:r>
      <w:r w:rsidRPr="00C6508C">
        <w:rPr>
          <w:rFonts w:ascii="Verdana" w:eastAsia="Calibri" w:hAnsi="Verdana" w:cs="Calibri"/>
          <w:b/>
          <w:bCs/>
          <w:i/>
          <w:iCs/>
          <w:sz w:val="20"/>
          <w:szCs w:val="20"/>
          <w:lang w:val="es-ES" w:eastAsia="es-ES"/>
        </w:rPr>
        <w:t xml:space="preserve">umplimiento de la </w:t>
      </w:r>
      <w:r w:rsidR="00711ABB" w:rsidRPr="00C6508C">
        <w:rPr>
          <w:rFonts w:ascii="Verdana" w:eastAsia="Calibri" w:hAnsi="Verdana" w:cs="Calibri"/>
          <w:b/>
          <w:bCs/>
          <w:i/>
          <w:iCs/>
          <w:sz w:val="20"/>
          <w:szCs w:val="20"/>
          <w:lang w:val="es-ES" w:eastAsia="es-ES"/>
        </w:rPr>
        <w:t>garantía de no repetición de adecuación del derecho interno ordenada en la Sentencia</w:t>
      </w:r>
    </w:p>
    <w:p w14:paraId="26BBA6C7" w14:textId="6375959E" w:rsidR="00F1757B" w:rsidRDefault="0073426F" w:rsidP="00F1757B">
      <w:pPr>
        <w:pStyle w:val="Prrafodelista"/>
        <w:numPr>
          <w:ilvl w:val="0"/>
          <w:numId w:val="31"/>
        </w:numPr>
        <w:autoSpaceDE w:val="0"/>
        <w:autoSpaceDN w:val="0"/>
        <w:adjustRightInd w:val="0"/>
        <w:spacing w:before="120" w:after="120" w:line="240" w:lineRule="auto"/>
        <w:ind w:left="0" w:firstLine="0"/>
        <w:contextualSpacing w:val="0"/>
        <w:jc w:val="both"/>
        <w:rPr>
          <w:rFonts w:ascii="Verdana" w:eastAsia="Calibri" w:hAnsi="Verdana" w:cs="Calibri"/>
          <w:b/>
          <w:bCs/>
          <w:i/>
          <w:iCs/>
          <w:sz w:val="20"/>
          <w:szCs w:val="20"/>
          <w:lang w:val="es-ES" w:eastAsia="es-ES"/>
        </w:rPr>
      </w:pPr>
      <w:r w:rsidRPr="00C6508C">
        <w:rPr>
          <w:rFonts w:ascii="Verdana" w:hAnsi="Verdana"/>
          <w:sz w:val="20"/>
          <w:szCs w:val="20"/>
          <w:lang w:val="es-AR"/>
        </w:rPr>
        <w:t xml:space="preserve">Debido a que lo indicado en la solicitud de medidas provisionales </w:t>
      </w:r>
      <w:r w:rsidR="006629F8">
        <w:rPr>
          <w:rFonts w:ascii="Verdana" w:hAnsi="Verdana"/>
          <w:sz w:val="20"/>
          <w:szCs w:val="20"/>
          <w:lang w:val="es-AR"/>
        </w:rPr>
        <w:t xml:space="preserve">se refiere </w:t>
      </w:r>
      <w:r w:rsidR="00711ABB" w:rsidRPr="00C6508C">
        <w:rPr>
          <w:rFonts w:ascii="Verdana" w:hAnsi="Verdana"/>
          <w:sz w:val="20"/>
          <w:szCs w:val="20"/>
          <w:lang w:val="es-AR"/>
        </w:rPr>
        <w:t xml:space="preserve">al cumplimiento de la garantía de no repetición de adecuación del derecho interno ordenada en la Sentencia, </w:t>
      </w:r>
      <w:r w:rsidRPr="00C6508C">
        <w:rPr>
          <w:rFonts w:ascii="Verdana" w:hAnsi="Verdana"/>
          <w:sz w:val="20"/>
          <w:szCs w:val="20"/>
          <w:lang w:val="es-AR"/>
        </w:rPr>
        <w:t xml:space="preserve">la Corte procederá a incluir la información presentada por </w:t>
      </w:r>
      <w:r w:rsidR="00711ABB" w:rsidRPr="00C6508C">
        <w:rPr>
          <w:rFonts w:ascii="Verdana" w:hAnsi="Verdana"/>
          <w:sz w:val="20"/>
          <w:szCs w:val="20"/>
          <w:lang w:val="es-AR"/>
        </w:rPr>
        <w:t>los representantes de la víctima</w:t>
      </w:r>
      <w:r w:rsidRPr="00C6508C">
        <w:rPr>
          <w:rFonts w:ascii="Verdana" w:hAnsi="Verdana"/>
          <w:sz w:val="20"/>
          <w:szCs w:val="20"/>
          <w:lang w:val="es-AR"/>
        </w:rPr>
        <w:t xml:space="preserve"> en </w:t>
      </w:r>
      <w:r w:rsidR="00711ABB" w:rsidRPr="00C6508C">
        <w:rPr>
          <w:rFonts w:ascii="Verdana" w:hAnsi="Verdana"/>
          <w:sz w:val="20"/>
          <w:szCs w:val="20"/>
          <w:lang w:val="es-AR"/>
        </w:rPr>
        <w:t>el</w:t>
      </w:r>
      <w:r w:rsidRPr="00C6508C">
        <w:rPr>
          <w:rFonts w:ascii="Verdana" w:hAnsi="Verdana"/>
          <w:sz w:val="20"/>
          <w:szCs w:val="20"/>
          <w:lang w:val="es-AR"/>
        </w:rPr>
        <w:t xml:space="preserve"> expediente relativo a dicha etapa de supervisión </w:t>
      </w:r>
    </w:p>
    <w:p w14:paraId="2CF577E1" w14:textId="5306EE8F" w:rsidR="00F1757B" w:rsidRDefault="00711ABB" w:rsidP="00F1757B">
      <w:pPr>
        <w:pStyle w:val="Prrafodelista"/>
        <w:numPr>
          <w:ilvl w:val="0"/>
          <w:numId w:val="31"/>
        </w:numPr>
        <w:autoSpaceDE w:val="0"/>
        <w:autoSpaceDN w:val="0"/>
        <w:adjustRightInd w:val="0"/>
        <w:spacing w:before="120" w:after="120" w:line="240" w:lineRule="auto"/>
        <w:ind w:left="0" w:firstLine="0"/>
        <w:contextualSpacing w:val="0"/>
        <w:jc w:val="both"/>
        <w:rPr>
          <w:rFonts w:ascii="Verdana" w:eastAsia="Calibri" w:hAnsi="Verdana" w:cs="Calibri"/>
          <w:b/>
          <w:bCs/>
          <w:i/>
          <w:iCs/>
          <w:sz w:val="20"/>
          <w:szCs w:val="20"/>
          <w:lang w:val="es-ES" w:eastAsia="es-ES"/>
        </w:rPr>
      </w:pPr>
      <w:r w:rsidRPr="00F1757B">
        <w:rPr>
          <w:rFonts w:ascii="Verdana" w:hAnsi="Verdana"/>
          <w:sz w:val="20"/>
          <w:szCs w:val="20"/>
          <w:lang w:val="es-AR"/>
        </w:rPr>
        <w:t xml:space="preserve">Tal como ha sido señalado, </w:t>
      </w:r>
      <w:r w:rsidR="006629F8" w:rsidRPr="00F1757B">
        <w:rPr>
          <w:rFonts w:ascii="Verdana" w:hAnsi="Verdana"/>
          <w:sz w:val="20"/>
          <w:szCs w:val="20"/>
          <w:lang w:val="es-AR"/>
        </w:rPr>
        <w:t xml:space="preserve">en </w:t>
      </w:r>
      <w:r w:rsidRPr="00F1757B">
        <w:rPr>
          <w:rFonts w:ascii="Verdana" w:hAnsi="Verdana"/>
          <w:sz w:val="20"/>
          <w:szCs w:val="20"/>
          <w:lang w:val="es-AR"/>
        </w:rPr>
        <w:t>el presente caso aún se encuentra corriendo el plazo de un año otorgado en la Sentencia para que Colombia rinda el primer informe sobre el cumplimiento de las medidas ordenadas en la misma (</w:t>
      </w:r>
      <w:r w:rsidRPr="00207BB5">
        <w:rPr>
          <w:rFonts w:ascii="Verdana" w:hAnsi="Verdana"/>
          <w:i/>
          <w:sz w:val="20"/>
          <w:szCs w:val="20"/>
          <w:lang w:val="es-AR"/>
        </w:rPr>
        <w:t>supra</w:t>
      </w:r>
      <w:r w:rsidRPr="00207BB5">
        <w:rPr>
          <w:rFonts w:ascii="Verdana" w:hAnsi="Verdana"/>
          <w:sz w:val="20"/>
          <w:szCs w:val="20"/>
          <w:lang w:val="es-AR"/>
        </w:rPr>
        <w:t xml:space="preserve"> Considerando </w:t>
      </w:r>
      <w:r w:rsidR="00207BB5" w:rsidRPr="00803003">
        <w:rPr>
          <w:rFonts w:ascii="Verdana" w:hAnsi="Verdana"/>
          <w:sz w:val="20"/>
          <w:szCs w:val="20"/>
          <w:lang w:val="es-AR"/>
        </w:rPr>
        <w:t>2</w:t>
      </w:r>
      <w:r w:rsidRPr="00207BB5">
        <w:rPr>
          <w:rFonts w:ascii="Verdana" w:hAnsi="Verdana"/>
          <w:sz w:val="20"/>
          <w:szCs w:val="20"/>
          <w:lang w:val="es-AR"/>
        </w:rPr>
        <w:t>).</w:t>
      </w:r>
      <w:r w:rsidRPr="00F1757B">
        <w:rPr>
          <w:rFonts w:ascii="Verdana" w:hAnsi="Verdana"/>
          <w:sz w:val="20"/>
          <w:szCs w:val="20"/>
          <w:lang w:val="es-AR"/>
        </w:rPr>
        <w:t xml:space="preserve"> La Corte considera relevante que en ese informe el Estado se refiera a lo que ha sido </w:t>
      </w:r>
      <w:r w:rsidRPr="00F1757B">
        <w:rPr>
          <w:rFonts w:ascii="Verdana" w:hAnsi="Verdana"/>
          <w:sz w:val="20"/>
          <w:szCs w:val="20"/>
          <w:lang w:val="es-AR"/>
        </w:rPr>
        <w:lastRenderedPageBreak/>
        <w:t>planteado por los representantes</w:t>
      </w:r>
      <w:r w:rsidR="00764F48" w:rsidRPr="00F1757B">
        <w:rPr>
          <w:rFonts w:ascii="Verdana" w:hAnsi="Verdana"/>
          <w:sz w:val="20"/>
          <w:szCs w:val="20"/>
          <w:lang w:val="es-AR"/>
        </w:rPr>
        <w:t xml:space="preserve"> en su escrito de 18 de junio de 2021,</w:t>
      </w:r>
      <w:r w:rsidRPr="00F1757B">
        <w:rPr>
          <w:rFonts w:ascii="Verdana" w:hAnsi="Verdana"/>
          <w:sz w:val="20"/>
          <w:szCs w:val="20"/>
          <w:lang w:val="es-AR"/>
        </w:rPr>
        <w:t xml:space="preserve"> </w:t>
      </w:r>
      <w:r w:rsidR="00B04FD0">
        <w:rPr>
          <w:rFonts w:ascii="Verdana" w:hAnsi="Verdana"/>
          <w:sz w:val="20"/>
          <w:szCs w:val="20"/>
          <w:lang w:val="es-AR"/>
        </w:rPr>
        <w:t>con</w:t>
      </w:r>
      <w:r w:rsidR="00B04FD0" w:rsidRPr="00F1757B">
        <w:rPr>
          <w:rFonts w:ascii="Verdana" w:hAnsi="Verdana"/>
          <w:sz w:val="20"/>
          <w:szCs w:val="20"/>
          <w:lang w:val="es-AR"/>
        </w:rPr>
        <w:t xml:space="preserve"> </w:t>
      </w:r>
      <w:r w:rsidRPr="00F1757B">
        <w:rPr>
          <w:rFonts w:ascii="Verdana" w:hAnsi="Verdana"/>
          <w:sz w:val="20"/>
          <w:szCs w:val="20"/>
          <w:lang w:val="es-AR"/>
        </w:rPr>
        <w:t xml:space="preserve">relación a la aprobación y posible sanción del </w:t>
      </w:r>
      <w:r w:rsidR="00863739" w:rsidRPr="00F1757B">
        <w:rPr>
          <w:rFonts w:ascii="Verdana" w:hAnsi="Verdana"/>
          <w:sz w:val="20"/>
          <w:szCs w:val="20"/>
          <w:lang w:val="es-AR"/>
        </w:rPr>
        <w:t>“</w:t>
      </w:r>
      <w:r w:rsidRPr="00F1757B">
        <w:rPr>
          <w:rFonts w:ascii="Verdana" w:hAnsi="Verdana"/>
          <w:sz w:val="20"/>
          <w:szCs w:val="20"/>
          <w:lang w:val="es-AR"/>
        </w:rPr>
        <w:t xml:space="preserve">proyecto de ley </w:t>
      </w:r>
      <w:r w:rsidR="00863739" w:rsidRPr="00F1757B">
        <w:rPr>
          <w:rFonts w:ascii="Verdana" w:hAnsi="Verdana"/>
          <w:sz w:val="20"/>
          <w:szCs w:val="20"/>
          <w:lang w:val="es-CR"/>
        </w:rPr>
        <w:t>42</w:t>
      </w:r>
      <w:r w:rsidR="007710C4">
        <w:rPr>
          <w:rFonts w:ascii="Verdana" w:hAnsi="Verdana"/>
          <w:sz w:val="20"/>
          <w:szCs w:val="20"/>
          <w:lang w:val="es-CR"/>
        </w:rPr>
        <w:t>3</w:t>
      </w:r>
      <w:r w:rsidR="00863739" w:rsidRPr="00F1757B">
        <w:rPr>
          <w:rFonts w:ascii="Verdana" w:hAnsi="Verdana"/>
          <w:sz w:val="20"/>
          <w:szCs w:val="20"/>
          <w:lang w:val="es-CR"/>
        </w:rPr>
        <w:t xml:space="preserve"> de 2021, </w:t>
      </w:r>
      <w:r w:rsidR="00863739" w:rsidRPr="00F1757B">
        <w:rPr>
          <w:rFonts w:ascii="Verdana" w:hAnsi="Verdana" w:cs="Arial"/>
          <w:color w:val="000000"/>
          <w:sz w:val="20"/>
          <w:szCs w:val="20"/>
          <w:lang w:val="es-CR"/>
        </w:rPr>
        <w:t xml:space="preserve">por medio del cual se reforma el Nuevo Código Disciplinario Único (Ley 1952 de 2019)”, </w:t>
      </w:r>
      <w:r w:rsidR="00E26436">
        <w:rPr>
          <w:rFonts w:ascii="Verdana" w:hAnsi="Verdana" w:cs="Arial"/>
          <w:color w:val="000000"/>
          <w:sz w:val="20"/>
          <w:szCs w:val="20"/>
          <w:lang w:val="es-CR"/>
        </w:rPr>
        <w:t>en cuanto a</w:t>
      </w:r>
      <w:r w:rsidR="00863739" w:rsidRPr="00F1757B">
        <w:rPr>
          <w:rFonts w:ascii="Verdana" w:hAnsi="Verdana" w:cs="Arial"/>
          <w:color w:val="000000"/>
          <w:sz w:val="20"/>
          <w:szCs w:val="20"/>
          <w:lang w:val="es-CR"/>
        </w:rPr>
        <w:t xml:space="preserve"> que éste sería contrario a los estándares de protección de los derechos políticos </w:t>
      </w:r>
      <w:r w:rsidR="00F356A6">
        <w:rPr>
          <w:rFonts w:ascii="Verdana" w:hAnsi="Verdana" w:cs="Arial"/>
          <w:color w:val="000000"/>
          <w:sz w:val="20"/>
          <w:szCs w:val="20"/>
          <w:lang w:val="es-CR"/>
        </w:rPr>
        <w:t xml:space="preserve">establecidos en la Convención e </w:t>
      </w:r>
      <w:r w:rsidR="00863739" w:rsidRPr="00F1757B">
        <w:rPr>
          <w:rFonts w:ascii="Verdana" w:hAnsi="Verdana" w:cs="Arial"/>
          <w:color w:val="000000"/>
          <w:sz w:val="20"/>
          <w:szCs w:val="20"/>
          <w:lang w:val="es-CR"/>
        </w:rPr>
        <w:t xml:space="preserve">indicados en la Sentencia </w:t>
      </w:r>
      <w:r w:rsidR="003E73D7" w:rsidRPr="00F1757B">
        <w:rPr>
          <w:rFonts w:ascii="Verdana" w:hAnsi="Verdana" w:cs="Arial"/>
          <w:color w:val="000000"/>
          <w:sz w:val="20"/>
          <w:szCs w:val="20"/>
          <w:lang w:val="es-CR"/>
        </w:rPr>
        <w:t>y a la garantía de no repetición ordenada</w:t>
      </w:r>
      <w:r w:rsidR="00E43C02" w:rsidRPr="00F1757B">
        <w:rPr>
          <w:rFonts w:ascii="Verdana" w:hAnsi="Verdana" w:cs="Arial"/>
          <w:color w:val="000000"/>
          <w:sz w:val="20"/>
          <w:szCs w:val="20"/>
          <w:lang w:val="es-CR"/>
        </w:rPr>
        <w:t xml:space="preserve"> en la misma</w:t>
      </w:r>
      <w:r w:rsidR="00863739" w:rsidRPr="00F1757B">
        <w:rPr>
          <w:rFonts w:ascii="Verdana" w:hAnsi="Verdana" w:cs="Arial"/>
          <w:color w:val="000000"/>
          <w:sz w:val="20"/>
          <w:szCs w:val="20"/>
          <w:lang w:val="es-CR"/>
        </w:rPr>
        <w:t>.</w:t>
      </w:r>
    </w:p>
    <w:p w14:paraId="0A97AE1C" w14:textId="1C9C75C3" w:rsidR="00F1757B" w:rsidRDefault="00863739" w:rsidP="00F1757B">
      <w:pPr>
        <w:pStyle w:val="Prrafodelista"/>
        <w:numPr>
          <w:ilvl w:val="0"/>
          <w:numId w:val="31"/>
        </w:numPr>
        <w:autoSpaceDE w:val="0"/>
        <w:autoSpaceDN w:val="0"/>
        <w:adjustRightInd w:val="0"/>
        <w:spacing w:before="120" w:after="120" w:line="240" w:lineRule="auto"/>
        <w:ind w:left="0" w:firstLine="0"/>
        <w:contextualSpacing w:val="0"/>
        <w:jc w:val="both"/>
        <w:rPr>
          <w:rFonts w:ascii="Verdana" w:eastAsia="Calibri" w:hAnsi="Verdana" w:cs="Calibri"/>
          <w:b/>
          <w:bCs/>
          <w:i/>
          <w:iCs/>
          <w:sz w:val="20"/>
          <w:szCs w:val="20"/>
          <w:lang w:val="es-ES" w:eastAsia="es-ES"/>
        </w:rPr>
      </w:pPr>
      <w:r w:rsidRPr="00F1757B">
        <w:rPr>
          <w:rFonts w:ascii="Verdana" w:hAnsi="Verdana" w:cs="Arial"/>
          <w:color w:val="000000"/>
          <w:sz w:val="20"/>
          <w:szCs w:val="20"/>
          <w:lang w:val="es-ES"/>
        </w:rPr>
        <w:t xml:space="preserve">Si bien la Corte no efectuará en esta oportunidad un análisis </w:t>
      </w:r>
      <w:r w:rsidR="00764F48" w:rsidRPr="00F1757B">
        <w:rPr>
          <w:rFonts w:ascii="Verdana" w:hAnsi="Verdana" w:cs="Arial"/>
          <w:color w:val="000000"/>
          <w:sz w:val="20"/>
          <w:szCs w:val="20"/>
          <w:lang w:val="es-ES"/>
        </w:rPr>
        <w:t>de los argumentos expuestos por los representantes</w:t>
      </w:r>
      <w:r w:rsidR="00C74A2B">
        <w:rPr>
          <w:rFonts w:ascii="Verdana" w:hAnsi="Verdana" w:cs="Arial"/>
          <w:color w:val="000000"/>
          <w:sz w:val="20"/>
          <w:szCs w:val="20"/>
          <w:lang w:val="es-ES"/>
        </w:rPr>
        <w:t xml:space="preserve"> en lo que se refiere al cumplimiento de la </w:t>
      </w:r>
      <w:r w:rsidR="00207BB5">
        <w:rPr>
          <w:rFonts w:ascii="Verdana" w:hAnsi="Verdana" w:cs="Arial"/>
          <w:color w:val="000000"/>
          <w:sz w:val="20"/>
          <w:szCs w:val="20"/>
          <w:lang w:val="es-ES"/>
        </w:rPr>
        <w:t>S</w:t>
      </w:r>
      <w:r w:rsidR="00C74A2B">
        <w:rPr>
          <w:rFonts w:ascii="Verdana" w:hAnsi="Verdana" w:cs="Arial"/>
          <w:color w:val="000000"/>
          <w:sz w:val="20"/>
          <w:szCs w:val="20"/>
          <w:lang w:val="es-ES"/>
        </w:rPr>
        <w:t>entencia</w:t>
      </w:r>
      <w:r w:rsidRPr="00F1757B">
        <w:rPr>
          <w:rFonts w:ascii="Verdana" w:hAnsi="Verdana" w:cs="Arial"/>
          <w:color w:val="000000"/>
          <w:sz w:val="20"/>
          <w:szCs w:val="20"/>
          <w:lang w:val="es-ES"/>
        </w:rPr>
        <w:t xml:space="preserve">, </w:t>
      </w:r>
      <w:r w:rsidR="00764F48" w:rsidRPr="00F1757B">
        <w:rPr>
          <w:rFonts w:ascii="Verdana" w:hAnsi="Verdana" w:cs="Arial"/>
          <w:color w:val="000000"/>
          <w:sz w:val="20"/>
          <w:szCs w:val="20"/>
          <w:lang w:val="es-ES"/>
        </w:rPr>
        <w:t>estima relevante</w:t>
      </w:r>
      <w:r w:rsidR="00E97E34" w:rsidRPr="00F1757B">
        <w:rPr>
          <w:rFonts w:ascii="Verdana" w:hAnsi="Verdana" w:cs="Arial"/>
          <w:color w:val="000000"/>
          <w:sz w:val="20"/>
          <w:szCs w:val="20"/>
          <w:lang w:val="es-ES"/>
        </w:rPr>
        <w:t xml:space="preserve"> recordar</w:t>
      </w:r>
      <w:r w:rsidR="00764F48" w:rsidRPr="00F1757B">
        <w:rPr>
          <w:rFonts w:ascii="Verdana" w:hAnsi="Verdana" w:cs="Arial"/>
          <w:color w:val="000000"/>
          <w:sz w:val="20"/>
          <w:szCs w:val="20"/>
          <w:lang w:val="es-ES"/>
        </w:rPr>
        <w:t xml:space="preserve"> </w:t>
      </w:r>
      <w:r w:rsidR="00E97E34" w:rsidRPr="00F1757B">
        <w:rPr>
          <w:rFonts w:ascii="Verdana" w:hAnsi="Verdana"/>
          <w:sz w:val="20"/>
          <w:lang w:val="es-ES"/>
        </w:rPr>
        <w:t>que l</w:t>
      </w:r>
      <w:r w:rsidR="00E97E34" w:rsidRPr="00F1757B">
        <w:rPr>
          <w:rFonts w:ascii="Verdana" w:hAnsi="Verdana"/>
          <w:sz w:val="20"/>
          <w:lang w:val="es-CR"/>
        </w:rPr>
        <w:t xml:space="preserve">os Estados Parte </w:t>
      </w:r>
      <w:r w:rsidR="00DA3B69">
        <w:rPr>
          <w:rFonts w:ascii="Verdana" w:hAnsi="Verdana"/>
          <w:sz w:val="20"/>
          <w:lang w:val="es-CR"/>
        </w:rPr>
        <w:t>de</w:t>
      </w:r>
      <w:r w:rsidR="00E97E34" w:rsidRPr="00F1757B">
        <w:rPr>
          <w:rFonts w:ascii="Verdana" w:hAnsi="Verdana"/>
          <w:sz w:val="20"/>
          <w:lang w:val="es-CR"/>
        </w:rPr>
        <w:t xml:space="preserve"> la Convención deben cumplir de buena fe </w:t>
      </w:r>
      <w:r w:rsidR="00207BB5">
        <w:rPr>
          <w:rFonts w:ascii="Verdana" w:hAnsi="Verdana"/>
          <w:sz w:val="20"/>
          <w:lang w:val="es-CR"/>
        </w:rPr>
        <w:t xml:space="preserve">con </w:t>
      </w:r>
      <w:r w:rsidR="00E97E34" w:rsidRPr="00F1757B">
        <w:rPr>
          <w:rFonts w:ascii="Verdana" w:hAnsi="Verdana"/>
          <w:sz w:val="20"/>
          <w:lang w:val="es-CR"/>
        </w:rPr>
        <w:t>sus obligaciones convencionales internacionales, tales como la obligación de cumplir lo dispuesto en las decisiones de este Tribunal, lo cual constituye un principio básico del Derecho Internacional (</w:t>
      </w:r>
      <w:r w:rsidR="00E97E34" w:rsidRPr="00F1757B">
        <w:rPr>
          <w:rFonts w:ascii="Verdana" w:hAnsi="Verdana"/>
          <w:i/>
          <w:sz w:val="20"/>
          <w:lang w:val="es-CR"/>
        </w:rPr>
        <w:t xml:space="preserve">pacta sunt </w:t>
      </w:r>
      <w:proofErr w:type="spellStart"/>
      <w:r w:rsidR="00E97E34" w:rsidRPr="00F1757B">
        <w:rPr>
          <w:rFonts w:ascii="Verdana" w:hAnsi="Verdana"/>
          <w:i/>
          <w:sz w:val="20"/>
          <w:lang w:val="es-CR"/>
        </w:rPr>
        <w:t>servanda</w:t>
      </w:r>
      <w:proofErr w:type="spellEnd"/>
      <w:r w:rsidR="00E97E34" w:rsidRPr="00F1757B">
        <w:rPr>
          <w:rFonts w:ascii="Verdana" w:hAnsi="Verdana"/>
          <w:sz w:val="20"/>
          <w:lang w:val="es-CR"/>
        </w:rPr>
        <w:t>)</w:t>
      </w:r>
      <w:r w:rsidR="00E97E34" w:rsidRPr="00C6508C">
        <w:rPr>
          <w:rStyle w:val="Refdenotaalpie"/>
          <w:sz w:val="20"/>
        </w:rPr>
        <w:footnoteReference w:id="9"/>
      </w:r>
      <w:r w:rsidR="00E97E34" w:rsidRPr="00F1757B">
        <w:rPr>
          <w:rFonts w:ascii="Verdana" w:hAnsi="Verdana"/>
          <w:sz w:val="20"/>
          <w:lang w:val="es-CR"/>
        </w:rPr>
        <w:t>. Asimismo, deben garantizar los efectos propios de tales disposiciones convencionales (</w:t>
      </w:r>
      <w:proofErr w:type="spellStart"/>
      <w:r w:rsidR="00E97E34" w:rsidRPr="00F1757B">
        <w:rPr>
          <w:rFonts w:ascii="Verdana" w:hAnsi="Verdana"/>
          <w:i/>
          <w:sz w:val="20"/>
          <w:lang w:val="es-CR"/>
        </w:rPr>
        <w:t>effet</w:t>
      </w:r>
      <w:proofErr w:type="spellEnd"/>
      <w:r w:rsidR="00E97E34" w:rsidRPr="00F1757B">
        <w:rPr>
          <w:rFonts w:ascii="Verdana" w:hAnsi="Verdana"/>
          <w:i/>
          <w:sz w:val="20"/>
          <w:lang w:val="es-CR"/>
        </w:rPr>
        <w:t xml:space="preserve"> </w:t>
      </w:r>
      <w:proofErr w:type="spellStart"/>
      <w:r w:rsidR="00E97E34" w:rsidRPr="00F1757B">
        <w:rPr>
          <w:rFonts w:ascii="Verdana" w:hAnsi="Verdana"/>
          <w:i/>
          <w:sz w:val="20"/>
          <w:lang w:val="es-CR"/>
        </w:rPr>
        <w:t>utile</w:t>
      </w:r>
      <w:proofErr w:type="spellEnd"/>
      <w:r w:rsidR="00E97E34" w:rsidRPr="00F1757B">
        <w:rPr>
          <w:rFonts w:ascii="Verdana" w:hAnsi="Verdana"/>
          <w:sz w:val="20"/>
          <w:lang w:val="es-CR"/>
        </w:rPr>
        <w:t>) en el plano de sus respectivos derechos internos</w:t>
      </w:r>
      <w:r w:rsidR="00E97E34" w:rsidRPr="00C6508C">
        <w:rPr>
          <w:rStyle w:val="Refdenotaalpie"/>
          <w:sz w:val="20"/>
        </w:rPr>
        <w:footnoteReference w:id="10"/>
      </w:r>
      <w:r w:rsidR="00E97E34" w:rsidRPr="00F1757B">
        <w:rPr>
          <w:rFonts w:ascii="Verdana" w:hAnsi="Verdana"/>
          <w:sz w:val="20"/>
          <w:lang w:val="es-CR"/>
        </w:rPr>
        <w:t>.</w:t>
      </w:r>
    </w:p>
    <w:p w14:paraId="3541F58F" w14:textId="34E06743" w:rsidR="00F1757B" w:rsidRDefault="00E97E34" w:rsidP="00F1757B">
      <w:pPr>
        <w:pStyle w:val="Prrafodelista"/>
        <w:numPr>
          <w:ilvl w:val="0"/>
          <w:numId w:val="31"/>
        </w:numPr>
        <w:autoSpaceDE w:val="0"/>
        <w:autoSpaceDN w:val="0"/>
        <w:adjustRightInd w:val="0"/>
        <w:spacing w:before="120" w:after="120" w:line="240" w:lineRule="auto"/>
        <w:ind w:left="0" w:firstLine="0"/>
        <w:contextualSpacing w:val="0"/>
        <w:jc w:val="both"/>
        <w:rPr>
          <w:rFonts w:ascii="Verdana" w:eastAsia="Calibri" w:hAnsi="Verdana" w:cs="Calibri"/>
          <w:b/>
          <w:bCs/>
          <w:i/>
          <w:iCs/>
          <w:sz w:val="20"/>
          <w:szCs w:val="20"/>
          <w:lang w:val="es-ES" w:eastAsia="es-ES"/>
        </w:rPr>
      </w:pPr>
      <w:r w:rsidRPr="00F1757B">
        <w:rPr>
          <w:rFonts w:ascii="Verdana" w:hAnsi="Verdana"/>
          <w:sz w:val="20"/>
          <w:szCs w:val="20"/>
          <w:lang w:val="es-ES"/>
        </w:rPr>
        <w:t>En ese sentido, se recuerda a Colombia que</w:t>
      </w:r>
      <w:r w:rsidR="00975629" w:rsidRPr="00F1757B">
        <w:rPr>
          <w:rFonts w:ascii="Verdana" w:hAnsi="Verdana"/>
          <w:sz w:val="20"/>
          <w:szCs w:val="20"/>
          <w:lang w:val="es-ES"/>
        </w:rPr>
        <w:t xml:space="preserve">, en su debida oportunidad, la Corte valorará si la adecuación normativa que llegue a ser aprobada </w:t>
      </w:r>
      <w:r w:rsidR="00E26436">
        <w:rPr>
          <w:rFonts w:ascii="Verdana" w:hAnsi="Verdana"/>
          <w:sz w:val="20"/>
          <w:szCs w:val="20"/>
          <w:lang w:val="es-ES"/>
        </w:rPr>
        <w:t>en el marco del cumplimiento de la garantía de no repetición ordenada</w:t>
      </w:r>
      <w:r w:rsidR="00207BB5">
        <w:rPr>
          <w:rFonts w:ascii="Verdana" w:hAnsi="Verdana"/>
          <w:sz w:val="20"/>
          <w:szCs w:val="20"/>
          <w:lang w:val="es-ES"/>
        </w:rPr>
        <w:t>,</w:t>
      </w:r>
      <w:r w:rsidR="00E26436">
        <w:rPr>
          <w:rFonts w:ascii="Verdana" w:hAnsi="Verdana"/>
          <w:sz w:val="20"/>
          <w:szCs w:val="20"/>
          <w:lang w:val="es-ES"/>
        </w:rPr>
        <w:t xml:space="preserve"> </w:t>
      </w:r>
      <w:r w:rsidR="00975629" w:rsidRPr="00F1757B">
        <w:rPr>
          <w:rFonts w:ascii="Verdana" w:eastAsia="Batang" w:hAnsi="Verdana"/>
          <w:sz w:val="20"/>
          <w:szCs w:val="20"/>
          <w:lang w:val="es-CR"/>
        </w:rPr>
        <w:t>se adecúa a los estándares de la Sentencia y cumple a cabalidad con lo ordenado por este Tribunal. Asimismo,</w:t>
      </w:r>
      <w:r w:rsidR="00207BB5">
        <w:rPr>
          <w:rFonts w:ascii="Verdana" w:eastAsia="Batang" w:hAnsi="Verdana"/>
          <w:sz w:val="20"/>
          <w:szCs w:val="20"/>
          <w:lang w:val="es-CR"/>
        </w:rPr>
        <w:t xml:space="preserve"> </w:t>
      </w:r>
      <w:r w:rsidRPr="00F1757B">
        <w:rPr>
          <w:rFonts w:ascii="Verdana" w:hAnsi="Verdana"/>
          <w:sz w:val="20"/>
          <w:szCs w:val="20"/>
          <w:lang w:val="es-ES"/>
        </w:rPr>
        <w:t>ha sido indicado en otros casos en etapa de supervisión de cumplimiento</w:t>
      </w:r>
      <w:r w:rsidR="0048787A">
        <w:rPr>
          <w:rFonts w:ascii="Verdana" w:hAnsi="Verdana"/>
          <w:sz w:val="20"/>
          <w:szCs w:val="20"/>
          <w:lang w:val="es-ES"/>
        </w:rPr>
        <w:t>,</w:t>
      </w:r>
      <w:r w:rsidRPr="00F1757B">
        <w:rPr>
          <w:rFonts w:ascii="Verdana" w:hAnsi="Verdana"/>
          <w:sz w:val="20"/>
          <w:szCs w:val="20"/>
          <w:lang w:val="es-ES"/>
        </w:rPr>
        <w:t xml:space="preserve"> en los que se ha supervisado garantías de no repetición de adecuación del derecho interno, que </w:t>
      </w:r>
      <w:r w:rsidR="00975629" w:rsidRPr="00F1757B">
        <w:rPr>
          <w:rFonts w:ascii="Verdana" w:hAnsi="Verdana"/>
          <w:sz w:val="20"/>
          <w:szCs w:val="20"/>
          <w:lang w:val="es-ES"/>
        </w:rPr>
        <w:t xml:space="preserve">los Estados </w:t>
      </w:r>
      <w:r w:rsidRPr="00F1757B">
        <w:rPr>
          <w:rFonts w:ascii="Verdana" w:eastAsia="Batang" w:hAnsi="Verdana"/>
          <w:sz w:val="20"/>
          <w:szCs w:val="20"/>
          <w:lang w:val="es-CR"/>
        </w:rPr>
        <w:t>debe</w:t>
      </w:r>
      <w:r w:rsidR="00C74A2B">
        <w:rPr>
          <w:rFonts w:ascii="Verdana" w:eastAsia="Batang" w:hAnsi="Verdana"/>
          <w:sz w:val="20"/>
          <w:szCs w:val="20"/>
          <w:lang w:val="es-CR"/>
        </w:rPr>
        <w:t>n</w:t>
      </w:r>
      <w:r w:rsidRPr="00F1757B">
        <w:rPr>
          <w:rFonts w:ascii="Verdana" w:eastAsia="Batang" w:hAnsi="Verdana"/>
          <w:sz w:val="20"/>
          <w:szCs w:val="20"/>
          <w:lang w:val="es-CR"/>
        </w:rPr>
        <w:t xml:space="preserve"> tomar las acciones que sean necesarias para que el trámite legislativo no culmine con la aprobación y vigencia de normativa que no se adecue </w:t>
      </w:r>
      <w:r w:rsidR="00975629" w:rsidRPr="00F1757B">
        <w:rPr>
          <w:rFonts w:ascii="Verdana" w:eastAsia="Batang" w:hAnsi="Verdana"/>
          <w:sz w:val="20"/>
          <w:szCs w:val="20"/>
          <w:lang w:val="es-CR"/>
        </w:rPr>
        <w:t xml:space="preserve">a </w:t>
      </w:r>
      <w:r w:rsidRPr="00F1757B">
        <w:rPr>
          <w:rFonts w:ascii="Verdana" w:eastAsia="Batang" w:hAnsi="Verdana"/>
          <w:sz w:val="20"/>
          <w:szCs w:val="20"/>
          <w:lang w:val="es-CR"/>
        </w:rPr>
        <w:t>los estándares de la Sentencia</w:t>
      </w:r>
      <w:r w:rsidRPr="00C6508C">
        <w:rPr>
          <w:rStyle w:val="Refdenotaalpie"/>
          <w:rFonts w:eastAsia="Batang"/>
          <w:sz w:val="20"/>
          <w:szCs w:val="20"/>
        </w:rPr>
        <w:footnoteReference w:id="11"/>
      </w:r>
      <w:r w:rsidRPr="00F1757B">
        <w:rPr>
          <w:rFonts w:ascii="Verdana" w:eastAsia="Batang" w:hAnsi="Verdana"/>
          <w:sz w:val="20"/>
          <w:szCs w:val="20"/>
          <w:lang w:val="es-CR"/>
        </w:rPr>
        <w:t xml:space="preserve">. </w:t>
      </w:r>
    </w:p>
    <w:p w14:paraId="62917494" w14:textId="76A30251" w:rsidR="00791B15" w:rsidRPr="00F1757B" w:rsidRDefault="00E97E34" w:rsidP="00F1757B">
      <w:pPr>
        <w:pStyle w:val="Prrafodelista"/>
        <w:numPr>
          <w:ilvl w:val="0"/>
          <w:numId w:val="31"/>
        </w:numPr>
        <w:autoSpaceDE w:val="0"/>
        <w:autoSpaceDN w:val="0"/>
        <w:adjustRightInd w:val="0"/>
        <w:spacing w:before="120" w:after="120" w:line="240" w:lineRule="auto"/>
        <w:ind w:left="0" w:firstLine="0"/>
        <w:contextualSpacing w:val="0"/>
        <w:jc w:val="both"/>
        <w:rPr>
          <w:rFonts w:ascii="Verdana" w:eastAsia="Calibri" w:hAnsi="Verdana" w:cs="Calibri"/>
          <w:b/>
          <w:bCs/>
          <w:i/>
          <w:iCs/>
          <w:sz w:val="20"/>
          <w:szCs w:val="20"/>
          <w:lang w:val="es-ES" w:eastAsia="es-ES"/>
        </w:rPr>
      </w:pPr>
      <w:r w:rsidRPr="00F1757B">
        <w:rPr>
          <w:rFonts w:ascii="Verdana" w:hAnsi="Verdana"/>
          <w:sz w:val="20"/>
          <w:szCs w:val="20"/>
          <w:lang w:val="es-ES"/>
        </w:rPr>
        <w:t xml:space="preserve">Finalmente, </w:t>
      </w:r>
      <w:r w:rsidR="00975629" w:rsidRPr="00F1757B">
        <w:rPr>
          <w:rFonts w:ascii="Verdana" w:hAnsi="Verdana"/>
          <w:sz w:val="20"/>
          <w:szCs w:val="20"/>
          <w:lang w:val="es-ES"/>
        </w:rPr>
        <w:t xml:space="preserve">la Corte valorará </w:t>
      </w:r>
      <w:r w:rsidRPr="00F1757B">
        <w:rPr>
          <w:rFonts w:ascii="Verdana" w:hAnsi="Verdana"/>
          <w:sz w:val="20"/>
          <w:szCs w:val="20"/>
          <w:lang w:val="es-ES"/>
        </w:rPr>
        <w:t xml:space="preserve">la </w:t>
      </w:r>
      <w:r w:rsidRPr="00F1757B">
        <w:rPr>
          <w:rFonts w:ascii="Verdana" w:hAnsi="Verdana"/>
          <w:sz w:val="20"/>
          <w:lang w:val="es-MX"/>
        </w:rPr>
        <w:t xml:space="preserve">solicitud de convocar a una audiencia de supervisión de cumplimiento de </w:t>
      </w:r>
      <w:r w:rsidR="00D91762">
        <w:rPr>
          <w:rFonts w:ascii="Verdana" w:hAnsi="Verdana"/>
          <w:sz w:val="20"/>
          <w:lang w:val="es-MX"/>
        </w:rPr>
        <w:t>S</w:t>
      </w:r>
      <w:r w:rsidRPr="00F1757B">
        <w:rPr>
          <w:rFonts w:ascii="Verdana" w:hAnsi="Verdana"/>
          <w:sz w:val="20"/>
          <w:lang w:val="es-MX"/>
        </w:rPr>
        <w:t>entencia (</w:t>
      </w:r>
      <w:r w:rsidRPr="00F1757B">
        <w:rPr>
          <w:rFonts w:ascii="Verdana" w:hAnsi="Verdana"/>
          <w:i/>
          <w:sz w:val="20"/>
          <w:lang w:val="es-MX"/>
        </w:rPr>
        <w:t>supra</w:t>
      </w:r>
      <w:r w:rsidRPr="00F1757B">
        <w:rPr>
          <w:rFonts w:ascii="Verdana" w:hAnsi="Verdana"/>
          <w:sz w:val="20"/>
          <w:lang w:val="es-MX"/>
        </w:rPr>
        <w:t xml:space="preserve"> Considerando </w:t>
      </w:r>
      <w:r w:rsidR="00C84779">
        <w:rPr>
          <w:rFonts w:ascii="Verdana" w:hAnsi="Verdana"/>
          <w:sz w:val="20"/>
          <w:lang w:val="es-MX"/>
        </w:rPr>
        <w:t>4</w:t>
      </w:r>
      <w:r w:rsidRPr="00F1757B">
        <w:rPr>
          <w:rFonts w:ascii="Verdana" w:hAnsi="Verdana"/>
          <w:sz w:val="20"/>
          <w:lang w:val="es-MX"/>
        </w:rPr>
        <w:t>)</w:t>
      </w:r>
      <w:r w:rsidR="00923CA5" w:rsidRPr="00F1757B">
        <w:rPr>
          <w:rFonts w:ascii="Verdana" w:hAnsi="Verdana"/>
          <w:sz w:val="20"/>
          <w:lang w:val="es-MX"/>
        </w:rPr>
        <w:t xml:space="preserve">, </w:t>
      </w:r>
      <w:r w:rsidR="00791B15" w:rsidRPr="00F1757B">
        <w:rPr>
          <w:rFonts w:ascii="Verdana" w:hAnsi="Verdana"/>
          <w:sz w:val="20"/>
          <w:lang w:val="es-MX"/>
        </w:rPr>
        <w:t xml:space="preserve">una vez que el Estado presente el informe requerido en la </w:t>
      </w:r>
      <w:r w:rsidR="00D91762">
        <w:rPr>
          <w:rFonts w:ascii="Verdana" w:hAnsi="Verdana"/>
          <w:sz w:val="20"/>
          <w:lang w:val="es-MX"/>
        </w:rPr>
        <w:t>misma</w:t>
      </w:r>
      <w:r w:rsidR="00975629" w:rsidRPr="00F1757B">
        <w:rPr>
          <w:rFonts w:ascii="Verdana" w:hAnsi="Verdana"/>
          <w:sz w:val="20"/>
          <w:lang w:val="es-MX"/>
        </w:rPr>
        <w:t xml:space="preserve">, en el cual deberá referirse </w:t>
      </w:r>
      <w:r w:rsidR="00791B15" w:rsidRPr="00F1757B">
        <w:rPr>
          <w:rFonts w:ascii="Verdana" w:hAnsi="Verdana"/>
          <w:sz w:val="20"/>
          <w:lang w:val="es-MX"/>
        </w:rPr>
        <w:t xml:space="preserve">a la información que ha sido expuesta por los representantes </w:t>
      </w:r>
      <w:r w:rsidR="00975629" w:rsidRPr="00F1757B">
        <w:rPr>
          <w:rFonts w:ascii="Verdana" w:hAnsi="Verdana"/>
          <w:sz w:val="20"/>
          <w:lang w:val="es-MX"/>
        </w:rPr>
        <w:t xml:space="preserve">en la solicitud de medidas provisionales </w:t>
      </w:r>
      <w:r w:rsidR="00791B15" w:rsidRPr="00F1757B">
        <w:rPr>
          <w:rFonts w:ascii="Verdana" w:hAnsi="Verdana"/>
          <w:sz w:val="20"/>
          <w:lang w:val="es-MX"/>
        </w:rPr>
        <w:t>(</w:t>
      </w:r>
      <w:r w:rsidR="00791B15" w:rsidRPr="00803003">
        <w:rPr>
          <w:rFonts w:ascii="Verdana" w:hAnsi="Verdana"/>
          <w:i/>
          <w:sz w:val="20"/>
          <w:lang w:val="es-MX"/>
        </w:rPr>
        <w:t>supra</w:t>
      </w:r>
      <w:r w:rsidR="00791B15" w:rsidRPr="00F1757B">
        <w:rPr>
          <w:rFonts w:ascii="Verdana" w:hAnsi="Verdana"/>
          <w:sz w:val="20"/>
          <w:lang w:val="es-MX"/>
        </w:rPr>
        <w:t xml:space="preserve"> Considerando</w:t>
      </w:r>
      <w:r w:rsidR="00803003">
        <w:rPr>
          <w:rFonts w:ascii="Verdana" w:hAnsi="Verdana"/>
          <w:sz w:val="20"/>
          <w:lang w:val="es-MX"/>
        </w:rPr>
        <w:t>s 4 a 7</w:t>
      </w:r>
      <w:r w:rsidR="00791B15" w:rsidRPr="00F1757B">
        <w:rPr>
          <w:rFonts w:ascii="Verdana" w:hAnsi="Verdana"/>
          <w:sz w:val="20"/>
          <w:lang w:val="es-MX"/>
        </w:rPr>
        <w:t>).</w:t>
      </w:r>
    </w:p>
    <w:p w14:paraId="4B81F008" w14:textId="0255F3B1" w:rsidR="00766FFC" w:rsidRPr="00C6508C" w:rsidRDefault="00766FFC" w:rsidP="00791B15">
      <w:pPr>
        <w:pStyle w:val="Prrafodelista"/>
        <w:autoSpaceDE w:val="0"/>
        <w:autoSpaceDN w:val="0"/>
        <w:adjustRightInd w:val="0"/>
        <w:spacing w:before="120" w:after="120" w:line="240" w:lineRule="auto"/>
        <w:ind w:left="0"/>
        <w:contextualSpacing w:val="0"/>
        <w:jc w:val="both"/>
        <w:rPr>
          <w:rFonts w:ascii="Verdana" w:hAnsi="Verdana"/>
          <w:sz w:val="20"/>
          <w:szCs w:val="20"/>
          <w:lang w:val="es-ES"/>
        </w:rPr>
      </w:pPr>
    </w:p>
    <w:p w14:paraId="39DDB871" w14:textId="3ACCDA82" w:rsidR="00E53316" w:rsidRPr="00C6508C" w:rsidRDefault="00E53316" w:rsidP="001133E5">
      <w:pPr>
        <w:spacing w:before="120" w:after="120"/>
        <w:jc w:val="both"/>
        <w:rPr>
          <w:rFonts w:ascii="Verdana" w:eastAsia="Verdana" w:hAnsi="Verdana" w:cs="Verdana"/>
          <w:b/>
          <w:bCs/>
          <w:spacing w:val="-4"/>
          <w:sz w:val="20"/>
          <w:szCs w:val="20"/>
          <w:lang w:val="es-CR"/>
        </w:rPr>
      </w:pPr>
      <w:r w:rsidRPr="00C6508C">
        <w:rPr>
          <w:rFonts w:ascii="Verdana" w:eastAsia="Verdana" w:hAnsi="Verdana" w:cs="Verdana"/>
          <w:b/>
          <w:bCs/>
          <w:spacing w:val="-4"/>
          <w:sz w:val="20"/>
          <w:szCs w:val="20"/>
          <w:lang w:val="es-CR"/>
        </w:rPr>
        <w:t>POR TANTO:</w:t>
      </w:r>
    </w:p>
    <w:p w14:paraId="4A44A97D" w14:textId="6B4B8F47" w:rsidR="00E53316" w:rsidRPr="00C6508C" w:rsidRDefault="00E53316" w:rsidP="00863739">
      <w:pPr>
        <w:spacing w:before="120" w:after="120"/>
        <w:jc w:val="both"/>
        <w:rPr>
          <w:rFonts w:ascii="Verdana" w:eastAsia="Verdana" w:hAnsi="Verdana" w:cs="Verdana"/>
          <w:spacing w:val="-4"/>
          <w:sz w:val="20"/>
          <w:szCs w:val="20"/>
          <w:lang w:val="es-CR"/>
        </w:rPr>
      </w:pPr>
      <w:r w:rsidRPr="00C6508C">
        <w:rPr>
          <w:rFonts w:ascii="Verdana" w:eastAsia="Verdana" w:hAnsi="Verdana" w:cs="Verdana"/>
          <w:b/>
          <w:bCs/>
          <w:spacing w:val="-4"/>
          <w:sz w:val="20"/>
          <w:szCs w:val="20"/>
          <w:lang w:val="es-CR"/>
        </w:rPr>
        <w:t>LA CORTE INTERAMERICANA DE DERECHOS HUMANOS,</w:t>
      </w:r>
    </w:p>
    <w:p w14:paraId="3E7D8DDC" w14:textId="4DB84C95" w:rsidR="00E53316" w:rsidRPr="00C6508C" w:rsidRDefault="00E53316" w:rsidP="00863739">
      <w:pPr>
        <w:spacing w:before="120" w:after="120"/>
        <w:jc w:val="both"/>
        <w:rPr>
          <w:rFonts w:ascii="Verdana" w:eastAsia="Verdana" w:hAnsi="Verdana" w:cs="Verdana"/>
          <w:spacing w:val="-4"/>
          <w:sz w:val="20"/>
          <w:szCs w:val="20"/>
          <w:highlight w:val="yellow"/>
          <w:lang w:val="es-CR"/>
        </w:rPr>
      </w:pPr>
      <w:r w:rsidRPr="00C6508C">
        <w:rPr>
          <w:rFonts w:ascii="Verdana" w:hAnsi="Verdana"/>
          <w:spacing w:val="-4"/>
          <w:sz w:val="20"/>
          <w:szCs w:val="20"/>
          <w:lang w:val="es-CR"/>
        </w:rPr>
        <w:t xml:space="preserve">en uso de las atribuciones que le confieren los </w:t>
      </w:r>
      <w:r w:rsidR="003C4A6B" w:rsidRPr="00C6508C">
        <w:rPr>
          <w:rFonts w:ascii="Verdana" w:hAnsi="Verdana"/>
          <w:spacing w:val="-4"/>
          <w:sz w:val="20"/>
          <w:szCs w:val="20"/>
          <w:lang w:val="es-CR"/>
        </w:rPr>
        <w:t>artículos</w:t>
      </w:r>
      <w:r w:rsidR="00AB4B54" w:rsidRPr="00C6508C">
        <w:rPr>
          <w:rFonts w:ascii="Verdana" w:hAnsi="Verdana"/>
          <w:spacing w:val="-4"/>
          <w:sz w:val="20"/>
          <w:szCs w:val="20"/>
          <w:lang w:val="es-CR"/>
        </w:rPr>
        <w:t xml:space="preserve"> 63.2 y 68 de la </w:t>
      </w:r>
      <w:r w:rsidR="003C4A6B" w:rsidRPr="00C6508C">
        <w:rPr>
          <w:rFonts w:ascii="Verdana" w:hAnsi="Verdana"/>
          <w:spacing w:val="-4"/>
          <w:sz w:val="20"/>
          <w:szCs w:val="20"/>
          <w:lang w:val="es-CR"/>
        </w:rPr>
        <w:t>Convención</w:t>
      </w:r>
      <w:r w:rsidR="00AB4B54" w:rsidRPr="00C6508C">
        <w:rPr>
          <w:rFonts w:ascii="Verdana" w:hAnsi="Verdana"/>
          <w:spacing w:val="-4"/>
          <w:sz w:val="20"/>
          <w:szCs w:val="20"/>
          <w:lang w:val="es-CR"/>
        </w:rPr>
        <w:t xml:space="preserve"> Americana sobre Derechos Humanos y 27, 31.2 y 69 del Reglamento del Tribunal</w:t>
      </w:r>
      <w:r w:rsidRPr="00C6508C">
        <w:rPr>
          <w:rFonts w:ascii="Verdana" w:hAnsi="Verdana"/>
          <w:spacing w:val="-4"/>
          <w:sz w:val="20"/>
          <w:szCs w:val="20"/>
          <w:lang w:val="es-CR"/>
        </w:rPr>
        <w:t>,</w:t>
      </w:r>
    </w:p>
    <w:p w14:paraId="0C838D1A" w14:textId="2A3CA33B" w:rsidR="00117C7F" w:rsidRDefault="00117C7F" w:rsidP="006E1C2B">
      <w:pPr>
        <w:spacing w:before="120" w:after="120"/>
        <w:jc w:val="both"/>
        <w:rPr>
          <w:rFonts w:ascii="Verdana" w:eastAsia="Verdana" w:hAnsi="Verdana" w:cs="Verdana"/>
          <w:b/>
          <w:bCs/>
          <w:spacing w:val="-4"/>
          <w:sz w:val="20"/>
          <w:szCs w:val="12"/>
          <w:lang w:val="es-CR"/>
        </w:rPr>
      </w:pPr>
    </w:p>
    <w:p w14:paraId="734ED072" w14:textId="6106C2E0" w:rsidR="00C10D20" w:rsidRDefault="00C10D20" w:rsidP="006E1C2B">
      <w:pPr>
        <w:spacing w:before="120" w:after="120"/>
        <w:jc w:val="both"/>
        <w:rPr>
          <w:rFonts w:ascii="Verdana" w:eastAsia="Verdana" w:hAnsi="Verdana" w:cs="Verdana"/>
          <w:b/>
          <w:bCs/>
          <w:spacing w:val="-4"/>
          <w:sz w:val="20"/>
          <w:szCs w:val="12"/>
          <w:lang w:val="es-CR"/>
        </w:rPr>
      </w:pPr>
    </w:p>
    <w:p w14:paraId="5B6EFE3D" w14:textId="77777777" w:rsidR="00C10D20" w:rsidRPr="003C4A6B" w:rsidRDefault="00C10D20" w:rsidP="006E1C2B">
      <w:pPr>
        <w:spacing w:before="120" w:after="120"/>
        <w:jc w:val="both"/>
        <w:rPr>
          <w:rFonts w:ascii="Verdana" w:eastAsia="Verdana" w:hAnsi="Verdana" w:cs="Verdana"/>
          <w:b/>
          <w:bCs/>
          <w:spacing w:val="-4"/>
          <w:sz w:val="20"/>
          <w:szCs w:val="12"/>
          <w:lang w:val="es-CR"/>
        </w:rPr>
      </w:pPr>
    </w:p>
    <w:p w14:paraId="6B4B554A" w14:textId="6E5EA2DB" w:rsidR="00E53316" w:rsidRDefault="0021791F" w:rsidP="006E1C2B">
      <w:pPr>
        <w:spacing w:before="120" w:after="120"/>
        <w:jc w:val="both"/>
        <w:rPr>
          <w:rFonts w:ascii="Verdana" w:eastAsia="Verdana" w:hAnsi="Verdana" w:cs="Verdana"/>
          <w:b/>
          <w:bCs/>
          <w:spacing w:val="-4"/>
          <w:sz w:val="20"/>
          <w:szCs w:val="20"/>
          <w:lang w:val="es-CR"/>
        </w:rPr>
      </w:pPr>
      <w:r w:rsidRPr="00C6508C">
        <w:rPr>
          <w:rFonts w:ascii="Verdana" w:eastAsia="Verdana" w:hAnsi="Verdana" w:cs="Verdana"/>
          <w:b/>
          <w:bCs/>
          <w:spacing w:val="-4"/>
          <w:sz w:val="20"/>
          <w:szCs w:val="20"/>
          <w:lang w:val="es-CR"/>
        </w:rPr>
        <w:lastRenderedPageBreak/>
        <w:t>R</w:t>
      </w:r>
      <w:r w:rsidR="00E53316" w:rsidRPr="00C6508C">
        <w:rPr>
          <w:rFonts w:ascii="Verdana" w:eastAsia="Verdana" w:hAnsi="Verdana" w:cs="Verdana"/>
          <w:b/>
          <w:bCs/>
          <w:spacing w:val="-4"/>
          <w:sz w:val="20"/>
          <w:szCs w:val="20"/>
          <w:lang w:val="es-CR"/>
        </w:rPr>
        <w:t>ESUELVE:</w:t>
      </w:r>
      <w:r w:rsidR="00401687" w:rsidRPr="00C6508C">
        <w:rPr>
          <w:rFonts w:ascii="Verdana" w:eastAsia="Verdana" w:hAnsi="Verdana" w:cs="Verdana"/>
          <w:b/>
          <w:bCs/>
          <w:spacing w:val="-4"/>
          <w:sz w:val="20"/>
          <w:szCs w:val="20"/>
          <w:lang w:val="es-CR"/>
        </w:rPr>
        <w:t xml:space="preserve"> </w:t>
      </w:r>
    </w:p>
    <w:p w14:paraId="701486DB" w14:textId="2604BF75" w:rsidR="006E1C2B" w:rsidRPr="00C6508C" w:rsidRDefault="006E1C2B" w:rsidP="002F6BD3">
      <w:pPr>
        <w:pStyle w:val="Prrafodelista"/>
        <w:numPr>
          <w:ilvl w:val="0"/>
          <w:numId w:val="42"/>
        </w:numPr>
        <w:spacing w:before="120" w:after="120" w:line="240" w:lineRule="auto"/>
        <w:ind w:left="0" w:firstLine="0"/>
        <w:contextualSpacing w:val="0"/>
        <w:jc w:val="both"/>
        <w:rPr>
          <w:rFonts w:ascii="Verdana" w:hAnsi="Verdana"/>
          <w:spacing w:val="-4"/>
          <w:sz w:val="20"/>
          <w:szCs w:val="20"/>
          <w:lang w:val="es-CR"/>
        </w:rPr>
      </w:pPr>
      <w:r w:rsidRPr="00C6508C">
        <w:rPr>
          <w:rFonts w:ascii="Verdana" w:hAnsi="Verdana"/>
          <w:spacing w:val="-4"/>
          <w:sz w:val="20"/>
          <w:szCs w:val="20"/>
          <w:lang w:val="es-CR"/>
        </w:rPr>
        <w:t>Declarar improcedente la solicitud de medidas provisionales presentad</w:t>
      </w:r>
      <w:r w:rsidR="002F6BD3" w:rsidRPr="00C6508C">
        <w:rPr>
          <w:rFonts w:ascii="Verdana" w:hAnsi="Verdana"/>
          <w:spacing w:val="-4"/>
          <w:sz w:val="20"/>
          <w:szCs w:val="20"/>
          <w:lang w:val="es-CR"/>
        </w:rPr>
        <w:t xml:space="preserve">a por los representantes de la víctima del </w:t>
      </w:r>
      <w:r w:rsidR="002F6BD3" w:rsidRPr="00C6508C">
        <w:rPr>
          <w:rFonts w:ascii="Verdana" w:hAnsi="Verdana"/>
          <w:i/>
          <w:spacing w:val="-4"/>
          <w:sz w:val="20"/>
          <w:szCs w:val="20"/>
          <w:lang w:val="es-CR"/>
        </w:rPr>
        <w:t xml:space="preserve">Caso Petro </w:t>
      </w:r>
      <w:r w:rsidR="00C74A2B">
        <w:rPr>
          <w:rFonts w:ascii="Verdana" w:hAnsi="Verdana"/>
          <w:i/>
          <w:spacing w:val="-4"/>
          <w:sz w:val="20"/>
          <w:szCs w:val="20"/>
          <w:lang w:val="es-CR"/>
        </w:rPr>
        <w:t xml:space="preserve">Urrego </w:t>
      </w:r>
      <w:r w:rsidR="002F6BD3" w:rsidRPr="00C6508C">
        <w:rPr>
          <w:rFonts w:ascii="Verdana" w:hAnsi="Verdana"/>
          <w:i/>
          <w:spacing w:val="-4"/>
          <w:sz w:val="20"/>
          <w:szCs w:val="20"/>
          <w:lang w:val="es-CR"/>
        </w:rPr>
        <w:t>Vs. Colombia</w:t>
      </w:r>
      <w:r w:rsidR="002F6BD3" w:rsidRPr="00C6508C">
        <w:rPr>
          <w:rFonts w:ascii="Verdana" w:hAnsi="Verdana"/>
          <w:spacing w:val="-4"/>
          <w:sz w:val="20"/>
          <w:szCs w:val="20"/>
          <w:lang w:val="es-CR"/>
        </w:rPr>
        <w:t xml:space="preserve">, </w:t>
      </w:r>
      <w:r w:rsidRPr="00C6508C">
        <w:rPr>
          <w:rFonts w:ascii="Verdana" w:hAnsi="Verdana"/>
          <w:spacing w:val="-4"/>
          <w:sz w:val="20"/>
          <w:szCs w:val="20"/>
          <w:lang w:val="es-CR"/>
        </w:rPr>
        <w:t>en virtud de que el asunto planteado ante el Tribunal no es materia de medidas provisionales en los términos del artículo 63.2 de la Convención Americana sobre Derechos Humanos, sino que correspond</w:t>
      </w:r>
      <w:r w:rsidR="00975629">
        <w:rPr>
          <w:rFonts w:ascii="Verdana" w:hAnsi="Verdana"/>
          <w:spacing w:val="-4"/>
          <w:sz w:val="20"/>
          <w:szCs w:val="20"/>
          <w:lang w:val="es-CR"/>
        </w:rPr>
        <w:t>e</w:t>
      </w:r>
      <w:r w:rsidRPr="00C6508C">
        <w:rPr>
          <w:rFonts w:ascii="Verdana" w:hAnsi="Verdana"/>
          <w:spacing w:val="-4"/>
          <w:sz w:val="20"/>
          <w:szCs w:val="20"/>
          <w:lang w:val="es-CR"/>
        </w:rPr>
        <w:t xml:space="preserve"> ser evaluado en el marco de la supervisión de</w:t>
      </w:r>
      <w:r w:rsidR="002F6BD3" w:rsidRPr="00C6508C">
        <w:rPr>
          <w:rFonts w:ascii="Verdana" w:hAnsi="Verdana"/>
          <w:spacing w:val="-4"/>
          <w:sz w:val="20"/>
          <w:szCs w:val="20"/>
          <w:lang w:val="es-CR"/>
        </w:rPr>
        <w:t xml:space="preserve"> cumplimiento de la </w:t>
      </w:r>
      <w:r w:rsidR="004E35A3">
        <w:rPr>
          <w:rFonts w:ascii="Verdana" w:hAnsi="Verdana"/>
          <w:spacing w:val="-4"/>
          <w:sz w:val="20"/>
          <w:szCs w:val="20"/>
          <w:lang w:val="es-CR"/>
        </w:rPr>
        <w:t>S</w:t>
      </w:r>
      <w:r w:rsidR="002F6BD3" w:rsidRPr="00C6508C">
        <w:rPr>
          <w:rFonts w:ascii="Verdana" w:hAnsi="Verdana"/>
          <w:spacing w:val="-4"/>
          <w:sz w:val="20"/>
          <w:szCs w:val="20"/>
          <w:lang w:val="es-CR"/>
        </w:rPr>
        <w:t>entencia.</w:t>
      </w:r>
    </w:p>
    <w:p w14:paraId="792D8A5F" w14:textId="1FFBD031" w:rsidR="002F6BD3" w:rsidRPr="00C6508C" w:rsidRDefault="006E1C2B" w:rsidP="00155D71">
      <w:pPr>
        <w:pStyle w:val="Prrafodelista"/>
        <w:numPr>
          <w:ilvl w:val="0"/>
          <w:numId w:val="42"/>
        </w:numPr>
        <w:spacing w:before="120" w:after="120" w:line="240" w:lineRule="auto"/>
        <w:ind w:left="0" w:firstLine="0"/>
        <w:contextualSpacing w:val="0"/>
        <w:jc w:val="both"/>
        <w:rPr>
          <w:rFonts w:ascii="Verdana" w:hAnsi="Verdana"/>
          <w:spacing w:val="-4"/>
          <w:sz w:val="20"/>
          <w:szCs w:val="20"/>
          <w:lang w:val="es-ES"/>
        </w:rPr>
      </w:pPr>
      <w:r w:rsidRPr="00C6508C">
        <w:rPr>
          <w:rFonts w:ascii="Verdana" w:hAnsi="Verdana"/>
          <w:spacing w:val="-4"/>
          <w:sz w:val="20"/>
          <w:szCs w:val="20"/>
          <w:lang w:val="es-ES"/>
        </w:rPr>
        <w:t xml:space="preserve">Requerir </w:t>
      </w:r>
      <w:r w:rsidR="00F356A6">
        <w:rPr>
          <w:rFonts w:ascii="Verdana" w:hAnsi="Verdana"/>
          <w:spacing w:val="-4"/>
          <w:sz w:val="20"/>
          <w:szCs w:val="20"/>
          <w:lang w:val="es-ES"/>
        </w:rPr>
        <w:t xml:space="preserve">al </w:t>
      </w:r>
      <w:r w:rsidRPr="00C6508C">
        <w:rPr>
          <w:rFonts w:ascii="Verdana" w:hAnsi="Verdana"/>
          <w:spacing w:val="-4"/>
          <w:sz w:val="20"/>
          <w:szCs w:val="20"/>
          <w:lang w:val="es-ES"/>
        </w:rPr>
        <w:t xml:space="preserve">Estado de Colombia </w:t>
      </w:r>
      <w:r w:rsidR="00F356A6">
        <w:rPr>
          <w:rFonts w:ascii="Verdana" w:hAnsi="Verdana"/>
          <w:spacing w:val="-4"/>
          <w:sz w:val="20"/>
          <w:szCs w:val="20"/>
          <w:lang w:val="es-ES"/>
        </w:rPr>
        <w:t xml:space="preserve">que </w:t>
      </w:r>
      <w:r w:rsidR="002F6BD3" w:rsidRPr="00C6508C">
        <w:rPr>
          <w:rFonts w:ascii="Verdana" w:hAnsi="Verdana"/>
          <w:spacing w:val="-4"/>
          <w:sz w:val="20"/>
          <w:szCs w:val="20"/>
          <w:lang w:val="es-ES"/>
        </w:rPr>
        <w:t xml:space="preserve">se refiera a los argumentos expuestos por los representantes en su escrito de 18 de junio de 2021 en el informe </w:t>
      </w:r>
      <w:r w:rsidR="00F356A6">
        <w:rPr>
          <w:rFonts w:ascii="Verdana" w:hAnsi="Verdana"/>
          <w:spacing w:val="-4"/>
          <w:sz w:val="20"/>
          <w:szCs w:val="20"/>
          <w:lang w:val="es-ES"/>
        </w:rPr>
        <w:t xml:space="preserve">sobre el cumplimiento de la Sentencia </w:t>
      </w:r>
      <w:r w:rsidR="002F6BD3" w:rsidRPr="00C6508C">
        <w:rPr>
          <w:rFonts w:ascii="Verdana" w:hAnsi="Verdana"/>
          <w:spacing w:val="-4"/>
          <w:sz w:val="20"/>
          <w:szCs w:val="20"/>
          <w:lang w:val="es-ES"/>
        </w:rPr>
        <w:t>que debe presentar a</w:t>
      </w:r>
      <w:r w:rsidR="005F4642">
        <w:rPr>
          <w:rFonts w:ascii="Verdana" w:hAnsi="Verdana"/>
          <w:spacing w:val="-4"/>
          <w:sz w:val="20"/>
          <w:szCs w:val="20"/>
          <w:lang w:val="es-ES"/>
        </w:rPr>
        <w:t xml:space="preserve"> este Tribunal</w:t>
      </w:r>
      <w:r w:rsidR="002F6BD3" w:rsidRPr="00C6508C">
        <w:rPr>
          <w:rFonts w:ascii="Verdana" w:hAnsi="Verdana"/>
          <w:spacing w:val="-4"/>
          <w:sz w:val="20"/>
          <w:szCs w:val="20"/>
          <w:lang w:val="es-ES"/>
        </w:rPr>
        <w:t xml:space="preserve"> </w:t>
      </w:r>
      <w:r w:rsidR="004E7A07">
        <w:rPr>
          <w:rFonts w:ascii="Verdana" w:hAnsi="Verdana"/>
          <w:spacing w:val="-4"/>
          <w:sz w:val="20"/>
          <w:szCs w:val="20"/>
          <w:lang w:val="es-ES"/>
        </w:rPr>
        <w:t xml:space="preserve">a </w:t>
      </w:r>
      <w:r w:rsidR="002F6BD3" w:rsidRPr="00C6508C">
        <w:rPr>
          <w:rFonts w:ascii="Verdana" w:hAnsi="Verdana"/>
          <w:spacing w:val="-4"/>
          <w:sz w:val="20"/>
          <w:szCs w:val="20"/>
          <w:lang w:val="es-ES"/>
        </w:rPr>
        <w:t xml:space="preserve">más tardar el 19 de agosto de 2021, según lo dispuesto en el punto resolutivo décimo de la </w:t>
      </w:r>
      <w:r w:rsidR="00F356A6">
        <w:rPr>
          <w:rFonts w:ascii="Verdana" w:hAnsi="Verdana"/>
          <w:spacing w:val="-4"/>
          <w:sz w:val="20"/>
          <w:szCs w:val="20"/>
          <w:lang w:val="es-ES"/>
        </w:rPr>
        <w:t>misma</w:t>
      </w:r>
      <w:r w:rsidR="002F6BD3" w:rsidRPr="00C6508C">
        <w:rPr>
          <w:rFonts w:ascii="Verdana" w:hAnsi="Verdana"/>
          <w:spacing w:val="-4"/>
          <w:sz w:val="20"/>
          <w:szCs w:val="20"/>
          <w:lang w:val="es-ES"/>
        </w:rPr>
        <w:t>.</w:t>
      </w:r>
    </w:p>
    <w:p w14:paraId="18C15A43" w14:textId="47E0A1EA" w:rsidR="00155D71" w:rsidRPr="00C6508C" w:rsidRDefault="00155D71" w:rsidP="001133E5">
      <w:pPr>
        <w:pStyle w:val="Prrafodelista"/>
        <w:numPr>
          <w:ilvl w:val="0"/>
          <w:numId w:val="42"/>
        </w:numPr>
        <w:spacing w:before="120" w:after="120" w:line="240" w:lineRule="auto"/>
        <w:ind w:left="0" w:firstLine="0"/>
        <w:contextualSpacing w:val="0"/>
        <w:jc w:val="both"/>
        <w:rPr>
          <w:rFonts w:ascii="Verdana" w:hAnsi="Verdana"/>
          <w:spacing w:val="-4"/>
          <w:sz w:val="20"/>
          <w:szCs w:val="20"/>
          <w:lang w:val="es-ES"/>
        </w:rPr>
      </w:pPr>
      <w:r w:rsidRPr="00C6508C">
        <w:rPr>
          <w:rFonts w:ascii="Verdana" w:hAnsi="Verdana"/>
          <w:spacing w:val="-4"/>
          <w:sz w:val="20"/>
          <w:szCs w:val="20"/>
          <w:lang w:val="es-ES"/>
        </w:rPr>
        <w:t xml:space="preserve">Disponer que los representantes de la víctima y la Comisión Interamericana de Derechos Humanos presenten observaciones al informe del Estado mencionado en el punto resolutivo anterior, en los plazos que </w:t>
      </w:r>
      <w:r w:rsidR="00D419D5" w:rsidRPr="00C6508C">
        <w:rPr>
          <w:rFonts w:ascii="Verdana" w:hAnsi="Verdana"/>
          <w:spacing w:val="-4"/>
          <w:sz w:val="20"/>
          <w:szCs w:val="20"/>
          <w:lang w:val="es-ES"/>
        </w:rPr>
        <w:t xml:space="preserve">para tal efecto </w:t>
      </w:r>
      <w:r w:rsidRPr="00C6508C">
        <w:rPr>
          <w:rFonts w:ascii="Verdana" w:hAnsi="Verdana"/>
          <w:spacing w:val="-4"/>
          <w:sz w:val="20"/>
          <w:szCs w:val="20"/>
          <w:lang w:val="es-ES"/>
        </w:rPr>
        <w:t>disponga la Presidencia de la Corte.</w:t>
      </w:r>
    </w:p>
    <w:p w14:paraId="6406A00C" w14:textId="2BE9FD53" w:rsidR="00E53316" w:rsidRPr="00C6508C" w:rsidRDefault="00E53316" w:rsidP="001133E5">
      <w:pPr>
        <w:pStyle w:val="Prrafodelista"/>
        <w:numPr>
          <w:ilvl w:val="0"/>
          <w:numId w:val="42"/>
        </w:numPr>
        <w:spacing w:before="120" w:after="120" w:line="240" w:lineRule="auto"/>
        <w:ind w:left="0" w:firstLine="0"/>
        <w:contextualSpacing w:val="0"/>
        <w:jc w:val="both"/>
        <w:rPr>
          <w:rFonts w:ascii="Verdana" w:hAnsi="Verdana"/>
          <w:spacing w:val="-4"/>
          <w:sz w:val="20"/>
          <w:szCs w:val="20"/>
          <w:lang w:val="es-ES"/>
        </w:rPr>
      </w:pPr>
      <w:r w:rsidRPr="00C6508C">
        <w:rPr>
          <w:rFonts w:ascii="Verdana" w:eastAsia="Verdana" w:hAnsi="Verdana" w:cs="Verdana"/>
          <w:spacing w:val="-4"/>
          <w:sz w:val="20"/>
          <w:szCs w:val="20"/>
          <w:lang w:val="es-CR"/>
        </w:rPr>
        <w:t>Disponer que la Secretaría de la Corte notifique la p</w:t>
      </w:r>
      <w:r w:rsidR="00FC4C64" w:rsidRPr="00C6508C">
        <w:rPr>
          <w:rFonts w:ascii="Verdana" w:eastAsia="Verdana" w:hAnsi="Verdana" w:cs="Verdana"/>
          <w:spacing w:val="-4"/>
          <w:sz w:val="20"/>
          <w:szCs w:val="20"/>
          <w:lang w:val="es-CR"/>
        </w:rPr>
        <w:t xml:space="preserve">resente Resolución al Estado, </w:t>
      </w:r>
      <w:r w:rsidR="00155D71" w:rsidRPr="00C6508C">
        <w:rPr>
          <w:rFonts w:ascii="Verdana" w:eastAsia="Verdana" w:hAnsi="Verdana" w:cs="Verdana"/>
          <w:spacing w:val="-4"/>
          <w:sz w:val="20"/>
          <w:szCs w:val="20"/>
          <w:lang w:val="es-CR"/>
        </w:rPr>
        <w:t xml:space="preserve">a los representantes de la </w:t>
      </w:r>
      <w:r w:rsidR="003D0048" w:rsidRPr="00C6508C">
        <w:rPr>
          <w:rFonts w:ascii="Verdana" w:eastAsia="Verdana" w:hAnsi="Verdana" w:cs="Verdana"/>
          <w:spacing w:val="-4"/>
          <w:sz w:val="20"/>
          <w:szCs w:val="20"/>
          <w:lang w:val="es-CR"/>
        </w:rPr>
        <w:t>víctima</w:t>
      </w:r>
      <w:r w:rsidR="00155D71" w:rsidRPr="00C6508C">
        <w:rPr>
          <w:rFonts w:ascii="Verdana" w:eastAsia="Verdana" w:hAnsi="Verdana" w:cs="Verdana"/>
          <w:spacing w:val="-4"/>
          <w:sz w:val="20"/>
          <w:szCs w:val="20"/>
          <w:lang w:val="es-CR"/>
        </w:rPr>
        <w:t xml:space="preserve"> y</w:t>
      </w:r>
      <w:r w:rsidRPr="00C6508C">
        <w:rPr>
          <w:rFonts w:ascii="Verdana" w:eastAsia="Verdana" w:hAnsi="Verdana" w:cs="Verdana"/>
          <w:spacing w:val="-4"/>
          <w:sz w:val="20"/>
          <w:szCs w:val="20"/>
          <w:lang w:val="es-CR"/>
        </w:rPr>
        <w:t xml:space="preserve"> a la Comisión Interamericana</w:t>
      </w:r>
      <w:r w:rsidR="00F45CC1" w:rsidRPr="00C6508C">
        <w:rPr>
          <w:rFonts w:ascii="Verdana" w:eastAsia="Verdana" w:hAnsi="Verdana" w:cs="Verdana"/>
          <w:spacing w:val="-4"/>
          <w:sz w:val="20"/>
          <w:szCs w:val="20"/>
          <w:lang w:val="es-CR"/>
        </w:rPr>
        <w:t xml:space="preserve"> de Derechos Humanos</w:t>
      </w:r>
      <w:r w:rsidR="00155D71" w:rsidRPr="00C6508C">
        <w:rPr>
          <w:rFonts w:ascii="Verdana" w:eastAsia="Verdana" w:hAnsi="Verdana" w:cs="Verdana"/>
          <w:spacing w:val="-4"/>
          <w:sz w:val="20"/>
          <w:szCs w:val="20"/>
          <w:lang w:val="es-CR"/>
        </w:rPr>
        <w:t>.</w:t>
      </w:r>
    </w:p>
    <w:p w14:paraId="1FCC208F" w14:textId="011690C0" w:rsidR="00EC3BA4" w:rsidRPr="00C6508C" w:rsidRDefault="00EC3BA4" w:rsidP="00EC3BA4">
      <w:pPr>
        <w:pStyle w:val="Prrafodelista"/>
        <w:spacing w:before="120" w:after="120" w:line="240" w:lineRule="auto"/>
        <w:ind w:left="0"/>
        <w:contextualSpacing w:val="0"/>
        <w:jc w:val="both"/>
        <w:rPr>
          <w:rFonts w:ascii="Verdana" w:eastAsia="Verdana" w:hAnsi="Verdana" w:cs="Verdana"/>
          <w:spacing w:val="-4"/>
          <w:sz w:val="20"/>
          <w:szCs w:val="20"/>
          <w:lang w:val="es-CR"/>
        </w:rPr>
      </w:pPr>
    </w:p>
    <w:p w14:paraId="59BBD404" w14:textId="77777777" w:rsidR="00C27371" w:rsidRPr="00C6508C" w:rsidRDefault="00C27371" w:rsidP="00EC3BA4">
      <w:pPr>
        <w:pStyle w:val="Prrafodelista"/>
        <w:spacing w:before="120" w:after="120" w:line="240" w:lineRule="auto"/>
        <w:ind w:left="0"/>
        <w:contextualSpacing w:val="0"/>
        <w:jc w:val="both"/>
        <w:rPr>
          <w:rFonts w:ascii="Verdana" w:eastAsia="Verdana" w:hAnsi="Verdana" w:cs="Verdana"/>
          <w:spacing w:val="-4"/>
          <w:sz w:val="20"/>
          <w:szCs w:val="20"/>
          <w:lang w:val="es-CR"/>
        </w:rPr>
      </w:pPr>
    </w:p>
    <w:p w14:paraId="699E9837" w14:textId="2019BE43" w:rsidR="00E56F26" w:rsidRDefault="00EC3BA4" w:rsidP="00EC3BA4">
      <w:pPr>
        <w:pStyle w:val="Prrafodelista"/>
        <w:spacing w:before="120" w:after="120" w:line="240" w:lineRule="auto"/>
        <w:ind w:left="0"/>
        <w:contextualSpacing w:val="0"/>
        <w:jc w:val="both"/>
        <w:rPr>
          <w:rFonts w:ascii="Verdana" w:hAnsi="Verdana"/>
          <w:sz w:val="20"/>
          <w:szCs w:val="20"/>
          <w:lang w:val="es-ES"/>
        </w:rPr>
      </w:pPr>
      <w:r w:rsidRPr="00C6508C">
        <w:rPr>
          <w:rFonts w:ascii="Verdana" w:hAnsi="Verdana"/>
          <w:sz w:val="20"/>
          <w:szCs w:val="20"/>
          <w:lang w:val="es-ES"/>
        </w:rPr>
        <w:t xml:space="preserve">El Juez Eduardo Vio Grossi hizo conocer a la Corte su Voto </w:t>
      </w:r>
      <w:r w:rsidRPr="005F4642">
        <w:rPr>
          <w:rFonts w:ascii="Verdana" w:hAnsi="Verdana"/>
          <w:sz w:val="20"/>
          <w:szCs w:val="20"/>
          <w:lang w:val="es-ES"/>
        </w:rPr>
        <w:t>Concurrente</w:t>
      </w:r>
      <w:r w:rsidRPr="00C6508C">
        <w:rPr>
          <w:rFonts w:ascii="Verdana" w:hAnsi="Verdana"/>
          <w:sz w:val="20"/>
          <w:szCs w:val="20"/>
          <w:lang w:val="es-ES"/>
        </w:rPr>
        <w:t>, el cual acompaña la presente Resolución.</w:t>
      </w:r>
      <w:r w:rsidR="00791B15" w:rsidRPr="00C6508C">
        <w:rPr>
          <w:rFonts w:ascii="Verdana" w:hAnsi="Verdana"/>
          <w:sz w:val="20"/>
          <w:szCs w:val="20"/>
          <w:lang w:val="es-ES"/>
        </w:rPr>
        <w:t xml:space="preserve"> </w:t>
      </w:r>
    </w:p>
    <w:p w14:paraId="16A4C7A4" w14:textId="77777777" w:rsidR="00E56F26" w:rsidRDefault="00E56F26">
      <w:pPr>
        <w:spacing w:after="160" w:line="259" w:lineRule="auto"/>
        <w:rPr>
          <w:rFonts w:ascii="Verdana" w:eastAsiaTheme="minorHAnsi" w:hAnsi="Verdana" w:cstheme="minorBidi"/>
          <w:sz w:val="20"/>
          <w:szCs w:val="20"/>
          <w:lang w:val="es-ES"/>
        </w:rPr>
      </w:pPr>
      <w:r>
        <w:rPr>
          <w:rFonts w:ascii="Verdana" w:hAnsi="Verdana"/>
          <w:sz w:val="20"/>
          <w:szCs w:val="20"/>
          <w:lang w:val="es-ES"/>
        </w:rPr>
        <w:br w:type="page"/>
      </w:r>
    </w:p>
    <w:p w14:paraId="28855B5B" w14:textId="77777777" w:rsidR="00E56F26" w:rsidRPr="00E56F26" w:rsidRDefault="00E56F26" w:rsidP="00E56F26">
      <w:pPr>
        <w:jc w:val="both"/>
        <w:rPr>
          <w:rFonts w:ascii="Verdana" w:eastAsia="Times" w:hAnsi="Verdana"/>
          <w:sz w:val="20"/>
          <w:szCs w:val="20"/>
          <w:lang w:val="es-ES"/>
        </w:rPr>
      </w:pPr>
      <w:r w:rsidRPr="00E56F26">
        <w:rPr>
          <w:rFonts w:ascii="Verdana" w:eastAsia="Times" w:hAnsi="Verdana"/>
          <w:i/>
          <w:sz w:val="20"/>
          <w:szCs w:val="20"/>
          <w:lang w:val="es-ES"/>
        </w:rPr>
        <w:lastRenderedPageBreak/>
        <w:t xml:space="preserve">Corte IDH. Caso </w:t>
      </w:r>
      <w:r w:rsidRPr="00E56F26">
        <w:rPr>
          <w:rFonts w:ascii="Verdana" w:eastAsia="Times" w:hAnsi="Verdana"/>
          <w:i/>
          <w:iCs/>
          <w:sz w:val="20"/>
          <w:szCs w:val="20"/>
          <w:lang w:val="es-CR"/>
        </w:rPr>
        <w:t xml:space="preserve">Petro Urrego Vs. Colombia. Solicitud de Medidas Provisionales y </w:t>
      </w:r>
      <w:r w:rsidRPr="00E56F26">
        <w:rPr>
          <w:rFonts w:ascii="Verdana" w:eastAsia="Times" w:hAnsi="Verdana" w:cs="Arial"/>
          <w:i/>
          <w:sz w:val="20"/>
          <w:szCs w:val="20"/>
          <w:lang w:val="es-CR"/>
        </w:rPr>
        <w:t>Supervisión de Cumplimiento de Sentencia</w:t>
      </w:r>
      <w:r w:rsidRPr="00E56F26">
        <w:rPr>
          <w:rFonts w:ascii="Verdana" w:eastAsia="Times" w:hAnsi="Verdana"/>
          <w:iCs/>
          <w:sz w:val="20"/>
          <w:szCs w:val="20"/>
          <w:lang w:val="es-CR"/>
        </w:rPr>
        <w:t>. Resolución de la Corte Interamericana de Derechos Humanos de 24 de junio de 2021.  Resolución adoptada en San José de Costa Rica por medio de sesión virtual.</w:t>
      </w:r>
    </w:p>
    <w:p w14:paraId="1F0E6FCD" w14:textId="77777777" w:rsidR="00E56F26" w:rsidRPr="00E56F26" w:rsidRDefault="00E56F26" w:rsidP="00E56F26">
      <w:pPr>
        <w:jc w:val="both"/>
        <w:rPr>
          <w:rFonts w:ascii="Verdana" w:eastAsia="Times" w:hAnsi="Verdana"/>
          <w:sz w:val="20"/>
          <w:szCs w:val="20"/>
          <w:lang w:val="es-ES"/>
        </w:rPr>
      </w:pPr>
    </w:p>
    <w:p w14:paraId="07E3D8BA" w14:textId="77777777" w:rsidR="00E56F26" w:rsidRPr="00E56F26" w:rsidRDefault="00E56F26" w:rsidP="00E56F26">
      <w:pPr>
        <w:jc w:val="both"/>
        <w:rPr>
          <w:rFonts w:ascii="Verdana" w:eastAsia="Times" w:hAnsi="Verdana"/>
          <w:strike/>
          <w:sz w:val="20"/>
          <w:szCs w:val="20"/>
          <w:lang w:val="es-ES"/>
        </w:rPr>
      </w:pPr>
    </w:p>
    <w:p w14:paraId="4AFE1576" w14:textId="77777777" w:rsidR="00E56F26" w:rsidRPr="00E56F26" w:rsidRDefault="00E56F26" w:rsidP="00E56F26">
      <w:pPr>
        <w:jc w:val="center"/>
        <w:rPr>
          <w:rFonts w:ascii="Verdana" w:eastAsia="Times" w:hAnsi="Verdana"/>
          <w:sz w:val="20"/>
          <w:szCs w:val="20"/>
          <w:lang w:val="pt-BR"/>
        </w:rPr>
      </w:pPr>
    </w:p>
    <w:p w14:paraId="108A2B0F" w14:textId="77777777" w:rsidR="00E56F26" w:rsidRPr="00E56F26" w:rsidRDefault="00E56F26" w:rsidP="00E56F26">
      <w:pPr>
        <w:jc w:val="center"/>
        <w:rPr>
          <w:rFonts w:ascii="Verdana" w:eastAsia="Times" w:hAnsi="Verdana"/>
          <w:sz w:val="20"/>
          <w:szCs w:val="20"/>
          <w:lang w:val="pt-BR"/>
        </w:rPr>
      </w:pPr>
    </w:p>
    <w:p w14:paraId="1FA2941A" w14:textId="77777777" w:rsidR="00E56F26" w:rsidRPr="00E56F26" w:rsidRDefault="00E56F26" w:rsidP="00E56F26">
      <w:pPr>
        <w:jc w:val="center"/>
        <w:rPr>
          <w:rFonts w:ascii="Verdana" w:eastAsia="Times" w:hAnsi="Verdana"/>
          <w:sz w:val="20"/>
          <w:szCs w:val="20"/>
          <w:lang w:val="pt-BR"/>
        </w:rPr>
      </w:pPr>
    </w:p>
    <w:p w14:paraId="3B185F05" w14:textId="77777777" w:rsidR="00E56F26" w:rsidRPr="00E56F26" w:rsidRDefault="00E56F26" w:rsidP="00E56F26">
      <w:pPr>
        <w:jc w:val="center"/>
        <w:rPr>
          <w:rFonts w:ascii="Verdana" w:eastAsia="Times" w:hAnsi="Verdana"/>
          <w:sz w:val="20"/>
          <w:szCs w:val="20"/>
          <w:lang w:val="pt-BR"/>
        </w:rPr>
      </w:pPr>
    </w:p>
    <w:p w14:paraId="310217C9" w14:textId="77777777" w:rsidR="00E56F26" w:rsidRPr="00E56F26" w:rsidRDefault="00E56F26" w:rsidP="00E56F26">
      <w:pPr>
        <w:jc w:val="center"/>
        <w:rPr>
          <w:rFonts w:ascii="Verdana" w:eastAsia="Times" w:hAnsi="Verdana"/>
          <w:sz w:val="20"/>
          <w:szCs w:val="20"/>
          <w:lang w:val="pt-BR"/>
        </w:rPr>
      </w:pPr>
      <w:r w:rsidRPr="00E56F26">
        <w:rPr>
          <w:rFonts w:ascii="Verdana" w:eastAsia="Times" w:hAnsi="Verdana"/>
          <w:sz w:val="20"/>
          <w:szCs w:val="20"/>
          <w:lang w:val="pt-BR"/>
        </w:rPr>
        <w:t xml:space="preserve">Elizabeth </w:t>
      </w:r>
      <w:proofErr w:type="spellStart"/>
      <w:r w:rsidRPr="00E56F26">
        <w:rPr>
          <w:rFonts w:ascii="Verdana" w:eastAsia="Times" w:hAnsi="Verdana"/>
          <w:sz w:val="20"/>
          <w:szCs w:val="20"/>
          <w:lang w:val="pt-BR"/>
        </w:rPr>
        <w:t>Odio</w:t>
      </w:r>
      <w:proofErr w:type="spellEnd"/>
      <w:r w:rsidRPr="00E56F26">
        <w:rPr>
          <w:rFonts w:ascii="Verdana" w:eastAsia="Times" w:hAnsi="Verdana"/>
          <w:sz w:val="20"/>
          <w:szCs w:val="20"/>
          <w:lang w:val="pt-BR"/>
        </w:rPr>
        <w:t xml:space="preserve"> Benito</w:t>
      </w:r>
    </w:p>
    <w:p w14:paraId="3857531C" w14:textId="77777777" w:rsidR="00E56F26" w:rsidRPr="00E56F26" w:rsidRDefault="00E56F26" w:rsidP="00E56F26">
      <w:pPr>
        <w:jc w:val="center"/>
        <w:rPr>
          <w:rFonts w:ascii="Verdana" w:eastAsia="Times" w:hAnsi="Verdana"/>
          <w:sz w:val="20"/>
          <w:szCs w:val="20"/>
          <w:lang w:val="pt-BR"/>
        </w:rPr>
      </w:pPr>
      <w:r w:rsidRPr="00E56F26">
        <w:rPr>
          <w:rFonts w:ascii="Verdana" w:eastAsia="Times" w:hAnsi="Verdana"/>
          <w:sz w:val="20"/>
          <w:szCs w:val="20"/>
          <w:lang w:val="pt-BR"/>
        </w:rPr>
        <w:t>Presidenta</w:t>
      </w:r>
    </w:p>
    <w:p w14:paraId="091C31E4" w14:textId="77777777" w:rsidR="00E56F26" w:rsidRPr="00E56F26" w:rsidRDefault="00E56F26" w:rsidP="00E56F26">
      <w:pPr>
        <w:jc w:val="center"/>
        <w:rPr>
          <w:rFonts w:ascii="Verdana" w:eastAsia="Times" w:hAnsi="Verdana"/>
          <w:sz w:val="20"/>
          <w:szCs w:val="20"/>
          <w:lang w:val="pt-BR"/>
        </w:rPr>
      </w:pPr>
    </w:p>
    <w:p w14:paraId="19B2ADB4" w14:textId="77777777" w:rsidR="00E56F26" w:rsidRPr="00E56F26" w:rsidRDefault="00E56F26" w:rsidP="00E56F26">
      <w:pPr>
        <w:jc w:val="center"/>
        <w:rPr>
          <w:rFonts w:ascii="Verdana" w:eastAsia="Times" w:hAnsi="Verdana"/>
          <w:sz w:val="20"/>
          <w:szCs w:val="20"/>
          <w:lang w:val="pt-BR"/>
        </w:rPr>
      </w:pPr>
    </w:p>
    <w:p w14:paraId="76BE9CDE" w14:textId="77777777" w:rsidR="00E56F26" w:rsidRPr="00E56F26" w:rsidRDefault="00E56F26" w:rsidP="00E56F26">
      <w:pPr>
        <w:rPr>
          <w:rFonts w:ascii="Verdana" w:eastAsia="Times" w:hAnsi="Verdana"/>
          <w:sz w:val="20"/>
          <w:szCs w:val="20"/>
          <w:lang w:val="pt-BR"/>
        </w:rPr>
      </w:pPr>
    </w:p>
    <w:p w14:paraId="0994DF9F" w14:textId="77777777" w:rsidR="00E56F26" w:rsidRPr="00E56F26" w:rsidRDefault="00E56F26" w:rsidP="00E56F26">
      <w:pPr>
        <w:rPr>
          <w:rFonts w:ascii="Verdana" w:eastAsia="Times" w:hAnsi="Verdana"/>
          <w:sz w:val="20"/>
          <w:szCs w:val="20"/>
          <w:lang w:val="pt-BR"/>
        </w:rPr>
      </w:pPr>
    </w:p>
    <w:p w14:paraId="2F538AB0" w14:textId="3C1035DB" w:rsidR="00E56F26" w:rsidRPr="00E56F26" w:rsidRDefault="00E56F26" w:rsidP="00E56F26">
      <w:pPr>
        <w:rPr>
          <w:rFonts w:ascii="Verdana" w:eastAsia="Times" w:hAnsi="Verdana"/>
          <w:sz w:val="20"/>
          <w:szCs w:val="20"/>
          <w:lang w:val="pt-BR"/>
        </w:rPr>
      </w:pPr>
      <w:r w:rsidRPr="00E56F26">
        <w:rPr>
          <w:rFonts w:ascii="Verdana" w:eastAsia="Times" w:hAnsi="Verdana"/>
          <w:sz w:val="20"/>
          <w:szCs w:val="20"/>
          <w:lang w:val="pt-BR"/>
        </w:rPr>
        <w:t>L. Patricio Pazmiño Freire</w:t>
      </w:r>
      <w:r>
        <w:rPr>
          <w:rFonts w:ascii="Verdana" w:eastAsia="Times" w:hAnsi="Verdana"/>
          <w:sz w:val="20"/>
          <w:szCs w:val="20"/>
          <w:lang w:val="pt-BR"/>
        </w:rPr>
        <w:tab/>
      </w:r>
      <w:r>
        <w:rPr>
          <w:rFonts w:ascii="Verdana" w:eastAsia="Times" w:hAnsi="Verdana"/>
          <w:sz w:val="20"/>
          <w:szCs w:val="20"/>
          <w:lang w:val="pt-BR"/>
        </w:rPr>
        <w:tab/>
      </w:r>
      <w:r>
        <w:rPr>
          <w:rFonts w:ascii="Verdana" w:eastAsia="Times" w:hAnsi="Verdana"/>
          <w:sz w:val="20"/>
          <w:szCs w:val="20"/>
          <w:lang w:val="pt-BR"/>
        </w:rPr>
        <w:tab/>
      </w:r>
      <w:r>
        <w:rPr>
          <w:rFonts w:ascii="Verdana" w:eastAsia="Times" w:hAnsi="Verdana"/>
          <w:sz w:val="20"/>
          <w:szCs w:val="20"/>
          <w:lang w:val="pt-BR"/>
        </w:rPr>
        <w:tab/>
      </w:r>
      <w:r>
        <w:rPr>
          <w:rFonts w:ascii="Verdana" w:eastAsia="Times" w:hAnsi="Verdana"/>
          <w:sz w:val="20"/>
          <w:szCs w:val="20"/>
          <w:lang w:val="pt-BR"/>
        </w:rPr>
        <w:tab/>
      </w:r>
      <w:r>
        <w:rPr>
          <w:rFonts w:ascii="Verdana" w:eastAsia="Times" w:hAnsi="Verdana"/>
          <w:sz w:val="20"/>
          <w:szCs w:val="20"/>
          <w:lang w:val="pt-BR"/>
        </w:rPr>
        <w:tab/>
      </w:r>
      <w:r w:rsidRPr="00E56F26">
        <w:rPr>
          <w:rFonts w:ascii="Verdana" w:eastAsia="Times" w:hAnsi="Verdana"/>
          <w:sz w:val="20"/>
          <w:szCs w:val="20"/>
          <w:lang w:val="pt-BR"/>
        </w:rPr>
        <w:t>Eduardo Vio Grossi</w:t>
      </w:r>
    </w:p>
    <w:p w14:paraId="32FC570F" w14:textId="77777777" w:rsidR="00E56F26" w:rsidRPr="00E56F26" w:rsidRDefault="00E56F26" w:rsidP="00E56F26">
      <w:pPr>
        <w:rPr>
          <w:rFonts w:ascii="Verdana" w:eastAsia="Times" w:hAnsi="Verdana"/>
          <w:sz w:val="20"/>
          <w:szCs w:val="20"/>
          <w:lang w:val="pt-BR"/>
        </w:rPr>
      </w:pPr>
    </w:p>
    <w:p w14:paraId="15A49B1E" w14:textId="77777777" w:rsidR="00E56F26" w:rsidRPr="00E56F26" w:rsidRDefault="00E56F26" w:rsidP="00E56F26">
      <w:pPr>
        <w:rPr>
          <w:rFonts w:ascii="Verdana" w:eastAsia="Times" w:hAnsi="Verdana"/>
          <w:sz w:val="20"/>
          <w:szCs w:val="20"/>
          <w:lang w:val="pt-BR"/>
        </w:rPr>
      </w:pPr>
    </w:p>
    <w:p w14:paraId="66DF7802" w14:textId="77777777" w:rsidR="00E56F26" w:rsidRPr="00E56F26" w:rsidRDefault="00E56F26" w:rsidP="00E56F26">
      <w:pPr>
        <w:rPr>
          <w:rFonts w:ascii="Verdana" w:eastAsia="Times" w:hAnsi="Verdana"/>
          <w:sz w:val="20"/>
          <w:szCs w:val="20"/>
          <w:lang w:val="pt-BR"/>
        </w:rPr>
      </w:pPr>
    </w:p>
    <w:p w14:paraId="260BC1B7" w14:textId="77777777" w:rsidR="00E56F26" w:rsidRPr="00E56F26" w:rsidRDefault="00E56F26" w:rsidP="00E56F26">
      <w:pPr>
        <w:rPr>
          <w:rFonts w:ascii="Verdana" w:eastAsia="Times" w:hAnsi="Verdana"/>
          <w:sz w:val="20"/>
          <w:szCs w:val="20"/>
          <w:lang w:val="pt-BR"/>
        </w:rPr>
      </w:pPr>
    </w:p>
    <w:p w14:paraId="2C134CEB" w14:textId="77777777" w:rsidR="00E56F26" w:rsidRPr="00E56F26" w:rsidRDefault="00E56F26" w:rsidP="00E56F26">
      <w:pPr>
        <w:rPr>
          <w:rFonts w:ascii="Verdana" w:eastAsia="Times" w:hAnsi="Verdana"/>
          <w:sz w:val="20"/>
          <w:szCs w:val="20"/>
          <w:lang w:val="pt-BR"/>
        </w:rPr>
      </w:pPr>
    </w:p>
    <w:p w14:paraId="7B7A9920" w14:textId="296D727A" w:rsidR="00E56F26" w:rsidRPr="00E56F26" w:rsidRDefault="00E56F26" w:rsidP="00E56F26">
      <w:pPr>
        <w:rPr>
          <w:rFonts w:ascii="Verdana" w:eastAsia="Times" w:hAnsi="Verdana"/>
          <w:sz w:val="20"/>
          <w:szCs w:val="20"/>
          <w:lang w:val="pt-BR"/>
        </w:rPr>
      </w:pPr>
      <w:r w:rsidRPr="00E56F26">
        <w:rPr>
          <w:rFonts w:ascii="Verdana" w:eastAsia="Times" w:hAnsi="Verdana"/>
          <w:sz w:val="20"/>
          <w:szCs w:val="20"/>
          <w:lang w:val="pt-BR"/>
        </w:rPr>
        <w:t xml:space="preserve">Eduardo Ferrer </w:t>
      </w:r>
      <w:proofErr w:type="spellStart"/>
      <w:r w:rsidRPr="00E56F26">
        <w:rPr>
          <w:rFonts w:ascii="Verdana" w:eastAsia="Times" w:hAnsi="Verdana"/>
          <w:sz w:val="20"/>
          <w:szCs w:val="20"/>
          <w:lang w:val="pt-BR"/>
        </w:rPr>
        <w:t>Mac-Gregor</w:t>
      </w:r>
      <w:proofErr w:type="spellEnd"/>
      <w:r w:rsidRPr="00E56F26">
        <w:rPr>
          <w:rFonts w:ascii="Verdana" w:eastAsia="Times" w:hAnsi="Verdana"/>
          <w:sz w:val="20"/>
          <w:szCs w:val="20"/>
          <w:lang w:val="pt-BR"/>
        </w:rPr>
        <w:t xml:space="preserve"> </w:t>
      </w:r>
      <w:proofErr w:type="spellStart"/>
      <w:r w:rsidRPr="00E56F26">
        <w:rPr>
          <w:rFonts w:ascii="Verdana" w:eastAsia="Times" w:hAnsi="Verdana"/>
          <w:sz w:val="20"/>
          <w:szCs w:val="20"/>
          <w:lang w:val="pt-BR"/>
        </w:rPr>
        <w:t>Poisot</w:t>
      </w:r>
      <w:proofErr w:type="spellEnd"/>
      <w:r w:rsidRPr="00E56F26">
        <w:rPr>
          <w:rFonts w:ascii="Verdana" w:eastAsia="Times" w:hAnsi="Verdana"/>
          <w:sz w:val="20"/>
          <w:szCs w:val="20"/>
          <w:lang w:val="pt-BR"/>
        </w:rPr>
        <w:tab/>
        <w:t xml:space="preserve">                           </w:t>
      </w:r>
      <w:r>
        <w:rPr>
          <w:rFonts w:ascii="Verdana" w:eastAsia="Times" w:hAnsi="Verdana"/>
          <w:sz w:val="20"/>
          <w:szCs w:val="20"/>
          <w:lang w:val="pt-BR"/>
        </w:rPr>
        <w:t xml:space="preserve">    </w:t>
      </w:r>
      <w:r w:rsidRPr="00E56F26">
        <w:rPr>
          <w:rFonts w:ascii="Verdana" w:eastAsia="Times" w:hAnsi="Verdana"/>
          <w:sz w:val="20"/>
          <w:szCs w:val="20"/>
          <w:lang w:val="pt-BR"/>
        </w:rPr>
        <w:t xml:space="preserve">           Eugenio </w:t>
      </w:r>
      <w:proofErr w:type="spellStart"/>
      <w:r w:rsidRPr="00E56F26">
        <w:rPr>
          <w:rFonts w:ascii="Verdana" w:eastAsia="Times" w:hAnsi="Verdana"/>
          <w:sz w:val="20"/>
          <w:szCs w:val="20"/>
          <w:lang w:val="pt-BR"/>
        </w:rPr>
        <w:t>Raúl</w:t>
      </w:r>
      <w:proofErr w:type="spellEnd"/>
      <w:r w:rsidRPr="00E56F26">
        <w:rPr>
          <w:rFonts w:ascii="Verdana" w:eastAsia="Times" w:hAnsi="Verdana"/>
          <w:sz w:val="20"/>
          <w:szCs w:val="20"/>
          <w:lang w:val="pt-BR"/>
        </w:rPr>
        <w:t xml:space="preserve"> </w:t>
      </w:r>
      <w:proofErr w:type="spellStart"/>
      <w:r w:rsidRPr="00E56F26">
        <w:rPr>
          <w:rFonts w:ascii="Verdana" w:eastAsia="Times" w:hAnsi="Verdana"/>
          <w:sz w:val="20"/>
          <w:szCs w:val="20"/>
          <w:lang w:val="pt-BR"/>
        </w:rPr>
        <w:t>Zaffaroni</w:t>
      </w:r>
      <w:proofErr w:type="spellEnd"/>
      <w:r w:rsidRPr="00E56F26">
        <w:rPr>
          <w:rFonts w:ascii="Verdana" w:eastAsia="Times" w:hAnsi="Verdana"/>
          <w:sz w:val="20"/>
          <w:szCs w:val="20"/>
          <w:lang w:val="pt-BR"/>
        </w:rPr>
        <w:tab/>
      </w:r>
      <w:r w:rsidRPr="00E56F26">
        <w:rPr>
          <w:rFonts w:ascii="Verdana" w:eastAsia="Times" w:hAnsi="Verdana"/>
          <w:sz w:val="20"/>
          <w:szCs w:val="20"/>
          <w:lang w:val="pt-BR"/>
        </w:rPr>
        <w:tab/>
      </w:r>
      <w:r w:rsidRPr="00E56F26">
        <w:rPr>
          <w:rFonts w:ascii="Verdana" w:eastAsia="Times" w:hAnsi="Verdana"/>
          <w:sz w:val="20"/>
          <w:szCs w:val="20"/>
          <w:lang w:val="pt-BR"/>
        </w:rPr>
        <w:tab/>
        <w:t xml:space="preserve">                                  </w:t>
      </w:r>
    </w:p>
    <w:p w14:paraId="295164F3" w14:textId="77777777" w:rsidR="00E56F26" w:rsidRPr="00E56F26" w:rsidRDefault="00E56F26" w:rsidP="00E56F26">
      <w:pPr>
        <w:rPr>
          <w:rFonts w:ascii="Verdana" w:eastAsia="Times" w:hAnsi="Verdana"/>
          <w:sz w:val="20"/>
          <w:szCs w:val="20"/>
          <w:lang w:val="pt-BR"/>
        </w:rPr>
      </w:pPr>
    </w:p>
    <w:p w14:paraId="329A8FBA" w14:textId="77777777" w:rsidR="00E56F26" w:rsidRPr="00E56F26" w:rsidRDefault="00E56F26" w:rsidP="00E56F26">
      <w:pPr>
        <w:rPr>
          <w:rFonts w:ascii="Verdana" w:eastAsia="Times" w:hAnsi="Verdana"/>
          <w:sz w:val="20"/>
          <w:szCs w:val="20"/>
          <w:lang w:val="pt-BR"/>
        </w:rPr>
      </w:pPr>
    </w:p>
    <w:p w14:paraId="6E88970D" w14:textId="77777777" w:rsidR="00E56F26" w:rsidRPr="00E56F26" w:rsidRDefault="00E56F26" w:rsidP="00E56F26">
      <w:pPr>
        <w:rPr>
          <w:rFonts w:ascii="Verdana" w:eastAsia="Times" w:hAnsi="Verdana"/>
          <w:sz w:val="20"/>
          <w:szCs w:val="20"/>
          <w:lang w:val="pt-BR"/>
        </w:rPr>
      </w:pPr>
    </w:p>
    <w:p w14:paraId="0917CEAE" w14:textId="77777777" w:rsidR="00E56F26" w:rsidRPr="00E56F26" w:rsidRDefault="00E56F26" w:rsidP="00E56F26">
      <w:pPr>
        <w:rPr>
          <w:rFonts w:ascii="Verdana" w:eastAsia="Times" w:hAnsi="Verdana"/>
          <w:sz w:val="20"/>
          <w:szCs w:val="20"/>
          <w:lang w:val="pt-BR"/>
        </w:rPr>
      </w:pPr>
    </w:p>
    <w:p w14:paraId="71608D8C" w14:textId="77777777" w:rsidR="00E56F26" w:rsidRPr="00E56F26" w:rsidRDefault="00E56F26" w:rsidP="00E56F26">
      <w:pPr>
        <w:jc w:val="center"/>
        <w:rPr>
          <w:rFonts w:ascii="Verdana" w:eastAsia="Times" w:hAnsi="Verdana"/>
          <w:sz w:val="20"/>
          <w:szCs w:val="20"/>
          <w:lang w:val="pt-BR"/>
        </w:rPr>
      </w:pPr>
      <w:r w:rsidRPr="00E56F26">
        <w:rPr>
          <w:rFonts w:ascii="Verdana" w:eastAsia="Times" w:hAnsi="Verdana"/>
          <w:sz w:val="20"/>
          <w:szCs w:val="20"/>
          <w:lang w:val="pt-BR"/>
        </w:rPr>
        <w:t>Ricardo C. Pérez Manrique</w:t>
      </w:r>
    </w:p>
    <w:p w14:paraId="202337BC" w14:textId="77777777" w:rsidR="00E56F26" w:rsidRPr="00E56F26" w:rsidRDefault="00E56F26" w:rsidP="00E56F26">
      <w:pPr>
        <w:jc w:val="both"/>
        <w:rPr>
          <w:rFonts w:ascii="Verdana" w:eastAsia="Times" w:hAnsi="Verdana"/>
          <w:sz w:val="20"/>
          <w:szCs w:val="20"/>
          <w:lang w:val="pt-BR"/>
        </w:rPr>
      </w:pPr>
    </w:p>
    <w:p w14:paraId="021DF527" w14:textId="77777777" w:rsidR="00E56F26" w:rsidRPr="00E56F26" w:rsidRDefault="00E56F26" w:rsidP="00E56F26">
      <w:pPr>
        <w:jc w:val="both"/>
        <w:rPr>
          <w:rFonts w:ascii="Verdana" w:eastAsia="Times" w:hAnsi="Verdana"/>
          <w:sz w:val="20"/>
          <w:szCs w:val="20"/>
          <w:lang w:val="pt-BR"/>
        </w:rPr>
      </w:pPr>
    </w:p>
    <w:p w14:paraId="52528214" w14:textId="77777777" w:rsidR="00E56F26" w:rsidRPr="00E56F26" w:rsidRDefault="00E56F26" w:rsidP="00E56F26">
      <w:pPr>
        <w:jc w:val="both"/>
        <w:rPr>
          <w:rFonts w:ascii="Verdana" w:eastAsia="Times" w:hAnsi="Verdana"/>
          <w:sz w:val="20"/>
          <w:szCs w:val="20"/>
          <w:lang w:val="pt-BR"/>
        </w:rPr>
      </w:pPr>
    </w:p>
    <w:p w14:paraId="425519DA" w14:textId="77777777" w:rsidR="00E56F26" w:rsidRPr="00E56F26" w:rsidRDefault="00E56F26" w:rsidP="00E56F26">
      <w:pPr>
        <w:jc w:val="both"/>
        <w:rPr>
          <w:rFonts w:ascii="Verdana" w:eastAsia="Times" w:hAnsi="Verdana"/>
          <w:sz w:val="20"/>
          <w:szCs w:val="20"/>
          <w:lang w:val="pt-BR"/>
        </w:rPr>
      </w:pPr>
    </w:p>
    <w:p w14:paraId="55CD8FD8" w14:textId="77777777" w:rsidR="00E56F26" w:rsidRPr="00E56F26" w:rsidRDefault="00E56F26" w:rsidP="00E56F26">
      <w:pPr>
        <w:jc w:val="both"/>
        <w:rPr>
          <w:rFonts w:ascii="Verdana" w:eastAsia="Times" w:hAnsi="Verdana"/>
          <w:sz w:val="20"/>
          <w:szCs w:val="20"/>
          <w:lang w:val="pt-BR"/>
        </w:rPr>
      </w:pPr>
    </w:p>
    <w:p w14:paraId="4A142E88" w14:textId="77777777" w:rsidR="00E56F26" w:rsidRPr="00E56F26" w:rsidRDefault="00E56F26" w:rsidP="00E56F26">
      <w:pPr>
        <w:jc w:val="both"/>
        <w:rPr>
          <w:rFonts w:ascii="Verdana" w:eastAsia="Times" w:hAnsi="Verdana"/>
          <w:sz w:val="20"/>
          <w:szCs w:val="20"/>
          <w:lang w:val="pt-BR"/>
        </w:rPr>
      </w:pPr>
    </w:p>
    <w:p w14:paraId="0349E1D0" w14:textId="77777777" w:rsidR="00E56F26" w:rsidRPr="00E56F26" w:rsidRDefault="00E56F26" w:rsidP="00E56F26">
      <w:pPr>
        <w:jc w:val="both"/>
        <w:rPr>
          <w:rFonts w:ascii="Verdana" w:eastAsia="Times" w:hAnsi="Verdana"/>
          <w:sz w:val="20"/>
          <w:szCs w:val="20"/>
          <w:lang w:val="pt-BR"/>
        </w:rPr>
      </w:pPr>
    </w:p>
    <w:p w14:paraId="4468AA33" w14:textId="77777777" w:rsidR="00E56F26" w:rsidRPr="00E56F26" w:rsidRDefault="00E56F26" w:rsidP="00E56F26">
      <w:pPr>
        <w:jc w:val="center"/>
        <w:rPr>
          <w:rFonts w:ascii="Verdana" w:eastAsia="Times" w:hAnsi="Verdana"/>
          <w:sz w:val="20"/>
          <w:szCs w:val="20"/>
          <w:lang w:val="pt-BR"/>
        </w:rPr>
      </w:pPr>
      <w:r w:rsidRPr="00E56F26">
        <w:rPr>
          <w:rFonts w:ascii="Verdana" w:eastAsia="Times" w:hAnsi="Verdana"/>
          <w:sz w:val="20"/>
          <w:szCs w:val="20"/>
          <w:lang w:val="pt-BR"/>
        </w:rPr>
        <w:t>Pablo Saavedra Alessandri</w:t>
      </w:r>
    </w:p>
    <w:p w14:paraId="7E5644DC" w14:textId="77777777" w:rsidR="00E56F26" w:rsidRPr="00E56F26" w:rsidRDefault="00E56F26" w:rsidP="00E56F26">
      <w:pPr>
        <w:jc w:val="center"/>
        <w:rPr>
          <w:rFonts w:ascii="Verdana" w:eastAsia="Times" w:hAnsi="Verdana"/>
          <w:sz w:val="20"/>
          <w:szCs w:val="20"/>
          <w:lang w:val="pt-BR"/>
        </w:rPr>
      </w:pPr>
      <w:r w:rsidRPr="00E56F26">
        <w:rPr>
          <w:rFonts w:ascii="Verdana" w:eastAsia="Times" w:hAnsi="Verdana"/>
          <w:sz w:val="20"/>
          <w:szCs w:val="20"/>
          <w:lang w:val="pt-BR"/>
        </w:rPr>
        <w:t>Secretario</w:t>
      </w:r>
    </w:p>
    <w:p w14:paraId="4E9CB710" w14:textId="77777777" w:rsidR="00E56F26" w:rsidRPr="00E56F26" w:rsidRDefault="00E56F26" w:rsidP="00E56F26">
      <w:pPr>
        <w:jc w:val="both"/>
        <w:rPr>
          <w:rFonts w:ascii="Verdana" w:eastAsia="Times" w:hAnsi="Verdana"/>
          <w:sz w:val="20"/>
          <w:szCs w:val="20"/>
          <w:lang w:val="pt-BR"/>
        </w:rPr>
      </w:pPr>
    </w:p>
    <w:p w14:paraId="6D27C67D" w14:textId="77777777" w:rsidR="00E56F26" w:rsidRPr="00E56F26" w:rsidRDefault="00E56F26" w:rsidP="00E56F26">
      <w:pPr>
        <w:jc w:val="both"/>
        <w:rPr>
          <w:rFonts w:ascii="Verdana" w:eastAsia="Times" w:hAnsi="Verdana"/>
          <w:sz w:val="20"/>
          <w:szCs w:val="20"/>
          <w:lang w:val="pt-BR"/>
        </w:rPr>
      </w:pPr>
    </w:p>
    <w:p w14:paraId="29F695E8" w14:textId="77777777" w:rsidR="00E56F26" w:rsidRPr="00E56F26" w:rsidRDefault="00E56F26" w:rsidP="00E56F26">
      <w:pPr>
        <w:jc w:val="both"/>
        <w:rPr>
          <w:rFonts w:ascii="Verdana" w:eastAsia="Times" w:hAnsi="Verdana"/>
          <w:sz w:val="20"/>
          <w:szCs w:val="20"/>
          <w:lang w:val="pt-BR"/>
        </w:rPr>
      </w:pPr>
      <w:proofErr w:type="spellStart"/>
      <w:r w:rsidRPr="00E56F26">
        <w:rPr>
          <w:rFonts w:ascii="Verdana" w:eastAsia="Times" w:hAnsi="Verdana"/>
          <w:sz w:val="20"/>
          <w:szCs w:val="20"/>
          <w:lang w:val="pt-BR"/>
        </w:rPr>
        <w:t>Comuníquese</w:t>
      </w:r>
      <w:proofErr w:type="spellEnd"/>
      <w:r w:rsidRPr="00E56F26">
        <w:rPr>
          <w:rFonts w:ascii="Verdana" w:eastAsia="Times" w:hAnsi="Verdana"/>
          <w:sz w:val="20"/>
          <w:szCs w:val="20"/>
          <w:lang w:val="pt-BR"/>
        </w:rPr>
        <w:t xml:space="preserve"> y </w:t>
      </w:r>
      <w:proofErr w:type="spellStart"/>
      <w:r w:rsidRPr="00E56F26">
        <w:rPr>
          <w:rFonts w:ascii="Verdana" w:eastAsia="Times" w:hAnsi="Verdana"/>
          <w:sz w:val="20"/>
          <w:szCs w:val="20"/>
          <w:lang w:val="pt-BR"/>
        </w:rPr>
        <w:t>ejecútese</w:t>
      </w:r>
      <w:proofErr w:type="spellEnd"/>
      <w:r w:rsidRPr="00E56F26">
        <w:rPr>
          <w:rFonts w:ascii="Verdana" w:eastAsia="Times" w:hAnsi="Verdana"/>
          <w:sz w:val="20"/>
          <w:szCs w:val="20"/>
          <w:lang w:val="pt-BR"/>
        </w:rPr>
        <w:t>,</w:t>
      </w:r>
    </w:p>
    <w:p w14:paraId="73E1BFB8" w14:textId="77777777" w:rsidR="00E56F26" w:rsidRPr="00E56F26" w:rsidRDefault="00E56F26" w:rsidP="00E56F26">
      <w:pPr>
        <w:rPr>
          <w:rFonts w:ascii="Verdana" w:eastAsia="Times" w:hAnsi="Verdana"/>
          <w:sz w:val="20"/>
          <w:szCs w:val="20"/>
          <w:lang w:val="pt-BR"/>
        </w:rPr>
      </w:pPr>
    </w:p>
    <w:p w14:paraId="3684D8E6" w14:textId="77777777" w:rsidR="00E56F26" w:rsidRPr="00E56F26" w:rsidRDefault="00E56F26" w:rsidP="00E56F26">
      <w:pPr>
        <w:jc w:val="center"/>
        <w:rPr>
          <w:rFonts w:ascii="Verdana" w:eastAsia="Times" w:hAnsi="Verdana"/>
          <w:sz w:val="20"/>
          <w:szCs w:val="20"/>
          <w:lang w:val="pt-BR"/>
        </w:rPr>
      </w:pPr>
    </w:p>
    <w:p w14:paraId="2181CE7E" w14:textId="77777777" w:rsidR="00E56F26" w:rsidRPr="00E56F26" w:rsidRDefault="00E56F26" w:rsidP="00E56F26">
      <w:pPr>
        <w:jc w:val="right"/>
        <w:rPr>
          <w:rFonts w:ascii="Verdana" w:eastAsia="Times" w:hAnsi="Verdana"/>
          <w:sz w:val="20"/>
          <w:szCs w:val="20"/>
          <w:lang w:val="pt-BR"/>
        </w:rPr>
      </w:pPr>
    </w:p>
    <w:p w14:paraId="0BDB7093" w14:textId="4DEAB2D1" w:rsidR="00E56F26" w:rsidRPr="00E56F26" w:rsidRDefault="00E56F26" w:rsidP="00E56F26">
      <w:pPr>
        <w:jc w:val="center"/>
        <w:rPr>
          <w:rFonts w:ascii="Verdana" w:eastAsia="Times" w:hAnsi="Verdana"/>
          <w:sz w:val="20"/>
          <w:szCs w:val="20"/>
          <w:lang w:val="pt-BR"/>
        </w:rPr>
      </w:pPr>
      <w:r w:rsidRPr="00E56F26">
        <w:rPr>
          <w:rFonts w:ascii="Verdana" w:eastAsia="Times" w:hAnsi="Verdana"/>
          <w:sz w:val="20"/>
          <w:szCs w:val="20"/>
          <w:lang w:val="pt-BR"/>
        </w:rPr>
        <w:t xml:space="preserve">                                                                                    </w:t>
      </w:r>
      <w:r>
        <w:rPr>
          <w:rFonts w:ascii="Verdana" w:eastAsia="Times" w:hAnsi="Verdana"/>
          <w:sz w:val="20"/>
          <w:szCs w:val="20"/>
          <w:lang w:val="pt-BR"/>
        </w:rPr>
        <w:t xml:space="preserve">     </w:t>
      </w:r>
      <w:r w:rsidRPr="00E56F26">
        <w:rPr>
          <w:rFonts w:ascii="Verdana" w:eastAsia="Times" w:hAnsi="Verdana"/>
          <w:sz w:val="20"/>
          <w:szCs w:val="20"/>
          <w:lang w:val="pt-BR"/>
        </w:rPr>
        <w:t xml:space="preserve">      Elizabeth </w:t>
      </w:r>
      <w:proofErr w:type="spellStart"/>
      <w:r w:rsidRPr="00E56F26">
        <w:rPr>
          <w:rFonts w:ascii="Verdana" w:eastAsia="Times" w:hAnsi="Verdana"/>
          <w:sz w:val="20"/>
          <w:szCs w:val="20"/>
          <w:lang w:val="pt-BR"/>
        </w:rPr>
        <w:t>Odio</w:t>
      </w:r>
      <w:proofErr w:type="spellEnd"/>
      <w:r w:rsidRPr="00E56F26">
        <w:rPr>
          <w:rFonts w:ascii="Verdana" w:eastAsia="Times" w:hAnsi="Verdana"/>
          <w:sz w:val="20"/>
          <w:szCs w:val="20"/>
          <w:lang w:val="pt-BR"/>
        </w:rPr>
        <w:t xml:space="preserve"> Benito</w:t>
      </w:r>
    </w:p>
    <w:p w14:paraId="7C7A5EBD" w14:textId="1016C033" w:rsidR="00E56F26" w:rsidRPr="00E56F26" w:rsidRDefault="00E56F26" w:rsidP="00E56F26">
      <w:pPr>
        <w:ind w:left="6480" w:firstLine="720"/>
        <w:rPr>
          <w:rFonts w:ascii="Verdana" w:eastAsia="Times" w:hAnsi="Verdana"/>
          <w:sz w:val="20"/>
          <w:szCs w:val="20"/>
          <w:lang w:val="pt-BR"/>
        </w:rPr>
      </w:pPr>
      <w:r>
        <w:rPr>
          <w:rFonts w:ascii="Verdana" w:eastAsia="Times" w:hAnsi="Verdana"/>
          <w:sz w:val="20"/>
          <w:szCs w:val="20"/>
          <w:lang w:val="pt-BR"/>
        </w:rPr>
        <w:t xml:space="preserve">  </w:t>
      </w:r>
      <w:r w:rsidRPr="00E56F26">
        <w:rPr>
          <w:rFonts w:ascii="Verdana" w:eastAsia="Times" w:hAnsi="Verdana"/>
          <w:sz w:val="20"/>
          <w:szCs w:val="20"/>
          <w:lang w:val="pt-BR"/>
        </w:rPr>
        <w:t>Presidenta</w:t>
      </w:r>
    </w:p>
    <w:p w14:paraId="7D91605C" w14:textId="77777777" w:rsidR="00E56F26" w:rsidRPr="00E56F26" w:rsidRDefault="00E56F26" w:rsidP="00E56F26">
      <w:pPr>
        <w:jc w:val="both"/>
        <w:rPr>
          <w:rFonts w:ascii="Verdana" w:eastAsia="Times" w:hAnsi="Verdana"/>
          <w:sz w:val="20"/>
          <w:szCs w:val="20"/>
          <w:lang w:val="pt-BR"/>
        </w:rPr>
      </w:pPr>
    </w:p>
    <w:p w14:paraId="4D2A923F" w14:textId="77777777" w:rsidR="00E56F26" w:rsidRPr="00E56F26" w:rsidRDefault="00E56F26" w:rsidP="00E56F26">
      <w:pPr>
        <w:jc w:val="both"/>
        <w:rPr>
          <w:rFonts w:ascii="Verdana" w:eastAsia="Times" w:hAnsi="Verdana"/>
          <w:sz w:val="20"/>
          <w:szCs w:val="20"/>
          <w:lang w:val="pt-BR"/>
        </w:rPr>
      </w:pPr>
    </w:p>
    <w:p w14:paraId="75395938" w14:textId="77777777" w:rsidR="00E56F26" w:rsidRPr="00E56F26" w:rsidRDefault="00E56F26" w:rsidP="00E56F26">
      <w:pPr>
        <w:jc w:val="both"/>
        <w:rPr>
          <w:rFonts w:ascii="Verdana" w:eastAsia="Times" w:hAnsi="Verdana"/>
          <w:sz w:val="20"/>
          <w:szCs w:val="20"/>
          <w:lang w:val="pt-BR"/>
        </w:rPr>
      </w:pPr>
    </w:p>
    <w:p w14:paraId="3420AD7C" w14:textId="77777777" w:rsidR="00E56F26" w:rsidRPr="00E56F26" w:rsidRDefault="00E56F26" w:rsidP="00E56F26">
      <w:pPr>
        <w:jc w:val="both"/>
        <w:rPr>
          <w:rFonts w:ascii="Verdana" w:eastAsia="Times" w:hAnsi="Verdana"/>
          <w:sz w:val="20"/>
          <w:szCs w:val="20"/>
          <w:lang w:val="pt-BR"/>
        </w:rPr>
      </w:pPr>
    </w:p>
    <w:p w14:paraId="64AC3680" w14:textId="77777777" w:rsidR="00E56F26" w:rsidRPr="00E56F26" w:rsidRDefault="00E56F26" w:rsidP="00E56F26">
      <w:pPr>
        <w:jc w:val="both"/>
        <w:rPr>
          <w:rFonts w:ascii="Verdana" w:eastAsia="Times" w:hAnsi="Verdana"/>
          <w:sz w:val="20"/>
          <w:szCs w:val="20"/>
          <w:lang w:val="pt-BR"/>
        </w:rPr>
      </w:pPr>
    </w:p>
    <w:p w14:paraId="3DB3BF24" w14:textId="77777777" w:rsidR="00E56F26" w:rsidRPr="00E56F26" w:rsidRDefault="00E56F26" w:rsidP="00E56F26">
      <w:pPr>
        <w:jc w:val="both"/>
        <w:rPr>
          <w:rFonts w:ascii="Verdana" w:eastAsia="Times" w:hAnsi="Verdana"/>
          <w:sz w:val="20"/>
          <w:szCs w:val="20"/>
          <w:lang w:val="pt-BR"/>
        </w:rPr>
      </w:pPr>
      <w:r w:rsidRPr="00E56F26">
        <w:rPr>
          <w:rFonts w:ascii="Verdana" w:eastAsia="Times" w:hAnsi="Verdana"/>
          <w:sz w:val="20"/>
          <w:szCs w:val="20"/>
          <w:lang w:val="pt-BR"/>
        </w:rPr>
        <w:t>Pablo Saavedra Alessandri</w:t>
      </w:r>
    </w:p>
    <w:p w14:paraId="765B5D41" w14:textId="77777777" w:rsidR="007163B6" w:rsidRDefault="00E56F26" w:rsidP="00E56F26">
      <w:pPr>
        <w:rPr>
          <w:rFonts w:ascii="Verdana" w:eastAsia="Times" w:hAnsi="Verdana"/>
          <w:sz w:val="20"/>
          <w:szCs w:val="20"/>
          <w:lang w:val="es-ES"/>
        </w:rPr>
        <w:sectPr w:rsidR="007163B6" w:rsidSect="006E21A2">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2240" w:h="15840"/>
          <w:pgMar w:top="1417" w:right="1701" w:bottom="1417" w:left="1701" w:header="708" w:footer="708" w:gutter="0"/>
          <w:pgNumType w:start="1"/>
          <w:cols w:space="708"/>
          <w:docGrid w:linePitch="360"/>
        </w:sectPr>
      </w:pPr>
      <w:r>
        <w:rPr>
          <w:rFonts w:ascii="Verdana" w:eastAsia="Times" w:hAnsi="Verdana"/>
          <w:sz w:val="20"/>
          <w:szCs w:val="20"/>
          <w:lang w:val="pt-BR"/>
        </w:rPr>
        <w:t xml:space="preserve"> </w:t>
      </w:r>
      <w:r w:rsidRPr="00E56F26">
        <w:rPr>
          <w:rFonts w:ascii="Verdana" w:eastAsia="Times" w:hAnsi="Verdana"/>
          <w:sz w:val="20"/>
          <w:szCs w:val="20"/>
          <w:lang w:val="pt-BR"/>
        </w:rPr>
        <w:t xml:space="preserve">        </w:t>
      </w:r>
      <w:r w:rsidRPr="00E56F26">
        <w:rPr>
          <w:rFonts w:ascii="Verdana" w:eastAsia="Times" w:hAnsi="Verdana"/>
          <w:sz w:val="20"/>
          <w:szCs w:val="20"/>
          <w:lang w:val="es-ES"/>
        </w:rPr>
        <w:t>Secretario</w:t>
      </w:r>
    </w:p>
    <w:p w14:paraId="74C79DAD" w14:textId="77777777" w:rsidR="00935DAC" w:rsidRDefault="00935DAC" w:rsidP="00935DAC">
      <w:pPr>
        <w:autoSpaceDE w:val="0"/>
        <w:autoSpaceDN w:val="0"/>
        <w:adjustRightInd w:val="0"/>
        <w:jc w:val="center"/>
        <w:rPr>
          <w:rFonts w:ascii="Verdana" w:hAnsi="Verdana" w:cs="Arial"/>
          <w:b/>
          <w:bCs/>
          <w:color w:val="000000"/>
          <w:spacing w:val="-4"/>
          <w:sz w:val="20"/>
          <w:szCs w:val="20"/>
          <w:lang w:val="es-CR"/>
        </w:rPr>
      </w:pPr>
      <w:r>
        <w:rPr>
          <w:rFonts w:ascii="Verdana" w:hAnsi="Verdana" w:cs="Arial"/>
          <w:b/>
          <w:bCs/>
          <w:color w:val="000000"/>
          <w:spacing w:val="-4"/>
          <w:sz w:val="20"/>
          <w:szCs w:val="20"/>
          <w:lang w:val="es-CR"/>
        </w:rPr>
        <w:lastRenderedPageBreak/>
        <w:t>VOTO CONCURRENTE DEL JUEZ EDUARDO VIO GROSSI,</w:t>
      </w:r>
    </w:p>
    <w:p w14:paraId="28F8E352" w14:textId="77777777" w:rsidR="00935DAC" w:rsidRPr="001F48F2" w:rsidRDefault="00935DAC" w:rsidP="00935DAC">
      <w:pPr>
        <w:autoSpaceDE w:val="0"/>
        <w:autoSpaceDN w:val="0"/>
        <w:adjustRightInd w:val="0"/>
        <w:jc w:val="center"/>
        <w:rPr>
          <w:rFonts w:ascii="Verdana" w:hAnsi="Verdana" w:cs="Arial"/>
          <w:b/>
          <w:bCs/>
          <w:color w:val="000000"/>
          <w:spacing w:val="-4"/>
          <w:sz w:val="20"/>
          <w:szCs w:val="20"/>
          <w:lang w:val="es-CR"/>
        </w:rPr>
      </w:pPr>
      <w:r w:rsidRPr="001F48F2">
        <w:rPr>
          <w:rFonts w:ascii="Verdana" w:hAnsi="Verdana" w:cs="Arial"/>
          <w:b/>
          <w:bCs/>
          <w:color w:val="000000"/>
          <w:spacing w:val="-4"/>
          <w:sz w:val="20"/>
          <w:szCs w:val="20"/>
          <w:lang w:val="es-CR"/>
        </w:rPr>
        <w:t xml:space="preserve">RESOLUCIÓN DE LA </w:t>
      </w:r>
    </w:p>
    <w:p w14:paraId="6F3582CC" w14:textId="77777777" w:rsidR="00935DAC" w:rsidRPr="001F48F2" w:rsidRDefault="00935DAC" w:rsidP="00935DAC">
      <w:pPr>
        <w:autoSpaceDE w:val="0"/>
        <w:autoSpaceDN w:val="0"/>
        <w:adjustRightInd w:val="0"/>
        <w:jc w:val="center"/>
        <w:rPr>
          <w:rFonts w:ascii="Verdana" w:hAnsi="Verdana" w:cs="Arial"/>
          <w:b/>
          <w:bCs/>
          <w:color w:val="000000"/>
          <w:spacing w:val="-4"/>
          <w:sz w:val="20"/>
          <w:szCs w:val="20"/>
          <w:lang w:val="es-CR"/>
        </w:rPr>
      </w:pPr>
      <w:r w:rsidRPr="001F48F2">
        <w:rPr>
          <w:rFonts w:ascii="Verdana" w:hAnsi="Verdana" w:cs="Arial"/>
          <w:b/>
          <w:bCs/>
          <w:color w:val="000000"/>
          <w:spacing w:val="-4"/>
          <w:sz w:val="20"/>
          <w:szCs w:val="20"/>
          <w:lang w:val="es-CR"/>
        </w:rPr>
        <w:t>CORTE INTERAMERICANA DE DERECHOS HUMANOS</w:t>
      </w:r>
    </w:p>
    <w:p w14:paraId="72E7CD48" w14:textId="77777777" w:rsidR="00935DAC" w:rsidRPr="001F48F2" w:rsidRDefault="00935DAC" w:rsidP="00935DAC">
      <w:pPr>
        <w:autoSpaceDE w:val="0"/>
        <w:autoSpaceDN w:val="0"/>
        <w:adjustRightInd w:val="0"/>
        <w:jc w:val="center"/>
        <w:rPr>
          <w:rFonts w:ascii="Verdana" w:hAnsi="Verdana" w:cs="Arial"/>
          <w:b/>
          <w:bCs/>
          <w:color w:val="000000"/>
          <w:spacing w:val="-4"/>
          <w:sz w:val="20"/>
          <w:szCs w:val="20"/>
          <w:lang w:val="es-CR"/>
        </w:rPr>
      </w:pPr>
      <w:r w:rsidRPr="001F48F2">
        <w:rPr>
          <w:rFonts w:ascii="Verdana" w:hAnsi="Verdana" w:cs="Arial"/>
          <w:b/>
          <w:bCs/>
          <w:color w:val="000000"/>
          <w:spacing w:val="-4"/>
          <w:sz w:val="20"/>
          <w:szCs w:val="20"/>
          <w:lang w:val="es-CR"/>
        </w:rPr>
        <w:t>DE 24 DE JUNIO DE 2021</w:t>
      </w:r>
    </w:p>
    <w:p w14:paraId="41BB490E" w14:textId="77777777" w:rsidR="00935DAC" w:rsidRPr="001F48F2" w:rsidRDefault="00935DAC" w:rsidP="00935DAC">
      <w:pPr>
        <w:autoSpaceDE w:val="0"/>
        <w:autoSpaceDN w:val="0"/>
        <w:adjustRightInd w:val="0"/>
        <w:jc w:val="center"/>
        <w:rPr>
          <w:rFonts w:ascii="Verdana" w:hAnsi="Verdana" w:cs="Arial"/>
          <w:b/>
          <w:bCs/>
          <w:color w:val="000000"/>
          <w:spacing w:val="-4"/>
          <w:sz w:val="20"/>
          <w:szCs w:val="20"/>
          <w:lang w:val="es-CR"/>
        </w:rPr>
      </w:pPr>
      <w:r w:rsidRPr="001F48F2">
        <w:rPr>
          <w:rFonts w:ascii="Verdana" w:hAnsi="Verdana" w:cs="Arial"/>
          <w:b/>
          <w:bCs/>
          <w:color w:val="000000"/>
          <w:spacing w:val="-4"/>
          <w:sz w:val="20"/>
          <w:szCs w:val="20"/>
          <w:lang w:val="es-CR"/>
        </w:rPr>
        <w:t xml:space="preserve">SOLICITUD DE MEDIDAS PROVISIONALES Y </w:t>
      </w:r>
    </w:p>
    <w:p w14:paraId="48EE6857" w14:textId="77777777" w:rsidR="00935DAC" w:rsidRPr="001F48F2" w:rsidRDefault="00935DAC" w:rsidP="00935DAC">
      <w:pPr>
        <w:autoSpaceDE w:val="0"/>
        <w:autoSpaceDN w:val="0"/>
        <w:adjustRightInd w:val="0"/>
        <w:jc w:val="center"/>
        <w:rPr>
          <w:rFonts w:ascii="Verdana" w:hAnsi="Verdana" w:cs="Arial"/>
          <w:b/>
          <w:bCs/>
          <w:color w:val="000000"/>
          <w:spacing w:val="-4"/>
          <w:sz w:val="20"/>
          <w:szCs w:val="20"/>
          <w:lang w:val="es-CR"/>
        </w:rPr>
      </w:pPr>
      <w:r w:rsidRPr="001F48F2">
        <w:rPr>
          <w:rFonts w:ascii="Verdana" w:hAnsi="Verdana" w:cs="Arial"/>
          <w:b/>
          <w:bCs/>
          <w:color w:val="000000"/>
          <w:spacing w:val="-4"/>
          <w:sz w:val="20"/>
          <w:szCs w:val="20"/>
          <w:lang w:val="es-CR"/>
        </w:rPr>
        <w:t>SUPERVISIÓN DE CUMPLIMIENTO DE SENTENCIA</w:t>
      </w:r>
    </w:p>
    <w:p w14:paraId="7D25ABAA" w14:textId="77777777" w:rsidR="00935DAC" w:rsidRDefault="00935DAC" w:rsidP="00935DAC">
      <w:pPr>
        <w:autoSpaceDE w:val="0"/>
        <w:autoSpaceDN w:val="0"/>
        <w:adjustRightInd w:val="0"/>
        <w:jc w:val="center"/>
        <w:rPr>
          <w:rFonts w:ascii="Verdana" w:hAnsi="Verdana" w:cs="Arial"/>
          <w:b/>
          <w:bCs/>
          <w:i/>
          <w:color w:val="000000"/>
          <w:spacing w:val="-4"/>
          <w:sz w:val="20"/>
          <w:szCs w:val="20"/>
          <w:lang w:val="es-CR"/>
        </w:rPr>
      </w:pPr>
      <w:r w:rsidRPr="001F48F2">
        <w:rPr>
          <w:rFonts w:ascii="Verdana" w:hAnsi="Verdana" w:cs="Arial"/>
          <w:b/>
          <w:bCs/>
          <w:i/>
          <w:color w:val="000000"/>
          <w:spacing w:val="-4"/>
          <w:sz w:val="20"/>
          <w:szCs w:val="20"/>
          <w:lang w:val="es-CR"/>
        </w:rPr>
        <w:t>CASO PETRO URREGO VS. COLOMBIA</w:t>
      </w:r>
    </w:p>
    <w:p w14:paraId="79BF5397" w14:textId="77777777" w:rsidR="00935DAC" w:rsidRDefault="00935DAC" w:rsidP="00935DAC">
      <w:pPr>
        <w:autoSpaceDE w:val="0"/>
        <w:autoSpaceDN w:val="0"/>
        <w:adjustRightInd w:val="0"/>
        <w:jc w:val="center"/>
        <w:rPr>
          <w:rFonts w:ascii="Verdana" w:hAnsi="Verdana" w:cs="Arial"/>
          <w:b/>
          <w:bCs/>
          <w:i/>
          <w:color w:val="000000"/>
          <w:spacing w:val="-4"/>
          <w:sz w:val="20"/>
          <w:szCs w:val="20"/>
          <w:lang w:val="es-CR"/>
        </w:rPr>
      </w:pPr>
    </w:p>
    <w:p w14:paraId="3BF6C510" w14:textId="77777777" w:rsidR="00935DAC" w:rsidRDefault="00935DAC" w:rsidP="00935DAC">
      <w:pPr>
        <w:autoSpaceDE w:val="0"/>
        <w:autoSpaceDN w:val="0"/>
        <w:adjustRightInd w:val="0"/>
        <w:jc w:val="center"/>
        <w:rPr>
          <w:rFonts w:ascii="Verdana" w:hAnsi="Verdana" w:cs="Arial"/>
          <w:b/>
          <w:bCs/>
          <w:i/>
          <w:color w:val="000000"/>
          <w:spacing w:val="-4"/>
          <w:sz w:val="20"/>
          <w:szCs w:val="20"/>
          <w:lang w:val="es-CR"/>
        </w:rPr>
      </w:pPr>
    </w:p>
    <w:p w14:paraId="04F2BE5F" w14:textId="77777777" w:rsidR="00935DAC" w:rsidRDefault="00935DAC" w:rsidP="00935DAC">
      <w:pPr>
        <w:autoSpaceDE w:val="0"/>
        <w:autoSpaceDN w:val="0"/>
        <w:adjustRightInd w:val="0"/>
        <w:jc w:val="center"/>
        <w:rPr>
          <w:rFonts w:ascii="Verdana" w:hAnsi="Verdana" w:cs="Arial"/>
          <w:b/>
          <w:bCs/>
          <w:i/>
          <w:color w:val="000000"/>
          <w:spacing w:val="-4"/>
          <w:sz w:val="20"/>
          <w:szCs w:val="20"/>
          <w:lang w:val="es-CR"/>
        </w:rPr>
      </w:pPr>
    </w:p>
    <w:p w14:paraId="6F7E07E5" w14:textId="77777777" w:rsidR="00935DAC" w:rsidRDefault="00935DAC" w:rsidP="00935DAC">
      <w:pPr>
        <w:autoSpaceDE w:val="0"/>
        <w:autoSpaceDN w:val="0"/>
        <w:adjustRightInd w:val="0"/>
        <w:jc w:val="center"/>
        <w:rPr>
          <w:rFonts w:ascii="Verdana" w:hAnsi="Verdana" w:cs="Arial"/>
          <w:b/>
          <w:bCs/>
          <w:i/>
          <w:color w:val="000000"/>
          <w:spacing w:val="-4"/>
          <w:sz w:val="20"/>
          <w:szCs w:val="20"/>
          <w:lang w:val="es-CR"/>
        </w:rPr>
      </w:pPr>
    </w:p>
    <w:p w14:paraId="1AE1491D" w14:textId="77777777" w:rsidR="00935DAC" w:rsidRDefault="00935DAC" w:rsidP="00935DAC">
      <w:pPr>
        <w:jc w:val="both"/>
        <w:rPr>
          <w:rFonts w:ascii="Verdana" w:hAnsi="Verdana"/>
          <w:bCs/>
          <w:i/>
          <w:sz w:val="20"/>
          <w:szCs w:val="20"/>
        </w:rPr>
      </w:pPr>
      <w:r>
        <w:rPr>
          <w:rFonts w:ascii="Verdana" w:hAnsi="Verdana" w:cs="Arial"/>
          <w:iCs/>
          <w:color w:val="000000"/>
          <w:spacing w:val="-4"/>
          <w:sz w:val="20"/>
          <w:szCs w:val="20"/>
          <w:lang w:val="es-CR"/>
        </w:rPr>
        <w:t>Se extiende el presente voto concurrente respecto de la Resolución del título, en atención a que</w:t>
      </w:r>
      <w:r w:rsidRPr="00DE7F8B">
        <w:rPr>
          <w:rFonts w:ascii="Verdana" w:hAnsi="Verdana"/>
          <w:spacing w:val="-4"/>
          <w:sz w:val="20"/>
          <w:szCs w:val="20"/>
          <w:lang w:val="es-CR"/>
        </w:rPr>
        <w:t xml:space="preserve"> </w:t>
      </w:r>
      <w:r>
        <w:rPr>
          <w:rFonts w:ascii="Verdana" w:hAnsi="Verdana"/>
          <w:spacing w:val="-4"/>
          <w:sz w:val="20"/>
          <w:szCs w:val="20"/>
          <w:lang w:val="es-CR"/>
        </w:rPr>
        <w:t>lo planteado en los párrafos 25 y siguientes del “</w:t>
      </w:r>
      <w:r w:rsidRPr="001F48F2">
        <w:rPr>
          <w:rFonts w:ascii="Verdana" w:eastAsia="Times" w:hAnsi="Verdana"/>
          <w:bCs/>
          <w:i/>
          <w:iCs/>
          <w:sz w:val="20"/>
          <w:szCs w:val="20"/>
        </w:rPr>
        <w:t>Voto Disidente del Juez Eduardo Vio Grossi, Resolución de la Corte Interamericana de Derechos Humanos de 2 de septiembre de 2020, Medidas Provisionales respecto de Honduras,</w:t>
      </w:r>
      <w:r w:rsidRPr="001F48F2">
        <w:rPr>
          <w:rFonts w:ascii="Verdana" w:hAnsi="Verdana"/>
          <w:b/>
          <w:i/>
          <w:sz w:val="20"/>
          <w:szCs w:val="20"/>
        </w:rPr>
        <w:t xml:space="preserve"> </w:t>
      </w:r>
      <w:r w:rsidRPr="001E437F">
        <w:rPr>
          <w:rFonts w:ascii="Verdana" w:hAnsi="Verdana"/>
          <w:bCs/>
          <w:i/>
          <w:sz w:val="20"/>
          <w:szCs w:val="20"/>
        </w:rPr>
        <w:t>Ca</w:t>
      </w:r>
      <w:r>
        <w:rPr>
          <w:rFonts w:ascii="Verdana" w:hAnsi="Verdana"/>
          <w:bCs/>
          <w:i/>
          <w:sz w:val="20"/>
          <w:szCs w:val="20"/>
        </w:rPr>
        <w:t>so</w:t>
      </w:r>
      <w:r w:rsidRPr="001E437F">
        <w:rPr>
          <w:rFonts w:ascii="Verdana" w:hAnsi="Verdana"/>
          <w:bCs/>
          <w:i/>
          <w:sz w:val="20"/>
          <w:szCs w:val="20"/>
        </w:rPr>
        <w:t>s Comunidades Garífunas de Triunfo de la Cruz y Punta Piedra</w:t>
      </w:r>
      <w:r w:rsidRPr="00DE7F8B">
        <w:rPr>
          <w:rFonts w:ascii="Verdana" w:hAnsi="Verdana"/>
          <w:bCs/>
          <w:iCs/>
          <w:sz w:val="20"/>
          <w:szCs w:val="20"/>
        </w:rPr>
        <w:t>”</w:t>
      </w:r>
      <w:r>
        <w:rPr>
          <w:rStyle w:val="Refdenotaalpie"/>
          <w:bCs/>
          <w:iCs/>
          <w:szCs w:val="20"/>
        </w:rPr>
        <w:footnoteReference w:id="12"/>
      </w:r>
      <w:r w:rsidRPr="00DE7F8B">
        <w:rPr>
          <w:rFonts w:ascii="Verdana" w:hAnsi="Verdana"/>
          <w:bCs/>
          <w:iCs/>
          <w:sz w:val="20"/>
          <w:szCs w:val="20"/>
        </w:rPr>
        <w:t xml:space="preserve">, es coincidente con lo dispuesto en </w:t>
      </w:r>
      <w:proofErr w:type="spellStart"/>
      <w:r w:rsidRPr="00DE7F8B">
        <w:rPr>
          <w:rFonts w:ascii="Verdana" w:hAnsi="Verdana"/>
          <w:bCs/>
          <w:iCs/>
          <w:sz w:val="20"/>
          <w:szCs w:val="20"/>
        </w:rPr>
        <w:t>aqu</w:t>
      </w:r>
      <w:proofErr w:type="spellEnd"/>
      <w:r w:rsidRPr="00DE7F8B">
        <w:rPr>
          <w:rFonts w:ascii="Verdana" w:hAnsi="Verdana" w:cs="Arial"/>
          <w:iCs/>
          <w:color w:val="000000"/>
          <w:spacing w:val="-4"/>
          <w:sz w:val="20"/>
          <w:szCs w:val="20"/>
          <w:lang w:val="es-CR"/>
        </w:rPr>
        <w:t xml:space="preserve">ella, </w:t>
      </w:r>
      <w:r>
        <w:rPr>
          <w:rFonts w:ascii="Verdana" w:hAnsi="Verdana" w:cs="Arial"/>
          <w:iCs/>
          <w:color w:val="000000"/>
          <w:spacing w:val="-4"/>
          <w:sz w:val="20"/>
          <w:szCs w:val="20"/>
          <w:lang w:val="es-CR"/>
        </w:rPr>
        <w:t xml:space="preserve">en orden a </w:t>
      </w:r>
      <w:r w:rsidRPr="001F48F2">
        <w:rPr>
          <w:rFonts w:ascii="Verdana" w:hAnsi="Verdana" w:cs="Arial"/>
          <w:i/>
          <w:color w:val="000000"/>
          <w:spacing w:val="-4"/>
          <w:sz w:val="20"/>
          <w:szCs w:val="20"/>
          <w:lang w:val="es-CR"/>
        </w:rPr>
        <w:t>“</w:t>
      </w:r>
      <w:r w:rsidRPr="001F48F2">
        <w:rPr>
          <w:rFonts w:ascii="Verdana" w:hAnsi="Verdana"/>
          <w:i/>
          <w:spacing w:val="-4"/>
          <w:sz w:val="20"/>
          <w:szCs w:val="20"/>
          <w:lang w:val="es-CR"/>
        </w:rPr>
        <w:t>(d)</w:t>
      </w:r>
      <w:proofErr w:type="spellStart"/>
      <w:r w:rsidRPr="001F48F2">
        <w:rPr>
          <w:rFonts w:ascii="Verdana" w:hAnsi="Verdana"/>
          <w:i/>
          <w:spacing w:val="-4"/>
          <w:sz w:val="20"/>
          <w:szCs w:val="20"/>
          <w:lang w:val="es-CR"/>
        </w:rPr>
        <w:t>eclarar</w:t>
      </w:r>
      <w:proofErr w:type="spellEnd"/>
      <w:r w:rsidRPr="001F48F2">
        <w:rPr>
          <w:rFonts w:ascii="Verdana" w:hAnsi="Verdana"/>
          <w:i/>
          <w:spacing w:val="-4"/>
          <w:sz w:val="20"/>
          <w:szCs w:val="20"/>
          <w:lang w:val="es-CR"/>
        </w:rPr>
        <w:t xml:space="preserve"> improcedente la solicitud de medidas provisionales presentada por los representantes de la víctima del Caso Petro Urrego Vs. Colombia, en virtud de que el asunto planteado ante el Tribunal no es materia de medidas provisionales en los términos del artículo 63.2 de la Convención Americana sobre Derechos Humanos, sino que corresponde ser evaluado en el marco de la sup</w:t>
      </w:r>
      <w:r>
        <w:rPr>
          <w:rFonts w:ascii="Verdana" w:hAnsi="Verdana"/>
          <w:i/>
          <w:spacing w:val="-4"/>
          <w:sz w:val="20"/>
          <w:szCs w:val="20"/>
          <w:lang w:val="es-CR"/>
        </w:rPr>
        <w:t>ervisión de cumplimiento de la S</w:t>
      </w:r>
      <w:r w:rsidRPr="001F48F2">
        <w:rPr>
          <w:rFonts w:ascii="Verdana" w:hAnsi="Verdana"/>
          <w:i/>
          <w:spacing w:val="-4"/>
          <w:sz w:val="20"/>
          <w:szCs w:val="20"/>
          <w:lang w:val="es-CR"/>
        </w:rPr>
        <w:t>entencia</w:t>
      </w:r>
      <w:r>
        <w:rPr>
          <w:rFonts w:ascii="Verdana" w:hAnsi="Verdana"/>
          <w:spacing w:val="-4"/>
          <w:sz w:val="20"/>
          <w:szCs w:val="20"/>
          <w:lang w:val="es-CR"/>
        </w:rPr>
        <w:t>”</w:t>
      </w:r>
      <w:r w:rsidRPr="001E437F">
        <w:rPr>
          <w:rFonts w:ascii="Verdana" w:hAnsi="Verdana"/>
          <w:bCs/>
          <w:i/>
          <w:sz w:val="20"/>
          <w:szCs w:val="20"/>
        </w:rPr>
        <w:t>.</w:t>
      </w:r>
    </w:p>
    <w:p w14:paraId="1B9971E0" w14:textId="77777777" w:rsidR="00935DAC" w:rsidRDefault="00935DAC" w:rsidP="00935DAC">
      <w:pPr>
        <w:jc w:val="both"/>
        <w:rPr>
          <w:rFonts w:ascii="Verdana" w:hAnsi="Verdana"/>
          <w:bCs/>
          <w:i/>
          <w:sz w:val="20"/>
          <w:szCs w:val="20"/>
        </w:rPr>
      </w:pPr>
    </w:p>
    <w:p w14:paraId="68B26854" w14:textId="77777777" w:rsidR="00935DAC" w:rsidRPr="00DD72F1" w:rsidRDefault="00935DAC" w:rsidP="00935DAC">
      <w:pPr>
        <w:rPr>
          <w:rFonts w:ascii="Verdana" w:hAnsi="Verdana"/>
          <w:bCs/>
          <w:i/>
          <w:sz w:val="20"/>
          <w:szCs w:val="20"/>
          <w:lang w:val="es-CR"/>
        </w:rPr>
      </w:pPr>
    </w:p>
    <w:p w14:paraId="1F594312" w14:textId="77777777" w:rsidR="00935DAC" w:rsidRDefault="00935DAC" w:rsidP="00935DAC">
      <w:pPr>
        <w:rPr>
          <w:rFonts w:ascii="Verdana" w:hAnsi="Verdana"/>
          <w:bCs/>
          <w:i/>
          <w:sz w:val="20"/>
          <w:szCs w:val="20"/>
        </w:rPr>
      </w:pPr>
    </w:p>
    <w:p w14:paraId="3E6EDA3D" w14:textId="77777777" w:rsidR="00935DAC" w:rsidRDefault="00935DAC" w:rsidP="00935DAC">
      <w:pPr>
        <w:rPr>
          <w:rFonts w:ascii="Verdana" w:hAnsi="Verdana"/>
          <w:bCs/>
          <w:i/>
          <w:sz w:val="20"/>
          <w:szCs w:val="20"/>
        </w:rPr>
      </w:pPr>
    </w:p>
    <w:p w14:paraId="3DB721B0" w14:textId="77777777" w:rsidR="00935DAC" w:rsidRDefault="00935DAC" w:rsidP="00935DAC">
      <w:pPr>
        <w:rPr>
          <w:rFonts w:ascii="Verdana" w:hAnsi="Verdana"/>
          <w:bCs/>
          <w:i/>
          <w:sz w:val="20"/>
          <w:szCs w:val="20"/>
        </w:rPr>
      </w:pPr>
    </w:p>
    <w:p w14:paraId="35943A60" w14:textId="77777777" w:rsidR="00935DAC" w:rsidRDefault="00935DAC" w:rsidP="00935DAC">
      <w:pPr>
        <w:jc w:val="right"/>
        <w:rPr>
          <w:rFonts w:ascii="Verdana" w:hAnsi="Verdana"/>
          <w:bCs/>
          <w:iCs/>
          <w:sz w:val="20"/>
          <w:szCs w:val="20"/>
        </w:rPr>
      </w:pPr>
      <w:r>
        <w:rPr>
          <w:rFonts w:ascii="Verdana" w:hAnsi="Verdana"/>
          <w:bCs/>
          <w:iCs/>
          <w:sz w:val="20"/>
          <w:szCs w:val="20"/>
        </w:rPr>
        <w:t>Eduardo Vio Grossi</w:t>
      </w:r>
    </w:p>
    <w:p w14:paraId="12903BC3" w14:textId="77777777" w:rsidR="00935DAC" w:rsidRPr="001E437F" w:rsidRDefault="00935DAC" w:rsidP="00935DAC">
      <w:pPr>
        <w:ind w:left="6513" w:firstLine="1275"/>
        <w:jc w:val="center"/>
        <w:rPr>
          <w:rFonts w:ascii="Verdana" w:hAnsi="Verdana"/>
          <w:b/>
          <w:iCs/>
          <w:sz w:val="20"/>
          <w:szCs w:val="20"/>
        </w:rPr>
      </w:pPr>
      <w:r>
        <w:rPr>
          <w:rFonts w:ascii="Verdana" w:hAnsi="Verdana"/>
          <w:bCs/>
          <w:iCs/>
          <w:sz w:val="20"/>
          <w:szCs w:val="20"/>
        </w:rPr>
        <w:t>Juez</w:t>
      </w:r>
    </w:p>
    <w:p w14:paraId="425154DF" w14:textId="77777777" w:rsidR="00935DAC" w:rsidRDefault="00935DAC" w:rsidP="00935DAC">
      <w:pPr>
        <w:pStyle w:val="Prrafodelista"/>
        <w:spacing w:before="120" w:after="120" w:line="240" w:lineRule="auto"/>
        <w:ind w:left="0"/>
        <w:contextualSpacing w:val="0"/>
        <w:jc w:val="both"/>
        <w:rPr>
          <w:rFonts w:ascii="Verdana" w:hAnsi="Verdana"/>
          <w:spacing w:val="-4"/>
          <w:sz w:val="20"/>
          <w:szCs w:val="20"/>
          <w:lang w:val="es-CR"/>
        </w:rPr>
      </w:pPr>
    </w:p>
    <w:p w14:paraId="4531CF38" w14:textId="77777777" w:rsidR="00935DAC" w:rsidRDefault="00935DAC" w:rsidP="00935DAC">
      <w:pPr>
        <w:pStyle w:val="Prrafodelista"/>
        <w:spacing w:before="120" w:after="120" w:line="240" w:lineRule="auto"/>
        <w:ind w:left="0"/>
        <w:contextualSpacing w:val="0"/>
        <w:jc w:val="both"/>
        <w:rPr>
          <w:rFonts w:ascii="Verdana" w:hAnsi="Verdana"/>
          <w:spacing w:val="-4"/>
          <w:sz w:val="20"/>
          <w:szCs w:val="20"/>
          <w:lang w:val="es-CR"/>
        </w:rPr>
      </w:pPr>
    </w:p>
    <w:p w14:paraId="22E779E0" w14:textId="77777777" w:rsidR="00935DAC" w:rsidRDefault="00935DAC" w:rsidP="00935DAC">
      <w:pPr>
        <w:pStyle w:val="Prrafodelista"/>
        <w:spacing w:before="120" w:after="120" w:line="240" w:lineRule="auto"/>
        <w:ind w:left="0"/>
        <w:contextualSpacing w:val="0"/>
        <w:jc w:val="both"/>
        <w:rPr>
          <w:rFonts w:ascii="Verdana" w:hAnsi="Verdana"/>
          <w:spacing w:val="-4"/>
          <w:sz w:val="20"/>
          <w:szCs w:val="20"/>
          <w:lang w:val="es-CR"/>
        </w:rPr>
      </w:pPr>
    </w:p>
    <w:p w14:paraId="253B5ABF" w14:textId="77777777" w:rsidR="00935DAC" w:rsidRPr="00C6508C" w:rsidRDefault="00935DAC" w:rsidP="00935DAC">
      <w:pPr>
        <w:pStyle w:val="Prrafodelista"/>
        <w:spacing w:before="120" w:after="120" w:line="240" w:lineRule="auto"/>
        <w:ind w:left="0"/>
        <w:contextualSpacing w:val="0"/>
        <w:jc w:val="both"/>
        <w:rPr>
          <w:rFonts w:ascii="Verdana" w:hAnsi="Verdana"/>
          <w:spacing w:val="-4"/>
          <w:sz w:val="20"/>
          <w:szCs w:val="20"/>
          <w:lang w:val="es-CR"/>
        </w:rPr>
      </w:pPr>
    </w:p>
    <w:p w14:paraId="71151917" w14:textId="77777777" w:rsidR="00935DAC" w:rsidRDefault="00935DAC" w:rsidP="00935DAC">
      <w:pPr>
        <w:autoSpaceDE w:val="0"/>
        <w:autoSpaceDN w:val="0"/>
        <w:adjustRightInd w:val="0"/>
        <w:rPr>
          <w:rFonts w:ascii="Verdana" w:hAnsi="Verdana" w:cs="Arial"/>
          <w:iCs/>
          <w:color w:val="000000"/>
          <w:spacing w:val="-4"/>
          <w:sz w:val="20"/>
          <w:szCs w:val="20"/>
          <w:lang w:val="es-CR"/>
        </w:rPr>
      </w:pPr>
      <w:r>
        <w:rPr>
          <w:rFonts w:ascii="Verdana" w:hAnsi="Verdana" w:cs="Arial"/>
          <w:iCs/>
          <w:color w:val="000000"/>
          <w:spacing w:val="-4"/>
          <w:sz w:val="20"/>
          <w:szCs w:val="20"/>
          <w:lang w:val="es-CR"/>
        </w:rPr>
        <w:t>Pablo Saavedra Alessandri</w:t>
      </w:r>
    </w:p>
    <w:p w14:paraId="5170810A" w14:textId="77777777" w:rsidR="00935DAC" w:rsidRPr="001F48F2" w:rsidRDefault="00935DAC" w:rsidP="00935DAC">
      <w:pPr>
        <w:autoSpaceDE w:val="0"/>
        <w:autoSpaceDN w:val="0"/>
        <w:adjustRightInd w:val="0"/>
        <w:ind w:firstLine="567"/>
        <w:rPr>
          <w:rFonts w:ascii="Verdana" w:hAnsi="Verdana" w:cs="Arial"/>
          <w:iCs/>
          <w:color w:val="000000"/>
          <w:spacing w:val="-4"/>
          <w:sz w:val="20"/>
          <w:szCs w:val="20"/>
          <w:lang w:val="es-CR"/>
        </w:rPr>
      </w:pPr>
      <w:r>
        <w:rPr>
          <w:rFonts w:ascii="Verdana" w:hAnsi="Verdana" w:cs="Arial"/>
          <w:iCs/>
          <w:color w:val="000000"/>
          <w:spacing w:val="-4"/>
          <w:sz w:val="20"/>
          <w:szCs w:val="20"/>
          <w:lang w:val="es-CR"/>
        </w:rPr>
        <w:t>Secretario</w:t>
      </w:r>
    </w:p>
    <w:p w14:paraId="641335DF" w14:textId="77777777" w:rsidR="00935DAC" w:rsidRDefault="00935DAC" w:rsidP="00935DAC">
      <w:pPr>
        <w:autoSpaceDE w:val="0"/>
        <w:autoSpaceDN w:val="0"/>
        <w:adjustRightInd w:val="0"/>
        <w:jc w:val="center"/>
        <w:rPr>
          <w:rFonts w:ascii="Verdana" w:hAnsi="Verdana" w:cs="Arial"/>
          <w:iCs/>
          <w:color w:val="000000"/>
          <w:spacing w:val="-4"/>
          <w:sz w:val="20"/>
          <w:szCs w:val="20"/>
          <w:lang w:val="es-CR"/>
        </w:rPr>
      </w:pPr>
    </w:p>
    <w:p w14:paraId="500692AA" w14:textId="77777777" w:rsidR="00935DAC" w:rsidRDefault="00935DAC" w:rsidP="00935DAC">
      <w:pPr>
        <w:autoSpaceDE w:val="0"/>
        <w:autoSpaceDN w:val="0"/>
        <w:adjustRightInd w:val="0"/>
        <w:jc w:val="center"/>
        <w:rPr>
          <w:rFonts w:ascii="Verdana" w:hAnsi="Verdana" w:cs="Arial"/>
          <w:iCs/>
          <w:color w:val="000000"/>
          <w:spacing w:val="-4"/>
          <w:sz w:val="20"/>
          <w:szCs w:val="20"/>
          <w:lang w:val="es-CR"/>
        </w:rPr>
      </w:pPr>
    </w:p>
    <w:p w14:paraId="273557C1" w14:textId="77777777" w:rsidR="00935DAC" w:rsidRPr="001F48F2" w:rsidRDefault="00935DAC" w:rsidP="00935DAC">
      <w:pPr>
        <w:autoSpaceDE w:val="0"/>
        <w:autoSpaceDN w:val="0"/>
        <w:adjustRightInd w:val="0"/>
        <w:ind w:left="-8334"/>
        <w:jc w:val="center"/>
        <w:rPr>
          <w:rFonts w:ascii="Verdana" w:hAnsi="Verdana" w:cs="Arial"/>
          <w:iCs/>
          <w:color w:val="000000"/>
          <w:spacing w:val="-4"/>
          <w:sz w:val="20"/>
          <w:szCs w:val="20"/>
          <w:lang w:val="es-CR"/>
        </w:rPr>
      </w:pPr>
    </w:p>
    <w:p w14:paraId="44745257" w14:textId="77777777" w:rsidR="00935DAC" w:rsidRDefault="00935DAC" w:rsidP="00935DAC"/>
    <w:p w14:paraId="3D87BB88" w14:textId="77777777" w:rsidR="00935DAC" w:rsidRDefault="00935DAC" w:rsidP="00935DAC"/>
    <w:p w14:paraId="1DAAD3F6" w14:textId="77777777" w:rsidR="00EC3BA4" w:rsidRPr="00E56F26" w:rsidRDefault="00EC3BA4" w:rsidP="00E56F26">
      <w:pPr>
        <w:rPr>
          <w:rFonts w:ascii="Times" w:eastAsia="Times" w:hAnsi="Times"/>
          <w:szCs w:val="20"/>
          <w:lang w:val="es-ES"/>
        </w:rPr>
      </w:pPr>
    </w:p>
    <w:sectPr w:rsidR="00EC3BA4" w:rsidRPr="00E56F26" w:rsidSect="007163B6">
      <w:footnotePr>
        <w:numRestart w:val="eachSect"/>
      </w:footnotePr>
      <w:pgSz w:w="12240" w:h="15840"/>
      <w:pgMar w:top="1417" w:right="1701" w:bottom="1417"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A33C8" w14:textId="77777777" w:rsidR="00EC7412" w:rsidRDefault="00EC7412" w:rsidP="00CD785B">
      <w:r>
        <w:separator/>
      </w:r>
    </w:p>
  </w:endnote>
  <w:endnote w:type="continuationSeparator" w:id="0">
    <w:p w14:paraId="3E43B1A3" w14:textId="77777777" w:rsidR="00EC7412" w:rsidRDefault="00EC7412" w:rsidP="00CD7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4FA60" w14:textId="77777777" w:rsidR="007163B6" w:rsidRDefault="007163B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20"/>
        <w:szCs w:val="20"/>
      </w:rPr>
      <w:id w:val="-320819926"/>
      <w:docPartObj>
        <w:docPartGallery w:val="Page Numbers (Bottom of Page)"/>
        <w:docPartUnique/>
      </w:docPartObj>
    </w:sdtPr>
    <w:sdtEndPr/>
    <w:sdtContent>
      <w:p w14:paraId="0E7C71C5" w14:textId="0A6D5487" w:rsidR="00B1709E" w:rsidRPr="00D259B0" w:rsidRDefault="00D259B0" w:rsidP="00372315">
        <w:pPr>
          <w:pStyle w:val="Piedepgina"/>
          <w:jc w:val="center"/>
          <w:rPr>
            <w:rFonts w:ascii="Verdana" w:hAnsi="Verdana"/>
            <w:sz w:val="20"/>
            <w:szCs w:val="20"/>
          </w:rPr>
        </w:pPr>
        <w:r w:rsidRPr="00D259B0">
          <w:rPr>
            <w:rFonts w:ascii="Verdana" w:hAnsi="Verdana"/>
            <w:sz w:val="20"/>
            <w:szCs w:val="20"/>
          </w:rPr>
          <w:t>-</w:t>
        </w:r>
        <w:r w:rsidR="00392591" w:rsidRPr="00D259B0">
          <w:rPr>
            <w:rFonts w:ascii="Verdana" w:hAnsi="Verdana"/>
            <w:sz w:val="20"/>
            <w:szCs w:val="20"/>
          </w:rPr>
          <w:fldChar w:fldCharType="begin"/>
        </w:r>
        <w:r w:rsidR="00392591" w:rsidRPr="00D259B0">
          <w:rPr>
            <w:rFonts w:ascii="Verdana" w:hAnsi="Verdana"/>
            <w:sz w:val="20"/>
            <w:szCs w:val="20"/>
          </w:rPr>
          <w:instrText>PAGE   \* MERGEFORMAT</w:instrText>
        </w:r>
        <w:r w:rsidR="00392591" w:rsidRPr="00D259B0">
          <w:rPr>
            <w:rFonts w:ascii="Verdana" w:hAnsi="Verdana"/>
            <w:sz w:val="20"/>
            <w:szCs w:val="20"/>
          </w:rPr>
          <w:fldChar w:fldCharType="separate"/>
        </w:r>
        <w:r w:rsidR="00935DAC" w:rsidRPr="00935DAC">
          <w:rPr>
            <w:rFonts w:ascii="Verdana" w:hAnsi="Verdana"/>
            <w:noProof/>
            <w:sz w:val="20"/>
            <w:szCs w:val="20"/>
            <w:lang w:val="es-ES"/>
          </w:rPr>
          <w:t>9</w:t>
        </w:r>
        <w:r w:rsidR="00392591" w:rsidRPr="00D259B0">
          <w:rPr>
            <w:rFonts w:ascii="Verdana" w:hAnsi="Verdana"/>
            <w:sz w:val="20"/>
            <w:szCs w:val="20"/>
          </w:rPr>
          <w:fldChar w:fldCharType="end"/>
        </w:r>
        <w:r w:rsidRPr="00D259B0">
          <w:rPr>
            <w:rFonts w:ascii="Verdana" w:hAnsi="Verdana"/>
            <w:sz w:val="20"/>
            <w:szCs w:val="20"/>
          </w:rPr>
          <w:t>-</w:t>
        </w:r>
      </w:p>
    </w:sdtContent>
  </w:sdt>
  <w:p w14:paraId="57254D62" w14:textId="77777777" w:rsidR="00B1709E" w:rsidRDefault="00EC741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5640D" w14:textId="77777777" w:rsidR="007163B6" w:rsidRDefault="007163B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83398" w14:textId="77777777" w:rsidR="00EC7412" w:rsidRDefault="00EC7412" w:rsidP="00CD785B">
      <w:r>
        <w:separator/>
      </w:r>
    </w:p>
  </w:footnote>
  <w:footnote w:type="continuationSeparator" w:id="0">
    <w:p w14:paraId="30BA9E4C" w14:textId="77777777" w:rsidR="00EC7412" w:rsidRDefault="00EC7412" w:rsidP="00CD785B">
      <w:r>
        <w:continuationSeparator/>
      </w:r>
    </w:p>
  </w:footnote>
  <w:footnote w:id="1">
    <w:p w14:paraId="1EB8A8A2" w14:textId="47D55050" w:rsidR="008F63B0" w:rsidRPr="00D419D5" w:rsidRDefault="008F63B0" w:rsidP="004517B8">
      <w:pPr>
        <w:pStyle w:val="Textonotapie"/>
        <w:jc w:val="both"/>
        <w:rPr>
          <w:rFonts w:ascii="Verdana" w:eastAsia="Times New Roman" w:hAnsi="Verdana" w:cs="Calibri"/>
          <w:color w:val="000000"/>
          <w:sz w:val="16"/>
          <w:szCs w:val="16"/>
          <w:lang w:val="es-AR"/>
        </w:rPr>
      </w:pPr>
      <w:r w:rsidRPr="00D419D5">
        <w:rPr>
          <w:rStyle w:val="Refdenotaalpie"/>
          <w:szCs w:val="16"/>
          <w:lang w:val="es-AR"/>
        </w:rPr>
        <w:t>*</w:t>
      </w:r>
      <w:r w:rsidRPr="00D419D5">
        <w:rPr>
          <w:rFonts w:ascii="Verdana" w:hAnsi="Verdana"/>
          <w:sz w:val="16"/>
          <w:szCs w:val="16"/>
          <w:lang w:val="es-AR"/>
        </w:rPr>
        <w:tab/>
      </w:r>
      <w:r w:rsidRPr="00D419D5">
        <w:rPr>
          <w:rFonts w:ascii="Verdana" w:eastAsia="Times New Roman" w:hAnsi="Verdana" w:cs="Calibri"/>
          <w:color w:val="000000"/>
          <w:sz w:val="16"/>
          <w:szCs w:val="16"/>
          <w:lang w:val="es-AR"/>
        </w:rPr>
        <w:t xml:space="preserve">Debido a las circunstancias excepcionales ocasionadas por la pandemia COVID-19, esta Resolución fue </w:t>
      </w:r>
      <w:r w:rsidRPr="00D419D5">
        <w:rPr>
          <w:rFonts w:ascii="Verdana" w:hAnsi="Verdana"/>
          <w:sz w:val="16"/>
          <w:szCs w:val="16"/>
        </w:rPr>
        <w:t>deliberada</w:t>
      </w:r>
      <w:r w:rsidRPr="00D419D5">
        <w:rPr>
          <w:rFonts w:ascii="Verdana" w:eastAsia="Times New Roman" w:hAnsi="Verdana" w:cs="Calibri"/>
          <w:color w:val="000000"/>
          <w:sz w:val="16"/>
          <w:szCs w:val="16"/>
          <w:lang w:val="es-AR"/>
        </w:rPr>
        <w:t xml:space="preserve"> y aprobada durante el </w:t>
      </w:r>
      <w:r w:rsidR="00C6508C" w:rsidRPr="00C6508C">
        <w:rPr>
          <w:rFonts w:ascii="Verdana" w:eastAsia="Times New Roman" w:hAnsi="Verdana" w:cs="Calibri"/>
          <w:color w:val="000000"/>
          <w:sz w:val="16"/>
          <w:szCs w:val="16"/>
          <w:lang w:val="es-AR"/>
        </w:rPr>
        <w:t>142</w:t>
      </w:r>
      <w:r w:rsidRPr="00C6508C">
        <w:rPr>
          <w:rFonts w:ascii="Verdana" w:eastAsia="Times New Roman" w:hAnsi="Verdana" w:cs="Calibri"/>
          <w:color w:val="000000"/>
          <w:sz w:val="16"/>
          <w:szCs w:val="16"/>
          <w:lang w:val="es-AR"/>
        </w:rPr>
        <w:t xml:space="preserve"> Período</w:t>
      </w:r>
      <w:r w:rsidRPr="00D419D5">
        <w:rPr>
          <w:rFonts w:ascii="Verdana" w:eastAsia="Times New Roman" w:hAnsi="Verdana" w:cs="Calibri"/>
          <w:color w:val="000000"/>
          <w:sz w:val="16"/>
          <w:szCs w:val="16"/>
          <w:lang w:val="es-AR"/>
        </w:rPr>
        <w:t xml:space="preserve"> Ordinario de Sesiones, el cual se llevó a cabo de forma no presencial utilizando medios tecnológicos de conformidad con lo establecido en el Reglamento de la Corte.</w:t>
      </w:r>
    </w:p>
    <w:p w14:paraId="5887032B" w14:textId="7444BF53" w:rsidR="008F63B0" w:rsidRPr="00832A6F" w:rsidRDefault="008F63B0" w:rsidP="004517B8">
      <w:pPr>
        <w:pStyle w:val="Textonotapie"/>
        <w:jc w:val="both"/>
        <w:rPr>
          <w:rFonts w:ascii="Verdana" w:hAnsi="Verdana"/>
          <w:sz w:val="16"/>
          <w:szCs w:val="16"/>
          <w:lang w:val="es-AR"/>
        </w:rPr>
      </w:pPr>
      <w:r w:rsidRPr="00D419D5">
        <w:rPr>
          <w:rFonts w:ascii="Verdana" w:eastAsia="Times New Roman" w:hAnsi="Verdana" w:cs="Calibri"/>
          <w:color w:val="000000"/>
          <w:sz w:val="16"/>
          <w:szCs w:val="16"/>
          <w:vertAlign w:val="superscript"/>
          <w:lang w:val="es-AR"/>
        </w:rPr>
        <w:t>**</w:t>
      </w:r>
      <w:r w:rsidRPr="00D419D5">
        <w:rPr>
          <w:rFonts w:ascii="Verdana" w:eastAsia="Times New Roman" w:hAnsi="Verdana" w:cs="Calibri"/>
          <w:color w:val="000000"/>
          <w:sz w:val="16"/>
          <w:szCs w:val="16"/>
          <w:vertAlign w:val="superscript"/>
          <w:lang w:val="es-AR"/>
        </w:rPr>
        <w:tab/>
      </w:r>
      <w:r w:rsidRPr="00D419D5">
        <w:rPr>
          <w:rFonts w:ascii="Verdana" w:hAnsi="Verdana"/>
          <w:sz w:val="16"/>
          <w:szCs w:val="16"/>
        </w:rPr>
        <w:t xml:space="preserve">El </w:t>
      </w:r>
      <w:r w:rsidRPr="00832A6F">
        <w:rPr>
          <w:rFonts w:ascii="Verdana" w:hAnsi="Verdana"/>
          <w:sz w:val="16"/>
          <w:szCs w:val="16"/>
        </w:rPr>
        <w:t>Juez Humberto A. Sierra Porto, de nacionalidad colombiana, no participó en el conocimiento y deliberación de la presente Resolución, de conformidad con lo dispuesto en el artículo 19.1 del Reglamento de la Corte.</w:t>
      </w:r>
    </w:p>
  </w:footnote>
  <w:footnote w:id="2">
    <w:p w14:paraId="53798EF7" w14:textId="5B004E34" w:rsidR="00BA75AD" w:rsidRPr="00BA75AD" w:rsidRDefault="00BA75AD" w:rsidP="00BA75AD">
      <w:pPr>
        <w:pStyle w:val="Textonotapie"/>
        <w:jc w:val="both"/>
        <w:rPr>
          <w:rFonts w:ascii="Verdana" w:hAnsi="Verdana"/>
          <w:sz w:val="16"/>
          <w:szCs w:val="16"/>
        </w:rPr>
      </w:pPr>
      <w:r w:rsidRPr="00BA75AD">
        <w:rPr>
          <w:rStyle w:val="Refdenotaalpie"/>
          <w:szCs w:val="16"/>
        </w:rPr>
        <w:footnoteRef/>
      </w:r>
      <w:r w:rsidRPr="00214508">
        <w:rPr>
          <w:rFonts w:ascii="Verdana" w:hAnsi="Verdana"/>
          <w:sz w:val="16"/>
          <w:szCs w:val="16"/>
          <w:lang w:val="pt-BR"/>
        </w:rPr>
        <w:t xml:space="preserve"> </w:t>
      </w:r>
      <w:r w:rsidRPr="00214508">
        <w:rPr>
          <w:rFonts w:ascii="Verdana" w:hAnsi="Verdana"/>
          <w:sz w:val="16"/>
          <w:szCs w:val="16"/>
          <w:lang w:val="pt-BR"/>
        </w:rPr>
        <w:tab/>
      </w:r>
      <w:r w:rsidRPr="00214508">
        <w:rPr>
          <w:rFonts w:ascii="Verdana" w:hAnsi="Verdana"/>
          <w:i/>
          <w:sz w:val="16"/>
          <w:szCs w:val="16"/>
          <w:lang w:val="pt-BR"/>
        </w:rPr>
        <w:t xml:space="preserve">Cfr. </w:t>
      </w:r>
      <w:r w:rsidRPr="00214508">
        <w:rPr>
          <w:rFonts w:ascii="Verdana" w:hAnsi="Verdana" w:cs="Arial"/>
          <w:i/>
          <w:sz w:val="16"/>
          <w:szCs w:val="16"/>
          <w:shd w:val="clear" w:color="auto" w:fill="FFFFFF"/>
          <w:lang w:val="pt-BR"/>
        </w:rPr>
        <w:t xml:space="preserve">Caso Petro </w:t>
      </w:r>
      <w:proofErr w:type="spellStart"/>
      <w:r w:rsidRPr="00214508">
        <w:rPr>
          <w:rFonts w:ascii="Verdana" w:hAnsi="Verdana" w:cs="Arial"/>
          <w:i/>
          <w:sz w:val="16"/>
          <w:szCs w:val="16"/>
          <w:shd w:val="clear" w:color="auto" w:fill="FFFFFF"/>
          <w:lang w:val="pt-BR"/>
        </w:rPr>
        <w:t>Urrego</w:t>
      </w:r>
      <w:proofErr w:type="spellEnd"/>
      <w:r w:rsidRPr="00214508">
        <w:rPr>
          <w:rFonts w:ascii="Verdana" w:hAnsi="Verdana" w:cs="Arial"/>
          <w:i/>
          <w:sz w:val="16"/>
          <w:szCs w:val="16"/>
          <w:shd w:val="clear" w:color="auto" w:fill="FFFFFF"/>
          <w:lang w:val="pt-BR"/>
        </w:rPr>
        <w:t xml:space="preserve"> Vs. </w:t>
      </w:r>
      <w:r w:rsidRPr="00BA75AD">
        <w:rPr>
          <w:rFonts w:ascii="Verdana" w:hAnsi="Verdana" w:cs="Arial"/>
          <w:i/>
          <w:sz w:val="16"/>
          <w:szCs w:val="16"/>
          <w:shd w:val="clear" w:color="auto" w:fill="FFFFFF"/>
        </w:rPr>
        <w:t>Colombia. Excepciones Preliminares, Fondo, Reparaciones y Costas.</w:t>
      </w:r>
      <w:r w:rsidRPr="00BA75AD">
        <w:rPr>
          <w:rFonts w:ascii="Verdana" w:hAnsi="Verdana" w:cs="Arial"/>
          <w:sz w:val="16"/>
          <w:szCs w:val="16"/>
          <w:shd w:val="clear" w:color="auto" w:fill="FFFFFF"/>
        </w:rPr>
        <w:t xml:space="preserve"> Sentencia de 8 de julio de 2020. Serie C No. 406. Disponible en: </w:t>
      </w:r>
      <w:hyperlink r:id="rId1" w:history="1">
        <w:r w:rsidRPr="00BA75AD">
          <w:rPr>
            <w:rStyle w:val="Hipervnculo"/>
            <w:rFonts w:ascii="Verdana" w:hAnsi="Verdana" w:cs="Arial"/>
            <w:sz w:val="16"/>
            <w:szCs w:val="16"/>
            <w:shd w:val="clear" w:color="auto" w:fill="FFFFFF"/>
          </w:rPr>
          <w:t>https://www.corteidh.or.cr/docs/casos/articulos/seriec_406_esp.pdf</w:t>
        </w:r>
      </w:hyperlink>
      <w:r w:rsidRPr="00BA75AD">
        <w:rPr>
          <w:rFonts w:ascii="Verdana" w:hAnsi="Verdana" w:cs="Arial"/>
          <w:color w:val="494848"/>
          <w:sz w:val="16"/>
          <w:szCs w:val="16"/>
          <w:shd w:val="clear" w:color="auto" w:fill="FFFFFF"/>
        </w:rPr>
        <w:t xml:space="preserve">. </w:t>
      </w:r>
      <w:r w:rsidR="007E3C80" w:rsidRPr="007D7AFE">
        <w:rPr>
          <w:rFonts w:ascii="Verdana" w:hAnsi="Verdana" w:cs="Arial"/>
          <w:sz w:val="16"/>
          <w:szCs w:val="16"/>
          <w:shd w:val="clear" w:color="auto" w:fill="FFFFFF"/>
        </w:rPr>
        <w:t xml:space="preserve">La Sentencia fue notificada el </w:t>
      </w:r>
      <w:r w:rsidR="007D7AFE" w:rsidRPr="007D7AFE">
        <w:rPr>
          <w:rFonts w:ascii="Verdana" w:hAnsi="Verdana" w:cs="Arial"/>
          <w:sz w:val="16"/>
          <w:szCs w:val="16"/>
          <w:shd w:val="clear" w:color="auto" w:fill="FFFFFF"/>
        </w:rPr>
        <w:t>18</w:t>
      </w:r>
      <w:r w:rsidR="007E3C80" w:rsidRPr="007D7AFE">
        <w:rPr>
          <w:rFonts w:ascii="Verdana" w:hAnsi="Verdana" w:cs="Arial"/>
          <w:sz w:val="16"/>
          <w:szCs w:val="16"/>
          <w:shd w:val="clear" w:color="auto" w:fill="FFFFFF"/>
        </w:rPr>
        <w:t xml:space="preserve"> de agosto de 2020. </w:t>
      </w:r>
    </w:p>
  </w:footnote>
  <w:footnote w:id="3">
    <w:p w14:paraId="1B32DA0B" w14:textId="604BCE2A" w:rsidR="007E3C80" w:rsidRPr="00AC2840" w:rsidRDefault="007E3C80" w:rsidP="007D7AFE">
      <w:pPr>
        <w:pStyle w:val="Default"/>
        <w:jc w:val="both"/>
        <w:rPr>
          <w:rFonts w:ascii="Verdana" w:hAnsi="Verdana"/>
          <w:sz w:val="16"/>
          <w:szCs w:val="16"/>
        </w:rPr>
      </w:pPr>
      <w:r w:rsidRPr="00AC2840">
        <w:rPr>
          <w:rStyle w:val="Refdenotaalpie"/>
          <w:szCs w:val="16"/>
        </w:rPr>
        <w:footnoteRef/>
      </w:r>
      <w:r w:rsidRPr="00AC2840">
        <w:rPr>
          <w:rFonts w:ascii="Verdana" w:hAnsi="Verdana"/>
          <w:sz w:val="16"/>
          <w:szCs w:val="16"/>
        </w:rPr>
        <w:t xml:space="preserve"> </w:t>
      </w:r>
      <w:r w:rsidRPr="00AC2840">
        <w:rPr>
          <w:rFonts w:ascii="Verdana" w:hAnsi="Verdana"/>
          <w:sz w:val="16"/>
          <w:szCs w:val="16"/>
        </w:rPr>
        <w:tab/>
      </w:r>
      <w:r w:rsidR="007D7AFE" w:rsidRPr="00AC2840">
        <w:rPr>
          <w:rFonts w:ascii="Verdana" w:hAnsi="Verdana"/>
          <w:sz w:val="16"/>
          <w:szCs w:val="16"/>
        </w:rPr>
        <w:t>El Colectivo de Abogados “José Alvear Restrepo” (CAJAR) y la Asociación para la Promoción Social Alternativa – MINGA.</w:t>
      </w:r>
    </w:p>
  </w:footnote>
  <w:footnote w:id="4">
    <w:p w14:paraId="142D1823" w14:textId="77777777" w:rsidR="00F1757B" w:rsidRPr="00AC2840" w:rsidRDefault="00F1757B" w:rsidP="00F1757B">
      <w:pPr>
        <w:pStyle w:val="Textonotapie"/>
        <w:jc w:val="both"/>
        <w:rPr>
          <w:rFonts w:ascii="Verdana" w:hAnsi="Verdana"/>
          <w:sz w:val="16"/>
          <w:szCs w:val="16"/>
          <w:lang w:val="es-CR"/>
        </w:rPr>
      </w:pPr>
      <w:r w:rsidRPr="00AC2840">
        <w:rPr>
          <w:rStyle w:val="Refdenotaalpie"/>
          <w:szCs w:val="16"/>
        </w:rPr>
        <w:footnoteRef/>
      </w:r>
      <w:r w:rsidRPr="00214508">
        <w:rPr>
          <w:rFonts w:ascii="Verdana" w:hAnsi="Verdana"/>
          <w:sz w:val="16"/>
          <w:szCs w:val="16"/>
          <w:lang w:val="pt-BR"/>
        </w:rPr>
        <w:t xml:space="preserve"> </w:t>
      </w:r>
      <w:r w:rsidRPr="00214508">
        <w:rPr>
          <w:rFonts w:ascii="Verdana" w:hAnsi="Verdana"/>
          <w:sz w:val="16"/>
          <w:szCs w:val="16"/>
          <w:lang w:val="pt-BR"/>
        </w:rPr>
        <w:tab/>
      </w:r>
      <w:r w:rsidRPr="00214508">
        <w:rPr>
          <w:rFonts w:ascii="Verdana" w:hAnsi="Verdana"/>
          <w:i/>
          <w:iCs/>
          <w:sz w:val="16"/>
          <w:szCs w:val="16"/>
          <w:lang w:val="pt-BR"/>
        </w:rPr>
        <w:t>Cfr.</w:t>
      </w:r>
      <w:r w:rsidRPr="00214508">
        <w:rPr>
          <w:rFonts w:ascii="Verdana" w:hAnsi="Verdana"/>
          <w:sz w:val="16"/>
          <w:szCs w:val="16"/>
          <w:lang w:val="pt-BR"/>
        </w:rPr>
        <w:t xml:space="preserve"> </w:t>
      </w:r>
      <w:r w:rsidRPr="00214508">
        <w:rPr>
          <w:rFonts w:ascii="Verdana" w:hAnsi="Verdana"/>
          <w:i/>
          <w:sz w:val="16"/>
          <w:szCs w:val="16"/>
          <w:lang w:val="pt-BR"/>
        </w:rPr>
        <w:t xml:space="preserve">Caso Petro </w:t>
      </w:r>
      <w:proofErr w:type="spellStart"/>
      <w:r w:rsidRPr="00214508">
        <w:rPr>
          <w:rFonts w:ascii="Verdana" w:hAnsi="Verdana"/>
          <w:i/>
          <w:sz w:val="16"/>
          <w:szCs w:val="16"/>
          <w:lang w:val="pt-BR"/>
        </w:rPr>
        <w:t>Urrego</w:t>
      </w:r>
      <w:proofErr w:type="spellEnd"/>
      <w:r w:rsidRPr="00214508">
        <w:rPr>
          <w:rFonts w:ascii="Verdana" w:hAnsi="Verdana"/>
          <w:i/>
          <w:sz w:val="16"/>
          <w:szCs w:val="16"/>
          <w:lang w:val="pt-BR"/>
        </w:rPr>
        <w:t xml:space="preserve"> Vs. </w:t>
      </w:r>
      <w:r w:rsidRPr="00AC2840">
        <w:rPr>
          <w:rFonts w:ascii="Verdana" w:hAnsi="Verdana"/>
          <w:i/>
          <w:sz w:val="16"/>
          <w:szCs w:val="16"/>
        </w:rPr>
        <w:t>Colombia, supra</w:t>
      </w:r>
      <w:r w:rsidRPr="00AC2840">
        <w:rPr>
          <w:rFonts w:ascii="Verdana" w:hAnsi="Verdana"/>
          <w:sz w:val="16"/>
          <w:szCs w:val="16"/>
        </w:rPr>
        <w:t xml:space="preserve"> nota 1, punto resolutivo 8 y </w:t>
      </w:r>
      <w:proofErr w:type="spellStart"/>
      <w:r w:rsidRPr="00AC2840">
        <w:rPr>
          <w:rFonts w:ascii="Verdana" w:hAnsi="Verdana"/>
          <w:sz w:val="16"/>
          <w:szCs w:val="16"/>
        </w:rPr>
        <w:t>párrs</w:t>
      </w:r>
      <w:proofErr w:type="spellEnd"/>
      <w:r w:rsidRPr="00AC2840">
        <w:rPr>
          <w:rFonts w:ascii="Verdana" w:hAnsi="Verdana"/>
          <w:sz w:val="16"/>
          <w:szCs w:val="16"/>
        </w:rPr>
        <w:t xml:space="preserve">. </w:t>
      </w:r>
      <w:r>
        <w:rPr>
          <w:rFonts w:ascii="Verdana" w:hAnsi="Verdana"/>
          <w:sz w:val="16"/>
          <w:szCs w:val="16"/>
        </w:rPr>
        <w:t xml:space="preserve">100, </w:t>
      </w:r>
      <w:r w:rsidRPr="00AC2840">
        <w:rPr>
          <w:rFonts w:ascii="Verdana" w:hAnsi="Verdana"/>
          <w:sz w:val="16"/>
          <w:szCs w:val="16"/>
        </w:rPr>
        <w:t>111 a 116 y 154.</w:t>
      </w:r>
    </w:p>
  </w:footnote>
  <w:footnote w:id="5">
    <w:p w14:paraId="1F731961" w14:textId="55F8201D" w:rsidR="00AC2840" w:rsidRPr="00AC2840" w:rsidRDefault="00AC2840">
      <w:pPr>
        <w:pStyle w:val="Textonotapie"/>
      </w:pPr>
      <w:r w:rsidRPr="00AC2840">
        <w:rPr>
          <w:rStyle w:val="Refdenotaalpie"/>
          <w:szCs w:val="16"/>
        </w:rPr>
        <w:footnoteRef/>
      </w:r>
      <w:r w:rsidRPr="00AC2840">
        <w:rPr>
          <w:rFonts w:ascii="Verdana" w:hAnsi="Verdana"/>
          <w:sz w:val="16"/>
          <w:szCs w:val="16"/>
        </w:rPr>
        <w:t xml:space="preserve"> </w:t>
      </w:r>
      <w:r w:rsidRPr="00AC2840">
        <w:rPr>
          <w:rFonts w:ascii="Verdana" w:hAnsi="Verdana"/>
          <w:sz w:val="16"/>
          <w:szCs w:val="16"/>
        </w:rPr>
        <w:tab/>
      </w:r>
      <w:r w:rsidRPr="00AC2840">
        <w:rPr>
          <w:rFonts w:ascii="Verdana" w:hAnsi="Verdana"/>
          <w:i/>
          <w:iCs/>
          <w:sz w:val="16"/>
          <w:szCs w:val="16"/>
        </w:rPr>
        <w:t>Cfr.</w:t>
      </w:r>
      <w:r w:rsidRPr="00AC2840">
        <w:rPr>
          <w:rFonts w:ascii="Verdana" w:hAnsi="Verdana"/>
          <w:sz w:val="16"/>
          <w:szCs w:val="16"/>
        </w:rPr>
        <w:t xml:space="preserve"> </w:t>
      </w:r>
      <w:r w:rsidRPr="00AC2840">
        <w:rPr>
          <w:rFonts w:ascii="Verdana" w:hAnsi="Verdana"/>
          <w:i/>
          <w:sz w:val="16"/>
          <w:szCs w:val="16"/>
        </w:rPr>
        <w:t>Caso Petro Urrego Vs. Colombia, supra</w:t>
      </w:r>
      <w:r w:rsidRPr="00AC2840">
        <w:rPr>
          <w:rFonts w:ascii="Verdana" w:hAnsi="Verdana"/>
          <w:sz w:val="16"/>
          <w:szCs w:val="16"/>
        </w:rPr>
        <w:t xml:space="preserve"> nota 1, punto resolutivo 10.</w:t>
      </w:r>
      <w:r>
        <w:rPr>
          <w:rFonts w:ascii="Verdana" w:hAnsi="Verdana"/>
          <w:sz w:val="16"/>
          <w:szCs w:val="16"/>
        </w:rPr>
        <w:t xml:space="preserve"> </w:t>
      </w:r>
    </w:p>
  </w:footnote>
  <w:footnote w:id="6">
    <w:p w14:paraId="2B07C102" w14:textId="7FF325FC" w:rsidR="008F63B0" w:rsidRPr="000F2006" w:rsidRDefault="008F63B0" w:rsidP="00521F0B">
      <w:pPr>
        <w:pStyle w:val="Textonotapie"/>
        <w:jc w:val="both"/>
        <w:rPr>
          <w:rFonts w:ascii="Verdana" w:hAnsi="Verdana"/>
          <w:sz w:val="16"/>
          <w:szCs w:val="16"/>
        </w:rPr>
      </w:pPr>
      <w:r w:rsidRPr="00D419D5">
        <w:rPr>
          <w:rStyle w:val="Refdenotaalpie"/>
          <w:szCs w:val="16"/>
        </w:rPr>
        <w:footnoteRef/>
      </w:r>
      <w:r w:rsidRPr="00D419D5">
        <w:rPr>
          <w:rFonts w:ascii="Verdana" w:hAnsi="Verdana"/>
          <w:sz w:val="16"/>
          <w:szCs w:val="16"/>
        </w:rPr>
        <w:t xml:space="preserve"> </w:t>
      </w:r>
      <w:r w:rsidRPr="00D419D5">
        <w:rPr>
          <w:rFonts w:ascii="Verdana" w:hAnsi="Verdana"/>
          <w:sz w:val="16"/>
          <w:szCs w:val="16"/>
        </w:rPr>
        <w:tab/>
      </w:r>
      <w:r w:rsidRPr="000F2006">
        <w:rPr>
          <w:rFonts w:ascii="Verdana" w:hAnsi="Verdana"/>
          <w:i/>
          <w:sz w:val="16"/>
          <w:szCs w:val="16"/>
        </w:rPr>
        <w:t xml:space="preserve">Cfr. Caso Herrera Ulloa respecto de Costa Rica. Medidas Provisionales. </w:t>
      </w:r>
      <w:r w:rsidRPr="000F2006">
        <w:rPr>
          <w:rFonts w:ascii="Verdana" w:hAnsi="Verdana"/>
          <w:sz w:val="16"/>
          <w:szCs w:val="16"/>
        </w:rPr>
        <w:t xml:space="preserve">Resolución de la Corte Interamericana de Derechos Humanos de 7 de septiembre de 2001, Considerando 4, y </w:t>
      </w:r>
      <w:r w:rsidR="000F2006" w:rsidRPr="000F2006">
        <w:rPr>
          <w:rFonts w:ascii="Verdana" w:hAnsi="Verdana" w:cs="Arial"/>
          <w:i/>
          <w:sz w:val="16"/>
          <w:szCs w:val="16"/>
          <w:shd w:val="clear" w:color="auto" w:fill="FFFFFF"/>
        </w:rPr>
        <w:t>Casos de la Masacre de Pueblo Bello, Caso de las Masacres de Ituango y Caso Valle Jaramillo y otros Vs. Colombia. Solicitud de Medidas Provisionales y Supervisión Cumplimiento de Sentencia.</w:t>
      </w:r>
      <w:r w:rsidR="000F2006" w:rsidRPr="000F2006">
        <w:rPr>
          <w:rFonts w:ascii="Verdana" w:hAnsi="Verdana" w:cs="Arial"/>
          <w:sz w:val="16"/>
          <w:szCs w:val="16"/>
          <w:shd w:val="clear" w:color="auto" w:fill="FFFFFF"/>
        </w:rPr>
        <w:t xml:space="preserve"> Resolución de la Corte Interamericana de Derechos Humanos de 3 de septiembre de 2020, Considerando </w:t>
      </w:r>
      <w:r w:rsidR="00803003">
        <w:rPr>
          <w:rFonts w:ascii="Verdana" w:hAnsi="Verdana" w:cs="Arial"/>
          <w:sz w:val="16"/>
          <w:szCs w:val="16"/>
          <w:shd w:val="clear" w:color="auto" w:fill="FFFFFF"/>
        </w:rPr>
        <w:t>15</w:t>
      </w:r>
      <w:r w:rsidR="000F2006" w:rsidRPr="000F2006">
        <w:rPr>
          <w:rFonts w:ascii="Verdana" w:hAnsi="Verdana" w:cs="Arial"/>
          <w:sz w:val="16"/>
          <w:szCs w:val="16"/>
          <w:shd w:val="clear" w:color="auto" w:fill="FFFFFF"/>
        </w:rPr>
        <w:t>.</w:t>
      </w:r>
    </w:p>
  </w:footnote>
  <w:footnote w:id="7">
    <w:p w14:paraId="6384224C" w14:textId="5BA31549" w:rsidR="008F63B0" w:rsidRPr="00D419D5" w:rsidRDefault="008F63B0" w:rsidP="00BF482C">
      <w:pPr>
        <w:pStyle w:val="Textonotapie"/>
        <w:jc w:val="both"/>
        <w:rPr>
          <w:rFonts w:ascii="Verdana" w:hAnsi="Verdana"/>
          <w:b/>
          <w:sz w:val="16"/>
          <w:szCs w:val="16"/>
          <w:lang w:val="es-MX"/>
        </w:rPr>
      </w:pPr>
      <w:r w:rsidRPr="00D419D5">
        <w:rPr>
          <w:rStyle w:val="Refdenotaalpie"/>
          <w:szCs w:val="16"/>
        </w:rPr>
        <w:footnoteRef/>
      </w:r>
      <w:r w:rsidRPr="00D419D5">
        <w:rPr>
          <w:rFonts w:ascii="Verdana" w:hAnsi="Verdana"/>
          <w:sz w:val="16"/>
          <w:szCs w:val="16"/>
        </w:rPr>
        <w:t xml:space="preserve"> </w:t>
      </w:r>
      <w:r w:rsidRPr="00D419D5">
        <w:rPr>
          <w:rFonts w:ascii="Verdana" w:hAnsi="Verdana"/>
          <w:sz w:val="16"/>
          <w:szCs w:val="16"/>
        </w:rPr>
        <w:tab/>
      </w:r>
      <w:r w:rsidRPr="00D419D5">
        <w:rPr>
          <w:rFonts w:ascii="Verdana" w:hAnsi="Verdana"/>
          <w:i/>
          <w:sz w:val="16"/>
          <w:szCs w:val="16"/>
        </w:rPr>
        <w:t>Cfr. E</w:t>
      </w:r>
      <w:r w:rsidRPr="00D419D5">
        <w:rPr>
          <w:rFonts w:ascii="Verdana" w:hAnsi="Verdana"/>
          <w:sz w:val="16"/>
          <w:szCs w:val="16"/>
        </w:rPr>
        <w:t>ntre otros,</w:t>
      </w:r>
      <w:r w:rsidRPr="00D419D5">
        <w:rPr>
          <w:rFonts w:ascii="Verdana" w:hAnsi="Verdana"/>
          <w:b/>
          <w:bCs/>
          <w:i/>
          <w:sz w:val="16"/>
          <w:szCs w:val="16"/>
        </w:rPr>
        <w:t xml:space="preserve"> </w:t>
      </w:r>
      <w:r w:rsidRPr="00D419D5">
        <w:rPr>
          <w:rStyle w:val="Textoennegrita"/>
          <w:rFonts w:ascii="Verdana" w:hAnsi="Verdana"/>
          <w:b w:val="0"/>
          <w:bCs w:val="0"/>
          <w:i/>
          <w:color w:val="000000"/>
          <w:sz w:val="16"/>
          <w:szCs w:val="16"/>
          <w:shd w:val="clear" w:color="auto" w:fill="FFFFFF"/>
        </w:rPr>
        <w:t>Caso Juan Humberto Sánchez respecto Honduras. Solicitud de Medidas Provisionales.</w:t>
      </w:r>
      <w:r w:rsidRPr="00D419D5">
        <w:rPr>
          <w:rStyle w:val="Textoennegrita"/>
          <w:rFonts w:ascii="Verdana" w:hAnsi="Verdana"/>
          <w:b w:val="0"/>
          <w:bCs w:val="0"/>
          <w:color w:val="000000"/>
          <w:sz w:val="16"/>
          <w:szCs w:val="16"/>
          <w:shd w:val="clear" w:color="auto" w:fill="FFFFFF"/>
        </w:rPr>
        <w:t xml:space="preserve"> Resolución de la Corte Interamericana de Derechos Humanos de 7 de febrero de 2006,</w:t>
      </w:r>
      <w:r w:rsidR="00235A75">
        <w:rPr>
          <w:rStyle w:val="Textoennegrita"/>
          <w:rFonts w:ascii="Verdana" w:hAnsi="Verdana"/>
          <w:b w:val="0"/>
          <w:bCs w:val="0"/>
          <w:color w:val="000000"/>
          <w:sz w:val="16"/>
          <w:szCs w:val="16"/>
          <w:shd w:val="clear" w:color="auto" w:fill="FFFFFF"/>
        </w:rPr>
        <w:t xml:space="preserve"> Considerando 8</w:t>
      </w:r>
      <w:r w:rsidR="000F2006">
        <w:rPr>
          <w:rStyle w:val="Textoennegrita"/>
          <w:rFonts w:ascii="Verdana" w:hAnsi="Verdana"/>
          <w:b w:val="0"/>
          <w:bCs w:val="0"/>
          <w:color w:val="000000"/>
          <w:sz w:val="16"/>
          <w:szCs w:val="16"/>
          <w:shd w:val="clear" w:color="auto" w:fill="FFFFFF"/>
        </w:rPr>
        <w:t>,</w:t>
      </w:r>
      <w:r w:rsidRPr="00D419D5">
        <w:rPr>
          <w:rStyle w:val="Textoennegrita"/>
          <w:rFonts w:ascii="Verdana" w:hAnsi="Verdana"/>
          <w:b w:val="0"/>
          <w:bCs w:val="0"/>
          <w:color w:val="000000"/>
          <w:sz w:val="16"/>
          <w:szCs w:val="16"/>
          <w:shd w:val="clear" w:color="auto" w:fill="FFFFFF"/>
        </w:rPr>
        <w:t xml:space="preserve"> y </w:t>
      </w:r>
      <w:r w:rsidR="00803003" w:rsidRPr="000F2006">
        <w:rPr>
          <w:rFonts w:ascii="Verdana" w:hAnsi="Verdana" w:cs="Arial"/>
          <w:i/>
          <w:sz w:val="16"/>
          <w:szCs w:val="16"/>
          <w:shd w:val="clear" w:color="auto" w:fill="FFFFFF"/>
        </w:rPr>
        <w:t>Casos de la Masacre de Pueblo Bello, Caso de las Masacres de Ituango y Caso Valle</w:t>
      </w:r>
      <w:r w:rsidR="00803003">
        <w:rPr>
          <w:rFonts w:ascii="Verdana" w:hAnsi="Verdana" w:cs="Arial"/>
          <w:i/>
          <w:sz w:val="16"/>
          <w:szCs w:val="16"/>
          <w:shd w:val="clear" w:color="auto" w:fill="FFFFFF"/>
        </w:rPr>
        <w:t xml:space="preserve"> Jaramillo y otros Vs. Colombia, supra </w:t>
      </w:r>
      <w:r w:rsidR="00803003" w:rsidRPr="00803003">
        <w:rPr>
          <w:rFonts w:ascii="Verdana" w:hAnsi="Verdana" w:cs="Arial"/>
          <w:sz w:val="16"/>
          <w:szCs w:val="16"/>
          <w:shd w:val="clear" w:color="auto" w:fill="FFFFFF"/>
        </w:rPr>
        <w:t>nota 5, Considerando 20.</w:t>
      </w:r>
      <w:r w:rsidR="00803003">
        <w:rPr>
          <w:rFonts w:ascii="Verdana" w:hAnsi="Verdana" w:cs="Arial"/>
          <w:i/>
          <w:sz w:val="16"/>
          <w:szCs w:val="16"/>
          <w:shd w:val="clear" w:color="auto" w:fill="FFFFFF"/>
        </w:rPr>
        <w:t xml:space="preserve"> </w:t>
      </w:r>
    </w:p>
  </w:footnote>
  <w:footnote w:id="8">
    <w:p w14:paraId="5F249CC4" w14:textId="1F9A651E" w:rsidR="008F63B0" w:rsidRPr="00D419D5" w:rsidRDefault="008F63B0" w:rsidP="00BF482C">
      <w:pPr>
        <w:pStyle w:val="Textonotapie"/>
        <w:jc w:val="both"/>
        <w:rPr>
          <w:rFonts w:ascii="Verdana" w:hAnsi="Verdana"/>
          <w:sz w:val="16"/>
          <w:szCs w:val="16"/>
        </w:rPr>
      </w:pPr>
      <w:r w:rsidRPr="00D419D5">
        <w:rPr>
          <w:rStyle w:val="Refdenotaalpie"/>
          <w:szCs w:val="16"/>
        </w:rPr>
        <w:footnoteRef/>
      </w:r>
      <w:r w:rsidRPr="00D419D5">
        <w:rPr>
          <w:rFonts w:ascii="Verdana" w:hAnsi="Verdana"/>
          <w:sz w:val="16"/>
          <w:szCs w:val="16"/>
        </w:rPr>
        <w:t xml:space="preserve"> </w:t>
      </w:r>
      <w:r w:rsidRPr="00D419D5">
        <w:rPr>
          <w:rFonts w:ascii="Verdana" w:hAnsi="Verdana"/>
          <w:sz w:val="16"/>
          <w:szCs w:val="16"/>
        </w:rPr>
        <w:tab/>
      </w:r>
      <w:r w:rsidRPr="00D419D5">
        <w:rPr>
          <w:rFonts w:ascii="Verdana" w:hAnsi="Verdana"/>
          <w:i/>
          <w:sz w:val="16"/>
          <w:szCs w:val="16"/>
        </w:rPr>
        <w:t>Cfr.</w:t>
      </w:r>
      <w:r w:rsidRPr="00D419D5">
        <w:rPr>
          <w:rFonts w:ascii="Verdana" w:hAnsi="Verdana"/>
          <w:sz w:val="16"/>
          <w:szCs w:val="16"/>
        </w:rPr>
        <w:t xml:space="preserve"> </w:t>
      </w:r>
      <w:r w:rsidRPr="00D419D5">
        <w:rPr>
          <w:rFonts w:ascii="Verdana" w:hAnsi="Verdana"/>
          <w:bCs/>
          <w:i/>
          <w:sz w:val="16"/>
          <w:szCs w:val="16"/>
        </w:rPr>
        <w:t>Caso Durand y Ugarte Vs. Perú. Medidas Provisionales.</w:t>
      </w:r>
      <w:r w:rsidRPr="00D419D5">
        <w:rPr>
          <w:rFonts w:ascii="Verdana" w:hAnsi="Verdana"/>
          <w:bCs/>
          <w:sz w:val="16"/>
          <w:szCs w:val="16"/>
        </w:rPr>
        <w:t xml:space="preserve"> Resolución de la Corte Interamericana de Derechos Humanos de 8 de febrero de 2018 y </w:t>
      </w:r>
      <w:r w:rsidRPr="00D419D5">
        <w:rPr>
          <w:rFonts w:ascii="Verdana" w:hAnsi="Verdana" w:cs="Arial"/>
          <w:i/>
          <w:iCs/>
          <w:sz w:val="16"/>
          <w:szCs w:val="16"/>
          <w:shd w:val="clear" w:color="auto" w:fill="FFFFFF"/>
        </w:rPr>
        <w:t xml:space="preserve">Caso del Penal Miguel Castro </w:t>
      </w:r>
      <w:proofErr w:type="spellStart"/>
      <w:r w:rsidRPr="00D419D5">
        <w:rPr>
          <w:rFonts w:ascii="Verdana" w:hAnsi="Verdana" w:cs="Arial"/>
          <w:i/>
          <w:iCs/>
          <w:sz w:val="16"/>
          <w:szCs w:val="16"/>
          <w:shd w:val="clear" w:color="auto" w:fill="FFFFFF"/>
        </w:rPr>
        <w:t>Castro</w:t>
      </w:r>
      <w:proofErr w:type="spellEnd"/>
      <w:r w:rsidRPr="00D419D5">
        <w:rPr>
          <w:rFonts w:ascii="Verdana" w:hAnsi="Verdana" w:cs="Arial"/>
          <w:i/>
          <w:iCs/>
          <w:sz w:val="16"/>
          <w:szCs w:val="16"/>
          <w:shd w:val="clear" w:color="auto" w:fill="FFFFFF"/>
        </w:rPr>
        <w:t xml:space="preserve"> Vs. Perú. Solicitud de Medidas Provisionales y Supervisión Cumplimiento de Sentencia. </w:t>
      </w:r>
      <w:r w:rsidRPr="00D419D5">
        <w:rPr>
          <w:rFonts w:ascii="Verdana" w:hAnsi="Verdana" w:cs="Arial"/>
          <w:sz w:val="16"/>
          <w:szCs w:val="16"/>
          <w:shd w:val="clear" w:color="auto" w:fill="FFFFFF"/>
        </w:rPr>
        <w:t>Resolución de la Corte Interamericana de Derechos Humanos de 29 de julio de 2020.</w:t>
      </w:r>
    </w:p>
  </w:footnote>
  <w:footnote w:id="9">
    <w:p w14:paraId="3F6FEEBF" w14:textId="1FE6A341" w:rsidR="00E97E34" w:rsidRPr="00CC12FD" w:rsidRDefault="00E97E34" w:rsidP="00E97E34">
      <w:pPr>
        <w:jc w:val="both"/>
        <w:rPr>
          <w:rFonts w:ascii="Verdana" w:hAnsi="Verdana"/>
          <w:b/>
          <w:smallCaps/>
          <w:sz w:val="16"/>
          <w:szCs w:val="16"/>
          <w:lang w:val="es-MX"/>
        </w:rPr>
      </w:pPr>
      <w:r w:rsidRPr="00CC12FD">
        <w:rPr>
          <w:rStyle w:val="Refdenotaalpie"/>
          <w:szCs w:val="16"/>
        </w:rPr>
        <w:footnoteRef/>
      </w:r>
      <w:r w:rsidRPr="00CC12FD">
        <w:rPr>
          <w:rFonts w:ascii="Verdana" w:hAnsi="Verdana"/>
          <w:sz w:val="16"/>
          <w:szCs w:val="16"/>
          <w:lang w:val="es-MX"/>
        </w:rPr>
        <w:tab/>
      </w:r>
      <w:r w:rsidRPr="00CC12FD">
        <w:rPr>
          <w:rFonts w:ascii="Verdana" w:hAnsi="Verdana"/>
          <w:i/>
          <w:sz w:val="16"/>
          <w:szCs w:val="16"/>
          <w:lang w:val="es-MX"/>
        </w:rPr>
        <w:t>Cfr. Responsabilidad Internacional por Expedición y Aplicación de Leyes Violatorias de la Convención</w:t>
      </w:r>
      <w:r w:rsidRPr="00CC12FD">
        <w:rPr>
          <w:rFonts w:ascii="Verdana" w:hAnsi="Verdana"/>
          <w:sz w:val="16"/>
          <w:szCs w:val="16"/>
          <w:lang w:val="es-MX"/>
        </w:rPr>
        <w:t xml:space="preserve"> (arts. 1 y 2 Convención Americana sobre Derechos Humanos). Opinión Consultiva OC-14/94 de 9 de diciembre de 1994. Serie A No. 14, párr. 35</w:t>
      </w:r>
      <w:r>
        <w:rPr>
          <w:rFonts w:ascii="Verdana" w:hAnsi="Verdana"/>
          <w:sz w:val="16"/>
          <w:szCs w:val="16"/>
          <w:lang w:val="es-MX"/>
        </w:rPr>
        <w:t>, y</w:t>
      </w:r>
      <w:r w:rsidR="00A3633E" w:rsidRPr="00A3633E">
        <w:t xml:space="preserve"> </w:t>
      </w:r>
      <w:r w:rsidR="00A3633E" w:rsidRPr="005F4642">
        <w:rPr>
          <w:rFonts w:ascii="Verdana" w:hAnsi="Verdana"/>
          <w:i/>
          <w:sz w:val="16"/>
          <w:szCs w:val="16"/>
        </w:rPr>
        <w:t>Caso Herzog y otros Vs. Brasil. Excepciones Preliminares, Fondo, Reparaciones y Costas</w:t>
      </w:r>
      <w:r w:rsidR="00A3633E" w:rsidRPr="00A3633E">
        <w:rPr>
          <w:rFonts w:ascii="Verdana" w:hAnsi="Verdana"/>
          <w:sz w:val="16"/>
          <w:szCs w:val="16"/>
        </w:rPr>
        <w:t>. Sentencia de 15 de marzo de 2018. Serie C No. 353</w:t>
      </w:r>
      <w:r w:rsidR="00A3633E">
        <w:rPr>
          <w:rFonts w:ascii="Verdana" w:hAnsi="Verdana"/>
          <w:sz w:val="16"/>
          <w:szCs w:val="16"/>
        </w:rPr>
        <w:t>, párr. 311.</w:t>
      </w:r>
      <w:r>
        <w:rPr>
          <w:rFonts w:ascii="Verdana" w:hAnsi="Verdana"/>
          <w:sz w:val="16"/>
          <w:szCs w:val="16"/>
          <w:lang w:val="es-MX"/>
        </w:rPr>
        <w:t xml:space="preserve"> </w:t>
      </w:r>
    </w:p>
  </w:footnote>
  <w:footnote w:id="10">
    <w:p w14:paraId="22FC8988" w14:textId="0BB42631" w:rsidR="00E97E34" w:rsidRPr="003D0048" w:rsidRDefault="00E97E34" w:rsidP="003D0048">
      <w:pPr>
        <w:tabs>
          <w:tab w:val="left" w:pos="520"/>
          <w:tab w:val="left" w:pos="720"/>
          <w:tab w:val="left" w:pos="1100"/>
          <w:tab w:val="left" w:pos="1440"/>
          <w:tab w:val="left" w:pos="2160"/>
          <w:tab w:val="left" w:pos="2880"/>
          <w:tab w:val="left" w:pos="3600"/>
          <w:tab w:val="left" w:pos="4320"/>
          <w:tab w:val="left" w:pos="5040"/>
          <w:tab w:val="left" w:pos="5760"/>
          <w:tab w:val="left" w:pos="6300"/>
          <w:tab w:val="left" w:pos="6480"/>
          <w:tab w:val="left" w:pos="7200"/>
          <w:tab w:val="left" w:pos="7920"/>
        </w:tabs>
        <w:jc w:val="both"/>
        <w:rPr>
          <w:rFonts w:ascii="Verdana" w:hAnsi="Verdana" w:cs="Arial"/>
          <w:i/>
          <w:sz w:val="16"/>
          <w:szCs w:val="16"/>
          <w:lang w:val="es-MX"/>
        </w:rPr>
      </w:pPr>
      <w:r w:rsidRPr="00CC12FD">
        <w:rPr>
          <w:rStyle w:val="Refdenotaalpie"/>
          <w:szCs w:val="16"/>
        </w:rPr>
        <w:footnoteRef/>
      </w:r>
      <w:r w:rsidRPr="00CC12FD">
        <w:rPr>
          <w:rFonts w:ascii="Verdana" w:hAnsi="Verdana"/>
          <w:sz w:val="16"/>
          <w:szCs w:val="16"/>
          <w:lang w:val="es-MX"/>
        </w:rPr>
        <w:tab/>
      </w:r>
      <w:r w:rsidRPr="00CC12FD">
        <w:rPr>
          <w:rFonts w:ascii="Verdana" w:hAnsi="Verdana"/>
          <w:bCs/>
          <w:i/>
          <w:color w:val="000000"/>
          <w:sz w:val="16"/>
          <w:szCs w:val="16"/>
          <w:lang w:val="es-MX"/>
        </w:rPr>
        <w:t xml:space="preserve">Cfr. </w:t>
      </w:r>
      <w:r w:rsidRPr="00CC12FD">
        <w:rPr>
          <w:rFonts w:ascii="Verdana" w:hAnsi="Verdana"/>
          <w:i/>
          <w:sz w:val="16"/>
          <w:szCs w:val="16"/>
          <w:lang w:val="es-MX"/>
        </w:rPr>
        <w:t xml:space="preserve">Caso </w:t>
      </w:r>
      <w:proofErr w:type="spellStart"/>
      <w:r w:rsidRPr="00CC12FD">
        <w:rPr>
          <w:rFonts w:ascii="Verdana" w:hAnsi="Verdana"/>
          <w:i/>
          <w:sz w:val="16"/>
          <w:szCs w:val="16"/>
          <w:lang w:val="es-MX"/>
        </w:rPr>
        <w:t>Ivcher</w:t>
      </w:r>
      <w:proofErr w:type="spellEnd"/>
      <w:r w:rsidRPr="00CC12FD">
        <w:rPr>
          <w:rFonts w:ascii="Verdana" w:hAnsi="Verdana"/>
          <w:i/>
          <w:sz w:val="16"/>
          <w:szCs w:val="16"/>
          <w:lang w:val="es-MX"/>
        </w:rPr>
        <w:t xml:space="preserve"> </w:t>
      </w:r>
      <w:proofErr w:type="spellStart"/>
      <w:r w:rsidRPr="00CC12FD">
        <w:rPr>
          <w:rFonts w:ascii="Verdana" w:hAnsi="Verdana"/>
          <w:i/>
          <w:sz w:val="16"/>
          <w:szCs w:val="16"/>
          <w:lang w:val="es-MX"/>
        </w:rPr>
        <w:t>Bronstein</w:t>
      </w:r>
      <w:proofErr w:type="spellEnd"/>
      <w:r w:rsidRPr="00CC12FD">
        <w:rPr>
          <w:rFonts w:ascii="Verdana" w:hAnsi="Verdana"/>
          <w:i/>
          <w:sz w:val="16"/>
          <w:szCs w:val="16"/>
          <w:lang w:val="es-MX"/>
        </w:rPr>
        <w:t xml:space="preserve"> Vs. Perú</w:t>
      </w:r>
      <w:r w:rsidRPr="00CC12FD">
        <w:rPr>
          <w:rFonts w:ascii="Verdana" w:hAnsi="Verdana"/>
          <w:sz w:val="16"/>
          <w:szCs w:val="16"/>
          <w:lang w:val="es-MX"/>
        </w:rPr>
        <w:t>. Competencia. Sentencia de 24 de septiembre de 1999. Serie C No. 54, párr. 37</w:t>
      </w:r>
      <w:r>
        <w:rPr>
          <w:rFonts w:ascii="Verdana" w:hAnsi="Verdana"/>
          <w:sz w:val="16"/>
          <w:szCs w:val="16"/>
          <w:lang w:val="es-MX"/>
        </w:rPr>
        <w:t>, y</w:t>
      </w:r>
      <w:r w:rsidRPr="00CC12FD">
        <w:rPr>
          <w:rFonts w:ascii="Verdana" w:hAnsi="Verdana"/>
          <w:i/>
          <w:sz w:val="16"/>
          <w:szCs w:val="16"/>
          <w:lang w:val="es-MX"/>
        </w:rPr>
        <w:t xml:space="preserve"> </w:t>
      </w:r>
      <w:r w:rsidR="00A3633E" w:rsidRPr="001D0B26">
        <w:rPr>
          <w:rFonts w:ascii="Verdana" w:hAnsi="Verdana"/>
          <w:i/>
          <w:sz w:val="16"/>
          <w:szCs w:val="16"/>
        </w:rPr>
        <w:t>Caso Herzog y otros Vs. Brasil</w:t>
      </w:r>
      <w:r w:rsidR="005F4642">
        <w:rPr>
          <w:rFonts w:ascii="Verdana" w:hAnsi="Verdana"/>
          <w:i/>
          <w:sz w:val="16"/>
          <w:szCs w:val="16"/>
        </w:rPr>
        <w:t xml:space="preserve">, supra </w:t>
      </w:r>
      <w:r w:rsidR="005F4642" w:rsidRPr="005F4642">
        <w:rPr>
          <w:rFonts w:ascii="Verdana" w:hAnsi="Verdana"/>
          <w:sz w:val="16"/>
          <w:szCs w:val="16"/>
        </w:rPr>
        <w:t>nota 8</w:t>
      </w:r>
      <w:r w:rsidR="005F4642">
        <w:rPr>
          <w:rFonts w:ascii="Verdana" w:hAnsi="Verdana"/>
          <w:i/>
          <w:sz w:val="16"/>
          <w:szCs w:val="16"/>
        </w:rPr>
        <w:t>.</w:t>
      </w:r>
    </w:p>
  </w:footnote>
  <w:footnote w:id="11">
    <w:p w14:paraId="5D5A323F" w14:textId="4239C3CD" w:rsidR="00E97E34" w:rsidRPr="003C4A6B" w:rsidRDefault="00E97E34" w:rsidP="003C4A6B">
      <w:pPr>
        <w:jc w:val="both"/>
        <w:rPr>
          <w:rFonts w:ascii="Verdana" w:hAnsi="Verdana"/>
          <w:sz w:val="16"/>
          <w:szCs w:val="16"/>
          <w:lang w:val="es-CR" w:eastAsia="es-CR"/>
        </w:rPr>
      </w:pPr>
      <w:r w:rsidRPr="003D0048">
        <w:rPr>
          <w:rStyle w:val="Refdenotaalpie"/>
          <w:szCs w:val="16"/>
        </w:rPr>
        <w:footnoteRef/>
      </w:r>
      <w:r w:rsidRPr="00214508">
        <w:rPr>
          <w:rFonts w:ascii="Verdana" w:hAnsi="Verdana"/>
          <w:sz w:val="16"/>
          <w:szCs w:val="16"/>
          <w:lang w:val="pt-BR"/>
        </w:rPr>
        <w:t xml:space="preserve"> </w:t>
      </w:r>
      <w:r w:rsidRPr="00214508">
        <w:rPr>
          <w:rFonts w:ascii="Verdana" w:hAnsi="Verdana"/>
          <w:sz w:val="16"/>
          <w:szCs w:val="16"/>
          <w:lang w:val="pt-BR"/>
        </w:rPr>
        <w:tab/>
      </w:r>
      <w:r w:rsidRPr="00214508">
        <w:rPr>
          <w:rFonts w:ascii="Verdana" w:hAnsi="Verdana"/>
          <w:i/>
          <w:sz w:val="16"/>
          <w:szCs w:val="16"/>
          <w:lang w:val="pt-BR"/>
        </w:rPr>
        <w:t xml:space="preserve">Cfr. </w:t>
      </w:r>
      <w:r w:rsidRPr="00214508">
        <w:rPr>
          <w:rFonts w:ascii="Verdana" w:hAnsi="Verdana" w:cs="Arial"/>
          <w:i/>
          <w:sz w:val="16"/>
          <w:szCs w:val="16"/>
          <w:shd w:val="clear" w:color="auto" w:fill="FFFFFF"/>
          <w:lang w:val="pt-BR"/>
        </w:rPr>
        <w:t xml:space="preserve">Caso Gomes </w:t>
      </w:r>
      <w:proofErr w:type="spellStart"/>
      <w:r w:rsidRPr="00214508">
        <w:rPr>
          <w:rFonts w:ascii="Verdana" w:hAnsi="Verdana" w:cs="Arial"/>
          <w:i/>
          <w:sz w:val="16"/>
          <w:szCs w:val="16"/>
          <w:shd w:val="clear" w:color="auto" w:fill="FFFFFF"/>
          <w:lang w:val="pt-BR"/>
        </w:rPr>
        <w:t>Lund</w:t>
      </w:r>
      <w:proofErr w:type="spellEnd"/>
      <w:r w:rsidRPr="00214508">
        <w:rPr>
          <w:rFonts w:ascii="Verdana" w:hAnsi="Verdana" w:cs="Arial"/>
          <w:i/>
          <w:sz w:val="16"/>
          <w:szCs w:val="16"/>
          <w:shd w:val="clear" w:color="auto" w:fill="FFFFFF"/>
          <w:lang w:val="pt-BR"/>
        </w:rPr>
        <w:t xml:space="preserve"> y </w:t>
      </w:r>
      <w:proofErr w:type="spellStart"/>
      <w:r w:rsidRPr="00214508">
        <w:rPr>
          <w:rFonts w:ascii="Verdana" w:hAnsi="Verdana" w:cs="Arial"/>
          <w:i/>
          <w:sz w:val="16"/>
          <w:szCs w:val="16"/>
          <w:shd w:val="clear" w:color="auto" w:fill="FFFFFF"/>
          <w:lang w:val="pt-BR"/>
        </w:rPr>
        <w:t>otros</w:t>
      </w:r>
      <w:proofErr w:type="spellEnd"/>
      <w:r w:rsidRPr="00214508">
        <w:rPr>
          <w:rFonts w:ascii="Verdana" w:hAnsi="Verdana" w:cs="Arial"/>
          <w:i/>
          <w:sz w:val="16"/>
          <w:szCs w:val="16"/>
          <w:shd w:val="clear" w:color="auto" w:fill="FFFFFF"/>
          <w:lang w:val="pt-BR"/>
        </w:rPr>
        <w:t xml:space="preserve"> ("Guerrilha do Araguaia") Vs. </w:t>
      </w:r>
      <w:r w:rsidRPr="003D0048">
        <w:rPr>
          <w:rFonts w:ascii="Verdana" w:hAnsi="Verdana" w:cs="Arial"/>
          <w:i/>
          <w:sz w:val="16"/>
          <w:szCs w:val="16"/>
          <w:shd w:val="clear" w:color="auto" w:fill="FFFFFF"/>
        </w:rPr>
        <w:t>Brasil. Supervisión de Cumplimiento de Sentencia.</w:t>
      </w:r>
      <w:r w:rsidRPr="003D0048">
        <w:rPr>
          <w:rFonts w:ascii="Verdana" w:hAnsi="Verdana" w:cs="Arial"/>
          <w:sz w:val="16"/>
          <w:szCs w:val="16"/>
          <w:shd w:val="clear" w:color="auto" w:fill="FFFFFF"/>
        </w:rPr>
        <w:t xml:space="preserve"> Resolución de la Corte Interamericana de Derechos Humanos de 17 de octubre de 2014, Considerando 84; </w:t>
      </w:r>
      <w:r w:rsidRPr="003D0048">
        <w:rPr>
          <w:rFonts w:ascii="Verdana" w:hAnsi="Verdana" w:cs="Arial"/>
          <w:i/>
          <w:sz w:val="16"/>
          <w:szCs w:val="16"/>
          <w:shd w:val="clear" w:color="auto" w:fill="FFFFFF"/>
        </w:rPr>
        <w:t xml:space="preserve">Caso </w:t>
      </w:r>
      <w:proofErr w:type="spellStart"/>
      <w:r w:rsidRPr="003D0048">
        <w:rPr>
          <w:rFonts w:ascii="Verdana" w:hAnsi="Verdana" w:cs="Arial"/>
          <w:i/>
          <w:sz w:val="16"/>
          <w:szCs w:val="16"/>
          <w:shd w:val="clear" w:color="auto" w:fill="FFFFFF"/>
        </w:rPr>
        <w:t>Palamara</w:t>
      </w:r>
      <w:proofErr w:type="spellEnd"/>
      <w:r w:rsidRPr="003D0048">
        <w:rPr>
          <w:rFonts w:ascii="Verdana" w:hAnsi="Verdana" w:cs="Arial"/>
          <w:i/>
          <w:sz w:val="16"/>
          <w:szCs w:val="16"/>
          <w:shd w:val="clear" w:color="auto" w:fill="FFFFFF"/>
        </w:rPr>
        <w:t xml:space="preserve"> Iribarne Vs. Chile. Supervisión de Cumplimiento de Sentencia. </w:t>
      </w:r>
      <w:r w:rsidRPr="003D0048">
        <w:rPr>
          <w:rFonts w:ascii="Verdana" w:hAnsi="Verdana" w:cs="Arial"/>
          <w:sz w:val="16"/>
          <w:szCs w:val="16"/>
          <w:shd w:val="clear" w:color="auto" w:fill="FFFFFF"/>
        </w:rPr>
        <w:t>Resolución de la Corte Interamericana de Derechos Humanos de 1 de septiembre de 2016, Considerando 36</w:t>
      </w:r>
      <w:r w:rsidR="005F4642">
        <w:rPr>
          <w:rFonts w:ascii="Verdana" w:hAnsi="Verdana" w:cs="Arial"/>
          <w:sz w:val="16"/>
          <w:szCs w:val="16"/>
          <w:shd w:val="clear" w:color="auto" w:fill="FFFFFF"/>
        </w:rPr>
        <w:t>,</w:t>
      </w:r>
      <w:r w:rsidRPr="003D0048">
        <w:rPr>
          <w:rFonts w:ascii="Verdana" w:hAnsi="Verdana" w:cs="Arial"/>
          <w:sz w:val="16"/>
          <w:szCs w:val="16"/>
          <w:shd w:val="clear" w:color="auto" w:fill="FFFFFF"/>
        </w:rPr>
        <w:t xml:space="preserve"> y </w:t>
      </w:r>
      <w:r w:rsidRPr="003D0048">
        <w:rPr>
          <w:rFonts w:ascii="Verdana" w:hAnsi="Verdana" w:cs="Arial"/>
          <w:i/>
          <w:sz w:val="16"/>
          <w:szCs w:val="16"/>
          <w:shd w:val="clear" w:color="auto" w:fill="FFFFFF"/>
          <w:lang w:val="es-CR" w:eastAsia="es-CR"/>
        </w:rPr>
        <w:t xml:space="preserve">Caso </w:t>
      </w:r>
      <w:proofErr w:type="spellStart"/>
      <w:r w:rsidRPr="003D0048">
        <w:rPr>
          <w:rFonts w:ascii="Verdana" w:hAnsi="Verdana" w:cs="Arial"/>
          <w:i/>
          <w:sz w:val="16"/>
          <w:szCs w:val="16"/>
          <w:shd w:val="clear" w:color="auto" w:fill="FFFFFF"/>
          <w:lang w:val="es-CR" w:eastAsia="es-CR"/>
        </w:rPr>
        <w:t>Fornerón</w:t>
      </w:r>
      <w:proofErr w:type="spellEnd"/>
      <w:r w:rsidRPr="003D0048">
        <w:rPr>
          <w:rFonts w:ascii="Verdana" w:hAnsi="Verdana" w:cs="Arial"/>
          <w:i/>
          <w:sz w:val="16"/>
          <w:szCs w:val="16"/>
          <w:shd w:val="clear" w:color="auto" w:fill="FFFFFF"/>
          <w:lang w:val="es-CR" w:eastAsia="es-CR"/>
        </w:rPr>
        <w:t xml:space="preserve"> e hija Vs. Argentina. Supervisión de Cumplimiento de Sentencia.</w:t>
      </w:r>
      <w:r w:rsidRPr="003D0048">
        <w:rPr>
          <w:rFonts w:ascii="Verdana" w:hAnsi="Verdana" w:cs="Arial"/>
          <w:sz w:val="16"/>
          <w:szCs w:val="16"/>
          <w:shd w:val="clear" w:color="auto" w:fill="FFFFFF"/>
          <w:lang w:val="es-CR" w:eastAsia="es-CR"/>
        </w:rPr>
        <w:t xml:space="preserve"> Resolución de la Corte Interamericana de Derechos Humanos de 28 de noviembre de 2018, Considerando 53. </w:t>
      </w:r>
    </w:p>
  </w:footnote>
  <w:footnote w:id="12">
    <w:p w14:paraId="4FBE8F96" w14:textId="77777777" w:rsidR="00935DAC" w:rsidRPr="00DD72F1" w:rsidRDefault="00935DAC" w:rsidP="00935DAC">
      <w:pPr>
        <w:pStyle w:val="Textonotapie"/>
        <w:rPr>
          <w:rFonts w:ascii="Verdana" w:hAnsi="Verdana"/>
          <w:sz w:val="16"/>
          <w:szCs w:val="16"/>
          <w:lang w:val="es-CR"/>
        </w:rPr>
      </w:pPr>
      <w:r w:rsidRPr="00DD72F1">
        <w:rPr>
          <w:rStyle w:val="Refdenotaalpie"/>
          <w:szCs w:val="16"/>
        </w:rPr>
        <w:footnoteRef/>
      </w:r>
      <w:r w:rsidRPr="00DD72F1">
        <w:rPr>
          <w:rFonts w:ascii="Verdana" w:hAnsi="Verdana"/>
          <w:sz w:val="16"/>
          <w:szCs w:val="16"/>
        </w:rPr>
        <w:t xml:space="preserve"> </w:t>
      </w:r>
      <w:r w:rsidRPr="00DD72F1">
        <w:rPr>
          <w:rFonts w:ascii="Verdana" w:hAnsi="Verdana"/>
          <w:sz w:val="16"/>
          <w:szCs w:val="16"/>
          <w:lang w:val="es-CR"/>
        </w:rPr>
        <w:tab/>
        <w:t xml:space="preserve">Disponible en: </w:t>
      </w:r>
      <w:hyperlink r:id="rId2" w:history="1">
        <w:r w:rsidRPr="00F05395">
          <w:rPr>
            <w:rStyle w:val="Hipervnculo"/>
            <w:rFonts w:ascii="Verdana" w:hAnsi="Verdana"/>
            <w:sz w:val="16"/>
            <w:szCs w:val="16"/>
            <w:lang w:val="es-CR"/>
          </w:rPr>
          <w:t>http://www.corteidh.or.cr/docs/medidas/garifuna_se_04.pdf</w:t>
        </w:r>
      </w:hyperlink>
      <w:r>
        <w:rPr>
          <w:rFonts w:ascii="Verdana" w:hAnsi="Verdana"/>
          <w:sz w:val="16"/>
          <w:szCs w:val="16"/>
          <w:lang w:val="es-C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8A86F" w14:textId="77777777" w:rsidR="007163B6" w:rsidRDefault="007163B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F61E8" w14:textId="1935E52A" w:rsidR="00C6508C" w:rsidRPr="00C6508C" w:rsidRDefault="00C6508C" w:rsidP="000F2006">
    <w:pPr>
      <w:pStyle w:val="Encabezado"/>
      <w:rPr>
        <w:rFonts w:ascii="Verdana" w:hAnsi="Verdana"/>
        <w:sz w:val="20"/>
        <w:szCs w:val="20"/>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DF9FA" w14:textId="77777777" w:rsidR="007163B6" w:rsidRDefault="007163B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25C4"/>
    <w:multiLevelType w:val="hybridMultilevel"/>
    <w:tmpl w:val="EE84CEC0"/>
    <w:lvl w:ilvl="0" w:tplc="A648C0FA">
      <w:start w:val="39"/>
      <w:numFmt w:val="decimal"/>
      <w:lvlText w:val="%1."/>
      <w:lvlJc w:val="left"/>
      <w:pPr>
        <w:ind w:left="720" w:hanging="360"/>
      </w:pPr>
      <w:rPr>
        <w:rFonts w:ascii="Verdana" w:hAnsi="Verdana" w:hint="default"/>
        <w:b w:val="0"/>
        <w:i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743519"/>
    <w:multiLevelType w:val="hybridMultilevel"/>
    <w:tmpl w:val="4568054E"/>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33413F"/>
    <w:multiLevelType w:val="hybridMultilevel"/>
    <w:tmpl w:val="9C528478"/>
    <w:lvl w:ilvl="0" w:tplc="04090017">
      <w:start w:val="1"/>
      <w:numFmt w:val="lowerLetter"/>
      <w:lvlText w:val="%1)"/>
      <w:lvlJc w:val="left"/>
      <w:pPr>
        <w:ind w:left="720" w:hanging="360"/>
      </w:pPr>
      <w:rPr>
        <w:rFonts w:hint="default"/>
        <w:i w:val="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8944623"/>
    <w:multiLevelType w:val="hybridMultilevel"/>
    <w:tmpl w:val="8A22C9A6"/>
    <w:lvl w:ilvl="0" w:tplc="7DD61744">
      <w:start w:val="1"/>
      <w:numFmt w:val="upperLetter"/>
      <w:lvlText w:val="%1)"/>
      <w:lvlJc w:val="left"/>
      <w:pPr>
        <w:ind w:left="720" w:hanging="360"/>
      </w:pPr>
      <w:rPr>
        <w:rFonts w:hint="default"/>
        <w:b/>
        <w:bCs/>
        <w:i/>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8D039A9"/>
    <w:multiLevelType w:val="hybridMultilevel"/>
    <w:tmpl w:val="9678EF96"/>
    <w:lvl w:ilvl="0" w:tplc="B37C1A4A">
      <w:start w:val="19"/>
      <w:numFmt w:val="decimal"/>
      <w:lvlText w:val="%1."/>
      <w:lvlJc w:val="left"/>
      <w:pPr>
        <w:ind w:left="720" w:hanging="360"/>
      </w:pPr>
      <w:rPr>
        <w:rFonts w:ascii="Verdana" w:hAnsi="Verdana" w:hint="default"/>
        <w:b w:val="0"/>
        <w:i w:val="0"/>
        <w:color w:val="auto"/>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8D91F86"/>
    <w:multiLevelType w:val="hybridMultilevel"/>
    <w:tmpl w:val="C0CCF132"/>
    <w:lvl w:ilvl="0" w:tplc="91667A14">
      <w:start w:val="234"/>
      <w:numFmt w:val="bullet"/>
      <w:lvlText w:val=""/>
      <w:lvlJc w:val="left"/>
      <w:pPr>
        <w:ind w:left="720" w:hanging="360"/>
      </w:pPr>
      <w:rPr>
        <w:rFonts w:ascii="Symbol" w:eastAsia="MS Mincho" w:hAnsi="Symbol"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512209"/>
    <w:multiLevelType w:val="hybridMultilevel"/>
    <w:tmpl w:val="78C24F5A"/>
    <w:lvl w:ilvl="0" w:tplc="6A6ABB8C">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09EA185F"/>
    <w:multiLevelType w:val="hybridMultilevel"/>
    <w:tmpl w:val="9C528478"/>
    <w:lvl w:ilvl="0" w:tplc="04090017">
      <w:start w:val="1"/>
      <w:numFmt w:val="lowerLetter"/>
      <w:lvlText w:val="%1)"/>
      <w:lvlJc w:val="left"/>
      <w:pPr>
        <w:ind w:left="720" w:hanging="360"/>
      </w:pPr>
      <w:rPr>
        <w:i w:val="0"/>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8" w15:restartNumberingAfterBreak="0">
    <w:nsid w:val="0AED54F4"/>
    <w:multiLevelType w:val="hybridMultilevel"/>
    <w:tmpl w:val="D534E616"/>
    <w:lvl w:ilvl="0" w:tplc="79AE8032">
      <w:start w:val="1"/>
      <w:numFmt w:val="decimal"/>
      <w:lvlText w:val="%1."/>
      <w:lvlJc w:val="left"/>
      <w:pPr>
        <w:ind w:left="720" w:hanging="360"/>
      </w:pPr>
      <w:rPr>
        <w:rFonts w:asciiTheme="majorHAnsi" w:hAnsiTheme="majorHAnsi"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DF52E13"/>
    <w:multiLevelType w:val="hybridMultilevel"/>
    <w:tmpl w:val="F64696B0"/>
    <w:lvl w:ilvl="0" w:tplc="4FF4D20C">
      <w:start w:val="1"/>
      <w:numFmt w:val="lowerLetter"/>
      <w:lvlText w:val="%1."/>
      <w:lvlJc w:val="left"/>
      <w:pPr>
        <w:ind w:left="720" w:hanging="360"/>
      </w:pPr>
      <w:rPr>
        <w:rFonts w:hint="default"/>
        <w:i w:val="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10E131BC"/>
    <w:multiLevelType w:val="hybridMultilevel"/>
    <w:tmpl w:val="525CEEC6"/>
    <w:lvl w:ilvl="0" w:tplc="BBA0683C">
      <w:start w:val="1"/>
      <w:numFmt w:val="lowerLetter"/>
      <w:lvlText w:val="%1)"/>
      <w:lvlJc w:val="left"/>
      <w:pPr>
        <w:ind w:left="720" w:hanging="360"/>
      </w:pPr>
      <w:rPr>
        <w:rFonts w:ascii="Verdana" w:eastAsia="MS Mincho" w:hAnsi="Verdana" w:cs="Times New Roman"/>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20E51FD"/>
    <w:multiLevelType w:val="hybridMultilevel"/>
    <w:tmpl w:val="0B9A6770"/>
    <w:lvl w:ilvl="0" w:tplc="0409001B">
      <w:start w:val="1"/>
      <w:numFmt w:val="lowerRoman"/>
      <w:lvlText w:val="%1."/>
      <w:lvlJc w:val="right"/>
      <w:pPr>
        <w:ind w:left="720" w:hanging="360"/>
      </w:pPr>
      <w:rPr>
        <w:rFonts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14FB18DE"/>
    <w:multiLevelType w:val="hybridMultilevel"/>
    <w:tmpl w:val="E2D6B47A"/>
    <w:lvl w:ilvl="0" w:tplc="559811B4">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19CD04C4"/>
    <w:multiLevelType w:val="hybridMultilevel"/>
    <w:tmpl w:val="2890A9E0"/>
    <w:lvl w:ilvl="0" w:tplc="04090017">
      <w:start w:val="1"/>
      <w:numFmt w:val="lowerLetter"/>
      <w:lvlText w:val="%1)"/>
      <w:lvlJc w:val="left"/>
      <w:pPr>
        <w:ind w:left="720" w:hanging="360"/>
      </w:p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4" w15:restartNumberingAfterBreak="0">
    <w:nsid w:val="1A334249"/>
    <w:multiLevelType w:val="hybridMultilevel"/>
    <w:tmpl w:val="D8EA1E52"/>
    <w:lvl w:ilvl="0" w:tplc="140A000F">
      <w:start w:val="1"/>
      <w:numFmt w:val="decimal"/>
      <w:lvlText w:val="%1."/>
      <w:lvlJc w:val="left"/>
      <w:pPr>
        <w:ind w:left="720" w:hanging="36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1C2E4071"/>
    <w:multiLevelType w:val="hybridMultilevel"/>
    <w:tmpl w:val="F8CAE47A"/>
    <w:lvl w:ilvl="0" w:tplc="140A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B61C93"/>
    <w:multiLevelType w:val="hybridMultilevel"/>
    <w:tmpl w:val="9EAE1B70"/>
    <w:lvl w:ilvl="0" w:tplc="F04AFE5C">
      <w:start w:val="1"/>
      <w:numFmt w:val="decimal"/>
      <w:lvlText w:val="%1."/>
      <w:lvlJc w:val="left"/>
      <w:pPr>
        <w:ind w:left="720" w:hanging="360"/>
      </w:pPr>
      <w:rPr>
        <w:rFonts w:ascii="Verdana" w:hAnsi="Verdana" w:cs="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AB154A"/>
    <w:multiLevelType w:val="hybridMultilevel"/>
    <w:tmpl w:val="C65EBC00"/>
    <w:lvl w:ilvl="0" w:tplc="140A000F">
      <w:start w:val="1"/>
      <w:numFmt w:val="decimal"/>
      <w:lvlText w:val="%1."/>
      <w:lvlJc w:val="left"/>
      <w:pPr>
        <w:ind w:left="-204" w:hanging="360"/>
      </w:pPr>
    </w:lvl>
    <w:lvl w:ilvl="1" w:tplc="340A0019" w:tentative="1">
      <w:start w:val="1"/>
      <w:numFmt w:val="lowerLetter"/>
      <w:lvlText w:val="%2."/>
      <w:lvlJc w:val="left"/>
      <w:pPr>
        <w:ind w:left="516" w:hanging="360"/>
      </w:pPr>
    </w:lvl>
    <w:lvl w:ilvl="2" w:tplc="340A001B" w:tentative="1">
      <w:start w:val="1"/>
      <w:numFmt w:val="lowerRoman"/>
      <w:lvlText w:val="%3."/>
      <w:lvlJc w:val="right"/>
      <w:pPr>
        <w:ind w:left="1236" w:hanging="180"/>
      </w:pPr>
    </w:lvl>
    <w:lvl w:ilvl="3" w:tplc="340A000F" w:tentative="1">
      <w:start w:val="1"/>
      <w:numFmt w:val="decimal"/>
      <w:lvlText w:val="%4."/>
      <w:lvlJc w:val="left"/>
      <w:pPr>
        <w:ind w:left="1956" w:hanging="360"/>
      </w:pPr>
    </w:lvl>
    <w:lvl w:ilvl="4" w:tplc="340A0019" w:tentative="1">
      <w:start w:val="1"/>
      <w:numFmt w:val="lowerLetter"/>
      <w:lvlText w:val="%5."/>
      <w:lvlJc w:val="left"/>
      <w:pPr>
        <w:ind w:left="2676" w:hanging="360"/>
      </w:pPr>
    </w:lvl>
    <w:lvl w:ilvl="5" w:tplc="340A001B" w:tentative="1">
      <w:start w:val="1"/>
      <w:numFmt w:val="lowerRoman"/>
      <w:lvlText w:val="%6."/>
      <w:lvlJc w:val="right"/>
      <w:pPr>
        <w:ind w:left="3396" w:hanging="180"/>
      </w:pPr>
    </w:lvl>
    <w:lvl w:ilvl="6" w:tplc="340A000F" w:tentative="1">
      <w:start w:val="1"/>
      <w:numFmt w:val="decimal"/>
      <w:lvlText w:val="%7."/>
      <w:lvlJc w:val="left"/>
      <w:pPr>
        <w:ind w:left="4116" w:hanging="360"/>
      </w:pPr>
    </w:lvl>
    <w:lvl w:ilvl="7" w:tplc="340A0019" w:tentative="1">
      <w:start w:val="1"/>
      <w:numFmt w:val="lowerLetter"/>
      <w:lvlText w:val="%8."/>
      <w:lvlJc w:val="left"/>
      <w:pPr>
        <w:ind w:left="4836" w:hanging="360"/>
      </w:pPr>
    </w:lvl>
    <w:lvl w:ilvl="8" w:tplc="340A001B" w:tentative="1">
      <w:start w:val="1"/>
      <w:numFmt w:val="lowerRoman"/>
      <w:lvlText w:val="%9."/>
      <w:lvlJc w:val="right"/>
      <w:pPr>
        <w:ind w:left="5556" w:hanging="180"/>
      </w:pPr>
    </w:lvl>
  </w:abstractNum>
  <w:abstractNum w:abstractNumId="18" w15:restartNumberingAfterBreak="0">
    <w:nsid w:val="25415D71"/>
    <w:multiLevelType w:val="hybridMultilevel"/>
    <w:tmpl w:val="9196ACB0"/>
    <w:lvl w:ilvl="0" w:tplc="601C8BC8">
      <w:start w:val="1"/>
      <w:numFmt w:val="decimal"/>
      <w:lvlText w:val="%1."/>
      <w:lvlJc w:val="left"/>
      <w:pPr>
        <w:ind w:left="786" w:hanging="360"/>
      </w:pPr>
      <w:rPr>
        <w:rFonts w:ascii="Verdana" w:hAnsi="Verdana" w:cs="Times New Roman" w:hint="default"/>
        <w:b w:val="0"/>
        <w:i w:val="0"/>
        <w:i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7F4E84"/>
    <w:multiLevelType w:val="hybridMultilevel"/>
    <w:tmpl w:val="152C9538"/>
    <w:lvl w:ilvl="0" w:tplc="506CC27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62416E"/>
    <w:multiLevelType w:val="hybridMultilevel"/>
    <w:tmpl w:val="9C528478"/>
    <w:lvl w:ilvl="0" w:tplc="04090017">
      <w:start w:val="1"/>
      <w:numFmt w:val="lowerLetter"/>
      <w:lvlText w:val="%1)"/>
      <w:lvlJc w:val="left"/>
      <w:pPr>
        <w:ind w:left="720" w:hanging="360"/>
      </w:pPr>
      <w:rPr>
        <w:i w:val="0"/>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1" w15:restartNumberingAfterBreak="0">
    <w:nsid w:val="37DF175E"/>
    <w:multiLevelType w:val="hybridMultilevel"/>
    <w:tmpl w:val="2890A9E0"/>
    <w:lvl w:ilvl="0" w:tplc="04090017">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388C2136"/>
    <w:multiLevelType w:val="hybridMultilevel"/>
    <w:tmpl w:val="66EE4F34"/>
    <w:lvl w:ilvl="0" w:tplc="D04EFFA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DA280B"/>
    <w:multiLevelType w:val="hybridMultilevel"/>
    <w:tmpl w:val="B04032BC"/>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4" w15:restartNumberingAfterBreak="0">
    <w:nsid w:val="3B6375A1"/>
    <w:multiLevelType w:val="hybridMultilevel"/>
    <w:tmpl w:val="DD7C9B7A"/>
    <w:lvl w:ilvl="0" w:tplc="FA624790">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CE14446"/>
    <w:multiLevelType w:val="hybridMultilevel"/>
    <w:tmpl w:val="321A5C4E"/>
    <w:lvl w:ilvl="0" w:tplc="602E3DE6">
      <w:start w:val="1"/>
      <w:numFmt w:val="lowerLetter"/>
      <w:lvlText w:val="%1)"/>
      <w:lvlJc w:val="left"/>
      <w:pPr>
        <w:ind w:left="720" w:hanging="360"/>
      </w:pPr>
      <w:rPr>
        <w:rFonts w:eastAsia="Calibri" w:cs="Verdana"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3F3C1A03"/>
    <w:multiLevelType w:val="hybridMultilevel"/>
    <w:tmpl w:val="EA3EF3F4"/>
    <w:lvl w:ilvl="0" w:tplc="EC2ABBBE">
      <w:start w:val="1"/>
      <w:numFmt w:val="upperLetter"/>
      <w:lvlText w:val="%1)"/>
      <w:lvlJc w:val="left"/>
      <w:pPr>
        <w:ind w:left="873" w:hanging="360"/>
      </w:pPr>
      <w:rPr>
        <w:rFonts w:hint="default"/>
      </w:rPr>
    </w:lvl>
    <w:lvl w:ilvl="1" w:tplc="140A0019">
      <w:start w:val="1"/>
      <w:numFmt w:val="lowerLetter"/>
      <w:lvlText w:val="%2."/>
      <w:lvlJc w:val="left"/>
      <w:pPr>
        <w:ind w:left="1593" w:hanging="360"/>
      </w:pPr>
    </w:lvl>
    <w:lvl w:ilvl="2" w:tplc="140A001B" w:tentative="1">
      <w:start w:val="1"/>
      <w:numFmt w:val="lowerRoman"/>
      <w:lvlText w:val="%3."/>
      <w:lvlJc w:val="right"/>
      <w:pPr>
        <w:ind w:left="2313" w:hanging="180"/>
      </w:pPr>
    </w:lvl>
    <w:lvl w:ilvl="3" w:tplc="140A000F" w:tentative="1">
      <w:start w:val="1"/>
      <w:numFmt w:val="decimal"/>
      <w:lvlText w:val="%4."/>
      <w:lvlJc w:val="left"/>
      <w:pPr>
        <w:ind w:left="3033" w:hanging="360"/>
      </w:pPr>
    </w:lvl>
    <w:lvl w:ilvl="4" w:tplc="140A0019" w:tentative="1">
      <w:start w:val="1"/>
      <w:numFmt w:val="lowerLetter"/>
      <w:lvlText w:val="%5."/>
      <w:lvlJc w:val="left"/>
      <w:pPr>
        <w:ind w:left="3753" w:hanging="360"/>
      </w:pPr>
    </w:lvl>
    <w:lvl w:ilvl="5" w:tplc="140A001B" w:tentative="1">
      <w:start w:val="1"/>
      <w:numFmt w:val="lowerRoman"/>
      <w:lvlText w:val="%6."/>
      <w:lvlJc w:val="right"/>
      <w:pPr>
        <w:ind w:left="4473" w:hanging="180"/>
      </w:pPr>
    </w:lvl>
    <w:lvl w:ilvl="6" w:tplc="140A000F" w:tentative="1">
      <w:start w:val="1"/>
      <w:numFmt w:val="decimal"/>
      <w:lvlText w:val="%7."/>
      <w:lvlJc w:val="left"/>
      <w:pPr>
        <w:ind w:left="5193" w:hanging="360"/>
      </w:pPr>
    </w:lvl>
    <w:lvl w:ilvl="7" w:tplc="140A0019" w:tentative="1">
      <w:start w:val="1"/>
      <w:numFmt w:val="lowerLetter"/>
      <w:lvlText w:val="%8."/>
      <w:lvlJc w:val="left"/>
      <w:pPr>
        <w:ind w:left="5913" w:hanging="360"/>
      </w:pPr>
    </w:lvl>
    <w:lvl w:ilvl="8" w:tplc="140A001B" w:tentative="1">
      <w:start w:val="1"/>
      <w:numFmt w:val="lowerRoman"/>
      <w:lvlText w:val="%9."/>
      <w:lvlJc w:val="right"/>
      <w:pPr>
        <w:ind w:left="6633" w:hanging="180"/>
      </w:pPr>
    </w:lvl>
  </w:abstractNum>
  <w:abstractNum w:abstractNumId="27" w15:restartNumberingAfterBreak="0">
    <w:nsid w:val="45EF281E"/>
    <w:multiLevelType w:val="hybridMultilevel"/>
    <w:tmpl w:val="E306F7C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FB7719"/>
    <w:multiLevelType w:val="hybridMultilevel"/>
    <w:tmpl w:val="38B03504"/>
    <w:lvl w:ilvl="0" w:tplc="3F9CA10A">
      <w:start w:val="1"/>
      <w:numFmt w:val="lowerLetter"/>
      <w:lvlText w:val="%1."/>
      <w:lvlJc w:val="left"/>
      <w:pPr>
        <w:ind w:left="720" w:hanging="360"/>
      </w:pPr>
      <w:rPr>
        <w:rFonts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4A9739E2"/>
    <w:multiLevelType w:val="hybridMultilevel"/>
    <w:tmpl w:val="51C446C4"/>
    <w:lvl w:ilvl="0" w:tplc="EC2ABBBE">
      <w:start w:val="1"/>
      <w:numFmt w:val="upperLetter"/>
      <w:lvlText w:val="%1)"/>
      <w:lvlJc w:val="left"/>
      <w:pPr>
        <w:ind w:left="873" w:hanging="360"/>
      </w:pPr>
      <w:rPr>
        <w:rFonts w:hint="default"/>
      </w:rPr>
    </w:lvl>
    <w:lvl w:ilvl="1" w:tplc="140A0019">
      <w:start w:val="1"/>
      <w:numFmt w:val="lowerLetter"/>
      <w:lvlText w:val="%2."/>
      <w:lvlJc w:val="left"/>
      <w:pPr>
        <w:ind w:left="1593" w:hanging="360"/>
      </w:pPr>
    </w:lvl>
    <w:lvl w:ilvl="2" w:tplc="140A001B" w:tentative="1">
      <w:start w:val="1"/>
      <w:numFmt w:val="lowerRoman"/>
      <w:lvlText w:val="%3."/>
      <w:lvlJc w:val="right"/>
      <w:pPr>
        <w:ind w:left="2313" w:hanging="180"/>
      </w:pPr>
    </w:lvl>
    <w:lvl w:ilvl="3" w:tplc="140A000F" w:tentative="1">
      <w:start w:val="1"/>
      <w:numFmt w:val="decimal"/>
      <w:lvlText w:val="%4."/>
      <w:lvlJc w:val="left"/>
      <w:pPr>
        <w:ind w:left="3033" w:hanging="360"/>
      </w:pPr>
    </w:lvl>
    <w:lvl w:ilvl="4" w:tplc="140A0019" w:tentative="1">
      <w:start w:val="1"/>
      <w:numFmt w:val="lowerLetter"/>
      <w:lvlText w:val="%5."/>
      <w:lvlJc w:val="left"/>
      <w:pPr>
        <w:ind w:left="3753" w:hanging="360"/>
      </w:pPr>
    </w:lvl>
    <w:lvl w:ilvl="5" w:tplc="140A001B" w:tentative="1">
      <w:start w:val="1"/>
      <w:numFmt w:val="lowerRoman"/>
      <w:lvlText w:val="%6."/>
      <w:lvlJc w:val="right"/>
      <w:pPr>
        <w:ind w:left="4473" w:hanging="180"/>
      </w:pPr>
    </w:lvl>
    <w:lvl w:ilvl="6" w:tplc="140A000F" w:tentative="1">
      <w:start w:val="1"/>
      <w:numFmt w:val="decimal"/>
      <w:lvlText w:val="%7."/>
      <w:lvlJc w:val="left"/>
      <w:pPr>
        <w:ind w:left="5193" w:hanging="360"/>
      </w:pPr>
    </w:lvl>
    <w:lvl w:ilvl="7" w:tplc="140A0019" w:tentative="1">
      <w:start w:val="1"/>
      <w:numFmt w:val="lowerLetter"/>
      <w:lvlText w:val="%8."/>
      <w:lvlJc w:val="left"/>
      <w:pPr>
        <w:ind w:left="5913" w:hanging="360"/>
      </w:pPr>
    </w:lvl>
    <w:lvl w:ilvl="8" w:tplc="140A001B" w:tentative="1">
      <w:start w:val="1"/>
      <w:numFmt w:val="lowerRoman"/>
      <w:lvlText w:val="%9."/>
      <w:lvlJc w:val="right"/>
      <w:pPr>
        <w:ind w:left="6633" w:hanging="180"/>
      </w:pPr>
    </w:lvl>
  </w:abstractNum>
  <w:abstractNum w:abstractNumId="30" w15:restartNumberingAfterBreak="0">
    <w:nsid w:val="52F0789D"/>
    <w:multiLevelType w:val="hybridMultilevel"/>
    <w:tmpl w:val="9C528478"/>
    <w:lvl w:ilvl="0" w:tplc="04090017">
      <w:start w:val="1"/>
      <w:numFmt w:val="lowerLetter"/>
      <w:lvlText w:val="%1)"/>
      <w:lvlJc w:val="left"/>
      <w:pPr>
        <w:ind w:left="720" w:hanging="360"/>
      </w:pPr>
      <w:rPr>
        <w:i w:val="0"/>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1" w15:restartNumberingAfterBreak="0">
    <w:nsid w:val="53C3288C"/>
    <w:multiLevelType w:val="hybridMultilevel"/>
    <w:tmpl w:val="355C6C3C"/>
    <w:lvl w:ilvl="0" w:tplc="6EFEA1B2">
      <w:start w:val="4"/>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6B11183"/>
    <w:multiLevelType w:val="hybridMultilevel"/>
    <w:tmpl w:val="32C4F120"/>
    <w:lvl w:ilvl="0" w:tplc="A61AD386">
      <w:start w:val="51"/>
      <w:numFmt w:val="decimal"/>
      <w:lvlText w:val="%1."/>
      <w:lvlJc w:val="left"/>
      <w:pPr>
        <w:ind w:left="720" w:hanging="360"/>
      </w:pPr>
      <w:rPr>
        <w:rFonts w:ascii="Verdana" w:hAnsi="Verdana" w:hint="default"/>
        <w:b w:val="0"/>
        <w:i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591F3D60"/>
    <w:multiLevelType w:val="hybridMultilevel"/>
    <w:tmpl w:val="865E6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9335BE"/>
    <w:multiLevelType w:val="hybridMultilevel"/>
    <w:tmpl w:val="03F63B7E"/>
    <w:lvl w:ilvl="0" w:tplc="602E3DE6">
      <w:start w:val="1"/>
      <w:numFmt w:val="lowerLetter"/>
      <w:lvlText w:val="%1)"/>
      <w:lvlJc w:val="left"/>
      <w:pPr>
        <w:ind w:left="720" w:hanging="360"/>
      </w:pPr>
      <w:rPr>
        <w:rFonts w:eastAsia="Calibri" w:cs="Verdana"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5AC33DA6"/>
    <w:multiLevelType w:val="multilevel"/>
    <w:tmpl w:val="EFBA677A"/>
    <w:lvl w:ilvl="0">
      <w:start w:val="1"/>
      <w:numFmt w:val="decimal"/>
      <w:lvlText w:val="%1."/>
      <w:lvlJc w:val="left"/>
      <w:pPr>
        <w:tabs>
          <w:tab w:val="num" w:pos="1800"/>
        </w:tabs>
        <w:ind w:left="1800" w:hanging="360"/>
      </w:pPr>
      <w:rPr>
        <w:rFonts w:ascii="Verdana" w:hAnsi="Verdana" w:hint="default"/>
        <w:b w:val="0"/>
        <w:i w:val="0"/>
        <w:color w:val="auto"/>
        <w:sz w:val="20"/>
      </w:rPr>
    </w:lvl>
    <w:lvl w:ilvl="1">
      <w:start w:val="1"/>
      <w:numFmt w:val="lowerLetter"/>
      <w:lvlText w:val="%2."/>
      <w:lvlJc w:val="left"/>
      <w:pPr>
        <w:tabs>
          <w:tab w:val="num" w:pos="1134"/>
        </w:tabs>
        <w:ind w:left="567" w:firstLine="0"/>
      </w:pPr>
      <w:rPr>
        <w:rFonts w:ascii="Verdana" w:eastAsia="Times New Roman" w:hAnsi="Verdana" w:cs="Times New Roman" w:hint="default"/>
        <w:color w:val="auto"/>
      </w:rPr>
    </w:lvl>
    <w:lvl w:ilvl="2">
      <w:start w:val="1"/>
      <w:numFmt w:val="lowerRoman"/>
      <w:lvlText w:val="%3."/>
      <w:lvlJc w:val="right"/>
      <w:pPr>
        <w:tabs>
          <w:tab w:val="num" w:pos="1985"/>
        </w:tabs>
        <w:ind w:left="851" w:firstLine="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B0A6148"/>
    <w:multiLevelType w:val="hybridMultilevel"/>
    <w:tmpl w:val="B3763818"/>
    <w:lvl w:ilvl="0" w:tplc="CCE4E520">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5D2A64E7"/>
    <w:multiLevelType w:val="hybridMultilevel"/>
    <w:tmpl w:val="93AA7DF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641C07"/>
    <w:multiLevelType w:val="hybridMultilevel"/>
    <w:tmpl w:val="2890A9E0"/>
    <w:lvl w:ilvl="0" w:tplc="04090017">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9" w15:restartNumberingAfterBreak="0">
    <w:nsid w:val="72F90590"/>
    <w:multiLevelType w:val="hybridMultilevel"/>
    <w:tmpl w:val="6C14C8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4010E1"/>
    <w:multiLevelType w:val="hybridMultilevel"/>
    <w:tmpl w:val="63B8EBA4"/>
    <w:lvl w:ilvl="0" w:tplc="B3B84C16">
      <w:start w:val="1"/>
      <w:numFmt w:val="decimal"/>
      <w:lvlText w:val="%1."/>
      <w:lvlJc w:val="left"/>
      <w:pPr>
        <w:tabs>
          <w:tab w:val="num" w:pos="360"/>
        </w:tabs>
        <w:ind w:left="360" w:hanging="360"/>
      </w:pPr>
      <w:rPr>
        <w:rFonts w:ascii="Verdana" w:hAnsi="Verdana" w:hint="default"/>
        <w:b w:val="0"/>
        <w:i w:val="0"/>
        <w:strike w:val="0"/>
        <w:color w:val="000000"/>
        <w:sz w:val="20"/>
      </w:rPr>
    </w:lvl>
    <w:lvl w:ilvl="1" w:tplc="140A0019">
      <w:start w:val="1"/>
      <w:numFmt w:val="lowerLetter"/>
      <w:lvlText w:val="%2."/>
      <w:lvlJc w:val="left"/>
      <w:pPr>
        <w:tabs>
          <w:tab w:val="num" w:pos="1440"/>
        </w:tabs>
        <w:ind w:left="1440" w:hanging="360"/>
      </w:pPr>
      <w:rPr>
        <w:rFonts w:hint="default"/>
        <w:b w:val="0"/>
      </w:rPr>
    </w:lvl>
    <w:lvl w:ilvl="2" w:tplc="92DEE256">
      <w:start w:val="1"/>
      <w:numFmt w:val="lowerLetter"/>
      <w:lvlText w:val="%3."/>
      <w:lvlJc w:val="left"/>
      <w:pPr>
        <w:tabs>
          <w:tab w:val="num" w:pos="2340"/>
        </w:tabs>
        <w:ind w:left="2340" w:hanging="360"/>
      </w:pPr>
      <w:rPr>
        <w:rFonts w:hint="default"/>
      </w:rPr>
    </w:lvl>
    <w:lvl w:ilvl="3" w:tplc="A9E0C762">
      <w:start w:val="1"/>
      <w:numFmt w:val="lowerLetter"/>
      <w:lvlText w:val="%4)"/>
      <w:lvlJc w:val="left"/>
      <w:pPr>
        <w:tabs>
          <w:tab w:val="num" w:pos="1440"/>
        </w:tabs>
        <w:ind w:left="1440" w:hanging="360"/>
      </w:pPr>
      <w:rPr>
        <w:rFonts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9103A6F"/>
    <w:multiLevelType w:val="hybridMultilevel"/>
    <w:tmpl w:val="B32A0420"/>
    <w:lvl w:ilvl="0" w:tplc="011AABA2">
      <w:start w:val="1"/>
      <w:numFmt w:val="decimal"/>
      <w:lvlText w:val="%1."/>
      <w:lvlJc w:val="left"/>
      <w:pPr>
        <w:ind w:left="791" w:hanging="360"/>
      </w:pPr>
      <w:rPr>
        <w:color w:val="auto"/>
      </w:rPr>
    </w:lvl>
    <w:lvl w:ilvl="1" w:tplc="140A0017">
      <w:start w:val="1"/>
      <w:numFmt w:val="lowerLetter"/>
      <w:lvlText w:val="%2)"/>
      <w:lvlJc w:val="left"/>
      <w:pPr>
        <w:ind w:left="720" w:hanging="360"/>
      </w:pPr>
      <w:rPr>
        <w:rFonts w:hint="default"/>
      </w:r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42" w15:restartNumberingAfterBreak="0">
    <w:nsid w:val="7ADF01EA"/>
    <w:multiLevelType w:val="hybridMultilevel"/>
    <w:tmpl w:val="B60A0E12"/>
    <w:lvl w:ilvl="0" w:tplc="04090017">
      <w:start w:val="1"/>
      <w:numFmt w:val="lowerLetter"/>
      <w:lvlText w:val="%1)"/>
      <w:lvlJc w:val="left"/>
      <w:pPr>
        <w:ind w:left="720" w:hanging="360"/>
      </w:pPr>
      <w:rPr>
        <w:rFonts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3" w15:restartNumberingAfterBreak="0">
    <w:nsid w:val="7BE97B02"/>
    <w:multiLevelType w:val="hybridMultilevel"/>
    <w:tmpl w:val="F40E6822"/>
    <w:lvl w:ilvl="0" w:tplc="48541686">
      <w:start w:val="1"/>
      <w:numFmt w:val="decimal"/>
      <w:lvlText w:val="%1."/>
      <w:lvlJc w:val="left"/>
      <w:pPr>
        <w:ind w:left="720" w:hanging="360"/>
      </w:pPr>
      <w:rPr>
        <w:rFonts w:ascii="Verdana" w:hAnsi="Verdana" w:hint="default"/>
        <w:b w:val="0"/>
        <w:i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4" w15:restartNumberingAfterBreak="0">
    <w:nsid w:val="7D167D0E"/>
    <w:multiLevelType w:val="hybridMultilevel"/>
    <w:tmpl w:val="62FE157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 w15:restartNumberingAfterBreak="0">
    <w:nsid w:val="7FB52358"/>
    <w:multiLevelType w:val="hybridMultilevel"/>
    <w:tmpl w:val="4198C36A"/>
    <w:lvl w:ilvl="0" w:tplc="71FA1320">
      <w:start w:val="19"/>
      <w:numFmt w:val="decimal"/>
      <w:lvlText w:val="%1."/>
      <w:lvlJc w:val="left"/>
      <w:pPr>
        <w:ind w:left="873" w:hanging="360"/>
      </w:pPr>
      <w:rPr>
        <w:rFonts w:ascii="Verdana" w:hAnsi="Verdana" w:hint="default"/>
        <w:b w:val="0"/>
        <w:i w:val="0"/>
        <w:color w:val="auto"/>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3"/>
  </w:num>
  <w:num w:numId="2">
    <w:abstractNumId w:val="29"/>
  </w:num>
  <w:num w:numId="3">
    <w:abstractNumId w:val="39"/>
  </w:num>
  <w:num w:numId="4">
    <w:abstractNumId w:val="14"/>
  </w:num>
  <w:num w:numId="5">
    <w:abstractNumId w:val="21"/>
  </w:num>
  <w:num w:numId="6">
    <w:abstractNumId w:val="11"/>
  </w:num>
  <w:num w:numId="7">
    <w:abstractNumId w:val="37"/>
  </w:num>
  <w:num w:numId="8">
    <w:abstractNumId w:val="9"/>
  </w:num>
  <w:num w:numId="9">
    <w:abstractNumId w:val="2"/>
  </w:num>
  <w:num w:numId="10">
    <w:abstractNumId w:val="38"/>
  </w:num>
  <w:num w:numId="11">
    <w:abstractNumId w:val="16"/>
  </w:num>
  <w:num w:numId="12">
    <w:abstractNumId w:val="33"/>
  </w:num>
  <w:num w:numId="13">
    <w:abstractNumId w:val="28"/>
  </w:num>
  <w:num w:numId="14">
    <w:abstractNumId w:val="42"/>
  </w:num>
  <w:num w:numId="15">
    <w:abstractNumId w:val="41"/>
  </w:num>
  <w:num w:numId="16">
    <w:abstractNumId w:val="1"/>
  </w:num>
  <w:num w:numId="17">
    <w:abstractNumId w:val="22"/>
  </w:num>
  <w:num w:numId="18">
    <w:abstractNumId w:val="27"/>
  </w:num>
  <w:num w:numId="19">
    <w:abstractNumId w:val="5"/>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19"/>
  </w:num>
  <w:num w:numId="23">
    <w:abstractNumId w:val="15"/>
  </w:num>
  <w:num w:numId="24">
    <w:abstractNumId w:val="0"/>
  </w:num>
  <w:num w:numId="25">
    <w:abstractNumId w:val="32"/>
  </w:num>
  <w:num w:numId="26">
    <w:abstractNumId w:val="12"/>
  </w:num>
  <w:num w:numId="27">
    <w:abstractNumId w:val="17"/>
  </w:num>
  <w:num w:numId="28">
    <w:abstractNumId w:val="45"/>
  </w:num>
  <w:num w:numId="29">
    <w:abstractNumId w:val="31"/>
  </w:num>
  <w:num w:numId="30">
    <w:abstractNumId w:val="4"/>
  </w:num>
  <w:num w:numId="31">
    <w:abstractNumId w:val="18"/>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num>
  <w:num w:numId="34">
    <w:abstractNumId w:val="3"/>
  </w:num>
  <w:num w:numId="35">
    <w:abstractNumId w:val="21"/>
    <w:lvlOverride w:ilvl="0">
      <w:startOverride w:val="1"/>
    </w:lvlOverride>
    <w:lvlOverride w:ilvl="1"/>
    <w:lvlOverride w:ilvl="2"/>
    <w:lvlOverride w:ilvl="3"/>
    <w:lvlOverride w:ilvl="4"/>
    <w:lvlOverride w:ilvl="5"/>
    <w:lvlOverride w:ilvl="6"/>
    <w:lvlOverride w:ilvl="7"/>
    <w:lvlOverride w:ilvl="8"/>
  </w:num>
  <w:num w:numId="36">
    <w:abstractNumId w:val="13"/>
    <w:lvlOverride w:ilvl="0">
      <w:startOverride w:val="1"/>
    </w:lvlOverride>
    <w:lvlOverride w:ilvl="1"/>
    <w:lvlOverride w:ilvl="2"/>
    <w:lvlOverride w:ilvl="3"/>
    <w:lvlOverride w:ilvl="4"/>
    <w:lvlOverride w:ilvl="5"/>
    <w:lvlOverride w:ilvl="6"/>
    <w:lvlOverride w:ilvl="7"/>
    <w:lvlOverride w:ilvl="8"/>
  </w:num>
  <w:num w:numId="37">
    <w:abstractNumId w:val="2"/>
    <w:lvlOverride w:ilvl="0">
      <w:startOverride w:val="1"/>
    </w:lvlOverride>
    <w:lvlOverride w:ilvl="1"/>
    <w:lvlOverride w:ilvl="2"/>
    <w:lvlOverride w:ilvl="3"/>
    <w:lvlOverride w:ilvl="4"/>
    <w:lvlOverride w:ilvl="5"/>
    <w:lvlOverride w:ilvl="6"/>
    <w:lvlOverride w:ilvl="7"/>
    <w:lvlOverride w:ilvl="8"/>
  </w:num>
  <w:num w:numId="38">
    <w:abstractNumId w:val="30"/>
  </w:num>
  <w:num w:numId="39">
    <w:abstractNumId w:val="20"/>
  </w:num>
  <w:num w:numId="40">
    <w:abstractNumId w:val="7"/>
  </w:num>
  <w:num w:numId="41">
    <w:abstractNumId w:val="8"/>
  </w:num>
  <w:num w:numId="42">
    <w:abstractNumId w:val="24"/>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num>
  <w:num w:numId="45">
    <w:abstractNumId w:val="44"/>
  </w:num>
  <w:num w:numId="46">
    <w:abstractNumId w:val="10"/>
  </w:num>
  <w:num w:numId="47">
    <w:abstractNumId w:val="25"/>
  </w:num>
  <w:num w:numId="48">
    <w:abstractNumId w:val="36"/>
  </w:num>
  <w:num w:numId="4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9CF"/>
    <w:rsid w:val="000004F5"/>
    <w:rsid w:val="00002392"/>
    <w:rsid w:val="0000254C"/>
    <w:rsid w:val="000028DC"/>
    <w:rsid w:val="00005DB1"/>
    <w:rsid w:val="000066F3"/>
    <w:rsid w:val="00006C8A"/>
    <w:rsid w:val="0000718B"/>
    <w:rsid w:val="00015CF9"/>
    <w:rsid w:val="000162EC"/>
    <w:rsid w:val="00017BD6"/>
    <w:rsid w:val="00022FDF"/>
    <w:rsid w:val="00024F95"/>
    <w:rsid w:val="000272FF"/>
    <w:rsid w:val="0003258A"/>
    <w:rsid w:val="00033537"/>
    <w:rsid w:val="0003373E"/>
    <w:rsid w:val="00033ABF"/>
    <w:rsid w:val="00041738"/>
    <w:rsid w:val="00041E6B"/>
    <w:rsid w:val="00044F9D"/>
    <w:rsid w:val="00054EBF"/>
    <w:rsid w:val="000566FE"/>
    <w:rsid w:val="0005695D"/>
    <w:rsid w:val="000623C4"/>
    <w:rsid w:val="00062D16"/>
    <w:rsid w:val="0006371C"/>
    <w:rsid w:val="000654E4"/>
    <w:rsid w:val="00065914"/>
    <w:rsid w:val="0006665F"/>
    <w:rsid w:val="00066EE2"/>
    <w:rsid w:val="0007183C"/>
    <w:rsid w:val="00073042"/>
    <w:rsid w:val="0007394B"/>
    <w:rsid w:val="00073EAF"/>
    <w:rsid w:val="00077CFD"/>
    <w:rsid w:val="00083922"/>
    <w:rsid w:val="00084BDD"/>
    <w:rsid w:val="00087DCC"/>
    <w:rsid w:val="00087F6D"/>
    <w:rsid w:val="000918A8"/>
    <w:rsid w:val="00094B67"/>
    <w:rsid w:val="000A0728"/>
    <w:rsid w:val="000A2FC6"/>
    <w:rsid w:val="000A37E2"/>
    <w:rsid w:val="000A4514"/>
    <w:rsid w:val="000A52C1"/>
    <w:rsid w:val="000A627F"/>
    <w:rsid w:val="000B02FF"/>
    <w:rsid w:val="000B12CC"/>
    <w:rsid w:val="000B4429"/>
    <w:rsid w:val="000B6C9C"/>
    <w:rsid w:val="000C3F13"/>
    <w:rsid w:val="000C5155"/>
    <w:rsid w:val="000C6739"/>
    <w:rsid w:val="000C764D"/>
    <w:rsid w:val="000D03F5"/>
    <w:rsid w:val="000D09E3"/>
    <w:rsid w:val="000D10FD"/>
    <w:rsid w:val="000D1DB8"/>
    <w:rsid w:val="000D22A3"/>
    <w:rsid w:val="000D310B"/>
    <w:rsid w:val="000D3258"/>
    <w:rsid w:val="000D365C"/>
    <w:rsid w:val="000D3E30"/>
    <w:rsid w:val="000D5627"/>
    <w:rsid w:val="000D6FF8"/>
    <w:rsid w:val="000D7F83"/>
    <w:rsid w:val="000E2664"/>
    <w:rsid w:val="000F190D"/>
    <w:rsid w:val="000F2006"/>
    <w:rsid w:val="000F2FBA"/>
    <w:rsid w:val="000F3C99"/>
    <w:rsid w:val="000F5C77"/>
    <w:rsid w:val="000F6CE3"/>
    <w:rsid w:val="000F754E"/>
    <w:rsid w:val="00100107"/>
    <w:rsid w:val="00100FF0"/>
    <w:rsid w:val="001021A7"/>
    <w:rsid w:val="00103585"/>
    <w:rsid w:val="001061A3"/>
    <w:rsid w:val="001077FD"/>
    <w:rsid w:val="001123A6"/>
    <w:rsid w:val="001133E5"/>
    <w:rsid w:val="001168CA"/>
    <w:rsid w:val="001173FD"/>
    <w:rsid w:val="00117959"/>
    <w:rsid w:val="00117C7F"/>
    <w:rsid w:val="00122B02"/>
    <w:rsid w:val="00125B03"/>
    <w:rsid w:val="00126A15"/>
    <w:rsid w:val="001270C1"/>
    <w:rsid w:val="00127E14"/>
    <w:rsid w:val="001301A8"/>
    <w:rsid w:val="001317DB"/>
    <w:rsid w:val="001322A3"/>
    <w:rsid w:val="00133B50"/>
    <w:rsid w:val="001349F7"/>
    <w:rsid w:val="0013634E"/>
    <w:rsid w:val="00136C72"/>
    <w:rsid w:val="00136F48"/>
    <w:rsid w:val="00140A54"/>
    <w:rsid w:val="0014103B"/>
    <w:rsid w:val="00141350"/>
    <w:rsid w:val="00143645"/>
    <w:rsid w:val="001449C8"/>
    <w:rsid w:val="00145AA0"/>
    <w:rsid w:val="00145EB2"/>
    <w:rsid w:val="00147907"/>
    <w:rsid w:val="0015129A"/>
    <w:rsid w:val="00152BC9"/>
    <w:rsid w:val="00154901"/>
    <w:rsid w:val="00154A7C"/>
    <w:rsid w:val="00154E3E"/>
    <w:rsid w:val="00155D71"/>
    <w:rsid w:val="0016020A"/>
    <w:rsid w:val="001619A1"/>
    <w:rsid w:val="00165FCD"/>
    <w:rsid w:val="001747CB"/>
    <w:rsid w:val="00176C0A"/>
    <w:rsid w:val="001772C3"/>
    <w:rsid w:val="001818C6"/>
    <w:rsid w:val="00181A24"/>
    <w:rsid w:val="00183E95"/>
    <w:rsid w:val="00184638"/>
    <w:rsid w:val="001910D8"/>
    <w:rsid w:val="00194070"/>
    <w:rsid w:val="00194BEF"/>
    <w:rsid w:val="001950C9"/>
    <w:rsid w:val="00195BB0"/>
    <w:rsid w:val="001A0E56"/>
    <w:rsid w:val="001A7A68"/>
    <w:rsid w:val="001B1DF6"/>
    <w:rsid w:val="001B6660"/>
    <w:rsid w:val="001B6EE2"/>
    <w:rsid w:val="001B7F44"/>
    <w:rsid w:val="001C1D34"/>
    <w:rsid w:val="001C67A9"/>
    <w:rsid w:val="001D1320"/>
    <w:rsid w:val="001D2620"/>
    <w:rsid w:val="001D2C0E"/>
    <w:rsid w:val="001D6330"/>
    <w:rsid w:val="001D79AB"/>
    <w:rsid w:val="001E118F"/>
    <w:rsid w:val="001E626F"/>
    <w:rsid w:val="001E67F6"/>
    <w:rsid w:val="001E794C"/>
    <w:rsid w:val="001F3C17"/>
    <w:rsid w:val="001F75D9"/>
    <w:rsid w:val="002005EC"/>
    <w:rsid w:val="00200C7A"/>
    <w:rsid w:val="00200E3F"/>
    <w:rsid w:val="002033E3"/>
    <w:rsid w:val="00203C7F"/>
    <w:rsid w:val="00204121"/>
    <w:rsid w:val="00205ED7"/>
    <w:rsid w:val="002070E7"/>
    <w:rsid w:val="00207BB5"/>
    <w:rsid w:val="00211775"/>
    <w:rsid w:val="00213A25"/>
    <w:rsid w:val="00214508"/>
    <w:rsid w:val="002156E1"/>
    <w:rsid w:val="0021791F"/>
    <w:rsid w:val="00221D27"/>
    <w:rsid w:val="002237C4"/>
    <w:rsid w:val="002273EA"/>
    <w:rsid w:val="00230EA6"/>
    <w:rsid w:val="00234D64"/>
    <w:rsid w:val="00235A75"/>
    <w:rsid w:val="002407F7"/>
    <w:rsid w:val="002409E3"/>
    <w:rsid w:val="00244C18"/>
    <w:rsid w:val="00247D89"/>
    <w:rsid w:val="0025030D"/>
    <w:rsid w:val="00250696"/>
    <w:rsid w:val="00250A1A"/>
    <w:rsid w:val="00251059"/>
    <w:rsid w:val="00252474"/>
    <w:rsid w:val="00253FF7"/>
    <w:rsid w:val="00266909"/>
    <w:rsid w:val="00270828"/>
    <w:rsid w:val="00270C8D"/>
    <w:rsid w:val="002804D4"/>
    <w:rsid w:val="0028140E"/>
    <w:rsid w:val="0028202D"/>
    <w:rsid w:val="00282EBE"/>
    <w:rsid w:val="002855E7"/>
    <w:rsid w:val="00287CD8"/>
    <w:rsid w:val="002907CD"/>
    <w:rsid w:val="00293E84"/>
    <w:rsid w:val="002959DB"/>
    <w:rsid w:val="00296282"/>
    <w:rsid w:val="002A17DF"/>
    <w:rsid w:val="002A56AD"/>
    <w:rsid w:val="002A70D6"/>
    <w:rsid w:val="002A731A"/>
    <w:rsid w:val="002B1ACC"/>
    <w:rsid w:val="002B2363"/>
    <w:rsid w:val="002B38AB"/>
    <w:rsid w:val="002B4210"/>
    <w:rsid w:val="002B4EFF"/>
    <w:rsid w:val="002C0CD5"/>
    <w:rsid w:val="002C0F8D"/>
    <w:rsid w:val="002C371D"/>
    <w:rsid w:val="002C4C73"/>
    <w:rsid w:val="002C67ED"/>
    <w:rsid w:val="002E0D74"/>
    <w:rsid w:val="002E2163"/>
    <w:rsid w:val="002E2BC9"/>
    <w:rsid w:val="002E5209"/>
    <w:rsid w:val="002E65A1"/>
    <w:rsid w:val="002E75AD"/>
    <w:rsid w:val="002E7CBA"/>
    <w:rsid w:val="002F2F60"/>
    <w:rsid w:val="002F4C70"/>
    <w:rsid w:val="002F6BD3"/>
    <w:rsid w:val="002F701E"/>
    <w:rsid w:val="0030110F"/>
    <w:rsid w:val="00306623"/>
    <w:rsid w:val="00312FE3"/>
    <w:rsid w:val="0031331F"/>
    <w:rsid w:val="003145C7"/>
    <w:rsid w:val="00315985"/>
    <w:rsid w:val="003168DE"/>
    <w:rsid w:val="00320573"/>
    <w:rsid w:val="00322373"/>
    <w:rsid w:val="0032248E"/>
    <w:rsid w:val="0032428B"/>
    <w:rsid w:val="0032798D"/>
    <w:rsid w:val="003334D9"/>
    <w:rsid w:val="003358C9"/>
    <w:rsid w:val="00336BA0"/>
    <w:rsid w:val="00337FEC"/>
    <w:rsid w:val="0034129A"/>
    <w:rsid w:val="00342BAA"/>
    <w:rsid w:val="0034331E"/>
    <w:rsid w:val="00345670"/>
    <w:rsid w:val="00347F9B"/>
    <w:rsid w:val="00354C79"/>
    <w:rsid w:val="00357359"/>
    <w:rsid w:val="00362D00"/>
    <w:rsid w:val="003641B8"/>
    <w:rsid w:val="003668BB"/>
    <w:rsid w:val="00367D75"/>
    <w:rsid w:val="00371322"/>
    <w:rsid w:val="00372A7B"/>
    <w:rsid w:val="003757C5"/>
    <w:rsid w:val="00375AD7"/>
    <w:rsid w:val="00377BAD"/>
    <w:rsid w:val="003816AB"/>
    <w:rsid w:val="00381E00"/>
    <w:rsid w:val="00384189"/>
    <w:rsid w:val="003853C4"/>
    <w:rsid w:val="003918FB"/>
    <w:rsid w:val="00392591"/>
    <w:rsid w:val="003947E8"/>
    <w:rsid w:val="00394F5C"/>
    <w:rsid w:val="00395069"/>
    <w:rsid w:val="003976D6"/>
    <w:rsid w:val="003A0E1D"/>
    <w:rsid w:val="003B03DE"/>
    <w:rsid w:val="003B323B"/>
    <w:rsid w:val="003B6997"/>
    <w:rsid w:val="003B7C9F"/>
    <w:rsid w:val="003C0CFF"/>
    <w:rsid w:val="003C496A"/>
    <w:rsid w:val="003C4A6B"/>
    <w:rsid w:val="003C69E0"/>
    <w:rsid w:val="003D0048"/>
    <w:rsid w:val="003D0699"/>
    <w:rsid w:val="003D13A2"/>
    <w:rsid w:val="003D2AC2"/>
    <w:rsid w:val="003D3824"/>
    <w:rsid w:val="003D3C26"/>
    <w:rsid w:val="003D403E"/>
    <w:rsid w:val="003D469B"/>
    <w:rsid w:val="003D5E54"/>
    <w:rsid w:val="003D6412"/>
    <w:rsid w:val="003D66FD"/>
    <w:rsid w:val="003E0C65"/>
    <w:rsid w:val="003E5A68"/>
    <w:rsid w:val="003E73D7"/>
    <w:rsid w:val="003F0B58"/>
    <w:rsid w:val="003F3880"/>
    <w:rsid w:val="003F52E0"/>
    <w:rsid w:val="003F60EA"/>
    <w:rsid w:val="003F7641"/>
    <w:rsid w:val="00400231"/>
    <w:rsid w:val="00401687"/>
    <w:rsid w:val="00405CA0"/>
    <w:rsid w:val="0041018F"/>
    <w:rsid w:val="00411DA9"/>
    <w:rsid w:val="004122BB"/>
    <w:rsid w:val="004125AD"/>
    <w:rsid w:val="0041294A"/>
    <w:rsid w:val="00414CB1"/>
    <w:rsid w:val="00415030"/>
    <w:rsid w:val="00420F80"/>
    <w:rsid w:val="00421239"/>
    <w:rsid w:val="004232DB"/>
    <w:rsid w:val="004236C5"/>
    <w:rsid w:val="00423A47"/>
    <w:rsid w:val="0043115C"/>
    <w:rsid w:val="00435E4E"/>
    <w:rsid w:val="0043767C"/>
    <w:rsid w:val="004409C9"/>
    <w:rsid w:val="004437C4"/>
    <w:rsid w:val="00447F0C"/>
    <w:rsid w:val="00450E7B"/>
    <w:rsid w:val="004517B8"/>
    <w:rsid w:val="00453A40"/>
    <w:rsid w:val="004550E6"/>
    <w:rsid w:val="0045649F"/>
    <w:rsid w:val="0046086E"/>
    <w:rsid w:val="00460B75"/>
    <w:rsid w:val="0046136B"/>
    <w:rsid w:val="00467BB7"/>
    <w:rsid w:val="004712BC"/>
    <w:rsid w:val="0047131C"/>
    <w:rsid w:val="0047407F"/>
    <w:rsid w:val="00474530"/>
    <w:rsid w:val="00476CE6"/>
    <w:rsid w:val="00482404"/>
    <w:rsid w:val="004832C5"/>
    <w:rsid w:val="00483752"/>
    <w:rsid w:val="0048419C"/>
    <w:rsid w:val="004843EA"/>
    <w:rsid w:val="00486A06"/>
    <w:rsid w:val="0048787A"/>
    <w:rsid w:val="0049016B"/>
    <w:rsid w:val="004921D8"/>
    <w:rsid w:val="00493981"/>
    <w:rsid w:val="00494633"/>
    <w:rsid w:val="00494E98"/>
    <w:rsid w:val="004973F9"/>
    <w:rsid w:val="0049773B"/>
    <w:rsid w:val="004A2769"/>
    <w:rsid w:val="004A7D42"/>
    <w:rsid w:val="004B0A97"/>
    <w:rsid w:val="004B4D59"/>
    <w:rsid w:val="004B4E58"/>
    <w:rsid w:val="004C2A90"/>
    <w:rsid w:val="004C2F87"/>
    <w:rsid w:val="004C3CC0"/>
    <w:rsid w:val="004C4D33"/>
    <w:rsid w:val="004C76AE"/>
    <w:rsid w:val="004D068C"/>
    <w:rsid w:val="004D208E"/>
    <w:rsid w:val="004D4CA7"/>
    <w:rsid w:val="004D5429"/>
    <w:rsid w:val="004D73AB"/>
    <w:rsid w:val="004E2753"/>
    <w:rsid w:val="004E27E5"/>
    <w:rsid w:val="004E35A3"/>
    <w:rsid w:val="004E3A04"/>
    <w:rsid w:val="004E408F"/>
    <w:rsid w:val="004E4E4C"/>
    <w:rsid w:val="004E5222"/>
    <w:rsid w:val="004E5984"/>
    <w:rsid w:val="004E5ACF"/>
    <w:rsid w:val="004E7A07"/>
    <w:rsid w:val="004E7CF0"/>
    <w:rsid w:val="004F0D71"/>
    <w:rsid w:val="004F30F1"/>
    <w:rsid w:val="004F62F6"/>
    <w:rsid w:val="005012C7"/>
    <w:rsid w:val="00505444"/>
    <w:rsid w:val="0050629B"/>
    <w:rsid w:val="00507B5C"/>
    <w:rsid w:val="00514F53"/>
    <w:rsid w:val="005157D7"/>
    <w:rsid w:val="00517372"/>
    <w:rsid w:val="0051766F"/>
    <w:rsid w:val="00521AEC"/>
    <w:rsid w:val="00521F0B"/>
    <w:rsid w:val="005220B9"/>
    <w:rsid w:val="005237D1"/>
    <w:rsid w:val="00524C25"/>
    <w:rsid w:val="0052533B"/>
    <w:rsid w:val="005255DC"/>
    <w:rsid w:val="00525CBE"/>
    <w:rsid w:val="00525D48"/>
    <w:rsid w:val="005276EE"/>
    <w:rsid w:val="00530E2C"/>
    <w:rsid w:val="00531A15"/>
    <w:rsid w:val="00532AB1"/>
    <w:rsid w:val="00533249"/>
    <w:rsid w:val="005347B0"/>
    <w:rsid w:val="0053652E"/>
    <w:rsid w:val="00540619"/>
    <w:rsid w:val="00544102"/>
    <w:rsid w:val="005458EF"/>
    <w:rsid w:val="0054702E"/>
    <w:rsid w:val="0055076D"/>
    <w:rsid w:val="00551BFF"/>
    <w:rsid w:val="00553683"/>
    <w:rsid w:val="00554F8C"/>
    <w:rsid w:val="0055595C"/>
    <w:rsid w:val="00557680"/>
    <w:rsid w:val="005633F2"/>
    <w:rsid w:val="00563427"/>
    <w:rsid w:val="00565BEE"/>
    <w:rsid w:val="00567B27"/>
    <w:rsid w:val="00567D48"/>
    <w:rsid w:val="00571549"/>
    <w:rsid w:val="0057696F"/>
    <w:rsid w:val="00577444"/>
    <w:rsid w:val="005806BD"/>
    <w:rsid w:val="005823C6"/>
    <w:rsid w:val="00592133"/>
    <w:rsid w:val="00592470"/>
    <w:rsid w:val="00592805"/>
    <w:rsid w:val="00595AED"/>
    <w:rsid w:val="00596B97"/>
    <w:rsid w:val="00597DDE"/>
    <w:rsid w:val="005A1E82"/>
    <w:rsid w:val="005A2D4A"/>
    <w:rsid w:val="005A4F8F"/>
    <w:rsid w:val="005B0EBF"/>
    <w:rsid w:val="005B35EC"/>
    <w:rsid w:val="005B4C36"/>
    <w:rsid w:val="005C076E"/>
    <w:rsid w:val="005C39B0"/>
    <w:rsid w:val="005C4749"/>
    <w:rsid w:val="005C4F83"/>
    <w:rsid w:val="005C55AF"/>
    <w:rsid w:val="005C641D"/>
    <w:rsid w:val="005C6ED1"/>
    <w:rsid w:val="005D023B"/>
    <w:rsid w:val="005D0EAE"/>
    <w:rsid w:val="005D1291"/>
    <w:rsid w:val="005D3D41"/>
    <w:rsid w:val="005D3DD9"/>
    <w:rsid w:val="005D78D0"/>
    <w:rsid w:val="005D7B4A"/>
    <w:rsid w:val="005E043F"/>
    <w:rsid w:val="005E05B0"/>
    <w:rsid w:val="005E7D12"/>
    <w:rsid w:val="005F0033"/>
    <w:rsid w:val="005F11F0"/>
    <w:rsid w:val="005F2466"/>
    <w:rsid w:val="005F4383"/>
    <w:rsid w:val="005F4642"/>
    <w:rsid w:val="005F46DC"/>
    <w:rsid w:val="005F5399"/>
    <w:rsid w:val="005F6A8E"/>
    <w:rsid w:val="005F7734"/>
    <w:rsid w:val="005F77C7"/>
    <w:rsid w:val="006001FD"/>
    <w:rsid w:val="00600B01"/>
    <w:rsid w:val="0060205D"/>
    <w:rsid w:val="00603E75"/>
    <w:rsid w:val="00605260"/>
    <w:rsid w:val="00614134"/>
    <w:rsid w:val="006146A8"/>
    <w:rsid w:val="00615EF1"/>
    <w:rsid w:val="006173B3"/>
    <w:rsid w:val="006177D1"/>
    <w:rsid w:val="00617A7E"/>
    <w:rsid w:val="00625B29"/>
    <w:rsid w:val="00625F11"/>
    <w:rsid w:val="00626B94"/>
    <w:rsid w:val="00627F25"/>
    <w:rsid w:val="00630137"/>
    <w:rsid w:val="006306E4"/>
    <w:rsid w:val="0063317A"/>
    <w:rsid w:val="006331EB"/>
    <w:rsid w:val="006336B9"/>
    <w:rsid w:val="00633FF5"/>
    <w:rsid w:val="006349BA"/>
    <w:rsid w:val="0063730B"/>
    <w:rsid w:val="0064084B"/>
    <w:rsid w:val="00640948"/>
    <w:rsid w:val="00641D5D"/>
    <w:rsid w:val="00643029"/>
    <w:rsid w:val="006445B6"/>
    <w:rsid w:val="00644CB7"/>
    <w:rsid w:val="00645700"/>
    <w:rsid w:val="00645F6C"/>
    <w:rsid w:val="00650D13"/>
    <w:rsid w:val="00650FF1"/>
    <w:rsid w:val="00651917"/>
    <w:rsid w:val="0065352C"/>
    <w:rsid w:val="00655205"/>
    <w:rsid w:val="00655B1C"/>
    <w:rsid w:val="00657ADF"/>
    <w:rsid w:val="006629F8"/>
    <w:rsid w:val="00663706"/>
    <w:rsid w:val="00666898"/>
    <w:rsid w:val="00666A69"/>
    <w:rsid w:val="00667AC6"/>
    <w:rsid w:val="00667DA5"/>
    <w:rsid w:val="006704FF"/>
    <w:rsid w:val="00673579"/>
    <w:rsid w:val="00674B35"/>
    <w:rsid w:val="00676751"/>
    <w:rsid w:val="006769D9"/>
    <w:rsid w:val="0067754A"/>
    <w:rsid w:val="00680F42"/>
    <w:rsid w:val="00682B01"/>
    <w:rsid w:val="0068438C"/>
    <w:rsid w:val="00687B8B"/>
    <w:rsid w:val="0069110A"/>
    <w:rsid w:val="00691F9C"/>
    <w:rsid w:val="00692D78"/>
    <w:rsid w:val="00694655"/>
    <w:rsid w:val="00694E2C"/>
    <w:rsid w:val="006953C8"/>
    <w:rsid w:val="006953FE"/>
    <w:rsid w:val="006A155A"/>
    <w:rsid w:val="006A2026"/>
    <w:rsid w:val="006A47B5"/>
    <w:rsid w:val="006A5091"/>
    <w:rsid w:val="006A6043"/>
    <w:rsid w:val="006A6318"/>
    <w:rsid w:val="006A75CD"/>
    <w:rsid w:val="006B013B"/>
    <w:rsid w:val="006B037D"/>
    <w:rsid w:val="006B183C"/>
    <w:rsid w:val="006B5DCC"/>
    <w:rsid w:val="006C2793"/>
    <w:rsid w:val="006C2817"/>
    <w:rsid w:val="006C2B99"/>
    <w:rsid w:val="006C3C78"/>
    <w:rsid w:val="006C453A"/>
    <w:rsid w:val="006C736D"/>
    <w:rsid w:val="006D0F32"/>
    <w:rsid w:val="006D1E6E"/>
    <w:rsid w:val="006D3736"/>
    <w:rsid w:val="006D50A3"/>
    <w:rsid w:val="006D58F8"/>
    <w:rsid w:val="006D5E13"/>
    <w:rsid w:val="006D6063"/>
    <w:rsid w:val="006D627E"/>
    <w:rsid w:val="006D7430"/>
    <w:rsid w:val="006D7C72"/>
    <w:rsid w:val="006E036F"/>
    <w:rsid w:val="006E1C2B"/>
    <w:rsid w:val="006E21A2"/>
    <w:rsid w:val="006E2457"/>
    <w:rsid w:val="006E24C5"/>
    <w:rsid w:val="006E25C0"/>
    <w:rsid w:val="006E27F2"/>
    <w:rsid w:val="006E339D"/>
    <w:rsid w:val="006E3FA3"/>
    <w:rsid w:val="006E4B12"/>
    <w:rsid w:val="006E4D8F"/>
    <w:rsid w:val="006E5E43"/>
    <w:rsid w:val="006E67CE"/>
    <w:rsid w:val="006E7F60"/>
    <w:rsid w:val="006F13D9"/>
    <w:rsid w:val="006F1D5F"/>
    <w:rsid w:val="006F30F3"/>
    <w:rsid w:val="006F3165"/>
    <w:rsid w:val="007000EB"/>
    <w:rsid w:val="007018E1"/>
    <w:rsid w:val="0070245E"/>
    <w:rsid w:val="00703A16"/>
    <w:rsid w:val="007056C3"/>
    <w:rsid w:val="00706FC0"/>
    <w:rsid w:val="00707407"/>
    <w:rsid w:val="00710C99"/>
    <w:rsid w:val="00711165"/>
    <w:rsid w:val="00711ABB"/>
    <w:rsid w:val="007163B6"/>
    <w:rsid w:val="00716611"/>
    <w:rsid w:val="00722038"/>
    <w:rsid w:val="007232A6"/>
    <w:rsid w:val="00723F79"/>
    <w:rsid w:val="00723FDE"/>
    <w:rsid w:val="00724763"/>
    <w:rsid w:val="00725280"/>
    <w:rsid w:val="00727941"/>
    <w:rsid w:val="00731408"/>
    <w:rsid w:val="00733306"/>
    <w:rsid w:val="007338CE"/>
    <w:rsid w:val="00733BD8"/>
    <w:rsid w:val="0073426F"/>
    <w:rsid w:val="0073720B"/>
    <w:rsid w:val="00737BAC"/>
    <w:rsid w:val="00740295"/>
    <w:rsid w:val="00740422"/>
    <w:rsid w:val="00742EA6"/>
    <w:rsid w:val="00743E0B"/>
    <w:rsid w:val="00745E8E"/>
    <w:rsid w:val="007463DE"/>
    <w:rsid w:val="0074736D"/>
    <w:rsid w:val="00751AD5"/>
    <w:rsid w:val="007538EB"/>
    <w:rsid w:val="007548C9"/>
    <w:rsid w:val="00756AAA"/>
    <w:rsid w:val="0075793F"/>
    <w:rsid w:val="00763E8F"/>
    <w:rsid w:val="00764F48"/>
    <w:rsid w:val="007651C6"/>
    <w:rsid w:val="00766FFC"/>
    <w:rsid w:val="007703A4"/>
    <w:rsid w:val="007710C4"/>
    <w:rsid w:val="00771D0F"/>
    <w:rsid w:val="00772D14"/>
    <w:rsid w:val="00786342"/>
    <w:rsid w:val="00791B15"/>
    <w:rsid w:val="007936CF"/>
    <w:rsid w:val="00795433"/>
    <w:rsid w:val="00796199"/>
    <w:rsid w:val="007A05A1"/>
    <w:rsid w:val="007A29C9"/>
    <w:rsid w:val="007A60D4"/>
    <w:rsid w:val="007A6F80"/>
    <w:rsid w:val="007A72AF"/>
    <w:rsid w:val="007A75E3"/>
    <w:rsid w:val="007B3866"/>
    <w:rsid w:val="007B6FBC"/>
    <w:rsid w:val="007C047B"/>
    <w:rsid w:val="007C08A3"/>
    <w:rsid w:val="007C2AD7"/>
    <w:rsid w:val="007C2FF7"/>
    <w:rsid w:val="007C5299"/>
    <w:rsid w:val="007D1499"/>
    <w:rsid w:val="007D3BF3"/>
    <w:rsid w:val="007D400D"/>
    <w:rsid w:val="007D56DC"/>
    <w:rsid w:val="007D742C"/>
    <w:rsid w:val="007D7522"/>
    <w:rsid w:val="007D7AFE"/>
    <w:rsid w:val="007D7EA6"/>
    <w:rsid w:val="007E1BCC"/>
    <w:rsid w:val="007E3C79"/>
    <w:rsid w:val="007E3C80"/>
    <w:rsid w:val="007E491F"/>
    <w:rsid w:val="007E615F"/>
    <w:rsid w:val="00803003"/>
    <w:rsid w:val="00803522"/>
    <w:rsid w:val="00803FA4"/>
    <w:rsid w:val="00804112"/>
    <w:rsid w:val="008042A9"/>
    <w:rsid w:val="00805F4B"/>
    <w:rsid w:val="00807067"/>
    <w:rsid w:val="008078A6"/>
    <w:rsid w:val="00813A97"/>
    <w:rsid w:val="00813AED"/>
    <w:rsid w:val="00814848"/>
    <w:rsid w:val="00820291"/>
    <w:rsid w:val="0082712A"/>
    <w:rsid w:val="008275AC"/>
    <w:rsid w:val="00832A6F"/>
    <w:rsid w:val="00832C7B"/>
    <w:rsid w:val="00833CA0"/>
    <w:rsid w:val="00835BA0"/>
    <w:rsid w:val="00837F66"/>
    <w:rsid w:val="00843592"/>
    <w:rsid w:val="00845238"/>
    <w:rsid w:val="008464F6"/>
    <w:rsid w:val="00846A32"/>
    <w:rsid w:val="0084709F"/>
    <w:rsid w:val="00852CEA"/>
    <w:rsid w:val="00854FC2"/>
    <w:rsid w:val="0085562E"/>
    <w:rsid w:val="008568AE"/>
    <w:rsid w:val="00861045"/>
    <w:rsid w:val="00863739"/>
    <w:rsid w:val="00865DB8"/>
    <w:rsid w:val="00866236"/>
    <w:rsid w:val="00866A1F"/>
    <w:rsid w:val="00867AC7"/>
    <w:rsid w:val="008729EE"/>
    <w:rsid w:val="008806D6"/>
    <w:rsid w:val="00880C61"/>
    <w:rsid w:val="00883F6E"/>
    <w:rsid w:val="0088400F"/>
    <w:rsid w:val="00884825"/>
    <w:rsid w:val="00885049"/>
    <w:rsid w:val="00886E93"/>
    <w:rsid w:val="00894130"/>
    <w:rsid w:val="008958B6"/>
    <w:rsid w:val="008969ED"/>
    <w:rsid w:val="00897D30"/>
    <w:rsid w:val="00897F1B"/>
    <w:rsid w:val="008A321C"/>
    <w:rsid w:val="008A41BF"/>
    <w:rsid w:val="008A423C"/>
    <w:rsid w:val="008A4589"/>
    <w:rsid w:val="008A4618"/>
    <w:rsid w:val="008A4B05"/>
    <w:rsid w:val="008B4859"/>
    <w:rsid w:val="008D0635"/>
    <w:rsid w:val="008D089D"/>
    <w:rsid w:val="008D793C"/>
    <w:rsid w:val="008E0B94"/>
    <w:rsid w:val="008F1549"/>
    <w:rsid w:val="008F451C"/>
    <w:rsid w:val="008F63B0"/>
    <w:rsid w:val="008F71E3"/>
    <w:rsid w:val="00901C91"/>
    <w:rsid w:val="0090253A"/>
    <w:rsid w:val="009030C6"/>
    <w:rsid w:val="00906595"/>
    <w:rsid w:val="009068FE"/>
    <w:rsid w:val="009125EE"/>
    <w:rsid w:val="00913A8E"/>
    <w:rsid w:val="00921A4C"/>
    <w:rsid w:val="0092243E"/>
    <w:rsid w:val="00922FDC"/>
    <w:rsid w:val="00923CA5"/>
    <w:rsid w:val="0092538C"/>
    <w:rsid w:val="00925567"/>
    <w:rsid w:val="0092626D"/>
    <w:rsid w:val="009271D6"/>
    <w:rsid w:val="00930C5D"/>
    <w:rsid w:val="00930CAF"/>
    <w:rsid w:val="00932A21"/>
    <w:rsid w:val="00933E11"/>
    <w:rsid w:val="00933FF2"/>
    <w:rsid w:val="00935DAC"/>
    <w:rsid w:val="0093627E"/>
    <w:rsid w:val="00937B20"/>
    <w:rsid w:val="0094195B"/>
    <w:rsid w:val="00942348"/>
    <w:rsid w:val="00944F10"/>
    <w:rsid w:val="009471EC"/>
    <w:rsid w:val="00953BCF"/>
    <w:rsid w:val="00954AA2"/>
    <w:rsid w:val="00955C60"/>
    <w:rsid w:val="0096021A"/>
    <w:rsid w:val="00960616"/>
    <w:rsid w:val="009638B4"/>
    <w:rsid w:val="0096434C"/>
    <w:rsid w:val="009644AB"/>
    <w:rsid w:val="00964F75"/>
    <w:rsid w:val="00970E68"/>
    <w:rsid w:val="009731CA"/>
    <w:rsid w:val="00975629"/>
    <w:rsid w:val="009773CA"/>
    <w:rsid w:val="00981C15"/>
    <w:rsid w:val="009834B3"/>
    <w:rsid w:val="009849CC"/>
    <w:rsid w:val="00985A65"/>
    <w:rsid w:val="0098601F"/>
    <w:rsid w:val="009900BA"/>
    <w:rsid w:val="00991868"/>
    <w:rsid w:val="00991AB0"/>
    <w:rsid w:val="00991DCA"/>
    <w:rsid w:val="00993532"/>
    <w:rsid w:val="00995000"/>
    <w:rsid w:val="009A14F0"/>
    <w:rsid w:val="009A22E1"/>
    <w:rsid w:val="009A2F2F"/>
    <w:rsid w:val="009A32DD"/>
    <w:rsid w:val="009A46AF"/>
    <w:rsid w:val="009A6904"/>
    <w:rsid w:val="009B1644"/>
    <w:rsid w:val="009B20E5"/>
    <w:rsid w:val="009B323E"/>
    <w:rsid w:val="009B46EE"/>
    <w:rsid w:val="009B4991"/>
    <w:rsid w:val="009B49D4"/>
    <w:rsid w:val="009B54E6"/>
    <w:rsid w:val="009B5ADD"/>
    <w:rsid w:val="009B6AB0"/>
    <w:rsid w:val="009B7656"/>
    <w:rsid w:val="009B78A2"/>
    <w:rsid w:val="009C048D"/>
    <w:rsid w:val="009C0D40"/>
    <w:rsid w:val="009C0E4D"/>
    <w:rsid w:val="009C672D"/>
    <w:rsid w:val="009D0AFC"/>
    <w:rsid w:val="009D1149"/>
    <w:rsid w:val="009D1C70"/>
    <w:rsid w:val="009D1E5E"/>
    <w:rsid w:val="009D2F86"/>
    <w:rsid w:val="009D7401"/>
    <w:rsid w:val="009E01B9"/>
    <w:rsid w:val="009E025B"/>
    <w:rsid w:val="009E0AB7"/>
    <w:rsid w:val="009E3689"/>
    <w:rsid w:val="009E5DCF"/>
    <w:rsid w:val="009F0042"/>
    <w:rsid w:val="009F0B20"/>
    <w:rsid w:val="009F3515"/>
    <w:rsid w:val="009F406F"/>
    <w:rsid w:val="00A00EF4"/>
    <w:rsid w:val="00A018DA"/>
    <w:rsid w:val="00A13104"/>
    <w:rsid w:val="00A144B1"/>
    <w:rsid w:val="00A163D9"/>
    <w:rsid w:val="00A16542"/>
    <w:rsid w:val="00A2071B"/>
    <w:rsid w:val="00A24C66"/>
    <w:rsid w:val="00A25020"/>
    <w:rsid w:val="00A27FF0"/>
    <w:rsid w:val="00A30B91"/>
    <w:rsid w:val="00A318AB"/>
    <w:rsid w:val="00A31A98"/>
    <w:rsid w:val="00A331B4"/>
    <w:rsid w:val="00A35EA7"/>
    <w:rsid w:val="00A360B2"/>
    <w:rsid w:val="00A3633E"/>
    <w:rsid w:val="00A366C6"/>
    <w:rsid w:val="00A37471"/>
    <w:rsid w:val="00A40076"/>
    <w:rsid w:val="00A44A37"/>
    <w:rsid w:val="00A44D36"/>
    <w:rsid w:val="00A45B0F"/>
    <w:rsid w:val="00A46E26"/>
    <w:rsid w:val="00A46EB6"/>
    <w:rsid w:val="00A4735B"/>
    <w:rsid w:val="00A50096"/>
    <w:rsid w:val="00A5185E"/>
    <w:rsid w:val="00A54342"/>
    <w:rsid w:val="00A5472B"/>
    <w:rsid w:val="00A54E9C"/>
    <w:rsid w:val="00A551CF"/>
    <w:rsid w:val="00A57799"/>
    <w:rsid w:val="00A608E8"/>
    <w:rsid w:val="00A60B52"/>
    <w:rsid w:val="00A63075"/>
    <w:rsid w:val="00A63A9A"/>
    <w:rsid w:val="00A64B3B"/>
    <w:rsid w:val="00A65DC7"/>
    <w:rsid w:val="00A73BA5"/>
    <w:rsid w:val="00A74068"/>
    <w:rsid w:val="00A75930"/>
    <w:rsid w:val="00A828FD"/>
    <w:rsid w:val="00A84AC2"/>
    <w:rsid w:val="00A86A33"/>
    <w:rsid w:val="00A92FAB"/>
    <w:rsid w:val="00A962A0"/>
    <w:rsid w:val="00A968DA"/>
    <w:rsid w:val="00A97460"/>
    <w:rsid w:val="00A974B8"/>
    <w:rsid w:val="00AA0722"/>
    <w:rsid w:val="00AA5BB5"/>
    <w:rsid w:val="00AA697B"/>
    <w:rsid w:val="00AB193F"/>
    <w:rsid w:val="00AB4B54"/>
    <w:rsid w:val="00AB7255"/>
    <w:rsid w:val="00AB7A20"/>
    <w:rsid w:val="00AC0066"/>
    <w:rsid w:val="00AC13C7"/>
    <w:rsid w:val="00AC167C"/>
    <w:rsid w:val="00AC2840"/>
    <w:rsid w:val="00AC2E97"/>
    <w:rsid w:val="00AC3188"/>
    <w:rsid w:val="00AC62B2"/>
    <w:rsid w:val="00AC6AE5"/>
    <w:rsid w:val="00AC79A8"/>
    <w:rsid w:val="00AD02F0"/>
    <w:rsid w:val="00AD2DEB"/>
    <w:rsid w:val="00AD51AA"/>
    <w:rsid w:val="00AE1C75"/>
    <w:rsid w:val="00AE4164"/>
    <w:rsid w:val="00AE4980"/>
    <w:rsid w:val="00AE70F5"/>
    <w:rsid w:val="00AF396A"/>
    <w:rsid w:val="00AF3C2E"/>
    <w:rsid w:val="00AF5465"/>
    <w:rsid w:val="00AF74DA"/>
    <w:rsid w:val="00B0021E"/>
    <w:rsid w:val="00B03806"/>
    <w:rsid w:val="00B0399B"/>
    <w:rsid w:val="00B03C6B"/>
    <w:rsid w:val="00B04FD0"/>
    <w:rsid w:val="00B066F7"/>
    <w:rsid w:val="00B0726E"/>
    <w:rsid w:val="00B13985"/>
    <w:rsid w:val="00B14943"/>
    <w:rsid w:val="00B15DC6"/>
    <w:rsid w:val="00B21F87"/>
    <w:rsid w:val="00B22734"/>
    <w:rsid w:val="00B22DD9"/>
    <w:rsid w:val="00B22E8A"/>
    <w:rsid w:val="00B23740"/>
    <w:rsid w:val="00B23CE7"/>
    <w:rsid w:val="00B23FA9"/>
    <w:rsid w:val="00B25BF1"/>
    <w:rsid w:val="00B31A47"/>
    <w:rsid w:val="00B35D68"/>
    <w:rsid w:val="00B365C1"/>
    <w:rsid w:val="00B4197E"/>
    <w:rsid w:val="00B45F91"/>
    <w:rsid w:val="00B526B8"/>
    <w:rsid w:val="00B52A99"/>
    <w:rsid w:val="00B5409A"/>
    <w:rsid w:val="00B555E7"/>
    <w:rsid w:val="00B565C5"/>
    <w:rsid w:val="00B61C29"/>
    <w:rsid w:val="00B6375B"/>
    <w:rsid w:val="00B676F6"/>
    <w:rsid w:val="00B720B0"/>
    <w:rsid w:val="00B74787"/>
    <w:rsid w:val="00B76261"/>
    <w:rsid w:val="00B76380"/>
    <w:rsid w:val="00B7691A"/>
    <w:rsid w:val="00B77256"/>
    <w:rsid w:val="00B77DA9"/>
    <w:rsid w:val="00B816B1"/>
    <w:rsid w:val="00B849E3"/>
    <w:rsid w:val="00B853D8"/>
    <w:rsid w:val="00B87D04"/>
    <w:rsid w:val="00B90A5A"/>
    <w:rsid w:val="00B90AE3"/>
    <w:rsid w:val="00B97A0E"/>
    <w:rsid w:val="00BA44B6"/>
    <w:rsid w:val="00BA492D"/>
    <w:rsid w:val="00BA4F27"/>
    <w:rsid w:val="00BA6172"/>
    <w:rsid w:val="00BA639F"/>
    <w:rsid w:val="00BA75AD"/>
    <w:rsid w:val="00BB3142"/>
    <w:rsid w:val="00BB63EF"/>
    <w:rsid w:val="00BC1FB8"/>
    <w:rsid w:val="00BC3657"/>
    <w:rsid w:val="00BC4CFC"/>
    <w:rsid w:val="00BC5A6F"/>
    <w:rsid w:val="00BD406A"/>
    <w:rsid w:val="00BD55D1"/>
    <w:rsid w:val="00BD561A"/>
    <w:rsid w:val="00BE2389"/>
    <w:rsid w:val="00BE2654"/>
    <w:rsid w:val="00BE2C01"/>
    <w:rsid w:val="00BE5E77"/>
    <w:rsid w:val="00BF0D03"/>
    <w:rsid w:val="00BF1A29"/>
    <w:rsid w:val="00BF3A2E"/>
    <w:rsid w:val="00BF482C"/>
    <w:rsid w:val="00BF5749"/>
    <w:rsid w:val="00C016A0"/>
    <w:rsid w:val="00C03A29"/>
    <w:rsid w:val="00C042CA"/>
    <w:rsid w:val="00C10D20"/>
    <w:rsid w:val="00C11AC8"/>
    <w:rsid w:val="00C11FF5"/>
    <w:rsid w:val="00C1214A"/>
    <w:rsid w:val="00C12FB0"/>
    <w:rsid w:val="00C13445"/>
    <w:rsid w:val="00C13878"/>
    <w:rsid w:val="00C16260"/>
    <w:rsid w:val="00C1731C"/>
    <w:rsid w:val="00C17950"/>
    <w:rsid w:val="00C17E82"/>
    <w:rsid w:val="00C20488"/>
    <w:rsid w:val="00C23651"/>
    <w:rsid w:val="00C237AA"/>
    <w:rsid w:val="00C2473F"/>
    <w:rsid w:val="00C24A97"/>
    <w:rsid w:val="00C251EC"/>
    <w:rsid w:val="00C26ED8"/>
    <w:rsid w:val="00C27371"/>
    <w:rsid w:val="00C3034F"/>
    <w:rsid w:val="00C30A75"/>
    <w:rsid w:val="00C31100"/>
    <w:rsid w:val="00C32EA7"/>
    <w:rsid w:val="00C33A7C"/>
    <w:rsid w:val="00C355AB"/>
    <w:rsid w:val="00C36177"/>
    <w:rsid w:val="00C40F1C"/>
    <w:rsid w:val="00C41193"/>
    <w:rsid w:val="00C41FBD"/>
    <w:rsid w:val="00C420CB"/>
    <w:rsid w:val="00C42849"/>
    <w:rsid w:val="00C433F6"/>
    <w:rsid w:val="00C445A0"/>
    <w:rsid w:val="00C50298"/>
    <w:rsid w:val="00C502A6"/>
    <w:rsid w:val="00C512E7"/>
    <w:rsid w:val="00C5212C"/>
    <w:rsid w:val="00C524DF"/>
    <w:rsid w:val="00C537B6"/>
    <w:rsid w:val="00C56AD6"/>
    <w:rsid w:val="00C6074D"/>
    <w:rsid w:val="00C626B1"/>
    <w:rsid w:val="00C6357F"/>
    <w:rsid w:val="00C6508C"/>
    <w:rsid w:val="00C664C3"/>
    <w:rsid w:val="00C669AA"/>
    <w:rsid w:val="00C72052"/>
    <w:rsid w:val="00C743AE"/>
    <w:rsid w:val="00C74A2B"/>
    <w:rsid w:val="00C74DF5"/>
    <w:rsid w:val="00C75E07"/>
    <w:rsid w:val="00C80DC6"/>
    <w:rsid w:val="00C836C5"/>
    <w:rsid w:val="00C84123"/>
    <w:rsid w:val="00C84779"/>
    <w:rsid w:val="00C8724D"/>
    <w:rsid w:val="00C94694"/>
    <w:rsid w:val="00C974C2"/>
    <w:rsid w:val="00CA1090"/>
    <w:rsid w:val="00CA7D68"/>
    <w:rsid w:val="00CB02EF"/>
    <w:rsid w:val="00CB0576"/>
    <w:rsid w:val="00CB1077"/>
    <w:rsid w:val="00CB1A88"/>
    <w:rsid w:val="00CB49C0"/>
    <w:rsid w:val="00CB4F18"/>
    <w:rsid w:val="00CB6CE4"/>
    <w:rsid w:val="00CC349D"/>
    <w:rsid w:val="00CC35C3"/>
    <w:rsid w:val="00CC36E4"/>
    <w:rsid w:val="00CC5ADB"/>
    <w:rsid w:val="00CC62E8"/>
    <w:rsid w:val="00CC7CC7"/>
    <w:rsid w:val="00CD12E2"/>
    <w:rsid w:val="00CD1496"/>
    <w:rsid w:val="00CD60B7"/>
    <w:rsid w:val="00CD7792"/>
    <w:rsid w:val="00CD785B"/>
    <w:rsid w:val="00CF03F3"/>
    <w:rsid w:val="00CF0C8E"/>
    <w:rsid w:val="00CF21D6"/>
    <w:rsid w:val="00CF41AC"/>
    <w:rsid w:val="00CF4E83"/>
    <w:rsid w:val="00D010D7"/>
    <w:rsid w:val="00D04496"/>
    <w:rsid w:val="00D05FF8"/>
    <w:rsid w:val="00D06192"/>
    <w:rsid w:val="00D0671D"/>
    <w:rsid w:val="00D06A5F"/>
    <w:rsid w:val="00D10531"/>
    <w:rsid w:val="00D11108"/>
    <w:rsid w:val="00D129FF"/>
    <w:rsid w:val="00D158F5"/>
    <w:rsid w:val="00D1782C"/>
    <w:rsid w:val="00D2082C"/>
    <w:rsid w:val="00D21216"/>
    <w:rsid w:val="00D259B0"/>
    <w:rsid w:val="00D30348"/>
    <w:rsid w:val="00D35C52"/>
    <w:rsid w:val="00D361DF"/>
    <w:rsid w:val="00D37062"/>
    <w:rsid w:val="00D376EB"/>
    <w:rsid w:val="00D37E71"/>
    <w:rsid w:val="00D419D5"/>
    <w:rsid w:val="00D423DE"/>
    <w:rsid w:val="00D426D1"/>
    <w:rsid w:val="00D42D3D"/>
    <w:rsid w:val="00D50332"/>
    <w:rsid w:val="00D509BF"/>
    <w:rsid w:val="00D50A21"/>
    <w:rsid w:val="00D50FC4"/>
    <w:rsid w:val="00D542D8"/>
    <w:rsid w:val="00D60E94"/>
    <w:rsid w:val="00D61876"/>
    <w:rsid w:val="00D61ACD"/>
    <w:rsid w:val="00D63A00"/>
    <w:rsid w:val="00D64261"/>
    <w:rsid w:val="00D65AD6"/>
    <w:rsid w:val="00D65E30"/>
    <w:rsid w:val="00D73DF5"/>
    <w:rsid w:val="00D746FF"/>
    <w:rsid w:val="00D74986"/>
    <w:rsid w:val="00D74C38"/>
    <w:rsid w:val="00D74D61"/>
    <w:rsid w:val="00D752C0"/>
    <w:rsid w:val="00D767E1"/>
    <w:rsid w:val="00D77F5C"/>
    <w:rsid w:val="00D809B9"/>
    <w:rsid w:val="00D81E2E"/>
    <w:rsid w:val="00D82686"/>
    <w:rsid w:val="00D848CE"/>
    <w:rsid w:val="00D86977"/>
    <w:rsid w:val="00D87537"/>
    <w:rsid w:val="00D9050F"/>
    <w:rsid w:val="00D91762"/>
    <w:rsid w:val="00D937BB"/>
    <w:rsid w:val="00D93D23"/>
    <w:rsid w:val="00D9572F"/>
    <w:rsid w:val="00D95857"/>
    <w:rsid w:val="00D97609"/>
    <w:rsid w:val="00DA3B69"/>
    <w:rsid w:val="00DA3FDB"/>
    <w:rsid w:val="00DA698C"/>
    <w:rsid w:val="00DB0A92"/>
    <w:rsid w:val="00DB0B42"/>
    <w:rsid w:val="00DB78B9"/>
    <w:rsid w:val="00DC0DE2"/>
    <w:rsid w:val="00DC49BF"/>
    <w:rsid w:val="00DC60B4"/>
    <w:rsid w:val="00DC612C"/>
    <w:rsid w:val="00DC6579"/>
    <w:rsid w:val="00DC6C90"/>
    <w:rsid w:val="00DC7256"/>
    <w:rsid w:val="00DD1B5A"/>
    <w:rsid w:val="00DD2B51"/>
    <w:rsid w:val="00DD41E2"/>
    <w:rsid w:val="00DD4C86"/>
    <w:rsid w:val="00DE647A"/>
    <w:rsid w:val="00DF1103"/>
    <w:rsid w:val="00DF4EC2"/>
    <w:rsid w:val="00DF59DF"/>
    <w:rsid w:val="00DF5FA2"/>
    <w:rsid w:val="00DF608C"/>
    <w:rsid w:val="00DF63E8"/>
    <w:rsid w:val="00DF7753"/>
    <w:rsid w:val="00E026FA"/>
    <w:rsid w:val="00E05518"/>
    <w:rsid w:val="00E062C1"/>
    <w:rsid w:val="00E112B2"/>
    <w:rsid w:val="00E16D63"/>
    <w:rsid w:val="00E16E09"/>
    <w:rsid w:val="00E20FBB"/>
    <w:rsid w:val="00E20FE5"/>
    <w:rsid w:val="00E23414"/>
    <w:rsid w:val="00E2379E"/>
    <w:rsid w:val="00E24D20"/>
    <w:rsid w:val="00E26436"/>
    <w:rsid w:val="00E323EA"/>
    <w:rsid w:val="00E3310C"/>
    <w:rsid w:val="00E33DE4"/>
    <w:rsid w:val="00E423AA"/>
    <w:rsid w:val="00E43333"/>
    <w:rsid w:val="00E43614"/>
    <w:rsid w:val="00E43C02"/>
    <w:rsid w:val="00E53316"/>
    <w:rsid w:val="00E537D7"/>
    <w:rsid w:val="00E5497D"/>
    <w:rsid w:val="00E55813"/>
    <w:rsid w:val="00E56F26"/>
    <w:rsid w:val="00E6185C"/>
    <w:rsid w:val="00E61875"/>
    <w:rsid w:val="00E62C42"/>
    <w:rsid w:val="00E64B24"/>
    <w:rsid w:val="00E67035"/>
    <w:rsid w:val="00E76BCA"/>
    <w:rsid w:val="00E81026"/>
    <w:rsid w:val="00E8154F"/>
    <w:rsid w:val="00E81DC0"/>
    <w:rsid w:val="00E82D8B"/>
    <w:rsid w:val="00E82DB0"/>
    <w:rsid w:val="00E82FD3"/>
    <w:rsid w:val="00E84672"/>
    <w:rsid w:val="00E90C9D"/>
    <w:rsid w:val="00E90FC8"/>
    <w:rsid w:val="00E91C99"/>
    <w:rsid w:val="00E93986"/>
    <w:rsid w:val="00E94269"/>
    <w:rsid w:val="00E9559B"/>
    <w:rsid w:val="00E97988"/>
    <w:rsid w:val="00E97E34"/>
    <w:rsid w:val="00EA2CD9"/>
    <w:rsid w:val="00EA39CF"/>
    <w:rsid w:val="00EA3DCE"/>
    <w:rsid w:val="00EA5F54"/>
    <w:rsid w:val="00EA6794"/>
    <w:rsid w:val="00EB0331"/>
    <w:rsid w:val="00EB0953"/>
    <w:rsid w:val="00EB6556"/>
    <w:rsid w:val="00EC0157"/>
    <w:rsid w:val="00EC20BE"/>
    <w:rsid w:val="00EC3BA4"/>
    <w:rsid w:val="00EC46B8"/>
    <w:rsid w:val="00EC4F67"/>
    <w:rsid w:val="00EC6FBA"/>
    <w:rsid w:val="00EC71E3"/>
    <w:rsid w:val="00EC7412"/>
    <w:rsid w:val="00ED1A8D"/>
    <w:rsid w:val="00ED1B2F"/>
    <w:rsid w:val="00ED2386"/>
    <w:rsid w:val="00ED28CA"/>
    <w:rsid w:val="00ED33DB"/>
    <w:rsid w:val="00ED4D03"/>
    <w:rsid w:val="00ED575D"/>
    <w:rsid w:val="00ED6069"/>
    <w:rsid w:val="00ED7FD9"/>
    <w:rsid w:val="00EE051C"/>
    <w:rsid w:val="00EE0812"/>
    <w:rsid w:val="00EE311A"/>
    <w:rsid w:val="00EE3A32"/>
    <w:rsid w:val="00EE5D86"/>
    <w:rsid w:val="00EE68A9"/>
    <w:rsid w:val="00EF0DCC"/>
    <w:rsid w:val="00EF3D0F"/>
    <w:rsid w:val="00EF4423"/>
    <w:rsid w:val="00EF61E7"/>
    <w:rsid w:val="00EF653C"/>
    <w:rsid w:val="00F04E06"/>
    <w:rsid w:val="00F071CB"/>
    <w:rsid w:val="00F111CB"/>
    <w:rsid w:val="00F11A9E"/>
    <w:rsid w:val="00F12DFC"/>
    <w:rsid w:val="00F12EDF"/>
    <w:rsid w:val="00F13F46"/>
    <w:rsid w:val="00F1711E"/>
    <w:rsid w:val="00F1757B"/>
    <w:rsid w:val="00F17DF2"/>
    <w:rsid w:val="00F20AC3"/>
    <w:rsid w:val="00F21735"/>
    <w:rsid w:val="00F2203E"/>
    <w:rsid w:val="00F32B7D"/>
    <w:rsid w:val="00F33782"/>
    <w:rsid w:val="00F33E97"/>
    <w:rsid w:val="00F356A6"/>
    <w:rsid w:val="00F359EE"/>
    <w:rsid w:val="00F36A4C"/>
    <w:rsid w:val="00F36D3A"/>
    <w:rsid w:val="00F40065"/>
    <w:rsid w:val="00F40454"/>
    <w:rsid w:val="00F404F4"/>
    <w:rsid w:val="00F40BB2"/>
    <w:rsid w:val="00F43C3D"/>
    <w:rsid w:val="00F45CC1"/>
    <w:rsid w:val="00F50758"/>
    <w:rsid w:val="00F5474D"/>
    <w:rsid w:val="00F551F1"/>
    <w:rsid w:val="00F55847"/>
    <w:rsid w:val="00F577FA"/>
    <w:rsid w:val="00F57F42"/>
    <w:rsid w:val="00F60C8D"/>
    <w:rsid w:val="00F62D49"/>
    <w:rsid w:val="00F663E6"/>
    <w:rsid w:val="00F700B5"/>
    <w:rsid w:val="00F7051C"/>
    <w:rsid w:val="00F70EF8"/>
    <w:rsid w:val="00F7383B"/>
    <w:rsid w:val="00F7397C"/>
    <w:rsid w:val="00F756B9"/>
    <w:rsid w:val="00F760A5"/>
    <w:rsid w:val="00F778D5"/>
    <w:rsid w:val="00F81E1C"/>
    <w:rsid w:val="00F82496"/>
    <w:rsid w:val="00F82F54"/>
    <w:rsid w:val="00F853E1"/>
    <w:rsid w:val="00F909BA"/>
    <w:rsid w:val="00F9326C"/>
    <w:rsid w:val="00FA1796"/>
    <w:rsid w:val="00FA1E55"/>
    <w:rsid w:val="00FA3887"/>
    <w:rsid w:val="00FA452E"/>
    <w:rsid w:val="00FA4AF3"/>
    <w:rsid w:val="00FA4D1C"/>
    <w:rsid w:val="00FA607C"/>
    <w:rsid w:val="00FA67BE"/>
    <w:rsid w:val="00FA76F5"/>
    <w:rsid w:val="00FA7E75"/>
    <w:rsid w:val="00FB4D11"/>
    <w:rsid w:val="00FB7A01"/>
    <w:rsid w:val="00FC02E5"/>
    <w:rsid w:val="00FC2DC9"/>
    <w:rsid w:val="00FC4354"/>
    <w:rsid w:val="00FC4C64"/>
    <w:rsid w:val="00FC5EBE"/>
    <w:rsid w:val="00FD08A1"/>
    <w:rsid w:val="00FD1236"/>
    <w:rsid w:val="00FD35C2"/>
    <w:rsid w:val="00FD3ABB"/>
    <w:rsid w:val="00FD5F62"/>
    <w:rsid w:val="00FE0EA2"/>
    <w:rsid w:val="00FE2AB9"/>
    <w:rsid w:val="00FE2CB1"/>
    <w:rsid w:val="00FE3561"/>
    <w:rsid w:val="00FE640F"/>
    <w:rsid w:val="00FF36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394A98"/>
  <w15:docId w15:val="{331EC125-D758-4253-8644-C34D7CE6E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85B"/>
    <w:pPr>
      <w:spacing w:after="0" w:line="240" w:lineRule="auto"/>
    </w:pPr>
    <w:rPr>
      <w:rFonts w:ascii="Times New Roman" w:eastAsia="MS Mincho" w:hAnsi="Times New Roman" w:cs="Times New Roman"/>
      <w:sz w:val="24"/>
      <w:szCs w:val="24"/>
      <w:lang w:val="es-ES_tradnl"/>
    </w:rPr>
  </w:style>
  <w:style w:type="paragraph" w:styleId="Ttulo2">
    <w:name w:val="heading 2"/>
    <w:basedOn w:val="Normal"/>
    <w:next w:val="Normal"/>
    <w:link w:val="Ttulo2Car"/>
    <w:rsid w:val="009638B4"/>
    <w:pPr>
      <w:keepNext/>
      <w:keepLines/>
      <w:suppressAutoHyphens/>
      <w:autoSpaceDN w:val="0"/>
      <w:spacing w:before="40" w:line="251" w:lineRule="auto"/>
      <w:textAlignment w:val="baseline"/>
      <w:outlineLvl w:val="1"/>
    </w:pPr>
    <w:rPr>
      <w:rFonts w:ascii="Calibri Light" w:eastAsia="Times New Roman" w:hAnsi="Calibri Light"/>
      <w:color w:val="2F5496"/>
      <w:sz w:val="26"/>
      <w:szCs w:val="2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D785B"/>
    <w:pPr>
      <w:tabs>
        <w:tab w:val="center" w:pos="4252"/>
        <w:tab w:val="right" w:pos="8504"/>
      </w:tabs>
    </w:pPr>
  </w:style>
  <w:style w:type="character" w:customStyle="1" w:styleId="EncabezadoCar">
    <w:name w:val="Encabezado Car"/>
    <w:basedOn w:val="Fuentedeprrafopredeter"/>
    <w:link w:val="Encabezado"/>
    <w:uiPriority w:val="99"/>
    <w:rsid w:val="00CD785B"/>
  </w:style>
  <w:style w:type="paragraph" w:styleId="Piedepgina">
    <w:name w:val="footer"/>
    <w:basedOn w:val="Normal"/>
    <w:link w:val="PiedepginaCar"/>
    <w:uiPriority w:val="99"/>
    <w:unhideWhenUsed/>
    <w:rsid w:val="00CD785B"/>
    <w:pPr>
      <w:tabs>
        <w:tab w:val="center" w:pos="4252"/>
        <w:tab w:val="right" w:pos="8504"/>
      </w:tabs>
    </w:pPr>
  </w:style>
  <w:style w:type="character" w:customStyle="1" w:styleId="PiedepginaCar">
    <w:name w:val="Pie de página Car"/>
    <w:basedOn w:val="Fuentedeprrafopredeter"/>
    <w:link w:val="Piedepgina"/>
    <w:uiPriority w:val="99"/>
    <w:rsid w:val="00CD785B"/>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link w:val="4GChar"/>
    <w:qFormat/>
    <w:rsid w:val="00CD785B"/>
    <w:rPr>
      <w:rFonts w:ascii="Verdana" w:hAnsi="Verdana"/>
      <w:sz w:val="16"/>
      <w:vertAlign w:val="superscript"/>
    </w:rPr>
  </w:style>
  <w:style w:type="paragraph" w:styleId="Textonotapie">
    <w:name w:val="footnote text"/>
    <w:aliases w:val="Footnote Text Char Char Char Char Char,Footnote Text Char Char Char Char,Footnote reference,FA Fu,Footnote Text Char Char Char,FA Fu Car,FA Fu Car Car,Footnote Text Cha,FA Fußnotentext,FA Fuﬂnotentext,Ca,footnote text,C,ft,FA Fu?notentext"/>
    <w:basedOn w:val="Normal"/>
    <w:link w:val="TextonotapieCar"/>
    <w:uiPriority w:val="99"/>
    <w:qFormat/>
    <w:rsid w:val="00CD785B"/>
    <w:pPr>
      <w:widowControl w:val="0"/>
    </w:pPr>
    <w:rPr>
      <w:sz w:val="20"/>
      <w:szCs w:val="20"/>
    </w:rPr>
  </w:style>
  <w:style w:type="character" w:customStyle="1" w:styleId="TextonotapieCar">
    <w:name w:val="Texto nota pie Car"/>
    <w:aliases w:val="Footnote Text Char Char Char Char Char Car,Footnote Text Char Char Char Char Car,Footnote reference Car,FA Fu Car1,Footnote Text Char Char Char Car,FA Fu Car Car1,FA Fu Car Car Car,Footnote Text Cha Car,FA Fußnotentext Car,Ca Car"/>
    <w:basedOn w:val="Fuentedeprrafopredeter"/>
    <w:link w:val="Textonotapie"/>
    <w:uiPriority w:val="99"/>
    <w:qFormat/>
    <w:rsid w:val="00CD785B"/>
    <w:rPr>
      <w:rFonts w:ascii="Times New Roman" w:eastAsia="MS Mincho" w:hAnsi="Times New Roman" w:cs="Times New Roman"/>
      <w:sz w:val="20"/>
      <w:szCs w:val="20"/>
      <w:lang w:val="es-ES_tradnl"/>
    </w:rPr>
  </w:style>
  <w:style w:type="character" w:styleId="Hipervnculo">
    <w:name w:val="Hyperlink"/>
    <w:uiPriority w:val="99"/>
    <w:unhideWhenUsed/>
    <w:rsid w:val="00CD785B"/>
    <w:rPr>
      <w:color w:val="0000FF"/>
      <w:u w:val="singl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CD785B"/>
    <w:pPr>
      <w:jc w:val="both"/>
    </w:pPr>
    <w:rPr>
      <w:rFonts w:ascii="Verdana" w:eastAsiaTheme="minorHAnsi" w:hAnsi="Verdana" w:cstheme="minorBidi"/>
      <w:sz w:val="16"/>
      <w:szCs w:val="22"/>
      <w:vertAlign w:val="superscript"/>
      <w:lang w:val="es-ES"/>
    </w:rPr>
  </w:style>
  <w:style w:type="paragraph" w:styleId="Prrafodelista">
    <w:name w:val="List Paragraph"/>
    <w:aliases w:val="Footnote,List Paragraph1,Colorful List - Accent 11,Párrafo de lista1,List Paragraph2,Lista vistosa - Énfasis 11,Subtle Emphasis1,Footnote1"/>
    <w:basedOn w:val="Normal"/>
    <w:link w:val="PrrafodelistaCar"/>
    <w:uiPriority w:val="34"/>
    <w:qFormat/>
    <w:rsid w:val="00CD785B"/>
    <w:pPr>
      <w:spacing w:after="200" w:line="276" w:lineRule="auto"/>
      <w:ind w:left="720"/>
      <w:contextualSpacing/>
    </w:pPr>
    <w:rPr>
      <w:rFonts w:asciiTheme="minorHAnsi" w:eastAsiaTheme="minorHAnsi" w:hAnsiTheme="minorHAnsi" w:cstheme="minorBidi"/>
      <w:sz w:val="22"/>
      <w:szCs w:val="22"/>
      <w:lang w:val="en-US"/>
    </w:rPr>
  </w:style>
  <w:style w:type="character" w:styleId="Textoennegrita">
    <w:name w:val="Strong"/>
    <w:aliases w:val="Heading 2.1"/>
    <w:basedOn w:val="Fuentedeprrafopredeter"/>
    <w:uiPriority w:val="22"/>
    <w:qFormat/>
    <w:rsid w:val="00CD785B"/>
    <w:rPr>
      <w:b/>
      <w:bCs/>
    </w:rPr>
  </w:style>
  <w:style w:type="character" w:customStyle="1" w:styleId="PrrafodelistaCar">
    <w:name w:val="Párrafo de lista Car"/>
    <w:aliases w:val="Footnote Car,List Paragraph1 Car,Colorful List - Accent 11 Car,Párrafo de lista1 Car,List Paragraph2 Car,Lista vistosa - Énfasis 11 Car,Subtle Emphasis1 Car,Footnote1 Car"/>
    <w:link w:val="Prrafodelista"/>
    <w:uiPriority w:val="34"/>
    <w:locked/>
    <w:rsid w:val="00CD785B"/>
    <w:rPr>
      <w:lang w:val="en-US"/>
    </w:rPr>
  </w:style>
  <w:style w:type="paragraph" w:styleId="Textodeglobo">
    <w:name w:val="Balloon Text"/>
    <w:basedOn w:val="Normal"/>
    <w:link w:val="TextodegloboCar"/>
    <w:uiPriority w:val="99"/>
    <w:semiHidden/>
    <w:unhideWhenUsed/>
    <w:rsid w:val="00CD785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D785B"/>
    <w:rPr>
      <w:rFonts w:ascii="Segoe UI" w:eastAsia="MS Mincho" w:hAnsi="Segoe UI" w:cs="Segoe UI"/>
      <w:sz w:val="18"/>
      <w:szCs w:val="18"/>
      <w:lang w:val="es-ES_tradnl"/>
    </w:rPr>
  </w:style>
  <w:style w:type="character" w:styleId="Refdecomentario">
    <w:name w:val="annotation reference"/>
    <w:basedOn w:val="Fuentedeprrafopredeter"/>
    <w:uiPriority w:val="99"/>
    <w:semiHidden/>
    <w:unhideWhenUsed/>
    <w:rsid w:val="00CD785B"/>
    <w:rPr>
      <w:sz w:val="16"/>
      <w:szCs w:val="16"/>
    </w:rPr>
  </w:style>
  <w:style w:type="paragraph" w:styleId="Textocomentario">
    <w:name w:val="annotation text"/>
    <w:basedOn w:val="Normal"/>
    <w:link w:val="TextocomentarioCar"/>
    <w:uiPriority w:val="99"/>
    <w:unhideWhenUsed/>
    <w:rsid w:val="00CD785B"/>
    <w:rPr>
      <w:sz w:val="20"/>
      <w:szCs w:val="20"/>
    </w:rPr>
  </w:style>
  <w:style w:type="character" w:customStyle="1" w:styleId="TextocomentarioCar">
    <w:name w:val="Texto comentario Car"/>
    <w:basedOn w:val="Fuentedeprrafopredeter"/>
    <w:link w:val="Textocomentario"/>
    <w:uiPriority w:val="99"/>
    <w:rsid w:val="00CD785B"/>
    <w:rPr>
      <w:rFonts w:ascii="Times New Roman" w:eastAsia="MS Mincho" w:hAnsi="Times New Roman"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CD785B"/>
    <w:rPr>
      <w:b/>
      <w:bCs/>
    </w:rPr>
  </w:style>
  <w:style w:type="character" w:customStyle="1" w:styleId="AsuntodelcomentarioCar">
    <w:name w:val="Asunto del comentario Car"/>
    <w:basedOn w:val="TextocomentarioCar"/>
    <w:link w:val="Asuntodelcomentario"/>
    <w:uiPriority w:val="99"/>
    <w:semiHidden/>
    <w:rsid w:val="00CD785B"/>
    <w:rPr>
      <w:rFonts w:ascii="Times New Roman" w:eastAsia="MS Mincho" w:hAnsi="Times New Roman" w:cs="Times New Roman"/>
      <w:b/>
      <w:bCs/>
      <w:sz w:val="20"/>
      <w:szCs w:val="20"/>
      <w:lang w:val="es-ES_tradnl"/>
    </w:rPr>
  </w:style>
  <w:style w:type="paragraph" w:styleId="Textoindependiente">
    <w:name w:val="Body Text"/>
    <w:basedOn w:val="Normal"/>
    <w:link w:val="TextoindependienteCar"/>
    <w:rsid w:val="007056C3"/>
    <w:pPr>
      <w:spacing w:after="120"/>
    </w:pPr>
    <w:rPr>
      <w:rFonts w:ascii="Times" w:eastAsia="Times" w:hAnsi="Times"/>
      <w:szCs w:val="20"/>
    </w:rPr>
  </w:style>
  <w:style w:type="character" w:customStyle="1" w:styleId="TextoindependienteCar">
    <w:name w:val="Texto independiente Car"/>
    <w:basedOn w:val="Fuentedeprrafopredeter"/>
    <w:link w:val="Textoindependiente"/>
    <w:rsid w:val="007056C3"/>
    <w:rPr>
      <w:rFonts w:ascii="Times" w:eastAsia="Times" w:hAnsi="Times" w:cs="Times New Roman"/>
      <w:sz w:val="24"/>
      <w:szCs w:val="20"/>
      <w:lang w:val="es-ES_tradnl"/>
    </w:rPr>
  </w:style>
  <w:style w:type="paragraph" w:customStyle="1" w:styleId="Default">
    <w:name w:val="Default"/>
    <w:rsid w:val="00AD51AA"/>
    <w:pPr>
      <w:autoSpaceDE w:val="0"/>
      <w:autoSpaceDN w:val="0"/>
      <w:adjustRightInd w:val="0"/>
      <w:spacing w:after="0" w:line="240" w:lineRule="auto"/>
    </w:pPr>
    <w:rPr>
      <w:rFonts w:ascii="Arial" w:hAnsi="Arial" w:cs="Arial"/>
      <w:color w:val="000000"/>
      <w:sz w:val="24"/>
      <w:szCs w:val="24"/>
      <w:lang w:val="es-CR"/>
    </w:rPr>
  </w:style>
  <w:style w:type="character" w:customStyle="1" w:styleId="Fuentedeprrafopredeter1">
    <w:name w:val="Fuente de párrafo predeter.1"/>
    <w:rsid w:val="000A0728"/>
  </w:style>
  <w:style w:type="paragraph" w:customStyle="1" w:styleId="Textocomentario1">
    <w:name w:val="Texto comentario1"/>
    <w:basedOn w:val="Normal"/>
    <w:rsid w:val="000A0728"/>
    <w:pPr>
      <w:suppressAutoHyphens/>
      <w:autoSpaceDN w:val="0"/>
      <w:textAlignment w:val="baseline"/>
    </w:pPr>
    <w:rPr>
      <w:sz w:val="20"/>
      <w:szCs w:val="20"/>
    </w:rPr>
  </w:style>
  <w:style w:type="character" w:customStyle="1" w:styleId="Refdecomentario1">
    <w:name w:val="Ref. de comentario1"/>
    <w:basedOn w:val="Fuentedeprrafopredeter1"/>
    <w:rsid w:val="000A0728"/>
    <w:rPr>
      <w:sz w:val="16"/>
      <w:szCs w:val="16"/>
    </w:rPr>
  </w:style>
  <w:style w:type="paragraph" w:customStyle="1" w:styleId="Textonotapie1">
    <w:name w:val="Texto nota pie1"/>
    <w:basedOn w:val="Normal"/>
    <w:rsid w:val="000A0728"/>
    <w:pPr>
      <w:widowControl w:val="0"/>
      <w:suppressAutoHyphens/>
      <w:autoSpaceDN w:val="0"/>
      <w:textAlignment w:val="baseline"/>
    </w:pPr>
    <w:rPr>
      <w:sz w:val="20"/>
      <w:szCs w:val="20"/>
    </w:rPr>
  </w:style>
  <w:style w:type="character" w:customStyle="1" w:styleId="Refdenotaalpie1">
    <w:name w:val="Ref. de nota al pie1"/>
    <w:rsid w:val="000A0728"/>
    <w:rPr>
      <w:rFonts w:ascii="Verdana" w:hAnsi="Verdana"/>
      <w:position w:val="0"/>
      <w:sz w:val="16"/>
      <w:vertAlign w:val="superscript"/>
    </w:rPr>
  </w:style>
  <w:style w:type="character" w:styleId="Nmerodelnea">
    <w:name w:val="line number"/>
    <w:basedOn w:val="Fuentedeprrafopredeter"/>
    <w:uiPriority w:val="99"/>
    <w:semiHidden/>
    <w:unhideWhenUsed/>
    <w:rsid w:val="00F12EDF"/>
  </w:style>
  <w:style w:type="character" w:customStyle="1" w:styleId="CharAttribute1">
    <w:name w:val="CharAttribute1"/>
    <w:rsid w:val="009849CC"/>
    <w:rPr>
      <w:rFonts w:ascii="Verdana" w:eastAsia="Verdana" w:hAnsi="Verdana"/>
      <w:b/>
    </w:rPr>
  </w:style>
  <w:style w:type="paragraph" w:styleId="Textosinformato">
    <w:name w:val="Plain Text"/>
    <w:basedOn w:val="Normal"/>
    <w:link w:val="TextosinformatoCar"/>
    <w:uiPriority w:val="99"/>
    <w:semiHidden/>
    <w:unhideWhenUsed/>
    <w:rsid w:val="009849CC"/>
    <w:rPr>
      <w:rFonts w:ascii="Consolas" w:eastAsia="Calibri" w:hAnsi="Consolas"/>
      <w:sz w:val="21"/>
      <w:szCs w:val="21"/>
      <w:lang w:val="x-none" w:eastAsia="x-none"/>
    </w:rPr>
  </w:style>
  <w:style w:type="character" w:customStyle="1" w:styleId="TextosinformatoCar">
    <w:name w:val="Texto sin formato Car"/>
    <w:basedOn w:val="Fuentedeprrafopredeter"/>
    <w:link w:val="Textosinformato"/>
    <w:uiPriority w:val="99"/>
    <w:semiHidden/>
    <w:rsid w:val="009849CC"/>
    <w:rPr>
      <w:rFonts w:ascii="Consolas" w:eastAsia="Calibri" w:hAnsi="Consolas" w:cs="Times New Roman"/>
      <w:sz w:val="21"/>
      <w:szCs w:val="21"/>
      <w:lang w:val="x-none" w:eastAsia="x-none"/>
    </w:rPr>
  </w:style>
  <w:style w:type="character" w:customStyle="1" w:styleId="Ttulo2Car">
    <w:name w:val="Título 2 Car"/>
    <w:basedOn w:val="Fuentedeprrafopredeter"/>
    <w:link w:val="Ttulo2"/>
    <w:rsid w:val="009638B4"/>
    <w:rPr>
      <w:rFonts w:ascii="Calibri Light" w:eastAsia="Times New Roman" w:hAnsi="Calibri Light" w:cs="Times New Roman"/>
      <w:color w:val="2F5496"/>
      <w:sz w:val="26"/>
      <w:szCs w:val="26"/>
    </w:rPr>
  </w:style>
  <w:style w:type="paragraph" w:styleId="NormalWeb">
    <w:name w:val="Normal (Web)"/>
    <w:basedOn w:val="Normal"/>
    <w:uiPriority w:val="99"/>
    <w:semiHidden/>
    <w:unhideWhenUsed/>
    <w:rsid w:val="003358C9"/>
    <w:pPr>
      <w:spacing w:before="100" w:beforeAutospacing="1" w:after="100" w:afterAutospacing="1"/>
    </w:pPr>
    <w:rPr>
      <w:rFonts w:eastAsiaTheme="minorHAnsi"/>
      <w:lang w:val="en-US"/>
    </w:rPr>
  </w:style>
  <w:style w:type="character" w:customStyle="1" w:styleId="Mencinsinresolver1">
    <w:name w:val="Mención sin resolver1"/>
    <w:basedOn w:val="Fuentedeprrafopredeter"/>
    <w:uiPriority w:val="99"/>
    <w:semiHidden/>
    <w:unhideWhenUsed/>
    <w:rsid w:val="00A00E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3679">
      <w:bodyDiv w:val="1"/>
      <w:marLeft w:val="0"/>
      <w:marRight w:val="0"/>
      <w:marTop w:val="0"/>
      <w:marBottom w:val="0"/>
      <w:divBdr>
        <w:top w:val="none" w:sz="0" w:space="0" w:color="auto"/>
        <w:left w:val="none" w:sz="0" w:space="0" w:color="auto"/>
        <w:bottom w:val="none" w:sz="0" w:space="0" w:color="auto"/>
        <w:right w:val="none" w:sz="0" w:space="0" w:color="auto"/>
      </w:divBdr>
    </w:div>
    <w:div w:id="136773871">
      <w:bodyDiv w:val="1"/>
      <w:marLeft w:val="0"/>
      <w:marRight w:val="0"/>
      <w:marTop w:val="0"/>
      <w:marBottom w:val="0"/>
      <w:divBdr>
        <w:top w:val="none" w:sz="0" w:space="0" w:color="auto"/>
        <w:left w:val="none" w:sz="0" w:space="0" w:color="auto"/>
        <w:bottom w:val="none" w:sz="0" w:space="0" w:color="auto"/>
        <w:right w:val="none" w:sz="0" w:space="0" w:color="auto"/>
      </w:divBdr>
    </w:div>
    <w:div w:id="322124009">
      <w:bodyDiv w:val="1"/>
      <w:marLeft w:val="0"/>
      <w:marRight w:val="0"/>
      <w:marTop w:val="0"/>
      <w:marBottom w:val="0"/>
      <w:divBdr>
        <w:top w:val="none" w:sz="0" w:space="0" w:color="auto"/>
        <w:left w:val="none" w:sz="0" w:space="0" w:color="auto"/>
        <w:bottom w:val="none" w:sz="0" w:space="0" w:color="auto"/>
        <w:right w:val="none" w:sz="0" w:space="0" w:color="auto"/>
      </w:divBdr>
    </w:div>
    <w:div w:id="426120774">
      <w:bodyDiv w:val="1"/>
      <w:marLeft w:val="0"/>
      <w:marRight w:val="0"/>
      <w:marTop w:val="0"/>
      <w:marBottom w:val="0"/>
      <w:divBdr>
        <w:top w:val="none" w:sz="0" w:space="0" w:color="auto"/>
        <w:left w:val="none" w:sz="0" w:space="0" w:color="auto"/>
        <w:bottom w:val="none" w:sz="0" w:space="0" w:color="auto"/>
        <w:right w:val="none" w:sz="0" w:space="0" w:color="auto"/>
      </w:divBdr>
    </w:div>
    <w:div w:id="538323403">
      <w:bodyDiv w:val="1"/>
      <w:marLeft w:val="0"/>
      <w:marRight w:val="0"/>
      <w:marTop w:val="0"/>
      <w:marBottom w:val="0"/>
      <w:divBdr>
        <w:top w:val="none" w:sz="0" w:space="0" w:color="auto"/>
        <w:left w:val="none" w:sz="0" w:space="0" w:color="auto"/>
        <w:bottom w:val="none" w:sz="0" w:space="0" w:color="auto"/>
        <w:right w:val="none" w:sz="0" w:space="0" w:color="auto"/>
      </w:divBdr>
    </w:div>
    <w:div w:id="581524905">
      <w:bodyDiv w:val="1"/>
      <w:marLeft w:val="0"/>
      <w:marRight w:val="0"/>
      <w:marTop w:val="0"/>
      <w:marBottom w:val="0"/>
      <w:divBdr>
        <w:top w:val="none" w:sz="0" w:space="0" w:color="auto"/>
        <w:left w:val="none" w:sz="0" w:space="0" w:color="auto"/>
        <w:bottom w:val="none" w:sz="0" w:space="0" w:color="auto"/>
        <w:right w:val="none" w:sz="0" w:space="0" w:color="auto"/>
      </w:divBdr>
    </w:div>
    <w:div w:id="596792071">
      <w:bodyDiv w:val="1"/>
      <w:marLeft w:val="0"/>
      <w:marRight w:val="0"/>
      <w:marTop w:val="0"/>
      <w:marBottom w:val="0"/>
      <w:divBdr>
        <w:top w:val="none" w:sz="0" w:space="0" w:color="auto"/>
        <w:left w:val="none" w:sz="0" w:space="0" w:color="auto"/>
        <w:bottom w:val="none" w:sz="0" w:space="0" w:color="auto"/>
        <w:right w:val="none" w:sz="0" w:space="0" w:color="auto"/>
      </w:divBdr>
    </w:div>
    <w:div w:id="678001472">
      <w:bodyDiv w:val="1"/>
      <w:marLeft w:val="0"/>
      <w:marRight w:val="0"/>
      <w:marTop w:val="0"/>
      <w:marBottom w:val="0"/>
      <w:divBdr>
        <w:top w:val="none" w:sz="0" w:space="0" w:color="auto"/>
        <w:left w:val="none" w:sz="0" w:space="0" w:color="auto"/>
        <w:bottom w:val="none" w:sz="0" w:space="0" w:color="auto"/>
        <w:right w:val="none" w:sz="0" w:space="0" w:color="auto"/>
      </w:divBdr>
    </w:div>
    <w:div w:id="874537099">
      <w:bodyDiv w:val="1"/>
      <w:marLeft w:val="0"/>
      <w:marRight w:val="0"/>
      <w:marTop w:val="0"/>
      <w:marBottom w:val="0"/>
      <w:divBdr>
        <w:top w:val="none" w:sz="0" w:space="0" w:color="auto"/>
        <w:left w:val="none" w:sz="0" w:space="0" w:color="auto"/>
        <w:bottom w:val="none" w:sz="0" w:space="0" w:color="auto"/>
        <w:right w:val="none" w:sz="0" w:space="0" w:color="auto"/>
      </w:divBdr>
      <w:divsChild>
        <w:div w:id="2069453541">
          <w:marLeft w:val="0"/>
          <w:marRight w:val="0"/>
          <w:marTop w:val="0"/>
          <w:marBottom w:val="0"/>
          <w:divBdr>
            <w:top w:val="none" w:sz="0" w:space="0" w:color="auto"/>
            <w:left w:val="none" w:sz="0" w:space="0" w:color="auto"/>
            <w:bottom w:val="none" w:sz="0" w:space="0" w:color="auto"/>
            <w:right w:val="none" w:sz="0" w:space="0" w:color="auto"/>
          </w:divBdr>
          <w:divsChild>
            <w:div w:id="402024108">
              <w:marLeft w:val="0"/>
              <w:marRight w:val="0"/>
              <w:marTop w:val="0"/>
              <w:marBottom w:val="0"/>
              <w:divBdr>
                <w:top w:val="none" w:sz="0" w:space="0" w:color="auto"/>
                <w:left w:val="none" w:sz="0" w:space="0" w:color="auto"/>
                <w:bottom w:val="none" w:sz="0" w:space="0" w:color="auto"/>
                <w:right w:val="none" w:sz="0" w:space="0" w:color="auto"/>
              </w:divBdr>
              <w:divsChild>
                <w:div w:id="159200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228823">
      <w:bodyDiv w:val="1"/>
      <w:marLeft w:val="0"/>
      <w:marRight w:val="0"/>
      <w:marTop w:val="0"/>
      <w:marBottom w:val="0"/>
      <w:divBdr>
        <w:top w:val="none" w:sz="0" w:space="0" w:color="auto"/>
        <w:left w:val="none" w:sz="0" w:space="0" w:color="auto"/>
        <w:bottom w:val="none" w:sz="0" w:space="0" w:color="auto"/>
        <w:right w:val="none" w:sz="0" w:space="0" w:color="auto"/>
      </w:divBdr>
    </w:div>
    <w:div w:id="947274965">
      <w:bodyDiv w:val="1"/>
      <w:marLeft w:val="0"/>
      <w:marRight w:val="0"/>
      <w:marTop w:val="0"/>
      <w:marBottom w:val="0"/>
      <w:divBdr>
        <w:top w:val="none" w:sz="0" w:space="0" w:color="auto"/>
        <w:left w:val="none" w:sz="0" w:space="0" w:color="auto"/>
        <w:bottom w:val="none" w:sz="0" w:space="0" w:color="auto"/>
        <w:right w:val="none" w:sz="0" w:space="0" w:color="auto"/>
      </w:divBdr>
    </w:div>
    <w:div w:id="957224702">
      <w:bodyDiv w:val="1"/>
      <w:marLeft w:val="0"/>
      <w:marRight w:val="0"/>
      <w:marTop w:val="0"/>
      <w:marBottom w:val="0"/>
      <w:divBdr>
        <w:top w:val="none" w:sz="0" w:space="0" w:color="auto"/>
        <w:left w:val="none" w:sz="0" w:space="0" w:color="auto"/>
        <w:bottom w:val="none" w:sz="0" w:space="0" w:color="auto"/>
        <w:right w:val="none" w:sz="0" w:space="0" w:color="auto"/>
      </w:divBdr>
    </w:div>
    <w:div w:id="1100296721">
      <w:bodyDiv w:val="1"/>
      <w:marLeft w:val="0"/>
      <w:marRight w:val="0"/>
      <w:marTop w:val="0"/>
      <w:marBottom w:val="0"/>
      <w:divBdr>
        <w:top w:val="none" w:sz="0" w:space="0" w:color="auto"/>
        <w:left w:val="none" w:sz="0" w:space="0" w:color="auto"/>
        <w:bottom w:val="none" w:sz="0" w:space="0" w:color="auto"/>
        <w:right w:val="none" w:sz="0" w:space="0" w:color="auto"/>
      </w:divBdr>
      <w:divsChild>
        <w:div w:id="1141311470">
          <w:marLeft w:val="0"/>
          <w:marRight w:val="0"/>
          <w:marTop w:val="0"/>
          <w:marBottom w:val="0"/>
          <w:divBdr>
            <w:top w:val="none" w:sz="0" w:space="0" w:color="auto"/>
            <w:left w:val="none" w:sz="0" w:space="0" w:color="auto"/>
            <w:bottom w:val="none" w:sz="0" w:space="0" w:color="auto"/>
            <w:right w:val="none" w:sz="0" w:space="0" w:color="auto"/>
          </w:divBdr>
          <w:divsChild>
            <w:div w:id="185217132">
              <w:marLeft w:val="0"/>
              <w:marRight w:val="0"/>
              <w:marTop w:val="0"/>
              <w:marBottom w:val="0"/>
              <w:divBdr>
                <w:top w:val="none" w:sz="0" w:space="0" w:color="auto"/>
                <w:left w:val="none" w:sz="0" w:space="0" w:color="auto"/>
                <w:bottom w:val="none" w:sz="0" w:space="0" w:color="auto"/>
                <w:right w:val="none" w:sz="0" w:space="0" w:color="auto"/>
              </w:divBdr>
              <w:divsChild>
                <w:div w:id="129074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79326">
      <w:bodyDiv w:val="1"/>
      <w:marLeft w:val="0"/>
      <w:marRight w:val="0"/>
      <w:marTop w:val="0"/>
      <w:marBottom w:val="0"/>
      <w:divBdr>
        <w:top w:val="none" w:sz="0" w:space="0" w:color="auto"/>
        <w:left w:val="none" w:sz="0" w:space="0" w:color="auto"/>
        <w:bottom w:val="none" w:sz="0" w:space="0" w:color="auto"/>
        <w:right w:val="none" w:sz="0" w:space="0" w:color="auto"/>
      </w:divBdr>
    </w:div>
    <w:div w:id="1275672537">
      <w:bodyDiv w:val="1"/>
      <w:marLeft w:val="0"/>
      <w:marRight w:val="0"/>
      <w:marTop w:val="0"/>
      <w:marBottom w:val="0"/>
      <w:divBdr>
        <w:top w:val="none" w:sz="0" w:space="0" w:color="auto"/>
        <w:left w:val="none" w:sz="0" w:space="0" w:color="auto"/>
        <w:bottom w:val="none" w:sz="0" w:space="0" w:color="auto"/>
        <w:right w:val="none" w:sz="0" w:space="0" w:color="auto"/>
      </w:divBdr>
    </w:div>
    <w:div w:id="1398094787">
      <w:bodyDiv w:val="1"/>
      <w:marLeft w:val="0"/>
      <w:marRight w:val="0"/>
      <w:marTop w:val="0"/>
      <w:marBottom w:val="0"/>
      <w:divBdr>
        <w:top w:val="none" w:sz="0" w:space="0" w:color="auto"/>
        <w:left w:val="none" w:sz="0" w:space="0" w:color="auto"/>
        <w:bottom w:val="none" w:sz="0" w:space="0" w:color="auto"/>
        <w:right w:val="none" w:sz="0" w:space="0" w:color="auto"/>
      </w:divBdr>
    </w:div>
    <w:div w:id="1494682445">
      <w:bodyDiv w:val="1"/>
      <w:marLeft w:val="0"/>
      <w:marRight w:val="0"/>
      <w:marTop w:val="0"/>
      <w:marBottom w:val="0"/>
      <w:divBdr>
        <w:top w:val="none" w:sz="0" w:space="0" w:color="auto"/>
        <w:left w:val="none" w:sz="0" w:space="0" w:color="auto"/>
        <w:bottom w:val="none" w:sz="0" w:space="0" w:color="auto"/>
        <w:right w:val="none" w:sz="0" w:space="0" w:color="auto"/>
      </w:divBdr>
      <w:divsChild>
        <w:div w:id="670331898">
          <w:marLeft w:val="0"/>
          <w:marRight w:val="0"/>
          <w:marTop w:val="0"/>
          <w:marBottom w:val="0"/>
          <w:divBdr>
            <w:top w:val="none" w:sz="0" w:space="0" w:color="auto"/>
            <w:left w:val="none" w:sz="0" w:space="0" w:color="auto"/>
            <w:bottom w:val="none" w:sz="0" w:space="0" w:color="auto"/>
            <w:right w:val="none" w:sz="0" w:space="0" w:color="auto"/>
          </w:divBdr>
          <w:divsChild>
            <w:div w:id="594634106">
              <w:marLeft w:val="0"/>
              <w:marRight w:val="0"/>
              <w:marTop w:val="0"/>
              <w:marBottom w:val="0"/>
              <w:divBdr>
                <w:top w:val="none" w:sz="0" w:space="0" w:color="auto"/>
                <w:left w:val="none" w:sz="0" w:space="0" w:color="auto"/>
                <w:bottom w:val="none" w:sz="0" w:space="0" w:color="auto"/>
                <w:right w:val="none" w:sz="0" w:space="0" w:color="auto"/>
              </w:divBdr>
              <w:divsChild>
                <w:div w:id="111660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397521">
      <w:bodyDiv w:val="1"/>
      <w:marLeft w:val="0"/>
      <w:marRight w:val="0"/>
      <w:marTop w:val="0"/>
      <w:marBottom w:val="0"/>
      <w:divBdr>
        <w:top w:val="none" w:sz="0" w:space="0" w:color="auto"/>
        <w:left w:val="none" w:sz="0" w:space="0" w:color="auto"/>
        <w:bottom w:val="none" w:sz="0" w:space="0" w:color="auto"/>
        <w:right w:val="none" w:sz="0" w:space="0" w:color="auto"/>
      </w:divBdr>
    </w:div>
    <w:div w:id="1863398499">
      <w:bodyDiv w:val="1"/>
      <w:marLeft w:val="0"/>
      <w:marRight w:val="0"/>
      <w:marTop w:val="0"/>
      <w:marBottom w:val="0"/>
      <w:divBdr>
        <w:top w:val="none" w:sz="0" w:space="0" w:color="auto"/>
        <w:left w:val="none" w:sz="0" w:space="0" w:color="auto"/>
        <w:bottom w:val="none" w:sz="0" w:space="0" w:color="auto"/>
        <w:right w:val="none" w:sz="0" w:space="0" w:color="auto"/>
      </w:divBdr>
    </w:div>
    <w:div w:id="1884557210">
      <w:bodyDiv w:val="1"/>
      <w:marLeft w:val="0"/>
      <w:marRight w:val="0"/>
      <w:marTop w:val="0"/>
      <w:marBottom w:val="0"/>
      <w:divBdr>
        <w:top w:val="none" w:sz="0" w:space="0" w:color="auto"/>
        <w:left w:val="none" w:sz="0" w:space="0" w:color="auto"/>
        <w:bottom w:val="none" w:sz="0" w:space="0" w:color="auto"/>
        <w:right w:val="none" w:sz="0" w:space="0" w:color="auto"/>
      </w:divBdr>
    </w:div>
    <w:div w:id="1904682670">
      <w:bodyDiv w:val="1"/>
      <w:marLeft w:val="0"/>
      <w:marRight w:val="0"/>
      <w:marTop w:val="0"/>
      <w:marBottom w:val="0"/>
      <w:divBdr>
        <w:top w:val="none" w:sz="0" w:space="0" w:color="auto"/>
        <w:left w:val="none" w:sz="0" w:space="0" w:color="auto"/>
        <w:bottom w:val="none" w:sz="0" w:space="0" w:color="auto"/>
        <w:right w:val="none" w:sz="0" w:space="0" w:color="auto"/>
      </w:divBdr>
    </w:div>
    <w:div w:id="1935817053">
      <w:bodyDiv w:val="1"/>
      <w:marLeft w:val="0"/>
      <w:marRight w:val="0"/>
      <w:marTop w:val="0"/>
      <w:marBottom w:val="0"/>
      <w:divBdr>
        <w:top w:val="none" w:sz="0" w:space="0" w:color="auto"/>
        <w:left w:val="none" w:sz="0" w:space="0" w:color="auto"/>
        <w:bottom w:val="none" w:sz="0" w:space="0" w:color="auto"/>
        <w:right w:val="none" w:sz="0" w:space="0" w:color="auto"/>
      </w:divBdr>
      <w:divsChild>
        <w:div w:id="715084525">
          <w:marLeft w:val="0"/>
          <w:marRight w:val="0"/>
          <w:marTop w:val="0"/>
          <w:marBottom w:val="0"/>
          <w:divBdr>
            <w:top w:val="none" w:sz="0" w:space="0" w:color="auto"/>
            <w:left w:val="none" w:sz="0" w:space="0" w:color="auto"/>
            <w:bottom w:val="none" w:sz="0" w:space="0" w:color="auto"/>
            <w:right w:val="none" w:sz="0" w:space="0" w:color="auto"/>
          </w:divBdr>
          <w:divsChild>
            <w:div w:id="960720791">
              <w:marLeft w:val="0"/>
              <w:marRight w:val="0"/>
              <w:marTop w:val="0"/>
              <w:marBottom w:val="0"/>
              <w:divBdr>
                <w:top w:val="none" w:sz="0" w:space="0" w:color="auto"/>
                <w:left w:val="none" w:sz="0" w:space="0" w:color="auto"/>
                <w:bottom w:val="none" w:sz="0" w:space="0" w:color="auto"/>
                <w:right w:val="none" w:sz="0" w:space="0" w:color="auto"/>
              </w:divBdr>
              <w:divsChild>
                <w:div w:id="61756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600988">
      <w:bodyDiv w:val="1"/>
      <w:marLeft w:val="0"/>
      <w:marRight w:val="0"/>
      <w:marTop w:val="0"/>
      <w:marBottom w:val="0"/>
      <w:divBdr>
        <w:top w:val="none" w:sz="0" w:space="0" w:color="auto"/>
        <w:left w:val="none" w:sz="0" w:space="0" w:color="auto"/>
        <w:bottom w:val="none" w:sz="0" w:space="0" w:color="auto"/>
        <w:right w:val="none" w:sz="0" w:space="0" w:color="auto"/>
      </w:divBdr>
      <w:divsChild>
        <w:div w:id="150026460">
          <w:marLeft w:val="0"/>
          <w:marRight w:val="0"/>
          <w:marTop w:val="0"/>
          <w:marBottom w:val="0"/>
          <w:divBdr>
            <w:top w:val="none" w:sz="0" w:space="0" w:color="auto"/>
            <w:left w:val="none" w:sz="0" w:space="0" w:color="auto"/>
            <w:bottom w:val="none" w:sz="0" w:space="0" w:color="auto"/>
            <w:right w:val="none" w:sz="0" w:space="0" w:color="auto"/>
          </w:divBdr>
          <w:divsChild>
            <w:div w:id="627784695">
              <w:marLeft w:val="0"/>
              <w:marRight w:val="0"/>
              <w:marTop w:val="0"/>
              <w:marBottom w:val="0"/>
              <w:divBdr>
                <w:top w:val="none" w:sz="0" w:space="0" w:color="auto"/>
                <w:left w:val="none" w:sz="0" w:space="0" w:color="auto"/>
                <w:bottom w:val="none" w:sz="0" w:space="0" w:color="auto"/>
                <w:right w:val="none" w:sz="0" w:space="0" w:color="auto"/>
              </w:divBdr>
              <w:divsChild>
                <w:div w:id="174209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647749">
      <w:bodyDiv w:val="1"/>
      <w:marLeft w:val="0"/>
      <w:marRight w:val="0"/>
      <w:marTop w:val="0"/>
      <w:marBottom w:val="0"/>
      <w:divBdr>
        <w:top w:val="none" w:sz="0" w:space="0" w:color="auto"/>
        <w:left w:val="none" w:sz="0" w:space="0" w:color="auto"/>
        <w:bottom w:val="none" w:sz="0" w:space="0" w:color="auto"/>
        <w:right w:val="none" w:sz="0" w:space="0" w:color="auto"/>
      </w:divBdr>
      <w:divsChild>
        <w:div w:id="327245197">
          <w:marLeft w:val="0"/>
          <w:marRight w:val="0"/>
          <w:marTop w:val="0"/>
          <w:marBottom w:val="0"/>
          <w:divBdr>
            <w:top w:val="none" w:sz="0" w:space="0" w:color="auto"/>
            <w:left w:val="none" w:sz="0" w:space="0" w:color="auto"/>
            <w:bottom w:val="none" w:sz="0" w:space="0" w:color="auto"/>
            <w:right w:val="none" w:sz="0" w:space="0" w:color="auto"/>
          </w:divBdr>
          <w:divsChild>
            <w:div w:id="851648872">
              <w:marLeft w:val="0"/>
              <w:marRight w:val="0"/>
              <w:marTop w:val="0"/>
              <w:marBottom w:val="0"/>
              <w:divBdr>
                <w:top w:val="none" w:sz="0" w:space="0" w:color="auto"/>
                <w:left w:val="none" w:sz="0" w:space="0" w:color="auto"/>
                <w:bottom w:val="none" w:sz="0" w:space="0" w:color="auto"/>
                <w:right w:val="none" w:sz="0" w:space="0" w:color="auto"/>
              </w:divBdr>
              <w:divsChild>
                <w:div w:id="1573808714">
                  <w:marLeft w:val="0"/>
                  <w:marRight w:val="0"/>
                  <w:marTop w:val="0"/>
                  <w:marBottom w:val="0"/>
                  <w:divBdr>
                    <w:top w:val="none" w:sz="0" w:space="0" w:color="auto"/>
                    <w:left w:val="none" w:sz="0" w:space="0" w:color="auto"/>
                    <w:bottom w:val="none" w:sz="0" w:space="0" w:color="auto"/>
                    <w:right w:val="none" w:sz="0" w:space="0" w:color="auto"/>
                  </w:divBdr>
                  <w:divsChild>
                    <w:div w:id="476920752">
                      <w:marLeft w:val="0"/>
                      <w:marRight w:val="0"/>
                      <w:marTop w:val="0"/>
                      <w:marBottom w:val="0"/>
                      <w:divBdr>
                        <w:top w:val="none" w:sz="0" w:space="0" w:color="auto"/>
                        <w:left w:val="none" w:sz="0" w:space="0" w:color="auto"/>
                        <w:bottom w:val="none" w:sz="0" w:space="0" w:color="auto"/>
                        <w:right w:val="none" w:sz="0" w:space="0" w:color="auto"/>
                      </w:divBdr>
                      <w:divsChild>
                        <w:div w:id="1437482062">
                          <w:marLeft w:val="0"/>
                          <w:marRight w:val="0"/>
                          <w:marTop w:val="0"/>
                          <w:marBottom w:val="0"/>
                          <w:divBdr>
                            <w:top w:val="none" w:sz="0" w:space="0" w:color="auto"/>
                            <w:left w:val="none" w:sz="0" w:space="0" w:color="auto"/>
                            <w:bottom w:val="none" w:sz="0" w:space="0" w:color="auto"/>
                            <w:right w:val="none" w:sz="0" w:space="0" w:color="auto"/>
                          </w:divBdr>
                          <w:divsChild>
                            <w:div w:id="1927498609">
                              <w:marLeft w:val="0"/>
                              <w:marRight w:val="0"/>
                              <w:marTop w:val="0"/>
                              <w:marBottom w:val="0"/>
                              <w:divBdr>
                                <w:top w:val="none" w:sz="0" w:space="0" w:color="auto"/>
                                <w:left w:val="none" w:sz="0" w:space="0" w:color="auto"/>
                                <w:bottom w:val="none" w:sz="0" w:space="0" w:color="auto"/>
                                <w:right w:val="none" w:sz="0" w:space="0" w:color="auto"/>
                              </w:divBdr>
                              <w:divsChild>
                                <w:div w:id="1366639493">
                                  <w:marLeft w:val="0"/>
                                  <w:marRight w:val="0"/>
                                  <w:marTop w:val="0"/>
                                  <w:marBottom w:val="0"/>
                                  <w:divBdr>
                                    <w:top w:val="none" w:sz="0" w:space="0" w:color="auto"/>
                                    <w:left w:val="none" w:sz="0" w:space="0" w:color="auto"/>
                                    <w:bottom w:val="none" w:sz="0" w:space="0" w:color="auto"/>
                                    <w:right w:val="none" w:sz="0" w:space="0" w:color="auto"/>
                                  </w:divBdr>
                                  <w:divsChild>
                                    <w:div w:id="1304040305">
                                      <w:marLeft w:val="0"/>
                                      <w:marRight w:val="0"/>
                                      <w:marTop w:val="0"/>
                                      <w:marBottom w:val="0"/>
                                      <w:divBdr>
                                        <w:top w:val="none" w:sz="0" w:space="0" w:color="auto"/>
                                        <w:left w:val="none" w:sz="0" w:space="0" w:color="auto"/>
                                        <w:bottom w:val="none" w:sz="0" w:space="0" w:color="auto"/>
                                        <w:right w:val="none" w:sz="0" w:space="0" w:color="auto"/>
                                      </w:divBdr>
                                      <w:divsChild>
                                        <w:div w:id="1153912619">
                                          <w:marLeft w:val="0"/>
                                          <w:marRight w:val="0"/>
                                          <w:marTop w:val="0"/>
                                          <w:marBottom w:val="0"/>
                                          <w:divBdr>
                                            <w:top w:val="none" w:sz="0" w:space="0" w:color="auto"/>
                                            <w:left w:val="none" w:sz="0" w:space="0" w:color="auto"/>
                                            <w:bottom w:val="none" w:sz="0" w:space="0" w:color="auto"/>
                                            <w:right w:val="none" w:sz="0" w:space="0" w:color="auto"/>
                                          </w:divBdr>
                                          <w:divsChild>
                                            <w:div w:id="1690596869">
                                              <w:marLeft w:val="0"/>
                                              <w:marRight w:val="0"/>
                                              <w:marTop w:val="0"/>
                                              <w:marBottom w:val="0"/>
                                              <w:divBdr>
                                                <w:top w:val="none" w:sz="0" w:space="0" w:color="auto"/>
                                                <w:left w:val="none" w:sz="0" w:space="0" w:color="auto"/>
                                                <w:bottom w:val="none" w:sz="0" w:space="0" w:color="auto"/>
                                                <w:right w:val="none" w:sz="0" w:space="0" w:color="auto"/>
                                              </w:divBdr>
                                              <w:divsChild>
                                                <w:div w:id="1462383055">
                                                  <w:marLeft w:val="0"/>
                                                  <w:marRight w:val="0"/>
                                                  <w:marTop w:val="0"/>
                                                  <w:marBottom w:val="0"/>
                                                  <w:divBdr>
                                                    <w:top w:val="none" w:sz="0" w:space="0" w:color="auto"/>
                                                    <w:left w:val="none" w:sz="0" w:space="0" w:color="auto"/>
                                                    <w:bottom w:val="none" w:sz="0" w:space="0" w:color="auto"/>
                                                    <w:right w:val="none" w:sz="0" w:space="0" w:color="auto"/>
                                                  </w:divBdr>
                                                  <w:divsChild>
                                                    <w:div w:id="1634561971">
                                                      <w:marLeft w:val="0"/>
                                                      <w:marRight w:val="0"/>
                                                      <w:marTop w:val="0"/>
                                                      <w:marBottom w:val="0"/>
                                                      <w:divBdr>
                                                        <w:top w:val="none" w:sz="0" w:space="0" w:color="auto"/>
                                                        <w:left w:val="none" w:sz="0" w:space="0" w:color="auto"/>
                                                        <w:bottom w:val="none" w:sz="0" w:space="0" w:color="auto"/>
                                                        <w:right w:val="none" w:sz="0" w:space="0" w:color="auto"/>
                                                      </w:divBdr>
                                                      <w:divsChild>
                                                        <w:div w:id="2008053037">
                                                          <w:marLeft w:val="0"/>
                                                          <w:marRight w:val="0"/>
                                                          <w:marTop w:val="0"/>
                                                          <w:marBottom w:val="0"/>
                                                          <w:divBdr>
                                                            <w:top w:val="none" w:sz="0" w:space="0" w:color="auto"/>
                                                            <w:left w:val="none" w:sz="0" w:space="0" w:color="auto"/>
                                                            <w:bottom w:val="none" w:sz="0" w:space="0" w:color="auto"/>
                                                            <w:right w:val="none" w:sz="0" w:space="0" w:color="auto"/>
                                                          </w:divBdr>
                                                          <w:divsChild>
                                                            <w:div w:id="2006466978">
                                                              <w:marLeft w:val="0"/>
                                                              <w:marRight w:val="0"/>
                                                              <w:marTop w:val="0"/>
                                                              <w:marBottom w:val="0"/>
                                                              <w:divBdr>
                                                                <w:top w:val="none" w:sz="0" w:space="0" w:color="auto"/>
                                                                <w:left w:val="none" w:sz="0" w:space="0" w:color="auto"/>
                                                                <w:bottom w:val="none" w:sz="0" w:space="0" w:color="auto"/>
                                                                <w:right w:val="none" w:sz="0" w:space="0" w:color="auto"/>
                                                              </w:divBdr>
                                                              <w:divsChild>
                                                                <w:div w:id="723721975">
                                                                  <w:marLeft w:val="0"/>
                                                                  <w:marRight w:val="0"/>
                                                                  <w:marTop w:val="0"/>
                                                                  <w:marBottom w:val="0"/>
                                                                  <w:divBdr>
                                                                    <w:top w:val="none" w:sz="0" w:space="0" w:color="auto"/>
                                                                    <w:left w:val="none" w:sz="0" w:space="0" w:color="auto"/>
                                                                    <w:bottom w:val="none" w:sz="0" w:space="0" w:color="auto"/>
                                                                    <w:right w:val="none" w:sz="0" w:space="0" w:color="auto"/>
                                                                  </w:divBdr>
                                                                  <w:divsChild>
                                                                    <w:div w:id="954288014">
                                                                      <w:marLeft w:val="0"/>
                                                                      <w:marRight w:val="0"/>
                                                                      <w:marTop w:val="0"/>
                                                                      <w:marBottom w:val="0"/>
                                                                      <w:divBdr>
                                                                        <w:top w:val="none" w:sz="0" w:space="0" w:color="auto"/>
                                                                        <w:left w:val="none" w:sz="0" w:space="0" w:color="auto"/>
                                                                        <w:bottom w:val="none" w:sz="0" w:space="0" w:color="auto"/>
                                                                        <w:right w:val="none" w:sz="0" w:space="0" w:color="auto"/>
                                                                      </w:divBdr>
                                                                      <w:divsChild>
                                                                        <w:div w:id="208080078">
                                                                          <w:marLeft w:val="0"/>
                                                                          <w:marRight w:val="0"/>
                                                                          <w:marTop w:val="0"/>
                                                                          <w:marBottom w:val="0"/>
                                                                          <w:divBdr>
                                                                            <w:top w:val="none" w:sz="0" w:space="0" w:color="auto"/>
                                                                            <w:left w:val="none" w:sz="0" w:space="0" w:color="auto"/>
                                                                            <w:bottom w:val="none" w:sz="0" w:space="0" w:color="auto"/>
                                                                            <w:right w:val="none" w:sz="0" w:space="0" w:color="auto"/>
                                                                          </w:divBdr>
                                                                          <w:divsChild>
                                                                            <w:div w:id="74253840">
                                                                              <w:marLeft w:val="0"/>
                                                                              <w:marRight w:val="0"/>
                                                                              <w:marTop w:val="0"/>
                                                                              <w:marBottom w:val="0"/>
                                                                              <w:divBdr>
                                                                                <w:top w:val="none" w:sz="0" w:space="0" w:color="auto"/>
                                                                                <w:left w:val="none" w:sz="0" w:space="0" w:color="auto"/>
                                                                                <w:bottom w:val="none" w:sz="0" w:space="0" w:color="auto"/>
                                                                                <w:right w:val="none" w:sz="0" w:space="0" w:color="auto"/>
                                                                              </w:divBdr>
                                                                              <w:divsChild>
                                                                                <w:div w:id="909577877">
                                                                                  <w:marLeft w:val="0"/>
                                                                                  <w:marRight w:val="0"/>
                                                                                  <w:marTop w:val="0"/>
                                                                                  <w:marBottom w:val="0"/>
                                                                                  <w:divBdr>
                                                                                    <w:top w:val="none" w:sz="0" w:space="0" w:color="auto"/>
                                                                                    <w:left w:val="none" w:sz="0" w:space="0" w:color="auto"/>
                                                                                    <w:bottom w:val="none" w:sz="0" w:space="0" w:color="auto"/>
                                                                                    <w:right w:val="none" w:sz="0" w:space="0" w:color="auto"/>
                                                                                  </w:divBdr>
                                                                                  <w:divsChild>
                                                                                    <w:div w:id="151684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corteidh.or.cr/docs/medidas/garifuna_se_04.pdf" TargetMode="External"/><Relationship Id="rId1" Type="http://schemas.openxmlformats.org/officeDocument/2006/relationships/hyperlink" Target="https://www.corteidh.or.cr/docs/casos/articulos/seriec_406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60E35-81E5-462E-AC70-4C1AE9ECF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3243</Words>
  <Characters>17838</Characters>
  <Application>Microsoft Office Word</Application>
  <DocSecurity>0</DocSecurity>
  <Lines>148</Lines>
  <Paragraphs>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Corte IDH</dc:creator>
  <cp:lastModifiedBy>Liliana Tojo</cp:lastModifiedBy>
  <cp:revision>2</cp:revision>
  <dcterms:created xsi:type="dcterms:W3CDTF">2021-08-12T15:35:00Z</dcterms:created>
  <dcterms:modified xsi:type="dcterms:W3CDTF">2021-08-12T15:35:00Z</dcterms:modified>
</cp:coreProperties>
</file>