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376F6" w14:textId="77777777" w:rsidR="008C59E5" w:rsidRPr="00BA2C4F" w:rsidRDefault="008C59E5" w:rsidP="00392516">
      <w:pPr>
        <w:jc w:val="both"/>
        <w:rPr>
          <w:rFonts w:ascii="Verdana" w:hAnsi="Verdana"/>
          <w:color w:val="000000" w:themeColor="text1"/>
          <w:sz w:val="20"/>
          <w:lang w:val="es-ES"/>
        </w:rPr>
      </w:pPr>
    </w:p>
    <w:p w14:paraId="1D279608" w14:textId="77777777" w:rsidR="008C59E5" w:rsidRPr="00BA2C4F" w:rsidRDefault="008C59E5" w:rsidP="00392516">
      <w:pPr>
        <w:jc w:val="both"/>
        <w:rPr>
          <w:rFonts w:ascii="Verdana" w:hAnsi="Verdana"/>
          <w:color w:val="000000" w:themeColor="text1"/>
          <w:sz w:val="20"/>
          <w:lang w:val="es-ES"/>
        </w:rPr>
      </w:pPr>
    </w:p>
    <w:p w14:paraId="69AA8E27" w14:textId="77777777" w:rsidR="004A5CE0" w:rsidRPr="00BA2C4F" w:rsidRDefault="004A5CE0" w:rsidP="004A5CE0">
      <w:pPr>
        <w:pStyle w:val="Ttulo1"/>
        <w:rPr>
          <w:rFonts w:ascii="Verdana" w:hAnsi="Verdana"/>
          <w:caps/>
          <w:smallCaps w:val="0"/>
          <w:color w:val="000000" w:themeColor="text1"/>
          <w:sz w:val="20"/>
          <w:lang w:val="es-ES"/>
        </w:rPr>
      </w:pPr>
      <w:bookmarkStart w:id="0" w:name="_Toc412732416"/>
      <w:bookmarkStart w:id="1" w:name="_Toc412732665"/>
      <w:bookmarkStart w:id="2" w:name="_Toc412732723"/>
    </w:p>
    <w:p w14:paraId="0BB29E83" w14:textId="77777777" w:rsidR="004A5CE0" w:rsidRPr="00BA2C4F" w:rsidRDefault="004A5CE0" w:rsidP="004A5CE0">
      <w:pPr>
        <w:pStyle w:val="Ttulo1"/>
        <w:rPr>
          <w:rFonts w:ascii="Verdana" w:hAnsi="Verdana"/>
          <w:caps/>
          <w:smallCaps w:val="0"/>
          <w:color w:val="000000" w:themeColor="text1"/>
          <w:sz w:val="20"/>
          <w:lang w:val="es-ES"/>
        </w:rPr>
      </w:pPr>
    </w:p>
    <w:p w14:paraId="34D15002" w14:textId="2C1AAAAA" w:rsidR="004A5CE0" w:rsidRDefault="004A5CE0" w:rsidP="004A5CE0">
      <w:pPr>
        <w:pStyle w:val="Ttulo1"/>
        <w:rPr>
          <w:rFonts w:ascii="Verdana" w:hAnsi="Verdana"/>
          <w:caps/>
          <w:smallCaps w:val="0"/>
          <w:color w:val="000000" w:themeColor="text1"/>
          <w:sz w:val="20"/>
          <w:lang w:val="es-ES"/>
        </w:rPr>
      </w:pPr>
    </w:p>
    <w:p w14:paraId="16120048" w14:textId="69294A78" w:rsidR="00D75D52" w:rsidRDefault="00D75D52" w:rsidP="00D75D52">
      <w:pPr>
        <w:rPr>
          <w:lang w:val="es-ES"/>
        </w:rPr>
      </w:pPr>
    </w:p>
    <w:p w14:paraId="701AC4B1" w14:textId="77777777" w:rsidR="00D75D52" w:rsidRPr="00D75D52" w:rsidRDefault="00D75D52" w:rsidP="00D75D52">
      <w:pPr>
        <w:rPr>
          <w:lang w:val="es-ES"/>
        </w:rPr>
      </w:pPr>
    </w:p>
    <w:p w14:paraId="13260827" w14:textId="77777777" w:rsidR="004A5CE0" w:rsidRPr="00BA2C4F" w:rsidRDefault="004A5CE0" w:rsidP="004A5CE0">
      <w:pPr>
        <w:pStyle w:val="Ttulo1"/>
        <w:rPr>
          <w:rFonts w:ascii="Verdana" w:hAnsi="Verdana"/>
          <w:caps/>
          <w:smallCaps w:val="0"/>
          <w:color w:val="000000" w:themeColor="text1"/>
          <w:sz w:val="20"/>
          <w:lang w:val="es-ES"/>
        </w:rPr>
      </w:pPr>
    </w:p>
    <w:p w14:paraId="4736E7E1" w14:textId="77777777" w:rsidR="004A5CE0" w:rsidRPr="00BA2C4F" w:rsidRDefault="004A5CE0" w:rsidP="004A5CE0">
      <w:pPr>
        <w:pStyle w:val="Ttulo1"/>
        <w:rPr>
          <w:rFonts w:ascii="Verdana" w:hAnsi="Verdana"/>
          <w:caps/>
          <w:smallCaps w:val="0"/>
          <w:color w:val="000000" w:themeColor="text1"/>
          <w:sz w:val="20"/>
          <w:lang w:val="es-ES"/>
        </w:rPr>
      </w:pPr>
    </w:p>
    <w:p w14:paraId="12B38282" w14:textId="351379DD" w:rsidR="008C59E5" w:rsidRPr="00BA2C4F" w:rsidRDefault="008C59E5" w:rsidP="004A5CE0">
      <w:pPr>
        <w:pStyle w:val="Ttulo1"/>
        <w:rPr>
          <w:rFonts w:ascii="Verdana" w:hAnsi="Verdana"/>
          <w:caps/>
          <w:smallCaps w:val="0"/>
          <w:color w:val="000000" w:themeColor="text1"/>
          <w:sz w:val="20"/>
          <w:lang w:val="es-ES"/>
        </w:rPr>
      </w:pPr>
      <w:r w:rsidRPr="00BA2C4F">
        <w:rPr>
          <w:rFonts w:ascii="Verdana" w:hAnsi="Verdana"/>
          <w:caps/>
          <w:smallCaps w:val="0"/>
          <w:color w:val="000000" w:themeColor="text1"/>
          <w:sz w:val="20"/>
          <w:lang w:val="es-ES"/>
        </w:rPr>
        <w:t>Resolución de la</w:t>
      </w:r>
      <w:bookmarkEnd w:id="0"/>
      <w:bookmarkEnd w:id="1"/>
      <w:bookmarkEnd w:id="2"/>
    </w:p>
    <w:p w14:paraId="0BA2614A" w14:textId="3EA9917E" w:rsidR="008C59E5" w:rsidRPr="00BA2C4F" w:rsidRDefault="008C59E5" w:rsidP="004A5CE0">
      <w:pPr>
        <w:pStyle w:val="Ttulo1"/>
        <w:rPr>
          <w:rFonts w:ascii="Verdana" w:hAnsi="Verdana"/>
          <w:color w:val="000000" w:themeColor="text1"/>
          <w:sz w:val="20"/>
          <w:lang w:val="es-ES"/>
        </w:rPr>
      </w:pPr>
      <w:bookmarkStart w:id="3" w:name="_Toc412732417"/>
      <w:bookmarkStart w:id="4" w:name="_Toc412732666"/>
      <w:bookmarkStart w:id="5" w:name="_Toc412732724"/>
      <w:r w:rsidRPr="00BA2C4F">
        <w:rPr>
          <w:rFonts w:ascii="Verdana" w:hAnsi="Verdana"/>
          <w:color w:val="000000" w:themeColor="text1"/>
          <w:sz w:val="20"/>
          <w:lang w:val="es-ES"/>
        </w:rPr>
        <w:t>CORTE INTERAMERICANA DE DERECHOS HUMANOS</w:t>
      </w:r>
      <w:bookmarkEnd w:id="3"/>
      <w:bookmarkEnd w:id="4"/>
      <w:bookmarkEnd w:id="5"/>
      <w:r w:rsidR="00E71726" w:rsidRPr="00BA2C4F">
        <w:rPr>
          <w:rFonts w:ascii="Verdana" w:hAnsi="Verdana"/>
          <w:color w:val="000000" w:themeColor="text1"/>
          <w:sz w:val="20"/>
          <w:lang w:val="es-ES"/>
        </w:rPr>
        <w:t>*</w:t>
      </w:r>
    </w:p>
    <w:p w14:paraId="6F7AFFDD" w14:textId="77777777" w:rsidR="008C59E5" w:rsidRPr="00BA2C4F" w:rsidRDefault="008C59E5" w:rsidP="004A5CE0">
      <w:pPr>
        <w:jc w:val="center"/>
        <w:rPr>
          <w:rFonts w:ascii="Verdana" w:hAnsi="Verdana"/>
          <w:color w:val="000000" w:themeColor="text1"/>
          <w:sz w:val="20"/>
          <w:lang w:val="es-ES"/>
        </w:rPr>
      </w:pPr>
    </w:p>
    <w:p w14:paraId="5CB6B306" w14:textId="3AFAC226" w:rsidR="008C59E5" w:rsidRPr="00BA2C4F" w:rsidRDefault="004D635E" w:rsidP="004A5CE0">
      <w:pPr>
        <w:pStyle w:val="Ttulo1"/>
        <w:rPr>
          <w:rFonts w:ascii="Verdana" w:hAnsi="Verdana"/>
          <w:bCs/>
          <w:caps/>
          <w:smallCaps w:val="0"/>
          <w:color w:val="000000" w:themeColor="text1"/>
          <w:sz w:val="20"/>
          <w:lang w:val="es-ES"/>
        </w:rPr>
      </w:pPr>
      <w:bookmarkStart w:id="6" w:name="_Toc412732418"/>
      <w:bookmarkStart w:id="7" w:name="_Toc412732667"/>
      <w:bookmarkStart w:id="8" w:name="_Toc412732725"/>
      <w:r w:rsidRPr="00BA2C4F">
        <w:rPr>
          <w:rFonts w:ascii="Verdana" w:hAnsi="Verdana"/>
          <w:bCs/>
          <w:caps/>
          <w:smallCaps w:val="0"/>
          <w:color w:val="000000" w:themeColor="text1"/>
          <w:sz w:val="20"/>
          <w:lang w:val="es-ES"/>
        </w:rPr>
        <w:t>21</w:t>
      </w:r>
      <w:r w:rsidR="008C59E5" w:rsidRPr="00BA2C4F">
        <w:rPr>
          <w:rFonts w:ascii="Verdana" w:hAnsi="Verdana"/>
          <w:bCs/>
          <w:caps/>
          <w:smallCaps w:val="0"/>
          <w:color w:val="000000" w:themeColor="text1"/>
          <w:sz w:val="20"/>
          <w:lang w:val="es-ES"/>
        </w:rPr>
        <w:t xml:space="preserve"> DE </w:t>
      </w:r>
      <w:bookmarkEnd w:id="6"/>
      <w:bookmarkEnd w:id="7"/>
      <w:bookmarkEnd w:id="8"/>
      <w:r w:rsidR="007C2C28" w:rsidRPr="00BA2C4F">
        <w:rPr>
          <w:rFonts w:ascii="Verdana" w:hAnsi="Verdana"/>
          <w:bCs/>
          <w:caps/>
          <w:smallCaps w:val="0"/>
          <w:color w:val="000000" w:themeColor="text1"/>
          <w:sz w:val="20"/>
          <w:lang w:val="es-ES"/>
        </w:rPr>
        <w:t>JUNIO</w:t>
      </w:r>
      <w:r w:rsidR="007F55EF" w:rsidRPr="00BA2C4F">
        <w:rPr>
          <w:rFonts w:ascii="Verdana" w:hAnsi="Verdana"/>
          <w:bCs/>
          <w:caps/>
          <w:smallCaps w:val="0"/>
          <w:color w:val="000000" w:themeColor="text1"/>
          <w:sz w:val="20"/>
          <w:lang w:val="es-ES"/>
        </w:rPr>
        <w:t xml:space="preserve"> de 2021</w:t>
      </w:r>
    </w:p>
    <w:p w14:paraId="67FEE331" w14:textId="77777777" w:rsidR="008C59E5" w:rsidRPr="00BA2C4F" w:rsidRDefault="008C59E5" w:rsidP="004A5CE0">
      <w:pPr>
        <w:jc w:val="center"/>
        <w:rPr>
          <w:rFonts w:ascii="Verdana" w:hAnsi="Verdana"/>
          <w:b/>
          <w:caps/>
          <w:color w:val="000000" w:themeColor="text1"/>
          <w:sz w:val="20"/>
          <w:lang w:val="es-ES"/>
        </w:rPr>
      </w:pPr>
    </w:p>
    <w:p w14:paraId="385EABDD" w14:textId="77777777" w:rsidR="008C59E5" w:rsidRPr="00BA2C4F" w:rsidRDefault="008C59E5" w:rsidP="004A5CE0">
      <w:pPr>
        <w:jc w:val="center"/>
        <w:rPr>
          <w:rFonts w:ascii="Verdana" w:hAnsi="Verdana"/>
          <w:b/>
          <w:caps/>
          <w:color w:val="000000" w:themeColor="text1"/>
          <w:sz w:val="20"/>
          <w:lang w:val="es-ES"/>
        </w:rPr>
      </w:pPr>
    </w:p>
    <w:p w14:paraId="22F407B1" w14:textId="6C5F7962" w:rsidR="008C59E5" w:rsidRPr="00BA2C4F" w:rsidRDefault="008C59E5" w:rsidP="004A5CE0">
      <w:pPr>
        <w:jc w:val="center"/>
        <w:rPr>
          <w:rFonts w:ascii="Verdana" w:hAnsi="Verdana"/>
          <w:b/>
          <w:caps/>
          <w:color w:val="000000" w:themeColor="text1"/>
          <w:sz w:val="20"/>
          <w:lang w:val="es-ES"/>
        </w:rPr>
      </w:pPr>
      <w:r w:rsidRPr="00BA2C4F">
        <w:rPr>
          <w:rFonts w:ascii="Verdana" w:hAnsi="Verdana"/>
          <w:b/>
          <w:caps/>
          <w:color w:val="000000" w:themeColor="text1"/>
          <w:sz w:val="20"/>
          <w:lang w:val="es-ES"/>
        </w:rPr>
        <w:t>Caso ACEVEDO BUENDÍA Y OTROS</w:t>
      </w:r>
    </w:p>
    <w:p w14:paraId="06D7D2F1" w14:textId="77777777" w:rsidR="008C59E5" w:rsidRPr="00BA2C4F" w:rsidRDefault="008C59E5" w:rsidP="004A5CE0">
      <w:pPr>
        <w:jc w:val="center"/>
        <w:rPr>
          <w:rFonts w:ascii="Verdana" w:hAnsi="Verdana"/>
          <w:b/>
          <w:caps/>
          <w:color w:val="000000" w:themeColor="text1"/>
          <w:sz w:val="20"/>
          <w:lang w:val="es-ES"/>
        </w:rPr>
      </w:pPr>
      <w:r w:rsidRPr="00BA2C4F">
        <w:rPr>
          <w:rFonts w:ascii="Verdana" w:hAnsi="Verdana"/>
          <w:b/>
          <w:caps/>
          <w:color w:val="000000" w:themeColor="text1"/>
          <w:sz w:val="20"/>
          <w:lang w:val="es-ES"/>
        </w:rPr>
        <w:t xml:space="preserve">(“Cesantes y Jubilados de la Contraloría”) </w:t>
      </w:r>
      <w:r w:rsidRPr="00BA2C4F">
        <w:rPr>
          <w:rFonts w:ascii="Verdana" w:hAnsi="Verdana"/>
          <w:b/>
          <w:i/>
          <w:caps/>
          <w:color w:val="000000" w:themeColor="text1"/>
          <w:sz w:val="20"/>
          <w:lang w:val="es-ES"/>
        </w:rPr>
        <w:t>vs</w:t>
      </w:r>
      <w:r w:rsidRPr="00BA2C4F">
        <w:rPr>
          <w:rFonts w:ascii="Verdana" w:hAnsi="Verdana"/>
          <w:b/>
          <w:caps/>
          <w:color w:val="000000" w:themeColor="text1"/>
          <w:sz w:val="20"/>
          <w:lang w:val="es-ES"/>
        </w:rPr>
        <w:t>. PERÚ</w:t>
      </w:r>
    </w:p>
    <w:p w14:paraId="20C41F86" w14:textId="77777777" w:rsidR="008C59E5" w:rsidRPr="00BA2C4F" w:rsidRDefault="008C59E5" w:rsidP="004A5CE0">
      <w:pPr>
        <w:jc w:val="center"/>
        <w:rPr>
          <w:rFonts w:ascii="Verdana" w:hAnsi="Verdana"/>
          <w:b/>
          <w:caps/>
          <w:color w:val="000000" w:themeColor="text1"/>
          <w:sz w:val="20"/>
          <w:lang w:val="es-ES"/>
        </w:rPr>
      </w:pPr>
    </w:p>
    <w:p w14:paraId="1EFA2575" w14:textId="77777777" w:rsidR="008C59E5" w:rsidRPr="00BA2C4F" w:rsidRDefault="008C59E5" w:rsidP="004A5CE0">
      <w:pPr>
        <w:jc w:val="center"/>
        <w:rPr>
          <w:rFonts w:ascii="Verdana" w:hAnsi="Verdana"/>
          <w:b/>
          <w:caps/>
          <w:color w:val="000000" w:themeColor="text1"/>
          <w:sz w:val="20"/>
          <w:lang w:val="es-ES"/>
        </w:rPr>
      </w:pPr>
    </w:p>
    <w:p w14:paraId="7D7BC1CE" w14:textId="77777777" w:rsidR="008C59E5" w:rsidRPr="00BA2C4F" w:rsidRDefault="008C59E5" w:rsidP="004A5CE0">
      <w:pPr>
        <w:jc w:val="center"/>
        <w:rPr>
          <w:rFonts w:ascii="Verdana" w:hAnsi="Verdana"/>
          <w:b/>
          <w:caps/>
          <w:color w:val="000000" w:themeColor="text1"/>
          <w:sz w:val="20"/>
          <w:lang w:val="es-ES"/>
        </w:rPr>
      </w:pPr>
      <w:r w:rsidRPr="00BA2C4F">
        <w:rPr>
          <w:rFonts w:ascii="Verdana" w:hAnsi="Verdana"/>
          <w:b/>
          <w:caps/>
          <w:color w:val="000000" w:themeColor="text1"/>
          <w:sz w:val="20"/>
          <w:lang w:val="es-ES"/>
        </w:rPr>
        <w:t>Supervisión de Cumplimiento de Sentencia</w:t>
      </w:r>
    </w:p>
    <w:p w14:paraId="0FC706E8" w14:textId="77777777" w:rsidR="008C59E5" w:rsidRPr="00BA2C4F" w:rsidRDefault="008C59E5" w:rsidP="00392516">
      <w:pPr>
        <w:jc w:val="both"/>
        <w:rPr>
          <w:rFonts w:ascii="Verdana" w:hAnsi="Verdana"/>
          <w:b/>
          <w:caps/>
          <w:color w:val="000000" w:themeColor="text1"/>
          <w:sz w:val="20"/>
          <w:lang w:val="es-ES"/>
        </w:rPr>
      </w:pPr>
    </w:p>
    <w:p w14:paraId="6160AA8D" w14:textId="77777777" w:rsidR="008C59E5" w:rsidRPr="00BA2C4F" w:rsidRDefault="008C59E5" w:rsidP="00392516">
      <w:pPr>
        <w:jc w:val="both"/>
        <w:rPr>
          <w:rFonts w:ascii="Verdana" w:hAnsi="Verdana"/>
          <w:b/>
          <w:caps/>
          <w:color w:val="000000" w:themeColor="text1"/>
          <w:sz w:val="20"/>
          <w:lang w:val="es-ES"/>
        </w:rPr>
      </w:pPr>
    </w:p>
    <w:p w14:paraId="547BCCDF" w14:textId="77777777" w:rsidR="008C59E5" w:rsidRPr="00BA2C4F" w:rsidRDefault="008C59E5" w:rsidP="00392516">
      <w:pPr>
        <w:jc w:val="both"/>
        <w:rPr>
          <w:rFonts w:ascii="Verdana" w:hAnsi="Verdana"/>
          <w:b/>
          <w:caps/>
          <w:color w:val="000000" w:themeColor="text1"/>
          <w:sz w:val="20"/>
          <w:lang w:val="es-ES"/>
        </w:rPr>
      </w:pPr>
    </w:p>
    <w:p w14:paraId="2C6F6533" w14:textId="77777777" w:rsidR="008C59E5" w:rsidRPr="00BA2C4F" w:rsidRDefault="008C59E5" w:rsidP="00392516">
      <w:pPr>
        <w:ind w:right="43"/>
        <w:jc w:val="both"/>
        <w:rPr>
          <w:rFonts w:ascii="Verdana" w:hAnsi="Verdana"/>
          <w:b/>
          <w:caps/>
          <w:color w:val="000000" w:themeColor="text1"/>
          <w:sz w:val="20"/>
          <w:lang w:val="es-ES"/>
        </w:rPr>
      </w:pPr>
      <w:r w:rsidRPr="00BA2C4F">
        <w:rPr>
          <w:rFonts w:ascii="Verdana" w:hAnsi="Verdana"/>
          <w:b/>
          <w:caps/>
          <w:color w:val="000000" w:themeColor="text1"/>
          <w:sz w:val="20"/>
          <w:lang w:val="es-ES"/>
        </w:rPr>
        <w:t>Visto:</w:t>
      </w:r>
    </w:p>
    <w:p w14:paraId="488A155E" w14:textId="77777777" w:rsidR="008C59E5" w:rsidRPr="00BA2C4F" w:rsidRDefault="008C59E5" w:rsidP="00392516">
      <w:pPr>
        <w:ind w:left="720" w:right="720"/>
        <w:jc w:val="both"/>
        <w:rPr>
          <w:rFonts w:ascii="Verdana" w:hAnsi="Verdana"/>
          <w:b/>
          <w:color w:val="000000" w:themeColor="text1"/>
          <w:sz w:val="20"/>
          <w:lang w:val="es-ES"/>
        </w:rPr>
      </w:pPr>
      <w:r w:rsidRPr="00BA2C4F">
        <w:rPr>
          <w:rFonts w:ascii="Verdana" w:hAnsi="Verdana"/>
          <w:b/>
          <w:color w:val="000000" w:themeColor="text1"/>
          <w:sz w:val="20"/>
          <w:lang w:val="es-ES"/>
        </w:rPr>
        <w:t xml:space="preserve"> </w:t>
      </w:r>
    </w:p>
    <w:p w14:paraId="746287B2" w14:textId="1FD035CB" w:rsidR="008C59E5" w:rsidRPr="00BA2C4F" w:rsidRDefault="008C59E5" w:rsidP="00392516">
      <w:pPr>
        <w:pStyle w:val="Textoindependiente2"/>
        <w:numPr>
          <w:ilvl w:val="0"/>
          <w:numId w:val="1"/>
        </w:numPr>
        <w:tabs>
          <w:tab w:val="clear" w:pos="1080"/>
          <w:tab w:val="num" w:pos="720"/>
        </w:tabs>
        <w:ind w:left="0" w:firstLine="0"/>
        <w:rPr>
          <w:color w:val="000000" w:themeColor="text1"/>
          <w:lang w:val="es-ES"/>
        </w:rPr>
      </w:pPr>
      <w:r w:rsidRPr="00BA2C4F">
        <w:rPr>
          <w:color w:val="000000" w:themeColor="text1"/>
          <w:lang w:val="es-ES"/>
        </w:rPr>
        <w:t xml:space="preserve">La Sentencia de excepción preliminar, fondo, reparaciones y costas (en adelante “la Sentencia”) dictada por la Corte Interamericana de Derechos Humanos (en adelante “la Corte Interamericana”, “la Corte” o “el Tribunal”) el 1 de julio de 2009, mediante la cual declaró que la República del Perú (en adelante ‘‘el Perú’’ o ‘‘el Estado’’) violó el derecho a la protección judicial porque habían transcurrido más de </w:t>
      </w:r>
      <w:r w:rsidR="00CE35D5">
        <w:rPr>
          <w:color w:val="000000" w:themeColor="text1"/>
          <w:lang w:val="es-ES"/>
        </w:rPr>
        <w:t>once u</w:t>
      </w:r>
      <w:r w:rsidR="00E67E07" w:rsidRPr="00BA2C4F">
        <w:rPr>
          <w:color w:val="000000" w:themeColor="text1"/>
          <w:lang w:val="es-ES"/>
        </w:rPr>
        <w:t xml:space="preserve"> </w:t>
      </w:r>
      <w:r w:rsidRPr="00BA2C4F">
        <w:rPr>
          <w:color w:val="000000" w:themeColor="text1"/>
          <w:lang w:val="es-ES"/>
        </w:rPr>
        <w:t xml:space="preserve">ocho años sin que hubiere cumplido con lo ordenado en las sentencias de amparo dictadas por el Tribunal Constitucional del Perú </w:t>
      </w:r>
      <w:r w:rsidR="00E67E07" w:rsidRPr="00BA2C4F">
        <w:rPr>
          <w:color w:val="000000" w:themeColor="text1"/>
          <w:lang w:val="es-ES"/>
        </w:rPr>
        <w:t xml:space="preserve">en los años 1997 y 2001 </w:t>
      </w:r>
      <w:r w:rsidRPr="00BA2C4F">
        <w:rPr>
          <w:color w:val="000000" w:themeColor="text1"/>
          <w:lang w:val="es-ES"/>
        </w:rPr>
        <w:t>a favor de los 273 integrantes de la Asociación de Cesantes y Jubilados de la Contraloría General de la República del Perú (en adelante “la Contraloría” o “la Contraloría General”)</w:t>
      </w:r>
      <w:r w:rsidRPr="00BA2C4F">
        <w:rPr>
          <w:rStyle w:val="Refdenotaalpie"/>
          <w:color w:val="000000" w:themeColor="text1"/>
          <w:lang w:val="es-ES"/>
        </w:rPr>
        <w:footnoteReference w:id="1"/>
      </w:r>
      <w:r w:rsidRPr="00BA2C4F">
        <w:rPr>
          <w:color w:val="000000" w:themeColor="text1"/>
          <w:lang w:val="es-ES"/>
        </w:rPr>
        <w:t>. Asimismo, el Tribunal consideró que la prolongada e injustificada inobservancia de las decisiones jurisdiccionales internas derivó en la violación al derecho a la propiedad de estas personas, quienes se encontraban acogid</w:t>
      </w:r>
      <w:r w:rsidR="005348D4" w:rsidRPr="00BA2C4F">
        <w:rPr>
          <w:color w:val="000000" w:themeColor="text1"/>
          <w:lang w:val="es-ES"/>
        </w:rPr>
        <w:t>a</w:t>
      </w:r>
      <w:r w:rsidRPr="00BA2C4F">
        <w:rPr>
          <w:color w:val="000000" w:themeColor="text1"/>
          <w:lang w:val="es-ES"/>
        </w:rPr>
        <w:t>s al régimen de pensiones regulado por el Decreto Ley No. 20530</w:t>
      </w:r>
      <w:r w:rsidRPr="00BA2C4F">
        <w:rPr>
          <w:rStyle w:val="Refdenotaalpie"/>
          <w:color w:val="000000" w:themeColor="text1"/>
          <w:lang w:val="es-ES"/>
        </w:rPr>
        <w:footnoteReference w:id="2"/>
      </w:r>
      <w:r w:rsidR="00E67E07" w:rsidRPr="00BA2C4F">
        <w:rPr>
          <w:color w:val="000000" w:themeColor="text1"/>
          <w:lang w:val="es-ES"/>
        </w:rPr>
        <w:t>,</w:t>
      </w:r>
      <w:r w:rsidRPr="00BA2C4F">
        <w:rPr>
          <w:color w:val="000000" w:themeColor="text1"/>
          <w:lang w:val="es-ES"/>
        </w:rPr>
        <w:t xml:space="preserve"> que establecía una pensión de jubilación </w:t>
      </w:r>
      <w:proofErr w:type="spellStart"/>
      <w:r w:rsidRPr="00BA2C4F">
        <w:rPr>
          <w:color w:val="000000" w:themeColor="text1"/>
          <w:lang w:val="es-ES"/>
        </w:rPr>
        <w:t>nivelable</w:t>
      </w:r>
      <w:proofErr w:type="spellEnd"/>
      <w:r w:rsidRPr="00BA2C4F">
        <w:rPr>
          <w:color w:val="000000" w:themeColor="text1"/>
          <w:lang w:val="es-ES"/>
        </w:rPr>
        <w:t xml:space="preserve"> progresivamente con la remuneración del titular en actividad que ocupara el mismo puesto o función análoga a la que </w:t>
      </w:r>
      <w:r w:rsidR="005348D4" w:rsidRPr="00BA2C4F">
        <w:rPr>
          <w:color w:val="000000" w:themeColor="text1"/>
          <w:lang w:val="es-ES"/>
        </w:rPr>
        <w:t>las víctimas</w:t>
      </w:r>
      <w:r w:rsidRPr="00BA2C4F">
        <w:rPr>
          <w:color w:val="000000" w:themeColor="text1"/>
          <w:lang w:val="es-ES"/>
        </w:rPr>
        <w:t xml:space="preserve"> desempeñaban a la fecha de su jubilación. Entre los meses de abril de 1993 y octubre de 2002 las víctimas dejaron de percibir la pensión </w:t>
      </w:r>
      <w:proofErr w:type="spellStart"/>
      <w:r w:rsidRPr="00BA2C4F">
        <w:rPr>
          <w:color w:val="000000" w:themeColor="text1"/>
          <w:lang w:val="es-ES"/>
        </w:rPr>
        <w:t>nivelable</w:t>
      </w:r>
      <w:proofErr w:type="spellEnd"/>
      <w:r w:rsidRPr="00BA2C4F">
        <w:rPr>
          <w:color w:val="000000" w:themeColor="text1"/>
          <w:lang w:val="es-ES"/>
        </w:rPr>
        <w:t xml:space="preserve">. Mediante sentencias de 21 de octubre de 1997 y 26 de enero de 2001 el Tribunal Constitucional del Perú declaró que la aplicación de una normativa contraria a la Constitución entonces vigente restringió indebidamente el derecho a una pensión </w:t>
      </w:r>
      <w:proofErr w:type="spellStart"/>
      <w:r w:rsidRPr="00BA2C4F">
        <w:rPr>
          <w:color w:val="000000" w:themeColor="text1"/>
          <w:lang w:val="es-ES"/>
        </w:rPr>
        <w:t>nivelable</w:t>
      </w:r>
      <w:proofErr w:type="spellEnd"/>
      <w:r w:rsidRPr="00BA2C4F">
        <w:rPr>
          <w:color w:val="000000" w:themeColor="text1"/>
          <w:lang w:val="es-ES"/>
        </w:rPr>
        <w:t xml:space="preserve"> que habían adquirido las víctimas y ordenó, entre otras cosas, el pago de </w:t>
      </w:r>
      <w:r w:rsidR="005348D4" w:rsidRPr="00BA2C4F">
        <w:rPr>
          <w:color w:val="000000" w:themeColor="text1"/>
          <w:lang w:val="es-ES"/>
        </w:rPr>
        <w:t xml:space="preserve">los </w:t>
      </w:r>
      <w:r w:rsidRPr="00BA2C4F">
        <w:rPr>
          <w:color w:val="000000" w:themeColor="text1"/>
          <w:lang w:val="es-ES"/>
        </w:rPr>
        <w:t xml:space="preserve">montos pensionarios que las víctimas dejaron de </w:t>
      </w:r>
      <w:r w:rsidRPr="00BA2C4F">
        <w:rPr>
          <w:color w:val="000000" w:themeColor="text1"/>
          <w:lang w:val="es-ES"/>
        </w:rPr>
        <w:lastRenderedPageBreak/>
        <w:t>percibir entre los referidos nueve años y seis meses</w:t>
      </w:r>
      <w:r w:rsidRPr="00BA2C4F">
        <w:rPr>
          <w:rStyle w:val="Refdenotaalpie"/>
          <w:color w:val="000000" w:themeColor="text1"/>
          <w:lang w:val="es-ES"/>
        </w:rPr>
        <w:footnoteReference w:id="3"/>
      </w:r>
      <w:r w:rsidRPr="00BA2C4F">
        <w:rPr>
          <w:color w:val="000000" w:themeColor="text1"/>
          <w:lang w:val="es-ES"/>
        </w:rPr>
        <w:t xml:space="preserve">. </w:t>
      </w:r>
      <w:r w:rsidRPr="00BA2C4F">
        <w:rPr>
          <w:rFonts w:cs="Arial"/>
          <w:color w:val="000000" w:themeColor="text1"/>
          <w:lang w:val="es-ES"/>
        </w:rPr>
        <w:t xml:space="preserve">La Corte estableció que su Sentencia constituye </w:t>
      </w:r>
      <w:r w:rsidRPr="00BA2C4F">
        <w:rPr>
          <w:rFonts w:cs="Arial"/>
          <w:i/>
          <w:color w:val="000000" w:themeColor="text1"/>
          <w:lang w:val="es-ES"/>
        </w:rPr>
        <w:t>per se</w:t>
      </w:r>
      <w:r w:rsidRPr="00BA2C4F">
        <w:rPr>
          <w:rFonts w:cs="Arial"/>
          <w:color w:val="000000" w:themeColor="text1"/>
          <w:lang w:val="es-ES"/>
        </w:rPr>
        <w:t xml:space="preserve"> una forma de reparación y, adicionalmente, ordenó al Estado determinadas medidas de reparación (</w:t>
      </w:r>
      <w:r w:rsidRPr="00BA2C4F">
        <w:rPr>
          <w:rFonts w:cs="Arial"/>
          <w:i/>
          <w:color w:val="000000" w:themeColor="text1"/>
          <w:lang w:val="es-ES"/>
        </w:rPr>
        <w:t>infra</w:t>
      </w:r>
      <w:r w:rsidRPr="00BA2C4F">
        <w:rPr>
          <w:rFonts w:cs="Arial"/>
          <w:color w:val="000000" w:themeColor="text1"/>
          <w:lang w:val="es-ES"/>
        </w:rPr>
        <w:t xml:space="preserve"> </w:t>
      </w:r>
      <w:r w:rsidRPr="002A3EC3">
        <w:rPr>
          <w:rFonts w:cs="Arial"/>
          <w:color w:val="000000" w:themeColor="text1"/>
          <w:lang w:val="es-ES"/>
        </w:rPr>
        <w:t>Considerando 1</w:t>
      </w:r>
      <w:r w:rsidRPr="00BA2C4F">
        <w:rPr>
          <w:rFonts w:cs="Arial"/>
          <w:color w:val="000000" w:themeColor="text1"/>
          <w:lang w:val="es-ES"/>
        </w:rPr>
        <w:t>).</w:t>
      </w:r>
    </w:p>
    <w:p w14:paraId="02FC9B9F" w14:textId="77777777" w:rsidR="008C59E5" w:rsidRPr="00BA2C4F" w:rsidRDefault="008C59E5" w:rsidP="00392516">
      <w:pPr>
        <w:pStyle w:val="Textoindependiente2"/>
        <w:rPr>
          <w:color w:val="000000" w:themeColor="text1"/>
          <w:lang w:val="es-ES"/>
        </w:rPr>
      </w:pPr>
    </w:p>
    <w:p w14:paraId="2FEAE23A" w14:textId="0601FDC1" w:rsidR="008C59E5" w:rsidRPr="00BA2C4F" w:rsidRDefault="008C59E5" w:rsidP="00392516">
      <w:pPr>
        <w:pStyle w:val="Textoindependiente2"/>
        <w:numPr>
          <w:ilvl w:val="0"/>
          <w:numId w:val="1"/>
        </w:numPr>
        <w:tabs>
          <w:tab w:val="clear" w:pos="1080"/>
          <w:tab w:val="num" w:pos="720"/>
        </w:tabs>
        <w:ind w:left="0" w:firstLine="0"/>
        <w:rPr>
          <w:color w:val="000000" w:themeColor="text1"/>
          <w:lang w:val="es-ES"/>
        </w:rPr>
      </w:pPr>
      <w:bookmarkStart w:id="9" w:name="_Ref295722415"/>
      <w:r w:rsidRPr="00BA2C4F">
        <w:rPr>
          <w:color w:val="000000" w:themeColor="text1"/>
          <w:lang w:val="es-ES"/>
        </w:rPr>
        <w:t>La Sentencia de interpretaci</w:t>
      </w:r>
      <w:r w:rsidRPr="00BA2C4F">
        <w:rPr>
          <w:rFonts w:cs="Arial"/>
          <w:color w:val="000000" w:themeColor="text1"/>
          <w:lang w:val="es-ES"/>
        </w:rPr>
        <w:t>ón emitida por la Corte Interamericana el 24 de noviembre de 2009</w:t>
      </w:r>
      <w:r w:rsidR="00E67E07" w:rsidRPr="00BA2C4F">
        <w:rPr>
          <w:rFonts w:cs="Arial"/>
          <w:color w:val="000000" w:themeColor="text1"/>
          <w:lang w:val="es-ES"/>
        </w:rPr>
        <w:t xml:space="preserve">, en la cual se efectuó una aclaración de lo dispuesto en la Sentencia </w:t>
      </w:r>
      <w:r w:rsidR="002612CC" w:rsidRPr="00BA2C4F">
        <w:rPr>
          <w:rFonts w:cs="Arial"/>
          <w:color w:val="000000" w:themeColor="text1"/>
          <w:lang w:val="es-ES"/>
        </w:rPr>
        <w:t xml:space="preserve">de Fondo </w:t>
      </w:r>
      <w:r w:rsidR="00E67E07" w:rsidRPr="00BA2C4F">
        <w:rPr>
          <w:rFonts w:cs="Arial"/>
          <w:color w:val="000000" w:themeColor="text1"/>
          <w:lang w:val="es-ES"/>
        </w:rPr>
        <w:t>respecto al reintegro de costas y gastos</w:t>
      </w:r>
      <w:r w:rsidRPr="00BA2C4F">
        <w:rPr>
          <w:rStyle w:val="Refdenotaalpie"/>
          <w:rFonts w:cs="Arial"/>
          <w:color w:val="000000" w:themeColor="text1"/>
          <w:lang w:val="es-ES"/>
        </w:rPr>
        <w:footnoteReference w:id="4"/>
      </w:r>
      <w:r w:rsidRPr="00BA2C4F">
        <w:rPr>
          <w:rFonts w:cs="Arial"/>
          <w:color w:val="000000" w:themeColor="text1"/>
          <w:lang w:val="es-ES"/>
        </w:rPr>
        <w:t>.</w:t>
      </w:r>
    </w:p>
    <w:p w14:paraId="60F59F24" w14:textId="77777777" w:rsidR="008C59E5" w:rsidRPr="00BA2C4F" w:rsidRDefault="008C59E5" w:rsidP="00392516">
      <w:pPr>
        <w:pStyle w:val="Textoindependiente2"/>
        <w:rPr>
          <w:color w:val="000000" w:themeColor="text1"/>
          <w:lang w:val="es-ES"/>
        </w:rPr>
      </w:pPr>
    </w:p>
    <w:p w14:paraId="49E71147" w14:textId="4C7C58A5" w:rsidR="008C59E5" w:rsidRPr="00BA2C4F" w:rsidRDefault="008C59E5" w:rsidP="00392516">
      <w:pPr>
        <w:pStyle w:val="Textoindependiente2"/>
        <w:numPr>
          <w:ilvl w:val="0"/>
          <w:numId w:val="1"/>
        </w:numPr>
        <w:tabs>
          <w:tab w:val="clear" w:pos="1080"/>
          <w:tab w:val="num" w:pos="720"/>
        </w:tabs>
        <w:ind w:left="0" w:firstLine="0"/>
        <w:rPr>
          <w:color w:val="000000" w:themeColor="text1"/>
          <w:lang w:val="es-ES"/>
        </w:rPr>
      </w:pPr>
      <w:r w:rsidRPr="00BA2C4F">
        <w:rPr>
          <w:rFonts w:cs="Arial"/>
          <w:color w:val="000000" w:themeColor="text1"/>
          <w:lang w:val="es-ES"/>
        </w:rPr>
        <w:t>La</w:t>
      </w:r>
      <w:r w:rsidR="003565C6" w:rsidRPr="00BA2C4F">
        <w:rPr>
          <w:rFonts w:cs="Arial"/>
          <w:color w:val="000000" w:themeColor="text1"/>
          <w:lang w:val="es-ES"/>
        </w:rPr>
        <w:t xml:space="preserve">s resoluciones </w:t>
      </w:r>
      <w:r w:rsidRPr="00BA2C4F">
        <w:rPr>
          <w:rFonts w:cs="Arial"/>
          <w:color w:val="000000" w:themeColor="text1"/>
          <w:lang w:val="es-ES"/>
        </w:rPr>
        <w:t>de sup</w:t>
      </w:r>
      <w:r w:rsidR="00CE35D5">
        <w:rPr>
          <w:rFonts w:cs="Arial"/>
          <w:color w:val="000000" w:themeColor="text1"/>
          <w:lang w:val="es-ES"/>
        </w:rPr>
        <w:t>ervisión de cumplimiento de s</w:t>
      </w:r>
      <w:r w:rsidRPr="00BA2C4F">
        <w:rPr>
          <w:rFonts w:cs="Arial"/>
          <w:color w:val="000000" w:themeColor="text1"/>
          <w:lang w:val="es-ES"/>
        </w:rPr>
        <w:t>entencia dictada</w:t>
      </w:r>
      <w:r w:rsidR="00E71726" w:rsidRPr="00BA2C4F">
        <w:rPr>
          <w:rFonts w:cs="Arial"/>
          <w:color w:val="000000" w:themeColor="text1"/>
          <w:lang w:val="es-ES"/>
        </w:rPr>
        <w:t>s</w:t>
      </w:r>
      <w:r w:rsidRPr="00BA2C4F">
        <w:rPr>
          <w:rFonts w:cs="Arial"/>
          <w:color w:val="000000" w:themeColor="text1"/>
          <w:lang w:val="es-ES"/>
        </w:rPr>
        <w:t xml:space="preserve"> por la Corte el 1 de julio de 2011</w:t>
      </w:r>
      <w:r w:rsidRPr="00BA2C4F">
        <w:rPr>
          <w:rStyle w:val="Refdenotaalpie"/>
          <w:rFonts w:cs="Arial"/>
          <w:color w:val="000000" w:themeColor="text1"/>
          <w:lang w:val="es-ES"/>
        </w:rPr>
        <w:footnoteReference w:id="5"/>
      </w:r>
      <w:r w:rsidR="003565C6" w:rsidRPr="00BA2C4F">
        <w:rPr>
          <w:rFonts w:cs="Arial"/>
          <w:color w:val="000000" w:themeColor="text1"/>
          <w:lang w:val="es-ES"/>
        </w:rPr>
        <w:t xml:space="preserve"> y el 28 de enero de 2015</w:t>
      </w:r>
      <w:r w:rsidR="0077189E" w:rsidRPr="00BA2C4F">
        <w:rPr>
          <w:rStyle w:val="Refdenotaalpie"/>
          <w:rFonts w:cs="Arial"/>
          <w:color w:val="000000" w:themeColor="text1"/>
          <w:lang w:val="es-ES"/>
        </w:rPr>
        <w:footnoteReference w:id="6"/>
      </w:r>
      <w:r w:rsidR="003565C6" w:rsidRPr="00BA2C4F">
        <w:rPr>
          <w:rFonts w:cs="Arial"/>
          <w:color w:val="000000" w:themeColor="text1"/>
          <w:lang w:val="es-ES"/>
        </w:rPr>
        <w:t xml:space="preserve"> (</w:t>
      </w:r>
      <w:r w:rsidR="003565C6" w:rsidRPr="00BA2C4F">
        <w:rPr>
          <w:rFonts w:cs="Arial"/>
          <w:i/>
          <w:iCs/>
          <w:color w:val="000000" w:themeColor="text1"/>
          <w:lang w:val="es-ES"/>
        </w:rPr>
        <w:t xml:space="preserve">infra </w:t>
      </w:r>
      <w:r w:rsidR="003565C6" w:rsidRPr="00BA2C4F">
        <w:rPr>
          <w:rFonts w:cs="Arial"/>
          <w:color w:val="000000" w:themeColor="text1"/>
          <w:lang w:val="es-ES"/>
        </w:rPr>
        <w:t xml:space="preserve">Considerando </w:t>
      </w:r>
      <w:r w:rsidR="0077189E" w:rsidRPr="00BA2C4F">
        <w:rPr>
          <w:rFonts w:cs="Arial"/>
          <w:color w:val="000000" w:themeColor="text1"/>
          <w:lang w:val="es-ES"/>
        </w:rPr>
        <w:t>1</w:t>
      </w:r>
      <w:r w:rsidR="003565C6" w:rsidRPr="00BA2C4F">
        <w:rPr>
          <w:rFonts w:cs="Arial"/>
          <w:color w:val="000000" w:themeColor="text1"/>
          <w:lang w:val="es-ES"/>
        </w:rPr>
        <w:t xml:space="preserve">). </w:t>
      </w:r>
    </w:p>
    <w:p w14:paraId="408EAB88" w14:textId="77777777" w:rsidR="008C59E5" w:rsidRPr="00BA2C4F" w:rsidRDefault="008C59E5" w:rsidP="00392516">
      <w:pPr>
        <w:pStyle w:val="Textoindependiente2"/>
        <w:rPr>
          <w:color w:val="000000" w:themeColor="text1"/>
          <w:lang w:val="es-ES"/>
        </w:rPr>
      </w:pPr>
    </w:p>
    <w:p w14:paraId="3C5758F9" w14:textId="3600550F" w:rsidR="008C59E5" w:rsidRPr="00BA2C4F" w:rsidRDefault="008C59E5" w:rsidP="00392516">
      <w:pPr>
        <w:pStyle w:val="Textoindependiente2"/>
        <w:numPr>
          <w:ilvl w:val="0"/>
          <w:numId w:val="1"/>
        </w:numPr>
        <w:tabs>
          <w:tab w:val="clear" w:pos="1080"/>
          <w:tab w:val="num" w:pos="720"/>
        </w:tabs>
        <w:ind w:left="0" w:firstLine="0"/>
        <w:rPr>
          <w:color w:val="000000" w:themeColor="text1"/>
          <w:lang w:val="es-ES"/>
        </w:rPr>
      </w:pPr>
      <w:r w:rsidRPr="00BA2C4F">
        <w:rPr>
          <w:color w:val="000000" w:themeColor="text1"/>
          <w:lang w:val="es-ES"/>
        </w:rPr>
        <w:t xml:space="preserve">Los </w:t>
      </w:r>
      <w:r w:rsidR="003565C6" w:rsidRPr="00BA2C4F">
        <w:rPr>
          <w:color w:val="000000" w:themeColor="text1"/>
          <w:lang w:val="es-ES"/>
        </w:rPr>
        <w:t xml:space="preserve">informes presentados por el Estado entre </w:t>
      </w:r>
      <w:r w:rsidR="00044DF1" w:rsidRPr="00BA2C4F">
        <w:rPr>
          <w:color w:val="000000" w:themeColor="text1"/>
          <w:lang w:val="es-ES"/>
        </w:rPr>
        <w:t xml:space="preserve">julio de 2015 </w:t>
      </w:r>
      <w:r w:rsidR="003565C6" w:rsidRPr="00BA2C4F">
        <w:rPr>
          <w:color w:val="000000" w:themeColor="text1"/>
          <w:lang w:val="es-ES"/>
        </w:rPr>
        <w:t>y junio de 2020</w:t>
      </w:r>
      <w:r w:rsidR="003565C6" w:rsidRPr="00BA2C4F">
        <w:rPr>
          <w:rStyle w:val="Refdenotaalpie"/>
          <w:color w:val="000000" w:themeColor="text1"/>
          <w:lang w:val="es-ES"/>
        </w:rPr>
        <w:footnoteReference w:id="7"/>
      </w:r>
      <w:r w:rsidR="009C2B06" w:rsidRPr="00BA2C4F">
        <w:rPr>
          <w:color w:val="000000" w:themeColor="text1"/>
          <w:lang w:val="es-ES"/>
        </w:rPr>
        <w:t xml:space="preserve">. </w:t>
      </w:r>
    </w:p>
    <w:p w14:paraId="7DFD16C1" w14:textId="77777777" w:rsidR="008C59E5" w:rsidRPr="00BA2C4F" w:rsidRDefault="008C59E5" w:rsidP="00392516">
      <w:pPr>
        <w:pStyle w:val="Textoindependiente2"/>
        <w:tabs>
          <w:tab w:val="num" w:pos="720"/>
        </w:tabs>
        <w:rPr>
          <w:color w:val="000000" w:themeColor="text1"/>
          <w:lang w:val="es-ES"/>
        </w:rPr>
      </w:pPr>
    </w:p>
    <w:p w14:paraId="603EE362" w14:textId="3A46818C" w:rsidR="008C59E5" w:rsidRPr="00BA2C4F" w:rsidRDefault="008C59E5" w:rsidP="00392516">
      <w:pPr>
        <w:pStyle w:val="Textoindependiente2"/>
        <w:numPr>
          <w:ilvl w:val="0"/>
          <w:numId w:val="1"/>
        </w:numPr>
        <w:tabs>
          <w:tab w:val="clear" w:pos="1080"/>
          <w:tab w:val="num" w:pos="720"/>
        </w:tabs>
        <w:ind w:left="0" w:firstLine="0"/>
        <w:rPr>
          <w:b/>
          <w:color w:val="000000" w:themeColor="text1"/>
          <w:lang w:val="es-ES"/>
        </w:rPr>
      </w:pPr>
      <w:r w:rsidRPr="00BA2C4F">
        <w:rPr>
          <w:color w:val="000000" w:themeColor="text1"/>
          <w:lang w:val="es-ES"/>
        </w:rPr>
        <w:t xml:space="preserve">Los </w:t>
      </w:r>
      <w:r w:rsidR="00980967" w:rsidRPr="00BA2C4F">
        <w:rPr>
          <w:color w:val="000000" w:themeColor="text1"/>
          <w:lang w:val="es-ES"/>
        </w:rPr>
        <w:t>escritos presentados por los intervinientes comunes de l</w:t>
      </w:r>
      <w:r w:rsidR="00E71726" w:rsidRPr="00BA2C4F">
        <w:rPr>
          <w:color w:val="000000" w:themeColor="text1"/>
          <w:lang w:val="es-ES"/>
        </w:rPr>
        <w:t xml:space="preserve">os representantes </w:t>
      </w:r>
      <w:r w:rsidR="00980967" w:rsidRPr="00BA2C4F">
        <w:rPr>
          <w:color w:val="000000" w:themeColor="text1"/>
          <w:lang w:val="es-ES"/>
        </w:rPr>
        <w:t>de las víctimas</w:t>
      </w:r>
      <w:r w:rsidR="0063178F" w:rsidRPr="00BA2C4F">
        <w:rPr>
          <w:rStyle w:val="Refdenotaalpie"/>
          <w:color w:val="000000" w:themeColor="text1"/>
          <w:lang w:val="es-ES"/>
        </w:rPr>
        <w:footnoteReference w:id="8"/>
      </w:r>
      <w:r w:rsidR="00980967" w:rsidRPr="00BA2C4F">
        <w:rPr>
          <w:color w:val="000000" w:themeColor="text1"/>
          <w:lang w:val="es-ES"/>
        </w:rPr>
        <w:t xml:space="preserve"> (en adelante “los representantes” o “los intervinientes comunes”) entre </w:t>
      </w:r>
      <w:r w:rsidR="00044DF1" w:rsidRPr="00BA2C4F">
        <w:rPr>
          <w:color w:val="000000" w:themeColor="text1"/>
          <w:lang w:val="es-ES"/>
        </w:rPr>
        <w:t>septiembre de</w:t>
      </w:r>
      <w:r w:rsidR="00980967" w:rsidRPr="00BA2C4F">
        <w:rPr>
          <w:color w:val="000000" w:themeColor="text1"/>
          <w:lang w:val="es-ES"/>
        </w:rPr>
        <w:t xml:space="preserve"> 201</w:t>
      </w:r>
      <w:r w:rsidR="00044DF1" w:rsidRPr="00BA2C4F">
        <w:rPr>
          <w:color w:val="000000" w:themeColor="text1"/>
          <w:lang w:val="es-ES"/>
        </w:rPr>
        <w:t>5</w:t>
      </w:r>
      <w:r w:rsidR="00980967" w:rsidRPr="00BA2C4F">
        <w:rPr>
          <w:color w:val="000000" w:themeColor="text1"/>
          <w:lang w:val="es-ES"/>
        </w:rPr>
        <w:t xml:space="preserve"> y </w:t>
      </w:r>
      <w:r w:rsidR="00A756EC" w:rsidRPr="00BA2C4F">
        <w:rPr>
          <w:color w:val="000000" w:themeColor="text1"/>
          <w:lang w:val="es-ES"/>
        </w:rPr>
        <w:t>noviembre</w:t>
      </w:r>
      <w:r w:rsidR="00980967" w:rsidRPr="00BA2C4F">
        <w:rPr>
          <w:color w:val="000000" w:themeColor="text1"/>
          <w:lang w:val="es-ES"/>
        </w:rPr>
        <w:t xml:space="preserve"> de 2020</w:t>
      </w:r>
      <w:r w:rsidR="009C2B06" w:rsidRPr="00BA2C4F">
        <w:rPr>
          <w:rStyle w:val="Refdenotaalpie"/>
          <w:color w:val="000000" w:themeColor="text1"/>
          <w:lang w:val="es-ES"/>
        </w:rPr>
        <w:footnoteReference w:id="9"/>
      </w:r>
      <w:r w:rsidR="00980967" w:rsidRPr="00BA2C4F">
        <w:rPr>
          <w:color w:val="000000" w:themeColor="text1"/>
          <w:lang w:val="es-ES"/>
        </w:rPr>
        <w:t xml:space="preserve">. </w:t>
      </w:r>
    </w:p>
    <w:p w14:paraId="7F98D73D" w14:textId="77777777" w:rsidR="00980967" w:rsidRPr="00BA2C4F" w:rsidRDefault="00980967" w:rsidP="00392516">
      <w:pPr>
        <w:pStyle w:val="Textoindependiente2"/>
        <w:rPr>
          <w:b/>
          <w:color w:val="000000" w:themeColor="text1"/>
          <w:lang w:val="es-ES"/>
        </w:rPr>
      </w:pPr>
    </w:p>
    <w:p w14:paraId="678B33CA" w14:textId="1B56E52D" w:rsidR="008C59E5" w:rsidRPr="00BA2C4F" w:rsidRDefault="00980967" w:rsidP="00392516">
      <w:pPr>
        <w:pStyle w:val="Textoindependiente2"/>
        <w:numPr>
          <w:ilvl w:val="0"/>
          <w:numId w:val="1"/>
        </w:numPr>
        <w:tabs>
          <w:tab w:val="clear" w:pos="1080"/>
          <w:tab w:val="num" w:pos="720"/>
        </w:tabs>
        <w:ind w:left="0" w:firstLine="0"/>
        <w:rPr>
          <w:b/>
          <w:color w:val="000000" w:themeColor="text1"/>
          <w:lang w:val="es-ES"/>
        </w:rPr>
      </w:pPr>
      <w:r w:rsidRPr="00BA2C4F">
        <w:rPr>
          <w:color w:val="000000" w:themeColor="text1"/>
          <w:lang w:val="es-ES"/>
        </w:rPr>
        <w:t>Los escritos de observaciones presentados por la Comisión Interamericana de Derechos Humanos (en adelante “la Comisión”) entre agosto de 2016 y agosto de 2018</w:t>
      </w:r>
      <w:r w:rsidR="0063178F" w:rsidRPr="00BA2C4F">
        <w:rPr>
          <w:rStyle w:val="Refdenotaalpie"/>
          <w:color w:val="000000" w:themeColor="text1"/>
          <w:lang w:val="es-ES"/>
        </w:rPr>
        <w:footnoteReference w:id="10"/>
      </w:r>
      <w:r w:rsidRPr="00BA2C4F">
        <w:rPr>
          <w:color w:val="000000" w:themeColor="text1"/>
          <w:lang w:val="es-ES"/>
        </w:rPr>
        <w:t xml:space="preserve">.  </w:t>
      </w:r>
    </w:p>
    <w:p w14:paraId="06E13DCF" w14:textId="77777777" w:rsidR="00980967" w:rsidRPr="00BA2C4F" w:rsidRDefault="00980967" w:rsidP="00392516">
      <w:pPr>
        <w:pStyle w:val="Textoindependiente2"/>
        <w:rPr>
          <w:b/>
          <w:color w:val="000000" w:themeColor="text1"/>
          <w:lang w:val="es-ES"/>
        </w:rPr>
      </w:pPr>
    </w:p>
    <w:p w14:paraId="624EAFA9" w14:textId="364F4E33" w:rsidR="008C59E5" w:rsidRPr="00BA2C4F" w:rsidRDefault="00EC2BAD" w:rsidP="00392516">
      <w:pPr>
        <w:pStyle w:val="Textoindependiente2"/>
        <w:numPr>
          <w:ilvl w:val="0"/>
          <w:numId w:val="1"/>
        </w:numPr>
        <w:tabs>
          <w:tab w:val="clear" w:pos="1080"/>
          <w:tab w:val="num" w:pos="720"/>
        </w:tabs>
        <w:ind w:left="0" w:firstLine="0"/>
        <w:rPr>
          <w:color w:val="000000" w:themeColor="text1"/>
          <w:lang w:val="es-ES"/>
        </w:rPr>
      </w:pPr>
      <w:r w:rsidRPr="00BA2C4F">
        <w:rPr>
          <w:color w:val="000000" w:themeColor="text1"/>
          <w:lang w:val="es-ES"/>
        </w:rPr>
        <w:t>L</w:t>
      </w:r>
      <w:r w:rsidR="00980967" w:rsidRPr="00BA2C4F">
        <w:rPr>
          <w:color w:val="000000" w:themeColor="text1"/>
          <w:lang w:val="es-ES"/>
        </w:rPr>
        <w:t xml:space="preserve">a audiencia privada conjunta para los casos </w:t>
      </w:r>
      <w:r w:rsidR="00980967" w:rsidRPr="00BA2C4F">
        <w:rPr>
          <w:i/>
          <w:iCs/>
          <w:color w:val="000000" w:themeColor="text1"/>
          <w:lang w:val="es-ES"/>
        </w:rPr>
        <w:t>Acevedo Jaramillo y otros Vs. Perú, y Acevedo Buendía y otros (“Cesantes y Jubilados de la Contraloría”) Vs. Perú</w:t>
      </w:r>
      <w:r w:rsidR="00980967" w:rsidRPr="00BA2C4F">
        <w:rPr>
          <w:color w:val="000000" w:themeColor="text1"/>
          <w:lang w:val="es-ES"/>
        </w:rPr>
        <w:t>, celebrada de manera virtual el 1 de octubre de 2020</w:t>
      </w:r>
      <w:r w:rsidR="00980967" w:rsidRPr="00BA2C4F">
        <w:rPr>
          <w:rStyle w:val="Refdenotaalpie"/>
          <w:color w:val="000000" w:themeColor="text1"/>
          <w:lang w:val="es-ES"/>
        </w:rPr>
        <w:footnoteReference w:id="11"/>
      </w:r>
      <w:r w:rsidR="00980967" w:rsidRPr="00BA2C4F">
        <w:rPr>
          <w:color w:val="000000" w:themeColor="text1"/>
          <w:lang w:val="es-ES"/>
        </w:rPr>
        <w:t>.</w:t>
      </w:r>
    </w:p>
    <w:p w14:paraId="609A130E" w14:textId="3633030A" w:rsidR="00CE35D5" w:rsidRPr="00BA2C4F" w:rsidRDefault="00CE35D5" w:rsidP="00392516">
      <w:pPr>
        <w:pStyle w:val="Textoindependiente2"/>
        <w:rPr>
          <w:color w:val="000000" w:themeColor="text1"/>
          <w:lang w:val="es-ES"/>
        </w:rPr>
      </w:pPr>
    </w:p>
    <w:bookmarkEnd w:id="9"/>
    <w:p w14:paraId="04D1BEA1" w14:textId="77777777" w:rsidR="008C59E5" w:rsidRPr="00BA2C4F" w:rsidRDefault="008C59E5" w:rsidP="00392516">
      <w:pPr>
        <w:pStyle w:val="Textoindependiente2"/>
        <w:ind w:right="20"/>
        <w:rPr>
          <w:b/>
          <w:caps/>
          <w:color w:val="000000" w:themeColor="text1"/>
          <w:lang w:val="es-ES"/>
        </w:rPr>
      </w:pPr>
      <w:r w:rsidRPr="00BA2C4F">
        <w:rPr>
          <w:b/>
          <w:caps/>
          <w:color w:val="000000" w:themeColor="text1"/>
          <w:lang w:val="es-ES"/>
        </w:rPr>
        <w:t>Considerando QUE:</w:t>
      </w:r>
    </w:p>
    <w:p w14:paraId="7D8AE739" w14:textId="77777777" w:rsidR="008C59E5" w:rsidRPr="00BA2C4F" w:rsidRDefault="008C59E5" w:rsidP="00392516">
      <w:pPr>
        <w:pStyle w:val="Textoindependiente2"/>
        <w:ind w:right="20"/>
        <w:rPr>
          <w:color w:val="000000" w:themeColor="text1"/>
          <w:lang w:val="es-ES"/>
        </w:rPr>
      </w:pPr>
    </w:p>
    <w:p w14:paraId="76EB6677" w14:textId="048404F0" w:rsidR="00391485" w:rsidRPr="00BA2C4F" w:rsidRDefault="008C59E5" w:rsidP="00CC7A0E">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En el ejercicio de su función jurisdiccional de supervisar el cumplimiento de sus decisiones</w:t>
      </w:r>
      <w:r w:rsidRPr="00BA2C4F">
        <w:rPr>
          <w:rStyle w:val="Refdenotaalpie"/>
          <w:rFonts w:ascii="Verdana" w:hAnsi="Verdana"/>
          <w:color w:val="000000" w:themeColor="text1"/>
          <w:sz w:val="20"/>
          <w:lang w:val="es-ES"/>
        </w:rPr>
        <w:footnoteReference w:id="12"/>
      </w:r>
      <w:r w:rsidRPr="00BA2C4F">
        <w:rPr>
          <w:rFonts w:ascii="Verdana" w:hAnsi="Verdana"/>
          <w:color w:val="000000" w:themeColor="text1"/>
          <w:sz w:val="20"/>
          <w:lang w:val="es-ES"/>
        </w:rPr>
        <w:t>, la Corte ha venido supervisando la ejecución de la Sentencia emitida en el presente caso</w:t>
      </w:r>
      <w:r w:rsidRPr="00BA2C4F">
        <w:rPr>
          <w:rFonts w:ascii="Verdana" w:hAnsi="Verdana"/>
          <w:i/>
          <w:color w:val="000000" w:themeColor="text1"/>
          <w:sz w:val="20"/>
          <w:lang w:val="es-ES"/>
        </w:rPr>
        <w:t xml:space="preserve"> </w:t>
      </w:r>
      <w:r w:rsidRPr="00BA2C4F">
        <w:rPr>
          <w:rFonts w:ascii="Verdana" w:hAnsi="Verdana"/>
          <w:color w:val="000000" w:themeColor="text1"/>
          <w:sz w:val="20"/>
          <w:lang w:val="es-ES"/>
        </w:rPr>
        <w:t xml:space="preserve">hace más de </w:t>
      </w:r>
      <w:r w:rsidR="007D30E9" w:rsidRPr="00BA2C4F">
        <w:rPr>
          <w:rFonts w:ascii="Verdana" w:hAnsi="Verdana"/>
          <w:color w:val="000000" w:themeColor="text1"/>
          <w:sz w:val="20"/>
          <w:lang w:val="es-ES"/>
        </w:rPr>
        <w:t>once</w:t>
      </w:r>
      <w:r w:rsidRPr="00BA2C4F">
        <w:rPr>
          <w:rFonts w:ascii="Verdana" w:hAnsi="Verdana"/>
          <w:color w:val="000000" w:themeColor="text1"/>
          <w:sz w:val="20"/>
          <w:lang w:val="es-ES"/>
        </w:rPr>
        <w:t xml:space="preserve"> años (</w:t>
      </w:r>
      <w:r w:rsidRPr="00BA2C4F">
        <w:rPr>
          <w:rFonts w:ascii="Verdana" w:hAnsi="Verdana"/>
          <w:i/>
          <w:color w:val="000000" w:themeColor="text1"/>
          <w:sz w:val="20"/>
          <w:lang w:val="es-ES"/>
        </w:rPr>
        <w:t>supra</w:t>
      </w:r>
      <w:r w:rsidRPr="00BA2C4F">
        <w:rPr>
          <w:rFonts w:ascii="Verdana" w:hAnsi="Verdana"/>
          <w:color w:val="000000" w:themeColor="text1"/>
          <w:sz w:val="20"/>
          <w:lang w:val="es-ES"/>
        </w:rPr>
        <w:t xml:space="preserve"> Visto 1). </w:t>
      </w:r>
      <w:r w:rsidR="002334C7" w:rsidRPr="00BA2C4F">
        <w:rPr>
          <w:rFonts w:ascii="Verdana" w:hAnsi="Verdana"/>
          <w:color w:val="000000" w:themeColor="text1"/>
          <w:sz w:val="20"/>
          <w:lang w:val="es-ES"/>
        </w:rPr>
        <w:t>En el Fallo, la Corte dispuso cuatro medidas de reparación. El Tribunal ha emitido dos resoluciones de supervisión (</w:t>
      </w:r>
      <w:r w:rsidR="002334C7" w:rsidRPr="00BA2C4F">
        <w:rPr>
          <w:rFonts w:ascii="Verdana" w:hAnsi="Verdana"/>
          <w:i/>
          <w:color w:val="000000" w:themeColor="text1"/>
          <w:sz w:val="20"/>
          <w:lang w:val="es-ES"/>
        </w:rPr>
        <w:t>supra</w:t>
      </w:r>
      <w:r w:rsidR="002334C7" w:rsidRPr="00BA2C4F">
        <w:rPr>
          <w:rFonts w:ascii="Verdana" w:hAnsi="Verdana"/>
          <w:color w:val="000000" w:themeColor="text1"/>
          <w:sz w:val="20"/>
          <w:lang w:val="es-ES"/>
        </w:rPr>
        <w:t xml:space="preserve"> Visto 3), en las cuales declaró que el Estado dio </w:t>
      </w:r>
      <w:r w:rsidR="00CC7A0E" w:rsidRPr="00BA2C4F">
        <w:rPr>
          <w:rFonts w:ascii="Verdana" w:hAnsi="Verdana"/>
          <w:color w:val="000000" w:themeColor="text1"/>
          <w:sz w:val="20"/>
          <w:lang w:val="es-ES"/>
        </w:rPr>
        <w:t>cumplimiento tot</w:t>
      </w:r>
      <w:r w:rsidR="001949EA" w:rsidRPr="00BA2C4F">
        <w:rPr>
          <w:rFonts w:ascii="Verdana" w:hAnsi="Verdana"/>
          <w:color w:val="000000" w:themeColor="text1"/>
          <w:sz w:val="20"/>
          <w:lang w:val="es-ES"/>
        </w:rPr>
        <w:t>al</w:t>
      </w:r>
      <w:r w:rsidR="00CC7A0E" w:rsidRPr="00BA2C4F">
        <w:rPr>
          <w:rFonts w:ascii="Verdana" w:hAnsi="Verdana"/>
          <w:color w:val="000000" w:themeColor="text1"/>
          <w:sz w:val="20"/>
          <w:lang w:val="es-ES"/>
        </w:rPr>
        <w:t xml:space="preserve"> a tres</w:t>
      </w:r>
      <w:r w:rsidR="002334C7" w:rsidRPr="00BA2C4F">
        <w:rPr>
          <w:rFonts w:ascii="Verdana" w:hAnsi="Verdana"/>
          <w:color w:val="000000" w:themeColor="text1"/>
          <w:sz w:val="20"/>
          <w:lang w:val="es-ES"/>
        </w:rPr>
        <w:t xml:space="preserve"> reparaci</w:t>
      </w:r>
      <w:r w:rsidR="009728A8" w:rsidRPr="00BA2C4F">
        <w:rPr>
          <w:rFonts w:ascii="Verdana" w:hAnsi="Verdana"/>
          <w:color w:val="000000" w:themeColor="text1"/>
          <w:sz w:val="20"/>
          <w:lang w:val="es-ES"/>
        </w:rPr>
        <w:t>ones</w:t>
      </w:r>
      <w:r w:rsidR="009728A8" w:rsidRPr="00BA2C4F">
        <w:rPr>
          <w:rStyle w:val="Refdenotaalpie"/>
          <w:rFonts w:ascii="Verdana" w:hAnsi="Verdana"/>
          <w:color w:val="000000" w:themeColor="text1"/>
          <w:sz w:val="20"/>
          <w:lang w:val="es-ES"/>
        </w:rPr>
        <w:footnoteReference w:id="13"/>
      </w:r>
      <w:r w:rsidR="00CC7A0E" w:rsidRPr="00BA2C4F">
        <w:rPr>
          <w:rFonts w:ascii="Verdana" w:hAnsi="Verdana"/>
          <w:color w:val="000000" w:themeColor="text1"/>
          <w:sz w:val="20"/>
          <w:lang w:val="es-ES"/>
        </w:rPr>
        <w:t>,</w:t>
      </w:r>
      <w:r w:rsidR="009728A8" w:rsidRPr="00BA2C4F">
        <w:rPr>
          <w:rFonts w:ascii="Verdana" w:hAnsi="Verdana"/>
          <w:color w:val="000000" w:themeColor="text1"/>
          <w:sz w:val="20"/>
          <w:lang w:val="es-ES"/>
        </w:rPr>
        <w:t xml:space="preserve"> </w:t>
      </w:r>
      <w:r w:rsidR="00CC7A0E" w:rsidRPr="00BA2C4F">
        <w:rPr>
          <w:rFonts w:ascii="Verdana" w:hAnsi="Verdana"/>
          <w:color w:val="000000" w:themeColor="text1"/>
          <w:sz w:val="20"/>
          <w:lang w:val="es-ES"/>
        </w:rPr>
        <w:t xml:space="preserve">así como que continuaba pendiente </w:t>
      </w:r>
      <w:r w:rsidR="00D17F44" w:rsidRPr="00BA2C4F">
        <w:rPr>
          <w:rFonts w:ascii="Verdana" w:hAnsi="Verdana"/>
          <w:color w:val="000000" w:themeColor="text1"/>
          <w:sz w:val="20"/>
          <w:lang w:val="es-ES"/>
        </w:rPr>
        <w:t>la medida de dar cumplimiento total a las sentencias del Tribunal Constitucional de 21 de octubre de 1997 y 26 de enero de 2001</w:t>
      </w:r>
      <w:r w:rsidR="00F97B3F" w:rsidRPr="00BA2C4F">
        <w:rPr>
          <w:rFonts w:ascii="Verdana" w:hAnsi="Verdana"/>
          <w:color w:val="000000" w:themeColor="text1"/>
          <w:sz w:val="20"/>
          <w:lang w:val="es-ES"/>
        </w:rPr>
        <w:t xml:space="preserve"> que ordenaron el </w:t>
      </w:r>
      <w:r w:rsidR="00D17F44" w:rsidRPr="00BA2C4F">
        <w:rPr>
          <w:rFonts w:ascii="Verdana" w:hAnsi="Verdana"/>
          <w:color w:val="000000" w:themeColor="text1"/>
          <w:sz w:val="20"/>
          <w:lang w:val="es-ES"/>
        </w:rPr>
        <w:t>reintegro de los devengados dejados de percibir por las víctimas entre abril de 1993 y octubre de 2002</w:t>
      </w:r>
      <w:r w:rsidR="001F43B4" w:rsidRPr="00BA2C4F">
        <w:rPr>
          <w:rStyle w:val="Refdenotaalpie"/>
          <w:rFonts w:ascii="Verdana" w:hAnsi="Verdana"/>
          <w:color w:val="000000" w:themeColor="text1"/>
          <w:sz w:val="20"/>
          <w:lang w:val="es-ES"/>
        </w:rPr>
        <w:footnoteReference w:id="14"/>
      </w:r>
      <w:r w:rsidR="001F43B4" w:rsidRPr="00BA2C4F">
        <w:rPr>
          <w:rFonts w:ascii="Verdana" w:hAnsi="Verdana"/>
          <w:color w:val="000000" w:themeColor="text1"/>
          <w:sz w:val="20"/>
          <w:lang w:val="es-ES"/>
        </w:rPr>
        <w:t xml:space="preserve">. </w:t>
      </w:r>
    </w:p>
    <w:p w14:paraId="4A3E4005" w14:textId="77777777" w:rsidR="00391485" w:rsidRPr="00BA2C4F" w:rsidRDefault="00391485" w:rsidP="00392516">
      <w:pPr>
        <w:pStyle w:val="Prrafodelista"/>
        <w:tabs>
          <w:tab w:val="left" w:pos="1134"/>
        </w:tabs>
        <w:ind w:left="0" w:right="12"/>
        <w:jc w:val="both"/>
        <w:rPr>
          <w:rFonts w:ascii="Verdana" w:hAnsi="Verdana"/>
          <w:color w:val="000000" w:themeColor="text1"/>
          <w:sz w:val="20"/>
          <w:lang w:val="es-ES"/>
        </w:rPr>
      </w:pPr>
    </w:p>
    <w:p w14:paraId="4E33C5B6" w14:textId="68A495F3" w:rsidR="00391485" w:rsidRPr="00BA2C4F" w:rsidRDefault="00391485" w:rsidP="00392516">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eastAsia="Times New Roman" w:hAnsi="Verdana"/>
          <w:color w:val="000000" w:themeColor="text1"/>
          <w:sz w:val="20"/>
          <w:lang w:val="es-ES"/>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BA2C4F">
        <w:rPr>
          <w:rStyle w:val="Refdenotaalpie"/>
          <w:rFonts w:ascii="Verdana" w:eastAsia="Times New Roman" w:hAnsi="Verdana"/>
          <w:color w:val="000000" w:themeColor="text1"/>
          <w:sz w:val="20"/>
          <w:lang w:val="es-ES"/>
        </w:rPr>
        <w:footnoteReference w:id="15"/>
      </w:r>
      <w:r w:rsidRPr="00BA2C4F">
        <w:rPr>
          <w:rFonts w:ascii="Verdana" w:eastAsia="Times New Roman" w:hAnsi="Verdana"/>
          <w:color w:val="000000" w:themeColor="text1"/>
          <w:sz w:val="20"/>
          <w:lang w:val="es-ES"/>
        </w:rPr>
        <w:t>. Los Estados Parte en la Convención deben garantizar el cumplimiento de las disposiciones convencionales y sus efectos propios (</w:t>
      </w:r>
      <w:proofErr w:type="spellStart"/>
      <w:r w:rsidRPr="00BA2C4F">
        <w:rPr>
          <w:rFonts w:ascii="Verdana" w:eastAsia="Times New Roman" w:hAnsi="Verdana"/>
          <w:i/>
          <w:color w:val="000000" w:themeColor="text1"/>
          <w:sz w:val="20"/>
          <w:lang w:val="es-ES"/>
        </w:rPr>
        <w:t>effet</w:t>
      </w:r>
      <w:proofErr w:type="spellEnd"/>
      <w:r w:rsidRPr="00BA2C4F">
        <w:rPr>
          <w:rFonts w:ascii="Verdana" w:eastAsia="Times New Roman" w:hAnsi="Verdana"/>
          <w:i/>
          <w:color w:val="000000" w:themeColor="text1"/>
          <w:sz w:val="20"/>
          <w:lang w:val="es-ES"/>
        </w:rPr>
        <w:t xml:space="preserve"> </w:t>
      </w:r>
      <w:proofErr w:type="spellStart"/>
      <w:r w:rsidRPr="00BA2C4F">
        <w:rPr>
          <w:rFonts w:ascii="Verdana" w:eastAsia="Times New Roman" w:hAnsi="Verdana"/>
          <w:i/>
          <w:color w:val="000000" w:themeColor="text1"/>
          <w:sz w:val="20"/>
          <w:lang w:val="es-ES"/>
        </w:rPr>
        <w:t>utile</w:t>
      </w:r>
      <w:proofErr w:type="spellEnd"/>
      <w:r w:rsidRPr="00BA2C4F">
        <w:rPr>
          <w:rFonts w:ascii="Verdana" w:eastAsia="Times New Roman" w:hAnsi="Verdana"/>
          <w:color w:val="000000" w:themeColor="text1"/>
          <w:sz w:val="20"/>
          <w:lang w:val="es-ES"/>
        </w:rPr>
        <w:t>) en el plano de sus respectivos derechos internos. Estas obligaciones deben ser interpretadas y aplicadas de manera que la garantía protegida sea verdaderamente práctica y eficaz, teniendo presente la naturaleza especial de los tratados de derechos humanos</w:t>
      </w:r>
      <w:r w:rsidRPr="00BA2C4F">
        <w:rPr>
          <w:rStyle w:val="Refdenotaalpie"/>
          <w:rFonts w:ascii="Verdana" w:eastAsia="Times New Roman" w:hAnsi="Verdana"/>
          <w:color w:val="000000" w:themeColor="text1"/>
          <w:sz w:val="20"/>
          <w:lang w:val="es-ES"/>
        </w:rPr>
        <w:footnoteReference w:id="16"/>
      </w:r>
      <w:r w:rsidRPr="00BA2C4F">
        <w:rPr>
          <w:rFonts w:ascii="Verdana" w:eastAsia="Times New Roman" w:hAnsi="Verdana"/>
          <w:color w:val="000000" w:themeColor="text1"/>
          <w:sz w:val="20"/>
          <w:lang w:val="es-ES"/>
        </w:rPr>
        <w:t>.</w:t>
      </w:r>
    </w:p>
    <w:p w14:paraId="5C8F5D5D" w14:textId="77777777" w:rsidR="009561F1" w:rsidRPr="00BA2C4F" w:rsidRDefault="009561F1" w:rsidP="00392516">
      <w:pPr>
        <w:pStyle w:val="Prrafodelista"/>
        <w:tabs>
          <w:tab w:val="left" w:pos="1134"/>
        </w:tabs>
        <w:ind w:left="0" w:right="12"/>
        <w:jc w:val="both"/>
        <w:rPr>
          <w:rFonts w:ascii="Verdana" w:hAnsi="Verdana"/>
          <w:color w:val="000000" w:themeColor="text1"/>
          <w:sz w:val="20"/>
          <w:lang w:val="es-ES"/>
        </w:rPr>
      </w:pPr>
    </w:p>
    <w:p w14:paraId="7C36734E" w14:textId="68278A45" w:rsidR="00A462CA" w:rsidRPr="00D75D52" w:rsidRDefault="00754F2A" w:rsidP="00392516">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Seguidamente</w:t>
      </w:r>
      <w:r w:rsidR="008C59E5" w:rsidRPr="00BA2C4F">
        <w:rPr>
          <w:rFonts w:ascii="Verdana" w:hAnsi="Verdana"/>
          <w:color w:val="000000" w:themeColor="text1"/>
          <w:sz w:val="20"/>
          <w:lang w:val="es-ES"/>
        </w:rPr>
        <w:t xml:space="preserve">, </w:t>
      </w:r>
      <w:r w:rsidR="00AD4480" w:rsidRPr="00BA2C4F">
        <w:rPr>
          <w:rFonts w:ascii="Verdana" w:eastAsia="Times New Roman" w:hAnsi="Verdana"/>
          <w:color w:val="000000" w:themeColor="text1"/>
          <w:sz w:val="20"/>
          <w:lang w:val="es-ES"/>
        </w:rPr>
        <w:t>la Corte valorará la información y observaciones presentadas por las partes y la Comisión Interamericana respecto de</w:t>
      </w:r>
      <w:r w:rsidRPr="00BA2C4F">
        <w:rPr>
          <w:rFonts w:ascii="Verdana" w:eastAsia="Times New Roman" w:hAnsi="Verdana"/>
          <w:color w:val="000000" w:themeColor="text1"/>
          <w:sz w:val="20"/>
          <w:lang w:val="es-ES"/>
        </w:rPr>
        <w:t>l cumplimiento de</w:t>
      </w:r>
      <w:r w:rsidR="00AD4480" w:rsidRPr="00BA2C4F">
        <w:rPr>
          <w:rFonts w:ascii="Verdana" w:eastAsia="Times New Roman" w:hAnsi="Verdana"/>
          <w:color w:val="000000" w:themeColor="text1"/>
          <w:sz w:val="20"/>
          <w:lang w:val="es-ES"/>
        </w:rPr>
        <w:t xml:space="preserve"> </w:t>
      </w:r>
      <w:r w:rsidR="00AD4480" w:rsidRPr="00BA2C4F">
        <w:rPr>
          <w:rFonts w:ascii="Verdana" w:hAnsi="Verdana"/>
          <w:color w:val="000000" w:themeColor="text1"/>
          <w:sz w:val="20"/>
          <w:lang w:val="es-ES"/>
        </w:rPr>
        <w:t xml:space="preserve">la </w:t>
      </w:r>
      <w:r w:rsidR="00AC799C" w:rsidRPr="00BA2C4F">
        <w:rPr>
          <w:rFonts w:ascii="Verdana" w:hAnsi="Verdana"/>
          <w:color w:val="000000" w:themeColor="text1"/>
          <w:sz w:val="20"/>
          <w:lang w:val="es-ES"/>
        </w:rPr>
        <w:t xml:space="preserve">única </w:t>
      </w:r>
      <w:r w:rsidR="00AD4480" w:rsidRPr="00BA2C4F">
        <w:rPr>
          <w:rFonts w:ascii="Verdana" w:hAnsi="Verdana"/>
          <w:color w:val="000000" w:themeColor="text1"/>
          <w:sz w:val="20"/>
          <w:lang w:val="es-ES"/>
        </w:rPr>
        <w:t>medida</w:t>
      </w:r>
      <w:r w:rsidR="00AC799C" w:rsidRPr="00BA2C4F">
        <w:rPr>
          <w:rFonts w:ascii="Verdana" w:hAnsi="Verdana"/>
          <w:color w:val="000000" w:themeColor="text1"/>
          <w:sz w:val="20"/>
          <w:lang w:val="es-ES"/>
        </w:rPr>
        <w:t xml:space="preserve"> que se encuentra pendiente de cumplimiento</w:t>
      </w:r>
      <w:r w:rsidR="00AD4480" w:rsidRPr="00BA2C4F">
        <w:rPr>
          <w:rFonts w:ascii="Verdana" w:hAnsi="Verdana"/>
          <w:color w:val="000000" w:themeColor="text1"/>
          <w:sz w:val="20"/>
          <w:lang w:val="es-ES"/>
        </w:rPr>
        <w:t xml:space="preserve"> </w:t>
      </w:r>
      <w:r w:rsidRPr="00BA2C4F">
        <w:rPr>
          <w:rFonts w:ascii="Verdana" w:hAnsi="Verdana"/>
          <w:color w:val="000000" w:themeColor="text1"/>
          <w:sz w:val="20"/>
          <w:lang w:val="es-ES"/>
        </w:rPr>
        <w:t xml:space="preserve">relativa a ejecutar las sentencias de amparo </w:t>
      </w:r>
      <w:r w:rsidR="00AD4480" w:rsidRPr="00BA2C4F">
        <w:rPr>
          <w:rFonts w:ascii="Verdana" w:hAnsi="Verdana"/>
          <w:color w:val="000000" w:themeColor="text1"/>
          <w:sz w:val="20"/>
          <w:lang w:val="es-ES"/>
        </w:rPr>
        <w:t>(</w:t>
      </w:r>
      <w:r w:rsidR="00AD4480" w:rsidRPr="00BA2C4F">
        <w:rPr>
          <w:rFonts w:ascii="Verdana" w:hAnsi="Verdana"/>
          <w:i/>
          <w:color w:val="000000" w:themeColor="text1"/>
          <w:sz w:val="20"/>
          <w:lang w:val="es-ES"/>
        </w:rPr>
        <w:t>supra</w:t>
      </w:r>
      <w:r w:rsidR="00AD4480" w:rsidRPr="00BA2C4F">
        <w:rPr>
          <w:rFonts w:ascii="Verdana" w:hAnsi="Verdana"/>
          <w:color w:val="000000" w:themeColor="text1"/>
          <w:sz w:val="20"/>
          <w:lang w:val="es-ES"/>
        </w:rPr>
        <w:t xml:space="preserve"> Considerando </w:t>
      </w:r>
      <w:r w:rsidR="00727C2E" w:rsidRPr="00BA2C4F">
        <w:rPr>
          <w:rFonts w:ascii="Verdana" w:hAnsi="Verdana"/>
          <w:color w:val="000000" w:themeColor="text1"/>
          <w:sz w:val="20"/>
          <w:lang w:val="es-ES"/>
        </w:rPr>
        <w:t>1</w:t>
      </w:r>
      <w:r w:rsidR="00AD4480" w:rsidRPr="00BA2C4F">
        <w:rPr>
          <w:rFonts w:ascii="Verdana" w:hAnsi="Verdana"/>
          <w:color w:val="000000" w:themeColor="text1"/>
          <w:sz w:val="20"/>
          <w:lang w:val="es-ES"/>
        </w:rPr>
        <w:t>)</w:t>
      </w:r>
      <w:r w:rsidR="00AD4480" w:rsidRPr="00BA2C4F">
        <w:rPr>
          <w:rFonts w:ascii="Verdana" w:eastAsia="Times New Roman" w:hAnsi="Verdana"/>
          <w:color w:val="000000" w:themeColor="text1"/>
          <w:sz w:val="20"/>
          <w:lang w:val="es-ES"/>
        </w:rPr>
        <w:t>.</w:t>
      </w:r>
      <w:r w:rsidR="00A462CA" w:rsidRPr="00BA2C4F">
        <w:rPr>
          <w:rFonts w:ascii="Verdana" w:eastAsia="Times New Roman" w:hAnsi="Verdana"/>
          <w:color w:val="000000" w:themeColor="text1"/>
          <w:sz w:val="20"/>
          <w:lang w:val="es-ES"/>
        </w:rPr>
        <w:t xml:space="preserve"> </w:t>
      </w:r>
    </w:p>
    <w:p w14:paraId="620F41C7" w14:textId="77777777" w:rsidR="00D75D52" w:rsidRPr="00D75D52" w:rsidRDefault="00D75D52" w:rsidP="00D75D52">
      <w:pPr>
        <w:pStyle w:val="Prrafodelista"/>
        <w:rPr>
          <w:rFonts w:ascii="Verdana" w:hAnsi="Verdana"/>
          <w:color w:val="000000" w:themeColor="text1"/>
          <w:sz w:val="20"/>
          <w:lang w:val="es-ES"/>
        </w:rPr>
      </w:pPr>
    </w:p>
    <w:p w14:paraId="4FF05A9F" w14:textId="77777777" w:rsidR="00D75D52" w:rsidRPr="00BA2C4F" w:rsidRDefault="00D75D52" w:rsidP="00D75D52">
      <w:pPr>
        <w:pStyle w:val="Prrafodelista"/>
        <w:tabs>
          <w:tab w:val="left" w:pos="1134"/>
        </w:tabs>
        <w:ind w:left="0" w:right="12"/>
        <w:jc w:val="both"/>
        <w:rPr>
          <w:rFonts w:ascii="Verdana" w:hAnsi="Verdana"/>
          <w:color w:val="000000" w:themeColor="text1"/>
          <w:sz w:val="20"/>
          <w:lang w:val="es-ES"/>
        </w:rPr>
      </w:pPr>
    </w:p>
    <w:p w14:paraId="6654F9DA" w14:textId="06D63251" w:rsidR="00A15BB2" w:rsidRPr="00BA2C4F" w:rsidRDefault="00A15BB2" w:rsidP="00A15BB2">
      <w:pPr>
        <w:tabs>
          <w:tab w:val="left" w:pos="1134"/>
        </w:tabs>
        <w:ind w:right="12"/>
        <w:jc w:val="both"/>
        <w:rPr>
          <w:rFonts w:ascii="Verdana" w:hAnsi="Verdana"/>
          <w:color w:val="000000" w:themeColor="text1"/>
          <w:sz w:val="20"/>
          <w:lang w:val="es-ES"/>
        </w:rPr>
      </w:pPr>
    </w:p>
    <w:p w14:paraId="7906E398" w14:textId="3BDB3DA1" w:rsidR="00A15BB2" w:rsidRPr="00BA2C4F" w:rsidRDefault="00A15BB2" w:rsidP="00A15BB2">
      <w:pPr>
        <w:pStyle w:val="Prrafodelista"/>
        <w:tabs>
          <w:tab w:val="left" w:pos="1134"/>
        </w:tabs>
        <w:ind w:right="12"/>
        <w:jc w:val="both"/>
        <w:rPr>
          <w:rFonts w:ascii="Verdana" w:hAnsi="Verdana"/>
          <w:b/>
          <w:bCs/>
          <w:i/>
          <w:iCs/>
          <w:color w:val="000000" w:themeColor="text1"/>
          <w:sz w:val="20"/>
          <w:lang w:val="es-ES"/>
        </w:rPr>
      </w:pPr>
      <w:r w:rsidRPr="00BA2C4F">
        <w:rPr>
          <w:rFonts w:ascii="Verdana" w:hAnsi="Verdana"/>
          <w:b/>
          <w:bCs/>
          <w:i/>
          <w:iCs/>
          <w:color w:val="000000" w:themeColor="text1"/>
          <w:sz w:val="20"/>
          <w:lang w:val="es-ES"/>
        </w:rPr>
        <w:t>A) Medida ordenada por la Corte</w:t>
      </w:r>
    </w:p>
    <w:p w14:paraId="794C9AEC" w14:textId="77777777" w:rsidR="00A15BB2" w:rsidRPr="00BA2C4F" w:rsidRDefault="00A15BB2" w:rsidP="00A15BB2">
      <w:pPr>
        <w:tabs>
          <w:tab w:val="left" w:pos="1134"/>
        </w:tabs>
        <w:ind w:right="12"/>
        <w:jc w:val="both"/>
        <w:rPr>
          <w:rFonts w:ascii="Verdana" w:hAnsi="Verdana"/>
          <w:color w:val="000000" w:themeColor="text1"/>
          <w:sz w:val="20"/>
          <w:lang w:val="es-ES"/>
        </w:rPr>
      </w:pPr>
    </w:p>
    <w:p w14:paraId="6E9284B2" w14:textId="362A660A" w:rsidR="00E34A73" w:rsidRPr="00BA2C4F" w:rsidRDefault="00DF3C45" w:rsidP="00E34A73">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 xml:space="preserve">En el punto resolutivo </w:t>
      </w:r>
      <w:r w:rsidR="00E34A73" w:rsidRPr="00BA2C4F">
        <w:rPr>
          <w:rFonts w:ascii="Verdana" w:hAnsi="Verdana"/>
          <w:color w:val="000000" w:themeColor="text1"/>
          <w:sz w:val="20"/>
          <w:lang w:val="es-ES"/>
        </w:rPr>
        <w:t xml:space="preserve">6 y </w:t>
      </w:r>
      <w:r w:rsidR="001949EA" w:rsidRPr="00BA2C4F">
        <w:rPr>
          <w:rFonts w:ascii="Verdana" w:hAnsi="Verdana"/>
          <w:color w:val="000000" w:themeColor="text1"/>
          <w:sz w:val="20"/>
          <w:lang w:val="es-ES"/>
        </w:rPr>
        <w:t xml:space="preserve">los </w:t>
      </w:r>
      <w:r w:rsidR="00E34A73" w:rsidRPr="00BA2C4F">
        <w:rPr>
          <w:rFonts w:ascii="Verdana" w:hAnsi="Verdana"/>
          <w:color w:val="000000" w:themeColor="text1"/>
          <w:sz w:val="20"/>
          <w:lang w:val="es-ES"/>
        </w:rPr>
        <w:t xml:space="preserve">párrafos 138 y 139 de la Sentencia, la Corte dispuso que </w:t>
      </w:r>
      <w:r w:rsidR="00E34A73" w:rsidRPr="00BA2C4F">
        <w:rPr>
          <w:rFonts w:ascii="Verdana" w:eastAsia="Times New Roman" w:hAnsi="Verdana"/>
          <w:color w:val="000000" w:themeColor="text1"/>
          <w:sz w:val="20"/>
          <w:lang w:val="es-ES"/>
        </w:rPr>
        <w:t>“</w:t>
      </w:r>
      <w:proofErr w:type="spellStart"/>
      <w:r w:rsidR="00E34A73" w:rsidRPr="00BA2C4F">
        <w:rPr>
          <w:rFonts w:ascii="Verdana" w:eastAsia="Times New Roman" w:hAnsi="Verdana"/>
          <w:color w:val="000000" w:themeColor="text1"/>
          <w:sz w:val="20"/>
          <w:lang w:val="es-ES"/>
        </w:rPr>
        <w:t>deb</w:t>
      </w:r>
      <w:proofErr w:type="spellEnd"/>
      <w:r w:rsidR="00E34A73" w:rsidRPr="00BA2C4F">
        <w:rPr>
          <w:rFonts w:ascii="Verdana" w:eastAsia="Times New Roman" w:hAnsi="Verdana"/>
          <w:color w:val="000000" w:themeColor="text1"/>
          <w:sz w:val="20"/>
          <w:lang w:val="es-ES"/>
        </w:rPr>
        <w:t>[</w:t>
      </w:r>
      <w:proofErr w:type="spellStart"/>
      <w:r w:rsidR="00E34A73" w:rsidRPr="00BA2C4F">
        <w:rPr>
          <w:rFonts w:ascii="Verdana" w:eastAsia="Times New Roman" w:hAnsi="Verdana"/>
          <w:color w:val="000000" w:themeColor="text1"/>
          <w:sz w:val="20"/>
          <w:lang w:val="es-ES"/>
        </w:rPr>
        <w:t>ía</w:t>
      </w:r>
      <w:proofErr w:type="spellEnd"/>
      <w:r w:rsidR="00E34A73" w:rsidRPr="00BA2C4F">
        <w:rPr>
          <w:rFonts w:ascii="Verdana" w:eastAsia="Times New Roman" w:hAnsi="Verdana"/>
          <w:color w:val="000000" w:themeColor="text1"/>
          <w:sz w:val="20"/>
          <w:lang w:val="es-ES"/>
        </w:rPr>
        <w:t xml:space="preserve">] dar cumplimiento total a las sentencias del Tribunal Constitucional del Perú de 21 de octubre de 1997 y 26 de enero de 2001, en lo que respecta al reintegro de los devengados dejados de percibir por las víctimas entre abril de 1993 y octubre de 2002, dentro </w:t>
      </w:r>
      <w:r w:rsidR="00E34A73" w:rsidRPr="00BA2C4F">
        <w:rPr>
          <w:rFonts w:ascii="Verdana" w:eastAsia="Times New Roman" w:hAnsi="Verdana"/>
          <w:color w:val="000000" w:themeColor="text1"/>
          <w:sz w:val="20"/>
          <w:lang w:val="es-ES"/>
        </w:rPr>
        <w:lastRenderedPageBreak/>
        <w:t xml:space="preserve">de un plazo razonable […]. El pago de los referidos devengados y sus intereses no deberán verse afectados por ninguna carga fiscal […]”. </w:t>
      </w:r>
    </w:p>
    <w:p w14:paraId="13994D06" w14:textId="0E491EA5" w:rsidR="00F56640" w:rsidRDefault="00F56640" w:rsidP="00C7532F">
      <w:pPr>
        <w:pStyle w:val="Prrafodelista"/>
        <w:tabs>
          <w:tab w:val="left" w:pos="1134"/>
        </w:tabs>
        <w:ind w:left="0" w:right="12"/>
        <w:jc w:val="both"/>
        <w:rPr>
          <w:rFonts w:ascii="Verdana" w:hAnsi="Verdana"/>
          <w:color w:val="000000" w:themeColor="text1"/>
          <w:sz w:val="20"/>
          <w:lang w:val="es-ES"/>
        </w:rPr>
      </w:pPr>
    </w:p>
    <w:p w14:paraId="466503CF" w14:textId="66C7AAF3" w:rsidR="00CE35D5" w:rsidRPr="00BA2C4F" w:rsidRDefault="00CE35D5" w:rsidP="00C7532F">
      <w:pPr>
        <w:pStyle w:val="Prrafodelista"/>
        <w:tabs>
          <w:tab w:val="left" w:pos="1134"/>
        </w:tabs>
        <w:ind w:left="0" w:right="12"/>
        <w:jc w:val="both"/>
        <w:rPr>
          <w:rFonts w:ascii="Verdana" w:hAnsi="Verdana"/>
          <w:color w:val="000000" w:themeColor="text1"/>
          <w:sz w:val="20"/>
          <w:lang w:val="es-ES"/>
        </w:rPr>
      </w:pPr>
    </w:p>
    <w:p w14:paraId="77AB090B" w14:textId="158328AF" w:rsidR="00DF3C45" w:rsidRPr="00BA2C4F" w:rsidRDefault="00E34A73" w:rsidP="00E34A73">
      <w:pPr>
        <w:pStyle w:val="Prrafodelista"/>
        <w:tabs>
          <w:tab w:val="left" w:pos="1134"/>
        </w:tabs>
        <w:ind w:right="12"/>
        <w:jc w:val="both"/>
        <w:rPr>
          <w:rFonts w:ascii="Verdana" w:hAnsi="Verdana"/>
          <w:b/>
          <w:bCs/>
          <w:i/>
          <w:iCs/>
          <w:color w:val="000000" w:themeColor="text1"/>
          <w:sz w:val="20"/>
          <w:lang w:val="es-ES"/>
        </w:rPr>
      </w:pPr>
      <w:r w:rsidRPr="00BA2C4F">
        <w:rPr>
          <w:rFonts w:ascii="Verdana" w:hAnsi="Verdana"/>
          <w:b/>
          <w:bCs/>
          <w:i/>
          <w:iCs/>
          <w:color w:val="000000" w:themeColor="text1"/>
          <w:sz w:val="20"/>
          <w:lang w:val="es-ES"/>
        </w:rPr>
        <w:t>B) Consideraciones de la Corte</w:t>
      </w:r>
    </w:p>
    <w:p w14:paraId="5E708FB0" w14:textId="77777777" w:rsidR="00E34A73" w:rsidRPr="00BA2C4F" w:rsidRDefault="00E34A73" w:rsidP="00392516">
      <w:pPr>
        <w:pStyle w:val="Prrafodelista"/>
        <w:tabs>
          <w:tab w:val="left" w:pos="1134"/>
        </w:tabs>
        <w:ind w:left="0" w:right="12"/>
        <w:jc w:val="both"/>
        <w:rPr>
          <w:rFonts w:ascii="Verdana" w:hAnsi="Verdana"/>
          <w:color w:val="000000" w:themeColor="text1"/>
          <w:sz w:val="20"/>
          <w:lang w:val="es-ES"/>
        </w:rPr>
      </w:pPr>
    </w:p>
    <w:p w14:paraId="231C79BB" w14:textId="436BF071" w:rsidR="00A15BB2" w:rsidRPr="00BA2C4F" w:rsidRDefault="00A15BB2" w:rsidP="00584A1C">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 xml:space="preserve">En primer lugar, </w:t>
      </w:r>
      <w:r w:rsidR="00DE5D07" w:rsidRPr="00BA2C4F">
        <w:rPr>
          <w:rFonts w:ascii="Verdana" w:eastAsia="Times New Roman" w:hAnsi="Verdana"/>
          <w:color w:val="000000" w:themeColor="text1"/>
          <w:sz w:val="20"/>
          <w:lang w:val="es-ES"/>
        </w:rPr>
        <w:t>el Tribunal</w:t>
      </w:r>
      <w:r w:rsidR="00104A72" w:rsidRPr="00BA2C4F">
        <w:rPr>
          <w:rFonts w:ascii="Verdana" w:eastAsia="Times New Roman" w:hAnsi="Verdana"/>
          <w:color w:val="000000" w:themeColor="text1"/>
          <w:sz w:val="20"/>
          <w:lang w:val="es-ES"/>
        </w:rPr>
        <w:t xml:space="preserve"> </w:t>
      </w:r>
      <w:r w:rsidR="00DE5D07" w:rsidRPr="00BA2C4F">
        <w:rPr>
          <w:rFonts w:ascii="Verdana" w:eastAsia="Times New Roman" w:hAnsi="Verdana"/>
          <w:color w:val="000000" w:themeColor="text1"/>
          <w:sz w:val="20"/>
          <w:lang w:val="es-ES"/>
        </w:rPr>
        <w:t xml:space="preserve">observa </w:t>
      </w:r>
      <w:r w:rsidR="00104A72" w:rsidRPr="00BA2C4F">
        <w:rPr>
          <w:rFonts w:ascii="Verdana" w:eastAsia="Times New Roman" w:hAnsi="Verdana"/>
          <w:color w:val="000000" w:themeColor="text1"/>
          <w:sz w:val="20"/>
          <w:lang w:val="es-ES"/>
        </w:rPr>
        <w:t xml:space="preserve">que las partes están de acuerdo </w:t>
      </w:r>
      <w:r w:rsidR="00DE5D07" w:rsidRPr="00BA2C4F">
        <w:rPr>
          <w:rFonts w:ascii="Verdana" w:eastAsia="Times New Roman" w:hAnsi="Verdana"/>
          <w:color w:val="000000" w:themeColor="text1"/>
          <w:sz w:val="20"/>
          <w:lang w:val="es-ES"/>
        </w:rPr>
        <w:t>en que</w:t>
      </w:r>
      <w:r w:rsidRPr="00BA2C4F">
        <w:rPr>
          <w:rFonts w:ascii="Verdana" w:eastAsia="Times New Roman" w:hAnsi="Verdana"/>
          <w:color w:val="000000" w:themeColor="text1"/>
          <w:sz w:val="20"/>
          <w:lang w:val="es-ES"/>
        </w:rPr>
        <w:t>, mediante</w:t>
      </w:r>
      <w:r w:rsidR="00DE5D07" w:rsidRPr="00BA2C4F">
        <w:rPr>
          <w:rFonts w:ascii="Verdana" w:eastAsia="Times New Roman" w:hAnsi="Verdana"/>
          <w:color w:val="000000" w:themeColor="text1"/>
          <w:sz w:val="20"/>
          <w:lang w:val="es-ES"/>
        </w:rPr>
        <w:t xml:space="preserve"> peritaje de mayo de 2009, aprobado por el </w:t>
      </w:r>
      <w:r w:rsidR="00104A72" w:rsidRPr="00BA2C4F">
        <w:rPr>
          <w:rFonts w:ascii="Verdana" w:hAnsi="Verdana"/>
          <w:color w:val="000000" w:themeColor="text1"/>
          <w:sz w:val="20"/>
          <w:lang w:val="es-ES"/>
        </w:rPr>
        <w:t>4º Juzgado Especializado en lo Civil de la Corte Superior de Justicia de Lima</w:t>
      </w:r>
      <w:r w:rsidR="00DE5D07" w:rsidRPr="00BA2C4F">
        <w:rPr>
          <w:rFonts w:ascii="Verdana" w:hAnsi="Verdana"/>
          <w:color w:val="000000" w:themeColor="text1"/>
          <w:sz w:val="20"/>
          <w:lang w:val="es-ES"/>
        </w:rPr>
        <w:t>, se fijó la suma de S/.257</w:t>
      </w:r>
      <w:r w:rsidR="00D95B0F" w:rsidRPr="00BA2C4F">
        <w:rPr>
          <w:rFonts w:ascii="Verdana" w:hAnsi="Verdana"/>
          <w:color w:val="000000" w:themeColor="text1"/>
          <w:sz w:val="20"/>
          <w:lang w:val="es-ES"/>
        </w:rPr>
        <w:t>’</w:t>
      </w:r>
      <w:r w:rsidR="00DE5D07" w:rsidRPr="00BA2C4F">
        <w:rPr>
          <w:rFonts w:ascii="Verdana" w:hAnsi="Verdana"/>
          <w:color w:val="000000" w:themeColor="text1"/>
          <w:sz w:val="20"/>
          <w:lang w:val="es-ES"/>
        </w:rPr>
        <w:t>475,175.11 como monto definitivo a pagar “por concepto de devengados e intereses legales”</w:t>
      </w:r>
      <w:r w:rsidR="00DE5D07" w:rsidRPr="00BA2C4F">
        <w:rPr>
          <w:rStyle w:val="Refdenotaalpie"/>
          <w:rFonts w:ascii="Verdana" w:hAnsi="Verdana"/>
          <w:color w:val="000000" w:themeColor="text1"/>
          <w:sz w:val="20"/>
          <w:lang w:val="es-ES"/>
        </w:rPr>
        <w:footnoteReference w:id="17"/>
      </w:r>
      <w:r w:rsidR="00DE5D07" w:rsidRPr="00BA2C4F">
        <w:rPr>
          <w:rFonts w:ascii="Verdana" w:hAnsi="Verdana"/>
          <w:color w:val="000000" w:themeColor="text1"/>
          <w:sz w:val="20"/>
          <w:lang w:val="es-ES"/>
        </w:rPr>
        <w:t>. Sin embargo, la Corte advierte que, si bien dicho peritaje individualizó el monto a pagar a favor de 270</w:t>
      </w:r>
      <w:r w:rsidRPr="00BA2C4F">
        <w:rPr>
          <w:rStyle w:val="Refdenotaalpie"/>
          <w:rFonts w:ascii="Verdana" w:hAnsi="Verdana"/>
          <w:color w:val="000000" w:themeColor="text1"/>
          <w:sz w:val="20"/>
          <w:lang w:val="es-ES"/>
        </w:rPr>
        <w:footnoteReference w:id="18"/>
      </w:r>
      <w:r w:rsidR="00DE5D07" w:rsidRPr="00BA2C4F">
        <w:rPr>
          <w:rFonts w:ascii="Verdana" w:hAnsi="Verdana"/>
          <w:color w:val="000000" w:themeColor="text1"/>
          <w:sz w:val="20"/>
          <w:lang w:val="es-ES"/>
        </w:rPr>
        <w:t xml:space="preserve"> de las 273 víctimas de la Sentencia, excluyó del cálculo a las señoras Carmen Blas Moreno, Urbana Pérez Ugarte y Rosa </w:t>
      </w:r>
      <w:proofErr w:type="spellStart"/>
      <w:r w:rsidR="00DE5D07" w:rsidRPr="00BA2C4F">
        <w:rPr>
          <w:rFonts w:ascii="Verdana" w:hAnsi="Verdana"/>
          <w:color w:val="000000" w:themeColor="text1"/>
          <w:sz w:val="20"/>
          <w:lang w:val="es-ES"/>
        </w:rPr>
        <w:t>Sepera</w:t>
      </w:r>
      <w:r w:rsidR="0069180A" w:rsidRPr="00BA2C4F">
        <w:rPr>
          <w:rFonts w:ascii="Verdana" w:hAnsi="Verdana"/>
          <w:color w:val="000000" w:themeColor="text1"/>
          <w:sz w:val="20"/>
          <w:lang w:val="es-ES"/>
        </w:rPr>
        <w:t>c</w:t>
      </w:r>
      <w:r w:rsidR="00DE5D07" w:rsidRPr="00BA2C4F">
        <w:rPr>
          <w:rFonts w:ascii="Verdana" w:hAnsi="Verdana"/>
          <w:color w:val="000000" w:themeColor="text1"/>
          <w:sz w:val="20"/>
          <w:lang w:val="es-ES"/>
        </w:rPr>
        <w:t>k</w:t>
      </w:r>
      <w:proofErr w:type="spellEnd"/>
      <w:r w:rsidR="00F15DE0" w:rsidRPr="00BA2C4F">
        <w:rPr>
          <w:rFonts w:ascii="Verdana" w:hAnsi="Verdana"/>
          <w:color w:val="000000" w:themeColor="text1"/>
          <w:sz w:val="20"/>
          <w:lang w:val="es-ES"/>
        </w:rPr>
        <w:t xml:space="preserve"> G. De Caro</w:t>
      </w:r>
      <w:r w:rsidR="00DE5D07" w:rsidRPr="00BA2C4F">
        <w:rPr>
          <w:rStyle w:val="Refdenotaalpie"/>
          <w:rFonts w:ascii="Verdana" w:hAnsi="Verdana"/>
          <w:color w:val="000000" w:themeColor="text1"/>
          <w:sz w:val="20"/>
          <w:lang w:val="es-ES"/>
        </w:rPr>
        <w:footnoteReference w:id="19"/>
      </w:r>
      <w:r w:rsidR="00DE5D07" w:rsidRPr="00BA2C4F">
        <w:rPr>
          <w:rFonts w:ascii="Verdana" w:hAnsi="Verdana"/>
          <w:color w:val="000000" w:themeColor="text1"/>
          <w:sz w:val="20"/>
          <w:lang w:val="es-ES"/>
        </w:rPr>
        <w:t xml:space="preserve">. </w:t>
      </w:r>
      <w:r w:rsidR="008627C4" w:rsidRPr="00BA2C4F">
        <w:rPr>
          <w:rFonts w:ascii="Verdana" w:hAnsi="Verdana"/>
          <w:color w:val="000000" w:themeColor="text1"/>
          <w:sz w:val="20"/>
          <w:lang w:val="es-ES"/>
        </w:rPr>
        <w:t xml:space="preserve">El Estado </w:t>
      </w:r>
      <w:r w:rsidR="00CE35D5">
        <w:rPr>
          <w:rFonts w:ascii="Verdana" w:hAnsi="Verdana"/>
          <w:color w:val="000000" w:themeColor="text1"/>
          <w:sz w:val="20"/>
          <w:lang w:val="es-ES"/>
        </w:rPr>
        <w:t>no</w:t>
      </w:r>
      <w:r w:rsidR="00262E18" w:rsidRPr="00BA2C4F">
        <w:rPr>
          <w:rFonts w:ascii="Verdana" w:hAnsi="Verdana"/>
          <w:color w:val="000000" w:themeColor="text1"/>
          <w:sz w:val="20"/>
          <w:lang w:val="es-ES"/>
        </w:rPr>
        <w:t xml:space="preserve"> aportó información sobre los devengados correspondientes a estas tres víctimas ni las razones de su exclusión del citado peritaje</w:t>
      </w:r>
      <w:r w:rsidR="008D70C0" w:rsidRPr="00BA2C4F">
        <w:rPr>
          <w:rFonts w:ascii="Verdana" w:hAnsi="Verdana"/>
          <w:color w:val="000000" w:themeColor="text1"/>
          <w:sz w:val="20"/>
          <w:lang w:val="es-ES"/>
        </w:rPr>
        <w:t xml:space="preserve">. </w:t>
      </w:r>
    </w:p>
    <w:p w14:paraId="24BF1D1A" w14:textId="77777777" w:rsidR="008D70C0" w:rsidRPr="00BA2C4F" w:rsidRDefault="008D70C0" w:rsidP="008D70C0">
      <w:pPr>
        <w:pStyle w:val="Prrafodelista"/>
        <w:tabs>
          <w:tab w:val="left" w:pos="1134"/>
        </w:tabs>
        <w:ind w:left="0" w:right="12"/>
        <w:jc w:val="both"/>
        <w:rPr>
          <w:rFonts w:ascii="Verdana" w:hAnsi="Verdana"/>
          <w:color w:val="000000" w:themeColor="text1"/>
          <w:sz w:val="20"/>
          <w:lang w:val="es-ES"/>
        </w:rPr>
      </w:pPr>
    </w:p>
    <w:p w14:paraId="751E947C" w14:textId="01E252EB" w:rsidR="00F56640" w:rsidRPr="00BA2C4F" w:rsidRDefault="00630CBF" w:rsidP="00C7532F">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En segundo lugar, s</w:t>
      </w:r>
      <w:r w:rsidR="00A15BB2" w:rsidRPr="00BA2C4F">
        <w:rPr>
          <w:rFonts w:ascii="Verdana" w:hAnsi="Verdana"/>
          <w:color w:val="000000" w:themeColor="text1"/>
          <w:sz w:val="20"/>
          <w:lang w:val="es-ES"/>
        </w:rPr>
        <w:t xml:space="preserve">in perjuicio </w:t>
      </w:r>
      <w:r w:rsidR="00BF477E" w:rsidRPr="00BA2C4F">
        <w:rPr>
          <w:rFonts w:ascii="Verdana" w:hAnsi="Verdana"/>
          <w:color w:val="000000" w:themeColor="text1"/>
          <w:sz w:val="20"/>
          <w:lang w:val="es-ES"/>
        </w:rPr>
        <w:t xml:space="preserve">del caso particular de </w:t>
      </w:r>
      <w:r w:rsidR="00A15BB2" w:rsidRPr="00BA2C4F">
        <w:rPr>
          <w:rFonts w:ascii="Verdana" w:hAnsi="Verdana"/>
          <w:color w:val="000000" w:themeColor="text1"/>
          <w:sz w:val="20"/>
          <w:lang w:val="es-ES"/>
        </w:rPr>
        <w:t>las referidas tres víctimas, la Corte evaluará los pagos que el Estado aleg</w:t>
      </w:r>
      <w:r w:rsidR="00864571" w:rsidRPr="00BA2C4F">
        <w:rPr>
          <w:rFonts w:ascii="Verdana" w:hAnsi="Verdana"/>
          <w:color w:val="000000" w:themeColor="text1"/>
          <w:sz w:val="20"/>
          <w:lang w:val="es-ES"/>
        </w:rPr>
        <w:t>ó</w:t>
      </w:r>
      <w:r w:rsidR="00A15BB2" w:rsidRPr="00BA2C4F">
        <w:rPr>
          <w:rFonts w:ascii="Verdana" w:hAnsi="Verdana"/>
          <w:color w:val="000000" w:themeColor="text1"/>
          <w:sz w:val="20"/>
          <w:lang w:val="es-ES"/>
        </w:rPr>
        <w:t xml:space="preserve"> haber</w:t>
      </w:r>
      <w:r w:rsidR="00CE35D5">
        <w:rPr>
          <w:rFonts w:ascii="Verdana" w:hAnsi="Verdana"/>
          <w:color w:val="000000" w:themeColor="text1"/>
          <w:sz w:val="20"/>
          <w:lang w:val="es-ES"/>
        </w:rPr>
        <w:t xml:space="preserve"> realizado a favor de las </w:t>
      </w:r>
      <w:r w:rsidR="00A15BB2" w:rsidRPr="00BA2C4F">
        <w:rPr>
          <w:rFonts w:ascii="Verdana" w:hAnsi="Verdana"/>
          <w:color w:val="000000" w:themeColor="text1"/>
          <w:sz w:val="20"/>
          <w:lang w:val="es-ES"/>
        </w:rPr>
        <w:t>270 que sí fueron incluidas en el peritaje de 2009.</w:t>
      </w:r>
      <w:r w:rsidR="00BF477E" w:rsidRPr="00BA2C4F">
        <w:rPr>
          <w:rFonts w:ascii="Verdana" w:hAnsi="Verdana"/>
          <w:color w:val="000000" w:themeColor="text1"/>
          <w:sz w:val="20"/>
          <w:lang w:val="es-ES"/>
        </w:rPr>
        <w:t xml:space="preserve"> En este sentido, en la audiencia de supervisión de octubre de 2020, el</w:t>
      </w:r>
      <w:r w:rsidR="00CE35D5">
        <w:rPr>
          <w:rFonts w:ascii="Verdana" w:hAnsi="Verdana"/>
          <w:color w:val="000000" w:themeColor="text1"/>
          <w:sz w:val="20"/>
          <w:lang w:val="es-ES"/>
        </w:rPr>
        <w:t xml:space="preserve"> Estado sostuvo que a la fecha ha pagado la cantidad de </w:t>
      </w:r>
      <w:r w:rsidR="00BF477E" w:rsidRPr="00BA2C4F">
        <w:rPr>
          <w:rFonts w:ascii="Verdana" w:hAnsi="Verdana"/>
          <w:color w:val="000000" w:themeColor="text1"/>
          <w:sz w:val="20"/>
          <w:lang w:val="es-ES"/>
        </w:rPr>
        <w:t>S/.139</w:t>
      </w:r>
      <w:r w:rsidR="00D95B0F" w:rsidRPr="00BA2C4F">
        <w:rPr>
          <w:rFonts w:ascii="Verdana" w:hAnsi="Verdana"/>
          <w:color w:val="000000" w:themeColor="text1"/>
          <w:sz w:val="20"/>
          <w:lang w:val="es-ES"/>
        </w:rPr>
        <w:t>’</w:t>
      </w:r>
      <w:r w:rsidR="00BF477E" w:rsidRPr="00BA2C4F">
        <w:rPr>
          <w:rFonts w:ascii="Verdana" w:hAnsi="Verdana"/>
          <w:color w:val="000000" w:themeColor="text1"/>
          <w:sz w:val="20"/>
          <w:lang w:val="es-ES"/>
        </w:rPr>
        <w:t xml:space="preserve"> 390,497.5</w:t>
      </w:r>
      <w:r w:rsidR="00C16700" w:rsidRPr="00BA2C4F">
        <w:rPr>
          <w:rFonts w:ascii="Verdana" w:hAnsi="Verdana"/>
          <w:color w:val="000000" w:themeColor="text1"/>
          <w:sz w:val="20"/>
          <w:lang w:val="es-ES"/>
        </w:rPr>
        <w:t>1</w:t>
      </w:r>
      <w:r w:rsidR="00CE35D5">
        <w:rPr>
          <w:rFonts w:ascii="Verdana" w:hAnsi="Verdana"/>
          <w:color w:val="000000" w:themeColor="text1"/>
          <w:sz w:val="20"/>
          <w:lang w:val="es-ES"/>
        </w:rPr>
        <w:t xml:space="preserve"> soles</w:t>
      </w:r>
      <w:r w:rsidR="00BF477E" w:rsidRPr="00BA2C4F">
        <w:rPr>
          <w:rFonts w:ascii="Verdana" w:hAnsi="Verdana"/>
          <w:color w:val="000000" w:themeColor="text1"/>
          <w:sz w:val="20"/>
          <w:lang w:val="es-ES"/>
        </w:rPr>
        <w:t xml:space="preserve">. </w:t>
      </w:r>
      <w:r w:rsidR="00CE35D5">
        <w:rPr>
          <w:rFonts w:ascii="Verdana" w:hAnsi="Verdana"/>
          <w:color w:val="000000" w:themeColor="text1"/>
          <w:sz w:val="20"/>
          <w:lang w:val="es-ES"/>
        </w:rPr>
        <w:t>Uno de los</w:t>
      </w:r>
      <w:r w:rsidR="00AA2AA4" w:rsidRPr="00BA2C4F">
        <w:rPr>
          <w:rFonts w:ascii="Verdana" w:hAnsi="Verdana"/>
          <w:color w:val="000000" w:themeColor="text1"/>
          <w:sz w:val="20"/>
          <w:lang w:val="es-ES"/>
        </w:rPr>
        <w:t xml:space="preserve"> intervinientes comunes reconoció que, del total adeudado de S/.257</w:t>
      </w:r>
      <w:r w:rsidR="00D95B0F" w:rsidRPr="00BA2C4F">
        <w:rPr>
          <w:rFonts w:ascii="Verdana" w:hAnsi="Verdana"/>
          <w:color w:val="000000" w:themeColor="text1"/>
          <w:sz w:val="20"/>
          <w:lang w:val="es-ES"/>
        </w:rPr>
        <w:t>’</w:t>
      </w:r>
      <w:r w:rsidR="00AA2AA4" w:rsidRPr="00BA2C4F">
        <w:rPr>
          <w:rFonts w:ascii="Verdana" w:hAnsi="Verdana"/>
          <w:color w:val="000000" w:themeColor="text1"/>
          <w:sz w:val="20"/>
          <w:lang w:val="es-ES"/>
        </w:rPr>
        <w:t>475,175.11, el Estado “</w:t>
      </w:r>
      <w:r w:rsidR="00AA2AA4" w:rsidRPr="00BA2C4F">
        <w:rPr>
          <w:rFonts w:ascii="Verdana" w:hAnsi="Verdana" w:cs="Verdana"/>
          <w:color w:val="000000" w:themeColor="text1"/>
          <w:sz w:val="20"/>
          <w:lang w:val="es-ES"/>
        </w:rPr>
        <w:t>ha restituido S/.139</w:t>
      </w:r>
      <w:r w:rsidR="00D95B0F" w:rsidRPr="00BA2C4F">
        <w:rPr>
          <w:rFonts w:ascii="Verdana" w:hAnsi="Verdana" w:cs="Verdana"/>
          <w:color w:val="000000" w:themeColor="text1"/>
          <w:sz w:val="20"/>
          <w:lang w:val="es-ES"/>
        </w:rPr>
        <w:t>’</w:t>
      </w:r>
      <w:r w:rsidR="00AA2AA4" w:rsidRPr="00BA2C4F">
        <w:rPr>
          <w:rFonts w:ascii="Verdana" w:hAnsi="Verdana" w:cs="Verdana"/>
          <w:color w:val="000000" w:themeColor="text1"/>
          <w:sz w:val="20"/>
          <w:lang w:val="es-ES"/>
        </w:rPr>
        <w:t>390,497.51 en diez (10) años”</w:t>
      </w:r>
      <w:r w:rsidR="00AA2AA4" w:rsidRPr="00BA2C4F">
        <w:rPr>
          <w:rStyle w:val="Refdenotaalpie"/>
          <w:rFonts w:ascii="Verdana" w:hAnsi="Verdana" w:cs="Verdana"/>
          <w:color w:val="000000" w:themeColor="text1"/>
          <w:sz w:val="20"/>
          <w:lang w:val="es-ES"/>
        </w:rPr>
        <w:footnoteReference w:id="20"/>
      </w:r>
      <w:r w:rsidR="00AA2AA4" w:rsidRPr="00BA2C4F">
        <w:rPr>
          <w:rFonts w:ascii="Verdana" w:hAnsi="Verdana" w:cs="Verdana"/>
          <w:color w:val="000000" w:themeColor="text1"/>
          <w:sz w:val="20"/>
          <w:lang w:val="es-ES"/>
        </w:rPr>
        <w:t>.</w:t>
      </w:r>
      <w:r w:rsidR="00AA2AA4" w:rsidRPr="00BA2C4F">
        <w:rPr>
          <w:rFonts w:ascii="Verdana" w:hAnsi="Verdana"/>
          <w:color w:val="000000" w:themeColor="text1"/>
          <w:sz w:val="20"/>
          <w:lang w:val="es-ES"/>
        </w:rPr>
        <w:t xml:space="preserve"> </w:t>
      </w:r>
      <w:r w:rsidR="00727C2E" w:rsidRPr="00BA2C4F">
        <w:rPr>
          <w:rFonts w:ascii="Verdana" w:hAnsi="Verdana" w:cs="Verdana"/>
          <w:color w:val="000000" w:themeColor="text1"/>
          <w:sz w:val="20"/>
          <w:lang w:val="es-ES"/>
        </w:rPr>
        <w:t xml:space="preserve">El </w:t>
      </w:r>
      <w:r w:rsidR="00065258" w:rsidRPr="00BA2C4F">
        <w:rPr>
          <w:rFonts w:ascii="Verdana" w:hAnsi="Verdana" w:cs="Verdana"/>
          <w:color w:val="000000" w:themeColor="text1"/>
          <w:sz w:val="20"/>
          <w:lang w:val="es-ES"/>
        </w:rPr>
        <w:t>T</w:t>
      </w:r>
      <w:r w:rsidR="00727C2E" w:rsidRPr="00BA2C4F">
        <w:rPr>
          <w:rFonts w:ascii="Verdana" w:hAnsi="Verdana" w:cs="Verdana"/>
          <w:color w:val="000000" w:themeColor="text1"/>
          <w:sz w:val="20"/>
          <w:lang w:val="es-ES"/>
        </w:rPr>
        <w:t xml:space="preserve">ribunal </w:t>
      </w:r>
      <w:r w:rsidR="00BF477E" w:rsidRPr="00BA2C4F">
        <w:rPr>
          <w:rFonts w:ascii="Verdana" w:hAnsi="Verdana" w:cs="Verdana"/>
          <w:color w:val="000000" w:themeColor="text1"/>
          <w:sz w:val="20"/>
          <w:lang w:val="es-ES"/>
        </w:rPr>
        <w:t>observa que los intervinientes comunes coincidieron con el Estado sobre la realización de pagos parciales que</w:t>
      </w:r>
      <w:r w:rsidR="00065258" w:rsidRPr="00BA2C4F">
        <w:rPr>
          <w:rFonts w:ascii="Verdana" w:hAnsi="Verdana" w:cs="Verdana"/>
          <w:color w:val="000000" w:themeColor="text1"/>
          <w:sz w:val="20"/>
          <w:lang w:val="es-ES"/>
        </w:rPr>
        <w:t>,</w:t>
      </w:r>
      <w:r w:rsidR="00BF477E" w:rsidRPr="00BA2C4F">
        <w:rPr>
          <w:rFonts w:ascii="Verdana" w:hAnsi="Verdana" w:cs="Verdana"/>
          <w:color w:val="000000" w:themeColor="text1"/>
          <w:sz w:val="20"/>
          <w:lang w:val="es-ES"/>
        </w:rPr>
        <w:t xml:space="preserve"> en su conjunto</w:t>
      </w:r>
      <w:r w:rsidR="00065258" w:rsidRPr="00BA2C4F">
        <w:rPr>
          <w:rFonts w:ascii="Verdana" w:hAnsi="Verdana" w:cs="Verdana"/>
          <w:color w:val="000000" w:themeColor="text1"/>
          <w:sz w:val="20"/>
          <w:lang w:val="es-ES"/>
        </w:rPr>
        <w:t>,</w:t>
      </w:r>
      <w:r w:rsidR="00BF477E" w:rsidRPr="00BA2C4F">
        <w:rPr>
          <w:rFonts w:ascii="Verdana" w:hAnsi="Verdana" w:cs="Verdana"/>
          <w:color w:val="000000" w:themeColor="text1"/>
          <w:sz w:val="20"/>
          <w:lang w:val="es-ES"/>
        </w:rPr>
        <w:t xml:space="preserve"> suman un abono</w:t>
      </w:r>
      <w:r w:rsidR="00065258" w:rsidRPr="00BA2C4F">
        <w:rPr>
          <w:rFonts w:ascii="Verdana" w:hAnsi="Verdana" w:cs="Verdana"/>
          <w:color w:val="000000" w:themeColor="text1"/>
          <w:sz w:val="20"/>
          <w:lang w:val="es-ES"/>
        </w:rPr>
        <w:t xml:space="preserve"> de</w:t>
      </w:r>
      <w:r w:rsidR="00BF477E" w:rsidRPr="00BA2C4F">
        <w:rPr>
          <w:rFonts w:ascii="Verdana" w:hAnsi="Verdana" w:cs="Verdana"/>
          <w:color w:val="000000" w:themeColor="text1"/>
          <w:sz w:val="20"/>
          <w:lang w:val="es-ES"/>
        </w:rPr>
        <w:t xml:space="preserve"> S/.139</w:t>
      </w:r>
      <w:r w:rsidR="00D95B0F" w:rsidRPr="00BA2C4F">
        <w:rPr>
          <w:rFonts w:ascii="Verdana" w:hAnsi="Verdana" w:cs="Verdana"/>
          <w:color w:val="000000" w:themeColor="text1"/>
          <w:sz w:val="20"/>
          <w:lang w:val="es-ES"/>
        </w:rPr>
        <w:t>’</w:t>
      </w:r>
      <w:r w:rsidR="00BF477E" w:rsidRPr="00BA2C4F">
        <w:rPr>
          <w:rFonts w:ascii="Verdana" w:hAnsi="Verdana" w:cs="Verdana"/>
          <w:color w:val="000000" w:themeColor="text1"/>
          <w:sz w:val="20"/>
          <w:lang w:val="es-ES"/>
        </w:rPr>
        <w:t>390,497</w:t>
      </w:r>
      <w:r w:rsidR="00FF504D" w:rsidRPr="00BA2C4F">
        <w:rPr>
          <w:rFonts w:ascii="Verdana" w:hAnsi="Verdana" w:cs="Verdana"/>
          <w:color w:val="000000" w:themeColor="text1"/>
          <w:sz w:val="20"/>
          <w:lang w:val="es-ES"/>
        </w:rPr>
        <w:t>.5</w:t>
      </w:r>
      <w:r w:rsidR="00BF477E" w:rsidRPr="00BA2C4F">
        <w:rPr>
          <w:rFonts w:ascii="Verdana" w:hAnsi="Verdana" w:cs="Verdana"/>
          <w:color w:val="000000" w:themeColor="text1"/>
          <w:sz w:val="20"/>
          <w:lang w:val="es-ES"/>
        </w:rPr>
        <w:t xml:space="preserve">1, </w:t>
      </w:r>
      <w:r w:rsidR="00566358" w:rsidRPr="00BA2C4F">
        <w:rPr>
          <w:rFonts w:ascii="Verdana" w:hAnsi="Verdana" w:cs="Verdana"/>
          <w:color w:val="000000" w:themeColor="text1"/>
          <w:sz w:val="20"/>
          <w:lang w:val="es-ES"/>
        </w:rPr>
        <w:t>lo que representa un 54.13% de</w:t>
      </w:r>
      <w:r w:rsidR="00925A1D" w:rsidRPr="00BA2C4F">
        <w:rPr>
          <w:rFonts w:ascii="Verdana" w:hAnsi="Verdana" w:cs="Verdana"/>
          <w:color w:val="000000" w:themeColor="text1"/>
          <w:sz w:val="20"/>
          <w:lang w:val="es-ES"/>
        </w:rPr>
        <w:t xml:space="preserve">l total de la </w:t>
      </w:r>
      <w:r w:rsidR="00566358" w:rsidRPr="00BA2C4F">
        <w:rPr>
          <w:rFonts w:ascii="Verdana" w:hAnsi="Verdana" w:cs="Verdana"/>
          <w:color w:val="000000" w:themeColor="text1"/>
          <w:sz w:val="20"/>
          <w:lang w:val="es-ES"/>
        </w:rPr>
        <w:t>deuda</w:t>
      </w:r>
      <w:r w:rsidR="00065258" w:rsidRPr="00BA2C4F">
        <w:rPr>
          <w:rFonts w:ascii="Verdana" w:hAnsi="Verdana" w:cs="Verdana"/>
          <w:color w:val="000000" w:themeColor="text1"/>
          <w:sz w:val="20"/>
          <w:lang w:val="es-ES"/>
        </w:rPr>
        <w:t>. Por consiguiente</w:t>
      </w:r>
      <w:r w:rsidR="00566358" w:rsidRPr="00BA2C4F">
        <w:rPr>
          <w:rFonts w:ascii="Verdana" w:hAnsi="Verdana" w:cs="Verdana"/>
          <w:color w:val="000000" w:themeColor="text1"/>
          <w:sz w:val="20"/>
          <w:lang w:val="es-ES"/>
        </w:rPr>
        <w:t>,</w:t>
      </w:r>
      <w:r w:rsidR="00065258" w:rsidRPr="00BA2C4F">
        <w:rPr>
          <w:rFonts w:ascii="Verdana" w:hAnsi="Verdana" w:cs="Verdana"/>
          <w:color w:val="000000" w:themeColor="text1"/>
          <w:sz w:val="20"/>
          <w:lang w:val="es-ES"/>
        </w:rPr>
        <w:t xml:space="preserve"> la Corte</w:t>
      </w:r>
      <w:r w:rsidR="00BF477E" w:rsidRPr="00BA2C4F">
        <w:rPr>
          <w:rFonts w:ascii="Verdana" w:hAnsi="Verdana" w:cs="Verdana"/>
          <w:color w:val="000000" w:themeColor="text1"/>
          <w:sz w:val="20"/>
          <w:lang w:val="es-ES"/>
        </w:rPr>
        <w:t xml:space="preserve"> considera que</w:t>
      </w:r>
      <w:r w:rsidR="00925A1D" w:rsidRPr="00BA2C4F">
        <w:rPr>
          <w:rFonts w:ascii="Verdana" w:hAnsi="Verdana" w:cs="Verdana"/>
          <w:color w:val="000000" w:themeColor="text1"/>
          <w:sz w:val="20"/>
          <w:lang w:val="es-ES"/>
        </w:rPr>
        <w:t>,</w:t>
      </w:r>
      <w:r w:rsidR="00BF477E" w:rsidRPr="00BA2C4F">
        <w:rPr>
          <w:rFonts w:ascii="Verdana" w:hAnsi="Verdana" w:cs="Verdana"/>
          <w:color w:val="000000" w:themeColor="text1"/>
          <w:sz w:val="20"/>
          <w:lang w:val="es-ES"/>
        </w:rPr>
        <w:t xml:space="preserve"> en efecto</w:t>
      </w:r>
      <w:r w:rsidR="00925A1D" w:rsidRPr="00BA2C4F">
        <w:rPr>
          <w:rFonts w:ascii="Verdana" w:hAnsi="Verdana" w:cs="Verdana"/>
          <w:color w:val="000000" w:themeColor="text1"/>
          <w:sz w:val="20"/>
          <w:lang w:val="es-ES"/>
        </w:rPr>
        <w:t>,</w:t>
      </w:r>
      <w:r w:rsidR="00BF477E" w:rsidRPr="00BA2C4F">
        <w:rPr>
          <w:rFonts w:ascii="Verdana" w:hAnsi="Verdana" w:cs="Verdana"/>
          <w:color w:val="000000" w:themeColor="text1"/>
          <w:sz w:val="20"/>
          <w:lang w:val="es-ES"/>
        </w:rPr>
        <w:t xml:space="preserve"> </w:t>
      </w:r>
      <w:r w:rsidR="00C7532F" w:rsidRPr="00BA2C4F">
        <w:rPr>
          <w:rFonts w:ascii="Verdana" w:hAnsi="Verdana" w:cs="Verdana"/>
          <w:color w:val="000000" w:themeColor="text1"/>
          <w:sz w:val="20"/>
          <w:lang w:val="es-ES"/>
        </w:rPr>
        <w:t xml:space="preserve">el Estado </w:t>
      </w:r>
      <w:r w:rsidR="003E2234">
        <w:rPr>
          <w:rFonts w:ascii="Verdana" w:hAnsi="Verdana" w:cs="Verdana"/>
          <w:color w:val="000000" w:themeColor="text1"/>
          <w:sz w:val="20"/>
          <w:lang w:val="es-ES"/>
        </w:rPr>
        <w:t>ha cumplido</w:t>
      </w:r>
      <w:r w:rsidR="00BF477E" w:rsidRPr="00BA2C4F">
        <w:rPr>
          <w:rFonts w:ascii="Verdana" w:hAnsi="Verdana" w:cs="Verdana"/>
          <w:color w:val="000000" w:themeColor="text1"/>
          <w:sz w:val="20"/>
          <w:lang w:val="es-ES"/>
        </w:rPr>
        <w:t xml:space="preserve"> parcialmente con la medida de reparación concerniente al reintegro de los devengados dejados de percibir entre abril de 1993 y octubre de 2002</w:t>
      </w:r>
      <w:r w:rsidR="003E2234">
        <w:rPr>
          <w:rFonts w:ascii="Verdana" w:hAnsi="Verdana" w:cs="Verdana"/>
          <w:color w:val="000000" w:themeColor="text1"/>
          <w:sz w:val="20"/>
          <w:lang w:val="es-ES"/>
        </w:rPr>
        <w:t>, pero tal cumplimiento parcial le ha tomado más de diez años</w:t>
      </w:r>
      <w:r w:rsidR="00BF477E" w:rsidRPr="00BA2C4F">
        <w:rPr>
          <w:rFonts w:ascii="Verdana" w:hAnsi="Verdana" w:cs="Verdana"/>
          <w:color w:val="000000" w:themeColor="text1"/>
          <w:sz w:val="20"/>
          <w:lang w:val="es-ES"/>
        </w:rPr>
        <w:t xml:space="preserve">. </w:t>
      </w:r>
    </w:p>
    <w:p w14:paraId="210569D3" w14:textId="77777777" w:rsidR="00C7532F" w:rsidRPr="00BA2C4F" w:rsidRDefault="00C7532F" w:rsidP="00C7532F">
      <w:pPr>
        <w:pStyle w:val="Prrafodelista"/>
        <w:tabs>
          <w:tab w:val="left" w:pos="1134"/>
        </w:tabs>
        <w:ind w:left="0" w:right="12"/>
        <w:jc w:val="both"/>
        <w:rPr>
          <w:rFonts w:ascii="Verdana" w:hAnsi="Verdana"/>
          <w:color w:val="000000" w:themeColor="text1"/>
          <w:sz w:val="20"/>
          <w:lang w:val="es-ES"/>
        </w:rPr>
      </w:pPr>
    </w:p>
    <w:p w14:paraId="69CDB60F" w14:textId="5615F1EF" w:rsidR="00530706" w:rsidRPr="00BA2C4F" w:rsidRDefault="004D6F53" w:rsidP="00530706">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s="Verdana"/>
          <w:color w:val="000000" w:themeColor="text1"/>
          <w:sz w:val="20"/>
          <w:lang w:val="es-ES"/>
        </w:rPr>
        <w:lastRenderedPageBreak/>
        <w:t xml:space="preserve">Si bien </w:t>
      </w:r>
      <w:r w:rsidR="00B63629" w:rsidRPr="00BA2C4F">
        <w:rPr>
          <w:rFonts w:ascii="Verdana" w:hAnsi="Verdana" w:cs="Verdana"/>
          <w:color w:val="000000" w:themeColor="text1"/>
          <w:sz w:val="20"/>
          <w:lang w:val="es-ES"/>
        </w:rPr>
        <w:t>en julio de 2015</w:t>
      </w:r>
      <w:r w:rsidR="00B63629" w:rsidRPr="00BA2C4F">
        <w:rPr>
          <w:rStyle w:val="Refdenotaalpie"/>
          <w:rFonts w:ascii="Verdana" w:hAnsi="Verdana" w:cs="Verdana"/>
          <w:color w:val="000000" w:themeColor="text1"/>
          <w:sz w:val="20"/>
          <w:lang w:val="es-ES"/>
        </w:rPr>
        <w:footnoteReference w:id="21"/>
      </w:r>
      <w:r w:rsidR="00B63629" w:rsidRPr="00BA2C4F">
        <w:rPr>
          <w:rFonts w:ascii="Verdana" w:hAnsi="Verdana" w:cs="Verdana"/>
          <w:color w:val="000000" w:themeColor="text1"/>
          <w:sz w:val="20"/>
          <w:lang w:val="es-ES"/>
        </w:rPr>
        <w:t xml:space="preserve"> y mayo de 2016</w:t>
      </w:r>
      <w:r w:rsidR="009439C6" w:rsidRPr="00BA2C4F">
        <w:rPr>
          <w:rStyle w:val="Refdenotaalpie"/>
          <w:rFonts w:ascii="Verdana" w:hAnsi="Verdana" w:cs="Verdana"/>
          <w:color w:val="000000" w:themeColor="text1"/>
          <w:sz w:val="20"/>
          <w:lang w:val="es-ES"/>
        </w:rPr>
        <w:footnoteReference w:id="22"/>
      </w:r>
      <w:r w:rsidR="00B63629" w:rsidRPr="00BA2C4F">
        <w:rPr>
          <w:rFonts w:ascii="Verdana" w:hAnsi="Verdana" w:cs="Verdana"/>
          <w:color w:val="000000" w:themeColor="text1"/>
          <w:sz w:val="20"/>
          <w:lang w:val="es-ES"/>
        </w:rPr>
        <w:t xml:space="preserve"> el Estado remitió a la Corte </w:t>
      </w:r>
      <w:r w:rsidR="009439C6" w:rsidRPr="00BA2C4F">
        <w:rPr>
          <w:rFonts w:ascii="Verdana" w:hAnsi="Verdana" w:cs="Verdana"/>
          <w:color w:val="000000" w:themeColor="text1"/>
          <w:sz w:val="20"/>
          <w:lang w:val="es-ES"/>
        </w:rPr>
        <w:t xml:space="preserve">una serie de comprobantes de depósitos judiciales y cuadros elaborados </w:t>
      </w:r>
      <w:r w:rsidR="00530706" w:rsidRPr="00BA2C4F">
        <w:rPr>
          <w:rFonts w:ascii="Verdana" w:hAnsi="Verdana" w:cs="Verdana"/>
          <w:color w:val="000000" w:themeColor="text1"/>
          <w:sz w:val="20"/>
          <w:lang w:val="es-ES"/>
        </w:rPr>
        <w:t xml:space="preserve">en </w:t>
      </w:r>
      <w:r w:rsidR="004076E9" w:rsidRPr="00BA2C4F">
        <w:rPr>
          <w:rFonts w:ascii="Verdana" w:hAnsi="Verdana" w:cs="Verdana"/>
          <w:color w:val="000000" w:themeColor="text1"/>
          <w:sz w:val="20"/>
          <w:lang w:val="es-ES"/>
        </w:rPr>
        <w:t xml:space="preserve">diferentes </w:t>
      </w:r>
      <w:r w:rsidR="00530706" w:rsidRPr="00BA2C4F">
        <w:rPr>
          <w:rFonts w:ascii="Verdana" w:hAnsi="Verdana" w:cs="Verdana"/>
          <w:color w:val="000000" w:themeColor="text1"/>
          <w:sz w:val="20"/>
          <w:lang w:val="es-ES"/>
        </w:rPr>
        <w:t xml:space="preserve">formatos </w:t>
      </w:r>
      <w:r w:rsidR="009439C6" w:rsidRPr="00BA2C4F">
        <w:rPr>
          <w:rFonts w:ascii="Verdana" w:hAnsi="Verdana" w:cs="Verdana"/>
          <w:color w:val="000000" w:themeColor="text1"/>
          <w:sz w:val="20"/>
          <w:lang w:val="es-ES"/>
        </w:rPr>
        <w:t xml:space="preserve">por la Contraloría General respecto a </w:t>
      </w:r>
      <w:r w:rsidR="00B63629" w:rsidRPr="00BA2C4F">
        <w:rPr>
          <w:rFonts w:ascii="Verdana" w:hAnsi="Verdana" w:cs="Verdana"/>
          <w:color w:val="000000" w:themeColor="text1"/>
          <w:sz w:val="20"/>
          <w:lang w:val="es-ES"/>
        </w:rPr>
        <w:t xml:space="preserve">pagos </w:t>
      </w:r>
      <w:r w:rsidR="00530706" w:rsidRPr="00BA2C4F">
        <w:rPr>
          <w:rFonts w:ascii="Verdana" w:hAnsi="Verdana" w:cs="Verdana"/>
          <w:color w:val="000000" w:themeColor="text1"/>
          <w:sz w:val="20"/>
          <w:lang w:val="es-ES"/>
        </w:rPr>
        <w:t xml:space="preserve">efectuados a </w:t>
      </w:r>
      <w:r w:rsidR="00BA5D4E" w:rsidRPr="00BA2C4F">
        <w:rPr>
          <w:rFonts w:ascii="Verdana" w:hAnsi="Verdana" w:cs="Verdana"/>
          <w:color w:val="000000" w:themeColor="text1"/>
          <w:sz w:val="20"/>
          <w:lang w:val="es-ES"/>
        </w:rPr>
        <w:t xml:space="preserve">través de </w:t>
      </w:r>
      <w:r w:rsidR="00530706" w:rsidRPr="00BA2C4F">
        <w:rPr>
          <w:rFonts w:ascii="Verdana" w:hAnsi="Verdana" w:cs="Verdana"/>
          <w:color w:val="000000" w:themeColor="text1"/>
          <w:sz w:val="20"/>
          <w:lang w:val="es-ES"/>
        </w:rPr>
        <w:t xml:space="preserve">tractos </w:t>
      </w:r>
      <w:r w:rsidR="009439C6" w:rsidRPr="00BA2C4F">
        <w:rPr>
          <w:rFonts w:ascii="Verdana" w:hAnsi="Verdana" w:cs="Verdana"/>
          <w:color w:val="000000" w:themeColor="text1"/>
          <w:sz w:val="20"/>
          <w:lang w:val="es-ES"/>
        </w:rPr>
        <w:t>a</w:t>
      </w:r>
      <w:r w:rsidR="00B63629" w:rsidRPr="00BA2C4F">
        <w:rPr>
          <w:rFonts w:ascii="Verdana" w:hAnsi="Verdana" w:cs="Verdana"/>
          <w:color w:val="000000" w:themeColor="text1"/>
          <w:sz w:val="20"/>
          <w:lang w:val="es-ES"/>
        </w:rPr>
        <w:t xml:space="preserve"> favor de distintos bloques de víctimas entre noviembre de 2010 y abril de 2015</w:t>
      </w:r>
      <w:r w:rsidRPr="00BA2C4F">
        <w:rPr>
          <w:rFonts w:ascii="Verdana" w:hAnsi="Verdana" w:cs="Verdana"/>
          <w:color w:val="000000" w:themeColor="text1"/>
          <w:sz w:val="20"/>
          <w:lang w:val="es-ES"/>
        </w:rPr>
        <w:t>, c</w:t>
      </w:r>
      <w:r w:rsidR="00551EF4" w:rsidRPr="00BA2C4F">
        <w:rPr>
          <w:rFonts w:ascii="Verdana" w:hAnsi="Verdana" w:cs="Verdana"/>
          <w:color w:val="000000" w:themeColor="text1"/>
          <w:sz w:val="20"/>
          <w:lang w:val="es-ES"/>
        </w:rPr>
        <w:t xml:space="preserve">on posterioridad al 2016 no ha vuelto a proporcionar </w:t>
      </w:r>
      <w:r w:rsidR="00A26CE0" w:rsidRPr="00BA2C4F">
        <w:rPr>
          <w:rFonts w:ascii="Verdana" w:hAnsi="Verdana" w:cs="Verdana"/>
          <w:color w:val="000000" w:themeColor="text1"/>
          <w:sz w:val="20"/>
          <w:lang w:val="es-ES"/>
        </w:rPr>
        <w:t xml:space="preserve">información que permita desagregar los pagos </w:t>
      </w:r>
      <w:r w:rsidRPr="00BA2C4F">
        <w:rPr>
          <w:rFonts w:ascii="Verdana" w:hAnsi="Verdana" w:cs="Verdana"/>
          <w:color w:val="000000" w:themeColor="text1"/>
          <w:sz w:val="20"/>
          <w:lang w:val="es-ES"/>
        </w:rPr>
        <w:t>realizados</w:t>
      </w:r>
      <w:r w:rsidR="00A26CE0" w:rsidRPr="00BA2C4F">
        <w:rPr>
          <w:rFonts w:ascii="Verdana" w:hAnsi="Verdana" w:cs="Verdana"/>
          <w:color w:val="000000" w:themeColor="text1"/>
          <w:sz w:val="20"/>
          <w:lang w:val="es-ES"/>
        </w:rPr>
        <w:t xml:space="preserve"> a partir de esa fecha con relación a cada una </w:t>
      </w:r>
      <w:r w:rsidR="00630CBF" w:rsidRPr="00BA2C4F">
        <w:rPr>
          <w:rFonts w:ascii="Verdana" w:hAnsi="Verdana" w:cs="Verdana"/>
          <w:color w:val="000000" w:themeColor="text1"/>
          <w:sz w:val="20"/>
          <w:lang w:val="es-ES"/>
        </w:rPr>
        <w:t xml:space="preserve">de las víctimas. </w:t>
      </w:r>
      <w:r w:rsidRPr="00BA2C4F">
        <w:rPr>
          <w:rFonts w:ascii="Verdana" w:hAnsi="Verdana" w:cs="Verdana"/>
          <w:color w:val="000000" w:themeColor="text1"/>
          <w:sz w:val="20"/>
          <w:lang w:val="es-ES"/>
        </w:rPr>
        <w:t xml:space="preserve">Respecto </w:t>
      </w:r>
      <w:r w:rsidR="00530706" w:rsidRPr="00BA2C4F">
        <w:rPr>
          <w:rFonts w:ascii="Verdana" w:hAnsi="Verdana" w:cs="Verdana"/>
          <w:color w:val="000000" w:themeColor="text1"/>
          <w:sz w:val="20"/>
          <w:lang w:val="es-ES"/>
        </w:rPr>
        <w:t xml:space="preserve">a dicha documentación, </w:t>
      </w:r>
      <w:r w:rsidR="003E2234">
        <w:rPr>
          <w:rFonts w:ascii="Verdana" w:hAnsi="Verdana" w:cs="Verdana"/>
          <w:color w:val="000000" w:themeColor="text1"/>
          <w:sz w:val="20"/>
          <w:lang w:val="es-ES"/>
        </w:rPr>
        <w:t xml:space="preserve">uno de los </w:t>
      </w:r>
      <w:r w:rsidR="00530706" w:rsidRPr="00BA2C4F">
        <w:rPr>
          <w:rFonts w:ascii="Verdana" w:hAnsi="Verdana"/>
          <w:color w:val="000000" w:themeColor="text1"/>
          <w:sz w:val="20"/>
          <w:lang w:val="es-ES"/>
        </w:rPr>
        <w:t>interviniente</w:t>
      </w:r>
      <w:r w:rsidR="003E2234">
        <w:rPr>
          <w:rFonts w:ascii="Verdana" w:hAnsi="Verdana"/>
          <w:color w:val="000000" w:themeColor="text1"/>
          <w:sz w:val="20"/>
          <w:lang w:val="es-ES"/>
        </w:rPr>
        <w:t>s comunes de los representantes</w:t>
      </w:r>
      <w:r w:rsidR="00530706" w:rsidRPr="00BA2C4F">
        <w:rPr>
          <w:rFonts w:ascii="Verdana" w:hAnsi="Verdana"/>
          <w:color w:val="000000" w:themeColor="text1"/>
          <w:sz w:val="20"/>
          <w:lang w:val="es-ES"/>
        </w:rPr>
        <w:t xml:space="preserve"> indicó que,</w:t>
      </w:r>
      <w:r w:rsidRPr="00BA2C4F">
        <w:rPr>
          <w:rFonts w:ascii="Verdana" w:hAnsi="Verdana"/>
          <w:color w:val="000000" w:themeColor="text1"/>
          <w:sz w:val="20"/>
          <w:lang w:val="es-ES"/>
        </w:rPr>
        <w:t xml:space="preserve"> aunque</w:t>
      </w:r>
      <w:r w:rsidR="00530706" w:rsidRPr="00BA2C4F">
        <w:rPr>
          <w:rFonts w:ascii="Verdana" w:hAnsi="Verdana"/>
          <w:color w:val="000000" w:themeColor="text1"/>
          <w:sz w:val="20"/>
          <w:lang w:val="es-ES"/>
        </w:rPr>
        <w:t xml:space="preserve"> el Estado viene “depositando montos </w:t>
      </w:r>
      <w:r w:rsidR="00632D54" w:rsidRPr="00BA2C4F">
        <w:rPr>
          <w:rFonts w:ascii="Verdana" w:hAnsi="Verdana"/>
          <w:color w:val="000000" w:themeColor="text1"/>
          <w:sz w:val="20"/>
          <w:lang w:val="es-ES"/>
        </w:rPr>
        <w:t>mínimos</w:t>
      </w:r>
      <w:r w:rsidR="00530706" w:rsidRPr="00BA2C4F">
        <w:rPr>
          <w:rFonts w:ascii="Verdana" w:hAnsi="Verdana"/>
          <w:color w:val="000000" w:themeColor="text1"/>
          <w:sz w:val="20"/>
          <w:lang w:val="es-ES"/>
        </w:rPr>
        <w:t>”, “lo último que depositaron en [su] cuenta fue […] la suma de 86.00” en diciembre de 2012, pese a que en los cua</w:t>
      </w:r>
      <w:r w:rsidR="004076E9" w:rsidRPr="00BA2C4F">
        <w:rPr>
          <w:rFonts w:ascii="Verdana" w:hAnsi="Verdana"/>
          <w:color w:val="000000" w:themeColor="text1"/>
          <w:sz w:val="20"/>
          <w:lang w:val="es-ES"/>
        </w:rPr>
        <w:t xml:space="preserve">dros </w:t>
      </w:r>
      <w:r w:rsidR="00530706" w:rsidRPr="00BA2C4F">
        <w:rPr>
          <w:rFonts w:ascii="Verdana" w:hAnsi="Verdana"/>
          <w:color w:val="000000" w:themeColor="text1"/>
          <w:sz w:val="20"/>
          <w:lang w:val="es-ES"/>
        </w:rPr>
        <w:t>de la Contraloría General “aparece un importe de S/.4,147.82 de fecha 02 de diciembre de 2013”</w:t>
      </w:r>
      <w:r w:rsidR="00530706" w:rsidRPr="00BA2C4F">
        <w:rPr>
          <w:rStyle w:val="Refdenotaalpie"/>
          <w:rFonts w:ascii="Verdana" w:hAnsi="Verdana"/>
          <w:color w:val="000000" w:themeColor="text1"/>
          <w:sz w:val="20"/>
          <w:lang w:val="es-ES"/>
        </w:rPr>
        <w:footnoteReference w:id="23"/>
      </w:r>
      <w:r w:rsidR="00530706" w:rsidRPr="00BA2C4F">
        <w:rPr>
          <w:rFonts w:ascii="Verdana" w:hAnsi="Verdana"/>
          <w:color w:val="000000" w:themeColor="text1"/>
          <w:sz w:val="20"/>
          <w:lang w:val="es-ES"/>
        </w:rPr>
        <w:t>.</w:t>
      </w:r>
      <w:r w:rsidR="004076E9" w:rsidRPr="00BA2C4F">
        <w:rPr>
          <w:rFonts w:ascii="Verdana" w:hAnsi="Verdana"/>
          <w:color w:val="000000" w:themeColor="text1"/>
          <w:sz w:val="20"/>
          <w:lang w:val="es-ES"/>
        </w:rPr>
        <w:t xml:space="preserve"> </w:t>
      </w:r>
    </w:p>
    <w:p w14:paraId="6ABCF95E" w14:textId="77777777" w:rsidR="00C7532F" w:rsidRPr="00BA2C4F" w:rsidRDefault="00C7532F" w:rsidP="00C7532F">
      <w:pPr>
        <w:tabs>
          <w:tab w:val="left" w:pos="1134"/>
        </w:tabs>
        <w:ind w:right="12"/>
        <w:jc w:val="both"/>
        <w:rPr>
          <w:rFonts w:ascii="Verdana" w:hAnsi="Verdana"/>
          <w:color w:val="000000" w:themeColor="text1"/>
          <w:sz w:val="20"/>
          <w:lang w:val="es-ES"/>
        </w:rPr>
      </w:pPr>
    </w:p>
    <w:p w14:paraId="51B6D5DB" w14:textId="29DA1978" w:rsidR="006E123A" w:rsidRPr="00BA2C4F" w:rsidRDefault="00C7532F" w:rsidP="00A601E0">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 xml:space="preserve">En tal sentido, si bien en octubre de 2020 el </w:t>
      </w:r>
      <w:r w:rsidR="003E2234">
        <w:rPr>
          <w:rFonts w:ascii="Verdana" w:hAnsi="Verdana"/>
          <w:color w:val="000000" w:themeColor="text1"/>
          <w:sz w:val="20"/>
          <w:lang w:val="es-ES"/>
        </w:rPr>
        <w:t>otro grupo</w:t>
      </w:r>
      <w:r w:rsidRPr="00BA2C4F">
        <w:rPr>
          <w:rFonts w:ascii="Verdana" w:hAnsi="Verdana"/>
          <w:color w:val="000000" w:themeColor="text1"/>
          <w:sz w:val="20"/>
          <w:lang w:val="es-ES"/>
        </w:rPr>
        <w:t xml:space="preserve"> de intervinientes comunes reconoció que el Estado había efectuado pagos parciales por un monto de </w:t>
      </w:r>
      <w:r w:rsidRPr="00BA2C4F">
        <w:rPr>
          <w:rFonts w:ascii="Verdana" w:hAnsi="Verdana" w:cs="Verdana"/>
          <w:color w:val="000000" w:themeColor="text1"/>
          <w:sz w:val="20"/>
          <w:lang w:val="es-ES"/>
        </w:rPr>
        <w:t>S/.139</w:t>
      </w:r>
      <w:r w:rsidR="0003399F" w:rsidRPr="00BA2C4F">
        <w:rPr>
          <w:rFonts w:ascii="Verdana" w:hAnsi="Verdana" w:cs="Verdana"/>
          <w:color w:val="000000" w:themeColor="text1"/>
          <w:sz w:val="20"/>
          <w:lang w:val="es-ES"/>
        </w:rPr>
        <w:t>’</w:t>
      </w:r>
      <w:r w:rsidRPr="00BA2C4F">
        <w:rPr>
          <w:rFonts w:ascii="Verdana" w:hAnsi="Verdana" w:cs="Verdana"/>
          <w:color w:val="000000" w:themeColor="text1"/>
          <w:sz w:val="20"/>
          <w:lang w:val="es-ES"/>
        </w:rPr>
        <w:t>390,497.51 (</w:t>
      </w:r>
      <w:r w:rsidRPr="00BA2C4F">
        <w:rPr>
          <w:rFonts w:ascii="Verdana" w:hAnsi="Verdana" w:cs="Verdana"/>
          <w:i/>
          <w:iCs/>
          <w:color w:val="000000" w:themeColor="text1"/>
          <w:sz w:val="20"/>
          <w:lang w:val="es-ES"/>
        </w:rPr>
        <w:t>supra</w:t>
      </w:r>
      <w:r w:rsidRPr="00BA2C4F">
        <w:rPr>
          <w:rFonts w:ascii="Verdana" w:hAnsi="Verdana" w:cs="Verdana"/>
          <w:color w:val="000000" w:themeColor="text1"/>
          <w:sz w:val="20"/>
          <w:lang w:val="es-ES"/>
        </w:rPr>
        <w:t xml:space="preserve"> Considerando </w:t>
      </w:r>
      <w:r w:rsidR="0003399F" w:rsidRPr="00BA2C4F">
        <w:rPr>
          <w:rFonts w:ascii="Verdana" w:hAnsi="Verdana" w:cs="Verdana"/>
          <w:color w:val="000000" w:themeColor="text1"/>
          <w:sz w:val="20"/>
          <w:lang w:val="es-ES"/>
        </w:rPr>
        <w:t>6</w:t>
      </w:r>
      <w:r w:rsidRPr="00BA2C4F">
        <w:rPr>
          <w:rFonts w:ascii="Verdana" w:hAnsi="Verdana" w:cs="Verdana"/>
          <w:color w:val="000000" w:themeColor="text1"/>
          <w:sz w:val="20"/>
          <w:lang w:val="es-ES"/>
        </w:rPr>
        <w:t>)</w:t>
      </w:r>
      <w:r w:rsidRPr="00BA2C4F">
        <w:rPr>
          <w:rFonts w:ascii="Verdana" w:hAnsi="Verdana"/>
          <w:color w:val="000000" w:themeColor="text1"/>
          <w:sz w:val="20"/>
          <w:lang w:val="es-ES"/>
        </w:rPr>
        <w:t xml:space="preserve">, resaltó que </w:t>
      </w:r>
      <w:r w:rsidRPr="00BA2C4F">
        <w:rPr>
          <w:rFonts w:ascii="Verdana" w:hAnsi="Verdana" w:cs="Verdana"/>
          <w:color w:val="000000" w:themeColor="text1"/>
          <w:sz w:val="20"/>
          <w:lang w:val="es-ES"/>
        </w:rPr>
        <w:t xml:space="preserve">a la fecha 84 víctimas </w:t>
      </w:r>
      <w:r w:rsidR="0003399F" w:rsidRPr="00BA2C4F">
        <w:rPr>
          <w:rFonts w:ascii="Verdana" w:hAnsi="Verdana" w:cs="Verdana"/>
          <w:color w:val="000000" w:themeColor="text1"/>
          <w:sz w:val="20"/>
          <w:lang w:val="es-ES"/>
        </w:rPr>
        <w:t>habían fallecido</w:t>
      </w:r>
      <w:r w:rsidRPr="00BA2C4F">
        <w:rPr>
          <w:rFonts w:ascii="Verdana" w:hAnsi="Verdana" w:cs="Verdana"/>
          <w:color w:val="000000" w:themeColor="text1"/>
          <w:sz w:val="20"/>
          <w:lang w:val="es-ES"/>
        </w:rPr>
        <w:t xml:space="preserve"> “sin ver restituidos sus derechos; y no menos de 30 de ellas, por ser mayores de 80 años, de continuar esta dinámica probablemente sufrirán exactamente la misma experiencia”</w:t>
      </w:r>
      <w:r w:rsidRPr="00BA2C4F">
        <w:rPr>
          <w:rStyle w:val="Refdenotaalpie"/>
          <w:rFonts w:ascii="Verdana" w:hAnsi="Verdana" w:cs="Verdana"/>
          <w:color w:val="000000" w:themeColor="text1"/>
          <w:sz w:val="20"/>
          <w:lang w:val="es-ES"/>
        </w:rPr>
        <w:footnoteReference w:id="24"/>
      </w:r>
      <w:r w:rsidRPr="00BA2C4F">
        <w:rPr>
          <w:rFonts w:ascii="Verdana" w:hAnsi="Verdana" w:cs="Verdana"/>
          <w:color w:val="000000" w:themeColor="text1"/>
          <w:sz w:val="20"/>
          <w:lang w:val="es-ES"/>
        </w:rPr>
        <w:t xml:space="preserve">. </w:t>
      </w:r>
      <w:r w:rsidR="006E123A" w:rsidRPr="00BA2C4F">
        <w:rPr>
          <w:rFonts w:ascii="Verdana" w:hAnsi="Verdana" w:cs="Verdana"/>
          <w:color w:val="000000" w:themeColor="text1"/>
          <w:sz w:val="20"/>
          <w:lang w:val="es-ES"/>
        </w:rPr>
        <w:t xml:space="preserve">Dicha afirmación, sumada </w:t>
      </w:r>
      <w:r w:rsidR="00B2474E" w:rsidRPr="00BA2C4F">
        <w:rPr>
          <w:rFonts w:ascii="Verdana" w:hAnsi="Verdana" w:cs="Verdana"/>
          <w:color w:val="000000" w:themeColor="text1"/>
          <w:sz w:val="20"/>
          <w:lang w:val="es-ES"/>
        </w:rPr>
        <w:t xml:space="preserve">al énfasis de los referidos intervinientes sobre el lapso de más de 27 </w:t>
      </w:r>
      <w:r w:rsidR="00A601E0" w:rsidRPr="00BA2C4F">
        <w:rPr>
          <w:rFonts w:ascii="Verdana" w:hAnsi="Verdana" w:cs="Verdana"/>
          <w:color w:val="000000" w:themeColor="text1"/>
          <w:sz w:val="20"/>
          <w:lang w:val="es-ES"/>
        </w:rPr>
        <w:t xml:space="preserve">años que ha transcurrido desde el inicio del proceso en sede interna sin que </w:t>
      </w:r>
      <w:r w:rsidR="00B2474E" w:rsidRPr="00BA2C4F">
        <w:rPr>
          <w:rFonts w:ascii="Verdana" w:hAnsi="Verdana" w:cs="Verdana"/>
          <w:color w:val="000000" w:themeColor="text1"/>
          <w:sz w:val="20"/>
          <w:lang w:val="es-ES"/>
        </w:rPr>
        <w:t>a la fecha se</w:t>
      </w:r>
      <w:r w:rsidR="006E123A" w:rsidRPr="00BA2C4F">
        <w:rPr>
          <w:rFonts w:ascii="Verdana" w:hAnsi="Verdana" w:cs="Verdana"/>
          <w:color w:val="000000" w:themeColor="text1"/>
          <w:sz w:val="20"/>
          <w:lang w:val="es-ES"/>
        </w:rPr>
        <w:t xml:space="preserve"> </w:t>
      </w:r>
      <w:r w:rsidR="00A601E0" w:rsidRPr="00BA2C4F">
        <w:rPr>
          <w:rFonts w:ascii="Verdana" w:hAnsi="Verdana" w:cs="Verdana"/>
          <w:color w:val="000000" w:themeColor="text1"/>
          <w:sz w:val="20"/>
          <w:lang w:val="es-ES"/>
        </w:rPr>
        <w:t>haya terminado de cumplir “</w:t>
      </w:r>
      <w:r w:rsidR="006E123A" w:rsidRPr="00BA2C4F">
        <w:rPr>
          <w:rFonts w:ascii="Verdana" w:eastAsia="Times New Roman" w:hAnsi="Verdana"/>
          <w:color w:val="000000" w:themeColor="text1"/>
          <w:sz w:val="20"/>
        </w:rPr>
        <w:t xml:space="preserve">con lo ordenado por las sentencias que ampararon los derechos de los miembros de la </w:t>
      </w:r>
      <w:proofErr w:type="spellStart"/>
      <w:r w:rsidR="006E123A" w:rsidRPr="00BA2C4F">
        <w:rPr>
          <w:rFonts w:ascii="Verdana" w:eastAsia="Times New Roman" w:hAnsi="Verdana"/>
          <w:color w:val="000000" w:themeColor="text1"/>
          <w:sz w:val="20"/>
        </w:rPr>
        <w:t>Asociación</w:t>
      </w:r>
      <w:proofErr w:type="spellEnd"/>
      <w:r w:rsidR="006E123A" w:rsidRPr="00BA2C4F">
        <w:rPr>
          <w:rFonts w:ascii="Verdana" w:eastAsia="Times New Roman" w:hAnsi="Verdana"/>
          <w:color w:val="000000" w:themeColor="text1"/>
          <w:sz w:val="20"/>
        </w:rPr>
        <w:t xml:space="preserve"> de Cesantes y Jubilados de la </w:t>
      </w:r>
      <w:proofErr w:type="spellStart"/>
      <w:r w:rsidR="006E123A" w:rsidRPr="00BA2C4F">
        <w:rPr>
          <w:rFonts w:ascii="Verdana" w:eastAsia="Times New Roman" w:hAnsi="Verdana"/>
          <w:color w:val="000000" w:themeColor="text1"/>
          <w:sz w:val="20"/>
        </w:rPr>
        <w:t>Contraloría</w:t>
      </w:r>
      <w:proofErr w:type="spellEnd"/>
      <w:r w:rsidR="006E123A" w:rsidRPr="00BA2C4F">
        <w:rPr>
          <w:rFonts w:ascii="Verdana" w:eastAsia="Times New Roman" w:hAnsi="Verdana"/>
          <w:color w:val="000000" w:themeColor="text1"/>
          <w:sz w:val="20"/>
          <w:lang w:val="es-CR"/>
        </w:rPr>
        <w:t>”</w:t>
      </w:r>
      <w:r w:rsidR="00B2474E" w:rsidRPr="00BA2C4F">
        <w:rPr>
          <w:rStyle w:val="Refdenotaalpie"/>
          <w:rFonts w:ascii="Verdana" w:eastAsia="Times New Roman" w:hAnsi="Verdana"/>
          <w:color w:val="000000" w:themeColor="text1"/>
          <w:sz w:val="20"/>
          <w:lang w:val="es-CR"/>
        </w:rPr>
        <w:footnoteReference w:id="25"/>
      </w:r>
      <w:r w:rsidR="006E123A" w:rsidRPr="00BA2C4F">
        <w:rPr>
          <w:rFonts w:ascii="Verdana" w:eastAsia="Times New Roman" w:hAnsi="Verdana"/>
          <w:color w:val="000000" w:themeColor="text1"/>
          <w:sz w:val="20"/>
          <w:lang w:val="es-CR"/>
        </w:rPr>
        <w:t xml:space="preserve">, parece indicar que </w:t>
      </w:r>
      <w:r w:rsidR="00B2474E" w:rsidRPr="00BA2C4F">
        <w:rPr>
          <w:rFonts w:ascii="Verdana" w:eastAsia="Times New Roman" w:hAnsi="Verdana"/>
          <w:color w:val="000000" w:themeColor="text1"/>
          <w:sz w:val="20"/>
          <w:lang w:val="es-CR"/>
        </w:rPr>
        <w:t xml:space="preserve">a ninguna víctima se </w:t>
      </w:r>
      <w:r w:rsidR="00A601E0" w:rsidRPr="00BA2C4F">
        <w:rPr>
          <w:rFonts w:ascii="Verdana" w:eastAsia="Times New Roman" w:hAnsi="Verdana"/>
          <w:color w:val="000000" w:themeColor="text1"/>
          <w:sz w:val="20"/>
          <w:lang w:val="es-CR"/>
        </w:rPr>
        <w:t xml:space="preserve">le </w:t>
      </w:r>
      <w:r w:rsidR="00B2474E" w:rsidRPr="00BA2C4F">
        <w:rPr>
          <w:rFonts w:ascii="Verdana" w:eastAsia="Times New Roman" w:hAnsi="Verdana"/>
          <w:color w:val="000000" w:themeColor="text1"/>
          <w:sz w:val="20"/>
          <w:lang w:val="es-CR"/>
        </w:rPr>
        <w:t xml:space="preserve">ha pagado la totalidad de la deuda y que </w:t>
      </w:r>
      <w:r w:rsidR="006E123A" w:rsidRPr="00BA2C4F">
        <w:rPr>
          <w:rFonts w:ascii="Verdana" w:eastAsia="Times New Roman" w:hAnsi="Verdana"/>
          <w:color w:val="000000" w:themeColor="text1"/>
          <w:sz w:val="20"/>
          <w:lang w:val="es-CR"/>
        </w:rPr>
        <w:t xml:space="preserve">todavía hay víctimas que no han recibido ningún pago por concepto de los devengados dejados de percibir. </w:t>
      </w:r>
    </w:p>
    <w:p w14:paraId="7F430EF3" w14:textId="77777777" w:rsidR="00C7532F" w:rsidRPr="00BA2C4F" w:rsidRDefault="00C7532F" w:rsidP="006E123A">
      <w:pPr>
        <w:pStyle w:val="Prrafodelista"/>
        <w:tabs>
          <w:tab w:val="left" w:pos="1134"/>
        </w:tabs>
        <w:ind w:left="0" w:right="12"/>
        <w:jc w:val="both"/>
        <w:rPr>
          <w:rFonts w:ascii="Verdana" w:hAnsi="Verdana"/>
          <w:color w:val="000000" w:themeColor="text1"/>
          <w:sz w:val="20"/>
          <w:lang w:val="es-ES"/>
        </w:rPr>
      </w:pPr>
    </w:p>
    <w:p w14:paraId="6EB78953" w14:textId="1CC914E9" w:rsidR="00C7532F" w:rsidRPr="00BA2C4F" w:rsidRDefault="00C7532F" w:rsidP="00C7532F">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s="Verdana"/>
          <w:color w:val="000000" w:themeColor="text1"/>
          <w:sz w:val="20"/>
          <w:lang w:val="es-ES"/>
        </w:rPr>
        <w:lastRenderedPageBreak/>
        <w:t xml:space="preserve">No </w:t>
      </w:r>
      <w:proofErr w:type="gramStart"/>
      <w:r w:rsidRPr="00BA2C4F">
        <w:rPr>
          <w:rFonts w:ascii="Verdana" w:hAnsi="Verdana" w:cs="Verdana"/>
          <w:color w:val="000000" w:themeColor="text1"/>
          <w:sz w:val="20"/>
          <w:lang w:val="es-ES"/>
        </w:rPr>
        <w:t>obstante</w:t>
      </w:r>
      <w:proofErr w:type="gramEnd"/>
      <w:r w:rsidRPr="00BA2C4F">
        <w:rPr>
          <w:rFonts w:ascii="Verdana" w:hAnsi="Verdana" w:cs="Verdana"/>
          <w:color w:val="000000" w:themeColor="text1"/>
          <w:sz w:val="20"/>
          <w:lang w:val="es-ES"/>
        </w:rPr>
        <w:t xml:space="preserve"> lo anterior, los intervinientes comunes no señalaron</w:t>
      </w:r>
      <w:r w:rsidR="0055384F">
        <w:rPr>
          <w:rFonts w:ascii="Verdana" w:hAnsi="Verdana" w:cs="Verdana"/>
          <w:color w:val="000000" w:themeColor="text1"/>
          <w:sz w:val="20"/>
          <w:lang w:val="es-ES"/>
        </w:rPr>
        <w:t xml:space="preserve"> quiénes son las 84 víctimas respecto de </w:t>
      </w:r>
      <w:r w:rsidRPr="00BA2C4F">
        <w:rPr>
          <w:rFonts w:ascii="Verdana" w:hAnsi="Verdana" w:cs="Verdana"/>
          <w:color w:val="000000" w:themeColor="text1"/>
          <w:sz w:val="20"/>
          <w:lang w:val="es-ES"/>
        </w:rPr>
        <w:t>las cuales todavía no se habría realizado ningún pago. Llama la atención de la Corte que, en sus obse</w:t>
      </w:r>
      <w:r w:rsidR="0055384F">
        <w:rPr>
          <w:rFonts w:ascii="Verdana" w:hAnsi="Verdana" w:cs="Verdana"/>
          <w:color w:val="000000" w:themeColor="text1"/>
          <w:sz w:val="20"/>
          <w:lang w:val="es-ES"/>
        </w:rPr>
        <w:t>rvaciones anteriores al 2020, uno de</w:t>
      </w:r>
      <w:r w:rsidRPr="00BA2C4F">
        <w:rPr>
          <w:rFonts w:ascii="Verdana" w:hAnsi="Verdana" w:cs="Verdana"/>
          <w:color w:val="000000" w:themeColor="text1"/>
          <w:sz w:val="20"/>
          <w:lang w:val="es-ES"/>
        </w:rPr>
        <w:t xml:space="preserve"> </w:t>
      </w:r>
      <w:r w:rsidR="0055384F">
        <w:rPr>
          <w:rFonts w:ascii="Verdana" w:hAnsi="Verdana" w:cs="Verdana"/>
          <w:color w:val="000000" w:themeColor="text1"/>
          <w:sz w:val="20"/>
          <w:lang w:val="es-ES"/>
        </w:rPr>
        <w:t xml:space="preserve">los </w:t>
      </w:r>
      <w:r w:rsidRPr="00BA2C4F">
        <w:rPr>
          <w:rFonts w:ascii="Verdana" w:hAnsi="Verdana" w:cs="Verdana"/>
          <w:color w:val="000000" w:themeColor="text1"/>
          <w:sz w:val="20"/>
          <w:lang w:val="es-ES"/>
        </w:rPr>
        <w:t>intervinientes comunes no se había pronunciado expresamente sobre los pagos que el Estado alega haber realizado (</w:t>
      </w:r>
      <w:r w:rsidRPr="00BA2C4F">
        <w:rPr>
          <w:rFonts w:ascii="Verdana" w:hAnsi="Verdana" w:cs="Verdana"/>
          <w:i/>
          <w:iCs/>
          <w:color w:val="000000" w:themeColor="text1"/>
          <w:sz w:val="20"/>
          <w:lang w:val="es-ES"/>
        </w:rPr>
        <w:t>infra</w:t>
      </w:r>
      <w:r w:rsidR="00223DFD" w:rsidRPr="00BA2C4F">
        <w:rPr>
          <w:rFonts w:ascii="Verdana" w:hAnsi="Verdana" w:cs="Verdana"/>
          <w:i/>
          <w:iCs/>
          <w:color w:val="000000" w:themeColor="text1"/>
          <w:sz w:val="20"/>
          <w:lang w:val="es-ES"/>
        </w:rPr>
        <w:t xml:space="preserve"> </w:t>
      </w:r>
      <w:r w:rsidRPr="00BA2C4F">
        <w:rPr>
          <w:rFonts w:ascii="Verdana" w:hAnsi="Verdana" w:cs="Verdana"/>
          <w:color w:val="000000" w:themeColor="text1"/>
          <w:sz w:val="20"/>
          <w:lang w:val="es-ES"/>
        </w:rPr>
        <w:t xml:space="preserve">Considerando </w:t>
      </w:r>
      <w:r w:rsidR="0003399F" w:rsidRPr="00BA2C4F">
        <w:rPr>
          <w:rFonts w:ascii="Verdana" w:hAnsi="Verdana" w:cs="Verdana"/>
          <w:color w:val="000000" w:themeColor="text1"/>
          <w:sz w:val="20"/>
          <w:lang w:val="es-ES"/>
        </w:rPr>
        <w:t>10</w:t>
      </w:r>
      <w:r w:rsidRPr="00BA2C4F">
        <w:rPr>
          <w:rFonts w:ascii="Verdana" w:hAnsi="Verdana" w:cs="Verdana"/>
          <w:color w:val="000000" w:themeColor="text1"/>
          <w:sz w:val="20"/>
          <w:lang w:val="es-ES"/>
        </w:rPr>
        <w:t>), sino que señaló de manera general contradicciones en los informes estatales en cuanto a la inexistencia de víctimas a las cuales se les ha</w:t>
      </w:r>
      <w:r w:rsidR="00223DFD" w:rsidRPr="00BA2C4F">
        <w:rPr>
          <w:rFonts w:ascii="Verdana" w:hAnsi="Verdana" w:cs="Verdana"/>
          <w:color w:val="000000" w:themeColor="text1"/>
          <w:sz w:val="20"/>
          <w:lang w:val="es-ES"/>
        </w:rPr>
        <w:t>bría</w:t>
      </w:r>
      <w:r w:rsidRPr="00BA2C4F">
        <w:rPr>
          <w:rFonts w:ascii="Verdana" w:hAnsi="Verdana" w:cs="Verdana"/>
          <w:color w:val="000000" w:themeColor="text1"/>
          <w:sz w:val="20"/>
          <w:lang w:val="es-ES"/>
        </w:rPr>
        <w:t xml:space="preserve"> pagado la totalidad de lo adeudado. </w:t>
      </w:r>
    </w:p>
    <w:p w14:paraId="0D102DCB" w14:textId="44CA924E" w:rsidR="00C7532F" w:rsidRDefault="00C7532F" w:rsidP="006E123A">
      <w:pPr>
        <w:pStyle w:val="Prrafodelista"/>
        <w:tabs>
          <w:tab w:val="left" w:pos="1134"/>
        </w:tabs>
        <w:ind w:left="0" w:right="12"/>
        <w:jc w:val="both"/>
        <w:rPr>
          <w:rFonts w:ascii="Verdana" w:hAnsi="Verdana"/>
          <w:color w:val="000000" w:themeColor="text1"/>
          <w:sz w:val="20"/>
          <w:lang w:val="es-ES"/>
        </w:rPr>
      </w:pPr>
    </w:p>
    <w:p w14:paraId="2A5BA017" w14:textId="77777777" w:rsidR="00896FD1" w:rsidRPr="00BA2C4F" w:rsidRDefault="00896FD1" w:rsidP="006E123A">
      <w:pPr>
        <w:pStyle w:val="Prrafodelista"/>
        <w:tabs>
          <w:tab w:val="left" w:pos="1134"/>
        </w:tabs>
        <w:ind w:left="0" w:right="12"/>
        <w:jc w:val="both"/>
        <w:rPr>
          <w:rFonts w:ascii="Verdana" w:hAnsi="Verdana"/>
          <w:color w:val="000000" w:themeColor="text1"/>
          <w:sz w:val="20"/>
          <w:lang w:val="es-ES"/>
        </w:rPr>
      </w:pPr>
    </w:p>
    <w:p w14:paraId="6D9577A8" w14:textId="014987F6" w:rsidR="004534CE" w:rsidRPr="00BA2C4F" w:rsidRDefault="004076E9" w:rsidP="004076E9">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s="Verdana"/>
          <w:color w:val="000000" w:themeColor="text1"/>
          <w:sz w:val="20"/>
          <w:lang w:val="es-ES"/>
        </w:rPr>
        <w:t>La Corte observa que,</w:t>
      </w:r>
      <w:r w:rsidRPr="00BA2C4F">
        <w:rPr>
          <w:rFonts w:ascii="Verdana" w:hAnsi="Verdana"/>
          <w:color w:val="000000" w:themeColor="text1"/>
          <w:sz w:val="20"/>
          <w:lang w:val="es-ES"/>
        </w:rPr>
        <w:t xml:space="preserve"> </w:t>
      </w:r>
      <w:r w:rsidRPr="00BA2C4F">
        <w:rPr>
          <w:rFonts w:ascii="Verdana" w:hAnsi="Verdana" w:cs="Verdana"/>
          <w:color w:val="000000" w:themeColor="text1"/>
          <w:sz w:val="20"/>
          <w:lang w:val="es-ES"/>
        </w:rPr>
        <w:t xml:space="preserve">contrario a lo afirmado por el Estado con ocasión de la Resolución de 2015 sobre el pago de la totalidad de lo adeudado a 45 víctimas, lo cual reiteró en sus informes de 2015 y 2016, de la documentación aportada no se desprende que a </w:t>
      </w:r>
      <w:r w:rsidR="000F43C7">
        <w:rPr>
          <w:rFonts w:ascii="Verdana" w:hAnsi="Verdana" w:cs="Verdana"/>
          <w:color w:val="000000" w:themeColor="text1"/>
          <w:sz w:val="20"/>
          <w:lang w:val="es-ES"/>
        </w:rPr>
        <w:t xml:space="preserve">alguna </w:t>
      </w:r>
      <w:r w:rsidRPr="00BA2C4F">
        <w:rPr>
          <w:rFonts w:ascii="Verdana" w:hAnsi="Verdana" w:cs="Verdana"/>
          <w:color w:val="000000" w:themeColor="text1"/>
          <w:sz w:val="20"/>
          <w:lang w:val="es-ES"/>
        </w:rPr>
        <w:t>víctima le haya sido saldada íntegramente su acreenc</w:t>
      </w:r>
      <w:r w:rsidR="00221AB1" w:rsidRPr="00BA2C4F">
        <w:rPr>
          <w:rFonts w:ascii="Verdana" w:hAnsi="Verdana" w:cs="Verdana"/>
          <w:color w:val="000000" w:themeColor="text1"/>
          <w:sz w:val="20"/>
          <w:lang w:val="es-ES"/>
        </w:rPr>
        <w:t>ia. Debido a que en los informes anteriores al 2016 la información fue presentada de forma dispersa, sin unificar los pagos efectuados a cada víctima, y en los informes posteriores a dicho año el Estado no ha vuelto a proporcionar información detallada respecto a cada víctima</w:t>
      </w:r>
      <w:r w:rsidR="00CD0DC1" w:rsidRPr="00BA2C4F">
        <w:rPr>
          <w:rStyle w:val="Refdenotaalpie"/>
          <w:rFonts w:ascii="Verdana" w:hAnsi="Verdana" w:cs="Verdana"/>
          <w:color w:val="000000" w:themeColor="text1"/>
          <w:sz w:val="20"/>
          <w:lang w:val="es-ES"/>
        </w:rPr>
        <w:footnoteReference w:id="26"/>
      </w:r>
      <w:r w:rsidR="00221AB1" w:rsidRPr="00BA2C4F">
        <w:rPr>
          <w:rFonts w:ascii="Verdana" w:hAnsi="Verdana" w:cs="Verdana"/>
          <w:color w:val="000000" w:themeColor="text1"/>
          <w:sz w:val="20"/>
          <w:lang w:val="es-ES"/>
        </w:rPr>
        <w:t xml:space="preserve">, la Corte no cuenta con un documento único que desagregue de manera completa todos los pagos realizados a favor de cada víctima. </w:t>
      </w:r>
    </w:p>
    <w:p w14:paraId="4427849F" w14:textId="45FB29F8" w:rsidR="00C7532F" w:rsidRDefault="00C7532F" w:rsidP="00C7532F">
      <w:pPr>
        <w:pStyle w:val="Prrafodelista"/>
        <w:tabs>
          <w:tab w:val="left" w:pos="1134"/>
        </w:tabs>
        <w:ind w:left="0" w:right="12"/>
        <w:jc w:val="both"/>
        <w:rPr>
          <w:rFonts w:ascii="Verdana" w:hAnsi="Verdana"/>
          <w:color w:val="000000" w:themeColor="text1"/>
          <w:sz w:val="20"/>
          <w:lang w:val="es-ES"/>
        </w:rPr>
      </w:pPr>
    </w:p>
    <w:p w14:paraId="4F85D813" w14:textId="77777777" w:rsidR="00896FD1" w:rsidRPr="00BA2C4F" w:rsidRDefault="00896FD1" w:rsidP="00C7532F">
      <w:pPr>
        <w:pStyle w:val="Prrafodelista"/>
        <w:tabs>
          <w:tab w:val="left" w:pos="1134"/>
        </w:tabs>
        <w:ind w:left="0" w:right="12"/>
        <w:jc w:val="both"/>
        <w:rPr>
          <w:rFonts w:ascii="Verdana" w:hAnsi="Verdana"/>
          <w:color w:val="000000" w:themeColor="text1"/>
          <w:sz w:val="20"/>
          <w:lang w:val="es-ES"/>
        </w:rPr>
      </w:pPr>
    </w:p>
    <w:p w14:paraId="2D004798" w14:textId="7C924A70" w:rsidR="001B0AE1" w:rsidRPr="00BA2C4F" w:rsidRDefault="00221AB1" w:rsidP="001B0AE1">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s="Verdana"/>
          <w:color w:val="000000" w:themeColor="text1"/>
          <w:sz w:val="20"/>
          <w:lang w:val="es-ES"/>
        </w:rPr>
        <w:t xml:space="preserve">De este modo, si bien la Corte </w:t>
      </w:r>
      <w:r w:rsidR="00A9555A" w:rsidRPr="00BA2C4F">
        <w:rPr>
          <w:rFonts w:ascii="Verdana" w:hAnsi="Verdana" w:cs="Verdana"/>
          <w:color w:val="000000" w:themeColor="text1"/>
          <w:sz w:val="20"/>
          <w:lang w:val="es-ES"/>
        </w:rPr>
        <w:t>advierte que el Estado ha realizado pagos parciales porque así lo reconocieron los intervinientes comunes en octubre de 2020 (</w:t>
      </w:r>
      <w:r w:rsidR="00CD0DC1" w:rsidRPr="00BA2C4F">
        <w:rPr>
          <w:rFonts w:ascii="Verdana" w:hAnsi="Verdana" w:cs="Verdana"/>
          <w:i/>
          <w:iCs/>
          <w:color w:val="000000" w:themeColor="text1"/>
          <w:sz w:val="20"/>
          <w:lang w:val="es-ES"/>
        </w:rPr>
        <w:t xml:space="preserve">supra </w:t>
      </w:r>
      <w:r w:rsidR="00CD0DC1" w:rsidRPr="00BA2C4F">
        <w:rPr>
          <w:rFonts w:ascii="Verdana" w:hAnsi="Verdana" w:cs="Verdana"/>
          <w:color w:val="000000" w:themeColor="text1"/>
          <w:sz w:val="20"/>
          <w:lang w:val="es-ES"/>
        </w:rPr>
        <w:t xml:space="preserve">Considerando 6), no le queda claro cuánto ha sido pagado hasta la fecha a cada una de las 270 víctimas incluidas en el peritaje de 2009, cuánto se adeuda a las tres víctimas excluidas de dicho peritaje o si existen víctimas respecto a las cuales </w:t>
      </w:r>
      <w:r w:rsidR="00FB3D61" w:rsidRPr="00BA2C4F">
        <w:rPr>
          <w:rFonts w:ascii="Verdana" w:hAnsi="Verdana" w:cs="Verdana"/>
          <w:color w:val="000000" w:themeColor="text1"/>
          <w:sz w:val="20"/>
          <w:lang w:val="es-ES"/>
        </w:rPr>
        <w:t>todavía</w:t>
      </w:r>
      <w:r w:rsidR="00CD0DC1" w:rsidRPr="00BA2C4F">
        <w:rPr>
          <w:rFonts w:ascii="Verdana" w:hAnsi="Verdana" w:cs="Verdana"/>
          <w:color w:val="000000" w:themeColor="text1"/>
          <w:sz w:val="20"/>
          <w:lang w:val="es-ES"/>
        </w:rPr>
        <w:t xml:space="preserve"> no se ha</w:t>
      </w:r>
      <w:r w:rsidR="00FB3D61" w:rsidRPr="00BA2C4F">
        <w:rPr>
          <w:rFonts w:ascii="Verdana" w:hAnsi="Verdana" w:cs="Verdana"/>
          <w:color w:val="000000" w:themeColor="text1"/>
          <w:sz w:val="20"/>
          <w:lang w:val="es-ES"/>
        </w:rPr>
        <w:t xml:space="preserve"> </w:t>
      </w:r>
      <w:r w:rsidR="00CD0DC1" w:rsidRPr="00BA2C4F">
        <w:rPr>
          <w:rFonts w:ascii="Verdana" w:hAnsi="Verdana" w:cs="Verdana"/>
          <w:color w:val="000000" w:themeColor="text1"/>
          <w:sz w:val="20"/>
          <w:lang w:val="es-ES"/>
        </w:rPr>
        <w:t xml:space="preserve">abonado ningún pago. </w:t>
      </w:r>
      <w:r w:rsidR="004534CE" w:rsidRPr="00BA2C4F">
        <w:rPr>
          <w:rFonts w:ascii="Verdana" w:hAnsi="Verdana"/>
          <w:color w:val="000000" w:themeColor="text1"/>
          <w:sz w:val="20"/>
          <w:lang w:val="es-ES"/>
        </w:rPr>
        <w:t>Por tanto, la Corte estima pertinente requerir al Estado que proporcione información específica y detallada sobre la situación particular de las tres víctimas no incluidas en el referido peritaje y que, a tal efecto, indique los motivos por los cu</w:t>
      </w:r>
      <w:r w:rsidR="00D61984" w:rsidRPr="00BA2C4F">
        <w:rPr>
          <w:rFonts w:ascii="Verdana" w:hAnsi="Verdana"/>
          <w:color w:val="000000" w:themeColor="text1"/>
          <w:sz w:val="20"/>
          <w:lang w:val="es-ES"/>
        </w:rPr>
        <w:t>a</w:t>
      </w:r>
      <w:r w:rsidR="004534CE" w:rsidRPr="00BA2C4F">
        <w:rPr>
          <w:rFonts w:ascii="Verdana" w:hAnsi="Verdana"/>
          <w:color w:val="000000" w:themeColor="text1"/>
          <w:sz w:val="20"/>
          <w:lang w:val="es-ES"/>
        </w:rPr>
        <w:t xml:space="preserve">les no fueron incluidas, si el monto a ellas correspondiente fue abordado en alguna otra decisión, peritaje o acuerdo y si ha realizado a su favor algún pago por concepto de los devengados dejados de percibir. Asimismo, la Corte requiere al Estado que presente en un documento único la información completa, detallada y actualizada </w:t>
      </w:r>
      <w:r w:rsidR="001B0AE1" w:rsidRPr="00BA2C4F">
        <w:rPr>
          <w:rFonts w:ascii="Verdana" w:hAnsi="Verdana"/>
          <w:color w:val="000000" w:themeColor="text1"/>
          <w:sz w:val="20"/>
          <w:lang w:val="es-ES"/>
        </w:rPr>
        <w:t>que indique cuánto ha sido pagad</w:t>
      </w:r>
      <w:r w:rsidR="002774C3" w:rsidRPr="00BA2C4F">
        <w:rPr>
          <w:rFonts w:ascii="Verdana" w:hAnsi="Verdana"/>
          <w:color w:val="000000" w:themeColor="text1"/>
          <w:sz w:val="20"/>
          <w:lang w:val="es-ES"/>
        </w:rPr>
        <w:t>o</w:t>
      </w:r>
      <w:r w:rsidR="001B0AE1" w:rsidRPr="00BA2C4F">
        <w:rPr>
          <w:rFonts w:ascii="Verdana" w:hAnsi="Verdana"/>
          <w:color w:val="000000" w:themeColor="text1"/>
          <w:sz w:val="20"/>
          <w:lang w:val="es-ES"/>
        </w:rPr>
        <w:t xml:space="preserve"> a cada una de las 273 víctimas y cuánto queda pendiente por saldar. Este documento será transmitido a los intervinientes comunes a fin de que formulen observaciones claras y precisas que permitan a la Corte determinar </w:t>
      </w:r>
      <w:r w:rsidR="00A601E0" w:rsidRPr="00BA2C4F">
        <w:rPr>
          <w:rFonts w:ascii="Verdana" w:hAnsi="Verdana"/>
          <w:color w:val="000000" w:themeColor="text1"/>
          <w:sz w:val="20"/>
          <w:lang w:val="es-ES"/>
        </w:rPr>
        <w:t xml:space="preserve">cuánto se ha pagado a cada víctima, así como quiénes son </w:t>
      </w:r>
      <w:r w:rsidR="001B0AE1" w:rsidRPr="00BA2C4F">
        <w:rPr>
          <w:rFonts w:ascii="Verdana" w:hAnsi="Verdana"/>
          <w:color w:val="000000" w:themeColor="text1"/>
          <w:sz w:val="20"/>
          <w:lang w:val="es-ES"/>
        </w:rPr>
        <w:t>las víctimas a las cu</w:t>
      </w:r>
      <w:r w:rsidR="00D61984" w:rsidRPr="00BA2C4F">
        <w:rPr>
          <w:rFonts w:ascii="Verdana" w:hAnsi="Verdana"/>
          <w:color w:val="000000" w:themeColor="text1"/>
          <w:sz w:val="20"/>
          <w:lang w:val="es-ES"/>
        </w:rPr>
        <w:t>a</w:t>
      </w:r>
      <w:r w:rsidR="001B0AE1" w:rsidRPr="00BA2C4F">
        <w:rPr>
          <w:rFonts w:ascii="Verdana" w:hAnsi="Verdana"/>
          <w:color w:val="000000" w:themeColor="text1"/>
          <w:sz w:val="20"/>
          <w:lang w:val="es-ES"/>
        </w:rPr>
        <w:t xml:space="preserve">les </w:t>
      </w:r>
      <w:r w:rsidR="00D61984" w:rsidRPr="00BA2C4F">
        <w:rPr>
          <w:rFonts w:ascii="Verdana" w:hAnsi="Verdana"/>
          <w:color w:val="000000" w:themeColor="text1"/>
          <w:sz w:val="20"/>
          <w:lang w:val="es-ES"/>
        </w:rPr>
        <w:t>aún</w:t>
      </w:r>
      <w:r w:rsidR="001B0AE1" w:rsidRPr="00BA2C4F">
        <w:rPr>
          <w:rFonts w:ascii="Verdana" w:hAnsi="Verdana"/>
          <w:color w:val="000000" w:themeColor="text1"/>
          <w:sz w:val="20"/>
          <w:lang w:val="es-ES"/>
        </w:rPr>
        <w:t xml:space="preserve"> no les habría realizado ningún abono.</w:t>
      </w:r>
    </w:p>
    <w:p w14:paraId="5CAFD69A" w14:textId="433B0E29" w:rsidR="00551EF4" w:rsidRDefault="00551EF4" w:rsidP="00CD0DC1">
      <w:pPr>
        <w:tabs>
          <w:tab w:val="left" w:pos="1134"/>
        </w:tabs>
        <w:ind w:right="12"/>
        <w:jc w:val="both"/>
        <w:rPr>
          <w:rFonts w:ascii="Verdana" w:hAnsi="Verdana"/>
          <w:color w:val="000000" w:themeColor="text1"/>
          <w:sz w:val="20"/>
          <w:lang w:val="es-ES"/>
        </w:rPr>
      </w:pPr>
    </w:p>
    <w:p w14:paraId="4B9B1ACE" w14:textId="77777777" w:rsidR="00896FD1" w:rsidRPr="00BA2C4F" w:rsidRDefault="00896FD1" w:rsidP="00CD0DC1">
      <w:pPr>
        <w:tabs>
          <w:tab w:val="left" w:pos="1134"/>
        </w:tabs>
        <w:ind w:right="12"/>
        <w:jc w:val="both"/>
        <w:rPr>
          <w:rFonts w:ascii="Verdana" w:hAnsi="Verdana"/>
          <w:color w:val="000000" w:themeColor="text1"/>
          <w:sz w:val="20"/>
          <w:lang w:val="es-ES"/>
        </w:rPr>
      </w:pPr>
    </w:p>
    <w:p w14:paraId="3D24BF5A" w14:textId="58FE6A29" w:rsidR="00961546" w:rsidRPr="00BA2C4F" w:rsidRDefault="000F43C7" w:rsidP="00961546">
      <w:pPr>
        <w:pStyle w:val="Prrafodelista"/>
        <w:numPr>
          <w:ilvl w:val="0"/>
          <w:numId w:val="4"/>
        </w:numPr>
        <w:tabs>
          <w:tab w:val="left" w:pos="1134"/>
        </w:tabs>
        <w:ind w:left="0" w:right="12" w:firstLine="0"/>
        <w:jc w:val="both"/>
        <w:rPr>
          <w:rFonts w:ascii="Verdana" w:hAnsi="Verdana"/>
          <w:color w:val="000000" w:themeColor="text1"/>
          <w:sz w:val="20"/>
          <w:lang w:val="es-ES"/>
        </w:rPr>
      </w:pPr>
      <w:r>
        <w:rPr>
          <w:rFonts w:ascii="Verdana" w:hAnsi="Verdana"/>
          <w:color w:val="000000" w:themeColor="text1"/>
          <w:sz w:val="20"/>
          <w:lang w:val="es-ES"/>
        </w:rPr>
        <w:t xml:space="preserve">Por otro lado, uno de los </w:t>
      </w:r>
      <w:r w:rsidR="00CD0DC1" w:rsidRPr="00BA2C4F">
        <w:rPr>
          <w:rFonts w:ascii="Verdana" w:hAnsi="Verdana"/>
          <w:color w:val="000000" w:themeColor="text1"/>
          <w:sz w:val="20"/>
          <w:lang w:val="es-ES"/>
        </w:rPr>
        <w:t xml:space="preserve">intervinientes comunes resaltó que, </w:t>
      </w:r>
      <w:r w:rsidR="00CD0DC1" w:rsidRPr="00BA2C4F">
        <w:rPr>
          <w:rFonts w:ascii="Verdana" w:hAnsi="Verdana" w:cs="Verdana"/>
          <w:color w:val="000000" w:themeColor="text1"/>
          <w:sz w:val="20"/>
          <w:lang w:val="es-ES"/>
        </w:rPr>
        <w:t>de mantenerse el actual ritmo de pago, la deuda total “se saldaría en más de doce (12) años”</w:t>
      </w:r>
      <w:r w:rsidR="002F244A" w:rsidRPr="00BA2C4F">
        <w:rPr>
          <w:rStyle w:val="Refdenotaalpie"/>
          <w:rFonts w:ascii="Verdana" w:hAnsi="Verdana" w:cs="Verdana"/>
          <w:color w:val="000000" w:themeColor="text1"/>
          <w:sz w:val="20"/>
          <w:lang w:val="es-ES"/>
        </w:rPr>
        <w:footnoteReference w:id="27"/>
      </w:r>
      <w:r w:rsidR="00CD0DC1" w:rsidRPr="00BA2C4F">
        <w:rPr>
          <w:rFonts w:ascii="Verdana" w:hAnsi="Verdana" w:cs="Verdana"/>
          <w:color w:val="000000" w:themeColor="text1"/>
          <w:sz w:val="20"/>
          <w:lang w:val="es-ES"/>
        </w:rPr>
        <w:t>. En tal sentido, la Corte advierte que</w:t>
      </w:r>
      <w:r w:rsidR="004534CE" w:rsidRPr="00BA2C4F">
        <w:rPr>
          <w:rFonts w:ascii="Verdana" w:hAnsi="Verdana" w:cs="Verdana"/>
          <w:color w:val="000000" w:themeColor="text1"/>
          <w:sz w:val="20"/>
          <w:lang w:val="es-ES"/>
        </w:rPr>
        <w:t xml:space="preserve">, </w:t>
      </w:r>
      <w:r w:rsidR="00CD0DC1" w:rsidRPr="00BA2C4F">
        <w:rPr>
          <w:rFonts w:ascii="Verdana" w:hAnsi="Verdana" w:cs="Verdana"/>
          <w:color w:val="000000" w:themeColor="text1"/>
          <w:sz w:val="20"/>
          <w:lang w:val="es-ES"/>
        </w:rPr>
        <w:t xml:space="preserve">en el transcurso de </w:t>
      </w:r>
      <w:r w:rsidR="002F244A" w:rsidRPr="00BA2C4F">
        <w:rPr>
          <w:rFonts w:ascii="Verdana" w:hAnsi="Verdana" w:cs="Verdana"/>
          <w:color w:val="000000" w:themeColor="text1"/>
          <w:sz w:val="20"/>
          <w:lang w:val="es-ES"/>
        </w:rPr>
        <w:t>cuatro</w:t>
      </w:r>
      <w:r w:rsidR="00CD0DC1" w:rsidRPr="00BA2C4F">
        <w:rPr>
          <w:rFonts w:ascii="Verdana" w:hAnsi="Verdana" w:cs="Verdana"/>
          <w:color w:val="000000" w:themeColor="text1"/>
          <w:sz w:val="20"/>
          <w:lang w:val="es-ES"/>
        </w:rPr>
        <w:t xml:space="preserve"> años, desde el 201</w:t>
      </w:r>
      <w:r w:rsidR="002F244A" w:rsidRPr="00BA2C4F">
        <w:rPr>
          <w:rFonts w:ascii="Verdana" w:hAnsi="Verdana" w:cs="Verdana"/>
          <w:color w:val="000000" w:themeColor="text1"/>
          <w:sz w:val="20"/>
          <w:lang w:val="es-ES"/>
        </w:rPr>
        <w:t>6</w:t>
      </w:r>
      <w:r w:rsidR="00CD0DC1" w:rsidRPr="00BA2C4F">
        <w:rPr>
          <w:rFonts w:ascii="Verdana" w:hAnsi="Verdana" w:cs="Verdana"/>
          <w:color w:val="000000" w:themeColor="text1"/>
          <w:sz w:val="20"/>
          <w:lang w:val="es-ES"/>
        </w:rPr>
        <w:t xml:space="preserve"> hasta octubre de 2020, </w:t>
      </w:r>
      <w:r w:rsidR="00645977" w:rsidRPr="00BA2C4F">
        <w:rPr>
          <w:rFonts w:ascii="Verdana" w:hAnsi="Verdana" w:cs="Verdana"/>
          <w:color w:val="000000" w:themeColor="text1"/>
          <w:sz w:val="20"/>
          <w:lang w:val="es-ES"/>
        </w:rPr>
        <w:t xml:space="preserve">los pagos efectuados ascienden a aproximadamente </w:t>
      </w:r>
      <w:r w:rsidR="002F244A" w:rsidRPr="00BA2C4F">
        <w:rPr>
          <w:rFonts w:ascii="Verdana" w:hAnsi="Verdana" w:cs="Verdana"/>
          <w:color w:val="000000" w:themeColor="text1"/>
          <w:sz w:val="20"/>
          <w:lang w:val="es-ES"/>
        </w:rPr>
        <w:t>48</w:t>
      </w:r>
      <w:r w:rsidR="00CD0DC1" w:rsidRPr="00BA2C4F">
        <w:rPr>
          <w:rFonts w:ascii="Verdana" w:hAnsi="Verdana" w:cs="Verdana"/>
          <w:color w:val="000000" w:themeColor="text1"/>
          <w:sz w:val="20"/>
          <w:lang w:val="es-ES"/>
        </w:rPr>
        <w:t xml:space="preserve"> millones de </w:t>
      </w:r>
      <w:r w:rsidR="002F244A" w:rsidRPr="00BA2C4F">
        <w:rPr>
          <w:rFonts w:ascii="Verdana" w:hAnsi="Verdana" w:cs="Verdana"/>
          <w:color w:val="000000" w:themeColor="text1"/>
          <w:sz w:val="20"/>
          <w:lang w:val="es-ES"/>
        </w:rPr>
        <w:t xml:space="preserve">nuevos </w:t>
      </w:r>
      <w:r w:rsidR="00CD0DC1" w:rsidRPr="00BA2C4F">
        <w:rPr>
          <w:rFonts w:ascii="Verdana" w:hAnsi="Verdana" w:cs="Verdana"/>
          <w:color w:val="000000" w:themeColor="text1"/>
          <w:sz w:val="20"/>
          <w:lang w:val="es-ES"/>
        </w:rPr>
        <w:t>soles</w:t>
      </w:r>
      <w:r w:rsidR="00645977" w:rsidRPr="00BA2C4F">
        <w:rPr>
          <w:rFonts w:ascii="Verdana" w:hAnsi="Verdana" w:cs="Verdana"/>
          <w:color w:val="000000" w:themeColor="text1"/>
          <w:sz w:val="20"/>
          <w:lang w:val="es-ES"/>
        </w:rPr>
        <w:t xml:space="preserve">, lo cual no </w:t>
      </w:r>
      <w:r w:rsidR="00645977" w:rsidRPr="00BA2C4F">
        <w:rPr>
          <w:rFonts w:ascii="Verdana" w:hAnsi="Verdana" w:cs="Verdana"/>
          <w:color w:val="000000" w:themeColor="text1"/>
          <w:sz w:val="20"/>
          <w:lang w:val="es-ES"/>
        </w:rPr>
        <w:lastRenderedPageBreak/>
        <w:t xml:space="preserve">representa un avance sustancial si se considera que </w:t>
      </w:r>
      <w:r w:rsidR="004534CE" w:rsidRPr="00BA2C4F">
        <w:rPr>
          <w:rFonts w:ascii="Verdana" w:hAnsi="Verdana" w:cs="Verdana"/>
          <w:color w:val="000000" w:themeColor="text1"/>
          <w:sz w:val="20"/>
          <w:lang w:val="es-ES"/>
        </w:rPr>
        <w:t xml:space="preserve">el monto total de los devengados dejados de percibir </w:t>
      </w:r>
      <w:r w:rsidR="00967CC4" w:rsidRPr="00BA2C4F">
        <w:rPr>
          <w:rFonts w:ascii="Verdana" w:hAnsi="Verdana" w:cs="Verdana"/>
          <w:color w:val="000000" w:themeColor="text1"/>
          <w:sz w:val="20"/>
          <w:lang w:val="es-ES"/>
        </w:rPr>
        <w:t>asciende</w:t>
      </w:r>
      <w:r w:rsidR="004534CE" w:rsidRPr="00BA2C4F">
        <w:rPr>
          <w:rFonts w:ascii="Verdana" w:hAnsi="Verdana" w:cs="Verdana"/>
          <w:color w:val="000000" w:themeColor="text1"/>
          <w:sz w:val="20"/>
          <w:lang w:val="es-ES"/>
        </w:rPr>
        <w:t xml:space="preserve"> </w:t>
      </w:r>
      <w:r w:rsidR="00967CC4" w:rsidRPr="00BA2C4F">
        <w:rPr>
          <w:rFonts w:ascii="Verdana" w:hAnsi="Verdana" w:cs="Verdana"/>
          <w:color w:val="000000" w:themeColor="text1"/>
          <w:sz w:val="20"/>
          <w:lang w:val="es-ES"/>
        </w:rPr>
        <w:t xml:space="preserve">a </w:t>
      </w:r>
      <w:r w:rsidR="004534CE" w:rsidRPr="00BA2C4F">
        <w:rPr>
          <w:rFonts w:ascii="Verdana" w:hAnsi="Verdana"/>
          <w:color w:val="000000" w:themeColor="text1"/>
          <w:sz w:val="20"/>
          <w:lang w:val="es-ES"/>
        </w:rPr>
        <w:t>S/</w:t>
      </w:r>
      <w:r w:rsidR="00C61F15" w:rsidRPr="00BA2C4F">
        <w:rPr>
          <w:rFonts w:ascii="Verdana" w:hAnsi="Verdana"/>
          <w:color w:val="000000" w:themeColor="text1"/>
          <w:sz w:val="20"/>
          <w:lang w:val="es-ES"/>
        </w:rPr>
        <w:t>.</w:t>
      </w:r>
      <w:r w:rsidR="004534CE" w:rsidRPr="00BA2C4F">
        <w:rPr>
          <w:rFonts w:ascii="Verdana" w:hAnsi="Verdana"/>
          <w:color w:val="000000" w:themeColor="text1"/>
          <w:sz w:val="20"/>
          <w:lang w:val="es-ES"/>
        </w:rPr>
        <w:t>257</w:t>
      </w:r>
      <w:r w:rsidR="002F244A" w:rsidRPr="00BA2C4F">
        <w:rPr>
          <w:rFonts w:ascii="Verdana" w:hAnsi="Verdana"/>
          <w:color w:val="000000" w:themeColor="text1"/>
          <w:sz w:val="20"/>
          <w:lang w:val="es-ES"/>
        </w:rPr>
        <w:t>’</w:t>
      </w:r>
      <w:r w:rsidR="004534CE" w:rsidRPr="00BA2C4F">
        <w:rPr>
          <w:rFonts w:ascii="Verdana" w:hAnsi="Verdana"/>
          <w:color w:val="000000" w:themeColor="text1"/>
          <w:sz w:val="20"/>
          <w:lang w:val="es-ES"/>
        </w:rPr>
        <w:t>475,175.1</w:t>
      </w:r>
      <w:r w:rsidR="00967CC4" w:rsidRPr="00BA2C4F">
        <w:rPr>
          <w:rFonts w:ascii="Verdana" w:hAnsi="Verdana"/>
          <w:color w:val="000000" w:themeColor="text1"/>
          <w:sz w:val="20"/>
          <w:lang w:val="es-ES"/>
        </w:rPr>
        <w:t xml:space="preserve">1, </w:t>
      </w:r>
      <w:r w:rsidR="00967CC4" w:rsidRPr="00D75D52">
        <w:rPr>
          <w:rFonts w:ascii="Verdana" w:hAnsi="Verdana"/>
          <w:sz w:val="20"/>
          <w:lang w:val="es-ES"/>
        </w:rPr>
        <w:t xml:space="preserve">el cual fue fijado hace más de 12 años </w:t>
      </w:r>
      <w:r w:rsidR="004534CE" w:rsidRPr="00D75D52">
        <w:rPr>
          <w:rFonts w:ascii="Verdana" w:hAnsi="Verdana"/>
          <w:sz w:val="20"/>
          <w:lang w:val="es-ES"/>
        </w:rPr>
        <w:t>(</w:t>
      </w:r>
      <w:r w:rsidR="004534CE" w:rsidRPr="00D75D52">
        <w:rPr>
          <w:rFonts w:ascii="Verdana" w:hAnsi="Verdana"/>
          <w:i/>
          <w:iCs/>
          <w:sz w:val="20"/>
          <w:lang w:val="es-ES"/>
        </w:rPr>
        <w:t>supra</w:t>
      </w:r>
      <w:r w:rsidR="00223DFD" w:rsidRPr="00D75D52">
        <w:rPr>
          <w:rFonts w:ascii="Verdana" w:hAnsi="Verdana"/>
          <w:sz w:val="20"/>
          <w:lang w:val="es-ES"/>
        </w:rPr>
        <w:t xml:space="preserve"> </w:t>
      </w:r>
      <w:r w:rsidR="004534CE" w:rsidRPr="00D75D52">
        <w:rPr>
          <w:rFonts w:ascii="Verdana" w:hAnsi="Verdana"/>
          <w:sz w:val="20"/>
          <w:lang w:val="es-ES"/>
        </w:rPr>
        <w:t>Considerando 5).</w:t>
      </w:r>
      <w:r w:rsidR="004534CE" w:rsidRPr="00BA2C4F">
        <w:rPr>
          <w:rFonts w:ascii="Verdana" w:hAnsi="Verdana" w:cs="Verdana"/>
          <w:color w:val="000000" w:themeColor="text1"/>
          <w:sz w:val="20"/>
          <w:lang w:val="es-ES"/>
        </w:rPr>
        <w:t xml:space="preserve"> </w:t>
      </w:r>
      <w:r w:rsidR="00CD0DC1" w:rsidRPr="00BA2C4F">
        <w:rPr>
          <w:rFonts w:ascii="Verdana" w:hAnsi="Verdana" w:cs="Verdana"/>
          <w:color w:val="000000" w:themeColor="text1"/>
          <w:sz w:val="20"/>
          <w:lang w:val="es-ES"/>
        </w:rPr>
        <w:t xml:space="preserve">La Corte valora positivamente que el Estado haya venido realizando </w:t>
      </w:r>
      <w:r w:rsidR="00967CC4" w:rsidRPr="00BA2C4F">
        <w:rPr>
          <w:rFonts w:ascii="Verdana" w:hAnsi="Verdana" w:cs="Verdana"/>
          <w:color w:val="000000" w:themeColor="text1"/>
          <w:sz w:val="20"/>
          <w:lang w:val="es-ES"/>
        </w:rPr>
        <w:t>abonos</w:t>
      </w:r>
      <w:r w:rsidR="00CD0DC1" w:rsidRPr="00BA2C4F">
        <w:rPr>
          <w:rFonts w:ascii="Verdana" w:hAnsi="Verdana" w:cs="Verdana"/>
          <w:color w:val="000000" w:themeColor="text1"/>
          <w:sz w:val="20"/>
          <w:lang w:val="es-ES"/>
        </w:rPr>
        <w:t xml:space="preserve"> por concepto de los devengados dejados de percibir, pero le resulta preocupante que el ritmo </w:t>
      </w:r>
      <w:r w:rsidR="00967CC4" w:rsidRPr="00BA2C4F">
        <w:rPr>
          <w:rFonts w:ascii="Verdana" w:hAnsi="Verdana" w:cs="Verdana"/>
          <w:color w:val="000000" w:themeColor="text1"/>
          <w:sz w:val="20"/>
          <w:lang w:val="es-ES"/>
        </w:rPr>
        <w:t xml:space="preserve">de pago </w:t>
      </w:r>
      <w:r w:rsidR="00CD0DC1" w:rsidRPr="00BA2C4F">
        <w:rPr>
          <w:rFonts w:ascii="Verdana" w:hAnsi="Verdana" w:cs="Verdana"/>
          <w:color w:val="000000" w:themeColor="text1"/>
          <w:sz w:val="20"/>
          <w:lang w:val="es-ES"/>
        </w:rPr>
        <w:t xml:space="preserve">no </w:t>
      </w:r>
      <w:r>
        <w:rPr>
          <w:rFonts w:ascii="Verdana" w:hAnsi="Verdana" w:cs="Verdana"/>
          <w:color w:val="000000" w:themeColor="text1"/>
          <w:sz w:val="20"/>
          <w:lang w:val="es-ES"/>
        </w:rPr>
        <w:t>ha garantizado</w:t>
      </w:r>
      <w:r w:rsidR="004534CE" w:rsidRPr="00BA2C4F">
        <w:rPr>
          <w:rFonts w:ascii="Verdana" w:hAnsi="Verdana" w:cs="Verdana"/>
          <w:color w:val="000000" w:themeColor="text1"/>
          <w:sz w:val="20"/>
          <w:lang w:val="es-ES"/>
        </w:rPr>
        <w:t xml:space="preserve"> </w:t>
      </w:r>
      <w:r w:rsidR="00CD0DC1" w:rsidRPr="00BA2C4F">
        <w:rPr>
          <w:rFonts w:ascii="Verdana" w:hAnsi="Verdana" w:cs="Verdana"/>
          <w:color w:val="000000" w:themeColor="text1"/>
          <w:sz w:val="20"/>
          <w:lang w:val="es-ES"/>
        </w:rPr>
        <w:t xml:space="preserve">el cumplimiento total de esta medida de reparación en un plazo razonable. </w:t>
      </w:r>
      <w:r w:rsidR="00A601E0" w:rsidRPr="00BA2C4F">
        <w:rPr>
          <w:rFonts w:ascii="Verdana" w:hAnsi="Verdana" w:cs="Verdana"/>
          <w:color w:val="000000" w:themeColor="text1"/>
          <w:sz w:val="20"/>
          <w:lang w:val="es-ES"/>
        </w:rPr>
        <w:t>El</w:t>
      </w:r>
      <w:r w:rsidR="00B2474E" w:rsidRPr="00BA2C4F">
        <w:rPr>
          <w:rFonts w:ascii="Verdana" w:hAnsi="Verdana" w:cs="Verdana"/>
          <w:color w:val="000000" w:themeColor="text1"/>
          <w:sz w:val="20"/>
          <w:lang w:val="es-ES"/>
        </w:rPr>
        <w:t xml:space="preserve"> Tribunal </w:t>
      </w:r>
      <w:r w:rsidR="00B2474E" w:rsidRPr="00BA2C4F">
        <w:rPr>
          <w:rFonts w:ascii="Verdana" w:eastAsia="Times New Roman" w:hAnsi="Verdana"/>
          <w:color w:val="000000" w:themeColor="text1"/>
          <w:sz w:val="20"/>
        </w:rPr>
        <w:t>comparte la preocupación externada por los intervinientes comunes</w:t>
      </w:r>
      <w:r w:rsidR="00A601E0" w:rsidRPr="00BA2C4F">
        <w:rPr>
          <w:rFonts w:ascii="Verdana" w:eastAsia="Times New Roman" w:hAnsi="Verdana"/>
          <w:color w:val="000000" w:themeColor="text1"/>
          <w:sz w:val="20"/>
          <w:lang w:val="es-CR"/>
        </w:rPr>
        <w:t xml:space="preserve"> en tal sentido</w:t>
      </w:r>
      <w:r w:rsidR="00B2474E" w:rsidRPr="00BA2C4F">
        <w:rPr>
          <w:rFonts w:ascii="Verdana" w:eastAsia="Times New Roman" w:hAnsi="Verdana"/>
          <w:color w:val="000000" w:themeColor="text1"/>
          <w:sz w:val="20"/>
        </w:rPr>
        <w:t xml:space="preserve">, quienes </w:t>
      </w:r>
      <w:r w:rsidR="00A601E0" w:rsidRPr="00BA2C4F">
        <w:rPr>
          <w:rFonts w:ascii="Verdana" w:eastAsia="Times New Roman" w:hAnsi="Verdana"/>
          <w:color w:val="000000" w:themeColor="text1"/>
          <w:sz w:val="20"/>
          <w:lang w:val="es-CR"/>
        </w:rPr>
        <w:t xml:space="preserve">enfatizaron </w:t>
      </w:r>
      <w:r w:rsidR="00B2474E" w:rsidRPr="00BA2C4F">
        <w:rPr>
          <w:rFonts w:ascii="Verdana" w:eastAsia="Times New Roman" w:hAnsi="Verdana"/>
          <w:color w:val="000000" w:themeColor="text1"/>
          <w:sz w:val="20"/>
        </w:rPr>
        <w:t>la edad avanzada de las víctimas</w:t>
      </w:r>
      <w:r w:rsidR="00A601E0" w:rsidRPr="00BA2C4F">
        <w:rPr>
          <w:rFonts w:ascii="Verdana" w:eastAsia="Times New Roman" w:hAnsi="Verdana"/>
          <w:color w:val="000000" w:themeColor="text1"/>
          <w:sz w:val="20"/>
          <w:lang w:val="es-CR"/>
        </w:rPr>
        <w:t xml:space="preserve"> y </w:t>
      </w:r>
      <w:r w:rsidR="00B2474E" w:rsidRPr="00BA2C4F">
        <w:rPr>
          <w:rFonts w:ascii="Verdana" w:eastAsia="Times New Roman" w:hAnsi="Verdana"/>
          <w:color w:val="000000" w:themeColor="text1"/>
          <w:sz w:val="20"/>
        </w:rPr>
        <w:t xml:space="preserve">el fallecimiento de </w:t>
      </w:r>
      <w:r w:rsidR="00B2474E" w:rsidRPr="00BA2C4F">
        <w:rPr>
          <w:rFonts w:ascii="Verdana" w:eastAsia="Times New Roman" w:hAnsi="Verdana"/>
          <w:color w:val="000000" w:themeColor="text1"/>
          <w:sz w:val="20"/>
          <w:lang w:val="es-CR"/>
        </w:rPr>
        <w:t xml:space="preserve">muchas de ellas </w:t>
      </w:r>
      <w:r w:rsidR="00B2474E" w:rsidRPr="00BA2C4F">
        <w:rPr>
          <w:rFonts w:ascii="Verdana" w:hAnsi="Verdana" w:cs="Verdana"/>
          <w:color w:val="000000" w:themeColor="text1"/>
          <w:sz w:val="20"/>
          <w:lang w:val="es-ES"/>
        </w:rPr>
        <w:t>sin que se les haya restituido la totalidad de sus devengados</w:t>
      </w:r>
      <w:r w:rsidR="00C61F15" w:rsidRPr="00BA2C4F">
        <w:rPr>
          <w:rFonts w:ascii="Verdana" w:hAnsi="Verdana" w:cs="Verdana"/>
          <w:color w:val="000000" w:themeColor="text1"/>
          <w:sz w:val="20"/>
          <w:lang w:val="es-ES"/>
        </w:rPr>
        <w:t xml:space="preserve">. La Corte </w:t>
      </w:r>
      <w:r w:rsidR="009B0D7E" w:rsidRPr="00BA2C4F">
        <w:rPr>
          <w:rFonts w:ascii="Verdana" w:hAnsi="Verdana" w:cs="Verdana"/>
          <w:color w:val="000000" w:themeColor="text1"/>
          <w:sz w:val="20"/>
          <w:lang w:val="es-ES"/>
        </w:rPr>
        <w:t>estima que</w:t>
      </w:r>
      <w:r w:rsidR="00961546" w:rsidRPr="00BA2C4F">
        <w:rPr>
          <w:rFonts w:ascii="Verdana" w:hAnsi="Verdana" w:cs="Verdana"/>
          <w:color w:val="000000" w:themeColor="text1"/>
          <w:sz w:val="20"/>
          <w:lang w:val="es-ES"/>
        </w:rPr>
        <w:t>, al tratarse de personas mayores</w:t>
      </w:r>
      <w:r w:rsidR="00D73307">
        <w:rPr>
          <w:rStyle w:val="Refdenotaalpie"/>
          <w:rFonts w:ascii="Verdana" w:hAnsi="Verdana" w:cs="Verdana"/>
          <w:color w:val="000000" w:themeColor="text1"/>
          <w:sz w:val="20"/>
          <w:lang w:val="es-ES"/>
        </w:rPr>
        <w:footnoteReference w:id="28"/>
      </w:r>
      <w:r w:rsidR="00961546" w:rsidRPr="00BA2C4F">
        <w:rPr>
          <w:rFonts w:ascii="Verdana" w:hAnsi="Verdana" w:cs="Verdana"/>
          <w:color w:val="000000" w:themeColor="text1"/>
          <w:sz w:val="20"/>
          <w:lang w:val="es-ES"/>
        </w:rPr>
        <w:t xml:space="preserve"> y de prestaciones relacionadas con la seguridad social, </w:t>
      </w:r>
      <w:r w:rsidR="009B0D7E" w:rsidRPr="00BA2C4F">
        <w:rPr>
          <w:rFonts w:ascii="Verdana" w:hAnsi="Verdana" w:cs="Verdana"/>
          <w:color w:val="000000" w:themeColor="text1"/>
          <w:sz w:val="20"/>
          <w:lang w:val="es-ES"/>
        </w:rPr>
        <w:t xml:space="preserve">el Estado debe actuar con especial diligencia y celeridad respecto </w:t>
      </w:r>
      <w:r w:rsidR="00961546" w:rsidRPr="00BA2C4F">
        <w:rPr>
          <w:rFonts w:ascii="Verdana" w:hAnsi="Verdana" w:cs="Verdana"/>
          <w:color w:val="000000" w:themeColor="text1"/>
          <w:sz w:val="20"/>
          <w:lang w:val="es-ES"/>
        </w:rPr>
        <w:t xml:space="preserve">a la ejecución de las sentencias emitidas a favor de las víctimas y el pago de sus devengados dejados de percibir por concepto de su derecho a una pensión </w:t>
      </w:r>
      <w:proofErr w:type="spellStart"/>
      <w:r w:rsidR="00961546" w:rsidRPr="00BA2C4F">
        <w:rPr>
          <w:rFonts w:ascii="Verdana" w:hAnsi="Verdana" w:cs="Verdana"/>
          <w:color w:val="000000" w:themeColor="text1"/>
          <w:sz w:val="20"/>
          <w:lang w:val="es-ES"/>
        </w:rPr>
        <w:t>nivelable</w:t>
      </w:r>
      <w:proofErr w:type="spellEnd"/>
      <w:r w:rsidR="00961546" w:rsidRPr="00BA2C4F">
        <w:rPr>
          <w:rStyle w:val="Refdenotaalpie"/>
          <w:rFonts w:ascii="Verdana" w:hAnsi="Verdana" w:cs="Verdana"/>
          <w:color w:val="000000" w:themeColor="text1"/>
          <w:sz w:val="20"/>
          <w:lang w:val="es-ES"/>
        </w:rPr>
        <w:footnoteReference w:id="29"/>
      </w:r>
      <w:r w:rsidR="00961546" w:rsidRPr="00BA2C4F">
        <w:rPr>
          <w:rFonts w:ascii="Verdana" w:hAnsi="Verdana" w:cs="Verdana"/>
          <w:color w:val="000000" w:themeColor="text1"/>
          <w:sz w:val="20"/>
          <w:lang w:val="es-ES"/>
        </w:rPr>
        <w:t xml:space="preserve">.  </w:t>
      </w:r>
    </w:p>
    <w:p w14:paraId="310252C8" w14:textId="508FE927" w:rsidR="00961546" w:rsidRDefault="00961546" w:rsidP="00961546">
      <w:pPr>
        <w:pStyle w:val="Prrafodelista"/>
        <w:tabs>
          <w:tab w:val="left" w:pos="1134"/>
        </w:tabs>
        <w:ind w:left="0" w:right="12"/>
        <w:jc w:val="both"/>
        <w:rPr>
          <w:rFonts w:ascii="Verdana" w:hAnsi="Verdana"/>
          <w:color w:val="000000" w:themeColor="text1"/>
          <w:sz w:val="20"/>
          <w:lang w:val="es-ES"/>
        </w:rPr>
      </w:pPr>
    </w:p>
    <w:p w14:paraId="3BF05D74" w14:textId="77777777" w:rsidR="00896FD1" w:rsidRPr="00BA2C4F" w:rsidRDefault="00896FD1" w:rsidP="00961546">
      <w:pPr>
        <w:pStyle w:val="Prrafodelista"/>
        <w:tabs>
          <w:tab w:val="left" w:pos="1134"/>
        </w:tabs>
        <w:ind w:left="0" w:right="12"/>
        <w:jc w:val="both"/>
        <w:rPr>
          <w:rFonts w:ascii="Verdana" w:hAnsi="Verdana"/>
          <w:color w:val="000000" w:themeColor="text1"/>
          <w:sz w:val="20"/>
          <w:lang w:val="es-ES"/>
        </w:rPr>
      </w:pPr>
    </w:p>
    <w:p w14:paraId="359A0DD6" w14:textId="6F42AB0C" w:rsidR="00A601E0" w:rsidRPr="00BA2C4F" w:rsidRDefault="00A601E0" w:rsidP="00463BB5">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 xml:space="preserve">La Corte también valora que en el 2018 el </w:t>
      </w:r>
      <w:r w:rsidR="00A756EC" w:rsidRPr="00BA2C4F">
        <w:rPr>
          <w:rFonts w:ascii="Verdana" w:hAnsi="Verdana"/>
          <w:color w:val="000000" w:themeColor="text1"/>
          <w:sz w:val="20"/>
          <w:lang w:val="es-ES"/>
        </w:rPr>
        <w:t>Perú</w:t>
      </w:r>
      <w:r w:rsidRPr="00BA2C4F">
        <w:rPr>
          <w:rFonts w:ascii="Verdana" w:hAnsi="Verdana"/>
          <w:color w:val="000000" w:themeColor="text1"/>
          <w:sz w:val="20"/>
          <w:lang w:val="es-ES"/>
        </w:rPr>
        <w:t xml:space="preserve"> haya conformado una </w:t>
      </w:r>
      <w:r w:rsidR="002568AF" w:rsidRPr="00BA2C4F">
        <w:rPr>
          <w:rFonts w:ascii="Verdana" w:hAnsi="Verdana"/>
          <w:color w:val="000000" w:themeColor="text1"/>
          <w:sz w:val="20"/>
          <w:lang w:val="es-ES"/>
        </w:rPr>
        <w:t>c</w:t>
      </w:r>
      <w:r w:rsidRPr="00BA2C4F">
        <w:rPr>
          <w:rFonts w:ascii="Verdana" w:hAnsi="Verdana"/>
          <w:color w:val="000000" w:themeColor="text1"/>
          <w:sz w:val="20"/>
          <w:lang w:val="es-ES"/>
        </w:rPr>
        <w:t xml:space="preserve">omisión </w:t>
      </w:r>
      <w:r w:rsidRPr="00BA2C4F">
        <w:rPr>
          <w:rFonts w:ascii="Verdana" w:eastAsia="Times New Roman" w:hAnsi="Verdana"/>
          <w:color w:val="000000" w:themeColor="text1"/>
          <w:sz w:val="20"/>
        </w:rPr>
        <w:t xml:space="preserve">encargada de </w:t>
      </w:r>
      <w:r w:rsidRPr="00BA2C4F">
        <w:rPr>
          <w:rFonts w:ascii="Verdana" w:eastAsia="Times New Roman" w:hAnsi="Verdana"/>
          <w:color w:val="000000" w:themeColor="text1"/>
          <w:sz w:val="20"/>
          <w:lang w:val="es-CR"/>
        </w:rPr>
        <w:t>“</w:t>
      </w:r>
      <w:r w:rsidRPr="00BA2C4F">
        <w:rPr>
          <w:rFonts w:ascii="Verdana" w:eastAsia="Times New Roman" w:hAnsi="Verdana"/>
          <w:color w:val="000000" w:themeColor="text1"/>
          <w:sz w:val="20"/>
        </w:rPr>
        <w:t xml:space="preserve">evaluar y proponer las acciones destinadas al inmediato pago de la deuda que mantiene el Estado peruano con los integrantes de la </w:t>
      </w:r>
      <w:proofErr w:type="spellStart"/>
      <w:r w:rsidRPr="00BA2C4F">
        <w:rPr>
          <w:rFonts w:ascii="Verdana" w:eastAsia="Times New Roman" w:hAnsi="Verdana"/>
          <w:color w:val="000000" w:themeColor="text1"/>
          <w:sz w:val="20"/>
        </w:rPr>
        <w:t>Asociación</w:t>
      </w:r>
      <w:proofErr w:type="spellEnd"/>
      <w:r w:rsidRPr="00BA2C4F">
        <w:rPr>
          <w:rFonts w:ascii="Verdana" w:eastAsia="Times New Roman" w:hAnsi="Verdana"/>
          <w:color w:val="000000" w:themeColor="text1"/>
          <w:sz w:val="20"/>
        </w:rPr>
        <w:t xml:space="preserve"> de Cesantes y Jubilados de la </w:t>
      </w:r>
      <w:proofErr w:type="spellStart"/>
      <w:r w:rsidRPr="00BA2C4F">
        <w:rPr>
          <w:rFonts w:ascii="Verdana" w:eastAsia="Times New Roman" w:hAnsi="Verdana"/>
          <w:color w:val="000000" w:themeColor="text1"/>
          <w:sz w:val="20"/>
        </w:rPr>
        <w:t>Contraloría</w:t>
      </w:r>
      <w:proofErr w:type="spellEnd"/>
      <w:r w:rsidRPr="00BA2C4F">
        <w:rPr>
          <w:rFonts w:ascii="Verdana" w:eastAsia="Times New Roman" w:hAnsi="Verdana"/>
          <w:color w:val="000000" w:themeColor="text1"/>
          <w:sz w:val="20"/>
        </w:rPr>
        <w:t xml:space="preserve"> General de la </w:t>
      </w:r>
      <w:proofErr w:type="spellStart"/>
      <w:r w:rsidRPr="00BA2C4F">
        <w:rPr>
          <w:rFonts w:ascii="Verdana" w:eastAsia="Times New Roman" w:hAnsi="Verdana"/>
          <w:color w:val="000000" w:themeColor="text1"/>
          <w:sz w:val="20"/>
        </w:rPr>
        <w:t>República</w:t>
      </w:r>
      <w:proofErr w:type="spellEnd"/>
      <w:r w:rsidR="008429C6" w:rsidRPr="00BA2C4F">
        <w:rPr>
          <w:rFonts w:ascii="Verdana" w:eastAsia="Times New Roman" w:hAnsi="Verdana"/>
          <w:color w:val="000000" w:themeColor="text1"/>
          <w:sz w:val="20"/>
          <w:lang w:val="es-CR"/>
        </w:rPr>
        <w:t xml:space="preserve"> […]</w:t>
      </w:r>
      <w:r w:rsidRPr="00BA2C4F">
        <w:rPr>
          <w:rFonts w:ascii="Verdana" w:eastAsia="Times New Roman" w:hAnsi="Verdana"/>
          <w:color w:val="000000" w:themeColor="text1"/>
          <w:sz w:val="20"/>
          <w:lang w:val="es-CR"/>
        </w:rPr>
        <w:t>”</w:t>
      </w:r>
      <w:r w:rsidR="002568AF" w:rsidRPr="00BA2C4F">
        <w:rPr>
          <w:rStyle w:val="Refdenotaalpie"/>
          <w:rFonts w:ascii="Verdana" w:eastAsia="Times New Roman" w:hAnsi="Verdana"/>
          <w:color w:val="000000" w:themeColor="text1"/>
          <w:sz w:val="20"/>
          <w:lang w:val="es-CR"/>
        </w:rPr>
        <w:footnoteReference w:id="30"/>
      </w:r>
      <w:r w:rsidR="002568AF" w:rsidRPr="00BA2C4F">
        <w:rPr>
          <w:rFonts w:ascii="Verdana" w:eastAsia="Times New Roman" w:hAnsi="Verdana"/>
          <w:color w:val="000000" w:themeColor="text1"/>
          <w:sz w:val="20"/>
          <w:lang w:val="es-CR"/>
        </w:rPr>
        <w:t>, pero advierte que, de acuerdo con lo informado por los intervinientes comunes, dicha comisión se limitó a presentar un informe sin incluir propuestas concretas para acelerar el ritmo de los pagos y garantizar así el cumplimiento total e inmediato de la medida de reparación, e</w:t>
      </w:r>
      <w:r w:rsidR="00A756EC" w:rsidRPr="00BA2C4F">
        <w:rPr>
          <w:rFonts w:ascii="Verdana" w:eastAsia="Times New Roman" w:hAnsi="Verdana"/>
          <w:color w:val="000000" w:themeColor="text1"/>
          <w:sz w:val="20"/>
          <w:lang w:val="es-CR"/>
        </w:rPr>
        <w:t>n contravención a los términos de su propio establecimiento</w:t>
      </w:r>
      <w:r w:rsidR="002568AF" w:rsidRPr="00BA2C4F">
        <w:rPr>
          <w:rStyle w:val="Refdenotaalpie"/>
          <w:rFonts w:ascii="Verdana" w:eastAsia="Times New Roman" w:hAnsi="Verdana"/>
          <w:color w:val="000000" w:themeColor="text1"/>
          <w:sz w:val="20"/>
          <w:lang w:val="es-CR"/>
        </w:rPr>
        <w:footnoteReference w:id="31"/>
      </w:r>
      <w:r w:rsidR="002568AF" w:rsidRPr="00BA2C4F">
        <w:rPr>
          <w:rFonts w:ascii="Verdana" w:eastAsia="Times New Roman" w:hAnsi="Verdana"/>
          <w:color w:val="000000" w:themeColor="text1"/>
          <w:sz w:val="20"/>
          <w:lang w:val="es-CR"/>
        </w:rPr>
        <w:t xml:space="preserve">. </w:t>
      </w:r>
    </w:p>
    <w:p w14:paraId="2A2E5364" w14:textId="6592943C" w:rsidR="00A601E0" w:rsidRDefault="00A601E0" w:rsidP="00A601E0">
      <w:pPr>
        <w:pStyle w:val="Prrafodelista"/>
        <w:tabs>
          <w:tab w:val="left" w:pos="1134"/>
        </w:tabs>
        <w:ind w:left="0" w:right="12"/>
        <w:jc w:val="both"/>
        <w:rPr>
          <w:rFonts w:ascii="Verdana" w:hAnsi="Verdana"/>
          <w:color w:val="000000" w:themeColor="text1"/>
          <w:sz w:val="20"/>
        </w:rPr>
      </w:pPr>
    </w:p>
    <w:p w14:paraId="434DAEAB" w14:textId="77777777" w:rsidR="00896FD1" w:rsidRPr="00BA2C4F" w:rsidRDefault="00896FD1" w:rsidP="00A601E0">
      <w:pPr>
        <w:pStyle w:val="Prrafodelista"/>
        <w:tabs>
          <w:tab w:val="left" w:pos="1134"/>
        </w:tabs>
        <w:ind w:left="0" w:right="12"/>
        <w:jc w:val="both"/>
        <w:rPr>
          <w:rFonts w:ascii="Verdana" w:hAnsi="Verdana"/>
          <w:color w:val="000000" w:themeColor="text1"/>
          <w:sz w:val="20"/>
        </w:rPr>
      </w:pPr>
    </w:p>
    <w:p w14:paraId="5978F823" w14:textId="0D265A60" w:rsidR="00CD0DC1" w:rsidRPr="00BA2C4F" w:rsidRDefault="00CD0DC1" w:rsidP="00CD0DC1">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 xml:space="preserve">Además, la Corte </w:t>
      </w:r>
      <w:r w:rsidR="002774C3" w:rsidRPr="00BA2C4F">
        <w:rPr>
          <w:rFonts w:ascii="Verdana" w:hAnsi="Verdana"/>
          <w:color w:val="000000" w:themeColor="text1"/>
          <w:sz w:val="20"/>
          <w:lang w:val="es-ES"/>
        </w:rPr>
        <w:t xml:space="preserve">nota </w:t>
      </w:r>
      <w:r w:rsidRPr="00BA2C4F">
        <w:rPr>
          <w:rFonts w:ascii="Verdana" w:hAnsi="Verdana"/>
          <w:color w:val="000000" w:themeColor="text1"/>
          <w:sz w:val="20"/>
          <w:lang w:val="es-ES"/>
        </w:rPr>
        <w:t xml:space="preserve">con preocupación que los intervinientes comunes han manifestado que </w:t>
      </w:r>
      <w:r w:rsidRPr="00BA2C4F">
        <w:rPr>
          <w:rFonts w:ascii="Verdana" w:hAnsi="Verdana" w:cs="Verdana"/>
          <w:color w:val="000000" w:themeColor="text1"/>
          <w:sz w:val="20"/>
          <w:lang w:val="es-ES"/>
        </w:rPr>
        <w:t xml:space="preserve">“las entidades obligadas a cumplir” con las sentencias del Tribunal Constitucional “se atribuyen mutuamente la responsabilidad de hacerlo sin que ninguna </w:t>
      </w:r>
      <w:r w:rsidR="008429C6" w:rsidRPr="00BA2C4F">
        <w:rPr>
          <w:rFonts w:ascii="Verdana" w:hAnsi="Verdana" w:cs="Verdana"/>
          <w:color w:val="000000" w:themeColor="text1"/>
          <w:sz w:val="20"/>
          <w:lang w:val="es-ES"/>
        </w:rPr>
        <w:t xml:space="preserve">de ellas </w:t>
      </w:r>
      <w:r w:rsidRPr="00BA2C4F">
        <w:rPr>
          <w:rFonts w:ascii="Verdana" w:hAnsi="Verdana" w:cs="Verdana"/>
          <w:color w:val="000000" w:themeColor="text1"/>
          <w:sz w:val="20"/>
          <w:lang w:val="es-ES"/>
        </w:rPr>
        <w:t xml:space="preserve">lo haga finalmente: la primera </w:t>
      </w:r>
      <w:r w:rsidRPr="00BA2C4F">
        <w:rPr>
          <w:rFonts w:ascii="Verdana" w:hAnsi="Verdana" w:cs="Arial"/>
          <w:color w:val="000000" w:themeColor="text1"/>
          <w:sz w:val="20"/>
          <w:shd w:val="clear" w:color="auto" w:fill="FFFFFF"/>
          <w:lang w:val="es-ES"/>
        </w:rPr>
        <w:t xml:space="preserve">[Contraloría General de la República] </w:t>
      </w:r>
      <w:r w:rsidRPr="00BA2C4F">
        <w:rPr>
          <w:rFonts w:ascii="Verdana" w:hAnsi="Verdana" w:cs="Verdana"/>
          <w:color w:val="000000" w:themeColor="text1"/>
          <w:sz w:val="20"/>
          <w:lang w:val="es-ES"/>
        </w:rPr>
        <w:t xml:space="preserve">pide a la segunda </w:t>
      </w:r>
      <w:r w:rsidRPr="00BA2C4F">
        <w:rPr>
          <w:rFonts w:ascii="Verdana" w:hAnsi="Verdana" w:cs="Arial"/>
          <w:color w:val="000000" w:themeColor="text1"/>
          <w:sz w:val="20"/>
          <w:shd w:val="clear" w:color="auto" w:fill="FFFFFF"/>
          <w:lang w:val="es-ES"/>
        </w:rPr>
        <w:t xml:space="preserve">[Ministerio de Economía y Finanzas] recursos para cumplir con lo ordenado en las sentencias; </w:t>
      </w:r>
      <w:r w:rsidRPr="00BA2C4F">
        <w:rPr>
          <w:rFonts w:ascii="Verdana" w:hAnsi="Verdana" w:cs="Verdana"/>
          <w:color w:val="000000" w:themeColor="text1"/>
          <w:sz w:val="20"/>
          <w:lang w:val="es-ES"/>
        </w:rPr>
        <w:t>y la segunda (el MEF) contesta indicando que la deuda debe pagarse con el presupuesto de la primera (la CGR)”</w:t>
      </w:r>
      <w:r w:rsidRPr="00BA2C4F">
        <w:rPr>
          <w:rStyle w:val="Refdenotaalpie"/>
          <w:rFonts w:ascii="Verdana" w:hAnsi="Verdana" w:cs="Verdana"/>
          <w:color w:val="000000" w:themeColor="text1"/>
          <w:sz w:val="20"/>
          <w:lang w:val="es-ES"/>
        </w:rPr>
        <w:footnoteReference w:id="32"/>
      </w:r>
      <w:r w:rsidRPr="00BA2C4F">
        <w:rPr>
          <w:rFonts w:ascii="Verdana" w:hAnsi="Verdana" w:cs="Verdana"/>
          <w:color w:val="000000" w:themeColor="text1"/>
          <w:sz w:val="20"/>
          <w:lang w:val="es-ES"/>
        </w:rPr>
        <w:t xml:space="preserve">. La Corte </w:t>
      </w:r>
      <w:r w:rsidR="002774C3" w:rsidRPr="00BA2C4F">
        <w:rPr>
          <w:rFonts w:ascii="Verdana" w:hAnsi="Verdana" w:cs="Verdana"/>
          <w:color w:val="000000" w:themeColor="text1"/>
          <w:sz w:val="20"/>
          <w:lang w:val="es-ES"/>
        </w:rPr>
        <w:t>advierte</w:t>
      </w:r>
      <w:r w:rsidRPr="00BA2C4F">
        <w:rPr>
          <w:rFonts w:ascii="Verdana" w:hAnsi="Verdana" w:cs="Verdana"/>
          <w:color w:val="000000" w:themeColor="text1"/>
          <w:sz w:val="20"/>
          <w:lang w:val="es-ES"/>
        </w:rPr>
        <w:t xml:space="preserve"> que</w:t>
      </w:r>
      <w:r w:rsidR="008429C6" w:rsidRPr="00BA2C4F">
        <w:rPr>
          <w:rFonts w:ascii="Verdana" w:hAnsi="Verdana" w:cs="Verdana"/>
          <w:color w:val="000000" w:themeColor="text1"/>
          <w:sz w:val="20"/>
          <w:lang w:val="es-ES"/>
        </w:rPr>
        <w:t xml:space="preserve"> </w:t>
      </w:r>
      <w:r w:rsidRPr="00BA2C4F">
        <w:rPr>
          <w:rFonts w:ascii="Verdana" w:hAnsi="Verdana" w:cs="Verdana"/>
          <w:color w:val="000000" w:themeColor="text1"/>
          <w:sz w:val="20"/>
          <w:lang w:val="es-ES"/>
        </w:rPr>
        <w:t>entre las referidas entidades estatales</w:t>
      </w:r>
      <w:r w:rsidR="008429C6" w:rsidRPr="00BA2C4F">
        <w:rPr>
          <w:rFonts w:ascii="Verdana" w:hAnsi="Verdana" w:cs="Verdana"/>
          <w:color w:val="000000" w:themeColor="text1"/>
          <w:sz w:val="20"/>
          <w:lang w:val="es-ES"/>
        </w:rPr>
        <w:t xml:space="preserve"> </w:t>
      </w:r>
      <w:r w:rsidRPr="00BA2C4F">
        <w:rPr>
          <w:rFonts w:ascii="Verdana" w:hAnsi="Verdana" w:cs="Verdana"/>
          <w:color w:val="000000" w:themeColor="text1"/>
          <w:sz w:val="20"/>
          <w:lang w:val="es-ES"/>
        </w:rPr>
        <w:t>se han dirimido a</w:t>
      </w:r>
      <w:r w:rsidR="00114AE2">
        <w:rPr>
          <w:rFonts w:ascii="Verdana" w:hAnsi="Verdana" w:cs="Verdana"/>
          <w:color w:val="000000" w:themeColor="text1"/>
          <w:sz w:val="20"/>
          <w:lang w:val="es-ES"/>
        </w:rPr>
        <w:t>cciones judiciales sobre a cuál</w:t>
      </w:r>
      <w:r w:rsidRPr="00BA2C4F">
        <w:rPr>
          <w:rFonts w:ascii="Verdana" w:hAnsi="Verdana" w:cs="Verdana"/>
          <w:color w:val="000000" w:themeColor="text1"/>
          <w:sz w:val="20"/>
          <w:lang w:val="es-ES"/>
        </w:rPr>
        <w:t xml:space="preserve"> compete la asignación de recursos para la realización de los pagos, lo cual ha contribuido a retrasar el proceso de ejecución de las sentencias del Tribunal Constitucional. La Corte considera necesario </w:t>
      </w:r>
      <w:r w:rsidR="00114AE2">
        <w:rPr>
          <w:rFonts w:ascii="Verdana" w:hAnsi="Verdana" w:cs="Verdana"/>
          <w:color w:val="000000" w:themeColor="text1"/>
          <w:sz w:val="20"/>
          <w:lang w:val="es-ES"/>
        </w:rPr>
        <w:t xml:space="preserve">reiterar lo indicado </w:t>
      </w:r>
      <w:r w:rsidRPr="00BA2C4F">
        <w:rPr>
          <w:rFonts w:ascii="Verdana" w:hAnsi="Verdana" w:cs="Verdana"/>
          <w:color w:val="000000" w:themeColor="text1"/>
          <w:sz w:val="20"/>
          <w:lang w:val="es-ES"/>
        </w:rPr>
        <w:t xml:space="preserve">en su Resolución de 2015, </w:t>
      </w:r>
      <w:r w:rsidR="00114AE2">
        <w:rPr>
          <w:rFonts w:ascii="Verdana" w:hAnsi="Verdana" w:cs="Verdana"/>
          <w:color w:val="000000" w:themeColor="text1"/>
          <w:sz w:val="20"/>
          <w:lang w:val="es-ES"/>
        </w:rPr>
        <w:t xml:space="preserve">respecto a </w:t>
      </w:r>
      <w:r w:rsidRPr="00BA2C4F">
        <w:rPr>
          <w:rFonts w:ascii="Verdana" w:eastAsia="Times New Roman" w:hAnsi="Verdana"/>
          <w:color w:val="000000" w:themeColor="text1"/>
          <w:sz w:val="20"/>
          <w:lang w:val="es-ES"/>
        </w:rPr>
        <w:t xml:space="preserve">que “la obligación establecida en el punto resolutivo sexto de la Sentencia </w:t>
      </w:r>
      <w:r w:rsidRPr="00BA2C4F">
        <w:rPr>
          <w:rFonts w:ascii="Verdana" w:eastAsia="Times New Roman" w:hAnsi="Verdana"/>
          <w:color w:val="000000" w:themeColor="text1"/>
          <w:sz w:val="20"/>
          <w:lang w:val="es-ES"/>
        </w:rPr>
        <w:lastRenderedPageBreak/>
        <w:t>es una obligación del Estado, el cual no puede, por razones de orden interno, dejar de asumir la responsabilidad internacional ya establecida”</w:t>
      </w:r>
      <w:r w:rsidRPr="00BA2C4F">
        <w:rPr>
          <w:rStyle w:val="Refdenotaalpie"/>
          <w:rFonts w:ascii="Verdana" w:eastAsia="Times New Roman" w:hAnsi="Verdana"/>
          <w:color w:val="000000" w:themeColor="text1"/>
          <w:sz w:val="20"/>
          <w:lang w:val="es-ES"/>
        </w:rPr>
        <w:footnoteReference w:id="33"/>
      </w:r>
      <w:r w:rsidRPr="00BA2C4F">
        <w:rPr>
          <w:rFonts w:ascii="Verdana" w:eastAsia="Times New Roman" w:hAnsi="Verdana"/>
          <w:color w:val="000000" w:themeColor="text1"/>
          <w:sz w:val="20"/>
          <w:lang w:val="es-ES"/>
        </w:rPr>
        <w:t xml:space="preserve">. </w:t>
      </w:r>
    </w:p>
    <w:p w14:paraId="10D441DE" w14:textId="2BBD364D" w:rsidR="00CD0DC1" w:rsidRDefault="00CD0DC1" w:rsidP="00CD0DC1">
      <w:pPr>
        <w:pStyle w:val="Prrafodelista"/>
        <w:tabs>
          <w:tab w:val="left" w:pos="1134"/>
        </w:tabs>
        <w:ind w:left="0" w:right="12"/>
        <w:jc w:val="both"/>
        <w:rPr>
          <w:rFonts w:ascii="Verdana" w:hAnsi="Verdana"/>
          <w:color w:val="000000" w:themeColor="text1"/>
          <w:sz w:val="20"/>
          <w:lang w:val="es-ES"/>
        </w:rPr>
      </w:pPr>
    </w:p>
    <w:p w14:paraId="14D8E0FF" w14:textId="77777777" w:rsidR="00896FD1" w:rsidRPr="00BA2C4F" w:rsidRDefault="00896FD1" w:rsidP="00CD0DC1">
      <w:pPr>
        <w:pStyle w:val="Prrafodelista"/>
        <w:tabs>
          <w:tab w:val="left" w:pos="1134"/>
        </w:tabs>
        <w:ind w:left="0" w:right="12"/>
        <w:jc w:val="both"/>
        <w:rPr>
          <w:rFonts w:ascii="Verdana" w:hAnsi="Verdana"/>
          <w:color w:val="000000" w:themeColor="text1"/>
          <w:sz w:val="20"/>
          <w:lang w:val="es-ES"/>
        </w:rPr>
      </w:pPr>
    </w:p>
    <w:p w14:paraId="175D8B1A" w14:textId="006255C3" w:rsidR="00DF3C3C" w:rsidRPr="00BA2C4F" w:rsidRDefault="00CD0DC1" w:rsidP="00DF3C3C">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s="Verdana"/>
          <w:color w:val="000000" w:themeColor="text1"/>
          <w:sz w:val="20"/>
          <w:lang w:val="es-ES"/>
        </w:rPr>
        <w:t xml:space="preserve">A pesar de lo establecido por la Corte en su Resolución de 2015, el Estado continúa alegando razones de presupuesto para justificar el retardo en el cumplimiento total de la medida de reparación, incluyendo que la normativa vigente impone un límite del 5% del presupuesto anual de la Contraloría General </w:t>
      </w:r>
      <w:r w:rsidR="00E14D4B" w:rsidRPr="00BA2C4F">
        <w:rPr>
          <w:rFonts w:ascii="Verdana" w:hAnsi="Verdana" w:cs="Verdana"/>
          <w:color w:val="000000" w:themeColor="text1"/>
          <w:sz w:val="20"/>
          <w:lang w:val="es-ES"/>
        </w:rPr>
        <w:t xml:space="preserve">para </w:t>
      </w:r>
      <w:r w:rsidRPr="00BA2C4F">
        <w:rPr>
          <w:rFonts w:ascii="Verdana" w:hAnsi="Verdana" w:cs="Verdana"/>
          <w:color w:val="000000" w:themeColor="text1"/>
          <w:sz w:val="20"/>
          <w:lang w:val="es-ES"/>
        </w:rPr>
        <w:t>los pagos de las deudas establecidas en sentencias judiciales. Al respecto, la Corte reitera lo indicado en la Sentencia y en la Resolución de 2015, en el sentido de que “</w:t>
      </w:r>
      <w:r w:rsidRPr="00BA2C4F">
        <w:rPr>
          <w:rFonts w:ascii="Verdana" w:eastAsia="Times New Roman" w:hAnsi="Verdana"/>
          <w:color w:val="000000" w:themeColor="text1"/>
          <w:sz w:val="20"/>
          <w:lang w:val="es-ES"/>
        </w:rPr>
        <w:t>las normas de presupuesto no pueden justificar la demora durante años del cumplimiento de sentencias”</w:t>
      </w:r>
      <w:r w:rsidRPr="00BA2C4F">
        <w:rPr>
          <w:rStyle w:val="Refdenotaalpie"/>
          <w:rFonts w:ascii="Verdana" w:eastAsia="Times New Roman" w:hAnsi="Verdana"/>
          <w:color w:val="000000" w:themeColor="text1"/>
          <w:sz w:val="20"/>
          <w:lang w:val="es-ES"/>
        </w:rPr>
        <w:footnoteReference w:id="34"/>
      </w:r>
      <w:r w:rsidRPr="00BA2C4F">
        <w:rPr>
          <w:rFonts w:ascii="Verdana" w:eastAsia="Times New Roman" w:hAnsi="Verdana"/>
          <w:color w:val="000000" w:themeColor="text1"/>
          <w:sz w:val="20"/>
          <w:lang w:val="es-ES"/>
        </w:rPr>
        <w:t>. Estas razones de presupuesto han sido desestimadas por los tribunales internos durante el proceso de ejecución, los cuales han ordenado al Estado en diversas ocasiones pagar la totalidad de la deuda en un desembolso único</w:t>
      </w:r>
      <w:r w:rsidRPr="00BA2C4F">
        <w:rPr>
          <w:rStyle w:val="Refdenotaalpie"/>
          <w:rFonts w:ascii="Verdana" w:eastAsia="Times New Roman" w:hAnsi="Verdana"/>
          <w:color w:val="000000" w:themeColor="text1"/>
          <w:sz w:val="20"/>
          <w:lang w:val="es-ES"/>
        </w:rPr>
        <w:footnoteReference w:id="35"/>
      </w:r>
      <w:r w:rsidRPr="00BA2C4F">
        <w:rPr>
          <w:rFonts w:ascii="Verdana" w:eastAsia="Times New Roman" w:hAnsi="Verdana"/>
          <w:color w:val="000000" w:themeColor="text1"/>
          <w:sz w:val="20"/>
          <w:lang w:val="es-ES"/>
        </w:rPr>
        <w:t>.</w:t>
      </w:r>
      <w:r w:rsidRPr="00BA2C4F">
        <w:rPr>
          <w:rFonts w:ascii="Verdana" w:hAnsi="Verdana" w:cs="Helvetica"/>
          <w:color w:val="000000" w:themeColor="text1"/>
          <w:sz w:val="20"/>
          <w:lang w:val="es-ES"/>
        </w:rPr>
        <w:t xml:space="preserve"> Sin embargo, tampoco esos mandatos judiciales han sido cumplidos por el Estado</w:t>
      </w:r>
      <w:r w:rsidRPr="00BA2C4F">
        <w:rPr>
          <w:rStyle w:val="Refdenotaalpie"/>
          <w:rFonts w:ascii="Verdana" w:hAnsi="Verdana" w:cs="Helvetica"/>
          <w:color w:val="000000" w:themeColor="text1"/>
          <w:sz w:val="20"/>
          <w:lang w:val="es-ES"/>
        </w:rPr>
        <w:footnoteReference w:id="36"/>
      </w:r>
      <w:r w:rsidRPr="00BA2C4F">
        <w:rPr>
          <w:rFonts w:ascii="Verdana" w:hAnsi="Verdana" w:cs="Helvetica"/>
          <w:color w:val="000000" w:themeColor="text1"/>
          <w:sz w:val="20"/>
          <w:lang w:val="es-ES"/>
        </w:rPr>
        <w:t xml:space="preserve">. </w:t>
      </w:r>
    </w:p>
    <w:p w14:paraId="583C4682" w14:textId="221A4AD6" w:rsidR="00DF3C3C" w:rsidRDefault="00DF3C3C" w:rsidP="00DF3C3C">
      <w:pPr>
        <w:pStyle w:val="Prrafodelista"/>
        <w:tabs>
          <w:tab w:val="left" w:pos="1134"/>
        </w:tabs>
        <w:ind w:left="0" w:right="12"/>
        <w:jc w:val="both"/>
        <w:rPr>
          <w:rFonts w:ascii="Verdana" w:hAnsi="Verdana"/>
          <w:color w:val="000000" w:themeColor="text1"/>
          <w:sz w:val="20"/>
          <w:lang w:val="es-ES"/>
        </w:rPr>
      </w:pPr>
    </w:p>
    <w:p w14:paraId="65B5C364" w14:textId="77777777" w:rsidR="00896FD1" w:rsidRPr="00BA2C4F" w:rsidRDefault="00896FD1" w:rsidP="00DF3C3C">
      <w:pPr>
        <w:pStyle w:val="Prrafodelista"/>
        <w:tabs>
          <w:tab w:val="left" w:pos="1134"/>
        </w:tabs>
        <w:ind w:left="0" w:right="12"/>
        <w:jc w:val="both"/>
        <w:rPr>
          <w:rFonts w:ascii="Verdana" w:hAnsi="Verdana"/>
          <w:color w:val="000000" w:themeColor="text1"/>
          <w:sz w:val="20"/>
          <w:lang w:val="es-ES"/>
        </w:rPr>
      </w:pPr>
    </w:p>
    <w:p w14:paraId="3D70205D" w14:textId="45F6E706" w:rsidR="00CD0DC1" w:rsidRPr="00BA2C4F" w:rsidRDefault="00CD0DC1" w:rsidP="00DF3C3C">
      <w:pPr>
        <w:pStyle w:val="Prrafodelista"/>
        <w:numPr>
          <w:ilvl w:val="0"/>
          <w:numId w:val="4"/>
        </w:numPr>
        <w:tabs>
          <w:tab w:val="left" w:pos="1134"/>
        </w:tabs>
        <w:ind w:left="0" w:right="12" w:firstLine="0"/>
        <w:jc w:val="both"/>
        <w:rPr>
          <w:rFonts w:ascii="Verdana" w:hAnsi="Verdana"/>
          <w:color w:val="000000" w:themeColor="text1"/>
          <w:sz w:val="20"/>
          <w:lang w:val="es-ES"/>
        </w:rPr>
      </w:pPr>
      <w:r w:rsidRPr="00BA2C4F">
        <w:rPr>
          <w:rFonts w:ascii="Verdana" w:hAnsi="Verdana"/>
          <w:color w:val="000000" w:themeColor="text1"/>
          <w:sz w:val="20"/>
          <w:lang w:val="es-ES"/>
        </w:rPr>
        <w:t xml:space="preserve">Con base a las consideraciones precedentes, la Corte </w:t>
      </w:r>
      <w:r w:rsidR="004534CE" w:rsidRPr="00BA2C4F">
        <w:rPr>
          <w:rFonts w:ascii="Verdana" w:hAnsi="Verdana"/>
          <w:color w:val="000000" w:themeColor="text1"/>
          <w:sz w:val="20"/>
          <w:lang w:val="es-ES"/>
        </w:rPr>
        <w:t>estima que el Estado</w:t>
      </w:r>
      <w:r w:rsidR="00381DFE">
        <w:rPr>
          <w:rFonts w:ascii="Verdana" w:hAnsi="Verdana"/>
          <w:color w:val="000000" w:themeColor="text1"/>
          <w:sz w:val="20"/>
          <w:lang w:val="es-ES"/>
        </w:rPr>
        <w:t xml:space="preserve"> ha dado cumplimiento parcial a</w:t>
      </w:r>
      <w:r w:rsidR="004534CE" w:rsidRPr="00BA2C4F">
        <w:rPr>
          <w:rFonts w:ascii="Verdana" w:hAnsi="Verdana"/>
          <w:color w:val="000000" w:themeColor="text1"/>
          <w:sz w:val="20"/>
          <w:lang w:val="es-ES"/>
        </w:rPr>
        <w:t xml:space="preserve"> la medida establecida en el punto resolutivo sexto </w:t>
      </w:r>
      <w:r w:rsidR="00381DFE">
        <w:rPr>
          <w:rFonts w:ascii="Verdana" w:hAnsi="Verdana"/>
          <w:color w:val="000000" w:themeColor="text1"/>
          <w:sz w:val="20"/>
          <w:lang w:val="es-ES"/>
        </w:rPr>
        <w:t xml:space="preserve">de la Sentencia </w:t>
      </w:r>
      <w:r w:rsidR="004534CE" w:rsidRPr="00BA2C4F">
        <w:rPr>
          <w:rFonts w:ascii="Verdana" w:hAnsi="Verdana"/>
          <w:color w:val="000000" w:themeColor="text1"/>
          <w:sz w:val="20"/>
          <w:lang w:val="es-ES"/>
        </w:rPr>
        <w:t xml:space="preserve">respecto al reintegro de los devengados dejados de percibir </w:t>
      </w:r>
      <w:r w:rsidR="004534CE" w:rsidRPr="00BA2C4F">
        <w:rPr>
          <w:rFonts w:ascii="Verdana" w:eastAsia="Times New Roman" w:hAnsi="Verdana"/>
          <w:color w:val="000000" w:themeColor="text1"/>
          <w:sz w:val="20"/>
          <w:lang w:val="es-ES"/>
        </w:rPr>
        <w:t xml:space="preserve">entre abril de 1993 y octubre de 2002, en tanto ha pagado la </w:t>
      </w:r>
      <w:r w:rsidR="00911EC4" w:rsidRPr="00BA2C4F">
        <w:rPr>
          <w:rFonts w:ascii="Verdana" w:eastAsia="Times New Roman" w:hAnsi="Verdana"/>
          <w:color w:val="000000" w:themeColor="text1"/>
          <w:sz w:val="20"/>
          <w:lang w:val="es-ES"/>
        </w:rPr>
        <w:t xml:space="preserve">suma de </w:t>
      </w:r>
      <w:r w:rsidR="004534CE" w:rsidRPr="00BA2C4F">
        <w:rPr>
          <w:rFonts w:ascii="Verdana" w:hAnsi="Verdana" w:cs="Verdana"/>
          <w:color w:val="000000" w:themeColor="text1"/>
          <w:sz w:val="20"/>
          <w:lang w:val="es-ES"/>
        </w:rPr>
        <w:t>S/.139´390,497.51.</w:t>
      </w:r>
      <w:r w:rsidR="001B0AE1" w:rsidRPr="00BA2C4F">
        <w:rPr>
          <w:rFonts w:ascii="Verdana" w:hAnsi="Verdana" w:cs="Verdana"/>
          <w:color w:val="000000" w:themeColor="text1"/>
          <w:sz w:val="20"/>
          <w:lang w:val="es-ES"/>
        </w:rPr>
        <w:t xml:space="preserve"> Sin perjuicio </w:t>
      </w:r>
      <w:r w:rsidR="00911EC4" w:rsidRPr="00BA2C4F">
        <w:rPr>
          <w:rFonts w:ascii="Verdana" w:hAnsi="Verdana" w:cs="Verdana"/>
          <w:color w:val="000000" w:themeColor="text1"/>
          <w:sz w:val="20"/>
          <w:lang w:val="es-ES"/>
        </w:rPr>
        <w:t xml:space="preserve">de </w:t>
      </w:r>
      <w:r w:rsidR="001B0AE1" w:rsidRPr="00BA2C4F">
        <w:rPr>
          <w:rFonts w:ascii="Verdana" w:hAnsi="Verdana" w:cs="Verdana"/>
          <w:color w:val="000000" w:themeColor="text1"/>
          <w:sz w:val="20"/>
          <w:lang w:val="es-ES"/>
        </w:rPr>
        <w:t xml:space="preserve">lo anterior, la Corte recuerda al Estado que ha transcurrido 12 años desde la emisión de la Sentencia, lo cual </w:t>
      </w:r>
      <w:r w:rsidR="00381DFE">
        <w:rPr>
          <w:rFonts w:ascii="Verdana" w:hAnsi="Verdana" w:cs="Verdana"/>
          <w:color w:val="000000" w:themeColor="text1"/>
          <w:sz w:val="20"/>
          <w:lang w:val="es-ES"/>
        </w:rPr>
        <w:t xml:space="preserve">excede el </w:t>
      </w:r>
      <w:r w:rsidR="001B0AE1" w:rsidRPr="00BA2C4F">
        <w:rPr>
          <w:rFonts w:ascii="Verdana" w:hAnsi="Verdana" w:cs="Verdana"/>
          <w:color w:val="000000" w:themeColor="text1"/>
          <w:sz w:val="20"/>
          <w:lang w:val="es-ES"/>
        </w:rPr>
        <w:t xml:space="preserve">plazo razonable para </w:t>
      </w:r>
      <w:r w:rsidR="00381DFE">
        <w:rPr>
          <w:rFonts w:ascii="Verdana" w:hAnsi="Verdana" w:cs="Verdana"/>
          <w:color w:val="000000" w:themeColor="text1"/>
          <w:sz w:val="20"/>
          <w:lang w:val="es-ES"/>
        </w:rPr>
        <w:t xml:space="preserve">dar </w:t>
      </w:r>
      <w:r w:rsidR="001B0AE1" w:rsidRPr="00BA2C4F">
        <w:rPr>
          <w:rFonts w:ascii="Verdana" w:hAnsi="Verdana" w:cs="Verdana"/>
          <w:color w:val="000000" w:themeColor="text1"/>
          <w:sz w:val="20"/>
          <w:lang w:val="es-ES"/>
        </w:rPr>
        <w:t>cumplimiento total a la referida medida</w:t>
      </w:r>
      <w:r w:rsidR="00A756EC" w:rsidRPr="00BA2C4F">
        <w:rPr>
          <w:rFonts w:ascii="Verdana" w:hAnsi="Verdana" w:cs="Verdana"/>
          <w:color w:val="000000" w:themeColor="text1"/>
          <w:sz w:val="20"/>
          <w:lang w:val="es-ES"/>
        </w:rPr>
        <w:t xml:space="preserve">, </w:t>
      </w:r>
      <w:r w:rsidR="00A756EC" w:rsidRPr="00BA2C4F">
        <w:rPr>
          <w:rFonts w:ascii="Verdana" w:hAnsi="Verdana"/>
          <w:color w:val="000000" w:themeColor="text1"/>
          <w:sz w:val="20"/>
          <w:lang w:val="es-ES"/>
        </w:rPr>
        <w:t xml:space="preserve">por </w:t>
      </w:r>
      <w:r w:rsidR="001B0AE1" w:rsidRPr="00BA2C4F">
        <w:rPr>
          <w:rFonts w:ascii="Verdana" w:hAnsi="Verdana" w:cs="Verdana"/>
          <w:color w:val="000000" w:themeColor="text1"/>
          <w:sz w:val="20"/>
          <w:lang w:val="es-ES"/>
        </w:rPr>
        <w:t xml:space="preserve">lo que le reitera que </w:t>
      </w:r>
      <w:r w:rsidRPr="00BA2C4F">
        <w:rPr>
          <w:rFonts w:ascii="Verdana" w:hAnsi="Verdana"/>
          <w:color w:val="000000" w:themeColor="text1"/>
          <w:sz w:val="20"/>
          <w:lang w:val="es-ES"/>
        </w:rPr>
        <w:t xml:space="preserve">debe realizar todas las gestiones pertinentes para cumplir, a la mayor brevedad posible, con el reintegro de la totalidad de los </w:t>
      </w:r>
      <w:r w:rsidR="00381DFE">
        <w:rPr>
          <w:rFonts w:ascii="Verdana" w:hAnsi="Verdana"/>
          <w:color w:val="000000" w:themeColor="text1"/>
          <w:sz w:val="20"/>
          <w:lang w:val="es-ES"/>
        </w:rPr>
        <w:t xml:space="preserve">referidos </w:t>
      </w:r>
      <w:r w:rsidRPr="00BA2C4F">
        <w:rPr>
          <w:rFonts w:ascii="Verdana" w:hAnsi="Verdana"/>
          <w:color w:val="000000" w:themeColor="text1"/>
          <w:sz w:val="20"/>
          <w:lang w:val="es-ES"/>
        </w:rPr>
        <w:t>devengados dejados de percibir</w:t>
      </w:r>
      <w:r w:rsidR="00381DFE">
        <w:rPr>
          <w:rFonts w:ascii="Verdana" w:hAnsi="Verdana"/>
          <w:color w:val="000000" w:themeColor="text1"/>
          <w:sz w:val="20"/>
          <w:lang w:val="es-ES"/>
        </w:rPr>
        <w:t xml:space="preserve"> por </w:t>
      </w:r>
      <w:r w:rsidR="00381DFE">
        <w:rPr>
          <w:rFonts w:ascii="Verdana" w:hAnsi="Verdana"/>
          <w:color w:val="000000" w:themeColor="text1"/>
          <w:sz w:val="20"/>
          <w:lang w:val="es-ES"/>
        </w:rPr>
        <w:lastRenderedPageBreak/>
        <w:t>las víctimas</w:t>
      </w:r>
      <w:r w:rsidRPr="00BA2C4F">
        <w:rPr>
          <w:rFonts w:ascii="Verdana" w:hAnsi="Verdana"/>
          <w:color w:val="000000" w:themeColor="text1"/>
          <w:sz w:val="20"/>
          <w:lang w:val="es-ES"/>
        </w:rPr>
        <w:t xml:space="preserve">. </w:t>
      </w:r>
      <w:r w:rsidR="00DF3C3C" w:rsidRPr="00BA2C4F">
        <w:rPr>
          <w:rFonts w:ascii="Verdana" w:hAnsi="Verdana"/>
          <w:color w:val="000000" w:themeColor="text1"/>
          <w:sz w:val="20"/>
          <w:lang w:val="es-ES"/>
        </w:rPr>
        <w:t>Asimismo, de acuerdo con lo indicado en el Considerando 11 de esta Resolución, el Perú debe presentar un listado o documento único, con toda la información consolidada, respecto del monto total que ha pagado a cada una de las 273 víctimas y cuánto adeuda a cada una de ellas.</w:t>
      </w:r>
    </w:p>
    <w:p w14:paraId="07600131" w14:textId="54F652CE" w:rsidR="00DF3C3C" w:rsidRDefault="00DF3C3C" w:rsidP="00DF3C3C">
      <w:pPr>
        <w:tabs>
          <w:tab w:val="left" w:pos="1134"/>
        </w:tabs>
        <w:ind w:right="12"/>
        <w:jc w:val="both"/>
        <w:rPr>
          <w:rFonts w:ascii="Verdana" w:hAnsi="Verdana"/>
          <w:color w:val="000000" w:themeColor="text1"/>
          <w:sz w:val="20"/>
          <w:lang w:val="es-ES"/>
        </w:rPr>
      </w:pPr>
    </w:p>
    <w:p w14:paraId="08D39470" w14:textId="3C1ECA1C" w:rsidR="007304B6" w:rsidRDefault="007304B6" w:rsidP="00DF3C3C">
      <w:pPr>
        <w:tabs>
          <w:tab w:val="left" w:pos="1134"/>
        </w:tabs>
        <w:ind w:right="12"/>
        <w:jc w:val="both"/>
        <w:rPr>
          <w:rFonts w:ascii="Verdana" w:hAnsi="Verdana"/>
          <w:color w:val="000000" w:themeColor="text1"/>
          <w:sz w:val="20"/>
          <w:lang w:val="es-ES"/>
        </w:rPr>
      </w:pPr>
    </w:p>
    <w:p w14:paraId="043C62A0" w14:textId="253D83E7" w:rsidR="007304B6" w:rsidRDefault="007304B6" w:rsidP="00DF3C3C">
      <w:pPr>
        <w:tabs>
          <w:tab w:val="left" w:pos="1134"/>
        </w:tabs>
        <w:ind w:right="12"/>
        <w:jc w:val="both"/>
        <w:rPr>
          <w:rFonts w:ascii="Verdana" w:hAnsi="Verdana"/>
          <w:color w:val="000000" w:themeColor="text1"/>
          <w:sz w:val="20"/>
          <w:lang w:val="es-ES"/>
        </w:rPr>
      </w:pPr>
    </w:p>
    <w:p w14:paraId="12091DF3" w14:textId="7B82D0A2" w:rsidR="008C59E5" w:rsidRPr="00BA2C4F" w:rsidRDefault="008C59E5" w:rsidP="00392516">
      <w:pPr>
        <w:jc w:val="both"/>
        <w:rPr>
          <w:rFonts w:ascii="Verdana" w:hAnsi="Verdana"/>
          <w:color w:val="000000" w:themeColor="text1"/>
          <w:sz w:val="20"/>
          <w:lang w:val="es-ES"/>
        </w:rPr>
      </w:pPr>
    </w:p>
    <w:p w14:paraId="13C1AFD3" w14:textId="77777777" w:rsidR="008C59E5" w:rsidRPr="00BA2C4F" w:rsidRDefault="008C59E5" w:rsidP="00392516">
      <w:pPr>
        <w:pStyle w:val="Prrafodelista"/>
        <w:ind w:left="0"/>
        <w:jc w:val="both"/>
        <w:rPr>
          <w:rFonts w:ascii="Verdana" w:hAnsi="Verdana"/>
          <w:b/>
          <w:caps/>
          <w:color w:val="000000" w:themeColor="text1"/>
          <w:sz w:val="20"/>
          <w:lang w:val="es-ES"/>
        </w:rPr>
      </w:pPr>
      <w:r w:rsidRPr="00BA2C4F">
        <w:rPr>
          <w:rFonts w:ascii="Verdana" w:hAnsi="Verdana"/>
          <w:b/>
          <w:caps/>
          <w:color w:val="000000" w:themeColor="text1"/>
          <w:sz w:val="20"/>
          <w:lang w:val="es-ES"/>
        </w:rPr>
        <w:t xml:space="preserve">Por Tanto: </w:t>
      </w:r>
    </w:p>
    <w:p w14:paraId="0882E881" w14:textId="77777777" w:rsidR="008C59E5" w:rsidRPr="00BA2C4F" w:rsidRDefault="008C59E5" w:rsidP="00392516">
      <w:pPr>
        <w:pStyle w:val="Prrafodelista"/>
        <w:ind w:left="0"/>
        <w:jc w:val="both"/>
        <w:rPr>
          <w:rFonts w:ascii="Verdana" w:hAnsi="Verdana"/>
          <w:b/>
          <w:caps/>
          <w:color w:val="000000" w:themeColor="text1"/>
          <w:sz w:val="20"/>
          <w:lang w:val="es-ES"/>
        </w:rPr>
      </w:pPr>
    </w:p>
    <w:p w14:paraId="211E4ED8" w14:textId="77777777" w:rsidR="008C59E5" w:rsidRPr="00BA2C4F" w:rsidRDefault="008C59E5" w:rsidP="00392516">
      <w:pPr>
        <w:pStyle w:val="Prrafodelista"/>
        <w:ind w:left="0"/>
        <w:jc w:val="both"/>
        <w:rPr>
          <w:rFonts w:ascii="Verdana" w:hAnsi="Verdana"/>
          <w:b/>
          <w:caps/>
          <w:color w:val="000000" w:themeColor="text1"/>
          <w:sz w:val="20"/>
          <w:lang w:val="es-ES"/>
        </w:rPr>
      </w:pPr>
      <w:r w:rsidRPr="00BA2C4F">
        <w:rPr>
          <w:rFonts w:ascii="Verdana" w:hAnsi="Verdana"/>
          <w:b/>
          <w:caps/>
          <w:color w:val="000000" w:themeColor="text1"/>
          <w:sz w:val="20"/>
          <w:lang w:val="es-ES"/>
        </w:rPr>
        <w:t xml:space="preserve">La Corte Interamericana de Derechos Humanos, </w:t>
      </w:r>
    </w:p>
    <w:p w14:paraId="22C36DDE" w14:textId="77777777" w:rsidR="008C59E5" w:rsidRPr="00BA2C4F" w:rsidRDefault="008C59E5" w:rsidP="00392516">
      <w:pPr>
        <w:pStyle w:val="Prrafodelista"/>
        <w:ind w:left="0"/>
        <w:jc w:val="both"/>
        <w:rPr>
          <w:rFonts w:ascii="Verdana" w:hAnsi="Verdana"/>
          <w:color w:val="000000" w:themeColor="text1"/>
          <w:sz w:val="20"/>
          <w:lang w:val="es-ES"/>
        </w:rPr>
      </w:pPr>
    </w:p>
    <w:p w14:paraId="3E5A965F" w14:textId="77777777" w:rsidR="008C59E5" w:rsidRPr="00BA2C4F" w:rsidRDefault="008C59E5" w:rsidP="00392516">
      <w:pPr>
        <w:pStyle w:val="Prrafodelista"/>
        <w:autoSpaceDE w:val="0"/>
        <w:autoSpaceDN w:val="0"/>
        <w:adjustRightInd w:val="0"/>
        <w:ind w:left="0"/>
        <w:jc w:val="both"/>
        <w:rPr>
          <w:rFonts w:ascii="Verdana" w:eastAsia="Times New Roman" w:hAnsi="Verdana" w:cs="Verdana"/>
          <w:color w:val="000000" w:themeColor="text1"/>
          <w:sz w:val="20"/>
          <w:lang w:val="es-ES" w:eastAsia="es-MX"/>
        </w:rPr>
      </w:pPr>
      <w:r w:rsidRPr="00BA2C4F">
        <w:rPr>
          <w:rFonts w:ascii="Verdana" w:eastAsia="Times New Roman" w:hAnsi="Verdana" w:cs="Verdana"/>
          <w:color w:val="000000" w:themeColor="text1"/>
          <w:sz w:val="20"/>
          <w:lang w:val="es-ES" w:eastAsia="es-MX"/>
        </w:rPr>
        <w:t>en el ejercicio de sus atribuciones de supervisión del cumplimiento de sus decisiones y de conformidad con los artículos 33, 62.1, 62.3, 65, 67 y 68.1 de la Convención Americana sobre Derechos Humanos, 25.1 y 30 del Estatuto, y 31.2 y 69 de su Reglamento,</w:t>
      </w:r>
    </w:p>
    <w:p w14:paraId="3447813F" w14:textId="77777777" w:rsidR="008C59E5" w:rsidRPr="00BA2C4F" w:rsidRDefault="008C59E5" w:rsidP="00392516">
      <w:pPr>
        <w:pStyle w:val="Prrafodelista"/>
        <w:autoSpaceDE w:val="0"/>
        <w:autoSpaceDN w:val="0"/>
        <w:adjustRightInd w:val="0"/>
        <w:ind w:left="0"/>
        <w:jc w:val="both"/>
        <w:rPr>
          <w:rFonts w:ascii="Verdana" w:hAnsi="Verdana"/>
          <w:color w:val="000000" w:themeColor="text1"/>
          <w:sz w:val="20"/>
          <w:lang w:val="es-ES"/>
        </w:rPr>
      </w:pPr>
    </w:p>
    <w:p w14:paraId="36361359" w14:textId="77777777" w:rsidR="008C59E5" w:rsidRPr="00BA2C4F" w:rsidRDefault="008C59E5" w:rsidP="00392516">
      <w:pPr>
        <w:pStyle w:val="Textoindependiente2"/>
        <w:rPr>
          <w:b/>
          <w:color w:val="000000" w:themeColor="text1"/>
          <w:lang w:val="es-ES"/>
        </w:rPr>
      </w:pPr>
      <w:r w:rsidRPr="00BA2C4F">
        <w:rPr>
          <w:b/>
          <w:smallCaps/>
          <w:color w:val="000000" w:themeColor="text1"/>
          <w:lang w:val="es-ES"/>
        </w:rPr>
        <w:t>RESUELVE:</w:t>
      </w:r>
    </w:p>
    <w:p w14:paraId="297E1B15" w14:textId="77777777" w:rsidR="008C59E5" w:rsidRPr="00BA2C4F" w:rsidRDefault="008C59E5" w:rsidP="00392516">
      <w:pPr>
        <w:pStyle w:val="Textoindependiente2"/>
        <w:ind w:right="20"/>
        <w:rPr>
          <w:rFonts w:cs="Verdana"/>
          <w:color w:val="000000" w:themeColor="text1"/>
          <w:lang w:val="es-ES"/>
        </w:rPr>
      </w:pPr>
    </w:p>
    <w:p w14:paraId="4059AE94" w14:textId="2BAFBB6A" w:rsidR="001B0AE1" w:rsidRPr="00BA2C4F" w:rsidRDefault="001B0AE1" w:rsidP="00392516">
      <w:pPr>
        <w:pStyle w:val="Textoindependiente2"/>
        <w:numPr>
          <w:ilvl w:val="0"/>
          <w:numId w:val="3"/>
        </w:numPr>
        <w:ind w:right="20"/>
        <w:rPr>
          <w:rFonts w:cs="Verdana"/>
          <w:color w:val="000000" w:themeColor="text1"/>
          <w:lang w:val="es-ES"/>
        </w:rPr>
      </w:pPr>
      <w:r w:rsidRPr="00BA2C4F">
        <w:rPr>
          <w:rFonts w:cs="Verdana"/>
          <w:color w:val="000000" w:themeColor="text1"/>
          <w:lang w:val="es-ES"/>
        </w:rPr>
        <w:t>Declarar</w:t>
      </w:r>
      <w:r w:rsidR="00D655C0" w:rsidRPr="00BA2C4F">
        <w:rPr>
          <w:rFonts w:cs="Verdana"/>
          <w:color w:val="000000" w:themeColor="text1"/>
          <w:lang w:val="es-ES"/>
        </w:rPr>
        <w:t xml:space="preserve">, </w:t>
      </w:r>
      <w:r w:rsidR="00D655C0" w:rsidRPr="00BA2C4F">
        <w:rPr>
          <w:color w:val="000000" w:themeColor="text1"/>
          <w:lang w:val="es-ES"/>
        </w:rPr>
        <w:t>de conformidad con lo señalado en el Considerando</w:t>
      </w:r>
      <w:r w:rsidR="00590D0E" w:rsidRPr="00BA2C4F">
        <w:rPr>
          <w:color w:val="000000" w:themeColor="text1"/>
          <w:lang w:val="es-ES"/>
        </w:rPr>
        <w:t xml:space="preserve"> </w:t>
      </w:r>
      <w:r w:rsidR="00D655C0" w:rsidRPr="00BA2C4F">
        <w:rPr>
          <w:color w:val="000000" w:themeColor="text1"/>
          <w:lang w:val="es-ES"/>
        </w:rPr>
        <w:t>1</w:t>
      </w:r>
      <w:r w:rsidR="00590D0E" w:rsidRPr="00BA2C4F">
        <w:rPr>
          <w:color w:val="000000" w:themeColor="text1"/>
          <w:lang w:val="es-ES"/>
        </w:rPr>
        <w:t>6</w:t>
      </w:r>
      <w:r w:rsidR="00D655C0" w:rsidRPr="00BA2C4F">
        <w:rPr>
          <w:color w:val="000000" w:themeColor="text1"/>
          <w:lang w:val="es-ES"/>
        </w:rPr>
        <w:t xml:space="preserve"> de la presente Resolución, que el Estado ha dado cumplimiento parcial a la medida de cumplir </w:t>
      </w:r>
      <w:r w:rsidR="00D655C0" w:rsidRPr="00BA2C4F">
        <w:rPr>
          <w:rFonts w:eastAsia="Times New Roman"/>
          <w:color w:val="000000" w:themeColor="text1"/>
          <w:lang w:val="es-ES"/>
        </w:rPr>
        <w:t xml:space="preserve">las sentencias del Tribunal Constitucional del Perú de 21 de octubre de 1997 y 26 de enero de 2001, en lo que respecta al reintegro de los devengados dejados de percibir por las víctimas entre abril de 1993 y octubre de 2002. </w:t>
      </w:r>
    </w:p>
    <w:p w14:paraId="25131267" w14:textId="77777777" w:rsidR="00D655C0" w:rsidRPr="00BA2C4F" w:rsidRDefault="00D655C0" w:rsidP="00D655C0">
      <w:pPr>
        <w:pStyle w:val="Textoindependiente2"/>
        <w:ind w:right="20"/>
        <w:rPr>
          <w:rFonts w:cs="Verdana"/>
          <w:color w:val="000000" w:themeColor="text1"/>
          <w:lang w:val="es-ES"/>
        </w:rPr>
      </w:pPr>
    </w:p>
    <w:p w14:paraId="65E1BF2E" w14:textId="1A18B162" w:rsidR="008C59E5" w:rsidRPr="00BA2C4F" w:rsidRDefault="008C59E5" w:rsidP="00392516">
      <w:pPr>
        <w:pStyle w:val="Textoindependiente2"/>
        <w:numPr>
          <w:ilvl w:val="0"/>
          <w:numId w:val="3"/>
        </w:numPr>
        <w:ind w:right="20"/>
        <w:rPr>
          <w:rFonts w:cs="Verdana"/>
          <w:color w:val="000000" w:themeColor="text1"/>
          <w:lang w:val="es-ES"/>
        </w:rPr>
      </w:pPr>
      <w:r w:rsidRPr="00BA2C4F">
        <w:rPr>
          <w:color w:val="000000" w:themeColor="text1"/>
          <w:lang w:val="es-ES"/>
        </w:rPr>
        <w:t>Mantener abierto el procedimiento de supervisión de cumplimiento del punto resolutivo sexto de la Sentencia, relativo a la obligación del Estado de dar cumplimiento total a las sentencias del Tribunal Constitucional del Perú de 21 de octubre de 1997 y 26 de enero de 2001, en lo que respecta al reintegro de los devengados dejados de percibir por las víctimas entre abril de 1993 y octubre de 2002.</w:t>
      </w:r>
    </w:p>
    <w:p w14:paraId="20703DA6" w14:textId="77777777" w:rsidR="008C59E5" w:rsidRPr="00BA2C4F" w:rsidRDefault="008C59E5" w:rsidP="00392516">
      <w:pPr>
        <w:pStyle w:val="Prrafodelista"/>
        <w:ind w:right="12"/>
        <w:jc w:val="both"/>
        <w:rPr>
          <w:rFonts w:ascii="Verdana" w:hAnsi="Verdana"/>
          <w:color w:val="000000" w:themeColor="text1"/>
          <w:sz w:val="20"/>
          <w:lang w:val="es-ES"/>
        </w:rPr>
      </w:pPr>
    </w:p>
    <w:p w14:paraId="0CF9DF67" w14:textId="16A9D4C7" w:rsidR="008C59E5" w:rsidRPr="00BA2C4F" w:rsidRDefault="008C59E5" w:rsidP="00392516">
      <w:pPr>
        <w:pStyle w:val="Textoindependiente2"/>
        <w:numPr>
          <w:ilvl w:val="0"/>
          <w:numId w:val="3"/>
        </w:numPr>
        <w:ind w:right="20"/>
        <w:rPr>
          <w:color w:val="000000" w:themeColor="text1"/>
          <w:lang w:val="es-ES"/>
        </w:rPr>
      </w:pPr>
      <w:r w:rsidRPr="00BA2C4F">
        <w:rPr>
          <w:rFonts w:cs="Verdana"/>
          <w:color w:val="000000" w:themeColor="text1"/>
          <w:lang w:val="es-ES"/>
        </w:rPr>
        <w:t xml:space="preserve">Disponer que el Estado del Perú adopte, </w:t>
      </w:r>
      <w:r w:rsidRPr="00BA2C4F">
        <w:rPr>
          <w:color w:val="000000" w:themeColor="text1"/>
          <w:lang w:val="es-ES"/>
        </w:rPr>
        <w:t>en definitiva y a la mayor brevedad,</w:t>
      </w:r>
      <w:r w:rsidRPr="00BA2C4F">
        <w:rPr>
          <w:rFonts w:cs="Verdana"/>
          <w:color w:val="000000" w:themeColor="text1"/>
          <w:lang w:val="es-ES"/>
        </w:rPr>
        <w:t xml:space="preserve"> todas las medidas que sean necesarias para dar efectivo y pronto acatamiento a</w:t>
      </w:r>
      <w:r w:rsidR="00606C77" w:rsidRPr="00BA2C4F">
        <w:rPr>
          <w:rFonts w:cs="Verdana"/>
          <w:color w:val="000000" w:themeColor="text1"/>
          <w:lang w:val="es-ES"/>
        </w:rPr>
        <w:t xml:space="preserve"> </w:t>
      </w:r>
      <w:r w:rsidRPr="00BA2C4F">
        <w:rPr>
          <w:rFonts w:cs="Verdana"/>
          <w:color w:val="000000" w:themeColor="text1"/>
          <w:lang w:val="es-ES"/>
        </w:rPr>
        <w:t>l</w:t>
      </w:r>
      <w:r w:rsidR="00606C77" w:rsidRPr="00BA2C4F">
        <w:rPr>
          <w:rFonts w:cs="Verdana"/>
          <w:color w:val="000000" w:themeColor="text1"/>
          <w:lang w:val="es-ES"/>
        </w:rPr>
        <w:t xml:space="preserve">a medida ordenada en el punto resolutivo sexto de la Sentencia, </w:t>
      </w:r>
      <w:r w:rsidRPr="00BA2C4F">
        <w:rPr>
          <w:rFonts w:cs="Verdana"/>
          <w:color w:val="000000" w:themeColor="text1"/>
          <w:lang w:val="es-ES"/>
        </w:rPr>
        <w:t>de conformidad con lo estipulado en el artículo 68.1 de la Convención Americana sobre Derechos Humanos.</w:t>
      </w:r>
    </w:p>
    <w:p w14:paraId="68FC1A94" w14:textId="77777777" w:rsidR="008C59E5" w:rsidRPr="00BA2C4F" w:rsidRDefault="008C59E5" w:rsidP="00392516">
      <w:pPr>
        <w:pStyle w:val="Textoindependiente2"/>
        <w:ind w:right="20"/>
        <w:rPr>
          <w:color w:val="000000" w:themeColor="text1"/>
          <w:lang w:val="es-ES"/>
        </w:rPr>
      </w:pPr>
    </w:p>
    <w:p w14:paraId="1F1AE930" w14:textId="6F9C9175" w:rsidR="008C59E5" w:rsidRPr="00BA2C4F" w:rsidRDefault="008C59E5" w:rsidP="00E6483E">
      <w:pPr>
        <w:pStyle w:val="Textoindependiente2"/>
        <w:numPr>
          <w:ilvl w:val="0"/>
          <w:numId w:val="3"/>
        </w:numPr>
        <w:ind w:right="20"/>
        <w:rPr>
          <w:color w:val="000000" w:themeColor="text1"/>
          <w:lang w:val="es-ES"/>
        </w:rPr>
      </w:pPr>
      <w:r w:rsidRPr="00BA2C4F">
        <w:rPr>
          <w:rFonts w:cs="Verdana"/>
          <w:color w:val="000000" w:themeColor="text1"/>
          <w:lang w:val="es-ES"/>
        </w:rPr>
        <w:t>Disponer que el Estado del Perú presente a la Corte Interamericana de Derechos Humanos, a más tardar</w:t>
      </w:r>
      <w:r w:rsidR="007729FF">
        <w:rPr>
          <w:rFonts w:cs="Verdana"/>
          <w:color w:val="000000" w:themeColor="text1"/>
          <w:lang w:val="es-ES"/>
        </w:rPr>
        <w:t xml:space="preserve"> el 28 de enero</w:t>
      </w:r>
      <w:r w:rsidR="007304B6">
        <w:rPr>
          <w:rFonts w:cs="Verdana"/>
          <w:color w:val="000000" w:themeColor="text1"/>
          <w:lang w:val="es-ES"/>
        </w:rPr>
        <w:t xml:space="preserve"> de 202</w:t>
      </w:r>
      <w:r w:rsidR="00E04F00">
        <w:rPr>
          <w:rFonts w:cs="Verdana"/>
          <w:color w:val="000000" w:themeColor="text1"/>
          <w:lang w:val="es-ES"/>
        </w:rPr>
        <w:t>2</w:t>
      </w:r>
      <w:r w:rsidRPr="00BA2C4F">
        <w:rPr>
          <w:rFonts w:cs="Verdana"/>
          <w:color w:val="000000" w:themeColor="text1"/>
          <w:lang w:val="es-ES"/>
        </w:rPr>
        <w:t>, un informe en el cual indique todas las medidas adoptadas para cumplir con la reparación que se encuentra pendiente de cumplimiento</w:t>
      </w:r>
      <w:r w:rsidR="008634A9" w:rsidRPr="00BA2C4F">
        <w:rPr>
          <w:rFonts w:cs="Verdana"/>
          <w:color w:val="000000" w:themeColor="text1"/>
          <w:lang w:val="es-ES"/>
        </w:rPr>
        <w:t xml:space="preserve">, y en el cual </w:t>
      </w:r>
      <w:r w:rsidR="00911EC4" w:rsidRPr="00BA2C4F">
        <w:rPr>
          <w:rFonts w:cs="Verdana"/>
          <w:color w:val="000000" w:themeColor="text1"/>
          <w:lang w:val="es-ES"/>
        </w:rPr>
        <w:t>remita la información requerida en los Considerandos 11 y 16 de la presente Resolución.</w:t>
      </w:r>
    </w:p>
    <w:p w14:paraId="331DB98E" w14:textId="77777777" w:rsidR="004A5CE0" w:rsidRPr="00BA2C4F" w:rsidRDefault="004A5CE0" w:rsidP="004A5CE0">
      <w:pPr>
        <w:pStyle w:val="Textoindependiente2"/>
        <w:ind w:right="20"/>
        <w:rPr>
          <w:color w:val="000000" w:themeColor="text1"/>
          <w:lang w:val="es-ES"/>
        </w:rPr>
      </w:pPr>
    </w:p>
    <w:p w14:paraId="66709274" w14:textId="5D8E9A12" w:rsidR="008C59E5" w:rsidRPr="00BA2C4F" w:rsidRDefault="008C59E5" w:rsidP="00392516">
      <w:pPr>
        <w:pStyle w:val="Textoindependiente2"/>
        <w:numPr>
          <w:ilvl w:val="0"/>
          <w:numId w:val="3"/>
        </w:numPr>
        <w:ind w:right="20"/>
        <w:rPr>
          <w:color w:val="000000" w:themeColor="text1"/>
          <w:lang w:val="es-ES"/>
        </w:rPr>
      </w:pPr>
      <w:r w:rsidRPr="00BA2C4F">
        <w:rPr>
          <w:rFonts w:cs="Verdana"/>
          <w:color w:val="000000" w:themeColor="text1"/>
          <w:lang w:val="es-ES"/>
        </w:rPr>
        <w:t xml:space="preserve">Disponer que </w:t>
      </w:r>
      <w:r w:rsidR="004A5CE0" w:rsidRPr="00BA2C4F">
        <w:rPr>
          <w:rFonts w:cs="Verdana"/>
          <w:color w:val="000000" w:themeColor="text1"/>
          <w:lang w:val="es-ES"/>
        </w:rPr>
        <w:t xml:space="preserve">los intervinientes comunes de los representantes </w:t>
      </w:r>
      <w:r w:rsidRPr="00BA2C4F">
        <w:rPr>
          <w:rFonts w:cs="Verdana"/>
          <w:color w:val="000000" w:themeColor="text1"/>
          <w:lang w:val="es-ES"/>
        </w:rPr>
        <w:t>de las víctimas y la Comisión Interamericana de Derechos Humanos presenten las observaciones que estimen pertinentes al informe del Estado mencionado en el punto resolutivo anterior, en los plazos de cuatro y seis semanas, respectivamente, contados a partir de la recepción del mismo.</w:t>
      </w:r>
    </w:p>
    <w:p w14:paraId="07AF58F1" w14:textId="77777777" w:rsidR="008C59E5" w:rsidRPr="00BA2C4F" w:rsidRDefault="008C59E5" w:rsidP="00392516">
      <w:pPr>
        <w:pStyle w:val="Textoindependiente2"/>
        <w:ind w:right="20"/>
        <w:rPr>
          <w:color w:val="000000" w:themeColor="text1"/>
          <w:lang w:val="es-ES"/>
        </w:rPr>
      </w:pPr>
    </w:p>
    <w:p w14:paraId="6CF3BF22" w14:textId="71280784" w:rsidR="008C59E5" w:rsidRPr="00BA2C4F" w:rsidRDefault="008C59E5" w:rsidP="00392516">
      <w:pPr>
        <w:pStyle w:val="Textoindependiente2"/>
        <w:numPr>
          <w:ilvl w:val="0"/>
          <w:numId w:val="3"/>
        </w:numPr>
        <w:ind w:right="20"/>
        <w:rPr>
          <w:color w:val="000000" w:themeColor="text1"/>
          <w:lang w:val="es-ES"/>
        </w:rPr>
      </w:pPr>
      <w:r w:rsidRPr="00BA2C4F">
        <w:rPr>
          <w:rFonts w:cs="Verdana"/>
          <w:color w:val="000000" w:themeColor="text1"/>
          <w:lang w:val="es-ES"/>
        </w:rPr>
        <w:t xml:space="preserve">Disponer que la Secretaría de la Corte notifique la presente Resolución al Estado del Perú, </w:t>
      </w:r>
      <w:r w:rsidR="00606C77" w:rsidRPr="00BA2C4F">
        <w:rPr>
          <w:rFonts w:cs="Verdana"/>
          <w:color w:val="000000" w:themeColor="text1"/>
          <w:lang w:val="es-ES"/>
        </w:rPr>
        <w:t xml:space="preserve">a los intervinientes comunes de los </w:t>
      </w:r>
      <w:r w:rsidRPr="00BA2C4F">
        <w:rPr>
          <w:rFonts w:cs="Verdana"/>
          <w:color w:val="000000" w:themeColor="text1"/>
          <w:lang w:val="es-ES"/>
        </w:rPr>
        <w:t>representante</w:t>
      </w:r>
      <w:r w:rsidR="00606C77" w:rsidRPr="00BA2C4F">
        <w:rPr>
          <w:rFonts w:cs="Verdana"/>
          <w:color w:val="000000" w:themeColor="text1"/>
          <w:lang w:val="es-ES"/>
        </w:rPr>
        <w:t>s</w:t>
      </w:r>
      <w:r w:rsidRPr="00BA2C4F">
        <w:rPr>
          <w:rFonts w:cs="Verdana"/>
          <w:color w:val="000000" w:themeColor="text1"/>
          <w:lang w:val="es-ES"/>
        </w:rPr>
        <w:t xml:space="preserve"> de las víctimas y a la Comisión Interamericana de Derechos Humanos.</w:t>
      </w:r>
    </w:p>
    <w:p w14:paraId="5DF87449" w14:textId="77777777" w:rsidR="008C59E5" w:rsidRPr="00BA2C4F" w:rsidRDefault="008C59E5" w:rsidP="00392516">
      <w:pPr>
        <w:pStyle w:val="Prrafodelista"/>
        <w:jc w:val="both"/>
        <w:rPr>
          <w:rFonts w:ascii="Verdana" w:hAnsi="Verdana"/>
          <w:color w:val="000000" w:themeColor="text1"/>
          <w:sz w:val="20"/>
          <w:lang w:val="es-ES"/>
        </w:rPr>
      </w:pPr>
    </w:p>
    <w:p w14:paraId="1F91F4F4" w14:textId="77777777" w:rsidR="008C59E5" w:rsidRPr="00BA2C4F" w:rsidRDefault="008C59E5" w:rsidP="00392516">
      <w:pPr>
        <w:pStyle w:val="Textoindependiente2"/>
        <w:ind w:right="20"/>
        <w:rPr>
          <w:color w:val="000000" w:themeColor="text1"/>
          <w:lang w:val="es-ES"/>
        </w:rPr>
      </w:pPr>
    </w:p>
    <w:p w14:paraId="3177FB28" w14:textId="664260C2" w:rsidR="002A3EC3" w:rsidRDefault="002A3EC3">
      <w:pPr>
        <w:rPr>
          <w:rFonts w:ascii="Verdana" w:hAnsi="Verdana"/>
          <w:color w:val="000000" w:themeColor="text1"/>
          <w:sz w:val="20"/>
          <w:lang w:val="es-ES"/>
        </w:rPr>
      </w:pPr>
      <w:r>
        <w:rPr>
          <w:rFonts w:ascii="Verdana" w:hAnsi="Verdana"/>
          <w:color w:val="000000" w:themeColor="text1"/>
          <w:sz w:val="20"/>
          <w:lang w:val="es-ES"/>
        </w:rPr>
        <w:br w:type="page"/>
      </w:r>
    </w:p>
    <w:p w14:paraId="6F4B3BF4" w14:textId="77777777" w:rsidR="002A3EC3" w:rsidRDefault="002A3EC3" w:rsidP="002A3EC3">
      <w:pPr>
        <w:jc w:val="both"/>
        <w:rPr>
          <w:rFonts w:ascii="Verdana" w:hAnsi="Verdana"/>
          <w:sz w:val="20"/>
          <w:lang w:val="es-ES"/>
        </w:rPr>
      </w:pPr>
      <w:r>
        <w:rPr>
          <w:rFonts w:ascii="Verdana" w:eastAsia="Calibri" w:hAnsi="Verdana" w:cs="Times"/>
          <w:sz w:val="20"/>
          <w:lang w:eastAsia="es-ES"/>
        </w:rPr>
        <w:lastRenderedPageBreak/>
        <w:t xml:space="preserve">Corte IDH. </w:t>
      </w:r>
      <w:r w:rsidRPr="00EA544F">
        <w:rPr>
          <w:rFonts w:ascii="Verdana" w:eastAsia="MS Mincho" w:hAnsi="Verdana"/>
          <w:i/>
          <w:sz w:val="20"/>
          <w:lang w:val="pt-BR"/>
        </w:rPr>
        <w:t xml:space="preserve">Caso </w:t>
      </w:r>
      <w:proofErr w:type="spellStart"/>
      <w:r w:rsidRPr="00EA544F">
        <w:rPr>
          <w:rFonts w:ascii="Verdana" w:eastAsia="MS Mincho" w:hAnsi="Verdana"/>
          <w:i/>
          <w:sz w:val="20"/>
          <w:lang w:val="pt-BR"/>
        </w:rPr>
        <w:t>Acevedo</w:t>
      </w:r>
      <w:proofErr w:type="spellEnd"/>
      <w:r w:rsidRPr="00EA544F">
        <w:rPr>
          <w:rFonts w:ascii="Verdana" w:eastAsia="MS Mincho" w:hAnsi="Verdana"/>
          <w:i/>
          <w:sz w:val="20"/>
          <w:lang w:val="pt-BR"/>
        </w:rPr>
        <w:t xml:space="preserve"> </w:t>
      </w:r>
      <w:proofErr w:type="spellStart"/>
      <w:r w:rsidRPr="00EA544F">
        <w:rPr>
          <w:rFonts w:ascii="Verdana" w:eastAsia="MS Mincho" w:hAnsi="Verdana"/>
          <w:i/>
          <w:sz w:val="20"/>
          <w:lang w:val="pt-BR"/>
        </w:rPr>
        <w:t>Buendía</w:t>
      </w:r>
      <w:proofErr w:type="spellEnd"/>
      <w:r w:rsidRPr="00EA544F">
        <w:rPr>
          <w:rFonts w:ascii="Verdana" w:eastAsia="MS Mincho" w:hAnsi="Verdana"/>
          <w:i/>
          <w:sz w:val="20"/>
          <w:lang w:val="pt-BR"/>
        </w:rPr>
        <w:t xml:space="preserve"> y </w:t>
      </w:r>
      <w:proofErr w:type="spellStart"/>
      <w:r w:rsidRPr="00EA544F">
        <w:rPr>
          <w:rFonts w:ascii="Verdana" w:eastAsia="MS Mincho" w:hAnsi="Verdana"/>
          <w:i/>
          <w:sz w:val="20"/>
          <w:lang w:val="pt-BR"/>
        </w:rPr>
        <w:t>otros</w:t>
      </w:r>
      <w:proofErr w:type="spellEnd"/>
      <w:r w:rsidRPr="00EA544F">
        <w:rPr>
          <w:rFonts w:ascii="Verdana" w:eastAsia="MS Mincho" w:hAnsi="Verdana"/>
          <w:i/>
          <w:sz w:val="20"/>
          <w:lang w:val="pt-BR"/>
        </w:rPr>
        <w:t xml:space="preserve"> Vs. </w:t>
      </w:r>
      <w:proofErr w:type="spellStart"/>
      <w:r w:rsidRPr="00EA544F">
        <w:rPr>
          <w:rFonts w:ascii="Verdana" w:eastAsia="MS Mincho" w:hAnsi="Verdana"/>
          <w:i/>
          <w:sz w:val="20"/>
          <w:lang w:val="pt-BR"/>
        </w:rPr>
        <w:t>Perú</w:t>
      </w:r>
      <w:proofErr w:type="spellEnd"/>
      <w:r>
        <w:rPr>
          <w:rFonts w:ascii="Verdana" w:eastAsia="Calibri" w:hAnsi="Verdana" w:cs="Times"/>
          <w:sz w:val="20"/>
          <w:lang w:eastAsia="es-ES"/>
        </w:rPr>
        <w:t>.</w:t>
      </w:r>
      <w:r>
        <w:rPr>
          <w:rFonts w:ascii="Verdana" w:hAnsi="Verdana"/>
          <w:bCs/>
          <w:i/>
          <w:sz w:val="20"/>
        </w:rPr>
        <w:t xml:space="preserve"> </w:t>
      </w:r>
      <w:r>
        <w:rPr>
          <w:rFonts w:ascii="Verdana" w:hAnsi="Verdana" w:cs="Arial"/>
          <w:sz w:val="20"/>
        </w:rPr>
        <w:t xml:space="preserve">Supervisión de Cumplimiento de Sentencia. </w:t>
      </w:r>
      <w:r>
        <w:rPr>
          <w:rFonts w:ascii="Verdana" w:hAnsi="Verdana"/>
          <w:sz w:val="20"/>
          <w:lang w:val="es-ES"/>
        </w:rPr>
        <w:t>Resolución de la Corte Interamericana de Derechos Humanos de 21 de junio</w:t>
      </w:r>
      <w:r>
        <w:rPr>
          <w:rFonts w:ascii="Verdana" w:hAnsi="Verdana"/>
          <w:sz w:val="20"/>
        </w:rPr>
        <w:t xml:space="preserve"> de 2021</w:t>
      </w:r>
      <w:r>
        <w:rPr>
          <w:rFonts w:ascii="Verdana" w:hAnsi="Verdana"/>
          <w:sz w:val="20"/>
          <w:lang w:val="es-ES"/>
        </w:rPr>
        <w:t xml:space="preserve">. </w:t>
      </w:r>
      <w:r>
        <w:rPr>
          <w:rFonts w:ascii="Verdana" w:hAnsi="Verdana"/>
          <w:iCs/>
          <w:sz w:val="20"/>
        </w:rPr>
        <w:t>Resolución adoptada en San José de Costa Rica por medio de sesión virtual.</w:t>
      </w:r>
    </w:p>
    <w:p w14:paraId="34480158" w14:textId="4207E6AC" w:rsidR="002A3EC3" w:rsidRDefault="002A3EC3" w:rsidP="002A3EC3">
      <w:pPr>
        <w:jc w:val="center"/>
        <w:rPr>
          <w:rFonts w:ascii="Verdana" w:hAnsi="Verdana"/>
          <w:sz w:val="20"/>
          <w:lang w:val="es-ES"/>
        </w:rPr>
      </w:pPr>
    </w:p>
    <w:p w14:paraId="496850A1" w14:textId="77777777" w:rsidR="002A3EC3" w:rsidRDefault="002A3EC3" w:rsidP="002A3EC3">
      <w:pPr>
        <w:jc w:val="center"/>
        <w:rPr>
          <w:rFonts w:ascii="Verdana" w:hAnsi="Verdana"/>
          <w:sz w:val="20"/>
          <w:lang w:val="es-ES"/>
        </w:rPr>
      </w:pPr>
    </w:p>
    <w:p w14:paraId="41EA0B27" w14:textId="77777777" w:rsidR="002A3EC3" w:rsidRDefault="002A3EC3" w:rsidP="002A3EC3">
      <w:pPr>
        <w:jc w:val="center"/>
        <w:rPr>
          <w:rFonts w:ascii="Verdana" w:hAnsi="Verdana"/>
          <w:sz w:val="20"/>
          <w:lang w:val="es-ES"/>
        </w:rPr>
      </w:pPr>
    </w:p>
    <w:p w14:paraId="4ABAA8C4" w14:textId="77777777" w:rsidR="002A3EC3" w:rsidRDefault="002A3EC3" w:rsidP="002A3EC3">
      <w:pPr>
        <w:jc w:val="center"/>
        <w:rPr>
          <w:rFonts w:ascii="Verdana" w:hAnsi="Verdana"/>
          <w:sz w:val="20"/>
          <w:lang w:val="es-ES"/>
        </w:rPr>
      </w:pPr>
    </w:p>
    <w:p w14:paraId="75E9399F" w14:textId="77777777" w:rsidR="002A3EC3" w:rsidRDefault="002A3EC3" w:rsidP="002A3EC3">
      <w:pPr>
        <w:jc w:val="center"/>
        <w:rPr>
          <w:rFonts w:ascii="Verdana" w:hAnsi="Verdana"/>
          <w:sz w:val="20"/>
          <w:lang w:val="es-ES"/>
        </w:rPr>
      </w:pPr>
    </w:p>
    <w:p w14:paraId="0F548179" w14:textId="77777777" w:rsidR="002A3EC3" w:rsidRDefault="002A3EC3" w:rsidP="002A3EC3">
      <w:pPr>
        <w:jc w:val="center"/>
        <w:rPr>
          <w:rFonts w:ascii="Verdana" w:hAnsi="Verdana"/>
          <w:sz w:val="20"/>
          <w:lang w:val="pt-BR"/>
        </w:rPr>
      </w:pPr>
      <w:r>
        <w:rPr>
          <w:rFonts w:ascii="Verdana" w:hAnsi="Verdana"/>
          <w:sz w:val="20"/>
          <w:lang w:val="pt-BR"/>
        </w:rPr>
        <w:t>Elizabeth Odio Benito</w:t>
      </w:r>
    </w:p>
    <w:p w14:paraId="37F7CA69" w14:textId="3598E3F5" w:rsidR="002A3EC3" w:rsidRDefault="002A3EC3" w:rsidP="002A3EC3">
      <w:pPr>
        <w:jc w:val="center"/>
        <w:rPr>
          <w:rFonts w:ascii="Verdana" w:hAnsi="Verdana"/>
          <w:sz w:val="20"/>
          <w:lang w:val="pt-BR"/>
        </w:rPr>
      </w:pPr>
      <w:r>
        <w:rPr>
          <w:rFonts w:ascii="Verdana" w:hAnsi="Verdana"/>
          <w:sz w:val="20"/>
          <w:lang w:val="pt-BR"/>
        </w:rPr>
        <w:t>Presidenta</w:t>
      </w:r>
    </w:p>
    <w:p w14:paraId="381CF49D" w14:textId="77777777" w:rsidR="002A3EC3" w:rsidRDefault="002A3EC3" w:rsidP="002A3EC3">
      <w:pPr>
        <w:jc w:val="both"/>
        <w:rPr>
          <w:rFonts w:ascii="Verdana" w:hAnsi="Verdana"/>
          <w:sz w:val="20"/>
          <w:lang w:val="pt-BR"/>
        </w:rPr>
      </w:pPr>
    </w:p>
    <w:p w14:paraId="49E0F60A" w14:textId="77777777" w:rsidR="002A3EC3" w:rsidRDefault="002A3EC3" w:rsidP="002A3EC3">
      <w:pPr>
        <w:jc w:val="both"/>
        <w:rPr>
          <w:rFonts w:ascii="Verdana" w:hAnsi="Verdana"/>
          <w:sz w:val="20"/>
          <w:lang w:val="pt-BR"/>
        </w:rPr>
      </w:pPr>
    </w:p>
    <w:p w14:paraId="564BB0A7" w14:textId="77777777" w:rsidR="002A3EC3" w:rsidRDefault="002A3EC3" w:rsidP="002A3EC3">
      <w:pPr>
        <w:jc w:val="both"/>
        <w:rPr>
          <w:rFonts w:ascii="Verdana" w:hAnsi="Verdana"/>
          <w:sz w:val="20"/>
          <w:lang w:val="pt-BR"/>
        </w:rPr>
      </w:pPr>
    </w:p>
    <w:p w14:paraId="30C4DA66" w14:textId="77777777" w:rsidR="002A3EC3" w:rsidRDefault="002A3EC3" w:rsidP="002A3EC3">
      <w:pPr>
        <w:jc w:val="both"/>
        <w:rPr>
          <w:rFonts w:ascii="Verdana" w:hAnsi="Verdana"/>
          <w:sz w:val="20"/>
          <w:lang w:val="pt-BR"/>
        </w:rPr>
      </w:pPr>
    </w:p>
    <w:p w14:paraId="0AFB4BD5" w14:textId="77777777" w:rsidR="002A3EC3" w:rsidRDefault="002A3EC3" w:rsidP="002A3EC3">
      <w:pPr>
        <w:jc w:val="both"/>
        <w:rPr>
          <w:rFonts w:ascii="Verdana" w:hAnsi="Verdana"/>
          <w:sz w:val="20"/>
          <w:lang w:val="pt-BR"/>
        </w:rPr>
      </w:pPr>
    </w:p>
    <w:p w14:paraId="6598D682" w14:textId="305B7579" w:rsidR="002A3EC3" w:rsidRDefault="002A3EC3" w:rsidP="002A3EC3">
      <w:pPr>
        <w:jc w:val="both"/>
        <w:rPr>
          <w:rFonts w:ascii="Verdana" w:hAnsi="Verdana"/>
          <w:sz w:val="20"/>
          <w:lang w:val="pt-BR"/>
        </w:rPr>
      </w:pPr>
      <w:r>
        <w:rPr>
          <w:rFonts w:ascii="Verdana" w:hAnsi="Verdana"/>
          <w:sz w:val="20"/>
          <w:lang w:val="pt-BR"/>
        </w:rPr>
        <w:t>L. Patricio Pazmiño Freire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Eduardo Vio Grossi</w:t>
      </w:r>
    </w:p>
    <w:p w14:paraId="336A38E8" w14:textId="77777777" w:rsidR="002A3EC3" w:rsidRDefault="002A3EC3" w:rsidP="002A3EC3">
      <w:pPr>
        <w:jc w:val="both"/>
        <w:rPr>
          <w:rFonts w:ascii="Verdana" w:hAnsi="Verdana"/>
          <w:sz w:val="20"/>
          <w:lang w:val="pt-BR"/>
        </w:rPr>
      </w:pPr>
    </w:p>
    <w:p w14:paraId="0D15E38B" w14:textId="77777777" w:rsidR="002A3EC3" w:rsidRDefault="002A3EC3" w:rsidP="002A3EC3">
      <w:pPr>
        <w:jc w:val="both"/>
        <w:rPr>
          <w:rFonts w:ascii="Verdana" w:hAnsi="Verdana"/>
          <w:sz w:val="20"/>
          <w:lang w:val="pt-BR"/>
        </w:rPr>
      </w:pPr>
    </w:p>
    <w:p w14:paraId="1BC6F502" w14:textId="77777777" w:rsidR="002A3EC3" w:rsidRDefault="002A3EC3" w:rsidP="002A3EC3">
      <w:pPr>
        <w:jc w:val="both"/>
        <w:rPr>
          <w:rFonts w:ascii="Verdana" w:hAnsi="Verdana"/>
          <w:sz w:val="20"/>
          <w:lang w:val="pt-BR"/>
        </w:rPr>
      </w:pPr>
    </w:p>
    <w:p w14:paraId="3AB21954" w14:textId="77777777" w:rsidR="002A3EC3" w:rsidRDefault="002A3EC3" w:rsidP="002A3EC3">
      <w:pPr>
        <w:jc w:val="both"/>
        <w:rPr>
          <w:rFonts w:ascii="Verdana" w:hAnsi="Verdana"/>
          <w:sz w:val="20"/>
          <w:lang w:val="pt-BR"/>
        </w:rPr>
      </w:pPr>
    </w:p>
    <w:p w14:paraId="5D828FEB" w14:textId="77777777" w:rsidR="002A3EC3" w:rsidRDefault="002A3EC3" w:rsidP="002A3EC3">
      <w:pPr>
        <w:jc w:val="both"/>
        <w:rPr>
          <w:rFonts w:ascii="Verdana" w:hAnsi="Verdana"/>
          <w:sz w:val="20"/>
          <w:lang w:val="pt-BR"/>
        </w:rPr>
      </w:pPr>
    </w:p>
    <w:p w14:paraId="74D8137E" w14:textId="77777777" w:rsidR="002A3EC3" w:rsidRDefault="002A3EC3" w:rsidP="002A3EC3">
      <w:pPr>
        <w:jc w:val="both"/>
        <w:rPr>
          <w:rFonts w:ascii="Verdana" w:hAnsi="Verdana"/>
          <w:sz w:val="20"/>
          <w:lang w:val="pt-BR"/>
        </w:rPr>
      </w:pPr>
      <w:r>
        <w:rPr>
          <w:rFonts w:ascii="Verdana" w:hAnsi="Verdana"/>
          <w:sz w:val="20"/>
          <w:lang w:val="pt-BR"/>
        </w:rPr>
        <w:t xml:space="preserve">Humberto Antonio Sierra </w:t>
      </w:r>
      <w:proofErr w:type="gramStart"/>
      <w:r>
        <w:rPr>
          <w:rFonts w:ascii="Verdana" w:hAnsi="Verdana"/>
          <w:sz w:val="20"/>
          <w:lang w:val="pt-BR"/>
        </w:rPr>
        <w:t xml:space="preserve">Porto  </w:t>
      </w:r>
      <w:r>
        <w:rPr>
          <w:rFonts w:ascii="Verdana" w:hAnsi="Verdana"/>
          <w:sz w:val="20"/>
          <w:lang w:val="pt-BR"/>
        </w:rPr>
        <w:tab/>
      </w:r>
      <w:proofErr w:type="gramEnd"/>
      <w:r>
        <w:rPr>
          <w:rFonts w:ascii="Verdana" w:hAnsi="Verdana"/>
          <w:sz w:val="20"/>
          <w:lang w:val="pt-BR"/>
        </w:rPr>
        <w:tab/>
      </w:r>
      <w:r>
        <w:rPr>
          <w:rFonts w:ascii="Verdana" w:hAnsi="Verdana"/>
          <w:sz w:val="20"/>
          <w:lang w:val="pt-BR"/>
        </w:rPr>
        <w:tab/>
        <w:t xml:space="preserve">      Eduardo Ferrer </w:t>
      </w:r>
      <w:proofErr w:type="spellStart"/>
      <w:r>
        <w:rPr>
          <w:rFonts w:ascii="Verdana" w:hAnsi="Verdana"/>
          <w:sz w:val="20"/>
          <w:lang w:val="pt-BR"/>
        </w:rPr>
        <w:t>Mac-Gregor</w:t>
      </w:r>
      <w:proofErr w:type="spellEnd"/>
      <w:r>
        <w:rPr>
          <w:rFonts w:ascii="Verdana" w:hAnsi="Verdana"/>
          <w:sz w:val="20"/>
          <w:lang w:val="pt-BR"/>
        </w:rPr>
        <w:t xml:space="preserve"> </w:t>
      </w:r>
      <w:proofErr w:type="spellStart"/>
      <w:r>
        <w:rPr>
          <w:rFonts w:ascii="Verdana" w:hAnsi="Verdana"/>
          <w:sz w:val="20"/>
          <w:lang w:val="pt-BR"/>
        </w:rPr>
        <w:t>Poisot</w:t>
      </w:r>
      <w:proofErr w:type="spellEnd"/>
    </w:p>
    <w:p w14:paraId="2070C2E9" w14:textId="402A2D5F" w:rsidR="002A3EC3" w:rsidRDefault="002A3EC3" w:rsidP="002A3EC3">
      <w:pPr>
        <w:jc w:val="both"/>
        <w:rPr>
          <w:rFonts w:ascii="Verdana" w:hAnsi="Verdana"/>
          <w:sz w:val="20"/>
          <w:lang w:val="pt-BR"/>
        </w:rPr>
      </w:pPr>
    </w:p>
    <w:p w14:paraId="20F21B1F" w14:textId="77777777" w:rsidR="002A3EC3" w:rsidRDefault="002A3EC3" w:rsidP="002A3EC3">
      <w:pPr>
        <w:jc w:val="both"/>
        <w:rPr>
          <w:rFonts w:ascii="Verdana" w:hAnsi="Verdana"/>
          <w:sz w:val="20"/>
          <w:lang w:val="pt-BR"/>
        </w:rPr>
      </w:pPr>
    </w:p>
    <w:p w14:paraId="030729C4" w14:textId="53A28AF5" w:rsidR="002A3EC3" w:rsidRDefault="002A3EC3" w:rsidP="002A3EC3">
      <w:pPr>
        <w:jc w:val="both"/>
        <w:rPr>
          <w:rFonts w:ascii="Verdana" w:hAnsi="Verdana"/>
          <w:sz w:val="20"/>
          <w:lang w:val="pt-BR"/>
        </w:rPr>
      </w:pPr>
    </w:p>
    <w:p w14:paraId="44D9EBD7" w14:textId="77777777" w:rsidR="002A3EC3" w:rsidRDefault="002A3EC3" w:rsidP="002A3EC3">
      <w:pPr>
        <w:jc w:val="both"/>
        <w:rPr>
          <w:rFonts w:ascii="Verdana" w:hAnsi="Verdana"/>
          <w:sz w:val="20"/>
          <w:lang w:val="pt-BR"/>
        </w:rPr>
      </w:pPr>
    </w:p>
    <w:p w14:paraId="77397451" w14:textId="77777777" w:rsidR="002A3EC3" w:rsidRDefault="002A3EC3" w:rsidP="002A3EC3">
      <w:pPr>
        <w:jc w:val="both"/>
        <w:rPr>
          <w:rFonts w:ascii="Verdana" w:hAnsi="Verdana"/>
          <w:sz w:val="20"/>
          <w:lang w:val="pt-BR"/>
        </w:rPr>
      </w:pPr>
    </w:p>
    <w:p w14:paraId="723036C4" w14:textId="518928FE" w:rsidR="002A3EC3" w:rsidRDefault="002A3EC3" w:rsidP="002A3EC3">
      <w:pPr>
        <w:jc w:val="both"/>
        <w:rPr>
          <w:rFonts w:ascii="Verdana" w:hAnsi="Verdana"/>
          <w:sz w:val="20"/>
          <w:lang w:val="pt-BR"/>
        </w:rPr>
      </w:pPr>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Manrique</w:t>
      </w:r>
    </w:p>
    <w:p w14:paraId="3EB1FA69" w14:textId="77777777" w:rsidR="002A3EC3" w:rsidRDefault="002A3EC3" w:rsidP="002A3EC3">
      <w:pPr>
        <w:jc w:val="both"/>
        <w:rPr>
          <w:rFonts w:ascii="Verdana" w:hAnsi="Verdana"/>
          <w:sz w:val="20"/>
          <w:lang w:val="pt-BR"/>
        </w:rPr>
      </w:pPr>
    </w:p>
    <w:p w14:paraId="4CE055B3" w14:textId="77777777" w:rsidR="002A3EC3" w:rsidRDefault="002A3EC3" w:rsidP="002A3EC3">
      <w:pPr>
        <w:jc w:val="both"/>
        <w:rPr>
          <w:rFonts w:ascii="Verdana" w:hAnsi="Verdana"/>
          <w:sz w:val="20"/>
          <w:lang w:val="pt-BR"/>
        </w:rPr>
      </w:pPr>
    </w:p>
    <w:p w14:paraId="55449FC6" w14:textId="77777777" w:rsidR="002A3EC3" w:rsidRPr="00D95C10" w:rsidRDefault="002A3EC3" w:rsidP="002A3EC3">
      <w:pPr>
        <w:rPr>
          <w:rFonts w:ascii="Verdana" w:hAnsi="Verdana"/>
          <w:sz w:val="20"/>
          <w:lang w:val="pt-BR"/>
        </w:rPr>
      </w:pPr>
    </w:p>
    <w:p w14:paraId="44B25069" w14:textId="77777777" w:rsidR="002A3EC3" w:rsidRDefault="002A3EC3" w:rsidP="002A3EC3">
      <w:pPr>
        <w:jc w:val="both"/>
        <w:rPr>
          <w:rFonts w:ascii="Verdana" w:hAnsi="Verdana"/>
          <w:sz w:val="20"/>
          <w:lang w:val="pt-BR"/>
        </w:rPr>
      </w:pPr>
    </w:p>
    <w:p w14:paraId="07C3B20D" w14:textId="77777777" w:rsidR="002A3EC3" w:rsidRDefault="002A3EC3" w:rsidP="002A3EC3">
      <w:pPr>
        <w:jc w:val="both"/>
        <w:rPr>
          <w:rFonts w:ascii="Verdana" w:hAnsi="Verdana"/>
          <w:sz w:val="20"/>
          <w:lang w:val="pt-BR"/>
        </w:rPr>
      </w:pPr>
    </w:p>
    <w:p w14:paraId="79925165" w14:textId="77777777" w:rsidR="002A3EC3" w:rsidRDefault="002A3EC3" w:rsidP="002A3EC3">
      <w:pPr>
        <w:jc w:val="both"/>
        <w:rPr>
          <w:rFonts w:ascii="Verdana" w:hAnsi="Verdana"/>
          <w:sz w:val="20"/>
          <w:lang w:val="pt-BR"/>
        </w:rPr>
      </w:pPr>
    </w:p>
    <w:p w14:paraId="7D498420" w14:textId="77777777" w:rsidR="002A3EC3" w:rsidRDefault="002A3EC3" w:rsidP="002A3EC3">
      <w:pPr>
        <w:jc w:val="center"/>
        <w:rPr>
          <w:rFonts w:ascii="Verdana" w:hAnsi="Verdana"/>
          <w:sz w:val="20"/>
          <w:lang w:val="pt-BR"/>
        </w:rPr>
      </w:pPr>
      <w:r>
        <w:rPr>
          <w:rFonts w:ascii="Verdana" w:hAnsi="Verdana"/>
          <w:sz w:val="20"/>
          <w:lang w:val="pt-BR"/>
        </w:rPr>
        <w:t>Pablo Saavedra Alessandri</w:t>
      </w:r>
    </w:p>
    <w:p w14:paraId="085ECA52" w14:textId="77777777" w:rsidR="002A3EC3" w:rsidRDefault="002A3EC3" w:rsidP="002A3EC3">
      <w:pPr>
        <w:jc w:val="center"/>
        <w:rPr>
          <w:rFonts w:ascii="Verdana" w:hAnsi="Verdana"/>
          <w:sz w:val="20"/>
          <w:lang w:val="pt-BR"/>
        </w:rPr>
      </w:pPr>
      <w:r>
        <w:rPr>
          <w:rFonts w:ascii="Verdana" w:hAnsi="Verdana"/>
          <w:sz w:val="20"/>
          <w:lang w:val="pt-BR"/>
        </w:rPr>
        <w:t>Secretario</w:t>
      </w:r>
    </w:p>
    <w:p w14:paraId="378467A8" w14:textId="77777777" w:rsidR="002A3EC3" w:rsidRPr="00F154FF" w:rsidRDefault="002A3EC3" w:rsidP="002A3EC3">
      <w:pPr>
        <w:jc w:val="both"/>
        <w:rPr>
          <w:rFonts w:ascii="Verdana" w:hAnsi="Verdana"/>
          <w:sz w:val="20"/>
          <w:lang w:val="pt-BR"/>
        </w:rPr>
      </w:pPr>
    </w:p>
    <w:p w14:paraId="6D8976E3" w14:textId="77777777" w:rsidR="002A3EC3" w:rsidRPr="00F154FF" w:rsidRDefault="002A3EC3" w:rsidP="002A3EC3">
      <w:pPr>
        <w:jc w:val="both"/>
        <w:rPr>
          <w:rFonts w:ascii="Verdana" w:hAnsi="Verdana"/>
          <w:sz w:val="20"/>
          <w:lang w:val="pt-BR"/>
        </w:rPr>
      </w:pPr>
      <w:proofErr w:type="spellStart"/>
      <w:r w:rsidRPr="00F154FF">
        <w:rPr>
          <w:rFonts w:ascii="Verdana" w:hAnsi="Verdana"/>
          <w:sz w:val="20"/>
          <w:lang w:val="pt-BR"/>
        </w:rPr>
        <w:t>Comuníquese</w:t>
      </w:r>
      <w:proofErr w:type="spellEnd"/>
      <w:r w:rsidRPr="00F154FF">
        <w:rPr>
          <w:rFonts w:ascii="Verdana" w:hAnsi="Verdana"/>
          <w:sz w:val="20"/>
          <w:lang w:val="pt-BR"/>
        </w:rPr>
        <w:t xml:space="preserve"> y </w:t>
      </w:r>
      <w:proofErr w:type="spellStart"/>
      <w:r w:rsidRPr="00F154FF">
        <w:rPr>
          <w:rFonts w:ascii="Verdana" w:hAnsi="Verdana"/>
          <w:sz w:val="20"/>
          <w:lang w:val="pt-BR"/>
        </w:rPr>
        <w:t>ejecútese</w:t>
      </w:r>
      <w:proofErr w:type="spellEnd"/>
      <w:r w:rsidRPr="00F154FF">
        <w:rPr>
          <w:rFonts w:ascii="Verdana" w:hAnsi="Verdana"/>
          <w:sz w:val="20"/>
          <w:lang w:val="pt-BR"/>
        </w:rPr>
        <w:t>,</w:t>
      </w:r>
    </w:p>
    <w:p w14:paraId="4DA2E105" w14:textId="6B7FD207" w:rsidR="002A3EC3" w:rsidRPr="00F154FF" w:rsidRDefault="002A3EC3" w:rsidP="002A3EC3">
      <w:pPr>
        <w:jc w:val="both"/>
        <w:rPr>
          <w:rFonts w:ascii="Verdana" w:hAnsi="Verdana"/>
          <w:sz w:val="20"/>
          <w:lang w:val="pt-BR"/>
        </w:rPr>
      </w:pPr>
    </w:p>
    <w:p w14:paraId="7C9F4EB6" w14:textId="77777777" w:rsidR="002A3EC3" w:rsidRPr="00F154FF" w:rsidRDefault="002A3EC3" w:rsidP="002A3EC3">
      <w:pPr>
        <w:jc w:val="both"/>
        <w:rPr>
          <w:rFonts w:ascii="Verdana" w:hAnsi="Verdana"/>
          <w:sz w:val="20"/>
          <w:lang w:val="pt-BR"/>
        </w:rPr>
      </w:pPr>
    </w:p>
    <w:p w14:paraId="069B8A6A" w14:textId="77777777" w:rsidR="002A3EC3" w:rsidRPr="00F154FF" w:rsidRDefault="002A3EC3" w:rsidP="002A3EC3">
      <w:pPr>
        <w:jc w:val="both"/>
        <w:rPr>
          <w:rFonts w:ascii="Verdana" w:hAnsi="Verdana"/>
          <w:sz w:val="20"/>
          <w:lang w:val="pt-BR"/>
        </w:rPr>
      </w:pPr>
    </w:p>
    <w:p w14:paraId="1819C65F" w14:textId="77777777" w:rsidR="002A3EC3" w:rsidRDefault="002A3EC3" w:rsidP="002A3EC3">
      <w:pPr>
        <w:jc w:val="both"/>
        <w:rPr>
          <w:rFonts w:ascii="Verdana" w:hAnsi="Verdana"/>
          <w:sz w:val="20"/>
          <w:lang w:val="pt-BR"/>
        </w:rPr>
      </w:pPr>
    </w:p>
    <w:p w14:paraId="2FDBF764" w14:textId="30EF5660" w:rsidR="002A3EC3" w:rsidRPr="00F154FF" w:rsidRDefault="002A3EC3" w:rsidP="002A3EC3">
      <w:pPr>
        <w:jc w:val="both"/>
        <w:rPr>
          <w:rFonts w:ascii="Verdana" w:hAnsi="Verdana"/>
          <w:sz w:val="20"/>
          <w:lang w:val="pt-BR"/>
        </w:rPr>
      </w:pPr>
    </w:p>
    <w:p w14:paraId="24AE78BE" w14:textId="77777777" w:rsidR="002A3EC3" w:rsidRPr="00F154FF" w:rsidRDefault="002A3EC3" w:rsidP="002A3EC3">
      <w:pPr>
        <w:ind w:left="4248" w:firstLine="708"/>
        <w:jc w:val="center"/>
        <w:rPr>
          <w:rFonts w:ascii="Verdana" w:hAnsi="Verdana"/>
          <w:sz w:val="20"/>
          <w:lang w:val="es-CO"/>
        </w:rPr>
      </w:pPr>
      <w:r w:rsidRPr="00F154FF">
        <w:rPr>
          <w:rFonts w:ascii="Verdana" w:hAnsi="Verdana"/>
          <w:sz w:val="20"/>
          <w:lang w:val="pt-BR"/>
        </w:rPr>
        <w:t>Elizabeth Odio Benito</w:t>
      </w:r>
    </w:p>
    <w:p w14:paraId="545ADA74" w14:textId="77777777" w:rsidR="002A3EC3" w:rsidRPr="00F154FF" w:rsidRDefault="002A3EC3" w:rsidP="002A3EC3">
      <w:pPr>
        <w:ind w:left="4248" w:firstLine="708"/>
        <w:jc w:val="center"/>
        <w:rPr>
          <w:rFonts w:ascii="Verdana" w:hAnsi="Verdana"/>
          <w:sz w:val="20"/>
          <w:lang w:val="pt-BR"/>
        </w:rPr>
      </w:pPr>
      <w:r>
        <w:rPr>
          <w:rFonts w:ascii="Verdana" w:hAnsi="Verdana"/>
          <w:sz w:val="20"/>
          <w:lang w:val="pt-BR"/>
        </w:rPr>
        <w:t>Presidenta</w:t>
      </w:r>
    </w:p>
    <w:p w14:paraId="3C7B6E48" w14:textId="77777777" w:rsidR="002A3EC3" w:rsidRPr="00F154FF" w:rsidRDefault="002A3EC3" w:rsidP="002A3EC3">
      <w:pPr>
        <w:jc w:val="both"/>
        <w:rPr>
          <w:rFonts w:ascii="Verdana" w:hAnsi="Verdana"/>
          <w:sz w:val="20"/>
          <w:lang w:val="pt-BR"/>
        </w:rPr>
      </w:pPr>
    </w:p>
    <w:p w14:paraId="66428756" w14:textId="77777777" w:rsidR="002A3EC3" w:rsidRPr="00F154FF" w:rsidRDefault="002A3EC3" w:rsidP="002A3EC3">
      <w:pPr>
        <w:jc w:val="both"/>
        <w:rPr>
          <w:rFonts w:ascii="Verdana" w:hAnsi="Verdana"/>
          <w:sz w:val="20"/>
          <w:lang w:val="pt-BR"/>
        </w:rPr>
      </w:pPr>
    </w:p>
    <w:p w14:paraId="214EDD83" w14:textId="77777777" w:rsidR="002A3EC3" w:rsidRDefault="002A3EC3" w:rsidP="002A3EC3">
      <w:pPr>
        <w:jc w:val="both"/>
        <w:rPr>
          <w:rFonts w:ascii="Verdana" w:hAnsi="Verdana"/>
          <w:sz w:val="20"/>
          <w:lang w:val="pt-BR"/>
        </w:rPr>
      </w:pPr>
    </w:p>
    <w:p w14:paraId="6994BA50" w14:textId="77777777" w:rsidR="002A3EC3" w:rsidRPr="00F154FF" w:rsidRDefault="002A3EC3" w:rsidP="002A3EC3">
      <w:pPr>
        <w:jc w:val="both"/>
        <w:rPr>
          <w:rFonts w:ascii="Verdana" w:hAnsi="Verdana"/>
          <w:sz w:val="20"/>
          <w:lang w:val="pt-BR"/>
        </w:rPr>
      </w:pPr>
    </w:p>
    <w:p w14:paraId="09BC7318" w14:textId="77777777" w:rsidR="002A3EC3" w:rsidRPr="00F154FF" w:rsidRDefault="002A3EC3" w:rsidP="002A3EC3">
      <w:pPr>
        <w:jc w:val="both"/>
        <w:rPr>
          <w:rFonts w:ascii="Verdana" w:hAnsi="Verdana"/>
          <w:sz w:val="20"/>
          <w:lang w:val="es-ES"/>
        </w:rPr>
      </w:pPr>
      <w:r w:rsidRPr="00F154FF">
        <w:rPr>
          <w:rFonts w:ascii="Verdana" w:hAnsi="Verdana"/>
          <w:sz w:val="20"/>
          <w:lang w:val="es-ES"/>
        </w:rPr>
        <w:t>Pablo Saavedra Alessandri</w:t>
      </w:r>
    </w:p>
    <w:p w14:paraId="1D982601" w14:textId="77777777" w:rsidR="002A3EC3" w:rsidRPr="00514C91" w:rsidRDefault="002A3EC3" w:rsidP="002A3EC3">
      <w:r w:rsidRPr="00F154FF">
        <w:rPr>
          <w:rFonts w:ascii="Verdana" w:hAnsi="Verdana"/>
          <w:sz w:val="20"/>
          <w:lang w:val="es-ES"/>
        </w:rPr>
        <w:tab/>
      </w:r>
      <w:r w:rsidRPr="00F154FF">
        <w:rPr>
          <w:rFonts w:ascii="Verdana" w:hAnsi="Verdana"/>
          <w:sz w:val="20"/>
          <w:lang w:val="es-CR"/>
        </w:rPr>
        <w:t>Secretario</w:t>
      </w:r>
    </w:p>
    <w:p w14:paraId="1B86DFCD" w14:textId="77777777" w:rsidR="00977993" w:rsidRPr="00BA2C4F" w:rsidRDefault="00862161" w:rsidP="007304B6">
      <w:pPr>
        <w:rPr>
          <w:rFonts w:ascii="Verdana" w:hAnsi="Verdana"/>
          <w:color w:val="000000" w:themeColor="text1"/>
          <w:sz w:val="20"/>
          <w:lang w:val="es-ES"/>
        </w:rPr>
      </w:pPr>
    </w:p>
    <w:sectPr w:rsidR="00977993" w:rsidRPr="00BA2C4F" w:rsidSect="00F03C6A">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7684E" w14:textId="77777777" w:rsidR="00862161" w:rsidRDefault="00862161" w:rsidP="008C59E5">
      <w:r>
        <w:separator/>
      </w:r>
    </w:p>
  </w:endnote>
  <w:endnote w:type="continuationSeparator" w:id="0">
    <w:p w14:paraId="7BECCBF0" w14:textId="77777777" w:rsidR="00862161" w:rsidRDefault="00862161" w:rsidP="008C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529063901"/>
      <w:docPartObj>
        <w:docPartGallery w:val="Page Numbers (Bottom of Page)"/>
        <w:docPartUnique/>
      </w:docPartObj>
    </w:sdtPr>
    <w:sdtEndPr>
      <w:rPr>
        <w:rStyle w:val="Nmerodepgina"/>
      </w:rPr>
    </w:sdtEndPr>
    <w:sdtContent>
      <w:p w14:paraId="09CFD0DB" w14:textId="10516671" w:rsidR="009F728C" w:rsidRDefault="009F728C" w:rsidP="00E77689">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1043772" w14:textId="77777777" w:rsidR="009F728C" w:rsidRDefault="009F72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Verdana" w:hAnsi="Verdana"/>
        <w:sz w:val="20"/>
      </w:rPr>
      <w:id w:val="520355138"/>
      <w:docPartObj>
        <w:docPartGallery w:val="Page Numbers (Bottom of Page)"/>
        <w:docPartUnique/>
      </w:docPartObj>
    </w:sdtPr>
    <w:sdtEndPr>
      <w:rPr>
        <w:rStyle w:val="Nmerodepgina"/>
        <w:sz w:val="16"/>
      </w:rPr>
    </w:sdtEndPr>
    <w:sdtContent>
      <w:p w14:paraId="7E4DC684" w14:textId="4A87D271" w:rsidR="009F728C" w:rsidRPr="00383F0E" w:rsidRDefault="0003399F" w:rsidP="00E77689">
        <w:pPr>
          <w:pStyle w:val="Piedepgina"/>
          <w:framePr w:wrap="none" w:vAnchor="text" w:hAnchor="margin" w:xAlign="center" w:y="1"/>
          <w:rPr>
            <w:rStyle w:val="Nmerodepgina"/>
            <w:rFonts w:ascii="Verdana" w:hAnsi="Verdana"/>
            <w:sz w:val="16"/>
          </w:rPr>
        </w:pPr>
        <w:r w:rsidRPr="00383F0E">
          <w:rPr>
            <w:rStyle w:val="Nmerodepgina"/>
            <w:rFonts w:ascii="Verdana" w:hAnsi="Verdana"/>
            <w:sz w:val="16"/>
          </w:rPr>
          <w:t>-</w:t>
        </w:r>
        <w:r w:rsidR="009F728C" w:rsidRPr="00383F0E">
          <w:rPr>
            <w:rStyle w:val="Nmerodepgina"/>
            <w:rFonts w:ascii="Verdana" w:hAnsi="Verdana"/>
            <w:sz w:val="16"/>
          </w:rPr>
          <w:fldChar w:fldCharType="begin"/>
        </w:r>
        <w:r w:rsidR="009F728C" w:rsidRPr="00383F0E">
          <w:rPr>
            <w:rStyle w:val="Nmerodepgina"/>
            <w:rFonts w:ascii="Verdana" w:hAnsi="Verdana"/>
            <w:sz w:val="16"/>
          </w:rPr>
          <w:instrText xml:space="preserve"> PAGE </w:instrText>
        </w:r>
        <w:r w:rsidR="009F728C" w:rsidRPr="00383F0E">
          <w:rPr>
            <w:rStyle w:val="Nmerodepgina"/>
            <w:rFonts w:ascii="Verdana" w:hAnsi="Verdana"/>
            <w:sz w:val="16"/>
          </w:rPr>
          <w:fldChar w:fldCharType="separate"/>
        </w:r>
        <w:r w:rsidR="0073466E">
          <w:rPr>
            <w:rStyle w:val="Nmerodepgina"/>
            <w:rFonts w:ascii="Verdana" w:hAnsi="Verdana"/>
            <w:noProof/>
            <w:sz w:val="16"/>
          </w:rPr>
          <w:t>1</w:t>
        </w:r>
        <w:r w:rsidR="009F728C" w:rsidRPr="00383F0E">
          <w:rPr>
            <w:rStyle w:val="Nmerodepgina"/>
            <w:rFonts w:ascii="Verdana" w:hAnsi="Verdana"/>
            <w:sz w:val="16"/>
          </w:rPr>
          <w:fldChar w:fldCharType="end"/>
        </w:r>
        <w:r w:rsidRPr="00383F0E">
          <w:rPr>
            <w:rStyle w:val="Nmerodepgina"/>
            <w:rFonts w:ascii="Verdana" w:hAnsi="Verdana"/>
            <w:sz w:val="16"/>
          </w:rPr>
          <w:t>-</w:t>
        </w:r>
      </w:p>
    </w:sdtContent>
  </w:sdt>
  <w:p w14:paraId="7B015CB0" w14:textId="77777777" w:rsidR="009F728C" w:rsidRDefault="009F72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996D5" w14:textId="77777777" w:rsidR="00862161" w:rsidRDefault="00862161" w:rsidP="008C59E5">
      <w:r>
        <w:separator/>
      </w:r>
    </w:p>
  </w:footnote>
  <w:footnote w:type="continuationSeparator" w:id="0">
    <w:p w14:paraId="39DA794D" w14:textId="77777777" w:rsidR="00862161" w:rsidRDefault="00862161" w:rsidP="008C59E5">
      <w:r>
        <w:continuationSeparator/>
      </w:r>
    </w:p>
  </w:footnote>
  <w:footnote w:id="1">
    <w:p w14:paraId="3D4CA454" w14:textId="70EE0F90" w:rsidR="00E71726" w:rsidRPr="00BA2C4F" w:rsidRDefault="00E71726"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t>*</w:t>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t>Debido a las circunstancias excepcionales ocasionadas por la pandemia COVID-19, esta Resolución fue deliberada y aprobada durante el 142° Periodo Ordinario de Sesiones, el cual se llevó a cabo de forma no presencial utilizando medios tecnológicos de conformidad con lo establecido en el Reglamento de la Corte.</w:t>
      </w:r>
    </w:p>
    <w:p w14:paraId="7E28F446" w14:textId="0A3F6685" w:rsidR="008C59E5" w:rsidRPr="00BA2C4F" w:rsidRDefault="008C59E5"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t xml:space="preserve">El texto completo de la Sentencia de excepción preliminar, fondo, reparaciones y costas se encuentra disponible en: </w:t>
      </w:r>
      <w:hyperlink r:id="rId1" w:history="1">
        <w:r w:rsidRPr="00BA2C4F">
          <w:rPr>
            <w:rStyle w:val="Hipervnculo"/>
            <w:rFonts w:ascii="Verdana" w:hAnsi="Verdana"/>
            <w:color w:val="000000" w:themeColor="text1"/>
            <w:sz w:val="16"/>
            <w:szCs w:val="16"/>
            <w:lang w:val="es-ES"/>
          </w:rPr>
          <w:t>http://www.corteidh.or.cr/docs/casos/articulos/seriec_198_esp.pdf</w:t>
        </w:r>
      </w:hyperlink>
    </w:p>
  </w:footnote>
  <w:footnote w:id="2">
    <w:p w14:paraId="04302FF3" w14:textId="36069246" w:rsidR="008C59E5" w:rsidRPr="00BA2C4F" w:rsidRDefault="008C59E5"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t>Régimen de Pensiones y Compensaciones por Servicios Civiles Prestados al Estado no Comprendidos por el Decreto</w:t>
      </w:r>
      <w:r w:rsidR="005348D4"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Ley No. 19990.</w:t>
      </w:r>
    </w:p>
  </w:footnote>
  <w:footnote w:id="3">
    <w:p w14:paraId="47AC1CF9" w14:textId="77777777" w:rsidR="008C59E5" w:rsidRPr="00BA2C4F" w:rsidRDefault="008C59E5" w:rsidP="00E37D2D">
      <w:pPr>
        <w:pStyle w:val="Textonotapie"/>
        <w:jc w:val="both"/>
        <w:rPr>
          <w:rFonts w:ascii="Verdana" w:hAnsi="Verdana"/>
          <w:b/>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t xml:space="preserve">La Corte consideró que ‘‘el derecho a la pensión </w:t>
      </w:r>
      <w:proofErr w:type="spellStart"/>
      <w:r w:rsidRPr="00BA2C4F">
        <w:rPr>
          <w:rFonts w:ascii="Verdana" w:hAnsi="Verdana"/>
          <w:color w:val="000000" w:themeColor="text1"/>
          <w:sz w:val="16"/>
          <w:szCs w:val="16"/>
          <w:lang w:val="es-ES"/>
        </w:rPr>
        <w:t>nivelable</w:t>
      </w:r>
      <w:proofErr w:type="spellEnd"/>
      <w:r w:rsidRPr="00BA2C4F">
        <w:rPr>
          <w:rFonts w:ascii="Verdana" w:hAnsi="Verdana"/>
          <w:color w:val="000000" w:themeColor="text1"/>
          <w:sz w:val="16"/>
          <w:szCs w:val="16"/>
          <w:lang w:val="es-ES"/>
        </w:rPr>
        <w:t xml:space="preserve"> que adquirieron las víctimas, de conformidad con la normativa peruana aplicable, generó un efecto en el patrimonio de éstas, quienes recibían los montos correspondientes cada mes. Tal patrimonio se vio afectado directamente por la reducción de manera ilegal, según lo señalado por el Tribunal Constitucional, en el monto recibido entre abril de 1993 y octubre de 2002”. </w:t>
      </w:r>
    </w:p>
  </w:footnote>
  <w:footnote w:id="4">
    <w:p w14:paraId="30E04FEE" w14:textId="77777777" w:rsidR="008C59E5" w:rsidRPr="00BA2C4F" w:rsidRDefault="008C59E5"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t xml:space="preserve">El texto completo de la Sentencia de Interpretación se encuentra disponible en: </w:t>
      </w:r>
      <w:hyperlink r:id="rId2" w:history="1">
        <w:r w:rsidRPr="00BA2C4F">
          <w:rPr>
            <w:rStyle w:val="Hipervnculo"/>
            <w:rFonts w:ascii="Verdana" w:hAnsi="Verdana"/>
            <w:color w:val="000000" w:themeColor="text1"/>
            <w:sz w:val="16"/>
            <w:szCs w:val="16"/>
            <w:lang w:val="es-ES"/>
          </w:rPr>
          <w:t>http://www.corteidh.or.cr/docs/casos/articulos/seriec_210_esp1.pdf</w:t>
        </w:r>
      </w:hyperlink>
    </w:p>
  </w:footnote>
  <w:footnote w:id="5">
    <w:p w14:paraId="28671E47" w14:textId="77777777" w:rsidR="008C59E5" w:rsidRPr="00BA2C4F" w:rsidRDefault="008C59E5"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t xml:space="preserve">El texto de la referida resolución se encuentra disponible en: </w:t>
      </w:r>
      <w:hyperlink r:id="rId3" w:history="1">
        <w:r w:rsidRPr="00BA2C4F">
          <w:rPr>
            <w:rStyle w:val="Hipervnculo"/>
            <w:rFonts w:ascii="Verdana" w:hAnsi="Verdana"/>
            <w:color w:val="000000" w:themeColor="text1"/>
            <w:sz w:val="16"/>
            <w:szCs w:val="16"/>
            <w:lang w:val="es-ES"/>
          </w:rPr>
          <w:t>http://www.corteidh.or.cr/docs/supervisiones/acevedobuendia_01_07_11.pdf</w:t>
        </w:r>
      </w:hyperlink>
    </w:p>
  </w:footnote>
  <w:footnote w:id="6">
    <w:p w14:paraId="5C8F014E" w14:textId="77777777" w:rsidR="0077189E" w:rsidRPr="00BA2C4F" w:rsidRDefault="0077189E"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t xml:space="preserve">El texto completo de la referida resolución se encuentra disponible en: </w:t>
      </w:r>
      <w:r w:rsidRPr="00BA2C4F">
        <w:rPr>
          <w:rFonts w:ascii="Verdana" w:hAnsi="Verdana"/>
          <w:color w:val="000000" w:themeColor="text1"/>
          <w:sz w:val="16"/>
          <w:szCs w:val="16"/>
          <w:u w:val="single"/>
          <w:lang w:val="es-ES"/>
        </w:rPr>
        <w:t>https://www.corteidh.or.cr/docs/supervisiones/acevedo_28_01_15.pdf</w:t>
      </w:r>
    </w:p>
  </w:footnote>
  <w:footnote w:id="7">
    <w:p w14:paraId="3FF2A7C9" w14:textId="1961F4FA" w:rsidR="003565C6" w:rsidRPr="00BA2C4F" w:rsidRDefault="003565C6"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00980967" w:rsidRPr="00BA2C4F">
        <w:rPr>
          <w:rFonts w:ascii="Verdana" w:hAnsi="Verdana"/>
          <w:color w:val="000000" w:themeColor="text1"/>
          <w:sz w:val="16"/>
          <w:szCs w:val="16"/>
          <w:lang w:val="es-ES"/>
        </w:rPr>
        <w:tab/>
        <w:t xml:space="preserve">Informes estatales de </w:t>
      </w:r>
      <w:r w:rsidR="00044DF1" w:rsidRPr="00BA2C4F">
        <w:rPr>
          <w:rFonts w:ascii="Verdana" w:hAnsi="Verdana"/>
          <w:color w:val="000000" w:themeColor="text1"/>
          <w:sz w:val="16"/>
          <w:szCs w:val="16"/>
          <w:lang w:val="es-ES"/>
        </w:rPr>
        <w:t xml:space="preserve">3 de julio de 2015, </w:t>
      </w:r>
      <w:r w:rsidR="00980967" w:rsidRPr="00BA2C4F">
        <w:rPr>
          <w:rFonts w:ascii="Verdana" w:hAnsi="Verdana"/>
          <w:color w:val="000000" w:themeColor="text1"/>
          <w:sz w:val="16"/>
          <w:szCs w:val="16"/>
          <w:lang w:val="es-ES"/>
        </w:rPr>
        <w:t>16 de mayo de 2016, 16 de febrero de 2018</w:t>
      </w:r>
      <w:r w:rsidR="00052866" w:rsidRPr="00BA2C4F">
        <w:rPr>
          <w:rFonts w:ascii="Verdana" w:hAnsi="Verdana"/>
          <w:color w:val="000000" w:themeColor="text1"/>
          <w:sz w:val="16"/>
          <w:szCs w:val="16"/>
          <w:lang w:val="es-ES"/>
        </w:rPr>
        <w:t xml:space="preserve"> y </w:t>
      </w:r>
      <w:r w:rsidR="00980967" w:rsidRPr="00BA2C4F">
        <w:rPr>
          <w:rFonts w:ascii="Verdana" w:hAnsi="Verdana"/>
          <w:color w:val="000000" w:themeColor="text1"/>
          <w:sz w:val="16"/>
          <w:szCs w:val="16"/>
          <w:lang w:val="es-ES"/>
        </w:rPr>
        <w:t>18 de junio de 20</w:t>
      </w:r>
      <w:r w:rsidR="00044DF1" w:rsidRPr="00BA2C4F">
        <w:rPr>
          <w:rFonts w:ascii="Verdana" w:hAnsi="Verdana"/>
          <w:color w:val="000000" w:themeColor="text1"/>
          <w:sz w:val="16"/>
          <w:szCs w:val="16"/>
          <w:lang w:val="es-ES"/>
        </w:rPr>
        <w:t>20</w:t>
      </w:r>
      <w:r w:rsidR="005348D4" w:rsidRPr="00BA2C4F">
        <w:rPr>
          <w:rFonts w:ascii="Verdana" w:hAnsi="Verdana"/>
          <w:color w:val="000000" w:themeColor="text1"/>
          <w:sz w:val="16"/>
          <w:szCs w:val="16"/>
          <w:lang w:val="es-ES"/>
        </w:rPr>
        <w:t xml:space="preserve">. </w:t>
      </w:r>
    </w:p>
  </w:footnote>
  <w:footnote w:id="8">
    <w:p w14:paraId="6C76A4F8" w14:textId="0EB94BAA" w:rsidR="0063178F" w:rsidRPr="00BA2C4F" w:rsidRDefault="0063178F"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r>
      <w:r w:rsidR="006D0958" w:rsidRPr="00BA2C4F">
        <w:rPr>
          <w:rFonts w:ascii="Verdana" w:hAnsi="Verdana"/>
          <w:color w:val="000000" w:themeColor="text1"/>
          <w:sz w:val="16"/>
          <w:szCs w:val="16"/>
          <w:lang w:val="es-ES"/>
        </w:rPr>
        <w:t xml:space="preserve">Escritos de observaciones de la Comisión Interamericana de </w:t>
      </w:r>
      <w:r w:rsidR="00684B79" w:rsidRPr="00BA2C4F">
        <w:rPr>
          <w:rFonts w:ascii="Verdana" w:hAnsi="Verdana"/>
          <w:color w:val="000000" w:themeColor="text1"/>
          <w:sz w:val="16"/>
          <w:szCs w:val="16"/>
          <w:lang w:val="es-ES"/>
        </w:rPr>
        <w:t xml:space="preserve">22 de septiembre de 2015, </w:t>
      </w:r>
      <w:r w:rsidR="006D0958" w:rsidRPr="00BA2C4F">
        <w:rPr>
          <w:rFonts w:ascii="Verdana" w:hAnsi="Verdana"/>
          <w:color w:val="000000" w:themeColor="text1"/>
          <w:sz w:val="16"/>
          <w:szCs w:val="16"/>
          <w:lang w:val="es-ES"/>
        </w:rPr>
        <w:t>19 de agosto de 2016</w:t>
      </w:r>
      <w:r w:rsidR="005348D4" w:rsidRPr="00BA2C4F">
        <w:rPr>
          <w:rFonts w:ascii="Verdana" w:hAnsi="Verdana"/>
          <w:color w:val="000000" w:themeColor="text1"/>
          <w:sz w:val="16"/>
          <w:szCs w:val="16"/>
          <w:lang w:val="es-ES"/>
        </w:rPr>
        <w:t xml:space="preserve"> </w:t>
      </w:r>
      <w:r w:rsidR="006D0958" w:rsidRPr="00BA2C4F">
        <w:rPr>
          <w:rFonts w:ascii="Verdana" w:hAnsi="Verdana"/>
          <w:color w:val="000000" w:themeColor="text1"/>
          <w:sz w:val="16"/>
          <w:szCs w:val="16"/>
          <w:lang w:val="es-ES"/>
        </w:rPr>
        <w:t>y 7 de agosto de 2018</w:t>
      </w:r>
      <w:r w:rsidR="005348D4" w:rsidRPr="00BA2C4F">
        <w:rPr>
          <w:rFonts w:ascii="Verdana" w:hAnsi="Verdana"/>
          <w:color w:val="000000" w:themeColor="text1"/>
          <w:sz w:val="16"/>
          <w:szCs w:val="16"/>
          <w:lang w:val="es-ES"/>
        </w:rPr>
        <w:t>.</w:t>
      </w:r>
      <w:r w:rsidR="006D0958" w:rsidRPr="00BA2C4F">
        <w:rPr>
          <w:rFonts w:ascii="Verdana" w:hAnsi="Verdana"/>
          <w:color w:val="000000" w:themeColor="text1"/>
          <w:sz w:val="16"/>
          <w:szCs w:val="16"/>
          <w:lang w:val="es-ES"/>
        </w:rPr>
        <w:t xml:space="preserve"> </w:t>
      </w:r>
    </w:p>
  </w:footnote>
  <w:footnote w:id="9">
    <w:p w14:paraId="3D4BD6F3" w14:textId="50FA1576" w:rsidR="009C2B06" w:rsidRPr="00BA2C4F" w:rsidRDefault="009C2B06"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003E2234">
        <w:rPr>
          <w:rFonts w:ascii="Verdana" w:hAnsi="Verdana"/>
          <w:color w:val="000000" w:themeColor="text1"/>
          <w:sz w:val="16"/>
          <w:szCs w:val="16"/>
          <w:lang w:val="es-ES"/>
        </w:rPr>
        <w:t xml:space="preserve"> </w:t>
      </w:r>
      <w:r w:rsidR="003E2234">
        <w:rPr>
          <w:rFonts w:ascii="Verdana" w:hAnsi="Verdana"/>
          <w:color w:val="000000" w:themeColor="text1"/>
          <w:sz w:val="16"/>
          <w:szCs w:val="16"/>
          <w:lang w:val="es-ES"/>
        </w:rPr>
        <w:tab/>
        <w:t xml:space="preserve">Escritos de observaciones presentados por los intervinientes comunes </w:t>
      </w:r>
      <w:r w:rsidR="003E2234" w:rsidRPr="00BA2C4F">
        <w:rPr>
          <w:rFonts w:ascii="Verdana" w:hAnsi="Verdana"/>
          <w:color w:val="000000" w:themeColor="text1"/>
          <w:sz w:val="16"/>
          <w:szCs w:val="16"/>
          <w:lang w:val="es-ES"/>
        </w:rPr>
        <w:t xml:space="preserve">Javier Mujica Petit y Julio </w:t>
      </w:r>
      <w:r w:rsidR="003E2234" w:rsidRPr="00D45BAF">
        <w:rPr>
          <w:rFonts w:ascii="Verdana" w:hAnsi="Verdana"/>
          <w:color w:val="000000" w:themeColor="text1"/>
          <w:sz w:val="16"/>
          <w:szCs w:val="16"/>
          <w:lang w:val="es-ES"/>
        </w:rPr>
        <w:t>César</w:t>
      </w:r>
      <w:r w:rsidR="003E2234" w:rsidRPr="00BA2C4F">
        <w:rPr>
          <w:rFonts w:ascii="Verdana" w:hAnsi="Verdana"/>
          <w:color w:val="000000" w:themeColor="text1"/>
          <w:sz w:val="16"/>
          <w:szCs w:val="16"/>
          <w:lang w:val="es-ES"/>
        </w:rPr>
        <w:t xml:space="preserve"> Borrero Briceño </w:t>
      </w:r>
      <w:r w:rsidR="003E2234">
        <w:rPr>
          <w:rFonts w:ascii="Verdana" w:hAnsi="Verdana"/>
          <w:color w:val="000000" w:themeColor="text1"/>
          <w:sz w:val="16"/>
          <w:szCs w:val="16"/>
          <w:lang w:val="es-ES"/>
        </w:rPr>
        <w:t>los días</w:t>
      </w:r>
      <w:r w:rsidR="00E0427B" w:rsidRPr="00BA2C4F">
        <w:rPr>
          <w:rFonts w:ascii="Verdana" w:hAnsi="Verdana"/>
          <w:color w:val="000000" w:themeColor="text1"/>
          <w:sz w:val="16"/>
          <w:szCs w:val="16"/>
          <w:lang w:val="es-ES"/>
        </w:rPr>
        <w:t xml:space="preserve"> </w:t>
      </w:r>
      <w:r w:rsidR="00684B79" w:rsidRPr="00BA2C4F">
        <w:rPr>
          <w:rFonts w:ascii="Verdana" w:hAnsi="Verdana"/>
          <w:color w:val="000000" w:themeColor="text1"/>
          <w:sz w:val="16"/>
          <w:szCs w:val="16"/>
          <w:lang w:val="es-ES"/>
        </w:rPr>
        <w:t xml:space="preserve">9 de septiembre de 2015, </w:t>
      </w:r>
      <w:r w:rsidR="00E0427B" w:rsidRPr="00BA2C4F">
        <w:rPr>
          <w:rFonts w:ascii="Verdana" w:hAnsi="Verdana"/>
          <w:color w:val="000000" w:themeColor="text1"/>
          <w:sz w:val="16"/>
          <w:szCs w:val="16"/>
          <w:lang w:val="es-ES"/>
        </w:rPr>
        <w:t xml:space="preserve">22 de febrero de 2016, </w:t>
      </w:r>
      <w:r w:rsidR="0033325F" w:rsidRPr="00BA2C4F">
        <w:rPr>
          <w:rFonts w:ascii="Verdana" w:hAnsi="Verdana"/>
          <w:color w:val="000000" w:themeColor="text1"/>
          <w:sz w:val="16"/>
          <w:szCs w:val="16"/>
          <w:lang w:val="es-ES"/>
        </w:rPr>
        <w:t xml:space="preserve">14 de julio de 2016, </w:t>
      </w:r>
      <w:r w:rsidR="00E0427B" w:rsidRPr="00BA2C4F">
        <w:rPr>
          <w:rFonts w:ascii="Verdana" w:hAnsi="Verdana"/>
          <w:color w:val="000000" w:themeColor="text1"/>
          <w:sz w:val="16"/>
          <w:szCs w:val="16"/>
          <w:lang w:val="es-ES"/>
        </w:rPr>
        <w:t>4 de agosto de 2016</w:t>
      </w:r>
      <w:r w:rsidR="0033325F" w:rsidRPr="00BA2C4F">
        <w:rPr>
          <w:rFonts w:ascii="Verdana" w:hAnsi="Verdana"/>
          <w:color w:val="000000" w:themeColor="text1"/>
          <w:sz w:val="16"/>
          <w:szCs w:val="16"/>
          <w:lang w:val="es-ES"/>
        </w:rPr>
        <w:t xml:space="preserve">, </w:t>
      </w:r>
      <w:r w:rsidR="001F39EB" w:rsidRPr="00BA2C4F">
        <w:rPr>
          <w:rFonts w:ascii="Verdana" w:hAnsi="Verdana"/>
          <w:color w:val="000000" w:themeColor="text1"/>
          <w:sz w:val="16"/>
          <w:szCs w:val="16"/>
          <w:lang w:val="es-ES"/>
        </w:rPr>
        <w:t>7 de diciembre de</w:t>
      </w:r>
      <w:r w:rsidR="0063178F" w:rsidRPr="00BA2C4F">
        <w:rPr>
          <w:rFonts w:ascii="Verdana" w:hAnsi="Verdana"/>
          <w:color w:val="000000" w:themeColor="text1"/>
          <w:sz w:val="16"/>
          <w:szCs w:val="16"/>
          <w:lang w:val="es-ES"/>
        </w:rPr>
        <w:t xml:space="preserve"> </w:t>
      </w:r>
      <w:r w:rsidR="001F39EB" w:rsidRPr="00BA2C4F">
        <w:rPr>
          <w:rFonts w:ascii="Verdana" w:hAnsi="Verdana"/>
          <w:color w:val="000000" w:themeColor="text1"/>
          <w:sz w:val="16"/>
          <w:szCs w:val="16"/>
          <w:lang w:val="es-ES"/>
        </w:rPr>
        <w:t>2017, 5 de julio de 2018, 19 de diciembre de 2018, 16 de octubre de 2019, 21 de noviembre de 2019, 7 de enero de 202</w:t>
      </w:r>
      <w:r w:rsidR="00223DFD" w:rsidRPr="00BA2C4F">
        <w:rPr>
          <w:rFonts w:ascii="Verdana" w:hAnsi="Verdana"/>
          <w:color w:val="000000" w:themeColor="text1"/>
          <w:sz w:val="16"/>
          <w:szCs w:val="16"/>
          <w:lang w:val="es-ES"/>
        </w:rPr>
        <w:t xml:space="preserve">0, </w:t>
      </w:r>
      <w:r w:rsidR="001F39EB" w:rsidRPr="00BA2C4F">
        <w:rPr>
          <w:rFonts w:ascii="Verdana" w:hAnsi="Verdana"/>
          <w:color w:val="000000" w:themeColor="text1"/>
          <w:sz w:val="16"/>
          <w:szCs w:val="16"/>
          <w:lang w:val="es-ES"/>
        </w:rPr>
        <w:t xml:space="preserve">6 de abril de 2020, </w:t>
      </w:r>
      <w:r w:rsidR="0063178F" w:rsidRPr="00BA2C4F">
        <w:rPr>
          <w:rFonts w:ascii="Verdana" w:hAnsi="Verdana"/>
          <w:color w:val="000000" w:themeColor="text1"/>
          <w:sz w:val="16"/>
          <w:szCs w:val="16"/>
          <w:lang w:val="es-ES"/>
        </w:rPr>
        <w:t>24 de junio de 2020, 4 de septiembre de 2020, 28 de agosto de 2020</w:t>
      </w:r>
      <w:r w:rsidR="00A756EC" w:rsidRPr="00BA2C4F">
        <w:rPr>
          <w:rFonts w:ascii="Verdana" w:hAnsi="Verdana"/>
          <w:color w:val="000000" w:themeColor="text1"/>
          <w:sz w:val="16"/>
          <w:szCs w:val="16"/>
          <w:lang w:val="es-ES"/>
        </w:rPr>
        <w:t xml:space="preserve">, </w:t>
      </w:r>
      <w:r w:rsidR="0063178F" w:rsidRPr="00BA2C4F">
        <w:rPr>
          <w:rFonts w:ascii="Verdana" w:hAnsi="Verdana"/>
          <w:color w:val="000000" w:themeColor="text1"/>
          <w:sz w:val="16"/>
          <w:szCs w:val="16"/>
          <w:lang w:val="es-ES"/>
        </w:rPr>
        <w:t>1</w:t>
      </w:r>
      <w:r w:rsidR="00D95B0F" w:rsidRPr="00BA2C4F">
        <w:rPr>
          <w:rFonts w:ascii="Verdana" w:hAnsi="Verdana"/>
          <w:color w:val="000000" w:themeColor="text1"/>
          <w:sz w:val="16"/>
          <w:szCs w:val="16"/>
          <w:lang w:val="es-ES"/>
        </w:rPr>
        <w:t>9</w:t>
      </w:r>
      <w:r w:rsidR="0063178F" w:rsidRPr="00BA2C4F">
        <w:rPr>
          <w:rFonts w:ascii="Verdana" w:hAnsi="Verdana"/>
          <w:color w:val="000000" w:themeColor="text1"/>
          <w:sz w:val="16"/>
          <w:szCs w:val="16"/>
          <w:lang w:val="es-ES"/>
        </w:rPr>
        <w:t xml:space="preserve"> de octubre de 2020</w:t>
      </w:r>
      <w:r w:rsidR="00A756EC" w:rsidRPr="00BA2C4F">
        <w:rPr>
          <w:rFonts w:ascii="Verdana" w:hAnsi="Verdana"/>
          <w:color w:val="000000" w:themeColor="text1"/>
          <w:sz w:val="16"/>
          <w:szCs w:val="16"/>
          <w:lang w:val="es-ES"/>
        </w:rPr>
        <w:t xml:space="preserve"> y 4 de noviembre de 2020</w:t>
      </w:r>
      <w:r w:rsidR="00223DFD" w:rsidRPr="00BA2C4F">
        <w:rPr>
          <w:rFonts w:ascii="Verdana" w:hAnsi="Verdana"/>
          <w:color w:val="000000" w:themeColor="text1"/>
          <w:sz w:val="16"/>
          <w:szCs w:val="16"/>
          <w:lang w:val="es-ES"/>
        </w:rPr>
        <w:t xml:space="preserve">. </w:t>
      </w:r>
      <w:r w:rsidR="0063178F" w:rsidRPr="00BA2C4F">
        <w:rPr>
          <w:rFonts w:ascii="Verdana" w:hAnsi="Verdana"/>
          <w:color w:val="000000" w:themeColor="text1"/>
          <w:sz w:val="16"/>
          <w:szCs w:val="16"/>
          <w:lang w:val="es-ES"/>
        </w:rPr>
        <w:t>Escrito</w:t>
      </w:r>
      <w:r w:rsidR="003E2234">
        <w:rPr>
          <w:rFonts w:ascii="Verdana" w:hAnsi="Verdana"/>
          <w:color w:val="000000" w:themeColor="text1"/>
          <w:sz w:val="16"/>
          <w:szCs w:val="16"/>
          <w:lang w:val="es-ES"/>
        </w:rPr>
        <w:t>s</w:t>
      </w:r>
      <w:r w:rsidR="0063178F" w:rsidRPr="00BA2C4F">
        <w:rPr>
          <w:rFonts w:ascii="Verdana" w:hAnsi="Verdana"/>
          <w:color w:val="000000" w:themeColor="text1"/>
          <w:sz w:val="16"/>
          <w:szCs w:val="16"/>
          <w:lang w:val="es-ES"/>
        </w:rPr>
        <w:t xml:space="preserve"> de </w:t>
      </w:r>
      <w:r w:rsidR="00A756EC" w:rsidRPr="00BA2C4F">
        <w:rPr>
          <w:rFonts w:ascii="Verdana" w:hAnsi="Verdana"/>
          <w:color w:val="000000" w:themeColor="text1"/>
          <w:sz w:val="16"/>
          <w:szCs w:val="16"/>
          <w:lang w:val="es-ES"/>
        </w:rPr>
        <w:t xml:space="preserve">observaciones </w:t>
      </w:r>
      <w:r w:rsidR="003E2234">
        <w:rPr>
          <w:rFonts w:ascii="Verdana" w:hAnsi="Verdana"/>
          <w:color w:val="000000" w:themeColor="text1"/>
          <w:sz w:val="16"/>
          <w:szCs w:val="16"/>
          <w:lang w:val="es-ES"/>
        </w:rPr>
        <w:t xml:space="preserve">presentados por </w:t>
      </w:r>
      <w:r w:rsidR="003E2234" w:rsidRPr="00BA2C4F">
        <w:rPr>
          <w:rFonts w:ascii="Verdana" w:hAnsi="Verdana"/>
          <w:bCs/>
          <w:color w:val="000000" w:themeColor="text1"/>
          <w:sz w:val="16"/>
          <w:szCs w:val="16"/>
          <w:lang w:val="es-ES"/>
        </w:rPr>
        <w:t xml:space="preserve">Ricardo </w:t>
      </w:r>
      <w:proofErr w:type="spellStart"/>
      <w:r w:rsidR="003E2234" w:rsidRPr="00BA2C4F">
        <w:rPr>
          <w:rFonts w:ascii="Verdana" w:hAnsi="Verdana"/>
          <w:bCs/>
          <w:color w:val="000000" w:themeColor="text1"/>
          <w:sz w:val="16"/>
          <w:szCs w:val="16"/>
          <w:lang w:val="es-ES"/>
        </w:rPr>
        <w:t>Chapoñán</w:t>
      </w:r>
      <w:proofErr w:type="spellEnd"/>
      <w:r w:rsidR="003E2234" w:rsidRPr="00BA2C4F">
        <w:rPr>
          <w:rFonts w:ascii="Verdana" w:hAnsi="Verdana"/>
          <w:bCs/>
          <w:color w:val="000000" w:themeColor="text1"/>
          <w:sz w:val="16"/>
          <w:szCs w:val="16"/>
          <w:lang w:val="es-ES"/>
        </w:rPr>
        <w:t xml:space="preserve"> Prada</w:t>
      </w:r>
      <w:r w:rsidR="003E2234" w:rsidRPr="00BA2C4F">
        <w:rPr>
          <w:rFonts w:ascii="Verdana" w:hAnsi="Verdana"/>
          <w:color w:val="000000" w:themeColor="text1"/>
          <w:sz w:val="16"/>
          <w:szCs w:val="16"/>
          <w:lang w:val="es-ES"/>
        </w:rPr>
        <w:t xml:space="preserve"> </w:t>
      </w:r>
      <w:r w:rsidR="003E2234">
        <w:rPr>
          <w:rFonts w:ascii="Verdana" w:hAnsi="Verdana"/>
          <w:color w:val="000000" w:themeColor="text1"/>
          <w:sz w:val="16"/>
          <w:szCs w:val="16"/>
          <w:lang w:val="es-ES"/>
        </w:rPr>
        <w:t xml:space="preserve">los días </w:t>
      </w:r>
      <w:r w:rsidR="00104A6B" w:rsidRPr="00BA2C4F">
        <w:rPr>
          <w:rFonts w:ascii="Verdana" w:hAnsi="Verdana"/>
          <w:color w:val="000000" w:themeColor="text1"/>
          <w:sz w:val="16"/>
          <w:szCs w:val="16"/>
          <w:lang w:val="es-ES"/>
        </w:rPr>
        <w:t xml:space="preserve">7 de julio de 2016 y </w:t>
      </w:r>
      <w:r w:rsidR="0063178F" w:rsidRPr="00BA2C4F">
        <w:rPr>
          <w:rFonts w:ascii="Verdana" w:hAnsi="Verdana"/>
          <w:color w:val="000000" w:themeColor="text1"/>
          <w:sz w:val="16"/>
          <w:szCs w:val="16"/>
          <w:lang w:val="es-ES"/>
        </w:rPr>
        <w:t>1 de octubre de 202</w:t>
      </w:r>
      <w:r w:rsidR="00223DFD" w:rsidRPr="00BA2C4F">
        <w:rPr>
          <w:rFonts w:ascii="Verdana" w:hAnsi="Verdana"/>
          <w:color w:val="000000" w:themeColor="text1"/>
          <w:sz w:val="16"/>
          <w:szCs w:val="16"/>
          <w:lang w:val="es-ES"/>
        </w:rPr>
        <w:t xml:space="preserve">0. </w:t>
      </w:r>
    </w:p>
  </w:footnote>
  <w:footnote w:id="10">
    <w:p w14:paraId="6FA2AC69" w14:textId="1B4730BC" w:rsidR="0063178F" w:rsidRPr="00BA2C4F" w:rsidRDefault="0063178F" w:rsidP="00E37D2D">
      <w:pPr>
        <w:jc w:val="both"/>
        <w:rPr>
          <w:rStyle w:val="Refdenotaalpie"/>
          <w:rFonts w:ascii="Verdana" w:eastAsia="Times New Roman" w:hAnsi="Verdana"/>
          <w:color w:val="000000" w:themeColor="text1"/>
          <w:sz w:val="16"/>
          <w:szCs w:val="16"/>
          <w:vertAlign w:val="baseline"/>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00FF70C1" w:rsidRPr="00BA2C4F">
        <w:rPr>
          <w:rFonts w:ascii="Verdana" w:hAnsi="Verdana"/>
          <w:color w:val="000000" w:themeColor="text1"/>
          <w:sz w:val="16"/>
          <w:szCs w:val="16"/>
          <w:lang w:val="es-ES"/>
        </w:rPr>
        <w:tab/>
      </w:r>
      <w:r w:rsidR="00FF70C1" w:rsidRPr="00BA2C4F">
        <w:rPr>
          <w:rStyle w:val="Textoennegrita"/>
          <w:rFonts w:ascii="Verdana" w:hAnsi="Verdana"/>
          <w:b w:val="0"/>
          <w:bCs w:val="0"/>
          <w:color w:val="000000" w:themeColor="text1"/>
          <w:sz w:val="16"/>
          <w:szCs w:val="16"/>
          <w:shd w:val="clear" w:color="auto" w:fill="FFFFFF"/>
          <w:lang w:val="es-ES"/>
        </w:rPr>
        <w:t>Las víctimas del presente caso son representadas por los siguientes grupos de intervinientes comunes: 1)</w:t>
      </w:r>
      <w:r w:rsidR="00FF70C1" w:rsidRPr="00BA2C4F">
        <w:rPr>
          <w:rStyle w:val="Textoennegrita"/>
          <w:rFonts w:ascii="Verdana" w:hAnsi="Verdana"/>
          <w:color w:val="000000" w:themeColor="text1"/>
          <w:sz w:val="16"/>
          <w:szCs w:val="16"/>
          <w:shd w:val="clear" w:color="auto" w:fill="FFFFFF"/>
          <w:lang w:val="es-ES"/>
        </w:rPr>
        <w:t xml:space="preserve"> </w:t>
      </w:r>
      <w:r w:rsidR="00FF70C1" w:rsidRPr="00BA2C4F">
        <w:rPr>
          <w:rFonts w:ascii="Verdana" w:hAnsi="Verdana"/>
          <w:color w:val="000000" w:themeColor="text1"/>
          <w:sz w:val="16"/>
          <w:szCs w:val="16"/>
          <w:lang w:val="es-ES"/>
        </w:rPr>
        <w:t>Javier Mujica Petit y Julio C</w:t>
      </w:r>
      <w:r w:rsidR="00223DFD" w:rsidRPr="002A3EC3">
        <w:rPr>
          <w:rFonts w:ascii="Verdana" w:hAnsi="Verdana"/>
          <w:color w:val="000000" w:themeColor="text1"/>
          <w:sz w:val="16"/>
          <w:szCs w:val="16"/>
          <w:lang w:val="es-ES"/>
        </w:rPr>
        <w:t>é</w:t>
      </w:r>
      <w:r w:rsidR="00FF70C1" w:rsidRPr="00D75D52">
        <w:rPr>
          <w:rFonts w:ascii="Verdana" w:hAnsi="Verdana"/>
          <w:color w:val="000000" w:themeColor="text1"/>
          <w:sz w:val="16"/>
          <w:szCs w:val="16"/>
          <w:lang w:val="es-ES"/>
        </w:rPr>
        <w:t>s</w:t>
      </w:r>
      <w:r w:rsidR="00FF70C1" w:rsidRPr="00BA2C4F">
        <w:rPr>
          <w:rFonts w:ascii="Verdana" w:hAnsi="Verdana"/>
          <w:color w:val="000000" w:themeColor="text1"/>
          <w:sz w:val="16"/>
          <w:szCs w:val="16"/>
          <w:lang w:val="es-ES"/>
        </w:rPr>
        <w:t>ar Borrero Briceño, y 2)</w:t>
      </w:r>
      <w:r w:rsidR="00FF70C1" w:rsidRPr="00BA2C4F">
        <w:rPr>
          <w:rFonts w:ascii="Verdana" w:hAnsi="Verdana"/>
          <w:b/>
          <w:color w:val="000000" w:themeColor="text1"/>
          <w:sz w:val="16"/>
          <w:szCs w:val="16"/>
          <w:lang w:val="es-ES"/>
        </w:rPr>
        <w:t xml:space="preserve"> </w:t>
      </w:r>
      <w:r w:rsidR="00104A6B" w:rsidRPr="00BA2C4F">
        <w:rPr>
          <w:rFonts w:ascii="Verdana" w:hAnsi="Verdana"/>
          <w:bCs/>
          <w:color w:val="000000" w:themeColor="text1"/>
          <w:sz w:val="16"/>
          <w:szCs w:val="16"/>
          <w:lang w:val="es-ES"/>
        </w:rPr>
        <w:t xml:space="preserve">Ricardo </w:t>
      </w:r>
      <w:proofErr w:type="spellStart"/>
      <w:r w:rsidR="00104A6B" w:rsidRPr="00BA2C4F">
        <w:rPr>
          <w:rFonts w:ascii="Verdana" w:hAnsi="Verdana"/>
          <w:bCs/>
          <w:color w:val="000000" w:themeColor="text1"/>
          <w:sz w:val="16"/>
          <w:szCs w:val="16"/>
          <w:lang w:val="es-ES"/>
        </w:rPr>
        <w:t>Chapoñán</w:t>
      </w:r>
      <w:proofErr w:type="spellEnd"/>
      <w:r w:rsidR="00104A6B" w:rsidRPr="00BA2C4F">
        <w:rPr>
          <w:rFonts w:ascii="Verdana" w:hAnsi="Verdana"/>
          <w:bCs/>
          <w:color w:val="000000" w:themeColor="text1"/>
          <w:sz w:val="16"/>
          <w:szCs w:val="16"/>
          <w:lang w:val="es-ES"/>
        </w:rPr>
        <w:t xml:space="preserve"> Prada</w:t>
      </w:r>
      <w:r w:rsidR="00FF70C1" w:rsidRPr="00BA2C4F">
        <w:rPr>
          <w:rFonts w:ascii="Verdana" w:hAnsi="Verdana"/>
          <w:bCs/>
          <w:color w:val="000000" w:themeColor="text1"/>
          <w:sz w:val="16"/>
          <w:szCs w:val="16"/>
          <w:lang w:val="es-ES"/>
        </w:rPr>
        <w:t>.</w:t>
      </w:r>
      <w:r w:rsidR="00FF70C1" w:rsidRPr="00BA2C4F">
        <w:rPr>
          <w:rStyle w:val="Refdenotaalpie"/>
          <w:rFonts w:ascii="Verdana" w:hAnsi="Verdana"/>
          <w:color w:val="000000" w:themeColor="text1"/>
          <w:sz w:val="16"/>
          <w:szCs w:val="16"/>
          <w:lang w:val="es-ES"/>
        </w:rPr>
        <w:t xml:space="preserve"> </w:t>
      </w:r>
    </w:p>
  </w:footnote>
  <w:footnote w:id="11">
    <w:p w14:paraId="24480A2D" w14:textId="052D0CBC" w:rsidR="00980967" w:rsidRPr="00BA2C4F" w:rsidRDefault="00980967" w:rsidP="00E37D2D">
      <w:pPr>
        <w:jc w:val="both"/>
        <w:rPr>
          <w:rFonts w:ascii="Verdana" w:eastAsia="Times New Roman"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ab/>
      </w:r>
      <w:r w:rsidRPr="00BA2C4F">
        <w:rPr>
          <w:rFonts w:ascii="Verdana" w:eastAsia="Times New Roman" w:hAnsi="Verdana"/>
          <w:color w:val="000000" w:themeColor="text1"/>
          <w:sz w:val="16"/>
          <w:szCs w:val="16"/>
          <w:lang w:val="es-ES"/>
        </w:rPr>
        <w:t>Debido a las circunstancias excepcionales ocasionadas por la pandemia COVID-19, esta audiencia fue celebrada de manera virtual durante el 137</w:t>
      </w:r>
      <w:r w:rsidR="00223DFD" w:rsidRPr="00BA2C4F">
        <w:rPr>
          <w:rFonts w:ascii="Verdana" w:eastAsia="Times New Roman" w:hAnsi="Verdana"/>
          <w:color w:val="000000" w:themeColor="text1"/>
          <w:sz w:val="16"/>
          <w:szCs w:val="16"/>
          <w:lang w:val="es-ES"/>
        </w:rPr>
        <w:t xml:space="preserve">º </w:t>
      </w:r>
      <w:r w:rsidRPr="00BA2C4F">
        <w:rPr>
          <w:rFonts w:ascii="Verdana" w:eastAsia="Times New Roman" w:hAnsi="Verdana"/>
          <w:color w:val="000000" w:themeColor="text1"/>
          <w:sz w:val="16"/>
          <w:szCs w:val="16"/>
          <w:lang w:val="es-ES"/>
        </w:rPr>
        <w:t>Periodo Ordinario de Sesiones, el cual se llevó a cabo de forma no presencial, utilizando medios tecnológicos de conformidad con lo establecido en el Reglamento de la Corte. A esta audiencia comparecieron: a) por las víctimas</w:t>
      </w:r>
      <w:r w:rsidR="00E67E07" w:rsidRPr="00BA2C4F">
        <w:rPr>
          <w:rFonts w:ascii="Verdana" w:eastAsia="Times New Roman" w:hAnsi="Verdana"/>
          <w:color w:val="000000" w:themeColor="text1"/>
          <w:sz w:val="16"/>
          <w:szCs w:val="16"/>
          <w:lang w:val="es-ES"/>
        </w:rPr>
        <w:t xml:space="preserve"> y sus representantes</w:t>
      </w:r>
      <w:r w:rsidRPr="00BA2C4F">
        <w:rPr>
          <w:rFonts w:ascii="Verdana" w:eastAsia="Times New Roman" w:hAnsi="Verdana"/>
          <w:color w:val="000000" w:themeColor="text1"/>
          <w:sz w:val="16"/>
          <w:szCs w:val="16"/>
          <w:lang w:val="es-ES"/>
        </w:rPr>
        <w:t xml:space="preserve">: </w:t>
      </w:r>
      <w:r w:rsidR="00981009" w:rsidRPr="00BA2C4F">
        <w:rPr>
          <w:rFonts w:ascii="Verdana" w:hAnsi="Verdana"/>
          <w:color w:val="000000" w:themeColor="text1"/>
          <w:sz w:val="16"/>
          <w:szCs w:val="16"/>
          <w:lang w:val="es-ES"/>
        </w:rPr>
        <w:t>Javier Mujica Petit y Julio C</w:t>
      </w:r>
      <w:r w:rsidR="00223DFD" w:rsidRPr="00BA2C4F">
        <w:rPr>
          <w:rFonts w:ascii="Verdana" w:hAnsi="Verdana"/>
          <w:color w:val="000000" w:themeColor="text1"/>
          <w:sz w:val="16"/>
          <w:szCs w:val="16"/>
          <w:lang w:val="es-ES"/>
        </w:rPr>
        <w:t>é</w:t>
      </w:r>
      <w:r w:rsidR="00981009" w:rsidRPr="00BA2C4F">
        <w:rPr>
          <w:rFonts w:ascii="Verdana" w:hAnsi="Verdana"/>
          <w:color w:val="000000" w:themeColor="text1"/>
          <w:sz w:val="16"/>
          <w:szCs w:val="16"/>
          <w:lang w:val="es-ES"/>
        </w:rPr>
        <w:t xml:space="preserve">sar Borrero Briceño, del grupo 1 de intervinientes comunes, y </w:t>
      </w:r>
      <w:r w:rsidR="00981009" w:rsidRPr="00BA2C4F">
        <w:rPr>
          <w:rFonts w:ascii="Verdana" w:hAnsi="Verdana"/>
          <w:bCs/>
          <w:color w:val="000000" w:themeColor="text1"/>
          <w:sz w:val="16"/>
          <w:szCs w:val="16"/>
          <w:lang w:val="es-ES"/>
        </w:rPr>
        <w:t xml:space="preserve">Luis John Zapata Gamboa, </w:t>
      </w:r>
      <w:r w:rsidR="00223DFD" w:rsidRPr="00BA2C4F">
        <w:rPr>
          <w:rFonts w:ascii="Verdana" w:hAnsi="Verdana"/>
          <w:bCs/>
          <w:color w:val="000000" w:themeColor="text1"/>
          <w:sz w:val="16"/>
          <w:szCs w:val="16"/>
          <w:lang w:val="es-ES"/>
        </w:rPr>
        <w:t>por parte del segundo interviniente común</w:t>
      </w:r>
      <w:r w:rsidR="00981009" w:rsidRPr="00BA2C4F">
        <w:rPr>
          <w:rFonts w:ascii="Verdana" w:hAnsi="Verdana"/>
          <w:bCs/>
          <w:color w:val="000000" w:themeColor="text1"/>
          <w:sz w:val="16"/>
          <w:szCs w:val="16"/>
          <w:lang w:val="es-ES"/>
        </w:rPr>
        <w:t xml:space="preserve">; </w:t>
      </w:r>
      <w:r w:rsidR="00981009" w:rsidRPr="00BA2C4F">
        <w:rPr>
          <w:rFonts w:ascii="Verdana" w:eastAsia="Times New Roman" w:hAnsi="Verdana"/>
          <w:color w:val="000000" w:themeColor="text1"/>
          <w:sz w:val="16"/>
          <w:szCs w:val="16"/>
          <w:lang w:val="es-ES"/>
        </w:rPr>
        <w:t xml:space="preserve">b) por el Estado: </w:t>
      </w:r>
      <w:r w:rsidR="00981009" w:rsidRPr="00BA2C4F">
        <w:rPr>
          <w:rFonts w:ascii="Verdana" w:hAnsi="Verdana"/>
          <w:color w:val="000000" w:themeColor="text1"/>
          <w:sz w:val="16"/>
          <w:szCs w:val="16"/>
          <w:lang w:val="es-ES"/>
        </w:rPr>
        <w:t xml:space="preserve">Carlos Miguel Reaño Balarezo, </w:t>
      </w:r>
      <w:r w:rsidR="00E67E07" w:rsidRPr="00BA2C4F">
        <w:rPr>
          <w:rFonts w:ascii="Verdana" w:hAnsi="Verdana"/>
          <w:color w:val="000000" w:themeColor="text1"/>
          <w:sz w:val="16"/>
          <w:szCs w:val="16"/>
          <w:lang w:val="es-ES"/>
        </w:rPr>
        <w:t>Procurador Público E</w:t>
      </w:r>
      <w:r w:rsidR="00D36E54" w:rsidRPr="00BA2C4F">
        <w:rPr>
          <w:rFonts w:ascii="Verdana" w:hAnsi="Verdana"/>
          <w:color w:val="000000" w:themeColor="text1"/>
          <w:sz w:val="16"/>
          <w:szCs w:val="16"/>
          <w:lang w:val="es-ES"/>
        </w:rPr>
        <w:t>specializado</w:t>
      </w:r>
      <w:r w:rsidR="00E67E07" w:rsidRPr="00BA2C4F">
        <w:rPr>
          <w:rFonts w:ascii="Verdana" w:hAnsi="Verdana"/>
          <w:color w:val="000000" w:themeColor="text1"/>
          <w:sz w:val="16"/>
          <w:szCs w:val="16"/>
          <w:lang w:val="es-ES"/>
        </w:rPr>
        <w:t xml:space="preserve"> Supranacional; </w:t>
      </w:r>
      <w:r w:rsidR="00981009" w:rsidRPr="00BA2C4F">
        <w:rPr>
          <w:rFonts w:ascii="Verdana" w:hAnsi="Verdana"/>
          <w:color w:val="000000" w:themeColor="text1"/>
          <w:sz w:val="16"/>
          <w:szCs w:val="16"/>
          <w:lang w:val="es-ES"/>
        </w:rPr>
        <w:t xml:space="preserve">Carlos </w:t>
      </w:r>
      <w:proofErr w:type="spellStart"/>
      <w:r w:rsidR="00981009" w:rsidRPr="00BA2C4F">
        <w:rPr>
          <w:rFonts w:ascii="Verdana" w:hAnsi="Verdana"/>
          <w:color w:val="000000" w:themeColor="text1"/>
          <w:sz w:val="16"/>
          <w:szCs w:val="16"/>
          <w:lang w:val="es-ES"/>
        </w:rPr>
        <w:t>Llaja</w:t>
      </w:r>
      <w:proofErr w:type="spellEnd"/>
      <w:r w:rsidR="00981009" w:rsidRPr="00BA2C4F">
        <w:rPr>
          <w:rFonts w:ascii="Verdana" w:hAnsi="Verdana"/>
          <w:color w:val="000000" w:themeColor="text1"/>
          <w:sz w:val="16"/>
          <w:szCs w:val="16"/>
          <w:lang w:val="es-ES"/>
        </w:rPr>
        <w:t xml:space="preserve"> Villena, Katherine </w:t>
      </w:r>
      <w:proofErr w:type="spellStart"/>
      <w:r w:rsidR="00981009" w:rsidRPr="00BA2C4F">
        <w:rPr>
          <w:rFonts w:ascii="Verdana" w:hAnsi="Verdana"/>
          <w:color w:val="000000" w:themeColor="text1"/>
          <w:sz w:val="16"/>
          <w:szCs w:val="16"/>
          <w:lang w:val="es-ES"/>
        </w:rPr>
        <w:t>Lisett</w:t>
      </w:r>
      <w:proofErr w:type="spellEnd"/>
      <w:r w:rsidR="00981009" w:rsidRPr="00BA2C4F">
        <w:rPr>
          <w:rFonts w:ascii="Verdana" w:hAnsi="Verdana"/>
          <w:color w:val="000000" w:themeColor="text1"/>
          <w:sz w:val="16"/>
          <w:szCs w:val="16"/>
          <w:lang w:val="es-ES"/>
        </w:rPr>
        <w:t xml:space="preserve"> Carbajal Montes y Christian Adolfo </w:t>
      </w:r>
      <w:proofErr w:type="spellStart"/>
      <w:r w:rsidR="00981009" w:rsidRPr="00BA2C4F">
        <w:rPr>
          <w:rFonts w:ascii="Verdana" w:hAnsi="Verdana"/>
          <w:color w:val="000000" w:themeColor="text1"/>
          <w:sz w:val="16"/>
          <w:szCs w:val="16"/>
          <w:lang w:val="es-ES"/>
        </w:rPr>
        <w:t>Samill</w:t>
      </w:r>
      <w:r w:rsidR="00420C05" w:rsidRPr="00BA2C4F">
        <w:rPr>
          <w:rFonts w:ascii="Verdana" w:hAnsi="Verdana"/>
          <w:color w:val="000000" w:themeColor="text1"/>
          <w:sz w:val="16"/>
          <w:szCs w:val="16"/>
          <w:lang w:val="es-ES"/>
        </w:rPr>
        <w:t>á</w:t>
      </w:r>
      <w:r w:rsidR="00981009" w:rsidRPr="00BA2C4F">
        <w:rPr>
          <w:rFonts w:ascii="Verdana" w:hAnsi="Verdana"/>
          <w:color w:val="000000" w:themeColor="text1"/>
          <w:sz w:val="16"/>
          <w:szCs w:val="16"/>
          <w:lang w:val="es-ES"/>
        </w:rPr>
        <w:t>n</w:t>
      </w:r>
      <w:proofErr w:type="spellEnd"/>
      <w:r w:rsidR="00981009" w:rsidRPr="00BA2C4F">
        <w:rPr>
          <w:rFonts w:ascii="Verdana" w:hAnsi="Verdana"/>
          <w:color w:val="000000" w:themeColor="text1"/>
          <w:sz w:val="16"/>
          <w:szCs w:val="16"/>
          <w:lang w:val="es-ES"/>
        </w:rPr>
        <w:t xml:space="preserve"> Ley </w:t>
      </w:r>
      <w:proofErr w:type="spellStart"/>
      <w:r w:rsidR="00981009" w:rsidRPr="00BA2C4F">
        <w:rPr>
          <w:rFonts w:ascii="Verdana" w:hAnsi="Verdana"/>
          <w:color w:val="000000" w:themeColor="text1"/>
          <w:sz w:val="16"/>
          <w:szCs w:val="16"/>
          <w:lang w:val="es-ES"/>
        </w:rPr>
        <w:t>Cuen</w:t>
      </w:r>
      <w:proofErr w:type="spellEnd"/>
      <w:r w:rsidR="00981009" w:rsidRPr="00BA2C4F">
        <w:rPr>
          <w:rFonts w:ascii="Verdana" w:hAnsi="Verdana"/>
          <w:color w:val="000000" w:themeColor="text1"/>
          <w:sz w:val="16"/>
          <w:szCs w:val="16"/>
          <w:lang w:val="es-ES"/>
        </w:rPr>
        <w:t>, Procurador Público Adjunto y Abogados de la Procuraduría Pública Especializada Supranacional, respectivamente, Alex Acosta Chapoñan, Abogado de la Procuraduría Pública de la Contraloría General del Estado</w:t>
      </w:r>
      <w:r w:rsidR="00E67E07" w:rsidRPr="00BA2C4F">
        <w:rPr>
          <w:rFonts w:ascii="Verdana" w:hAnsi="Verdana"/>
          <w:color w:val="000000" w:themeColor="text1"/>
          <w:sz w:val="16"/>
          <w:szCs w:val="16"/>
          <w:lang w:val="es-ES"/>
        </w:rPr>
        <w:t>;</w:t>
      </w:r>
      <w:r w:rsidR="00981009" w:rsidRPr="00BA2C4F">
        <w:rPr>
          <w:rFonts w:ascii="Verdana" w:hAnsi="Verdana"/>
          <w:color w:val="000000" w:themeColor="text1"/>
          <w:sz w:val="16"/>
          <w:szCs w:val="16"/>
          <w:lang w:val="es-ES"/>
        </w:rPr>
        <w:t xml:space="preserve"> Rogers Antonio Rivera Serna, Subgerente de Planeamiento, Presupuesto y Programación de Inversiones de la Contraloría General del Estado</w:t>
      </w:r>
      <w:r w:rsidR="00665F33" w:rsidRPr="00BA2C4F">
        <w:rPr>
          <w:rFonts w:ascii="Verdana" w:hAnsi="Verdana"/>
          <w:color w:val="000000" w:themeColor="text1"/>
          <w:sz w:val="16"/>
          <w:szCs w:val="16"/>
          <w:lang w:val="es-ES"/>
        </w:rPr>
        <w:t>;</w:t>
      </w:r>
      <w:r w:rsidR="00981009" w:rsidRPr="00BA2C4F">
        <w:rPr>
          <w:rFonts w:ascii="Verdana" w:hAnsi="Verdana"/>
          <w:color w:val="000000" w:themeColor="text1"/>
          <w:sz w:val="16"/>
          <w:szCs w:val="16"/>
          <w:lang w:val="es-ES"/>
        </w:rPr>
        <w:t xml:space="preserve"> Ángel Augusto Vivanco </w:t>
      </w:r>
      <w:proofErr w:type="spellStart"/>
      <w:r w:rsidR="00981009" w:rsidRPr="00BA2C4F">
        <w:rPr>
          <w:rFonts w:ascii="Verdana" w:hAnsi="Verdana"/>
          <w:color w:val="000000" w:themeColor="text1"/>
          <w:sz w:val="16"/>
          <w:szCs w:val="16"/>
          <w:lang w:val="es-ES"/>
        </w:rPr>
        <w:t>Ortíz</w:t>
      </w:r>
      <w:proofErr w:type="spellEnd"/>
      <w:r w:rsidR="00981009" w:rsidRPr="00BA2C4F">
        <w:rPr>
          <w:rFonts w:ascii="Verdana" w:hAnsi="Verdana"/>
          <w:color w:val="000000" w:themeColor="text1"/>
          <w:sz w:val="16"/>
          <w:szCs w:val="16"/>
          <w:lang w:val="es-ES"/>
        </w:rPr>
        <w:t>, Procurador Adjunto del Ministerio de Economía y Finanzas</w:t>
      </w:r>
      <w:r w:rsidR="00665F33" w:rsidRPr="00BA2C4F">
        <w:rPr>
          <w:rFonts w:ascii="Verdana" w:hAnsi="Verdana"/>
          <w:color w:val="000000" w:themeColor="text1"/>
          <w:sz w:val="16"/>
          <w:szCs w:val="16"/>
          <w:lang w:val="es-ES"/>
        </w:rPr>
        <w:t>;</w:t>
      </w:r>
      <w:r w:rsidR="00981009" w:rsidRPr="00BA2C4F">
        <w:rPr>
          <w:rFonts w:ascii="Verdana" w:hAnsi="Verdana"/>
          <w:color w:val="000000" w:themeColor="text1"/>
          <w:sz w:val="16"/>
          <w:szCs w:val="16"/>
          <w:lang w:val="es-ES"/>
        </w:rPr>
        <w:t xml:space="preserve"> Wagner Isaac Montano Contreras, Abogado de la Procuraduría Pública del Ministerio de Economía y Finanzas</w:t>
      </w:r>
      <w:r w:rsidR="00665F33" w:rsidRPr="00BA2C4F">
        <w:rPr>
          <w:rFonts w:ascii="Verdana" w:hAnsi="Verdana"/>
          <w:color w:val="000000" w:themeColor="text1"/>
          <w:sz w:val="16"/>
          <w:szCs w:val="16"/>
          <w:lang w:val="es-ES"/>
        </w:rPr>
        <w:t>;</w:t>
      </w:r>
      <w:r w:rsidR="00981009" w:rsidRPr="00BA2C4F">
        <w:rPr>
          <w:rFonts w:ascii="Verdana" w:hAnsi="Verdana"/>
          <w:color w:val="000000" w:themeColor="text1"/>
          <w:sz w:val="16"/>
          <w:szCs w:val="16"/>
          <w:lang w:val="es-ES"/>
        </w:rPr>
        <w:t xml:space="preserve"> Mariela González Espinoza y Raquel Francisca De la Cruz Costa, Procuradoras Públicas de la Municipalidad Metropolitana de Lima, y </w:t>
      </w:r>
      <w:proofErr w:type="spellStart"/>
      <w:r w:rsidR="00981009" w:rsidRPr="00BA2C4F">
        <w:rPr>
          <w:rFonts w:ascii="Verdana" w:hAnsi="Verdana"/>
          <w:color w:val="000000" w:themeColor="text1"/>
          <w:sz w:val="16"/>
          <w:szCs w:val="16"/>
          <w:lang w:val="es-ES"/>
        </w:rPr>
        <w:t>Kadafi</w:t>
      </w:r>
      <w:proofErr w:type="spellEnd"/>
      <w:r w:rsidR="00981009" w:rsidRPr="00BA2C4F">
        <w:rPr>
          <w:rFonts w:ascii="Verdana" w:hAnsi="Verdana"/>
          <w:color w:val="000000" w:themeColor="text1"/>
          <w:sz w:val="16"/>
          <w:szCs w:val="16"/>
          <w:lang w:val="es-ES"/>
        </w:rPr>
        <w:t xml:space="preserve"> Jesús Rojas Silva, Abogado de la Procuraduría Pública del Ministerio de Justicia y Derechos Humanos, y c) por la Comisión Interamericana: </w:t>
      </w:r>
      <w:r w:rsidR="00E67E07" w:rsidRPr="00BA2C4F">
        <w:rPr>
          <w:rFonts w:ascii="Verdana" w:hAnsi="Verdana"/>
          <w:color w:val="000000" w:themeColor="text1"/>
          <w:sz w:val="16"/>
          <w:szCs w:val="16"/>
          <w:lang w:val="es-ES"/>
        </w:rPr>
        <w:t xml:space="preserve">Comisionada </w:t>
      </w:r>
      <w:proofErr w:type="spellStart"/>
      <w:r w:rsidR="00981009" w:rsidRPr="00BA2C4F">
        <w:rPr>
          <w:rFonts w:ascii="Verdana" w:hAnsi="Verdana"/>
          <w:color w:val="000000" w:themeColor="text1"/>
          <w:sz w:val="16"/>
          <w:szCs w:val="16"/>
          <w:lang w:val="es-ES"/>
        </w:rPr>
        <w:t>Flávia</w:t>
      </w:r>
      <w:proofErr w:type="spellEnd"/>
      <w:r w:rsidR="00981009" w:rsidRPr="00BA2C4F">
        <w:rPr>
          <w:rFonts w:ascii="Verdana" w:hAnsi="Verdana"/>
          <w:color w:val="000000" w:themeColor="text1"/>
          <w:sz w:val="16"/>
          <w:szCs w:val="16"/>
          <w:lang w:val="es-ES"/>
        </w:rPr>
        <w:t xml:space="preserve"> </w:t>
      </w:r>
      <w:proofErr w:type="spellStart"/>
      <w:r w:rsidR="00981009" w:rsidRPr="00BA2C4F">
        <w:rPr>
          <w:rFonts w:ascii="Verdana" w:hAnsi="Verdana"/>
          <w:color w:val="000000" w:themeColor="text1"/>
          <w:sz w:val="16"/>
          <w:szCs w:val="16"/>
          <w:lang w:val="es-ES"/>
        </w:rPr>
        <w:t>Piovesan</w:t>
      </w:r>
      <w:proofErr w:type="spellEnd"/>
      <w:r w:rsidR="00665F33" w:rsidRPr="00BA2C4F">
        <w:rPr>
          <w:rFonts w:ascii="Verdana" w:hAnsi="Verdana"/>
          <w:color w:val="000000" w:themeColor="text1"/>
          <w:sz w:val="16"/>
          <w:szCs w:val="16"/>
          <w:lang w:val="es-ES"/>
        </w:rPr>
        <w:t>;</w:t>
      </w:r>
      <w:r w:rsidR="00981009" w:rsidRPr="00BA2C4F">
        <w:rPr>
          <w:rFonts w:ascii="Verdana" w:hAnsi="Verdana"/>
          <w:color w:val="000000" w:themeColor="text1"/>
          <w:sz w:val="16"/>
          <w:szCs w:val="16"/>
          <w:lang w:val="es-ES"/>
        </w:rPr>
        <w:t xml:space="preserve"> Marisol Blanchard</w:t>
      </w:r>
      <w:r w:rsidR="00E67E07" w:rsidRPr="00BA2C4F">
        <w:rPr>
          <w:rFonts w:ascii="Verdana" w:hAnsi="Verdana"/>
          <w:color w:val="000000" w:themeColor="text1"/>
          <w:sz w:val="16"/>
          <w:szCs w:val="16"/>
          <w:lang w:val="es-ES"/>
        </w:rPr>
        <w:t>, Secretaria Ejecutiva Adjunta,</w:t>
      </w:r>
      <w:r w:rsidR="00981009" w:rsidRPr="00BA2C4F">
        <w:rPr>
          <w:rFonts w:ascii="Verdana" w:hAnsi="Verdana"/>
          <w:color w:val="000000" w:themeColor="text1"/>
          <w:sz w:val="16"/>
          <w:szCs w:val="16"/>
          <w:lang w:val="es-ES"/>
        </w:rPr>
        <w:t xml:space="preserve"> y Erick Acuña Pereda, Asesor</w:t>
      </w:r>
      <w:r w:rsidR="00665F33" w:rsidRPr="00BA2C4F">
        <w:rPr>
          <w:rFonts w:ascii="Verdana" w:hAnsi="Verdana"/>
          <w:color w:val="000000" w:themeColor="text1"/>
          <w:sz w:val="16"/>
          <w:szCs w:val="16"/>
          <w:lang w:val="es-ES"/>
        </w:rPr>
        <w:t xml:space="preserve"> de la Secretaría</w:t>
      </w:r>
      <w:r w:rsidR="00981009" w:rsidRPr="00BA2C4F">
        <w:rPr>
          <w:rFonts w:ascii="Verdana" w:hAnsi="Verdana"/>
          <w:color w:val="000000" w:themeColor="text1"/>
          <w:sz w:val="16"/>
          <w:szCs w:val="16"/>
          <w:lang w:val="es-ES"/>
        </w:rPr>
        <w:t>.</w:t>
      </w:r>
    </w:p>
  </w:footnote>
  <w:footnote w:id="12">
    <w:p w14:paraId="7CC44B2C" w14:textId="4D026E07" w:rsidR="008C59E5" w:rsidRPr="00BA2C4F" w:rsidRDefault="008C59E5" w:rsidP="00E37D2D">
      <w:pPr>
        <w:pStyle w:val="Textonotapie"/>
        <w:jc w:val="both"/>
        <w:rPr>
          <w:rFonts w:ascii="Verdana" w:hAnsi="Verdana"/>
          <w:color w:val="000000" w:themeColor="text1"/>
          <w:sz w:val="16"/>
          <w:szCs w:val="16"/>
          <w:lang w:val="es-ES"/>
        </w:rPr>
      </w:pPr>
      <w:r w:rsidRPr="00BA2C4F">
        <w:rPr>
          <w:rStyle w:val="Refdenotaalpie"/>
          <w:rFonts w:ascii="Verdana" w:hAnsi="Verdana"/>
          <w:color w:val="000000" w:themeColor="text1"/>
          <w:sz w:val="16"/>
          <w:szCs w:val="16"/>
          <w:lang w:val="es-ES"/>
        </w:rPr>
        <w:footnoteRef/>
      </w:r>
      <w:r w:rsidRPr="00BA2C4F">
        <w:rPr>
          <w:rFonts w:ascii="Verdana" w:hAnsi="Verdana"/>
          <w:color w:val="000000" w:themeColor="text1"/>
          <w:sz w:val="16"/>
          <w:szCs w:val="16"/>
          <w:lang w:val="es-ES"/>
        </w:rPr>
        <w:t xml:space="preserve"> </w:t>
      </w:r>
      <w:r w:rsidR="00A462CA" w:rsidRPr="00BA2C4F">
        <w:rPr>
          <w:rFonts w:ascii="Verdana" w:hAnsi="Verdana"/>
          <w:color w:val="000000" w:themeColor="text1"/>
          <w:sz w:val="16"/>
          <w:szCs w:val="16"/>
          <w:lang w:val="es-ES"/>
        </w:rPr>
        <w:tab/>
      </w:r>
      <w:r w:rsidRPr="00BA2C4F">
        <w:rPr>
          <w:rFonts w:ascii="Verdana" w:hAnsi="Verdana"/>
          <w:color w:val="000000" w:themeColor="text1"/>
          <w:sz w:val="16"/>
          <w:szCs w:val="16"/>
          <w:lang w:val="es-ES"/>
        </w:rPr>
        <w:t>Facultad que además se desprende de lo dispuesto en los artículos 33, 62.1, 62.3 y 65 de la Convención Americana y 30 de su Estatuto</w:t>
      </w:r>
      <w:r w:rsidR="00B7360A" w:rsidRPr="00BA2C4F">
        <w:rPr>
          <w:rFonts w:ascii="Verdana" w:hAnsi="Verdana"/>
          <w:color w:val="000000" w:themeColor="text1"/>
          <w:sz w:val="16"/>
          <w:szCs w:val="16"/>
          <w:lang w:val="es-ES"/>
        </w:rPr>
        <w:t>,</w:t>
      </w:r>
      <w:r w:rsidRPr="00BA2C4F">
        <w:rPr>
          <w:rFonts w:ascii="Verdana" w:hAnsi="Verdana"/>
          <w:color w:val="000000" w:themeColor="text1"/>
          <w:sz w:val="16"/>
          <w:szCs w:val="16"/>
          <w:lang w:val="es-ES"/>
        </w:rPr>
        <w:t xml:space="preserve"> y se encuentra regulada en el artículo 69 de su Reglamento.</w:t>
      </w:r>
    </w:p>
  </w:footnote>
  <w:footnote w:id="13">
    <w:p w14:paraId="788630A9" w14:textId="092F8A6A" w:rsidR="009728A8" w:rsidRPr="00BA2C4F" w:rsidRDefault="009728A8" w:rsidP="00E37D2D">
      <w:pPr>
        <w:pStyle w:val="Textonotapie"/>
        <w:jc w:val="both"/>
        <w:rPr>
          <w:rFonts w:ascii="Verdana" w:hAnsi="Verdana"/>
          <w:color w:val="000000" w:themeColor="text1"/>
          <w:sz w:val="16"/>
          <w:szCs w:val="16"/>
          <w:lang w:val="es-CR"/>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00CC7A0E" w:rsidRPr="00BA2C4F">
        <w:rPr>
          <w:rFonts w:ascii="Verdana" w:hAnsi="Verdana"/>
          <w:color w:val="000000" w:themeColor="text1"/>
          <w:sz w:val="16"/>
          <w:szCs w:val="16"/>
          <w:lang w:val="es-CR"/>
        </w:rPr>
        <w:t xml:space="preserve">Pago de las indemnizaciones por concepto de daño inmaterial y </w:t>
      </w:r>
      <w:r w:rsidRPr="00BA2C4F">
        <w:rPr>
          <w:rFonts w:ascii="Verdana" w:hAnsi="Verdana"/>
          <w:color w:val="000000" w:themeColor="text1"/>
          <w:sz w:val="16"/>
          <w:szCs w:val="16"/>
          <w:lang w:val="es-CL"/>
        </w:rPr>
        <w:t>reintegro de costas y gastos (punto resolutivo quinto de la Sentencia)</w:t>
      </w:r>
      <w:r w:rsidR="00CC7A0E" w:rsidRPr="00BA2C4F">
        <w:rPr>
          <w:rFonts w:ascii="Verdana" w:hAnsi="Verdana"/>
          <w:color w:val="000000" w:themeColor="text1"/>
          <w:sz w:val="16"/>
          <w:szCs w:val="16"/>
          <w:lang w:val="es-CL"/>
        </w:rPr>
        <w:t>,</w:t>
      </w:r>
      <w:r w:rsidRPr="00BA2C4F">
        <w:rPr>
          <w:rFonts w:ascii="Verdana" w:hAnsi="Verdana"/>
          <w:color w:val="000000" w:themeColor="text1"/>
          <w:sz w:val="16"/>
          <w:szCs w:val="16"/>
          <w:lang w:val="es-CL"/>
        </w:rPr>
        <w:t xml:space="preserve"> y publicar en el Diario Oficial y en otro diario de amplia circulación nacional las partes pertinentes de la Sentencia (p</w:t>
      </w:r>
      <w:r w:rsidRPr="00BA2C4F">
        <w:rPr>
          <w:rFonts w:ascii="Verdana" w:hAnsi="Verdana"/>
          <w:color w:val="000000" w:themeColor="text1"/>
          <w:sz w:val="16"/>
          <w:szCs w:val="16"/>
        </w:rPr>
        <w:t>unto resolutivo séptimo de la Sentencia).</w:t>
      </w:r>
    </w:p>
  </w:footnote>
  <w:footnote w:id="14">
    <w:p w14:paraId="6F3DD41F" w14:textId="48881883" w:rsidR="001F43B4" w:rsidRPr="00BA2C4F" w:rsidRDefault="001F43B4"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t xml:space="preserve">Punto resolutivo sexto de la Sentencia. </w:t>
      </w:r>
    </w:p>
  </w:footnote>
  <w:footnote w:id="15">
    <w:p w14:paraId="4BA63D0E" w14:textId="767BDED2" w:rsidR="00391485" w:rsidRPr="00BA2C4F" w:rsidRDefault="00391485" w:rsidP="00E37D2D">
      <w:pPr>
        <w:jc w:val="both"/>
        <w:rPr>
          <w:rFonts w:ascii="Verdana" w:eastAsia="Times New Roman" w:hAnsi="Verdana"/>
          <w:color w:val="000000" w:themeColor="text1"/>
          <w:sz w:val="16"/>
          <w:szCs w:val="16"/>
          <w:lang w:val="es-CR"/>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eastAsia="Times New Roman" w:hAnsi="Verdana"/>
          <w:i/>
          <w:iCs/>
          <w:color w:val="000000" w:themeColor="text1"/>
          <w:sz w:val="16"/>
          <w:szCs w:val="16"/>
        </w:rPr>
        <w:t xml:space="preserve">Cfr. Caso Cinco Pensionistas Vs. Perú. Supervisión de Cumplimiento de Sentencia. </w:t>
      </w:r>
      <w:r w:rsidRPr="00BA2C4F">
        <w:rPr>
          <w:rFonts w:ascii="Verdana" w:eastAsia="Times New Roman" w:hAnsi="Verdana"/>
          <w:color w:val="000000" w:themeColor="text1"/>
          <w:sz w:val="16"/>
          <w:szCs w:val="16"/>
        </w:rPr>
        <w:t xml:space="preserve">Resolución de la Corte Interamericana de Derechos Humanos de 17 de noviembre de 2004, Considerando 5, </w:t>
      </w:r>
      <w:r w:rsidRPr="00BA2C4F">
        <w:rPr>
          <w:rFonts w:ascii="Verdana" w:eastAsia="Times New Roman" w:hAnsi="Verdana"/>
          <w:color w:val="000000" w:themeColor="text1"/>
          <w:sz w:val="16"/>
          <w:szCs w:val="16"/>
          <w:lang w:val="es-CR"/>
        </w:rPr>
        <w:t xml:space="preserve">y </w:t>
      </w:r>
      <w:r w:rsidR="00B7360A" w:rsidRPr="00BA2C4F">
        <w:rPr>
          <w:rFonts w:ascii="Verdana" w:eastAsia="Times New Roman" w:hAnsi="Verdana"/>
          <w:i/>
          <w:iCs/>
          <w:color w:val="000000" w:themeColor="text1"/>
          <w:sz w:val="16"/>
          <w:szCs w:val="16"/>
        </w:rPr>
        <w:t>Caso Hernández Vs. Argentina</w:t>
      </w:r>
      <w:r w:rsidRPr="00BA2C4F">
        <w:rPr>
          <w:rFonts w:ascii="Verdana" w:eastAsia="Times New Roman" w:hAnsi="Verdana"/>
          <w:i/>
          <w:iCs/>
          <w:color w:val="000000" w:themeColor="text1"/>
          <w:sz w:val="16"/>
          <w:szCs w:val="16"/>
          <w:lang w:val="es-CR"/>
        </w:rPr>
        <w:t xml:space="preserve">. Supervisión de Cumplimiento de Sentencia. </w:t>
      </w:r>
      <w:r w:rsidRPr="00BA2C4F">
        <w:rPr>
          <w:rFonts w:ascii="Verdana" w:eastAsia="Times New Roman" w:hAnsi="Verdana"/>
          <w:color w:val="000000" w:themeColor="text1"/>
          <w:sz w:val="16"/>
          <w:szCs w:val="16"/>
          <w:lang w:val="es-CR"/>
        </w:rPr>
        <w:t xml:space="preserve">Resolución de la Corte Interamericana de Derechos Humanos de </w:t>
      </w:r>
      <w:r w:rsidR="00B7360A" w:rsidRPr="00BA2C4F">
        <w:rPr>
          <w:rFonts w:ascii="Verdana" w:eastAsia="Times New Roman" w:hAnsi="Verdana"/>
          <w:color w:val="000000" w:themeColor="text1"/>
          <w:sz w:val="16"/>
          <w:szCs w:val="16"/>
          <w:lang w:val="es-CR"/>
        </w:rPr>
        <w:t>27 de mayo de</w:t>
      </w:r>
      <w:r w:rsidRPr="00BA2C4F">
        <w:rPr>
          <w:rFonts w:ascii="Verdana" w:eastAsia="Times New Roman" w:hAnsi="Verdana"/>
          <w:color w:val="000000" w:themeColor="text1"/>
          <w:sz w:val="16"/>
          <w:szCs w:val="16"/>
          <w:lang w:val="es-CR"/>
        </w:rPr>
        <w:t xml:space="preserve"> 2021, Considerando 2. </w:t>
      </w:r>
    </w:p>
  </w:footnote>
  <w:footnote w:id="16">
    <w:p w14:paraId="45C87833" w14:textId="43A09DF5" w:rsidR="00391485" w:rsidRPr="00BA2C4F" w:rsidRDefault="00391485" w:rsidP="00E37D2D">
      <w:pPr>
        <w:jc w:val="both"/>
        <w:rPr>
          <w:rFonts w:ascii="Verdana" w:eastAsia="Times New Roman" w:hAnsi="Verdana"/>
          <w:color w:val="000000" w:themeColor="text1"/>
          <w:sz w:val="16"/>
          <w:szCs w:val="16"/>
          <w:lang w:val="es-CR"/>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eastAsia="Times New Roman" w:hAnsi="Verdana"/>
          <w:i/>
          <w:iCs/>
          <w:color w:val="000000" w:themeColor="text1"/>
          <w:sz w:val="16"/>
          <w:szCs w:val="16"/>
        </w:rPr>
        <w:t xml:space="preserve">Cfr. Caso </w:t>
      </w:r>
      <w:proofErr w:type="spellStart"/>
      <w:r w:rsidRPr="00BA2C4F">
        <w:rPr>
          <w:rFonts w:ascii="Verdana" w:eastAsia="Times New Roman" w:hAnsi="Verdana"/>
          <w:i/>
          <w:iCs/>
          <w:color w:val="000000" w:themeColor="text1"/>
          <w:sz w:val="16"/>
          <w:szCs w:val="16"/>
        </w:rPr>
        <w:t>Ivcher</w:t>
      </w:r>
      <w:proofErr w:type="spellEnd"/>
      <w:r w:rsidRPr="00BA2C4F">
        <w:rPr>
          <w:rFonts w:ascii="Verdana" w:eastAsia="Times New Roman" w:hAnsi="Verdana"/>
          <w:i/>
          <w:iCs/>
          <w:color w:val="000000" w:themeColor="text1"/>
          <w:sz w:val="16"/>
          <w:szCs w:val="16"/>
        </w:rPr>
        <w:t xml:space="preserve"> </w:t>
      </w:r>
      <w:proofErr w:type="spellStart"/>
      <w:r w:rsidRPr="00BA2C4F">
        <w:rPr>
          <w:rFonts w:ascii="Verdana" w:eastAsia="Times New Roman" w:hAnsi="Verdana"/>
          <w:i/>
          <w:iCs/>
          <w:color w:val="000000" w:themeColor="text1"/>
          <w:sz w:val="16"/>
          <w:szCs w:val="16"/>
        </w:rPr>
        <w:t>Bronstein</w:t>
      </w:r>
      <w:proofErr w:type="spellEnd"/>
      <w:r w:rsidRPr="00BA2C4F">
        <w:rPr>
          <w:rFonts w:ascii="Verdana" w:eastAsia="Times New Roman" w:hAnsi="Verdana"/>
          <w:i/>
          <w:iCs/>
          <w:color w:val="000000" w:themeColor="text1"/>
          <w:sz w:val="16"/>
          <w:szCs w:val="16"/>
        </w:rPr>
        <w:t xml:space="preserve"> Vs. Perú. Competencia</w:t>
      </w:r>
      <w:r w:rsidRPr="00BA2C4F">
        <w:rPr>
          <w:rFonts w:ascii="Verdana" w:eastAsia="Times New Roman" w:hAnsi="Verdana"/>
          <w:color w:val="000000" w:themeColor="text1"/>
          <w:sz w:val="16"/>
          <w:szCs w:val="16"/>
        </w:rPr>
        <w:t>. Sentencia de la Corte Interamericana de Derechos Humanos de 24 de septiembre de 1999. Serie C No. 54, párr. 37</w:t>
      </w:r>
      <w:r w:rsidRPr="00BA2C4F">
        <w:rPr>
          <w:rFonts w:ascii="Verdana" w:eastAsia="Times New Roman" w:hAnsi="Verdana"/>
          <w:color w:val="000000" w:themeColor="text1"/>
          <w:sz w:val="16"/>
          <w:szCs w:val="16"/>
          <w:lang w:val="es-CR"/>
        </w:rPr>
        <w:t>, y</w:t>
      </w:r>
      <w:r w:rsidR="00B7360A" w:rsidRPr="00BA2C4F">
        <w:rPr>
          <w:rFonts w:ascii="Verdana" w:eastAsia="Times New Roman" w:hAnsi="Verdana"/>
          <w:i/>
          <w:iCs/>
          <w:color w:val="000000" w:themeColor="text1"/>
          <w:sz w:val="16"/>
          <w:szCs w:val="16"/>
          <w:lang w:val="es-CR"/>
        </w:rPr>
        <w:t xml:space="preserve"> Caso Hernández Vs. Argentina</w:t>
      </w:r>
      <w:r w:rsidRPr="00BA2C4F">
        <w:rPr>
          <w:rFonts w:ascii="Verdana" w:eastAsia="Times New Roman" w:hAnsi="Verdana"/>
          <w:i/>
          <w:iCs/>
          <w:color w:val="000000" w:themeColor="text1"/>
          <w:sz w:val="16"/>
          <w:szCs w:val="16"/>
          <w:lang w:val="es-CR"/>
        </w:rPr>
        <w:t xml:space="preserve">. Supervisión de Cumplimiento de Sentencia. </w:t>
      </w:r>
      <w:r w:rsidRPr="00BA2C4F">
        <w:rPr>
          <w:rFonts w:ascii="Verdana" w:eastAsia="Times New Roman" w:hAnsi="Verdana"/>
          <w:color w:val="000000" w:themeColor="text1"/>
          <w:sz w:val="16"/>
          <w:szCs w:val="16"/>
          <w:lang w:val="es-CR"/>
        </w:rPr>
        <w:t xml:space="preserve">Resolución de la Corte Interamericana de Derechos Humanos de </w:t>
      </w:r>
      <w:r w:rsidR="00B7360A" w:rsidRPr="00BA2C4F">
        <w:rPr>
          <w:rFonts w:ascii="Verdana" w:eastAsia="Times New Roman" w:hAnsi="Verdana"/>
          <w:color w:val="000000" w:themeColor="text1"/>
          <w:sz w:val="16"/>
          <w:szCs w:val="16"/>
          <w:lang w:val="es-CR"/>
        </w:rPr>
        <w:t xml:space="preserve">27 </w:t>
      </w:r>
      <w:r w:rsidRPr="00BA2C4F">
        <w:rPr>
          <w:rFonts w:ascii="Verdana" w:eastAsia="Times New Roman" w:hAnsi="Verdana"/>
          <w:color w:val="000000" w:themeColor="text1"/>
          <w:sz w:val="16"/>
          <w:szCs w:val="16"/>
          <w:lang w:val="es-CR"/>
        </w:rPr>
        <w:t xml:space="preserve">de </w:t>
      </w:r>
      <w:r w:rsidR="00B7360A" w:rsidRPr="00BA2C4F">
        <w:rPr>
          <w:rFonts w:ascii="Verdana" w:eastAsia="Times New Roman" w:hAnsi="Verdana"/>
          <w:color w:val="000000" w:themeColor="text1"/>
          <w:sz w:val="16"/>
          <w:szCs w:val="16"/>
          <w:lang w:val="es-CR"/>
        </w:rPr>
        <w:t>mayo</w:t>
      </w:r>
      <w:r w:rsidRPr="00BA2C4F">
        <w:rPr>
          <w:rFonts w:ascii="Verdana" w:eastAsia="Times New Roman" w:hAnsi="Verdana"/>
          <w:color w:val="000000" w:themeColor="text1"/>
          <w:sz w:val="16"/>
          <w:szCs w:val="16"/>
          <w:lang w:val="es-CR"/>
        </w:rPr>
        <w:t xml:space="preserve"> de 2021, Considerando 2.</w:t>
      </w:r>
    </w:p>
    <w:p w14:paraId="0D19850A" w14:textId="36B819D0" w:rsidR="00391485" w:rsidRPr="00BA2C4F" w:rsidRDefault="00391485" w:rsidP="00E37D2D">
      <w:pPr>
        <w:pStyle w:val="Textonotapie"/>
        <w:jc w:val="both"/>
        <w:rPr>
          <w:rFonts w:ascii="Verdana" w:hAnsi="Verdana"/>
          <w:color w:val="000000" w:themeColor="text1"/>
          <w:sz w:val="16"/>
          <w:szCs w:val="16"/>
          <w:lang w:val="es-CR"/>
        </w:rPr>
      </w:pPr>
    </w:p>
  </w:footnote>
  <w:footnote w:id="17">
    <w:p w14:paraId="5F708252" w14:textId="63794FBB" w:rsidR="00DE5D07" w:rsidRPr="00BA2C4F" w:rsidRDefault="00DE5D07"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color w:val="000000" w:themeColor="text1"/>
          <w:sz w:val="16"/>
          <w:szCs w:val="16"/>
          <w:lang w:val="es-CR"/>
        </w:rPr>
        <w:t xml:space="preserve">En julio de 2015, el Estado remitió tres resoluciones relativas a la determinación del monto a pagar por concepto de los devengados dejados de percibir, emitidas entre el 2009 y el 2012 por el 4º Juzgado Especializado en lo Civil de la Corte Superior de Justicia de Lima (en lo adelante “4º Juzgado Civil”) en el expediente número 45417-2007. En una de estas resoluciones, correspondiente al número 330 de julio de 2009, se declararon infundadas las observaciones formuladas por la Contraloría General y se aprobó un peritaje de </w:t>
      </w:r>
      <w:r w:rsidR="000F0311" w:rsidRPr="00BA2C4F">
        <w:rPr>
          <w:rFonts w:ascii="Verdana" w:hAnsi="Verdana"/>
          <w:color w:val="000000" w:themeColor="text1"/>
          <w:sz w:val="16"/>
          <w:szCs w:val="16"/>
          <w:lang w:val="es-CR"/>
        </w:rPr>
        <w:t xml:space="preserve">13 de </w:t>
      </w:r>
      <w:r w:rsidRPr="00BA2C4F">
        <w:rPr>
          <w:rFonts w:ascii="Verdana" w:hAnsi="Verdana"/>
          <w:color w:val="000000" w:themeColor="text1"/>
          <w:sz w:val="16"/>
          <w:szCs w:val="16"/>
          <w:lang w:val="es-CR"/>
        </w:rPr>
        <w:t>mayo del mismo año que había fijado la suma S/.2</w:t>
      </w:r>
      <w:r w:rsidRPr="00BA2C4F">
        <w:rPr>
          <w:rFonts w:ascii="Verdana" w:hAnsi="Verdana"/>
          <w:color w:val="000000" w:themeColor="text1"/>
          <w:sz w:val="16"/>
          <w:szCs w:val="16"/>
        </w:rPr>
        <w:t>57,033,894.11</w:t>
      </w:r>
      <w:r w:rsidRPr="00BA2C4F">
        <w:rPr>
          <w:rFonts w:ascii="Verdana" w:hAnsi="Verdana"/>
          <w:b/>
          <w:bCs/>
          <w:color w:val="000000" w:themeColor="text1"/>
          <w:sz w:val="16"/>
          <w:szCs w:val="16"/>
          <w:lang w:val="es-CR"/>
        </w:rPr>
        <w:t xml:space="preserve"> </w:t>
      </w:r>
      <w:r w:rsidRPr="00BA2C4F">
        <w:rPr>
          <w:rFonts w:ascii="Verdana" w:hAnsi="Verdana"/>
          <w:color w:val="000000" w:themeColor="text1"/>
          <w:sz w:val="16"/>
          <w:szCs w:val="16"/>
          <w:lang w:val="es-CR"/>
        </w:rPr>
        <w:t>como monto a pagar por concepto de los devengados dejados de percibir. Posteriormente, mediante Resolución No. 426 de abril de 2012, el 4º Juzgado Civil reconoció que en el referido peritaje hubo “un error al momento de efectuarse la sumatoria” a favor de una de las víctimas</w:t>
      </w:r>
      <w:r w:rsidR="00C41284" w:rsidRPr="00BA2C4F">
        <w:rPr>
          <w:rFonts w:ascii="Verdana" w:hAnsi="Verdana"/>
          <w:color w:val="000000" w:themeColor="text1"/>
          <w:sz w:val="16"/>
          <w:szCs w:val="16"/>
          <w:lang w:val="es-CR"/>
        </w:rPr>
        <w:t xml:space="preserve">, la señora Olga Cecilia Zevallos Alzamora, </w:t>
      </w:r>
      <w:r w:rsidRPr="00BA2C4F">
        <w:rPr>
          <w:rFonts w:ascii="Verdana" w:hAnsi="Verdana"/>
          <w:color w:val="000000" w:themeColor="text1"/>
          <w:sz w:val="16"/>
          <w:szCs w:val="16"/>
          <w:lang w:val="es-CR"/>
        </w:rPr>
        <w:t xml:space="preserve">porque </w:t>
      </w:r>
      <w:r w:rsidR="00C41284" w:rsidRPr="00BA2C4F">
        <w:rPr>
          <w:rFonts w:ascii="Verdana" w:hAnsi="Verdana"/>
          <w:color w:val="000000" w:themeColor="text1"/>
          <w:sz w:val="16"/>
          <w:szCs w:val="16"/>
          <w:lang w:val="es-CR"/>
        </w:rPr>
        <w:t>se había omitido</w:t>
      </w:r>
      <w:r w:rsidRPr="00BA2C4F">
        <w:rPr>
          <w:rFonts w:ascii="Verdana" w:hAnsi="Verdana"/>
          <w:color w:val="000000" w:themeColor="text1"/>
          <w:sz w:val="16"/>
          <w:szCs w:val="16"/>
          <w:lang w:val="es-CR"/>
        </w:rPr>
        <w:t xml:space="preserve"> el monto de </w:t>
      </w:r>
      <w:r w:rsidR="00CC3BE9" w:rsidRPr="00BA2C4F">
        <w:rPr>
          <w:rFonts w:ascii="Verdana" w:hAnsi="Verdana"/>
          <w:color w:val="000000" w:themeColor="text1"/>
          <w:sz w:val="16"/>
          <w:szCs w:val="16"/>
          <w:lang w:val="es-CR"/>
        </w:rPr>
        <w:t>“</w:t>
      </w:r>
      <w:r w:rsidRPr="00BA2C4F">
        <w:rPr>
          <w:rFonts w:ascii="Verdana" w:hAnsi="Verdana"/>
          <w:color w:val="000000" w:themeColor="text1"/>
          <w:sz w:val="16"/>
          <w:szCs w:val="16"/>
          <w:lang w:val="es-CR"/>
        </w:rPr>
        <w:t>S/</w:t>
      </w:r>
      <w:r w:rsidR="00C41284" w:rsidRPr="00BA2C4F">
        <w:rPr>
          <w:rFonts w:ascii="Verdana" w:hAnsi="Verdana"/>
          <w:color w:val="000000" w:themeColor="text1"/>
          <w:sz w:val="16"/>
          <w:szCs w:val="16"/>
          <w:lang w:val="es-CR"/>
        </w:rPr>
        <w:t>.</w:t>
      </w:r>
      <w:r w:rsidRPr="00BA2C4F">
        <w:rPr>
          <w:rFonts w:ascii="Verdana" w:hAnsi="Verdana"/>
          <w:color w:val="000000" w:themeColor="text1"/>
          <w:sz w:val="16"/>
          <w:szCs w:val="16"/>
          <w:lang w:val="es-CR"/>
        </w:rPr>
        <w:t>441.281.00</w:t>
      </w:r>
      <w:r w:rsidR="00CC3BE9" w:rsidRPr="00BA2C4F">
        <w:rPr>
          <w:rFonts w:ascii="Verdana" w:hAnsi="Verdana"/>
          <w:color w:val="000000" w:themeColor="text1"/>
          <w:sz w:val="16"/>
          <w:szCs w:val="16"/>
          <w:lang w:val="es-CR"/>
        </w:rPr>
        <w:t>”</w:t>
      </w:r>
      <w:r w:rsidRPr="00BA2C4F">
        <w:rPr>
          <w:rFonts w:ascii="Verdana" w:hAnsi="Verdana"/>
          <w:color w:val="000000" w:themeColor="text1"/>
          <w:sz w:val="16"/>
          <w:szCs w:val="16"/>
          <w:lang w:val="es-CR"/>
        </w:rPr>
        <w:t>, y estableció que, por lo tanto, “el monto aprobado por concepto de devengados e intereses legales desde el mes de abril del año mil novecientos noventa y tres a octubre del año dos mil dos asciende a la suma de S/.257</w:t>
      </w:r>
      <w:r w:rsidR="00CC3BE9" w:rsidRPr="00BA2C4F">
        <w:rPr>
          <w:rFonts w:ascii="Verdana" w:hAnsi="Verdana"/>
          <w:color w:val="000000" w:themeColor="text1"/>
          <w:sz w:val="16"/>
          <w:szCs w:val="16"/>
          <w:lang w:val="es-CR"/>
        </w:rPr>
        <w:t>’</w:t>
      </w:r>
      <w:r w:rsidRPr="00BA2C4F">
        <w:rPr>
          <w:rFonts w:ascii="Verdana" w:hAnsi="Verdana"/>
          <w:color w:val="000000" w:themeColor="text1"/>
          <w:sz w:val="16"/>
          <w:szCs w:val="16"/>
          <w:lang w:val="es-CR"/>
        </w:rPr>
        <w:t xml:space="preserve">475,175.11”. </w:t>
      </w:r>
      <w:r w:rsidRPr="00BA2C4F">
        <w:rPr>
          <w:rFonts w:ascii="Verdana" w:hAnsi="Verdana"/>
          <w:i/>
          <w:iCs/>
          <w:color w:val="000000" w:themeColor="text1"/>
          <w:sz w:val="16"/>
          <w:szCs w:val="16"/>
        </w:rPr>
        <w:t xml:space="preserve">Cfr. </w:t>
      </w:r>
      <w:r w:rsidRPr="00BA2C4F">
        <w:rPr>
          <w:rFonts w:ascii="Verdana" w:hAnsi="Verdana"/>
          <w:color w:val="000000" w:themeColor="text1"/>
          <w:sz w:val="16"/>
          <w:szCs w:val="16"/>
        </w:rPr>
        <w:t>Resoluciones Nos. 330 y 426 del 4º Juzgado Especializado en lo Civil de la Corte Superior de Justicia de Lima de 30 de julio de 2009 y 11 de abril de 2012, anexas al informe estatal de 3 de julio de 2015</w:t>
      </w:r>
      <w:r w:rsidR="000F0311" w:rsidRPr="00BA2C4F">
        <w:rPr>
          <w:rFonts w:ascii="Verdana" w:hAnsi="Verdana"/>
          <w:color w:val="000000" w:themeColor="text1"/>
          <w:sz w:val="16"/>
          <w:szCs w:val="16"/>
        </w:rPr>
        <w:t xml:space="preserve">. </w:t>
      </w:r>
    </w:p>
  </w:footnote>
  <w:footnote w:id="18">
    <w:p w14:paraId="2B4430BD" w14:textId="48476F91" w:rsidR="00A15BB2" w:rsidRPr="00BA2C4F" w:rsidRDefault="00A15BB2"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t>S</w:t>
      </w:r>
      <w:proofErr w:type="spellStart"/>
      <w:r w:rsidRPr="00BA2C4F">
        <w:rPr>
          <w:rFonts w:ascii="Verdana" w:hAnsi="Verdana"/>
          <w:color w:val="000000" w:themeColor="text1"/>
          <w:sz w:val="16"/>
          <w:szCs w:val="16"/>
          <w:lang w:val="es-CL"/>
        </w:rPr>
        <w:t>egún</w:t>
      </w:r>
      <w:proofErr w:type="spellEnd"/>
      <w:r w:rsidRPr="00BA2C4F">
        <w:rPr>
          <w:rFonts w:ascii="Verdana" w:hAnsi="Verdana"/>
          <w:color w:val="000000" w:themeColor="text1"/>
          <w:sz w:val="16"/>
          <w:szCs w:val="16"/>
          <w:lang w:val="es-CL"/>
        </w:rPr>
        <w:t xml:space="preserve"> el peritaje de mayo de 2009, los montos correspondientes a cada víctima oscilan entre S/.1,241.00 (por ejemplo, en el caso de la señora Sofía Cortes de Durand)</w:t>
      </w:r>
      <w:r w:rsidR="00246E79" w:rsidRPr="00BA2C4F">
        <w:rPr>
          <w:rFonts w:ascii="Verdana" w:hAnsi="Verdana"/>
          <w:color w:val="000000" w:themeColor="text1"/>
          <w:sz w:val="16"/>
          <w:szCs w:val="16"/>
          <w:lang w:val="es-CL"/>
        </w:rPr>
        <w:t xml:space="preserve"> </w:t>
      </w:r>
      <w:r w:rsidRPr="00BA2C4F">
        <w:rPr>
          <w:rFonts w:ascii="Verdana" w:hAnsi="Verdana"/>
          <w:color w:val="000000" w:themeColor="text1"/>
          <w:sz w:val="16"/>
          <w:szCs w:val="16"/>
          <w:lang w:val="es-CL"/>
        </w:rPr>
        <w:t>y S/.3</w:t>
      </w:r>
      <w:r w:rsidR="00D95B0F" w:rsidRPr="00BA2C4F">
        <w:rPr>
          <w:rFonts w:ascii="Verdana" w:hAnsi="Verdana"/>
          <w:color w:val="000000" w:themeColor="text1"/>
          <w:sz w:val="16"/>
          <w:szCs w:val="16"/>
          <w:lang w:val="es-CL"/>
        </w:rPr>
        <w:t>’</w:t>
      </w:r>
      <w:r w:rsidRPr="00BA2C4F">
        <w:rPr>
          <w:rFonts w:ascii="Verdana" w:hAnsi="Verdana"/>
          <w:color w:val="000000" w:themeColor="text1"/>
          <w:sz w:val="16"/>
          <w:szCs w:val="16"/>
          <w:lang w:val="es-CL"/>
        </w:rPr>
        <w:t xml:space="preserve">746,889.13 (por ejemplo, en el caso de la señora Luz Aurea </w:t>
      </w:r>
      <w:r w:rsidR="00F15DE0" w:rsidRPr="00BA2C4F">
        <w:rPr>
          <w:rFonts w:ascii="Verdana" w:hAnsi="Verdana"/>
          <w:color w:val="000000" w:themeColor="text1"/>
          <w:sz w:val="16"/>
          <w:szCs w:val="16"/>
          <w:lang w:val="es-CL"/>
        </w:rPr>
        <w:t>Sáenz</w:t>
      </w:r>
      <w:r w:rsidRPr="00BA2C4F">
        <w:rPr>
          <w:rFonts w:ascii="Verdana" w:hAnsi="Verdana"/>
          <w:color w:val="000000" w:themeColor="text1"/>
          <w:sz w:val="16"/>
          <w:szCs w:val="16"/>
          <w:lang w:val="es-CL"/>
        </w:rPr>
        <w:t xml:space="preserve"> Arana</w:t>
      </w:r>
      <w:r w:rsidR="00246E79" w:rsidRPr="00BA2C4F">
        <w:rPr>
          <w:rFonts w:ascii="Verdana" w:hAnsi="Verdana"/>
          <w:color w:val="000000" w:themeColor="text1"/>
          <w:sz w:val="16"/>
          <w:szCs w:val="16"/>
          <w:lang w:val="es-CL"/>
        </w:rPr>
        <w:t xml:space="preserve">). </w:t>
      </w:r>
    </w:p>
  </w:footnote>
  <w:footnote w:id="19">
    <w:p w14:paraId="4A546A77" w14:textId="41656FA3" w:rsidR="00DE5D07" w:rsidRPr="00BA2C4F" w:rsidRDefault="00DE5D07"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i/>
          <w:iCs/>
          <w:color w:val="000000" w:themeColor="text1"/>
          <w:sz w:val="16"/>
          <w:szCs w:val="16"/>
        </w:rPr>
        <w:t>Cfr.</w:t>
      </w:r>
      <w:r w:rsidRPr="00BA2C4F">
        <w:rPr>
          <w:rFonts w:ascii="Verdana" w:hAnsi="Verdana"/>
          <w:color w:val="000000" w:themeColor="text1"/>
          <w:sz w:val="16"/>
          <w:szCs w:val="16"/>
        </w:rPr>
        <w:t xml:space="preserve"> Informe Pericial No. 52</w:t>
      </w:r>
      <w:r w:rsidRPr="00BA2C4F">
        <w:rPr>
          <w:rFonts w:ascii="Verdana" w:hAnsi="Verdana"/>
          <w:color w:val="000000" w:themeColor="text1"/>
          <w:sz w:val="16"/>
          <w:szCs w:val="16"/>
          <w:lang w:val="es-CR"/>
        </w:rPr>
        <w:t>-</w:t>
      </w:r>
      <w:r w:rsidRPr="00BA2C4F">
        <w:rPr>
          <w:rFonts w:ascii="Verdana" w:hAnsi="Verdana"/>
          <w:color w:val="000000" w:themeColor="text1"/>
          <w:sz w:val="16"/>
          <w:szCs w:val="16"/>
        </w:rPr>
        <w:t>2009</w:t>
      </w:r>
      <w:r w:rsidRPr="00BA2C4F">
        <w:rPr>
          <w:rFonts w:ascii="Verdana" w:hAnsi="Verdana"/>
          <w:color w:val="000000" w:themeColor="text1"/>
          <w:sz w:val="16"/>
          <w:szCs w:val="16"/>
          <w:lang w:val="es-CR"/>
        </w:rPr>
        <w:t>-PJ-</w:t>
      </w:r>
      <w:r w:rsidRPr="00BA2C4F">
        <w:rPr>
          <w:rFonts w:ascii="Verdana" w:hAnsi="Verdana"/>
          <w:color w:val="000000" w:themeColor="text1"/>
          <w:sz w:val="16"/>
          <w:szCs w:val="16"/>
        </w:rPr>
        <w:t xml:space="preserve">JC </w:t>
      </w:r>
      <w:r w:rsidRPr="00BA2C4F">
        <w:rPr>
          <w:rFonts w:ascii="Verdana" w:hAnsi="Verdana"/>
          <w:color w:val="000000" w:themeColor="text1"/>
          <w:sz w:val="16"/>
          <w:szCs w:val="16"/>
          <w:lang w:val="es-CR"/>
        </w:rPr>
        <w:t xml:space="preserve">de </w:t>
      </w:r>
      <w:r w:rsidRPr="00BA2C4F">
        <w:rPr>
          <w:rFonts w:ascii="Verdana" w:hAnsi="Verdana"/>
          <w:color w:val="000000" w:themeColor="text1"/>
          <w:sz w:val="16"/>
          <w:szCs w:val="16"/>
        </w:rPr>
        <w:t>13 de mayo de 2009, anexo al informe estatal de 3 de julio de 2015</w:t>
      </w:r>
      <w:r w:rsidRPr="00BA2C4F">
        <w:rPr>
          <w:rFonts w:ascii="Verdana" w:hAnsi="Verdana"/>
          <w:color w:val="000000" w:themeColor="text1"/>
          <w:sz w:val="16"/>
          <w:szCs w:val="16"/>
          <w:lang w:val="es-CR"/>
        </w:rPr>
        <w:t xml:space="preserve">, y </w:t>
      </w:r>
      <w:r w:rsidR="00246E79" w:rsidRPr="00BA2C4F">
        <w:rPr>
          <w:rFonts w:ascii="Verdana" w:hAnsi="Verdana"/>
          <w:color w:val="000000" w:themeColor="text1"/>
          <w:sz w:val="16"/>
          <w:szCs w:val="16"/>
          <w:lang w:val="es-CR"/>
        </w:rPr>
        <w:t xml:space="preserve">Anexo 1 del </w:t>
      </w:r>
      <w:r w:rsidRPr="00BA2C4F">
        <w:rPr>
          <w:rFonts w:ascii="Verdana" w:hAnsi="Verdana"/>
          <w:color w:val="000000" w:themeColor="text1"/>
          <w:sz w:val="16"/>
          <w:szCs w:val="16"/>
          <w:lang w:val="es-CR"/>
        </w:rPr>
        <w:t xml:space="preserve">Memorándum </w:t>
      </w:r>
      <w:r w:rsidRPr="00BA2C4F">
        <w:rPr>
          <w:rFonts w:ascii="Verdana" w:hAnsi="Verdana"/>
          <w:color w:val="000000" w:themeColor="text1"/>
          <w:sz w:val="16"/>
          <w:szCs w:val="16"/>
        </w:rPr>
        <w:t>No</w:t>
      </w:r>
      <w:r w:rsidRPr="00BA2C4F">
        <w:rPr>
          <w:rFonts w:ascii="Verdana" w:hAnsi="Verdana"/>
          <w:color w:val="000000" w:themeColor="text1"/>
          <w:sz w:val="16"/>
          <w:szCs w:val="16"/>
          <w:lang w:val="es-CR"/>
        </w:rPr>
        <w:t xml:space="preserve">. </w:t>
      </w:r>
      <w:r w:rsidRPr="00BA2C4F">
        <w:rPr>
          <w:rFonts w:ascii="Verdana" w:hAnsi="Verdana"/>
          <w:color w:val="000000" w:themeColor="text1"/>
          <w:sz w:val="16"/>
          <w:szCs w:val="16"/>
        </w:rPr>
        <w:t xml:space="preserve">00417-2016-CG/FI </w:t>
      </w:r>
      <w:r w:rsidRPr="00BA2C4F">
        <w:rPr>
          <w:rFonts w:ascii="Verdana" w:hAnsi="Verdana"/>
          <w:color w:val="000000" w:themeColor="text1"/>
          <w:sz w:val="16"/>
          <w:szCs w:val="16"/>
          <w:lang w:val="es-CR"/>
        </w:rPr>
        <w:t>de</w:t>
      </w:r>
      <w:r w:rsidR="00246E79" w:rsidRPr="00BA2C4F">
        <w:rPr>
          <w:rFonts w:ascii="Verdana" w:hAnsi="Verdana"/>
          <w:color w:val="000000" w:themeColor="text1"/>
          <w:sz w:val="16"/>
          <w:szCs w:val="16"/>
          <w:lang w:val="es-CR"/>
        </w:rPr>
        <w:t xml:space="preserve">l Departamento de Finanzas </w:t>
      </w:r>
      <w:r w:rsidR="00B65CE8" w:rsidRPr="00BA2C4F">
        <w:rPr>
          <w:rFonts w:ascii="Verdana" w:hAnsi="Verdana"/>
          <w:color w:val="000000" w:themeColor="text1"/>
          <w:sz w:val="16"/>
          <w:szCs w:val="16"/>
          <w:lang w:val="es-CR"/>
        </w:rPr>
        <w:t xml:space="preserve">de </w:t>
      </w:r>
      <w:r w:rsidRPr="00BA2C4F">
        <w:rPr>
          <w:rFonts w:ascii="Verdana" w:hAnsi="Verdana"/>
          <w:color w:val="000000" w:themeColor="text1"/>
          <w:sz w:val="16"/>
          <w:szCs w:val="16"/>
          <w:lang w:val="es-CR"/>
        </w:rPr>
        <w:t>la Contraloría General de la República de 19 de abril de 2016, anexo al informe estatal de 4 de mayo de 201</w:t>
      </w:r>
      <w:r w:rsidR="00246E79" w:rsidRPr="00BA2C4F">
        <w:rPr>
          <w:rFonts w:ascii="Verdana" w:hAnsi="Verdana"/>
          <w:color w:val="000000" w:themeColor="text1"/>
          <w:sz w:val="16"/>
          <w:szCs w:val="16"/>
          <w:lang w:val="es-CR"/>
        </w:rPr>
        <w:t xml:space="preserve">6. </w:t>
      </w:r>
    </w:p>
  </w:footnote>
  <w:footnote w:id="20">
    <w:p w14:paraId="5A16BCB3" w14:textId="5783D560" w:rsidR="00AA2AA4" w:rsidRPr="00BA2C4F" w:rsidRDefault="00AA2AA4"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00727C2E" w:rsidRPr="00BA2C4F">
        <w:rPr>
          <w:rFonts w:ascii="Verdana" w:hAnsi="Verdana"/>
          <w:color w:val="000000" w:themeColor="text1"/>
          <w:sz w:val="16"/>
          <w:szCs w:val="16"/>
        </w:rPr>
        <w:tab/>
        <w:t xml:space="preserve">Observaciones </w:t>
      </w:r>
      <w:r w:rsidR="00CE35D5">
        <w:rPr>
          <w:rFonts w:ascii="Verdana" w:hAnsi="Verdana"/>
          <w:color w:val="000000" w:themeColor="text1"/>
          <w:sz w:val="16"/>
          <w:szCs w:val="16"/>
        </w:rPr>
        <w:t xml:space="preserve">presentadas por </w:t>
      </w:r>
      <w:r w:rsidR="00CE35D5" w:rsidRPr="00BA2C4F">
        <w:rPr>
          <w:rFonts w:ascii="Verdana" w:hAnsi="Verdana"/>
          <w:color w:val="000000" w:themeColor="text1"/>
          <w:sz w:val="16"/>
          <w:szCs w:val="16"/>
          <w:lang w:val="es-ES"/>
        </w:rPr>
        <w:t>Javier Mujica Petit y Julio C</w:t>
      </w:r>
      <w:r w:rsidR="00D75D52" w:rsidRPr="00D45BAF">
        <w:rPr>
          <w:rFonts w:ascii="Verdana" w:hAnsi="Verdana"/>
          <w:color w:val="000000" w:themeColor="text1"/>
          <w:sz w:val="16"/>
          <w:szCs w:val="16"/>
          <w:lang w:val="es-ES"/>
        </w:rPr>
        <w:t>é</w:t>
      </w:r>
      <w:r w:rsidR="00CE35D5" w:rsidRPr="00BA2C4F">
        <w:rPr>
          <w:rFonts w:ascii="Verdana" w:hAnsi="Verdana"/>
          <w:color w:val="000000" w:themeColor="text1"/>
          <w:sz w:val="16"/>
          <w:szCs w:val="16"/>
          <w:lang w:val="es-ES"/>
        </w:rPr>
        <w:t>sar Borrero Briceño</w:t>
      </w:r>
      <w:r w:rsidR="00CE35D5" w:rsidRPr="00BA2C4F">
        <w:rPr>
          <w:rFonts w:ascii="Verdana" w:hAnsi="Verdana"/>
          <w:color w:val="000000" w:themeColor="text1"/>
          <w:sz w:val="16"/>
          <w:szCs w:val="16"/>
        </w:rPr>
        <w:t xml:space="preserve"> </w:t>
      </w:r>
      <w:r w:rsidR="00CE35D5">
        <w:rPr>
          <w:rFonts w:ascii="Verdana" w:hAnsi="Verdana"/>
          <w:color w:val="000000" w:themeColor="text1"/>
          <w:sz w:val="16"/>
          <w:szCs w:val="16"/>
        </w:rPr>
        <w:t xml:space="preserve">el </w:t>
      </w:r>
      <w:r w:rsidR="00727C2E" w:rsidRPr="00BA2C4F">
        <w:rPr>
          <w:rFonts w:ascii="Verdana" w:hAnsi="Verdana"/>
          <w:color w:val="000000" w:themeColor="text1"/>
          <w:sz w:val="16"/>
          <w:szCs w:val="16"/>
        </w:rPr>
        <w:t>1</w:t>
      </w:r>
      <w:r w:rsidR="00D95B0F" w:rsidRPr="00BA2C4F">
        <w:rPr>
          <w:rFonts w:ascii="Verdana" w:hAnsi="Verdana"/>
          <w:color w:val="000000" w:themeColor="text1"/>
          <w:sz w:val="16"/>
          <w:szCs w:val="16"/>
        </w:rPr>
        <w:t>9</w:t>
      </w:r>
      <w:r w:rsidR="00727C2E" w:rsidRPr="00BA2C4F">
        <w:rPr>
          <w:rFonts w:ascii="Verdana" w:hAnsi="Verdana"/>
          <w:color w:val="000000" w:themeColor="text1"/>
          <w:sz w:val="16"/>
          <w:szCs w:val="16"/>
        </w:rPr>
        <w:t xml:space="preserve"> de octubre de 202</w:t>
      </w:r>
      <w:r w:rsidR="00D95B0F" w:rsidRPr="00BA2C4F">
        <w:rPr>
          <w:rFonts w:ascii="Verdana" w:hAnsi="Verdana"/>
          <w:color w:val="000000" w:themeColor="text1"/>
          <w:sz w:val="16"/>
          <w:szCs w:val="16"/>
        </w:rPr>
        <w:t>0.</w:t>
      </w:r>
    </w:p>
  </w:footnote>
  <w:footnote w:id="21">
    <w:p w14:paraId="561B7D38" w14:textId="599E5292" w:rsidR="00B63629" w:rsidRPr="00BA2C4F" w:rsidRDefault="00B63629"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cs="Verdana"/>
          <w:color w:val="000000" w:themeColor="text1"/>
          <w:sz w:val="16"/>
          <w:szCs w:val="16"/>
          <w:lang w:val="es-CO"/>
        </w:rPr>
        <w:t xml:space="preserve">En julio de 2015, el Estado remitió cuatro cuadros elaborados por </w:t>
      </w:r>
      <w:r w:rsidR="00BC55FF" w:rsidRPr="00BA2C4F">
        <w:rPr>
          <w:rFonts w:ascii="Verdana" w:hAnsi="Verdana" w:cs="Verdana"/>
          <w:color w:val="000000" w:themeColor="text1"/>
          <w:sz w:val="16"/>
          <w:szCs w:val="16"/>
          <w:lang w:val="es-CO"/>
        </w:rPr>
        <w:t xml:space="preserve">el Departamento de Personal de </w:t>
      </w:r>
      <w:r w:rsidRPr="00BA2C4F">
        <w:rPr>
          <w:rFonts w:ascii="Verdana" w:hAnsi="Verdana" w:cs="Verdana"/>
          <w:color w:val="000000" w:themeColor="text1"/>
          <w:sz w:val="16"/>
          <w:szCs w:val="16"/>
          <w:lang w:val="es-CO"/>
        </w:rPr>
        <w:t xml:space="preserve">la Contraloría General de la República en abril de dicho año, en los cuales se listan 15 pagos parciales realizados desde noviembre de 2010 a abril de 2015, a favor de las 270 víctimas incluidas en el peritaje de 2009. </w:t>
      </w:r>
      <w:r w:rsidRPr="00BA2C4F">
        <w:rPr>
          <w:rFonts w:ascii="Verdana" w:hAnsi="Verdana"/>
          <w:color w:val="000000" w:themeColor="text1"/>
          <w:sz w:val="16"/>
          <w:szCs w:val="16"/>
        </w:rPr>
        <w:t xml:space="preserve">Los referidos cuadros reflejan pagos </w:t>
      </w:r>
      <w:r w:rsidR="00B65CE8" w:rsidRPr="00BA2C4F">
        <w:rPr>
          <w:rFonts w:ascii="Verdana" w:hAnsi="Verdana"/>
          <w:color w:val="000000" w:themeColor="text1"/>
          <w:sz w:val="16"/>
          <w:szCs w:val="16"/>
        </w:rPr>
        <w:t>realizados a través de</w:t>
      </w:r>
      <w:r w:rsidRPr="00BA2C4F">
        <w:rPr>
          <w:rFonts w:ascii="Verdana" w:hAnsi="Verdana"/>
          <w:color w:val="000000" w:themeColor="text1"/>
          <w:sz w:val="16"/>
          <w:szCs w:val="16"/>
        </w:rPr>
        <w:t xml:space="preserve"> </w:t>
      </w:r>
      <w:r w:rsidRPr="00BA2C4F">
        <w:rPr>
          <w:rFonts w:ascii="Verdana" w:hAnsi="Verdana"/>
          <w:color w:val="000000" w:themeColor="text1"/>
          <w:sz w:val="16"/>
          <w:szCs w:val="16"/>
          <w:lang w:val="es-CR"/>
        </w:rPr>
        <w:t>tractos que oscilaba</w:t>
      </w:r>
      <w:r w:rsidR="00BC55FF" w:rsidRPr="00BA2C4F">
        <w:rPr>
          <w:rFonts w:ascii="Verdana" w:hAnsi="Verdana"/>
          <w:color w:val="000000" w:themeColor="text1"/>
          <w:sz w:val="16"/>
          <w:szCs w:val="16"/>
          <w:lang w:val="es-CR"/>
        </w:rPr>
        <w:t>n</w:t>
      </w:r>
      <w:r w:rsidRPr="00BA2C4F">
        <w:rPr>
          <w:rFonts w:ascii="Verdana" w:hAnsi="Verdana"/>
          <w:color w:val="000000" w:themeColor="text1"/>
          <w:sz w:val="16"/>
          <w:szCs w:val="16"/>
          <w:lang w:val="es-CR"/>
        </w:rPr>
        <w:t xml:space="preserve"> entre un 0.87% y un 1.</w:t>
      </w:r>
      <w:r w:rsidR="00BC55FF" w:rsidRPr="00BA2C4F">
        <w:rPr>
          <w:rFonts w:ascii="Verdana" w:hAnsi="Verdana"/>
          <w:color w:val="000000" w:themeColor="text1"/>
          <w:sz w:val="16"/>
          <w:szCs w:val="16"/>
          <w:lang w:val="es-CR"/>
        </w:rPr>
        <w:t>80</w:t>
      </w:r>
      <w:r w:rsidRPr="00BA2C4F">
        <w:rPr>
          <w:rFonts w:ascii="Verdana" w:hAnsi="Verdana"/>
          <w:color w:val="000000" w:themeColor="text1"/>
          <w:sz w:val="16"/>
          <w:szCs w:val="16"/>
          <w:lang w:val="es-CR"/>
        </w:rPr>
        <w:t xml:space="preserve">% del monto total adeudado a cada víctima, </w:t>
      </w:r>
      <w:r w:rsidR="00BC55FF" w:rsidRPr="00BA2C4F">
        <w:rPr>
          <w:rFonts w:ascii="Verdana" w:hAnsi="Verdana"/>
          <w:color w:val="000000" w:themeColor="text1"/>
          <w:sz w:val="16"/>
          <w:szCs w:val="16"/>
          <w:lang w:val="es-CR"/>
        </w:rPr>
        <w:t>los cuales fueron efectuados</w:t>
      </w:r>
      <w:r w:rsidRPr="00BA2C4F">
        <w:rPr>
          <w:rFonts w:ascii="Verdana" w:hAnsi="Verdana"/>
          <w:color w:val="000000" w:themeColor="text1"/>
          <w:sz w:val="16"/>
          <w:szCs w:val="16"/>
          <w:lang w:val="es-CR"/>
        </w:rPr>
        <w:t xml:space="preserve"> en noviembre de 2010; enero, abril, septiembre y noviembre de 2011; marzo, junio, octubre y diciembre de 2012; marzo, abril, septiembre y diciembre de 2013; julio de 2014 y abril de 2015. </w:t>
      </w:r>
      <w:r w:rsidRPr="00BA2C4F">
        <w:rPr>
          <w:rFonts w:ascii="Verdana" w:hAnsi="Verdana"/>
          <w:i/>
          <w:iCs/>
          <w:color w:val="000000" w:themeColor="text1"/>
          <w:sz w:val="16"/>
          <w:szCs w:val="16"/>
        </w:rPr>
        <w:t xml:space="preserve">Cfr. </w:t>
      </w:r>
      <w:r w:rsidRPr="00BA2C4F">
        <w:rPr>
          <w:rFonts w:ascii="Verdana" w:hAnsi="Verdana"/>
          <w:color w:val="000000" w:themeColor="text1"/>
          <w:sz w:val="16"/>
          <w:szCs w:val="16"/>
        </w:rPr>
        <w:t>Relación de “Pagos Parciales y Saldos”, anexa al informe estatal de 3 de julio de 2015</w:t>
      </w:r>
      <w:r w:rsidR="008D741E" w:rsidRPr="00BA2C4F">
        <w:rPr>
          <w:rFonts w:ascii="Verdana" w:hAnsi="Verdana"/>
          <w:color w:val="000000" w:themeColor="text1"/>
          <w:sz w:val="16"/>
          <w:szCs w:val="16"/>
        </w:rPr>
        <w:t xml:space="preserve">. </w:t>
      </w:r>
    </w:p>
  </w:footnote>
  <w:footnote w:id="22">
    <w:p w14:paraId="7B6D6F83" w14:textId="511CCC14" w:rsidR="009439C6" w:rsidRPr="00BA2C4F" w:rsidRDefault="009439C6" w:rsidP="00E37D2D">
      <w:pPr>
        <w:pStyle w:val="Prrafodelista"/>
        <w:tabs>
          <w:tab w:val="left" w:pos="1134"/>
        </w:tabs>
        <w:ind w:left="0" w:right="12"/>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cs="Verdana"/>
          <w:color w:val="000000" w:themeColor="text1"/>
          <w:sz w:val="16"/>
          <w:szCs w:val="16"/>
          <w:lang w:val="es-CO"/>
        </w:rPr>
        <w:t xml:space="preserve">En mayo de 2016, el Estado aportó otros cinco cuadros elaborados por </w:t>
      </w:r>
      <w:r w:rsidR="00F52CC9" w:rsidRPr="00BA2C4F">
        <w:rPr>
          <w:rFonts w:ascii="Verdana" w:hAnsi="Verdana" w:cs="Verdana"/>
          <w:color w:val="000000" w:themeColor="text1"/>
          <w:sz w:val="16"/>
          <w:szCs w:val="16"/>
          <w:lang w:val="es-CO"/>
        </w:rPr>
        <w:t xml:space="preserve">el Departamento de Gestión y Desarrollo Humano de la </w:t>
      </w:r>
      <w:r w:rsidRPr="00BA2C4F">
        <w:rPr>
          <w:rFonts w:ascii="Verdana" w:hAnsi="Verdana" w:cs="Verdana"/>
          <w:color w:val="000000" w:themeColor="text1"/>
          <w:sz w:val="16"/>
          <w:szCs w:val="16"/>
          <w:lang w:val="es-CO"/>
        </w:rPr>
        <w:t xml:space="preserve">Contraloría General en los que figuran los abonos autorizados a favor de diferentes bloques de víctimas en noviembre de 2011, diciembre de 2013 y julio de 2014. </w:t>
      </w:r>
      <w:r w:rsidRPr="00BA2C4F">
        <w:rPr>
          <w:rFonts w:ascii="Verdana" w:hAnsi="Verdana"/>
          <w:color w:val="000000" w:themeColor="text1"/>
          <w:sz w:val="16"/>
          <w:szCs w:val="16"/>
        </w:rPr>
        <w:t>Los referidos cuadros contienen una lista con el nombre de las víctimas, su documento de identidad, número de cuenta corriente en el Banco la Nación y el monto neto que les fue autorizado a pagar en diferentes per</w:t>
      </w:r>
      <w:r w:rsidR="00F52CC9" w:rsidRPr="00BA2C4F">
        <w:rPr>
          <w:rFonts w:ascii="Verdana" w:hAnsi="Verdana"/>
          <w:color w:val="000000" w:themeColor="text1"/>
          <w:sz w:val="16"/>
          <w:szCs w:val="16"/>
        </w:rPr>
        <w:t>í</w:t>
      </w:r>
      <w:r w:rsidRPr="00BA2C4F">
        <w:rPr>
          <w:rFonts w:ascii="Verdana" w:hAnsi="Verdana"/>
          <w:color w:val="000000" w:themeColor="text1"/>
          <w:sz w:val="16"/>
          <w:szCs w:val="16"/>
        </w:rPr>
        <w:t>odos. El primer cuadro refleja que en noviembre de 2011 fue autorizado un abono de S/</w:t>
      </w:r>
      <w:r w:rsidR="008A7F78" w:rsidRPr="00BA2C4F">
        <w:rPr>
          <w:rFonts w:ascii="Verdana" w:hAnsi="Verdana"/>
          <w:color w:val="000000" w:themeColor="text1"/>
          <w:sz w:val="16"/>
          <w:szCs w:val="16"/>
        </w:rPr>
        <w:t>.</w:t>
      </w:r>
      <w:r w:rsidRPr="00BA2C4F">
        <w:rPr>
          <w:rFonts w:ascii="Verdana" w:hAnsi="Verdana"/>
          <w:color w:val="000000" w:themeColor="text1"/>
          <w:sz w:val="16"/>
          <w:szCs w:val="16"/>
        </w:rPr>
        <w:t>1,989,707.93, a distribuirse entre un total de 180 víctimas. El segundo, tercer y cuarto cuadro reflejan que en diciembre de 2013 fueron autorizados abonos por las sumas de S/</w:t>
      </w:r>
      <w:r w:rsidR="008A7F78" w:rsidRPr="00BA2C4F">
        <w:rPr>
          <w:rFonts w:ascii="Verdana" w:hAnsi="Verdana"/>
          <w:color w:val="000000" w:themeColor="text1"/>
          <w:sz w:val="16"/>
          <w:szCs w:val="16"/>
        </w:rPr>
        <w:t>.</w:t>
      </w:r>
      <w:r w:rsidRPr="00BA2C4F">
        <w:rPr>
          <w:rFonts w:ascii="Verdana" w:hAnsi="Verdana"/>
          <w:color w:val="000000" w:themeColor="text1"/>
          <w:sz w:val="16"/>
          <w:szCs w:val="16"/>
        </w:rPr>
        <w:t>3,667,671.33</w:t>
      </w:r>
      <w:r w:rsidR="008A7F78" w:rsidRPr="00BA2C4F">
        <w:rPr>
          <w:rFonts w:ascii="Verdana" w:hAnsi="Verdana"/>
          <w:color w:val="000000" w:themeColor="text1"/>
          <w:sz w:val="16"/>
          <w:szCs w:val="16"/>
        </w:rPr>
        <w:t>;</w:t>
      </w:r>
      <w:r w:rsidRPr="00BA2C4F">
        <w:rPr>
          <w:rFonts w:ascii="Verdana" w:hAnsi="Verdana"/>
          <w:color w:val="000000" w:themeColor="text1"/>
          <w:sz w:val="16"/>
          <w:szCs w:val="16"/>
        </w:rPr>
        <w:t xml:space="preserve"> S/</w:t>
      </w:r>
      <w:r w:rsidR="008A7F78" w:rsidRPr="00BA2C4F">
        <w:rPr>
          <w:rFonts w:ascii="Verdana" w:hAnsi="Verdana"/>
          <w:color w:val="000000" w:themeColor="text1"/>
          <w:sz w:val="16"/>
          <w:szCs w:val="16"/>
        </w:rPr>
        <w:t>.</w:t>
      </w:r>
      <w:r w:rsidRPr="00BA2C4F">
        <w:rPr>
          <w:rFonts w:ascii="Verdana" w:hAnsi="Verdana"/>
          <w:color w:val="000000" w:themeColor="text1"/>
          <w:sz w:val="16"/>
          <w:szCs w:val="16"/>
        </w:rPr>
        <w:t>15,700.22 y S</w:t>
      </w:r>
      <w:r w:rsidR="008A7F78" w:rsidRPr="00BA2C4F">
        <w:rPr>
          <w:rFonts w:ascii="Verdana" w:hAnsi="Verdana"/>
          <w:color w:val="000000" w:themeColor="text1"/>
          <w:sz w:val="16"/>
          <w:szCs w:val="16"/>
        </w:rPr>
        <w:t>.</w:t>
      </w:r>
      <w:r w:rsidRPr="00BA2C4F">
        <w:rPr>
          <w:rFonts w:ascii="Verdana" w:hAnsi="Verdana"/>
          <w:color w:val="000000" w:themeColor="text1"/>
          <w:sz w:val="16"/>
          <w:szCs w:val="16"/>
        </w:rPr>
        <w:t>/36,783.26, a distribuirse respectivamente entre grupos de 174, cuatro y cinco víctimas. El quinto cuadro refleja que en julio de 2014 fue autorizado un abono de S/</w:t>
      </w:r>
      <w:r w:rsidR="00F06DE0" w:rsidRPr="00BA2C4F">
        <w:rPr>
          <w:rFonts w:ascii="Verdana" w:hAnsi="Verdana"/>
          <w:color w:val="000000" w:themeColor="text1"/>
          <w:sz w:val="16"/>
          <w:szCs w:val="16"/>
        </w:rPr>
        <w:t>.</w:t>
      </w:r>
      <w:r w:rsidRPr="00BA2C4F">
        <w:rPr>
          <w:rFonts w:ascii="Verdana" w:hAnsi="Verdana"/>
          <w:color w:val="000000" w:themeColor="text1"/>
          <w:sz w:val="16"/>
          <w:szCs w:val="16"/>
        </w:rPr>
        <w:t xml:space="preserve">2,509,422.29, a distribuirse entre 160 víctimas. </w:t>
      </w:r>
      <w:r w:rsidR="00630CBF" w:rsidRPr="00BA2C4F">
        <w:rPr>
          <w:rFonts w:ascii="Verdana" w:hAnsi="Verdana"/>
          <w:color w:val="000000" w:themeColor="text1"/>
          <w:sz w:val="16"/>
          <w:szCs w:val="16"/>
        </w:rPr>
        <w:t>Asimismo, el Estado remi</w:t>
      </w:r>
      <w:r w:rsidR="00AC0B88" w:rsidRPr="00BA2C4F">
        <w:rPr>
          <w:rFonts w:ascii="Verdana" w:hAnsi="Verdana"/>
          <w:color w:val="000000" w:themeColor="text1"/>
          <w:sz w:val="16"/>
          <w:szCs w:val="16"/>
        </w:rPr>
        <w:t xml:space="preserve">tió </w:t>
      </w:r>
      <w:r w:rsidR="006023F0" w:rsidRPr="00BA2C4F">
        <w:rPr>
          <w:rFonts w:ascii="Verdana" w:hAnsi="Verdana"/>
          <w:color w:val="000000" w:themeColor="text1"/>
          <w:sz w:val="16"/>
          <w:szCs w:val="16"/>
        </w:rPr>
        <w:t xml:space="preserve">un cheque de gerencia </w:t>
      </w:r>
      <w:r w:rsidR="00632D54" w:rsidRPr="00BA2C4F">
        <w:rPr>
          <w:rFonts w:ascii="Verdana" w:hAnsi="Verdana"/>
          <w:color w:val="000000" w:themeColor="text1"/>
          <w:sz w:val="16"/>
          <w:szCs w:val="16"/>
        </w:rPr>
        <w:t>emitido por el Banco la Nación en marzo de 2012, a la orden de Josefa Eusebia Banda de Palacios por un monto de S/.</w:t>
      </w:r>
      <w:r w:rsidR="00CC0D21" w:rsidRPr="00BA2C4F">
        <w:rPr>
          <w:rFonts w:ascii="Verdana" w:hAnsi="Verdana"/>
          <w:color w:val="000000" w:themeColor="text1"/>
          <w:sz w:val="16"/>
          <w:szCs w:val="16"/>
        </w:rPr>
        <w:t xml:space="preserve">16, 613.45, así como </w:t>
      </w:r>
      <w:r w:rsidR="00AC0B88" w:rsidRPr="00BA2C4F">
        <w:rPr>
          <w:rFonts w:ascii="Verdana" w:hAnsi="Verdana"/>
          <w:color w:val="000000" w:themeColor="text1"/>
          <w:sz w:val="16"/>
          <w:szCs w:val="16"/>
        </w:rPr>
        <w:t>1</w:t>
      </w:r>
      <w:r w:rsidR="0009556C" w:rsidRPr="00BA2C4F">
        <w:rPr>
          <w:rFonts w:ascii="Verdana" w:hAnsi="Verdana"/>
          <w:color w:val="000000" w:themeColor="text1"/>
          <w:sz w:val="16"/>
          <w:szCs w:val="16"/>
        </w:rPr>
        <w:t>7</w:t>
      </w:r>
      <w:r w:rsidR="00AC0B88" w:rsidRPr="00BA2C4F">
        <w:rPr>
          <w:rFonts w:ascii="Verdana" w:hAnsi="Verdana"/>
          <w:color w:val="000000" w:themeColor="text1"/>
          <w:sz w:val="16"/>
          <w:szCs w:val="16"/>
        </w:rPr>
        <w:t xml:space="preserve"> comprobantes sobre depósitos judiciales realizados a favor de distintas víctimas en el Banco la Nación, algunos de los cuales no resultan legibles. Estos comprobantes fueron emitidos por la sección de depósitos judiciales y administrativos del Banco la Nación, y en ellos figura que el banco “ha recibido en calidad de depósito judicial” una determinada suma en el marco del “juicio” por “devengados” ante el 4º Juzgado Civil de Lima, a favor de distintas víctimas y sus sucesiones. En los comprobantes se refleja que en julio de 2014 fueron efectuados depósitos judiciales a favor de: </w:t>
      </w:r>
      <w:r w:rsidR="00AC0B88" w:rsidRPr="00BA2C4F">
        <w:rPr>
          <w:rFonts w:ascii="Verdana" w:eastAsia="Times New Roman" w:hAnsi="Verdana"/>
          <w:color w:val="000000" w:themeColor="text1"/>
          <w:sz w:val="16"/>
          <w:szCs w:val="16"/>
          <w:lang w:val="es-CR"/>
        </w:rPr>
        <w:t>a) Víctor Odr</w:t>
      </w:r>
      <w:r w:rsidR="0009556C" w:rsidRPr="00BA2C4F">
        <w:rPr>
          <w:rFonts w:ascii="Verdana" w:eastAsia="Times New Roman" w:hAnsi="Verdana"/>
          <w:color w:val="000000" w:themeColor="text1"/>
          <w:sz w:val="16"/>
          <w:szCs w:val="16"/>
          <w:lang w:val="es-CR"/>
        </w:rPr>
        <w:t>í</w:t>
      </w:r>
      <w:r w:rsidR="00AC0B88" w:rsidRPr="00BA2C4F">
        <w:rPr>
          <w:rFonts w:ascii="Verdana" w:eastAsia="Times New Roman" w:hAnsi="Verdana"/>
          <w:color w:val="000000" w:themeColor="text1"/>
          <w:sz w:val="16"/>
          <w:szCs w:val="16"/>
          <w:lang w:val="es-CR"/>
        </w:rPr>
        <w:t xml:space="preserve">a </w:t>
      </w:r>
      <w:r w:rsidR="0009556C" w:rsidRPr="00BA2C4F">
        <w:rPr>
          <w:rFonts w:ascii="Verdana" w:eastAsia="Times New Roman" w:hAnsi="Verdana"/>
          <w:color w:val="000000" w:themeColor="text1"/>
          <w:sz w:val="16"/>
          <w:szCs w:val="16"/>
          <w:lang w:val="es-CR"/>
        </w:rPr>
        <w:t>Torres</w:t>
      </w:r>
      <w:r w:rsidR="00AC0B88" w:rsidRPr="00BA2C4F">
        <w:rPr>
          <w:rFonts w:ascii="Verdana" w:eastAsia="Times New Roman" w:hAnsi="Verdana"/>
          <w:color w:val="000000" w:themeColor="text1"/>
          <w:sz w:val="16"/>
          <w:szCs w:val="16"/>
          <w:lang w:val="es-CR"/>
        </w:rPr>
        <w:t xml:space="preserve">, </w:t>
      </w:r>
      <w:r w:rsidR="006023F0" w:rsidRPr="00BA2C4F">
        <w:rPr>
          <w:rFonts w:ascii="Verdana" w:eastAsia="Times New Roman" w:hAnsi="Verdana"/>
          <w:color w:val="000000" w:themeColor="text1"/>
          <w:sz w:val="16"/>
          <w:szCs w:val="16"/>
          <w:lang w:val="es-CR"/>
        </w:rPr>
        <w:t>b</w:t>
      </w:r>
      <w:r w:rsidR="00AC0B88" w:rsidRPr="00BA2C4F">
        <w:rPr>
          <w:rFonts w:ascii="Verdana" w:eastAsia="Times New Roman" w:hAnsi="Verdana"/>
          <w:color w:val="000000" w:themeColor="text1"/>
          <w:sz w:val="16"/>
          <w:szCs w:val="16"/>
          <w:lang w:val="es-CR"/>
        </w:rPr>
        <w:t xml:space="preserve">) la sucesión </w:t>
      </w:r>
      <w:r w:rsidR="00014644" w:rsidRPr="00BA2C4F">
        <w:rPr>
          <w:rFonts w:ascii="Verdana" w:eastAsia="Times New Roman" w:hAnsi="Verdana"/>
          <w:color w:val="000000" w:themeColor="text1"/>
          <w:sz w:val="16"/>
          <w:szCs w:val="16"/>
          <w:lang w:val="es-CR"/>
        </w:rPr>
        <w:t xml:space="preserve">de </w:t>
      </w:r>
      <w:r w:rsidR="00AC0B88" w:rsidRPr="00BA2C4F">
        <w:rPr>
          <w:rFonts w:ascii="Verdana" w:eastAsia="Times New Roman" w:hAnsi="Verdana"/>
          <w:color w:val="000000" w:themeColor="text1"/>
          <w:sz w:val="16"/>
          <w:szCs w:val="16"/>
          <w:lang w:val="es-CR"/>
        </w:rPr>
        <w:t xml:space="preserve">Moisés </w:t>
      </w:r>
      <w:proofErr w:type="spellStart"/>
      <w:r w:rsidR="00AC0B88" w:rsidRPr="00BA2C4F">
        <w:rPr>
          <w:rFonts w:ascii="Verdana" w:eastAsia="Times New Roman" w:hAnsi="Verdana"/>
          <w:color w:val="000000" w:themeColor="text1"/>
          <w:sz w:val="16"/>
          <w:szCs w:val="16"/>
          <w:lang w:val="es-CR"/>
        </w:rPr>
        <w:t>Alc</w:t>
      </w:r>
      <w:r w:rsidR="0009556C" w:rsidRPr="00BA2C4F">
        <w:rPr>
          <w:rFonts w:ascii="Verdana" w:eastAsia="Times New Roman" w:hAnsi="Verdana"/>
          <w:color w:val="000000" w:themeColor="text1"/>
          <w:sz w:val="16"/>
          <w:szCs w:val="16"/>
          <w:lang w:val="es-CR"/>
        </w:rPr>
        <w:t>ó</w:t>
      </w:r>
      <w:r w:rsidR="00AC0B88" w:rsidRPr="00BA2C4F">
        <w:rPr>
          <w:rFonts w:ascii="Verdana" w:eastAsia="Times New Roman" w:hAnsi="Verdana"/>
          <w:color w:val="000000" w:themeColor="text1"/>
          <w:sz w:val="16"/>
          <w:szCs w:val="16"/>
          <w:lang w:val="es-CR"/>
        </w:rPr>
        <w:t>ser</w:t>
      </w:r>
      <w:proofErr w:type="spellEnd"/>
      <w:r w:rsidR="00AC0B88" w:rsidRPr="00BA2C4F">
        <w:rPr>
          <w:rFonts w:ascii="Verdana" w:eastAsia="Times New Roman" w:hAnsi="Verdana"/>
          <w:color w:val="000000" w:themeColor="text1"/>
          <w:sz w:val="16"/>
          <w:szCs w:val="16"/>
          <w:lang w:val="es-CR"/>
        </w:rPr>
        <w:t xml:space="preserve"> Gutiérrez, </w:t>
      </w:r>
      <w:r w:rsidR="006023F0" w:rsidRPr="00BA2C4F">
        <w:rPr>
          <w:rFonts w:ascii="Verdana" w:eastAsia="Times New Roman" w:hAnsi="Verdana"/>
          <w:color w:val="000000" w:themeColor="text1"/>
          <w:sz w:val="16"/>
          <w:szCs w:val="16"/>
          <w:lang w:val="es-CR"/>
        </w:rPr>
        <w:t>c</w:t>
      </w:r>
      <w:r w:rsidR="00AC0B88" w:rsidRPr="00BA2C4F">
        <w:rPr>
          <w:rFonts w:ascii="Verdana" w:eastAsia="Times New Roman" w:hAnsi="Verdana"/>
          <w:color w:val="000000" w:themeColor="text1"/>
          <w:sz w:val="16"/>
          <w:szCs w:val="16"/>
          <w:lang w:val="es-CR"/>
        </w:rPr>
        <w:t xml:space="preserve">) Marta Leticia Arévalo Dávila Vda. de </w:t>
      </w:r>
      <w:proofErr w:type="spellStart"/>
      <w:r w:rsidR="00AC0B88" w:rsidRPr="00BA2C4F">
        <w:rPr>
          <w:rFonts w:ascii="Verdana" w:eastAsia="Times New Roman" w:hAnsi="Verdana"/>
          <w:color w:val="000000" w:themeColor="text1"/>
          <w:sz w:val="16"/>
          <w:szCs w:val="16"/>
          <w:lang w:val="es-CR"/>
        </w:rPr>
        <w:t>Pujazón</w:t>
      </w:r>
      <w:proofErr w:type="spellEnd"/>
      <w:r w:rsidR="00AC0B88" w:rsidRPr="00BA2C4F">
        <w:rPr>
          <w:rFonts w:ascii="Verdana" w:eastAsia="Times New Roman" w:hAnsi="Verdana"/>
          <w:color w:val="000000" w:themeColor="text1"/>
          <w:sz w:val="16"/>
          <w:szCs w:val="16"/>
          <w:lang w:val="es-CR"/>
        </w:rPr>
        <w:t xml:space="preserve">, </w:t>
      </w:r>
      <w:r w:rsidR="006023F0" w:rsidRPr="00BA2C4F">
        <w:rPr>
          <w:rFonts w:ascii="Verdana" w:eastAsia="Times New Roman" w:hAnsi="Verdana"/>
          <w:color w:val="000000" w:themeColor="text1"/>
          <w:sz w:val="16"/>
          <w:szCs w:val="16"/>
          <w:lang w:val="es-CR"/>
        </w:rPr>
        <w:t>d</w:t>
      </w:r>
      <w:r w:rsidR="00AC0B88" w:rsidRPr="00BA2C4F">
        <w:rPr>
          <w:rFonts w:ascii="Verdana" w:eastAsia="Times New Roman" w:hAnsi="Verdana"/>
          <w:color w:val="000000" w:themeColor="text1"/>
          <w:sz w:val="16"/>
          <w:szCs w:val="16"/>
          <w:lang w:val="es-CR"/>
        </w:rPr>
        <w:t xml:space="preserve">) la sucesión de María </w:t>
      </w:r>
      <w:r w:rsidR="0009556C" w:rsidRPr="00BA2C4F">
        <w:rPr>
          <w:rFonts w:ascii="Verdana" w:eastAsia="Times New Roman" w:hAnsi="Verdana"/>
          <w:color w:val="000000" w:themeColor="text1"/>
          <w:sz w:val="16"/>
          <w:szCs w:val="16"/>
          <w:lang w:val="es-CR"/>
        </w:rPr>
        <w:t xml:space="preserve">Luz </w:t>
      </w:r>
      <w:r w:rsidR="00AC0B88" w:rsidRPr="00BA2C4F">
        <w:rPr>
          <w:rFonts w:ascii="Verdana" w:eastAsia="Times New Roman" w:hAnsi="Verdana"/>
          <w:color w:val="000000" w:themeColor="text1"/>
          <w:sz w:val="16"/>
          <w:szCs w:val="16"/>
          <w:lang w:val="es-CR"/>
        </w:rPr>
        <w:t xml:space="preserve">Espejo Vivanco, </w:t>
      </w:r>
      <w:r w:rsidR="006023F0" w:rsidRPr="00BA2C4F">
        <w:rPr>
          <w:rFonts w:ascii="Verdana" w:eastAsia="Times New Roman" w:hAnsi="Verdana"/>
          <w:color w:val="000000" w:themeColor="text1"/>
          <w:sz w:val="16"/>
          <w:szCs w:val="16"/>
          <w:lang w:val="es-CR"/>
        </w:rPr>
        <w:t>e</w:t>
      </w:r>
      <w:r w:rsidR="00AC0B88" w:rsidRPr="00BA2C4F">
        <w:rPr>
          <w:rFonts w:ascii="Verdana" w:eastAsia="Times New Roman" w:hAnsi="Verdana"/>
          <w:color w:val="000000" w:themeColor="text1"/>
          <w:sz w:val="16"/>
          <w:szCs w:val="16"/>
          <w:lang w:val="es-CR"/>
        </w:rPr>
        <w:t xml:space="preserve">) la sucesión </w:t>
      </w:r>
      <w:r w:rsidR="00014644" w:rsidRPr="00BA2C4F">
        <w:rPr>
          <w:rFonts w:ascii="Verdana" w:eastAsia="Times New Roman" w:hAnsi="Verdana"/>
          <w:color w:val="000000" w:themeColor="text1"/>
          <w:sz w:val="16"/>
          <w:szCs w:val="16"/>
          <w:lang w:val="es-CR"/>
        </w:rPr>
        <w:t>de</w:t>
      </w:r>
      <w:r w:rsidR="00AC0B88" w:rsidRPr="00BA2C4F">
        <w:rPr>
          <w:rFonts w:ascii="Verdana" w:eastAsia="Times New Roman" w:hAnsi="Verdana"/>
          <w:color w:val="000000" w:themeColor="text1"/>
          <w:sz w:val="16"/>
          <w:szCs w:val="16"/>
          <w:lang w:val="es-CR"/>
        </w:rPr>
        <w:t xml:space="preserve"> Rafael </w:t>
      </w:r>
      <w:proofErr w:type="spellStart"/>
      <w:r w:rsidR="00AC0B88" w:rsidRPr="00BA2C4F">
        <w:rPr>
          <w:rFonts w:ascii="Verdana" w:eastAsia="Times New Roman" w:hAnsi="Verdana"/>
          <w:color w:val="000000" w:themeColor="text1"/>
          <w:sz w:val="16"/>
          <w:szCs w:val="16"/>
          <w:lang w:val="es-CR"/>
        </w:rPr>
        <w:t>Iturrizaga</w:t>
      </w:r>
      <w:proofErr w:type="spellEnd"/>
      <w:r w:rsidR="00AC0B88" w:rsidRPr="00BA2C4F">
        <w:rPr>
          <w:rFonts w:ascii="Verdana" w:eastAsia="Times New Roman" w:hAnsi="Verdana"/>
          <w:color w:val="000000" w:themeColor="text1"/>
          <w:sz w:val="16"/>
          <w:szCs w:val="16"/>
          <w:lang w:val="es-CR"/>
        </w:rPr>
        <w:t xml:space="preserve"> Arredondo, </w:t>
      </w:r>
      <w:r w:rsidR="006023F0" w:rsidRPr="00BA2C4F">
        <w:rPr>
          <w:rFonts w:ascii="Verdana" w:eastAsia="Times New Roman" w:hAnsi="Verdana"/>
          <w:color w:val="000000" w:themeColor="text1"/>
          <w:sz w:val="16"/>
          <w:szCs w:val="16"/>
          <w:lang w:val="es-CR"/>
        </w:rPr>
        <w:t>f</w:t>
      </w:r>
      <w:r w:rsidR="0009556C" w:rsidRPr="00BA2C4F">
        <w:rPr>
          <w:rFonts w:ascii="Verdana" w:eastAsia="Times New Roman" w:hAnsi="Verdana"/>
          <w:color w:val="000000" w:themeColor="text1"/>
          <w:sz w:val="16"/>
          <w:szCs w:val="16"/>
          <w:lang w:val="es-CR"/>
        </w:rPr>
        <w:t xml:space="preserve">) la sucesión de Martha María Antonieta Berríos </w:t>
      </w:r>
      <w:proofErr w:type="spellStart"/>
      <w:r w:rsidR="0009556C" w:rsidRPr="00BA2C4F">
        <w:rPr>
          <w:rFonts w:ascii="Verdana" w:eastAsia="Times New Roman" w:hAnsi="Verdana"/>
          <w:color w:val="000000" w:themeColor="text1"/>
          <w:sz w:val="16"/>
          <w:szCs w:val="16"/>
          <w:lang w:val="es-CR"/>
        </w:rPr>
        <w:t>Berríos</w:t>
      </w:r>
      <w:proofErr w:type="spellEnd"/>
      <w:r w:rsidR="0009556C" w:rsidRPr="00BA2C4F">
        <w:rPr>
          <w:rFonts w:ascii="Verdana" w:eastAsia="Times New Roman" w:hAnsi="Verdana"/>
          <w:color w:val="000000" w:themeColor="text1"/>
          <w:sz w:val="16"/>
          <w:szCs w:val="16"/>
          <w:lang w:val="es-CR"/>
        </w:rPr>
        <w:t xml:space="preserve">, </w:t>
      </w:r>
      <w:r w:rsidR="006023F0" w:rsidRPr="00BA2C4F">
        <w:rPr>
          <w:rFonts w:ascii="Verdana" w:eastAsia="Times New Roman" w:hAnsi="Verdana"/>
          <w:color w:val="000000" w:themeColor="text1"/>
          <w:sz w:val="16"/>
          <w:szCs w:val="16"/>
          <w:lang w:val="es-CR"/>
        </w:rPr>
        <w:t>g</w:t>
      </w:r>
      <w:r w:rsidR="0009556C" w:rsidRPr="00BA2C4F">
        <w:rPr>
          <w:rFonts w:ascii="Verdana" w:eastAsia="Times New Roman" w:hAnsi="Verdana"/>
          <w:color w:val="000000" w:themeColor="text1"/>
          <w:sz w:val="16"/>
          <w:szCs w:val="16"/>
          <w:lang w:val="es-CR"/>
        </w:rPr>
        <w:t xml:space="preserve">) la sucesión de José Félix </w:t>
      </w:r>
      <w:proofErr w:type="spellStart"/>
      <w:r w:rsidR="0009556C" w:rsidRPr="00BA2C4F">
        <w:rPr>
          <w:rFonts w:ascii="Verdana" w:eastAsia="Times New Roman" w:hAnsi="Verdana"/>
          <w:color w:val="000000" w:themeColor="text1"/>
          <w:sz w:val="16"/>
          <w:szCs w:val="16"/>
          <w:lang w:val="es-CR"/>
        </w:rPr>
        <w:t>Icochea</w:t>
      </w:r>
      <w:proofErr w:type="spellEnd"/>
      <w:r w:rsidR="0009556C" w:rsidRPr="00BA2C4F">
        <w:rPr>
          <w:rFonts w:ascii="Verdana" w:eastAsia="Times New Roman" w:hAnsi="Verdana"/>
          <w:color w:val="000000" w:themeColor="text1"/>
          <w:sz w:val="16"/>
          <w:szCs w:val="16"/>
          <w:lang w:val="es-CR"/>
        </w:rPr>
        <w:t xml:space="preserve"> Arroyo, </w:t>
      </w:r>
      <w:r w:rsidR="00AC0B88" w:rsidRPr="00BA2C4F">
        <w:rPr>
          <w:rFonts w:ascii="Verdana" w:eastAsia="Times New Roman" w:hAnsi="Verdana"/>
          <w:color w:val="000000" w:themeColor="text1"/>
          <w:sz w:val="16"/>
          <w:szCs w:val="16"/>
          <w:lang w:val="es-CR"/>
        </w:rPr>
        <w:t xml:space="preserve">y </w:t>
      </w:r>
      <w:r w:rsidR="006023F0" w:rsidRPr="00BA2C4F">
        <w:rPr>
          <w:rFonts w:ascii="Verdana" w:eastAsia="Times New Roman" w:hAnsi="Verdana"/>
          <w:color w:val="000000" w:themeColor="text1"/>
          <w:sz w:val="16"/>
          <w:szCs w:val="16"/>
          <w:lang w:val="es-CR"/>
        </w:rPr>
        <w:t>h)</w:t>
      </w:r>
      <w:r w:rsidR="00AC0B88" w:rsidRPr="00BA2C4F">
        <w:rPr>
          <w:rFonts w:ascii="Verdana" w:eastAsia="Times New Roman" w:hAnsi="Verdana"/>
          <w:color w:val="000000" w:themeColor="text1"/>
          <w:sz w:val="16"/>
          <w:szCs w:val="16"/>
          <w:lang w:val="es-CR"/>
        </w:rPr>
        <w:t xml:space="preserve"> la sucesión </w:t>
      </w:r>
      <w:r w:rsidR="00014644" w:rsidRPr="00BA2C4F">
        <w:rPr>
          <w:rFonts w:ascii="Verdana" w:eastAsia="Times New Roman" w:hAnsi="Verdana"/>
          <w:color w:val="000000" w:themeColor="text1"/>
          <w:sz w:val="16"/>
          <w:szCs w:val="16"/>
          <w:lang w:val="es-CR"/>
        </w:rPr>
        <w:t>de</w:t>
      </w:r>
      <w:r w:rsidR="00AC0B88" w:rsidRPr="00BA2C4F">
        <w:rPr>
          <w:rFonts w:ascii="Verdana" w:eastAsia="Times New Roman" w:hAnsi="Verdana"/>
          <w:color w:val="000000" w:themeColor="text1"/>
          <w:sz w:val="16"/>
          <w:szCs w:val="16"/>
          <w:lang w:val="es-CR"/>
        </w:rPr>
        <w:t xml:space="preserve"> Abraham Lucero Palomares. </w:t>
      </w:r>
      <w:r w:rsidR="00AC0B88" w:rsidRPr="00BA2C4F">
        <w:rPr>
          <w:rFonts w:ascii="Verdana" w:eastAsia="Times New Roman" w:hAnsi="Verdana"/>
          <w:i/>
          <w:iCs/>
          <w:color w:val="000000" w:themeColor="text1"/>
          <w:sz w:val="16"/>
          <w:szCs w:val="16"/>
          <w:lang w:val="es-CR"/>
        </w:rPr>
        <w:t xml:space="preserve">Cfr. </w:t>
      </w:r>
      <w:r w:rsidR="00CC0D21" w:rsidRPr="00BA2C4F">
        <w:rPr>
          <w:rFonts w:ascii="Verdana" w:eastAsia="Times New Roman" w:hAnsi="Verdana"/>
          <w:color w:val="000000" w:themeColor="text1"/>
          <w:sz w:val="16"/>
          <w:szCs w:val="16"/>
          <w:lang w:val="es-CR"/>
        </w:rPr>
        <w:t xml:space="preserve">Cheque de Gerencia del Banco la Nación de 21 de marzo de 2012 y </w:t>
      </w:r>
      <w:r w:rsidR="00014644" w:rsidRPr="00BA2C4F">
        <w:rPr>
          <w:rFonts w:ascii="Verdana" w:eastAsia="Times New Roman" w:hAnsi="Verdana"/>
          <w:color w:val="000000" w:themeColor="text1"/>
          <w:sz w:val="16"/>
          <w:szCs w:val="16"/>
          <w:lang w:val="es-CR"/>
        </w:rPr>
        <w:t xml:space="preserve">Comprobantes de depósitos judiciales adjuntos al </w:t>
      </w:r>
      <w:r w:rsidR="00014644" w:rsidRPr="00BA2C4F">
        <w:rPr>
          <w:rFonts w:ascii="Verdana" w:hAnsi="Verdana"/>
          <w:color w:val="000000" w:themeColor="text1"/>
          <w:sz w:val="16"/>
          <w:szCs w:val="16"/>
          <w:lang w:val="es-CR"/>
        </w:rPr>
        <w:t xml:space="preserve">Memorándum </w:t>
      </w:r>
      <w:r w:rsidR="00014644" w:rsidRPr="00BA2C4F">
        <w:rPr>
          <w:rFonts w:ascii="Verdana" w:hAnsi="Verdana"/>
          <w:color w:val="000000" w:themeColor="text1"/>
          <w:sz w:val="16"/>
          <w:szCs w:val="16"/>
        </w:rPr>
        <w:t>No</w:t>
      </w:r>
      <w:r w:rsidR="00014644" w:rsidRPr="00BA2C4F">
        <w:rPr>
          <w:rFonts w:ascii="Verdana" w:hAnsi="Verdana"/>
          <w:color w:val="000000" w:themeColor="text1"/>
          <w:sz w:val="16"/>
          <w:szCs w:val="16"/>
          <w:lang w:val="es-CR"/>
        </w:rPr>
        <w:t xml:space="preserve">. </w:t>
      </w:r>
      <w:r w:rsidR="00014644" w:rsidRPr="00BA2C4F">
        <w:rPr>
          <w:rFonts w:ascii="Verdana" w:hAnsi="Verdana"/>
          <w:color w:val="000000" w:themeColor="text1"/>
          <w:sz w:val="16"/>
          <w:szCs w:val="16"/>
        </w:rPr>
        <w:t xml:space="preserve">00417-2016-CG/FI y a la Carta No. 00149-2013-CG/FI-TES </w:t>
      </w:r>
      <w:r w:rsidR="00014644" w:rsidRPr="00BA2C4F">
        <w:rPr>
          <w:rFonts w:ascii="Verdana" w:hAnsi="Verdana"/>
          <w:color w:val="000000" w:themeColor="text1"/>
          <w:sz w:val="16"/>
          <w:szCs w:val="16"/>
          <w:lang w:val="es-CR"/>
        </w:rPr>
        <w:t>de la Contraloría General de la República de 19 de abril de 2016 y 16 de diciembre de 2013, anexos al informe estatal de 4 de mayo de 2016.</w:t>
      </w:r>
    </w:p>
  </w:footnote>
  <w:footnote w:id="23">
    <w:p w14:paraId="6DF46C76" w14:textId="58136132" w:rsidR="00530706" w:rsidRPr="00BA2C4F" w:rsidRDefault="00530706" w:rsidP="00E37D2D">
      <w:pPr>
        <w:pStyle w:val="Textonotapie"/>
        <w:jc w:val="both"/>
        <w:rPr>
          <w:rFonts w:ascii="Verdana" w:hAnsi="Verdana"/>
          <w:color w:val="000000" w:themeColor="text1"/>
          <w:sz w:val="16"/>
          <w:szCs w:val="16"/>
          <w:lang w:val="es-CR"/>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00CD0DC1" w:rsidRPr="00BA2C4F">
        <w:rPr>
          <w:rFonts w:ascii="Verdana" w:hAnsi="Verdana"/>
          <w:color w:val="000000" w:themeColor="text1"/>
          <w:sz w:val="16"/>
          <w:szCs w:val="16"/>
          <w:lang w:val="es-CR"/>
        </w:rPr>
        <w:tab/>
      </w:r>
      <w:r w:rsidRPr="00BA2C4F">
        <w:rPr>
          <w:rFonts w:ascii="Verdana" w:hAnsi="Verdana"/>
          <w:color w:val="000000" w:themeColor="text1"/>
          <w:sz w:val="16"/>
          <w:szCs w:val="16"/>
          <w:lang w:val="es-CR"/>
        </w:rPr>
        <w:t xml:space="preserve">Observaciones </w:t>
      </w:r>
      <w:r w:rsidR="003E2234">
        <w:rPr>
          <w:rFonts w:ascii="Verdana" w:hAnsi="Verdana"/>
          <w:color w:val="000000" w:themeColor="text1"/>
          <w:sz w:val="16"/>
          <w:szCs w:val="16"/>
          <w:lang w:val="es-CR"/>
        </w:rPr>
        <w:t>presentadas por</w:t>
      </w:r>
      <w:r w:rsidR="003E2234" w:rsidRPr="00BA2C4F">
        <w:rPr>
          <w:rFonts w:ascii="Verdana" w:hAnsi="Verdana"/>
          <w:color w:val="000000" w:themeColor="text1"/>
          <w:sz w:val="20"/>
          <w:lang w:val="es-ES"/>
        </w:rPr>
        <w:t xml:space="preserve"> </w:t>
      </w:r>
      <w:r w:rsidR="003E2234" w:rsidRPr="003E2234">
        <w:rPr>
          <w:rFonts w:ascii="Verdana" w:hAnsi="Verdana"/>
          <w:color w:val="000000" w:themeColor="text1"/>
          <w:sz w:val="16"/>
          <w:szCs w:val="16"/>
          <w:lang w:val="es-ES"/>
        </w:rPr>
        <w:t>el interviniente común</w:t>
      </w:r>
      <w:r w:rsidR="003E2234">
        <w:rPr>
          <w:rFonts w:ascii="Verdana" w:hAnsi="Verdana"/>
          <w:color w:val="000000" w:themeColor="text1"/>
          <w:sz w:val="20"/>
          <w:lang w:val="es-ES"/>
        </w:rPr>
        <w:t xml:space="preserve"> </w:t>
      </w:r>
      <w:r w:rsidR="003E2234" w:rsidRPr="003E2234">
        <w:rPr>
          <w:rFonts w:ascii="Verdana" w:hAnsi="Verdana"/>
          <w:bCs/>
          <w:color w:val="000000" w:themeColor="text1"/>
          <w:sz w:val="16"/>
          <w:szCs w:val="16"/>
          <w:lang w:val="es-ES"/>
        </w:rPr>
        <w:t xml:space="preserve">Ricardo </w:t>
      </w:r>
      <w:proofErr w:type="spellStart"/>
      <w:r w:rsidR="003E2234" w:rsidRPr="003E2234">
        <w:rPr>
          <w:rFonts w:ascii="Verdana" w:hAnsi="Verdana"/>
          <w:bCs/>
          <w:color w:val="000000" w:themeColor="text1"/>
          <w:sz w:val="16"/>
          <w:szCs w:val="16"/>
          <w:lang w:val="es-ES"/>
        </w:rPr>
        <w:t>Chapoñán</w:t>
      </w:r>
      <w:proofErr w:type="spellEnd"/>
      <w:r w:rsidR="003E2234" w:rsidRPr="003E2234">
        <w:rPr>
          <w:rFonts w:ascii="Verdana" w:hAnsi="Verdana"/>
          <w:bCs/>
          <w:color w:val="000000" w:themeColor="text1"/>
          <w:sz w:val="16"/>
          <w:szCs w:val="16"/>
          <w:lang w:val="es-ES"/>
        </w:rPr>
        <w:t xml:space="preserve"> Prada</w:t>
      </w:r>
      <w:r w:rsidR="003E2234" w:rsidRPr="003E2234">
        <w:rPr>
          <w:rFonts w:ascii="Verdana" w:hAnsi="Verdana"/>
          <w:color w:val="000000" w:themeColor="text1"/>
          <w:sz w:val="16"/>
          <w:szCs w:val="16"/>
          <w:lang w:val="es-CR"/>
        </w:rPr>
        <w:t xml:space="preserve"> el </w:t>
      </w:r>
      <w:r w:rsidRPr="003E2234">
        <w:rPr>
          <w:rFonts w:ascii="Verdana" w:hAnsi="Verdana"/>
          <w:color w:val="000000" w:themeColor="text1"/>
          <w:sz w:val="16"/>
          <w:szCs w:val="16"/>
          <w:lang w:val="es-CR"/>
        </w:rPr>
        <w:t>7</w:t>
      </w:r>
      <w:r w:rsidRPr="00BA2C4F">
        <w:rPr>
          <w:rFonts w:ascii="Verdana" w:hAnsi="Verdana"/>
          <w:color w:val="000000" w:themeColor="text1"/>
          <w:sz w:val="16"/>
          <w:szCs w:val="16"/>
          <w:lang w:val="es-CR"/>
        </w:rPr>
        <w:t xml:space="preserve"> de julio de 201</w:t>
      </w:r>
      <w:r w:rsidR="0003399F" w:rsidRPr="00BA2C4F">
        <w:rPr>
          <w:rFonts w:ascii="Verdana" w:hAnsi="Verdana"/>
          <w:color w:val="000000" w:themeColor="text1"/>
          <w:sz w:val="16"/>
          <w:szCs w:val="16"/>
          <w:lang w:val="es-CR"/>
        </w:rPr>
        <w:t>6.</w:t>
      </w:r>
    </w:p>
  </w:footnote>
  <w:footnote w:id="24">
    <w:p w14:paraId="121C30DD" w14:textId="79632E4A" w:rsidR="00C7532F" w:rsidRPr="00BA2C4F" w:rsidRDefault="00C7532F"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t xml:space="preserve">Observaciones </w:t>
      </w:r>
      <w:r w:rsidR="003E2234">
        <w:rPr>
          <w:rFonts w:ascii="Verdana" w:hAnsi="Verdana"/>
          <w:color w:val="000000" w:themeColor="text1"/>
          <w:sz w:val="16"/>
          <w:szCs w:val="16"/>
        </w:rPr>
        <w:t xml:space="preserve">presentadas por </w:t>
      </w:r>
      <w:r w:rsidR="003E2234">
        <w:rPr>
          <w:rFonts w:ascii="Verdana" w:hAnsi="Verdana"/>
          <w:color w:val="000000" w:themeColor="text1"/>
          <w:sz w:val="16"/>
          <w:szCs w:val="16"/>
          <w:lang w:val="es-ES"/>
        </w:rPr>
        <w:t xml:space="preserve">presentados por los intervinientes comunes </w:t>
      </w:r>
      <w:r w:rsidR="003E2234" w:rsidRPr="00BA2C4F">
        <w:rPr>
          <w:rFonts w:ascii="Verdana" w:hAnsi="Verdana"/>
          <w:color w:val="000000" w:themeColor="text1"/>
          <w:sz w:val="16"/>
          <w:szCs w:val="16"/>
          <w:lang w:val="es-ES"/>
        </w:rPr>
        <w:t>Javier Mujica Petit y Julio C</w:t>
      </w:r>
      <w:r w:rsidR="003E2234" w:rsidRPr="00D45BAF">
        <w:rPr>
          <w:rFonts w:ascii="Verdana" w:hAnsi="Verdana"/>
          <w:color w:val="000000" w:themeColor="text1"/>
          <w:sz w:val="16"/>
          <w:szCs w:val="16"/>
          <w:lang w:val="es-ES"/>
        </w:rPr>
        <w:t>é</w:t>
      </w:r>
      <w:r w:rsidR="003E2234" w:rsidRPr="00BA2C4F">
        <w:rPr>
          <w:rFonts w:ascii="Verdana" w:hAnsi="Verdana"/>
          <w:color w:val="000000" w:themeColor="text1"/>
          <w:sz w:val="16"/>
          <w:szCs w:val="16"/>
          <w:lang w:val="es-ES"/>
        </w:rPr>
        <w:t xml:space="preserve">sar Borrero Briceño </w:t>
      </w:r>
      <w:r w:rsidR="003E2234">
        <w:rPr>
          <w:rFonts w:ascii="Verdana" w:hAnsi="Verdana"/>
          <w:color w:val="000000" w:themeColor="text1"/>
          <w:sz w:val="16"/>
          <w:szCs w:val="16"/>
          <w:lang w:val="es-ES"/>
        </w:rPr>
        <w:t xml:space="preserve">el </w:t>
      </w:r>
      <w:r w:rsidRPr="00BA2C4F">
        <w:rPr>
          <w:rFonts w:ascii="Verdana" w:hAnsi="Verdana"/>
          <w:color w:val="000000" w:themeColor="text1"/>
          <w:sz w:val="16"/>
          <w:szCs w:val="16"/>
        </w:rPr>
        <w:t>1</w:t>
      </w:r>
      <w:r w:rsidR="00D95B0F" w:rsidRPr="00BA2C4F">
        <w:rPr>
          <w:rFonts w:ascii="Verdana" w:hAnsi="Verdana"/>
          <w:color w:val="000000" w:themeColor="text1"/>
          <w:sz w:val="16"/>
          <w:szCs w:val="16"/>
        </w:rPr>
        <w:t>9</w:t>
      </w:r>
      <w:r w:rsidRPr="00BA2C4F">
        <w:rPr>
          <w:rFonts w:ascii="Verdana" w:hAnsi="Verdana"/>
          <w:color w:val="000000" w:themeColor="text1"/>
          <w:sz w:val="16"/>
          <w:szCs w:val="16"/>
        </w:rPr>
        <w:t xml:space="preserve"> de octubre de 202</w:t>
      </w:r>
      <w:r w:rsidR="0003399F" w:rsidRPr="00BA2C4F">
        <w:rPr>
          <w:rFonts w:ascii="Verdana" w:hAnsi="Verdana"/>
          <w:color w:val="000000" w:themeColor="text1"/>
          <w:sz w:val="16"/>
          <w:szCs w:val="16"/>
        </w:rPr>
        <w:t>0.</w:t>
      </w:r>
    </w:p>
  </w:footnote>
  <w:footnote w:id="25">
    <w:p w14:paraId="0D42D07A" w14:textId="21D49EB5" w:rsidR="00B2474E" w:rsidRPr="00BA2C4F" w:rsidRDefault="00B2474E"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t xml:space="preserve">Observaciones </w:t>
      </w:r>
      <w:r w:rsidR="003E2234">
        <w:rPr>
          <w:rFonts w:ascii="Verdana" w:hAnsi="Verdana"/>
          <w:color w:val="000000" w:themeColor="text1"/>
          <w:sz w:val="16"/>
          <w:szCs w:val="16"/>
        </w:rPr>
        <w:t>p</w:t>
      </w:r>
      <w:proofErr w:type="spellStart"/>
      <w:r w:rsidR="003E2234">
        <w:rPr>
          <w:rFonts w:ascii="Verdana" w:hAnsi="Verdana"/>
          <w:color w:val="000000" w:themeColor="text1"/>
          <w:sz w:val="16"/>
          <w:szCs w:val="16"/>
          <w:lang w:val="es-ES"/>
        </w:rPr>
        <w:t>resentadas</w:t>
      </w:r>
      <w:proofErr w:type="spellEnd"/>
      <w:r w:rsidR="003E2234">
        <w:rPr>
          <w:rFonts w:ascii="Verdana" w:hAnsi="Verdana"/>
          <w:color w:val="000000" w:themeColor="text1"/>
          <w:sz w:val="16"/>
          <w:szCs w:val="16"/>
          <w:lang w:val="es-ES"/>
        </w:rPr>
        <w:t xml:space="preserve"> por los intervinientes comunes </w:t>
      </w:r>
      <w:r w:rsidR="003E2234" w:rsidRPr="00BA2C4F">
        <w:rPr>
          <w:rFonts w:ascii="Verdana" w:hAnsi="Verdana"/>
          <w:color w:val="000000" w:themeColor="text1"/>
          <w:sz w:val="16"/>
          <w:szCs w:val="16"/>
          <w:lang w:val="es-ES"/>
        </w:rPr>
        <w:t>Javier Mujica Petit y Julio C</w:t>
      </w:r>
      <w:r w:rsidR="003E2234" w:rsidRPr="00D45BAF">
        <w:rPr>
          <w:rFonts w:ascii="Verdana" w:hAnsi="Verdana"/>
          <w:color w:val="000000" w:themeColor="text1"/>
          <w:sz w:val="16"/>
          <w:szCs w:val="16"/>
          <w:lang w:val="es-ES"/>
        </w:rPr>
        <w:t>é</w:t>
      </w:r>
      <w:r w:rsidR="003E2234" w:rsidRPr="00BA2C4F">
        <w:rPr>
          <w:rFonts w:ascii="Verdana" w:hAnsi="Verdana"/>
          <w:color w:val="000000" w:themeColor="text1"/>
          <w:sz w:val="16"/>
          <w:szCs w:val="16"/>
          <w:lang w:val="es-ES"/>
        </w:rPr>
        <w:t xml:space="preserve">sar Borrero Briceño </w:t>
      </w:r>
      <w:r w:rsidR="003E2234">
        <w:rPr>
          <w:rFonts w:ascii="Verdana" w:hAnsi="Verdana"/>
          <w:color w:val="000000" w:themeColor="text1"/>
          <w:sz w:val="16"/>
          <w:szCs w:val="16"/>
          <w:lang w:val="es-ES"/>
        </w:rPr>
        <w:t xml:space="preserve">el </w:t>
      </w:r>
      <w:r w:rsidRPr="00BA2C4F">
        <w:rPr>
          <w:rFonts w:ascii="Verdana" w:hAnsi="Verdana"/>
          <w:color w:val="000000" w:themeColor="text1"/>
          <w:sz w:val="16"/>
          <w:szCs w:val="16"/>
        </w:rPr>
        <w:t>4 noviembre de 202</w:t>
      </w:r>
      <w:r w:rsidR="0003399F" w:rsidRPr="00BA2C4F">
        <w:rPr>
          <w:rFonts w:ascii="Verdana" w:hAnsi="Verdana"/>
          <w:color w:val="000000" w:themeColor="text1"/>
          <w:sz w:val="16"/>
          <w:szCs w:val="16"/>
        </w:rPr>
        <w:t xml:space="preserve">0. </w:t>
      </w:r>
    </w:p>
  </w:footnote>
  <w:footnote w:id="26">
    <w:p w14:paraId="50569072" w14:textId="5419F3ED" w:rsidR="00CD0DC1" w:rsidRPr="00BA2C4F" w:rsidRDefault="00CD0DC1"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color w:val="000000" w:themeColor="text1"/>
          <w:sz w:val="16"/>
          <w:szCs w:val="16"/>
          <w:lang w:val="es-ES"/>
        </w:rPr>
        <w:t>En febrero de 2018</w:t>
      </w:r>
      <w:r w:rsidR="0003399F"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 xml:space="preserve">el Estado remitió dos oficios emitidos por la </w:t>
      </w:r>
      <w:r w:rsidR="0003399F" w:rsidRPr="00BA2C4F">
        <w:rPr>
          <w:rFonts w:ascii="Verdana" w:hAnsi="Verdana"/>
          <w:color w:val="000000" w:themeColor="text1"/>
          <w:sz w:val="16"/>
          <w:szCs w:val="16"/>
          <w:lang w:val="es-ES"/>
        </w:rPr>
        <w:t xml:space="preserve">Procuraduría Pública de la </w:t>
      </w:r>
      <w:r w:rsidRPr="00BA2C4F">
        <w:rPr>
          <w:rFonts w:ascii="Verdana" w:hAnsi="Verdana"/>
          <w:color w:val="000000" w:themeColor="text1"/>
          <w:sz w:val="16"/>
          <w:szCs w:val="16"/>
          <w:lang w:val="es-ES"/>
        </w:rPr>
        <w:t xml:space="preserve">Contraloría </w:t>
      </w:r>
      <w:r w:rsidR="0003399F" w:rsidRPr="00BA2C4F">
        <w:rPr>
          <w:rFonts w:ascii="Verdana" w:hAnsi="Verdana"/>
          <w:color w:val="000000" w:themeColor="text1"/>
          <w:sz w:val="16"/>
          <w:szCs w:val="16"/>
          <w:lang w:val="es-ES"/>
        </w:rPr>
        <w:t xml:space="preserve">General en </w:t>
      </w:r>
      <w:r w:rsidRPr="00BA2C4F">
        <w:rPr>
          <w:rFonts w:ascii="Verdana" w:hAnsi="Verdana"/>
          <w:color w:val="000000" w:themeColor="text1"/>
          <w:sz w:val="16"/>
          <w:szCs w:val="16"/>
          <w:lang w:val="es-ES"/>
        </w:rPr>
        <w:t>esa fecha en los que se indica que, mediante depósitos judiciales y a cuenta, había pagado S/. 20</w:t>
      </w:r>
      <w:r w:rsidR="00037A3C" w:rsidRPr="00BA2C4F">
        <w:rPr>
          <w:rFonts w:ascii="Verdana" w:hAnsi="Verdana"/>
          <w:color w:val="000000" w:themeColor="text1"/>
          <w:sz w:val="16"/>
          <w:szCs w:val="16"/>
          <w:lang w:val="es-ES"/>
        </w:rPr>
        <w:t>’</w:t>
      </w:r>
      <w:r w:rsidRPr="00BA2C4F">
        <w:rPr>
          <w:rFonts w:ascii="Verdana" w:hAnsi="Verdana"/>
          <w:color w:val="000000" w:themeColor="text1"/>
          <w:sz w:val="16"/>
          <w:szCs w:val="16"/>
          <w:lang w:val="es-ES"/>
        </w:rPr>
        <w:t>885,190.70 durante el 2017, lo que sumado a los pagos parciales realizados desde el 2010 constituiría un abono total de S/.109</w:t>
      </w:r>
      <w:r w:rsidR="00FB3D61" w:rsidRPr="00BA2C4F">
        <w:rPr>
          <w:rFonts w:ascii="Verdana" w:hAnsi="Verdana"/>
          <w:color w:val="000000" w:themeColor="text1"/>
          <w:sz w:val="16"/>
          <w:szCs w:val="16"/>
          <w:lang w:val="es-ES"/>
        </w:rPr>
        <w:t>’</w:t>
      </w:r>
      <w:r w:rsidRPr="00BA2C4F">
        <w:rPr>
          <w:rFonts w:ascii="Verdana" w:hAnsi="Verdana"/>
          <w:color w:val="000000" w:themeColor="text1"/>
          <w:sz w:val="16"/>
          <w:szCs w:val="16"/>
          <w:lang w:val="es-ES"/>
        </w:rPr>
        <w:t>438</w:t>
      </w:r>
      <w:r w:rsidR="00FB3D61" w:rsidRPr="00BA2C4F">
        <w:rPr>
          <w:rFonts w:ascii="Verdana" w:hAnsi="Verdana"/>
          <w:color w:val="000000" w:themeColor="text1"/>
          <w:sz w:val="16"/>
          <w:szCs w:val="16"/>
          <w:lang w:val="es-ES"/>
        </w:rPr>
        <w:t xml:space="preserve">, </w:t>
      </w:r>
      <w:r w:rsidRPr="00BA2C4F">
        <w:rPr>
          <w:rFonts w:ascii="Verdana" w:hAnsi="Verdana"/>
          <w:color w:val="000000" w:themeColor="text1"/>
          <w:sz w:val="16"/>
          <w:szCs w:val="16"/>
          <w:lang w:val="es-ES"/>
        </w:rPr>
        <w:t xml:space="preserve">568.13. </w:t>
      </w:r>
      <w:r w:rsidRPr="00BA2C4F">
        <w:rPr>
          <w:rFonts w:ascii="Verdana" w:hAnsi="Verdana"/>
          <w:bCs/>
          <w:iCs/>
          <w:color w:val="000000" w:themeColor="text1"/>
          <w:sz w:val="16"/>
          <w:szCs w:val="16"/>
          <w:lang w:val="es-ES"/>
        </w:rPr>
        <w:t>En junio de 2020, el Estado indicó que “v</w:t>
      </w:r>
      <w:r w:rsidRPr="00BA2C4F">
        <w:rPr>
          <w:rFonts w:ascii="Verdana" w:hAnsi="Verdana"/>
          <w:bCs/>
          <w:color w:val="000000" w:themeColor="text1"/>
          <w:sz w:val="16"/>
          <w:szCs w:val="16"/>
          <w:lang w:val="es-ES"/>
        </w:rPr>
        <w:t>iene realizando diversas gestiones a fin de dar cumplimiento total al punto resolutivo No.6 de la Sentencia emitida en el presente Caso” y al respecto agregó que “</w:t>
      </w:r>
      <w:r w:rsidRPr="00BA2C4F">
        <w:rPr>
          <w:rFonts w:ascii="Verdana" w:hAnsi="Verdana"/>
          <w:color w:val="000000" w:themeColor="text1"/>
          <w:sz w:val="16"/>
          <w:szCs w:val="16"/>
          <w:lang w:val="es-ES"/>
        </w:rPr>
        <w:t>a la fecha se ha realizado el pago de un monto de S/</w:t>
      </w:r>
      <w:r w:rsidR="00FB3D61" w:rsidRPr="00BA2C4F">
        <w:rPr>
          <w:rFonts w:ascii="Verdana" w:hAnsi="Verdana"/>
          <w:color w:val="000000" w:themeColor="text1"/>
          <w:sz w:val="16"/>
          <w:szCs w:val="16"/>
          <w:lang w:val="es-ES"/>
        </w:rPr>
        <w:t>.</w:t>
      </w:r>
      <w:r w:rsidRPr="00BA2C4F">
        <w:rPr>
          <w:rFonts w:ascii="Verdana" w:hAnsi="Verdana"/>
          <w:color w:val="000000" w:themeColor="text1"/>
          <w:sz w:val="16"/>
          <w:szCs w:val="16"/>
          <w:lang w:val="es-ES"/>
        </w:rPr>
        <w:t>136</w:t>
      </w:r>
      <w:r w:rsidR="00FB3D61" w:rsidRPr="00BA2C4F">
        <w:rPr>
          <w:rFonts w:ascii="Verdana" w:hAnsi="Verdana"/>
          <w:color w:val="000000" w:themeColor="text1"/>
          <w:sz w:val="16"/>
          <w:szCs w:val="16"/>
          <w:lang w:val="es-ES"/>
        </w:rPr>
        <w:t>’</w:t>
      </w:r>
      <w:r w:rsidRPr="00BA2C4F">
        <w:rPr>
          <w:rFonts w:ascii="Verdana" w:hAnsi="Verdana"/>
          <w:color w:val="000000" w:themeColor="text1"/>
          <w:sz w:val="16"/>
          <w:szCs w:val="16"/>
          <w:lang w:val="es-ES"/>
        </w:rPr>
        <w:t xml:space="preserve">575,232.18 […] que al tipo de cambio de la fecha en que se </w:t>
      </w:r>
      <w:r w:rsidR="00FB3D61" w:rsidRPr="00BA2C4F">
        <w:rPr>
          <w:rFonts w:ascii="Verdana" w:hAnsi="Verdana"/>
          <w:color w:val="000000" w:themeColor="text1"/>
          <w:sz w:val="16"/>
          <w:szCs w:val="16"/>
          <w:lang w:val="es-ES"/>
        </w:rPr>
        <w:t>efectuó</w:t>
      </w:r>
      <w:r w:rsidRPr="00BA2C4F">
        <w:rPr>
          <w:rFonts w:ascii="Verdana" w:hAnsi="Verdana"/>
          <w:color w:val="000000" w:themeColor="text1"/>
          <w:sz w:val="16"/>
          <w:szCs w:val="16"/>
          <w:lang w:val="es-ES"/>
        </w:rPr>
        <w:t>́ asciende a $39</w:t>
      </w:r>
      <w:r w:rsidR="00FB3D61" w:rsidRPr="00BA2C4F">
        <w:rPr>
          <w:rFonts w:ascii="Verdana" w:hAnsi="Verdana"/>
          <w:color w:val="000000" w:themeColor="text1"/>
          <w:sz w:val="16"/>
          <w:szCs w:val="16"/>
          <w:lang w:val="es-ES"/>
        </w:rPr>
        <w:t>’</w:t>
      </w:r>
      <w:r w:rsidRPr="00BA2C4F">
        <w:rPr>
          <w:rFonts w:ascii="Verdana" w:hAnsi="Verdana"/>
          <w:color w:val="000000" w:themeColor="text1"/>
          <w:sz w:val="16"/>
          <w:szCs w:val="16"/>
          <w:lang w:val="es-ES"/>
        </w:rPr>
        <w:t xml:space="preserve">623,465.85 (treinta y nueve millones seiscientos </w:t>
      </w:r>
      <w:r w:rsidR="00FB3D61" w:rsidRPr="00BA2C4F">
        <w:rPr>
          <w:rFonts w:ascii="Verdana" w:hAnsi="Verdana"/>
          <w:color w:val="000000" w:themeColor="text1"/>
          <w:sz w:val="16"/>
          <w:szCs w:val="16"/>
          <w:lang w:val="es-ES"/>
        </w:rPr>
        <w:t>veintitrés</w:t>
      </w:r>
      <w:r w:rsidRPr="00BA2C4F">
        <w:rPr>
          <w:rFonts w:ascii="Verdana" w:hAnsi="Verdana"/>
          <w:color w:val="000000" w:themeColor="text1"/>
          <w:sz w:val="16"/>
          <w:szCs w:val="16"/>
          <w:lang w:val="es-ES"/>
        </w:rPr>
        <w:t xml:space="preserve"> mil cuatrocientos sesenta y cinco y 85/100 </w:t>
      </w:r>
      <w:r w:rsidR="00FB3D61" w:rsidRPr="00BA2C4F">
        <w:rPr>
          <w:rFonts w:ascii="Verdana" w:hAnsi="Verdana"/>
          <w:color w:val="000000" w:themeColor="text1"/>
          <w:sz w:val="16"/>
          <w:szCs w:val="16"/>
          <w:lang w:val="es-ES"/>
        </w:rPr>
        <w:t>dólares</w:t>
      </w:r>
      <w:r w:rsidRPr="00BA2C4F">
        <w:rPr>
          <w:rFonts w:ascii="Verdana" w:hAnsi="Verdana"/>
          <w:color w:val="000000" w:themeColor="text1"/>
          <w:sz w:val="16"/>
          <w:szCs w:val="16"/>
          <w:lang w:val="es-ES"/>
        </w:rPr>
        <w:t xml:space="preserve">)”. </w:t>
      </w:r>
      <w:r w:rsidRPr="00BA2C4F">
        <w:rPr>
          <w:rFonts w:ascii="Verdana" w:hAnsi="Verdana"/>
          <w:i/>
          <w:iCs/>
          <w:color w:val="000000" w:themeColor="text1"/>
          <w:sz w:val="16"/>
          <w:szCs w:val="16"/>
        </w:rPr>
        <w:t xml:space="preserve">Cfr. </w:t>
      </w:r>
      <w:r w:rsidRPr="00BA2C4F">
        <w:rPr>
          <w:rFonts w:ascii="Verdana" w:hAnsi="Verdana"/>
          <w:color w:val="000000" w:themeColor="text1"/>
          <w:sz w:val="16"/>
          <w:szCs w:val="16"/>
        </w:rPr>
        <w:t>Oficio</w:t>
      </w:r>
      <w:r w:rsidRPr="00BA2C4F">
        <w:rPr>
          <w:rFonts w:ascii="Verdana" w:hAnsi="Verdana"/>
          <w:color w:val="000000" w:themeColor="text1"/>
          <w:sz w:val="16"/>
          <w:szCs w:val="16"/>
          <w:lang w:val="es-CR"/>
        </w:rPr>
        <w:t>s</w:t>
      </w:r>
      <w:r w:rsidRPr="00BA2C4F">
        <w:rPr>
          <w:rFonts w:ascii="Verdana" w:hAnsi="Verdana"/>
          <w:color w:val="000000" w:themeColor="text1"/>
          <w:sz w:val="16"/>
          <w:szCs w:val="16"/>
        </w:rPr>
        <w:t xml:space="preserve"> N</w:t>
      </w:r>
      <w:r w:rsidRPr="00BA2C4F">
        <w:rPr>
          <w:rFonts w:ascii="Verdana" w:hAnsi="Verdana"/>
          <w:color w:val="000000" w:themeColor="text1"/>
          <w:sz w:val="16"/>
          <w:szCs w:val="16"/>
          <w:lang w:val="es-CR"/>
        </w:rPr>
        <w:t xml:space="preserve">o. </w:t>
      </w:r>
      <w:r w:rsidRPr="00BA2C4F">
        <w:rPr>
          <w:rFonts w:ascii="Verdana" w:hAnsi="Verdana"/>
          <w:color w:val="000000" w:themeColor="text1"/>
          <w:sz w:val="16"/>
          <w:szCs w:val="16"/>
        </w:rPr>
        <w:t>00014-2018-C</w:t>
      </w:r>
      <w:r w:rsidRPr="00BA2C4F">
        <w:rPr>
          <w:rFonts w:ascii="Verdana" w:hAnsi="Verdana"/>
          <w:color w:val="000000" w:themeColor="text1"/>
          <w:sz w:val="16"/>
          <w:szCs w:val="16"/>
          <w:lang w:val="es-CR"/>
        </w:rPr>
        <w:t xml:space="preserve">G/PP y </w:t>
      </w:r>
      <w:r w:rsidRPr="00BA2C4F">
        <w:rPr>
          <w:rFonts w:ascii="Verdana" w:hAnsi="Verdana"/>
          <w:color w:val="000000" w:themeColor="text1"/>
          <w:sz w:val="16"/>
          <w:szCs w:val="16"/>
        </w:rPr>
        <w:t>N</w:t>
      </w:r>
      <w:r w:rsidRPr="00BA2C4F">
        <w:rPr>
          <w:rFonts w:ascii="Verdana" w:hAnsi="Verdana"/>
          <w:color w:val="000000" w:themeColor="text1"/>
          <w:sz w:val="16"/>
          <w:szCs w:val="16"/>
          <w:lang w:val="es-CR"/>
        </w:rPr>
        <w:t>o.</w:t>
      </w:r>
      <w:r w:rsidRPr="00BA2C4F">
        <w:rPr>
          <w:rFonts w:ascii="Verdana" w:hAnsi="Verdana"/>
          <w:color w:val="000000" w:themeColor="text1"/>
          <w:sz w:val="16"/>
          <w:szCs w:val="16"/>
        </w:rPr>
        <w:t xml:space="preserve"> 00015-20</w:t>
      </w:r>
      <w:r w:rsidRPr="00BA2C4F">
        <w:rPr>
          <w:rFonts w:ascii="Verdana" w:hAnsi="Verdana"/>
          <w:color w:val="000000" w:themeColor="text1"/>
          <w:sz w:val="16"/>
          <w:szCs w:val="16"/>
          <w:lang w:val="es-CR"/>
        </w:rPr>
        <w:t>1</w:t>
      </w:r>
      <w:r w:rsidRPr="00BA2C4F">
        <w:rPr>
          <w:rFonts w:ascii="Verdana" w:hAnsi="Verdana"/>
          <w:color w:val="000000" w:themeColor="text1"/>
          <w:sz w:val="16"/>
          <w:szCs w:val="16"/>
        </w:rPr>
        <w:t xml:space="preserve">8- </w:t>
      </w:r>
      <w:r w:rsidRPr="00BA2C4F">
        <w:rPr>
          <w:rFonts w:ascii="Verdana" w:hAnsi="Verdana"/>
          <w:color w:val="000000" w:themeColor="text1"/>
          <w:sz w:val="16"/>
          <w:szCs w:val="16"/>
          <w:lang w:val="es-CR"/>
        </w:rPr>
        <w:t xml:space="preserve">CG/PP de la Contraloría General de la República de 2 y 5 de febrero de 2018, anexos al </w:t>
      </w:r>
      <w:r w:rsidR="00FB3D61" w:rsidRPr="00BA2C4F">
        <w:rPr>
          <w:rFonts w:ascii="Verdana" w:hAnsi="Verdana"/>
          <w:color w:val="000000" w:themeColor="text1"/>
          <w:sz w:val="16"/>
          <w:szCs w:val="16"/>
        </w:rPr>
        <w:t>informe</w:t>
      </w:r>
      <w:r w:rsidRPr="00BA2C4F">
        <w:rPr>
          <w:rFonts w:ascii="Verdana" w:hAnsi="Verdana"/>
          <w:color w:val="000000" w:themeColor="text1"/>
          <w:sz w:val="16"/>
          <w:szCs w:val="16"/>
        </w:rPr>
        <w:t xml:space="preserve"> estatal de 16 de febrero de 2018</w:t>
      </w:r>
      <w:r w:rsidRPr="00BA2C4F">
        <w:rPr>
          <w:rFonts w:ascii="Verdana" w:hAnsi="Verdana"/>
          <w:i/>
          <w:iCs/>
          <w:color w:val="000000" w:themeColor="text1"/>
          <w:sz w:val="16"/>
          <w:szCs w:val="16"/>
          <w:lang w:val="es-CR"/>
        </w:rPr>
        <w:t xml:space="preserve">, </w:t>
      </w:r>
      <w:r w:rsidR="008429C6" w:rsidRPr="00BA2C4F">
        <w:rPr>
          <w:rFonts w:ascii="Verdana" w:hAnsi="Verdana"/>
          <w:color w:val="000000" w:themeColor="text1"/>
          <w:sz w:val="16"/>
          <w:szCs w:val="16"/>
          <w:lang w:val="es-CR"/>
        </w:rPr>
        <w:t>e</w:t>
      </w:r>
      <w:r w:rsidRPr="00BA2C4F">
        <w:rPr>
          <w:rFonts w:ascii="Verdana" w:hAnsi="Verdana"/>
          <w:color w:val="000000" w:themeColor="text1"/>
          <w:sz w:val="16"/>
          <w:szCs w:val="16"/>
          <w:lang w:val="es-CR"/>
        </w:rPr>
        <w:t xml:space="preserve"> </w:t>
      </w:r>
      <w:r w:rsidRPr="00BA2C4F">
        <w:rPr>
          <w:rFonts w:ascii="Verdana" w:hAnsi="Verdana"/>
          <w:color w:val="000000" w:themeColor="text1"/>
          <w:sz w:val="16"/>
          <w:szCs w:val="16"/>
        </w:rPr>
        <w:t>Informe estatal de 18 de junio de 2020</w:t>
      </w:r>
      <w:r w:rsidR="00FB3D61" w:rsidRPr="00BA2C4F">
        <w:rPr>
          <w:rFonts w:ascii="Verdana" w:hAnsi="Verdana"/>
          <w:color w:val="000000" w:themeColor="text1"/>
          <w:sz w:val="16"/>
          <w:szCs w:val="16"/>
        </w:rPr>
        <w:t xml:space="preserve">. </w:t>
      </w:r>
    </w:p>
  </w:footnote>
  <w:footnote w:id="27">
    <w:p w14:paraId="15CEA413" w14:textId="10FDBD65" w:rsidR="002F244A" w:rsidRPr="00BA2C4F" w:rsidRDefault="002F244A"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t xml:space="preserve">Observaciones </w:t>
      </w:r>
      <w:r w:rsidR="000F43C7">
        <w:rPr>
          <w:rFonts w:ascii="Verdana" w:hAnsi="Verdana"/>
          <w:color w:val="000000" w:themeColor="text1"/>
          <w:sz w:val="16"/>
          <w:szCs w:val="16"/>
        </w:rPr>
        <w:t>p</w:t>
      </w:r>
      <w:proofErr w:type="spellStart"/>
      <w:r w:rsidR="000F43C7">
        <w:rPr>
          <w:rFonts w:ascii="Verdana" w:hAnsi="Verdana"/>
          <w:color w:val="000000" w:themeColor="text1"/>
          <w:sz w:val="16"/>
          <w:szCs w:val="16"/>
          <w:lang w:val="es-ES"/>
        </w:rPr>
        <w:t>resentadas</w:t>
      </w:r>
      <w:proofErr w:type="spellEnd"/>
      <w:r w:rsidR="000F43C7">
        <w:rPr>
          <w:rFonts w:ascii="Verdana" w:hAnsi="Verdana"/>
          <w:color w:val="000000" w:themeColor="text1"/>
          <w:sz w:val="16"/>
          <w:szCs w:val="16"/>
          <w:lang w:val="es-ES"/>
        </w:rPr>
        <w:t xml:space="preserve"> por los intervinientes comunes </w:t>
      </w:r>
      <w:r w:rsidR="000F43C7" w:rsidRPr="00BA2C4F">
        <w:rPr>
          <w:rFonts w:ascii="Verdana" w:hAnsi="Verdana"/>
          <w:color w:val="000000" w:themeColor="text1"/>
          <w:sz w:val="16"/>
          <w:szCs w:val="16"/>
          <w:lang w:val="es-ES"/>
        </w:rPr>
        <w:t xml:space="preserve">Javier Mujica Petit y Julio </w:t>
      </w:r>
      <w:r w:rsidR="000F43C7" w:rsidRPr="00D45BAF">
        <w:rPr>
          <w:rFonts w:ascii="Verdana" w:hAnsi="Verdana"/>
          <w:color w:val="000000" w:themeColor="text1"/>
          <w:sz w:val="16"/>
          <w:szCs w:val="16"/>
          <w:lang w:val="es-ES"/>
        </w:rPr>
        <w:t>César</w:t>
      </w:r>
      <w:r w:rsidR="000F43C7" w:rsidRPr="00BA2C4F">
        <w:rPr>
          <w:rFonts w:ascii="Verdana" w:hAnsi="Verdana"/>
          <w:color w:val="000000" w:themeColor="text1"/>
          <w:sz w:val="16"/>
          <w:szCs w:val="16"/>
          <w:lang w:val="es-ES"/>
        </w:rPr>
        <w:t xml:space="preserve"> Borrero Briceño </w:t>
      </w:r>
      <w:r w:rsidR="000F43C7">
        <w:rPr>
          <w:rFonts w:ascii="Verdana" w:hAnsi="Verdana"/>
          <w:color w:val="000000" w:themeColor="text1"/>
          <w:sz w:val="16"/>
          <w:szCs w:val="16"/>
          <w:lang w:val="es-ES"/>
        </w:rPr>
        <w:t xml:space="preserve">el </w:t>
      </w:r>
      <w:r w:rsidRPr="00BA2C4F">
        <w:rPr>
          <w:rFonts w:ascii="Verdana" w:hAnsi="Verdana"/>
          <w:color w:val="000000" w:themeColor="text1"/>
          <w:sz w:val="16"/>
          <w:szCs w:val="16"/>
        </w:rPr>
        <w:t>19 de octubre de 2020.</w:t>
      </w:r>
    </w:p>
  </w:footnote>
  <w:footnote w:id="28">
    <w:p w14:paraId="333B817C" w14:textId="7EDC310E" w:rsidR="00D73307" w:rsidRPr="00D73307" w:rsidRDefault="00D73307" w:rsidP="00D73307">
      <w:pPr>
        <w:jc w:val="both"/>
        <w:rPr>
          <w:rFonts w:ascii="Verdana" w:eastAsia="Times New Roman" w:hAnsi="Verdana"/>
          <w:color w:val="000000" w:themeColor="text1"/>
          <w:sz w:val="16"/>
          <w:szCs w:val="16"/>
        </w:rPr>
      </w:pPr>
      <w:r w:rsidRPr="00D73307">
        <w:rPr>
          <w:rStyle w:val="Refdenotaalpie"/>
          <w:rFonts w:ascii="Verdana" w:hAnsi="Verdana"/>
          <w:sz w:val="16"/>
          <w:szCs w:val="16"/>
        </w:rPr>
        <w:footnoteRef/>
      </w:r>
      <w:r w:rsidRPr="00D73307">
        <w:rPr>
          <w:rFonts w:ascii="Verdana" w:hAnsi="Verdana"/>
          <w:sz w:val="16"/>
          <w:szCs w:val="16"/>
        </w:rPr>
        <w:t xml:space="preserve"> </w:t>
      </w:r>
      <w:r w:rsidRPr="00D73307">
        <w:rPr>
          <w:rFonts w:ascii="Verdana" w:hAnsi="Verdana"/>
          <w:sz w:val="16"/>
          <w:szCs w:val="16"/>
          <w:lang w:val="es-ES"/>
        </w:rPr>
        <w:tab/>
        <w:t xml:space="preserve">El artículo 31 de la </w:t>
      </w:r>
      <w:r w:rsidRPr="00D73307">
        <w:rPr>
          <w:rFonts w:ascii="Verdana" w:eastAsia="Times New Roman" w:hAnsi="Verdana"/>
          <w:color w:val="000000" w:themeColor="text1"/>
          <w:sz w:val="16"/>
          <w:szCs w:val="16"/>
        </w:rPr>
        <w:t>Convención Interamericana sobre la Protección de los Derechos Humanos de las Personas Mayores</w:t>
      </w:r>
      <w:r w:rsidRPr="00D73307">
        <w:rPr>
          <w:rFonts w:ascii="Verdana" w:eastAsia="Times New Roman" w:hAnsi="Verdana"/>
          <w:color w:val="000000" w:themeColor="text1"/>
          <w:sz w:val="16"/>
          <w:szCs w:val="16"/>
          <w:lang w:val="es-ES"/>
        </w:rPr>
        <w:t>,</w:t>
      </w:r>
      <w:r w:rsidRPr="00D73307">
        <w:rPr>
          <w:rFonts w:ascii="Verdana" w:eastAsia="Times New Roman" w:hAnsi="Verdana"/>
          <w:color w:val="000000" w:themeColor="text1"/>
          <w:sz w:val="16"/>
          <w:szCs w:val="16"/>
        </w:rPr>
        <w:t xml:space="preserve"> </w:t>
      </w:r>
      <w:proofErr w:type="spellStart"/>
      <w:r w:rsidRPr="00D73307">
        <w:rPr>
          <w:rFonts w:ascii="Verdana" w:eastAsia="Times New Roman" w:hAnsi="Verdana"/>
          <w:color w:val="000000" w:themeColor="text1"/>
          <w:sz w:val="16"/>
          <w:szCs w:val="16"/>
        </w:rPr>
        <w:t>eestablece</w:t>
      </w:r>
      <w:proofErr w:type="spellEnd"/>
      <w:r w:rsidRPr="00D73307">
        <w:rPr>
          <w:rFonts w:ascii="Verdana" w:eastAsia="Times New Roman" w:hAnsi="Verdana"/>
          <w:color w:val="000000" w:themeColor="text1"/>
          <w:sz w:val="16"/>
          <w:szCs w:val="16"/>
        </w:rPr>
        <w:t xml:space="preserve"> que </w:t>
      </w:r>
      <w:r w:rsidRPr="00D73307">
        <w:rPr>
          <w:rFonts w:ascii="Verdana" w:eastAsia="Times New Roman" w:hAnsi="Verdana"/>
          <w:color w:val="000000" w:themeColor="text1"/>
          <w:sz w:val="16"/>
          <w:szCs w:val="16"/>
          <w:lang w:val="es-CR"/>
        </w:rPr>
        <w:t xml:space="preserve">los </w:t>
      </w:r>
      <w:r w:rsidRPr="00D73307">
        <w:rPr>
          <w:rFonts w:ascii="Verdana" w:eastAsia="Times New Roman" w:hAnsi="Verdana"/>
          <w:color w:val="000000" w:themeColor="text1"/>
          <w:sz w:val="16"/>
          <w:szCs w:val="16"/>
        </w:rPr>
        <w:t>“</w:t>
      </w:r>
      <w:r w:rsidRPr="00D73307">
        <w:rPr>
          <w:rFonts w:ascii="Verdana" w:eastAsia="Times New Roman" w:hAnsi="Verdana" w:cs="Tahoma"/>
          <w:color w:val="000000" w:themeColor="text1"/>
          <w:sz w:val="16"/>
          <w:szCs w:val="16"/>
          <w:shd w:val="clear" w:color="auto" w:fill="FFFFFF"/>
        </w:rPr>
        <w:t>Estados Parte se comprometen a garantizar la debida diligencia y el tratamiento preferencial a la persona mayor para la tramitación, resolución y ejecución de las decisiones en procesos administrativos y judiciales</w:t>
      </w:r>
      <w:r w:rsidRPr="00D73307">
        <w:rPr>
          <w:rFonts w:ascii="Verdana" w:eastAsia="Times New Roman" w:hAnsi="Verdana" w:cs="Tahoma"/>
          <w:color w:val="000000" w:themeColor="text1"/>
          <w:sz w:val="16"/>
          <w:szCs w:val="16"/>
          <w:shd w:val="clear" w:color="auto" w:fill="FFFFFF"/>
          <w:lang w:val="es-CR"/>
        </w:rPr>
        <w:t>”.</w:t>
      </w:r>
      <w:r w:rsidRPr="00D73307">
        <w:rPr>
          <w:rFonts w:ascii="Verdana" w:eastAsia="Times New Roman" w:hAnsi="Verdana"/>
          <w:color w:val="000000" w:themeColor="text1"/>
          <w:sz w:val="16"/>
          <w:szCs w:val="16"/>
        </w:rPr>
        <w:t xml:space="preserve"> El </w:t>
      </w:r>
      <w:r w:rsidRPr="00D73307">
        <w:rPr>
          <w:rFonts w:ascii="Verdana" w:eastAsia="Times New Roman" w:hAnsi="Verdana"/>
          <w:color w:val="000000" w:themeColor="text1"/>
          <w:sz w:val="16"/>
          <w:szCs w:val="16"/>
          <w:lang w:val="es-ES"/>
        </w:rPr>
        <w:t xml:space="preserve">1 de marzo de 2021 el </w:t>
      </w:r>
      <w:r w:rsidRPr="00D73307">
        <w:rPr>
          <w:rFonts w:ascii="Verdana" w:eastAsia="Times New Roman" w:hAnsi="Verdana"/>
          <w:color w:val="000000" w:themeColor="text1"/>
          <w:sz w:val="16"/>
          <w:szCs w:val="16"/>
        </w:rPr>
        <w:t xml:space="preserve">Estado del Perú </w:t>
      </w:r>
      <w:r w:rsidRPr="00D73307">
        <w:rPr>
          <w:rFonts w:ascii="Verdana" w:eastAsia="Times New Roman" w:hAnsi="Verdana"/>
          <w:color w:val="000000" w:themeColor="text1"/>
          <w:sz w:val="16"/>
          <w:szCs w:val="16"/>
          <w:lang w:val="es-ES"/>
        </w:rPr>
        <w:t xml:space="preserve">depositó el instrumento de adhesión a dicho </w:t>
      </w:r>
      <w:r w:rsidRPr="00D73307">
        <w:rPr>
          <w:rFonts w:ascii="Verdana" w:eastAsia="Times New Roman" w:hAnsi="Verdana"/>
          <w:color w:val="000000" w:themeColor="text1"/>
          <w:sz w:val="16"/>
          <w:szCs w:val="16"/>
        </w:rPr>
        <w:t>tratado.</w:t>
      </w:r>
    </w:p>
  </w:footnote>
  <w:footnote w:id="29">
    <w:p w14:paraId="04EC5721" w14:textId="770BA98E" w:rsidR="00961546" w:rsidRPr="00BA2C4F" w:rsidRDefault="00961546"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i/>
          <w:iCs/>
          <w:color w:val="000000" w:themeColor="text1"/>
          <w:sz w:val="16"/>
          <w:szCs w:val="16"/>
        </w:rPr>
        <w:t xml:space="preserve">Cfr. Caso Muelle Flores Vs. Perú. Excepciones Preliminares, Fondo, Reparaciones y Costas. </w:t>
      </w:r>
      <w:r w:rsidRPr="00BA2C4F">
        <w:rPr>
          <w:rFonts w:ascii="Verdana" w:hAnsi="Verdana"/>
          <w:color w:val="000000" w:themeColor="text1"/>
          <w:sz w:val="16"/>
          <w:szCs w:val="16"/>
        </w:rPr>
        <w:t xml:space="preserve">Sentencia de </w:t>
      </w:r>
      <w:r w:rsidR="0069418D" w:rsidRPr="00BA2C4F">
        <w:rPr>
          <w:rFonts w:ascii="Verdana" w:hAnsi="Verdana"/>
          <w:color w:val="000000" w:themeColor="text1"/>
          <w:sz w:val="16"/>
          <w:szCs w:val="16"/>
        </w:rPr>
        <w:t>6 de marzo de 2019</w:t>
      </w:r>
      <w:r w:rsidR="00370156" w:rsidRPr="00BA2C4F">
        <w:rPr>
          <w:rFonts w:ascii="Verdana" w:hAnsi="Verdana"/>
          <w:color w:val="000000" w:themeColor="text1"/>
          <w:sz w:val="16"/>
          <w:szCs w:val="16"/>
        </w:rPr>
        <w:t xml:space="preserve">. Serie C No. 375, párr. 148. </w:t>
      </w:r>
    </w:p>
  </w:footnote>
  <w:footnote w:id="30">
    <w:p w14:paraId="5CD629E0" w14:textId="29932F03" w:rsidR="002568AF" w:rsidRPr="00BA2C4F" w:rsidRDefault="002568AF" w:rsidP="00E37D2D">
      <w:pPr>
        <w:pStyle w:val="NormalWeb"/>
        <w:spacing w:before="0" w:beforeAutospacing="0" w:after="0" w:afterAutospacing="0"/>
        <w:jc w:val="both"/>
        <w:rPr>
          <w:rFonts w:ascii="Verdana" w:hAnsi="Verdana" w:cs="Helvetica"/>
          <w:color w:val="000000" w:themeColor="text1"/>
          <w:sz w:val="16"/>
          <w:szCs w:val="16"/>
          <w:lang w:val="es-CR"/>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t>La Comisión fue creada mediante la</w:t>
      </w:r>
      <w:r w:rsidRPr="00BA2C4F">
        <w:rPr>
          <w:rFonts w:ascii="Verdana" w:hAnsi="Verdana"/>
          <w:i/>
          <w:iCs/>
          <w:color w:val="000000" w:themeColor="text1"/>
          <w:sz w:val="16"/>
          <w:szCs w:val="16"/>
        </w:rPr>
        <w:t xml:space="preserve"> </w:t>
      </w:r>
      <w:r w:rsidRPr="00BA2C4F">
        <w:rPr>
          <w:rFonts w:ascii="Verdana" w:hAnsi="Verdana"/>
          <w:color w:val="000000" w:themeColor="text1"/>
          <w:sz w:val="16"/>
          <w:szCs w:val="16"/>
        </w:rPr>
        <w:t>Ley No. 30742</w:t>
      </w:r>
      <w:r w:rsidRPr="00BA2C4F">
        <w:rPr>
          <w:rFonts w:ascii="Verdana" w:hAnsi="Verdana"/>
          <w:color w:val="000000" w:themeColor="text1"/>
          <w:sz w:val="16"/>
          <w:szCs w:val="16"/>
          <w:lang w:val="es-CR"/>
        </w:rPr>
        <w:t xml:space="preserve"> de marzo de 2018</w:t>
      </w:r>
      <w:r w:rsidRPr="00BA2C4F">
        <w:rPr>
          <w:rFonts w:ascii="Verdana" w:hAnsi="Verdana"/>
          <w:color w:val="000000" w:themeColor="text1"/>
          <w:sz w:val="16"/>
          <w:szCs w:val="16"/>
        </w:rPr>
        <w:t xml:space="preserve">, </w:t>
      </w:r>
      <w:r w:rsidRPr="00BA2C4F">
        <w:rPr>
          <w:rFonts w:ascii="Verdana" w:hAnsi="Verdana"/>
          <w:color w:val="000000" w:themeColor="text1"/>
          <w:sz w:val="16"/>
          <w:szCs w:val="16"/>
          <w:lang w:val="es-CR"/>
        </w:rPr>
        <w:t>sobre el “</w:t>
      </w:r>
      <w:r w:rsidRPr="00BA2C4F">
        <w:rPr>
          <w:rFonts w:ascii="Verdana" w:hAnsi="Verdana"/>
          <w:color w:val="000000" w:themeColor="text1"/>
          <w:sz w:val="16"/>
          <w:szCs w:val="16"/>
        </w:rPr>
        <w:t xml:space="preserve">Fortalecimiento de la </w:t>
      </w:r>
      <w:proofErr w:type="spellStart"/>
      <w:r w:rsidRPr="00BA2C4F">
        <w:rPr>
          <w:rFonts w:ascii="Verdana" w:hAnsi="Verdana"/>
          <w:color w:val="000000" w:themeColor="text1"/>
          <w:sz w:val="16"/>
          <w:szCs w:val="16"/>
        </w:rPr>
        <w:t>Contraloría</w:t>
      </w:r>
      <w:proofErr w:type="spellEnd"/>
      <w:r w:rsidRPr="00BA2C4F">
        <w:rPr>
          <w:rFonts w:ascii="Verdana" w:hAnsi="Verdana"/>
          <w:color w:val="000000" w:themeColor="text1"/>
          <w:sz w:val="16"/>
          <w:szCs w:val="16"/>
        </w:rPr>
        <w:t xml:space="preserve"> General de la </w:t>
      </w:r>
      <w:proofErr w:type="spellStart"/>
      <w:r w:rsidRPr="00BA2C4F">
        <w:rPr>
          <w:rFonts w:ascii="Verdana" w:hAnsi="Verdana"/>
          <w:color w:val="000000" w:themeColor="text1"/>
          <w:sz w:val="16"/>
          <w:szCs w:val="16"/>
        </w:rPr>
        <w:t>República</w:t>
      </w:r>
      <w:proofErr w:type="spellEnd"/>
      <w:r w:rsidRPr="00BA2C4F">
        <w:rPr>
          <w:rFonts w:ascii="Verdana" w:hAnsi="Verdana"/>
          <w:color w:val="000000" w:themeColor="text1"/>
          <w:sz w:val="16"/>
          <w:szCs w:val="16"/>
        </w:rPr>
        <w:t xml:space="preserve"> y del Sistema Nacional de Control”</w:t>
      </w:r>
      <w:r w:rsidRPr="00BA2C4F">
        <w:rPr>
          <w:rFonts w:ascii="Verdana" w:hAnsi="Verdana"/>
          <w:color w:val="000000" w:themeColor="text1"/>
          <w:sz w:val="16"/>
          <w:szCs w:val="16"/>
          <w:lang w:val="es-CR"/>
        </w:rPr>
        <w:t xml:space="preserve">. </w:t>
      </w:r>
      <w:r w:rsidRPr="00BA2C4F">
        <w:rPr>
          <w:rFonts w:ascii="Verdana" w:hAnsi="Verdana"/>
          <w:i/>
          <w:iCs/>
          <w:color w:val="000000" w:themeColor="text1"/>
          <w:sz w:val="16"/>
          <w:szCs w:val="16"/>
          <w:lang w:val="es-CR"/>
        </w:rPr>
        <w:t xml:space="preserve">Cfr. </w:t>
      </w:r>
      <w:r w:rsidRPr="00BA2C4F">
        <w:rPr>
          <w:rFonts w:ascii="Verdana" w:hAnsi="Verdana" w:cs="Verdana"/>
          <w:color w:val="000000" w:themeColor="text1"/>
          <w:sz w:val="16"/>
          <w:szCs w:val="16"/>
        </w:rPr>
        <w:t xml:space="preserve">Resolución No. 721 del Juzgado Supranacional de la Corte Superior de Justicia de Lima de 12 de octubre de 2020, anexa a las observaciones </w:t>
      </w:r>
      <w:r w:rsidR="0003365A">
        <w:rPr>
          <w:rFonts w:ascii="Verdana" w:hAnsi="Verdana"/>
          <w:color w:val="000000" w:themeColor="text1"/>
          <w:sz w:val="16"/>
          <w:szCs w:val="16"/>
        </w:rPr>
        <w:t>p</w:t>
      </w:r>
      <w:proofErr w:type="spellStart"/>
      <w:r w:rsidR="0003365A">
        <w:rPr>
          <w:rFonts w:ascii="Verdana" w:hAnsi="Verdana"/>
          <w:color w:val="000000" w:themeColor="text1"/>
          <w:sz w:val="16"/>
          <w:szCs w:val="16"/>
          <w:lang w:val="es-ES"/>
        </w:rPr>
        <w:t>resentadas</w:t>
      </w:r>
      <w:proofErr w:type="spellEnd"/>
      <w:r w:rsidR="0003365A">
        <w:rPr>
          <w:rFonts w:ascii="Verdana" w:hAnsi="Verdana"/>
          <w:color w:val="000000" w:themeColor="text1"/>
          <w:sz w:val="16"/>
          <w:szCs w:val="16"/>
          <w:lang w:val="es-ES"/>
        </w:rPr>
        <w:t xml:space="preserve"> por los intervinientes comunes </w:t>
      </w:r>
      <w:r w:rsidR="0003365A" w:rsidRPr="00BA2C4F">
        <w:rPr>
          <w:rFonts w:ascii="Verdana" w:hAnsi="Verdana"/>
          <w:color w:val="000000" w:themeColor="text1"/>
          <w:sz w:val="16"/>
          <w:szCs w:val="16"/>
          <w:lang w:val="es-ES"/>
        </w:rPr>
        <w:t xml:space="preserve">Javier Mujica Petit y Julio </w:t>
      </w:r>
      <w:r w:rsidR="0003365A" w:rsidRPr="00D45BAF">
        <w:rPr>
          <w:rFonts w:ascii="Verdana" w:hAnsi="Verdana"/>
          <w:color w:val="000000" w:themeColor="text1"/>
          <w:sz w:val="16"/>
          <w:szCs w:val="16"/>
          <w:lang w:val="es-ES"/>
        </w:rPr>
        <w:t>César</w:t>
      </w:r>
      <w:r w:rsidR="0003365A" w:rsidRPr="00BA2C4F">
        <w:rPr>
          <w:rFonts w:ascii="Verdana" w:hAnsi="Verdana"/>
          <w:color w:val="000000" w:themeColor="text1"/>
          <w:sz w:val="16"/>
          <w:szCs w:val="16"/>
          <w:lang w:val="es-ES"/>
        </w:rPr>
        <w:t xml:space="preserve"> Borrero Briceño </w:t>
      </w:r>
      <w:r w:rsidR="0003365A">
        <w:rPr>
          <w:rFonts w:ascii="Verdana" w:hAnsi="Verdana" w:cs="Verdana"/>
          <w:color w:val="000000" w:themeColor="text1"/>
          <w:sz w:val="16"/>
          <w:szCs w:val="16"/>
        </w:rPr>
        <w:t xml:space="preserve">el </w:t>
      </w:r>
      <w:r w:rsidRPr="00BA2C4F">
        <w:rPr>
          <w:rFonts w:ascii="Verdana" w:hAnsi="Verdana" w:cs="Verdana"/>
          <w:color w:val="000000" w:themeColor="text1"/>
          <w:sz w:val="16"/>
          <w:szCs w:val="16"/>
        </w:rPr>
        <w:t>4 de noviembre de 202</w:t>
      </w:r>
      <w:r w:rsidR="008429C6" w:rsidRPr="00BA2C4F">
        <w:rPr>
          <w:rFonts w:ascii="Verdana" w:hAnsi="Verdana" w:cs="Verdana"/>
          <w:color w:val="000000" w:themeColor="text1"/>
          <w:sz w:val="16"/>
          <w:szCs w:val="16"/>
        </w:rPr>
        <w:t xml:space="preserve">0. </w:t>
      </w:r>
    </w:p>
  </w:footnote>
  <w:footnote w:id="31">
    <w:p w14:paraId="41DC6537" w14:textId="2E09C75E" w:rsidR="002568AF" w:rsidRPr="00BA2C4F" w:rsidRDefault="002568AF" w:rsidP="00E37D2D">
      <w:pPr>
        <w:pStyle w:val="Textonotapie"/>
        <w:jc w:val="both"/>
        <w:rPr>
          <w:rFonts w:ascii="Verdana"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i/>
          <w:iCs/>
          <w:color w:val="000000" w:themeColor="text1"/>
          <w:sz w:val="16"/>
          <w:szCs w:val="16"/>
        </w:rPr>
        <w:t xml:space="preserve">Cfr. </w:t>
      </w:r>
      <w:r w:rsidRPr="00BA2C4F">
        <w:rPr>
          <w:rFonts w:ascii="Verdana" w:hAnsi="Verdana"/>
          <w:color w:val="000000" w:themeColor="text1"/>
          <w:sz w:val="16"/>
          <w:szCs w:val="16"/>
          <w:lang w:val="es-CO"/>
        </w:rPr>
        <w:t xml:space="preserve">Observaciones </w:t>
      </w:r>
      <w:r w:rsidR="0003365A">
        <w:rPr>
          <w:rFonts w:ascii="Verdana" w:hAnsi="Verdana"/>
          <w:color w:val="000000" w:themeColor="text1"/>
          <w:sz w:val="16"/>
          <w:szCs w:val="16"/>
        </w:rPr>
        <w:t>p</w:t>
      </w:r>
      <w:proofErr w:type="spellStart"/>
      <w:r w:rsidR="0003365A">
        <w:rPr>
          <w:rFonts w:ascii="Verdana" w:hAnsi="Verdana"/>
          <w:color w:val="000000" w:themeColor="text1"/>
          <w:sz w:val="16"/>
          <w:szCs w:val="16"/>
          <w:lang w:val="es-ES"/>
        </w:rPr>
        <w:t>resentadas</w:t>
      </w:r>
      <w:proofErr w:type="spellEnd"/>
      <w:r w:rsidR="0003365A">
        <w:rPr>
          <w:rFonts w:ascii="Verdana" w:hAnsi="Verdana"/>
          <w:color w:val="000000" w:themeColor="text1"/>
          <w:sz w:val="16"/>
          <w:szCs w:val="16"/>
          <w:lang w:val="es-ES"/>
        </w:rPr>
        <w:t xml:space="preserve"> por los intervinientes comunes </w:t>
      </w:r>
      <w:r w:rsidR="0003365A" w:rsidRPr="00BA2C4F">
        <w:rPr>
          <w:rFonts w:ascii="Verdana" w:hAnsi="Verdana"/>
          <w:color w:val="000000" w:themeColor="text1"/>
          <w:sz w:val="16"/>
          <w:szCs w:val="16"/>
          <w:lang w:val="es-ES"/>
        </w:rPr>
        <w:t>Javier Mujica Petit y Julio C</w:t>
      </w:r>
      <w:r w:rsidR="0003365A" w:rsidRPr="00B32BD6">
        <w:rPr>
          <w:rFonts w:ascii="Verdana" w:hAnsi="Verdana"/>
          <w:color w:val="000000" w:themeColor="text1"/>
          <w:sz w:val="16"/>
          <w:szCs w:val="16"/>
          <w:lang w:val="es-ES"/>
        </w:rPr>
        <w:t>é</w:t>
      </w:r>
      <w:r w:rsidR="0003365A" w:rsidRPr="00BA2C4F">
        <w:rPr>
          <w:rFonts w:ascii="Verdana" w:hAnsi="Verdana"/>
          <w:color w:val="000000" w:themeColor="text1"/>
          <w:sz w:val="16"/>
          <w:szCs w:val="16"/>
          <w:lang w:val="es-ES"/>
        </w:rPr>
        <w:t xml:space="preserve">sar Borrero Briceño </w:t>
      </w:r>
      <w:r w:rsidR="0003365A">
        <w:rPr>
          <w:rFonts w:ascii="Verdana" w:hAnsi="Verdana"/>
          <w:color w:val="000000" w:themeColor="text1"/>
          <w:sz w:val="16"/>
          <w:szCs w:val="16"/>
          <w:lang w:val="es-ES"/>
        </w:rPr>
        <w:t xml:space="preserve">el </w:t>
      </w:r>
      <w:r w:rsidRPr="00BA2C4F">
        <w:rPr>
          <w:rFonts w:ascii="Verdana" w:hAnsi="Verdana"/>
          <w:color w:val="000000" w:themeColor="text1"/>
          <w:sz w:val="16"/>
          <w:szCs w:val="16"/>
          <w:lang w:val="es-CO"/>
        </w:rPr>
        <w:t>1</w:t>
      </w:r>
      <w:r w:rsidR="00D95B0F" w:rsidRPr="00BA2C4F">
        <w:rPr>
          <w:rFonts w:ascii="Verdana" w:hAnsi="Verdana"/>
          <w:color w:val="000000" w:themeColor="text1"/>
          <w:sz w:val="16"/>
          <w:szCs w:val="16"/>
          <w:lang w:val="es-CO"/>
        </w:rPr>
        <w:t>9</w:t>
      </w:r>
      <w:r w:rsidRPr="00BA2C4F">
        <w:rPr>
          <w:rFonts w:ascii="Verdana" w:hAnsi="Verdana"/>
          <w:color w:val="000000" w:themeColor="text1"/>
          <w:sz w:val="16"/>
          <w:szCs w:val="16"/>
          <w:lang w:val="es-CO"/>
        </w:rPr>
        <w:t xml:space="preserve"> de octubre de 2020</w:t>
      </w:r>
      <w:r w:rsidR="008429C6" w:rsidRPr="00BA2C4F">
        <w:rPr>
          <w:rFonts w:ascii="Verdana" w:hAnsi="Verdana"/>
          <w:color w:val="000000" w:themeColor="text1"/>
          <w:sz w:val="16"/>
          <w:szCs w:val="16"/>
          <w:lang w:val="es-CO"/>
        </w:rPr>
        <w:t xml:space="preserve">. </w:t>
      </w:r>
    </w:p>
  </w:footnote>
  <w:footnote w:id="32">
    <w:p w14:paraId="297E89CB" w14:textId="73A13CE1" w:rsidR="00CD0DC1" w:rsidRPr="00BA2C4F" w:rsidRDefault="00CD0DC1" w:rsidP="00E37D2D">
      <w:pPr>
        <w:pStyle w:val="Textonotapie"/>
        <w:jc w:val="both"/>
        <w:rPr>
          <w:rFonts w:ascii="Verdana" w:hAnsi="Verdana"/>
          <w:color w:val="000000" w:themeColor="text1"/>
          <w:sz w:val="16"/>
          <w:szCs w:val="16"/>
          <w:lang w:val="es-CO"/>
        </w:rPr>
      </w:pPr>
      <w:r w:rsidRPr="00BA2C4F">
        <w:rPr>
          <w:rStyle w:val="Refdenotaalpie"/>
          <w:rFonts w:ascii="Verdana" w:hAnsi="Verdana"/>
          <w:color w:val="000000" w:themeColor="text1"/>
          <w:sz w:val="16"/>
          <w:szCs w:val="16"/>
          <w:lang w:val="es-CO"/>
        </w:rPr>
        <w:footnoteRef/>
      </w:r>
      <w:r w:rsidRPr="00BA2C4F">
        <w:rPr>
          <w:rFonts w:ascii="Verdana" w:hAnsi="Verdana"/>
          <w:color w:val="000000" w:themeColor="text1"/>
          <w:sz w:val="16"/>
          <w:szCs w:val="16"/>
          <w:lang w:val="es-CO"/>
        </w:rPr>
        <w:t xml:space="preserve"> </w:t>
      </w:r>
      <w:r w:rsidRPr="00BA2C4F">
        <w:rPr>
          <w:rFonts w:ascii="Verdana" w:hAnsi="Verdana"/>
          <w:color w:val="000000" w:themeColor="text1"/>
          <w:sz w:val="16"/>
          <w:szCs w:val="16"/>
          <w:lang w:val="es-CO"/>
        </w:rPr>
        <w:tab/>
        <w:t xml:space="preserve">Observaciones </w:t>
      </w:r>
      <w:r w:rsidR="0003365A">
        <w:rPr>
          <w:rFonts w:ascii="Verdana" w:hAnsi="Verdana"/>
          <w:color w:val="000000" w:themeColor="text1"/>
          <w:sz w:val="16"/>
          <w:szCs w:val="16"/>
        </w:rPr>
        <w:t>p</w:t>
      </w:r>
      <w:proofErr w:type="spellStart"/>
      <w:r w:rsidR="0003365A">
        <w:rPr>
          <w:rFonts w:ascii="Verdana" w:hAnsi="Verdana"/>
          <w:color w:val="000000" w:themeColor="text1"/>
          <w:sz w:val="16"/>
          <w:szCs w:val="16"/>
          <w:lang w:val="es-ES"/>
        </w:rPr>
        <w:t>resentadas</w:t>
      </w:r>
      <w:proofErr w:type="spellEnd"/>
      <w:r w:rsidR="0003365A">
        <w:rPr>
          <w:rFonts w:ascii="Verdana" w:hAnsi="Verdana"/>
          <w:color w:val="000000" w:themeColor="text1"/>
          <w:sz w:val="16"/>
          <w:szCs w:val="16"/>
          <w:lang w:val="es-ES"/>
        </w:rPr>
        <w:t xml:space="preserve"> por los intervinientes comunes </w:t>
      </w:r>
      <w:r w:rsidR="0003365A" w:rsidRPr="00BA2C4F">
        <w:rPr>
          <w:rFonts w:ascii="Verdana" w:hAnsi="Verdana"/>
          <w:color w:val="000000" w:themeColor="text1"/>
          <w:sz w:val="16"/>
          <w:szCs w:val="16"/>
          <w:lang w:val="es-ES"/>
        </w:rPr>
        <w:t>Javier Mujica Petit y Julio C</w:t>
      </w:r>
      <w:r w:rsidR="0003365A" w:rsidRPr="00B32BD6">
        <w:rPr>
          <w:rFonts w:ascii="Verdana" w:hAnsi="Verdana"/>
          <w:color w:val="000000" w:themeColor="text1"/>
          <w:sz w:val="16"/>
          <w:szCs w:val="16"/>
          <w:lang w:val="es-ES"/>
        </w:rPr>
        <w:t>é</w:t>
      </w:r>
      <w:r w:rsidR="0003365A" w:rsidRPr="00BA2C4F">
        <w:rPr>
          <w:rFonts w:ascii="Verdana" w:hAnsi="Verdana"/>
          <w:color w:val="000000" w:themeColor="text1"/>
          <w:sz w:val="16"/>
          <w:szCs w:val="16"/>
          <w:lang w:val="es-ES"/>
        </w:rPr>
        <w:t xml:space="preserve">sar Borrero Briceño </w:t>
      </w:r>
      <w:r w:rsidR="0003365A">
        <w:rPr>
          <w:rFonts w:ascii="Verdana" w:hAnsi="Verdana"/>
          <w:color w:val="000000" w:themeColor="text1"/>
          <w:sz w:val="16"/>
          <w:szCs w:val="16"/>
          <w:lang w:val="es-ES"/>
        </w:rPr>
        <w:t xml:space="preserve">el </w:t>
      </w:r>
      <w:r w:rsidRPr="00BA2C4F">
        <w:rPr>
          <w:rFonts w:ascii="Verdana" w:hAnsi="Verdana"/>
          <w:color w:val="000000" w:themeColor="text1"/>
          <w:sz w:val="16"/>
          <w:szCs w:val="16"/>
          <w:lang w:val="es-CO"/>
        </w:rPr>
        <w:t>1</w:t>
      </w:r>
      <w:r w:rsidR="00D95B0F" w:rsidRPr="00BA2C4F">
        <w:rPr>
          <w:rFonts w:ascii="Verdana" w:hAnsi="Verdana"/>
          <w:color w:val="000000" w:themeColor="text1"/>
          <w:sz w:val="16"/>
          <w:szCs w:val="16"/>
          <w:lang w:val="es-CO"/>
        </w:rPr>
        <w:t>9</w:t>
      </w:r>
      <w:r w:rsidRPr="00BA2C4F">
        <w:rPr>
          <w:rFonts w:ascii="Verdana" w:hAnsi="Verdana"/>
          <w:color w:val="000000" w:themeColor="text1"/>
          <w:sz w:val="16"/>
          <w:szCs w:val="16"/>
          <w:lang w:val="es-CO"/>
        </w:rPr>
        <w:t xml:space="preserve"> de octubre de 202</w:t>
      </w:r>
      <w:r w:rsidR="008429C6" w:rsidRPr="00BA2C4F">
        <w:rPr>
          <w:rFonts w:ascii="Verdana" w:hAnsi="Verdana"/>
          <w:color w:val="000000" w:themeColor="text1"/>
          <w:sz w:val="16"/>
          <w:szCs w:val="16"/>
          <w:lang w:val="es-CO"/>
        </w:rPr>
        <w:t>0.</w:t>
      </w:r>
    </w:p>
  </w:footnote>
  <w:footnote w:id="33">
    <w:p w14:paraId="7679044A" w14:textId="77777777" w:rsidR="00CD0DC1" w:rsidRPr="00BA2C4F" w:rsidRDefault="00CD0DC1" w:rsidP="00E37D2D">
      <w:pPr>
        <w:pStyle w:val="Textonotapie"/>
        <w:jc w:val="both"/>
        <w:rPr>
          <w:rFonts w:ascii="Verdana" w:hAnsi="Verdana"/>
          <w:color w:val="000000" w:themeColor="text1"/>
          <w:sz w:val="16"/>
          <w:szCs w:val="16"/>
          <w:lang w:val="es-CR"/>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i/>
          <w:iCs/>
          <w:color w:val="000000" w:themeColor="text1"/>
          <w:sz w:val="16"/>
          <w:szCs w:val="16"/>
        </w:rPr>
        <w:t>Cfr. Caso Acevedo Buendía y otros (“Cesantes y Jubilados de la Contraloría”) Vs. Perú</w:t>
      </w:r>
      <w:r w:rsidRPr="00BA2C4F">
        <w:rPr>
          <w:rFonts w:ascii="Verdana" w:hAnsi="Verdana"/>
          <w:color w:val="000000" w:themeColor="text1"/>
          <w:sz w:val="16"/>
          <w:szCs w:val="16"/>
        </w:rPr>
        <w:t xml:space="preserve">. </w:t>
      </w:r>
      <w:r w:rsidRPr="00BA2C4F">
        <w:rPr>
          <w:rFonts w:ascii="Verdana" w:hAnsi="Verdana"/>
          <w:i/>
          <w:iCs/>
          <w:color w:val="000000" w:themeColor="text1"/>
          <w:sz w:val="16"/>
          <w:szCs w:val="16"/>
        </w:rPr>
        <w:t xml:space="preserve">Supervisión de cumplimiento de Sentencia. </w:t>
      </w:r>
      <w:r w:rsidRPr="00BA2C4F">
        <w:rPr>
          <w:rFonts w:ascii="Verdana" w:hAnsi="Verdana"/>
          <w:color w:val="000000" w:themeColor="text1"/>
          <w:sz w:val="16"/>
          <w:szCs w:val="16"/>
        </w:rPr>
        <w:t>Resolución de la Corte Interamericana de Derechos Humanos de 28 de enero de 2015, Considerando 29.</w:t>
      </w:r>
    </w:p>
  </w:footnote>
  <w:footnote w:id="34">
    <w:p w14:paraId="1BA67908" w14:textId="77777777" w:rsidR="00CD0DC1" w:rsidRPr="00BA2C4F" w:rsidRDefault="00CD0DC1" w:rsidP="00E37D2D">
      <w:pPr>
        <w:jc w:val="both"/>
        <w:rPr>
          <w:rFonts w:ascii="Verdana" w:eastAsia="Times New Roman" w:hAnsi="Verdana"/>
          <w:color w:val="000000" w:themeColor="text1"/>
          <w:sz w:val="16"/>
          <w:szCs w:val="16"/>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r>
      <w:r w:rsidRPr="00BA2C4F">
        <w:rPr>
          <w:rFonts w:ascii="Verdana" w:hAnsi="Verdana"/>
          <w:i/>
          <w:iCs/>
          <w:color w:val="000000" w:themeColor="text1"/>
          <w:sz w:val="16"/>
          <w:szCs w:val="16"/>
        </w:rPr>
        <w:t>Cfr. Caso Acevedo Buendía y otros (“Cesantes y Jubilados de la Contraloría”) Vs. Perú</w:t>
      </w:r>
      <w:r w:rsidRPr="00BA2C4F">
        <w:rPr>
          <w:rFonts w:ascii="Verdana" w:hAnsi="Verdana"/>
          <w:color w:val="000000" w:themeColor="text1"/>
          <w:sz w:val="16"/>
          <w:szCs w:val="16"/>
        </w:rPr>
        <w:t xml:space="preserve">. Excepción Preliminar, Fondo, Reparaciones y Costas. Sentencia de 1 de julio de 2009, </w:t>
      </w:r>
      <w:r w:rsidRPr="00BA2C4F">
        <w:rPr>
          <w:rFonts w:ascii="Verdana" w:eastAsia="Times New Roman" w:hAnsi="Verdana"/>
          <w:color w:val="000000" w:themeColor="text1"/>
          <w:sz w:val="16"/>
          <w:szCs w:val="16"/>
        </w:rPr>
        <w:t>párr. 75.</w:t>
      </w:r>
    </w:p>
  </w:footnote>
  <w:footnote w:id="35">
    <w:p w14:paraId="5C7DDBFB" w14:textId="0C3EC4E3" w:rsidR="00CD0DC1" w:rsidRPr="00BA2C4F" w:rsidRDefault="00CD0DC1" w:rsidP="00E37D2D">
      <w:pPr>
        <w:pStyle w:val="NormalWeb"/>
        <w:spacing w:before="0" w:beforeAutospacing="0" w:after="0" w:afterAutospacing="0"/>
        <w:jc w:val="both"/>
        <w:rPr>
          <w:rFonts w:ascii="Verdana" w:hAnsi="Verdana"/>
          <w:color w:val="000000" w:themeColor="text1"/>
          <w:sz w:val="16"/>
          <w:szCs w:val="16"/>
          <w:lang w:val="es-CR"/>
        </w:rPr>
      </w:pPr>
      <w:r w:rsidRPr="00BA2C4F">
        <w:rPr>
          <w:rStyle w:val="Refdenotaalpie"/>
          <w:rFonts w:ascii="Verdana" w:hAnsi="Verdana"/>
          <w:color w:val="000000" w:themeColor="text1"/>
          <w:sz w:val="16"/>
          <w:szCs w:val="16"/>
        </w:rPr>
        <w:footnoteRef/>
      </w:r>
      <w:r w:rsidR="00EA762B">
        <w:rPr>
          <w:rFonts w:ascii="Verdana" w:hAnsi="Verdana"/>
          <w:color w:val="000000" w:themeColor="text1"/>
          <w:sz w:val="16"/>
          <w:szCs w:val="16"/>
        </w:rPr>
        <w:t xml:space="preserve"> </w:t>
      </w:r>
      <w:r w:rsidR="00EA762B">
        <w:rPr>
          <w:rFonts w:ascii="Verdana" w:hAnsi="Verdana"/>
          <w:color w:val="000000" w:themeColor="text1"/>
          <w:sz w:val="16"/>
          <w:szCs w:val="16"/>
        </w:rPr>
        <w:tab/>
        <w:t>En noviembre de 2014</w:t>
      </w:r>
      <w:r w:rsidRPr="00BA2C4F">
        <w:rPr>
          <w:rFonts w:ascii="Verdana" w:hAnsi="Verdana"/>
          <w:color w:val="000000" w:themeColor="text1"/>
          <w:sz w:val="16"/>
          <w:szCs w:val="16"/>
        </w:rPr>
        <w:t xml:space="preserve"> el 9º Juzgado Constitucional requirió a la Contraloría General que “en el plazo de tres </w:t>
      </w:r>
      <w:r w:rsidR="00420C05" w:rsidRPr="00BA2C4F">
        <w:rPr>
          <w:rFonts w:ascii="Verdana" w:hAnsi="Verdana"/>
          <w:color w:val="000000" w:themeColor="text1"/>
          <w:sz w:val="16"/>
          <w:szCs w:val="16"/>
        </w:rPr>
        <w:t>días</w:t>
      </w:r>
      <w:r w:rsidRPr="00BA2C4F">
        <w:rPr>
          <w:rFonts w:ascii="Verdana" w:hAnsi="Verdana"/>
          <w:color w:val="000000" w:themeColor="text1"/>
          <w:sz w:val="16"/>
          <w:szCs w:val="16"/>
        </w:rPr>
        <w:t xml:space="preserve"> cumplan con cancelar a favor de la </w:t>
      </w:r>
      <w:r w:rsidRPr="00BA2C4F">
        <w:rPr>
          <w:rFonts w:ascii="Verdana" w:hAnsi="Verdana"/>
          <w:color w:val="000000" w:themeColor="text1"/>
          <w:sz w:val="16"/>
          <w:szCs w:val="16"/>
          <w:lang w:val="es-CR"/>
        </w:rPr>
        <w:t>[Asociación de Cesantes y Jubilados de la Contraloría]</w:t>
      </w:r>
      <w:r w:rsidRPr="00BA2C4F">
        <w:rPr>
          <w:rFonts w:ascii="Verdana" w:hAnsi="Verdana"/>
          <w:color w:val="000000" w:themeColor="text1"/>
          <w:sz w:val="16"/>
          <w:szCs w:val="16"/>
        </w:rPr>
        <w:t xml:space="preserve"> el </w:t>
      </w:r>
      <w:r w:rsidR="004E7D2B" w:rsidRPr="00BA2C4F">
        <w:rPr>
          <w:rFonts w:ascii="Verdana" w:hAnsi="Verdana"/>
          <w:color w:val="000000" w:themeColor="text1"/>
          <w:sz w:val="16"/>
          <w:szCs w:val="16"/>
        </w:rPr>
        <w:t>íntegro</w:t>
      </w:r>
      <w:r w:rsidRPr="00BA2C4F">
        <w:rPr>
          <w:rFonts w:ascii="Verdana" w:hAnsi="Verdana"/>
          <w:color w:val="000000" w:themeColor="text1"/>
          <w:sz w:val="16"/>
          <w:szCs w:val="16"/>
        </w:rPr>
        <w:t xml:space="preserve"> del monto aprobado mediante resoluciones trescientos treinta y cuatrocientos </w:t>
      </w:r>
      <w:r w:rsidR="004E7D2B" w:rsidRPr="00BA2C4F">
        <w:rPr>
          <w:rFonts w:ascii="Verdana" w:hAnsi="Verdana"/>
          <w:color w:val="000000" w:themeColor="text1"/>
          <w:sz w:val="16"/>
          <w:szCs w:val="16"/>
        </w:rPr>
        <w:t>veintiséis</w:t>
      </w:r>
      <w:r w:rsidRPr="00BA2C4F">
        <w:rPr>
          <w:rFonts w:ascii="Verdana" w:hAnsi="Verdana"/>
          <w:color w:val="000000" w:themeColor="text1"/>
          <w:sz w:val="16"/>
          <w:szCs w:val="16"/>
        </w:rPr>
        <w:t>, descontando los pagos a cuenta realizados a la fecha, sin fraccionar ni priorizar los pagos</w:t>
      </w:r>
      <w:r w:rsidRPr="00BA2C4F">
        <w:rPr>
          <w:rFonts w:ascii="Verdana" w:hAnsi="Verdana"/>
          <w:color w:val="000000" w:themeColor="text1"/>
          <w:sz w:val="16"/>
          <w:szCs w:val="16"/>
          <w:lang w:val="es-CR"/>
        </w:rPr>
        <w:t>”</w:t>
      </w:r>
      <w:r w:rsidR="004E7D2B" w:rsidRPr="00BA2C4F">
        <w:rPr>
          <w:rFonts w:ascii="Verdana" w:hAnsi="Verdana"/>
          <w:color w:val="000000" w:themeColor="text1"/>
          <w:sz w:val="16"/>
          <w:szCs w:val="16"/>
          <w:lang w:val="es-CR"/>
        </w:rPr>
        <w:t>.</w:t>
      </w:r>
      <w:r w:rsidRPr="00BA2C4F">
        <w:rPr>
          <w:rFonts w:ascii="Verdana" w:hAnsi="Verdana"/>
          <w:color w:val="000000" w:themeColor="text1"/>
          <w:sz w:val="16"/>
          <w:szCs w:val="16"/>
          <w:lang w:val="es-CR"/>
        </w:rPr>
        <w:t xml:space="preserve"> Este requerimiento fue reiterado por el referido juzgado en enero de 2015</w:t>
      </w:r>
      <w:r w:rsidR="004E7D2B" w:rsidRPr="00BA2C4F">
        <w:rPr>
          <w:rFonts w:ascii="Verdana" w:hAnsi="Verdana"/>
          <w:color w:val="000000" w:themeColor="text1"/>
          <w:sz w:val="16"/>
          <w:szCs w:val="16"/>
          <w:lang w:val="es-CR"/>
        </w:rPr>
        <w:t>.</w:t>
      </w:r>
      <w:r w:rsidRPr="00BA2C4F">
        <w:rPr>
          <w:rFonts w:ascii="Verdana" w:hAnsi="Verdana"/>
          <w:color w:val="000000" w:themeColor="text1"/>
          <w:sz w:val="16"/>
          <w:szCs w:val="16"/>
          <w:lang w:val="es-CR"/>
        </w:rPr>
        <w:t xml:space="preserve"> Al respecto, e</w:t>
      </w:r>
      <w:r w:rsidRPr="00BA2C4F">
        <w:rPr>
          <w:rFonts w:ascii="Verdana" w:hAnsi="Verdana"/>
          <w:color w:val="000000" w:themeColor="text1"/>
          <w:sz w:val="16"/>
          <w:szCs w:val="16"/>
        </w:rPr>
        <w:t xml:space="preserve">n sus observaciones de octubre de 2020, el </w:t>
      </w:r>
      <w:r w:rsidR="00EA762B" w:rsidRPr="003E2234">
        <w:rPr>
          <w:rFonts w:ascii="Verdana" w:hAnsi="Verdana"/>
          <w:color w:val="000000" w:themeColor="text1"/>
          <w:sz w:val="16"/>
          <w:szCs w:val="16"/>
          <w:lang w:val="es-ES"/>
        </w:rPr>
        <w:t>interviniente común</w:t>
      </w:r>
      <w:r w:rsidR="00EA762B">
        <w:rPr>
          <w:rFonts w:ascii="Verdana" w:hAnsi="Verdana"/>
          <w:color w:val="000000" w:themeColor="text1"/>
          <w:sz w:val="20"/>
          <w:lang w:val="es-ES"/>
        </w:rPr>
        <w:t xml:space="preserve"> </w:t>
      </w:r>
      <w:r w:rsidR="00EA762B" w:rsidRPr="003E2234">
        <w:rPr>
          <w:rFonts w:ascii="Verdana" w:hAnsi="Verdana"/>
          <w:bCs/>
          <w:color w:val="000000" w:themeColor="text1"/>
          <w:sz w:val="16"/>
          <w:szCs w:val="16"/>
          <w:lang w:val="es-ES"/>
        </w:rPr>
        <w:t xml:space="preserve">Ricardo </w:t>
      </w:r>
      <w:proofErr w:type="spellStart"/>
      <w:r w:rsidR="00EA762B" w:rsidRPr="003E2234">
        <w:rPr>
          <w:rFonts w:ascii="Verdana" w:hAnsi="Verdana"/>
          <w:bCs/>
          <w:color w:val="000000" w:themeColor="text1"/>
          <w:sz w:val="16"/>
          <w:szCs w:val="16"/>
          <w:lang w:val="es-ES"/>
        </w:rPr>
        <w:t>Chapoñán</w:t>
      </w:r>
      <w:proofErr w:type="spellEnd"/>
      <w:r w:rsidR="00EA762B" w:rsidRPr="003E2234">
        <w:rPr>
          <w:rFonts w:ascii="Verdana" w:hAnsi="Verdana"/>
          <w:bCs/>
          <w:color w:val="000000" w:themeColor="text1"/>
          <w:sz w:val="16"/>
          <w:szCs w:val="16"/>
          <w:lang w:val="es-ES"/>
        </w:rPr>
        <w:t xml:space="preserve"> Prada</w:t>
      </w:r>
      <w:r w:rsidR="00EA762B" w:rsidRPr="00BA2C4F">
        <w:rPr>
          <w:rFonts w:ascii="Verdana" w:hAnsi="Verdana"/>
          <w:color w:val="000000" w:themeColor="text1"/>
          <w:sz w:val="16"/>
          <w:szCs w:val="16"/>
        </w:rPr>
        <w:t xml:space="preserve"> </w:t>
      </w:r>
      <w:r w:rsidRPr="00BA2C4F">
        <w:rPr>
          <w:rFonts w:ascii="Verdana" w:hAnsi="Verdana"/>
          <w:color w:val="000000" w:themeColor="text1"/>
          <w:sz w:val="16"/>
          <w:szCs w:val="16"/>
        </w:rPr>
        <w:t xml:space="preserve">indicó que, respecto al pago de los devengados dejados de percibir, “resoluciones judiciales han determinados que estos pagos sean cancelados </w:t>
      </w:r>
      <w:proofErr w:type="spellStart"/>
      <w:r w:rsidRPr="00BA2C4F">
        <w:rPr>
          <w:rFonts w:ascii="Verdana" w:hAnsi="Verdana"/>
          <w:color w:val="000000" w:themeColor="text1"/>
          <w:sz w:val="16"/>
          <w:szCs w:val="16"/>
        </w:rPr>
        <w:t>íntegramente</w:t>
      </w:r>
      <w:proofErr w:type="spellEnd"/>
      <w:r w:rsidRPr="00BA2C4F">
        <w:rPr>
          <w:rFonts w:ascii="Verdana" w:hAnsi="Verdana"/>
          <w:color w:val="000000" w:themeColor="text1"/>
          <w:sz w:val="16"/>
          <w:szCs w:val="16"/>
        </w:rPr>
        <w:t xml:space="preserve"> a favor-de la parte demandante, descontando los pagos a cuenta realizados a la fecha,</w:t>
      </w:r>
      <w:r w:rsidRPr="00BA2C4F">
        <w:rPr>
          <w:rFonts w:ascii="Verdana" w:hAnsi="Verdana"/>
          <w:color w:val="000000" w:themeColor="text1"/>
          <w:sz w:val="16"/>
          <w:szCs w:val="16"/>
          <w:lang w:val="es-CR"/>
        </w:rPr>
        <w:t xml:space="preserve"> s</w:t>
      </w:r>
      <w:r w:rsidRPr="00BA2C4F">
        <w:rPr>
          <w:rFonts w:ascii="Verdana" w:hAnsi="Verdana"/>
          <w:color w:val="000000" w:themeColor="text1"/>
          <w:sz w:val="16"/>
          <w:szCs w:val="16"/>
        </w:rPr>
        <w:t xml:space="preserve">in fraccionar ni priorizar pagos </w:t>
      </w:r>
      <w:r w:rsidRPr="00BA2C4F">
        <w:rPr>
          <w:rFonts w:ascii="Verdana" w:hAnsi="Verdana"/>
          <w:color w:val="000000" w:themeColor="text1"/>
          <w:sz w:val="16"/>
          <w:szCs w:val="16"/>
          <w:lang w:val="es-CR"/>
        </w:rPr>
        <w:t xml:space="preserve">[…]”. </w:t>
      </w:r>
      <w:r w:rsidRPr="00BA2C4F">
        <w:rPr>
          <w:rFonts w:ascii="Verdana" w:hAnsi="Verdana"/>
          <w:i/>
          <w:iCs/>
          <w:color w:val="000000" w:themeColor="text1"/>
          <w:sz w:val="16"/>
          <w:szCs w:val="16"/>
          <w:lang w:val="es-CR"/>
        </w:rPr>
        <w:t xml:space="preserve">Cfr. </w:t>
      </w:r>
      <w:r w:rsidRPr="00BA2C4F">
        <w:rPr>
          <w:rFonts w:ascii="Verdana" w:hAnsi="Verdana"/>
          <w:color w:val="000000" w:themeColor="text1"/>
          <w:sz w:val="16"/>
          <w:szCs w:val="16"/>
        </w:rPr>
        <w:t xml:space="preserve">Resoluciones Nos. 500 y 509 del 9º Juzgado Constitucional de 5 de noviembre de 2014 y 7 de enero de 2015, anexas a las observaciones del grupo 1 de intervinientes comunes de 9 de septiembre de 2015, y </w:t>
      </w:r>
      <w:r w:rsidRPr="00BA2C4F">
        <w:rPr>
          <w:rFonts w:ascii="Verdana" w:hAnsi="Verdana"/>
          <w:color w:val="000000" w:themeColor="text1"/>
          <w:sz w:val="16"/>
          <w:szCs w:val="16"/>
          <w:lang w:val="es-CR"/>
        </w:rPr>
        <w:t xml:space="preserve">Observaciones </w:t>
      </w:r>
      <w:r w:rsidR="00EA762B">
        <w:rPr>
          <w:rFonts w:ascii="Verdana" w:hAnsi="Verdana"/>
          <w:color w:val="000000" w:themeColor="text1"/>
          <w:sz w:val="16"/>
          <w:szCs w:val="16"/>
          <w:lang w:val="es-CR"/>
        </w:rPr>
        <w:t xml:space="preserve">presentadas por </w:t>
      </w:r>
      <w:r w:rsidR="00EA762B">
        <w:rPr>
          <w:rFonts w:ascii="Verdana" w:hAnsi="Verdana"/>
          <w:color w:val="000000" w:themeColor="text1"/>
          <w:sz w:val="16"/>
          <w:szCs w:val="16"/>
          <w:lang w:val="es-ES"/>
        </w:rPr>
        <w:t xml:space="preserve">los intervinientes comunes </w:t>
      </w:r>
      <w:r w:rsidR="00EA762B" w:rsidRPr="00BA2C4F">
        <w:rPr>
          <w:rFonts w:ascii="Verdana" w:hAnsi="Verdana"/>
          <w:color w:val="000000" w:themeColor="text1"/>
          <w:sz w:val="16"/>
          <w:szCs w:val="16"/>
          <w:lang w:val="es-ES"/>
        </w:rPr>
        <w:t>Javier Mujica Petit y Julio C</w:t>
      </w:r>
      <w:r w:rsidR="00EA762B" w:rsidRPr="00B32BD6">
        <w:rPr>
          <w:rFonts w:ascii="Verdana" w:hAnsi="Verdana"/>
          <w:color w:val="000000" w:themeColor="text1"/>
          <w:sz w:val="16"/>
          <w:szCs w:val="16"/>
          <w:lang w:val="es-ES"/>
        </w:rPr>
        <w:t>é</w:t>
      </w:r>
      <w:r w:rsidR="00EA762B" w:rsidRPr="00BA2C4F">
        <w:rPr>
          <w:rFonts w:ascii="Verdana" w:hAnsi="Verdana"/>
          <w:color w:val="000000" w:themeColor="text1"/>
          <w:sz w:val="16"/>
          <w:szCs w:val="16"/>
          <w:lang w:val="es-ES"/>
        </w:rPr>
        <w:t xml:space="preserve">sar Borrero Briceño </w:t>
      </w:r>
      <w:r w:rsidR="00EA762B">
        <w:rPr>
          <w:rFonts w:ascii="Verdana" w:hAnsi="Verdana"/>
          <w:color w:val="000000" w:themeColor="text1"/>
          <w:sz w:val="16"/>
          <w:szCs w:val="16"/>
          <w:lang w:val="es-CR"/>
        </w:rPr>
        <w:t>el</w:t>
      </w:r>
      <w:r w:rsidRPr="00BA2C4F">
        <w:rPr>
          <w:rFonts w:ascii="Verdana" w:hAnsi="Verdana"/>
          <w:color w:val="000000" w:themeColor="text1"/>
          <w:sz w:val="16"/>
          <w:szCs w:val="16"/>
          <w:lang w:val="es-CR"/>
        </w:rPr>
        <w:t xml:space="preserve"> 1 de octubre de 202</w:t>
      </w:r>
      <w:r w:rsidR="004E7D2B" w:rsidRPr="00BA2C4F">
        <w:rPr>
          <w:rFonts w:ascii="Verdana" w:hAnsi="Verdana"/>
          <w:color w:val="000000" w:themeColor="text1"/>
          <w:sz w:val="16"/>
          <w:szCs w:val="16"/>
          <w:lang w:val="es-CR"/>
        </w:rPr>
        <w:t>0.</w:t>
      </w:r>
    </w:p>
  </w:footnote>
  <w:footnote w:id="36">
    <w:p w14:paraId="636D0F3D" w14:textId="698C3E63" w:rsidR="00CD0DC1" w:rsidRPr="00BA2C4F" w:rsidRDefault="00CD0DC1" w:rsidP="00E37D2D">
      <w:pPr>
        <w:pStyle w:val="NormalWeb"/>
        <w:spacing w:before="0" w:beforeAutospacing="0" w:after="0" w:afterAutospacing="0"/>
        <w:jc w:val="both"/>
        <w:rPr>
          <w:rFonts w:ascii="Verdana" w:hAnsi="Verdana" w:cs="Helvetica"/>
          <w:color w:val="000000" w:themeColor="text1"/>
          <w:sz w:val="16"/>
          <w:szCs w:val="16"/>
          <w:lang w:val="es-CR"/>
        </w:rPr>
      </w:pPr>
      <w:r w:rsidRPr="00BA2C4F">
        <w:rPr>
          <w:rStyle w:val="Refdenotaalpie"/>
          <w:rFonts w:ascii="Verdana" w:hAnsi="Verdana"/>
          <w:color w:val="000000" w:themeColor="text1"/>
          <w:sz w:val="16"/>
          <w:szCs w:val="16"/>
        </w:rPr>
        <w:footnoteRef/>
      </w:r>
      <w:r w:rsidRPr="00BA2C4F">
        <w:rPr>
          <w:rFonts w:ascii="Verdana" w:hAnsi="Verdana"/>
          <w:color w:val="000000" w:themeColor="text1"/>
          <w:sz w:val="16"/>
          <w:szCs w:val="16"/>
        </w:rPr>
        <w:t xml:space="preserve"> </w:t>
      </w:r>
      <w:r w:rsidRPr="00BA2C4F">
        <w:rPr>
          <w:rFonts w:ascii="Verdana" w:hAnsi="Verdana"/>
          <w:color w:val="000000" w:themeColor="text1"/>
          <w:sz w:val="16"/>
          <w:szCs w:val="16"/>
        </w:rPr>
        <w:tab/>
        <w:t xml:space="preserve">Mediante Resolución de 19 de marzo de 2015, el 9º Juzgado Constitucional </w:t>
      </w:r>
      <w:r w:rsidR="00420C05" w:rsidRPr="00BA2C4F">
        <w:rPr>
          <w:rFonts w:ascii="Verdana" w:hAnsi="Verdana"/>
          <w:color w:val="000000" w:themeColor="text1"/>
          <w:sz w:val="16"/>
          <w:szCs w:val="16"/>
        </w:rPr>
        <w:t xml:space="preserve">se refirió </w:t>
      </w:r>
      <w:r w:rsidRPr="00BA2C4F">
        <w:rPr>
          <w:rFonts w:ascii="Verdana" w:hAnsi="Verdana"/>
          <w:color w:val="000000" w:themeColor="text1"/>
          <w:sz w:val="16"/>
          <w:szCs w:val="16"/>
        </w:rPr>
        <w:t xml:space="preserve">a que los funcionarios de la Contraloría General no habían “cumplido con el mandato judicial reiterado” en la Resolución 509 de enero de 2015, y señaló que en “los ejercicios fiscales del 2008 al 2014, la </w:t>
      </w:r>
      <w:r w:rsidR="00D5059D" w:rsidRPr="00BA2C4F">
        <w:rPr>
          <w:rFonts w:ascii="Verdana" w:hAnsi="Verdana"/>
          <w:color w:val="000000" w:themeColor="text1"/>
          <w:sz w:val="16"/>
          <w:szCs w:val="16"/>
        </w:rPr>
        <w:t>Contraloría</w:t>
      </w:r>
      <w:r w:rsidRPr="00BA2C4F">
        <w:rPr>
          <w:rFonts w:ascii="Verdana" w:hAnsi="Verdana"/>
          <w:color w:val="000000" w:themeColor="text1"/>
          <w:sz w:val="16"/>
          <w:szCs w:val="16"/>
        </w:rPr>
        <w:t xml:space="preserve"> General de la </w:t>
      </w:r>
      <w:r w:rsidR="00D5059D" w:rsidRPr="00BA2C4F">
        <w:rPr>
          <w:rFonts w:ascii="Verdana" w:hAnsi="Verdana"/>
          <w:color w:val="000000" w:themeColor="text1"/>
          <w:sz w:val="16"/>
          <w:szCs w:val="16"/>
        </w:rPr>
        <w:t>República</w:t>
      </w:r>
      <w:r w:rsidRPr="00BA2C4F">
        <w:rPr>
          <w:rFonts w:ascii="Verdana" w:hAnsi="Verdana"/>
          <w:color w:val="000000" w:themeColor="text1"/>
          <w:sz w:val="16"/>
          <w:szCs w:val="16"/>
        </w:rPr>
        <w:t xml:space="preserve"> </w:t>
      </w:r>
      <w:r w:rsidR="00D5059D" w:rsidRPr="00BA2C4F">
        <w:rPr>
          <w:rFonts w:ascii="Verdana" w:hAnsi="Verdana"/>
          <w:color w:val="000000" w:themeColor="text1"/>
          <w:sz w:val="16"/>
          <w:szCs w:val="16"/>
        </w:rPr>
        <w:t>devolvió</w:t>
      </w:r>
      <w:r w:rsidRPr="00BA2C4F">
        <w:rPr>
          <w:rFonts w:ascii="Verdana" w:hAnsi="Verdana"/>
          <w:color w:val="000000" w:themeColor="text1"/>
          <w:sz w:val="16"/>
          <w:szCs w:val="16"/>
        </w:rPr>
        <w:t xml:space="preserve">́ al Tesoro </w:t>
      </w:r>
      <w:r w:rsidR="00D5059D" w:rsidRPr="00BA2C4F">
        <w:rPr>
          <w:rFonts w:ascii="Verdana" w:hAnsi="Verdana"/>
          <w:color w:val="000000" w:themeColor="text1"/>
          <w:sz w:val="16"/>
          <w:szCs w:val="16"/>
        </w:rPr>
        <w:t>Público</w:t>
      </w:r>
      <w:r w:rsidRPr="00BA2C4F">
        <w:rPr>
          <w:rFonts w:ascii="Verdana" w:hAnsi="Verdana"/>
          <w:color w:val="000000" w:themeColor="text1"/>
          <w:sz w:val="16"/>
          <w:szCs w:val="16"/>
        </w:rPr>
        <w:t xml:space="preserve"> sumas de dinero no gastadas de los</w:t>
      </w:r>
      <w:r w:rsidRPr="00BA2C4F">
        <w:rPr>
          <w:rFonts w:ascii="Verdana" w:hAnsi="Verdana"/>
          <w:color w:val="000000" w:themeColor="text1"/>
          <w:sz w:val="16"/>
          <w:szCs w:val="16"/>
          <w:lang w:val="es-CR"/>
        </w:rPr>
        <w:t xml:space="preserve"> </w:t>
      </w:r>
      <w:r w:rsidRPr="00BA2C4F">
        <w:rPr>
          <w:rFonts w:ascii="Verdana" w:hAnsi="Verdana"/>
          <w:color w:val="000000" w:themeColor="text1"/>
          <w:sz w:val="16"/>
          <w:szCs w:val="16"/>
        </w:rPr>
        <w:t xml:space="preserve">presupuestos anuales citados, que </w:t>
      </w:r>
      <w:r w:rsidR="00D5059D" w:rsidRPr="00BA2C4F">
        <w:rPr>
          <w:rFonts w:ascii="Verdana" w:hAnsi="Verdana"/>
          <w:color w:val="000000" w:themeColor="text1"/>
          <w:sz w:val="16"/>
          <w:szCs w:val="16"/>
        </w:rPr>
        <w:t>debió</w:t>
      </w:r>
      <w:r w:rsidRPr="00BA2C4F">
        <w:rPr>
          <w:rFonts w:ascii="Verdana" w:hAnsi="Verdana"/>
          <w:color w:val="000000" w:themeColor="text1"/>
          <w:sz w:val="16"/>
          <w:szCs w:val="16"/>
        </w:rPr>
        <w:t xml:space="preserve">́ destinarlos al pago de los devengados e intereses legales de los pensionistas, dado el </w:t>
      </w:r>
      <w:r w:rsidR="00D5059D" w:rsidRPr="00BA2C4F">
        <w:rPr>
          <w:rFonts w:ascii="Verdana" w:hAnsi="Verdana"/>
          <w:color w:val="000000" w:themeColor="text1"/>
          <w:sz w:val="16"/>
          <w:szCs w:val="16"/>
        </w:rPr>
        <w:t>carácter</w:t>
      </w:r>
      <w:r w:rsidRPr="00BA2C4F">
        <w:rPr>
          <w:rFonts w:ascii="Verdana" w:hAnsi="Verdana"/>
          <w:color w:val="000000" w:themeColor="text1"/>
          <w:sz w:val="16"/>
          <w:szCs w:val="16"/>
        </w:rPr>
        <w:t xml:space="preserve"> prioritario de su abono y lo dispuesto por la Corte </w:t>
      </w:r>
      <w:r w:rsidR="00BA2C4F" w:rsidRPr="00BA2C4F">
        <w:rPr>
          <w:rFonts w:ascii="Verdana" w:hAnsi="Verdana"/>
          <w:color w:val="000000" w:themeColor="text1"/>
          <w:sz w:val="16"/>
          <w:szCs w:val="16"/>
        </w:rPr>
        <w:t>Interamericana</w:t>
      </w:r>
      <w:r w:rsidRPr="00BA2C4F">
        <w:rPr>
          <w:rFonts w:ascii="Verdana" w:hAnsi="Verdana"/>
          <w:color w:val="000000" w:themeColor="text1"/>
          <w:sz w:val="16"/>
          <w:szCs w:val="16"/>
        </w:rPr>
        <w:t xml:space="preserve"> de Derechos Humanos</w:t>
      </w:r>
      <w:r w:rsidRPr="00BA2C4F">
        <w:rPr>
          <w:rFonts w:ascii="Verdana" w:hAnsi="Verdana"/>
          <w:color w:val="000000" w:themeColor="text1"/>
          <w:sz w:val="16"/>
          <w:szCs w:val="16"/>
          <w:lang w:val="es-CR"/>
        </w:rPr>
        <w:t>”. Asimismo, en octubre de 2020, el Juzgado Supranacional de la Corte Superior de Justicia de Lima requirió a la Contraloría General que informara documentalmente</w:t>
      </w:r>
      <w:r w:rsidR="00D5059D" w:rsidRPr="00BA2C4F">
        <w:rPr>
          <w:rFonts w:ascii="Verdana" w:hAnsi="Verdana"/>
          <w:color w:val="000000" w:themeColor="text1"/>
          <w:sz w:val="16"/>
          <w:szCs w:val="16"/>
          <w:lang w:val="es-CR"/>
        </w:rPr>
        <w:t>, en el plazo de 10 días,</w:t>
      </w:r>
      <w:r w:rsidRPr="00BA2C4F">
        <w:rPr>
          <w:rFonts w:ascii="Verdana" w:hAnsi="Verdana"/>
          <w:color w:val="000000" w:themeColor="text1"/>
          <w:sz w:val="16"/>
          <w:szCs w:val="16"/>
          <w:lang w:val="es-CR"/>
        </w:rPr>
        <w:t xml:space="preserve"> si “</w:t>
      </w:r>
      <w:r w:rsidRPr="00BA2C4F">
        <w:rPr>
          <w:rFonts w:ascii="Verdana" w:hAnsi="Verdana" w:cs="Helvetica"/>
          <w:color w:val="000000" w:themeColor="text1"/>
          <w:sz w:val="16"/>
          <w:szCs w:val="16"/>
          <w:lang w:val="es-CR"/>
        </w:rPr>
        <w:t xml:space="preserve">existen saldos de balance hasta el 31 de Diciembre de 2019, que puedan aplicarse al pago de la obligación ordenada” y si “la </w:t>
      </w:r>
      <w:r w:rsidRPr="00BA2C4F">
        <w:rPr>
          <w:rFonts w:ascii="Verdana" w:hAnsi="Verdana" w:cs="Helvetica"/>
          <w:i/>
          <w:iCs/>
          <w:color w:val="000000" w:themeColor="text1"/>
          <w:sz w:val="16"/>
          <w:szCs w:val="16"/>
          <w:lang w:val="es-CR"/>
        </w:rPr>
        <w:t>Comisión de Programación Multianual Presupuestaria y Formulación Presupuestaria</w:t>
      </w:r>
      <w:r w:rsidRPr="00BA2C4F">
        <w:rPr>
          <w:rFonts w:ascii="Verdana" w:hAnsi="Verdana" w:cs="Helvetica"/>
          <w:color w:val="000000" w:themeColor="text1"/>
          <w:sz w:val="16"/>
          <w:szCs w:val="16"/>
          <w:lang w:val="es-CR"/>
        </w:rPr>
        <w:t xml:space="preserve"> -o la que haga sus veces- para el Año Fiscal 2021, ha solicitado una partida especial para atender el requerimiento para atender la deuda acumulada”. De acuerdo con la información presentada por los intervinientes comunes, el Estado no dio cumplimiento cabal al anterior requerimiento en el plazo establecido por dicho Juzgado. </w:t>
      </w:r>
      <w:r w:rsidR="00EA762B">
        <w:rPr>
          <w:rFonts w:ascii="Verdana" w:hAnsi="Verdana" w:cs="Helvetica"/>
          <w:i/>
          <w:iCs/>
          <w:color w:val="000000" w:themeColor="text1"/>
          <w:sz w:val="16"/>
          <w:szCs w:val="16"/>
          <w:lang w:val="es-CR"/>
        </w:rPr>
        <w:t xml:space="preserve">Cfr. </w:t>
      </w:r>
      <w:r w:rsidRPr="00BA2C4F">
        <w:rPr>
          <w:rFonts w:ascii="Verdana" w:hAnsi="Verdana" w:cs="Helvetica"/>
          <w:color w:val="000000" w:themeColor="text1"/>
          <w:sz w:val="16"/>
          <w:szCs w:val="16"/>
          <w:lang w:val="es-CR"/>
        </w:rPr>
        <w:t xml:space="preserve">Resolución No. 511 del 9º Juzgado Constitucional de 19 de marzo de 2015, anexa a las observaciones </w:t>
      </w:r>
      <w:r w:rsidR="006D4E9D">
        <w:rPr>
          <w:rFonts w:ascii="Verdana" w:hAnsi="Verdana"/>
          <w:color w:val="000000" w:themeColor="text1"/>
          <w:sz w:val="16"/>
          <w:szCs w:val="16"/>
          <w:lang w:val="es-CR"/>
        </w:rPr>
        <w:t xml:space="preserve">presentadas por </w:t>
      </w:r>
      <w:r w:rsidR="006D4E9D">
        <w:rPr>
          <w:rFonts w:ascii="Verdana" w:hAnsi="Verdana"/>
          <w:color w:val="000000" w:themeColor="text1"/>
          <w:sz w:val="16"/>
          <w:szCs w:val="16"/>
          <w:lang w:val="es-ES"/>
        </w:rPr>
        <w:t xml:space="preserve">los intervinientes comunes </w:t>
      </w:r>
      <w:r w:rsidR="006D4E9D" w:rsidRPr="00BA2C4F">
        <w:rPr>
          <w:rFonts w:ascii="Verdana" w:hAnsi="Verdana"/>
          <w:color w:val="000000" w:themeColor="text1"/>
          <w:sz w:val="16"/>
          <w:szCs w:val="16"/>
          <w:lang w:val="es-ES"/>
        </w:rPr>
        <w:t>Javier Mujica Petit y Julio C</w:t>
      </w:r>
      <w:r w:rsidR="006D4E9D" w:rsidRPr="00B32BD6">
        <w:rPr>
          <w:rFonts w:ascii="Verdana" w:hAnsi="Verdana"/>
          <w:color w:val="000000" w:themeColor="text1"/>
          <w:sz w:val="16"/>
          <w:szCs w:val="16"/>
          <w:lang w:val="es-ES"/>
        </w:rPr>
        <w:t>é</w:t>
      </w:r>
      <w:r w:rsidR="006D4E9D" w:rsidRPr="00BA2C4F">
        <w:rPr>
          <w:rFonts w:ascii="Verdana" w:hAnsi="Verdana"/>
          <w:color w:val="000000" w:themeColor="text1"/>
          <w:sz w:val="16"/>
          <w:szCs w:val="16"/>
          <w:lang w:val="es-ES"/>
        </w:rPr>
        <w:t>sar Borrero Briceño</w:t>
      </w:r>
      <w:r w:rsidR="006D4E9D" w:rsidRPr="006D4E9D">
        <w:rPr>
          <w:rFonts w:ascii="Verdana" w:hAnsi="Verdana"/>
          <w:sz w:val="16"/>
          <w:szCs w:val="16"/>
          <w:lang w:val="es-ES"/>
        </w:rPr>
        <w:t xml:space="preserve"> </w:t>
      </w:r>
      <w:r w:rsidR="006D4E9D" w:rsidRPr="006D4E9D">
        <w:rPr>
          <w:rFonts w:ascii="Verdana" w:hAnsi="Verdana" w:cs="Helvetica"/>
          <w:sz w:val="16"/>
          <w:szCs w:val="16"/>
          <w:lang w:val="es-CR"/>
        </w:rPr>
        <w:t xml:space="preserve">el </w:t>
      </w:r>
      <w:r w:rsidRPr="00BA2C4F">
        <w:rPr>
          <w:rFonts w:ascii="Verdana" w:hAnsi="Verdana" w:cs="Helvetica"/>
          <w:color w:val="000000" w:themeColor="text1"/>
          <w:sz w:val="16"/>
          <w:szCs w:val="16"/>
          <w:lang w:val="es-CR"/>
        </w:rPr>
        <w:t xml:space="preserve">9 de septiembre de 2015, y </w:t>
      </w:r>
      <w:r w:rsidRPr="00BA2C4F">
        <w:rPr>
          <w:rFonts w:ascii="Verdana" w:hAnsi="Verdana" w:cs="Verdana"/>
          <w:color w:val="000000" w:themeColor="text1"/>
          <w:sz w:val="16"/>
          <w:szCs w:val="16"/>
        </w:rPr>
        <w:t xml:space="preserve">Resolución No. 721 del Juzgado Supranacional de la Corte Superior de Justicia de Lima de 12 de octubre de 2020, anexa a las observaciones </w:t>
      </w:r>
      <w:r w:rsidR="006D4E9D">
        <w:rPr>
          <w:rFonts w:ascii="Verdana" w:hAnsi="Verdana"/>
          <w:color w:val="000000" w:themeColor="text1"/>
          <w:sz w:val="16"/>
          <w:szCs w:val="16"/>
          <w:lang w:val="es-CR"/>
        </w:rPr>
        <w:t xml:space="preserve">presentadas por </w:t>
      </w:r>
      <w:r w:rsidR="006D4E9D">
        <w:rPr>
          <w:rFonts w:ascii="Verdana" w:hAnsi="Verdana"/>
          <w:color w:val="000000" w:themeColor="text1"/>
          <w:sz w:val="16"/>
          <w:szCs w:val="16"/>
          <w:lang w:val="es-ES"/>
        </w:rPr>
        <w:t xml:space="preserve">los intervinientes comunes </w:t>
      </w:r>
      <w:r w:rsidR="006D4E9D" w:rsidRPr="00BA2C4F">
        <w:rPr>
          <w:rFonts w:ascii="Verdana" w:hAnsi="Verdana"/>
          <w:color w:val="000000" w:themeColor="text1"/>
          <w:sz w:val="16"/>
          <w:szCs w:val="16"/>
          <w:lang w:val="es-ES"/>
        </w:rPr>
        <w:t>Javier Mujica Petit y Julio C</w:t>
      </w:r>
      <w:r w:rsidR="006D4E9D" w:rsidRPr="00B32BD6">
        <w:rPr>
          <w:rFonts w:ascii="Verdana" w:hAnsi="Verdana"/>
          <w:color w:val="000000" w:themeColor="text1"/>
          <w:sz w:val="16"/>
          <w:szCs w:val="16"/>
          <w:lang w:val="es-ES"/>
        </w:rPr>
        <w:t>é</w:t>
      </w:r>
      <w:r w:rsidR="006D4E9D" w:rsidRPr="00BA2C4F">
        <w:rPr>
          <w:rFonts w:ascii="Verdana" w:hAnsi="Verdana"/>
          <w:color w:val="000000" w:themeColor="text1"/>
          <w:sz w:val="16"/>
          <w:szCs w:val="16"/>
          <w:lang w:val="es-ES"/>
        </w:rPr>
        <w:t xml:space="preserve">sar Borrero Briceño </w:t>
      </w:r>
      <w:r w:rsidR="006D4E9D">
        <w:rPr>
          <w:rFonts w:ascii="Verdana" w:hAnsi="Verdana"/>
          <w:color w:val="000000" w:themeColor="text1"/>
          <w:sz w:val="16"/>
          <w:szCs w:val="16"/>
          <w:lang w:val="es-ES"/>
        </w:rPr>
        <w:t xml:space="preserve">el </w:t>
      </w:r>
      <w:r w:rsidRPr="00BA2C4F">
        <w:rPr>
          <w:rFonts w:ascii="Verdana" w:hAnsi="Verdana" w:cs="Verdana"/>
          <w:color w:val="000000" w:themeColor="text1"/>
          <w:sz w:val="16"/>
          <w:szCs w:val="16"/>
        </w:rPr>
        <w:t>4 de noviembre de 2020</w:t>
      </w:r>
      <w:r w:rsidR="00D5059D" w:rsidRPr="00BA2C4F">
        <w:rPr>
          <w:rFonts w:ascii="Verdana" w:hAnsi="Verdana" w:cs="Verdana"/>
          <w:color w:val="000000" w:themeColor="text1"/>
          <w:sz w:val="16"/>
          <w:szCs w:val="16"/>
        </w:rPr>
        <w:t xml:space="preserve">. </w:t>
      </w:r>
    </w:p>
    <w:p w14:paraId="69EE75F1" w14:textId="77777777" w:rsidR="00CD0DC1" w:rsidRPr="00BA2C4F" w:rsidRDefault="00CD0DC1" w:rsidP="00E37D2D">
      <w:pPr>
        <w:pStyle w:val="Textonotapie"/>
        <w:jc w:val="both"/>
        <w:rPr>
          <w:rFonts w:ascii="Verdana" w:hAnsi="Verdana"/>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09EA"/>
    <w:multiLevelType w:val="hybridMultilevel"/>
    <w:tmpl w:val="65FAA8F2"/>
    <w:lvl w:ilvl="0" w:tplc="04090017">
      <w:start w:val="1"/>
      <w:numFmt w:val="lowerLetter"/>
      <w:lvlText w:val="%1)"/>
      <w:lvlJc w:val="left"/>
      <w:pPr>
        <w:ind w:left="1800" w:hanging="360"/>
      </w:pPr>
    </w:lvl>
    <w:lvl w:ilvl="1" w:tplc="04090017">
      <w:start w:val="1"/>
      <w:numFmt w:val="lowerLetter"/>
      <w:lvlText w:val="%2)"/>
      <w:lvlJc w:val="left"/>
      <w:pPr>
        <w:ind w:left="2520" w:hanging="360"/>
      </w:pPr>
    </w:lvl>
    <w:lvl w:ilvl="2" w:tplc="0E507DE2">
      <w:start w:val="1"/>
      <w:numFmt w:val="decimal"/>
      <w:lvlText w:val="%3."/>
      <w:lvlJc w:val="left"/>
      <w:pPr>
        <w:ind w:left="3420" w:hanging="360"/>
      </w:pPr>
      <w:rPr>
        <w:rFonts w:hint="default"/>
      </w:rPr>
    </w:lvl>
    <w:lvl w:ilvl="3" w:tplc="E5EE686A">
      <w:start w:val="1"/>
      <w:numFmt w:val="upperLetter"/>
      <w:lvlText w:val="%4."/>
      <w:lvlJc w:val="left"/>
      <w:pPr>
        <w:ind w:left="3960" w:hanging="360"/>
      </w:pPr>
      <w:rPr>
        <w:rFonts w:ascii="Verdana" w:eastAsia="Times" w:hAnsi="Verdana" w:cs="Times New Roman"/>
        <w:b w:val="0"/>
        <w:i w:val="0"/>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E64769"/>
    <w:multiLevelType w:val="hybridMultilevel"/>
    <w:tmpl w:val="609823E0"/>
    <w:lvl w:ilvl="0" w:tplc="0FBCF10A">
      <w:start w:val="1"/>
      <w:numFmt w:val="decimal"/>
      <w:lvlText w:val="%1."/>
      <w:lvlJc w:val="left"/>
      <w:pPr>
        <w:tabs>
          <w:tab w:val="num" w:pos="720"/>
        </w:tabs>
        <w:ind w:left="0" w:firstLine="0"/>
      </w:pPr>
      <w:rPr>
        <w:rFonts w:ascii="Verdana" w:hAnsi="Verdana" w:hint="default"/>
        <w:b w:val="0"/>
        <w:color w:val="000000"/>
        <w:sz w:val="20"/>
        <w:szCs w:val="20"/>
      </w:rPr>
    </w:lvl>
    <w:lvl w:ilvl="1" w:tplc="04090017">
      <w:start w:val="1"/>
      <w:numFmt w:val="lowerLetter"/>
      <w:lvlText w:val="%2)"/>
      <w:lvlJc w:val="left"/>
      <w:pPr>
        <w:tabs>
          <w:tab w:val="num" w:pos="1800"/>
        </w:tabs>
        <w:ind w:left="1800" w:hanging="720"/>
      </w:pPr>
      <w:rPr>
        <w:rFonts w:hint="default"/>
      </w:r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23DE320B"/>
    <w:multiLevelType w:val="hybridMultilevel"/>
    <w:tmpl w:val="21949B8C"/>
    <w:lvl w:ilvl="0" w:tplc="DD5CAD16">
      <w:start w:val="1"/>
      <w:numFmt w:val="decimal"/>
      <w:lvlText w:val="%1."/>
      <w:lvlJc w:val="left"/>
      <w:pPr>
        <w:tabs>
          <w:tab w:val="num" w:pos="1080"/>
        </w:tabs>
        <w:ind w:left="1080" w:hanging="720"/>
      </w:pPr>
      <w:rPr>
        <w:rFonts w:hint="default"/>
        <w:b w:val="0"/>
        <w:color w:val="auto"/>
        <w:sz w:val="20"/>
        <w:szCs w:val="20"/>
      </w:rPr>
    </w:lvl>
    <w:lvl w:ilvl="1" w:tplc="A7785762">
      <w:start w:val="2"/>
      <w:numFmt w:val="lowerLetter"/>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03B09E2"/>
    <w:multiLevelType w:val="hybridMultilevel"/>
    <w:tmpl w:val="32A20154"/>
    <w:lvl w:ilvl="0" w:tplc="35EAE1C0">
      <w:start w:val="1"/>
      <w:numFmt w:val="decimal"/>
      <w:lvlText w:val="%1."/>
      <w:lvlJc w:val="left"/>
      <w:pPr>
        <w:ind w:left="3150" w:hanging="360"/>
      </w:pPr>
      <w:rPr>
        <w:rFonts w:hint="default"/>
      </w:rPr>
    </w:lvl>
    <w:lvl w:ilvl="1" w:tplc="140A0019" w:tentative="1">
      <w:start w:val="1"/>
      <w:numFmt w:val="lowerLetter"/>
      <w:lvlText w:val="%2."/>
      <w:lvlJc w:val="left"/>
      <w:pPr>
        <w:ind w:left="3870" w:hanging="360"/>
      </w:pPr>
    </w:lvl>
    <w:lvl w:ilvl="2" w:tplc="140A001B" w:tentative="1">
      <w:start w:val="1"/>
      <w:numFmt w:val="lowerRoman"/>
      <w:lvlText w:val="%3."/>
      <w:lvlJc w:val="right"/>
      <w:pPr>
        <w:ind w:left="4590" w:hanging="180"/>
      </w:pPr>
    </w:lvl>
    <w:lvl w:ilvl="3" w:tplc="140A000F" w:tentative="1">
      <w:start w:val="1"/>
      <w:numFmt w:val="decimal"/>
      <w:lvlText w:val="%4."/>
      <w:lvlJc w:val="left"/>
      <w:pPr>
        <w:ind w:left="5310" w:hanging="360"/>
      </w:pPr>
    </w:lvl>
    <w:lvl w:ilvl="4" w:tplc="140A0019" w:tentative="1">
      <w:start w:val="1"/>
      <w:numFmt w:val="lowerLetter"/>
      <w:lvlText w:val="%5."/>
      <w:lvlJc w:val="left"/>
      <w:pPr>
        <w:ind w:left="6030" w:hanging="360"/>
      </w:pPr>
    </w:lvl>
    <w:lvl w:ilvl="5" w:tplc="140A001B" w:tentative="1">
      <w:start w:val="1"/>
      <w:numFmt w:val="lowerRoman"/>
      <w:lvlText w:val="%6."/>
      <w:lvlJc w:val="right"/>
      <w:pPr>
        <w:ind w:left="6750" w:hanging="180"/>
      </w:pPr>
    </w:lvl>
    <w:lvl w:ilvl="6" w:tplc="140A000F" w:tentative="1">
      <w:start w:val="1"/>
      <w:numFmt w:val="decimal"/>
      <w:lvlText w:val="%7."/>
      <w:lvlJc w:val="left"/>
      <w:pPr>
        <w:ind w:left="7470" w:hanging="360"/>
      </w:pPr>
    </w:lvl>
    <w:lvl w:ilvl="7" w:tplc="140A0019" w:tentative="1">
      <w:start w:val="1"/>
      <w:numFmt w:val="lowerLetter"/>
      <w:lvlText w:val="%8."/>
      <w:lvlJc w:val="left"/>
      <w:pPr>
        <w:ind w:left="8190" w:hanging="360"/>
      </w:pPr>
    </w:lvl>
    <w:lvl w:ilvl="8" w:tplc="140A001B" w:tentative="1">
      <w:start w:val="1"/>
      <w:numFmt w:val="lowerRoman"/>
      <w:lvlText w:val="%9."/>
      <w:lvlJc w:val="right"/>
      <w:pPr>
        <w:ind w:left="8910" w:hanging="180"/>
      </w:pPr>
    </w:lvl>
  </w:abstractNum>
  <w:abstractNum w:abstractNumId="4" w15:restartNumberingAfterBreak="0">
    <w:nsid w:val="41797E71"/>
    <w:multiLevelType w:val="hybridMultilevel"/>
    <w:tmpl w:val="24DC6C52"/>
    <w:lvl w:ilvl="0" w:tplc="1688BE90">
      <w:start w:val="1"/>
      <w:numFmt w:val="decimal"/>
      <w:lvlText w:val="%1."/>
      <w:lvlJc w:val="left"/>
      <w:pPr>
        <w:ind w:left="720" w:hanging="360"/>
      </w:pPr>
      <w:rPr>
        <w:b w:val="0"/>
        <w:b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DA80528"/>
    <w:multiLevelType w:val="multilevel"/>
    <w:tmpl w:val="EBAA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83635B"/>
    <w:multiLevelType w:val="hybridMultilevel"/>
    <w:tmpl w:val="6EAA063C"/>
    <w:lvl w:ilvl="0" w:tplc="80D00B08">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E5"/>
    <w:rsid w:val="00005A72"/>
    <w:rsid w:val="00014644"/>
    <w:rsid w:val="00030735"/>
    <w:rsid w:val="000328DB"/>
    <w:rsid w:val="0003365A"/>
    <w:rsid w:val="0003399F"/>
    <w:rsid w:val="00037A3C"/>
    <w:rsid w:val="00040B26"/>
    <w:rsid w:val="00044DF1"/>
    <w:rsid w:val="00052866"/>
    <w:rsid w:val="00065258"/>
    <w:rsid w:val="00083085"/>
    <w:rsid w:val="0009556C"/>
    <w:rsid w:val="000A0314"/>
    <w:rsid w:val="000A29F9"/>
    <w:rsid w:val="000B7ED1"/>
    <w:rsid w:val="000D2650"/>
    <w:rsid w:val="000F0311"/>
    <w:rsid w:val="000F43C7"/>
    <w:rsid w:val="001021D2"/>
    <w:rsid w:val="00104A6B"/>
    <w:rsid w:val="00104A72"/>
    <w:rsid w:val="00114AE2"/>
    <w:rsid w:val="00153255"/>
    <w:rsid w:val="00162091"/>
    <w:rsid w:val="001706E3"/>
    <w:rsid w:val="001949EA"/>
    <w:rsid w:val="001B0AE1"/>
    <w:rsid w:val="001C508C"/>
    <w:rsid w:val="001E5A4A"/>
    <w:rsid w:val="001E6FC3"/>
    <w:rsid w:val="001F39EB"/>
    <w:rsid w:val="001F43B4"/>
    <w:rsid w:val="00221AB1"/>
    <w:rsid w:val="00223DFD"/>
    <w:rsid w:val="002334C7"/>
    <w:rsid w:val="00241FCB"/>
    <w:rsid w:val="00246E79"/>
    <w:rsid w:val="00250FA2"/>
    <w:rsid w:val="002568AF"/>
    <w:rsid w:val="002612CC"/>
    <w:rsid w:val="002624D6"/>
    <w:rsid w:val="00262E18"/>
    <w:rsid w:val="002774C3"/>
    <w:rsid w:val="00294D1D"/>
    <w:rsid w:val="002A3EC3"/>
    <w:rsid w:val="002B143A"/>
    <w:rsid w:val="002D5FC4"/>
    <w:rsid w:val="002E6BD8"/>
    <w:rsid w:val="002F244A"/>
    <w:rsid w:val="0031652B"/>
    <w:rsid w:val="0033325F"/>
    <w:rsid w:val="003338B3"/>
    <w:rsid w:val="003565C6"/>
    <w:rsid w:val="003639D9"/>
    <w:rsid w:val="00370156"/>
    <w:rsid w:val="00381DFE"/>
    <w:rsid w:val="00383F0E"/>
    <w:rsid w:val="00391485"/>
    <w:rsid w:val="00392516"/>
    <w:rsid w:val="003A656D"/>
    <w:rsid w:val="003E2234"/>
    <w:rsid w:val="00401E97"/>
    <w:rsid w:val="004076E9"/>
    <w:rsid w:val="00415EC8"/>
    <w:rsid w:val="00420C05"/>
    <w:rsid w:val="00427A6A"/>
    <w:rsid w:val="00434B34"/>
    <w:rsid w:val="00435730"/>
    <w:rsid w:val="004427ED"/>
    <w:rsid w:val="004534CE"/>
    <w:rsid w:val="004832A4"/>
    <w:rsid w:val="004A2882"/>
    <w:rsid w:val="004A5CE0"/>
    <w:rsid w:val="004B7335"/>
    <w:rsid w:val="004D2421"/>
    <w:rsid w:val="004D2A51"/>
    <w:rsid w:val="004D635E"/>
    <w:rsid w:val="004D6F53"/>
    <w:rsid w:val="004E6047"/>
    <w:rsid w:val="004E6736"/>
    <w:rsid w:val="004E7D2B"/>
    <w:rsid w:val="00530706"/>
    <w:rsid w:val="005348D4"/>
    <w:rsid w:val="00551EF4"/>
    <w:rsid w:val="0055384F"/>
    <w:rsid w:val="00562D56"/>
    <w:rsid w:val="00564216"/>
    <w:rsid w:val="00566358"/>
    <w:rsid w:val="005717F0"/>
    <w:rsid w:val="00590D0E"/>
    <w:rsid w:val="005D6A29"/>
    <w:rsid w:val="005F3B63"/>
    <w:rsid w:val="005F7507"/>
    <w:rsid w:val="006023F0"/>
    <w:rsid w:val="00606C77"/>
    <w:rsid w:val="00630CBF"/>
    <w:rsid w:val="0063178F"/>
    <w:rsid w:val="00632D54"/>
    <w:rsid w:val="00645977"/>
    <w:rsid w:val="00657597"/>
    <w:rsid w:val="006647A9"/>
    <w:rsid w:val="00665F33"/>
    <w:rsid w:val="00684B79"/>
    <w:rsid w:val="0069180A"/>
    <w:rsid w:val="0069418D"/>
    <w:rsid w:val="006A2DD2"/>
    <w:rsid w:val="006D0958"/>
    <w:rsid w:val="006D4E9D"/>
    <w:rsid w:val="006E0821"/>
    <w:rsid w:val="006E123A"/>
    <w:rsid w:val="006F4BB0"/>
    <w:rsid w:val="006F6FCF"/>
    <w:rsid w:val="007002AC"/>
    <w:rsid w:val="00727C2E"/>
    <w:rsid w:val="007304B6"/>
    <w:rsid w:val="0073466E"/>
    <w:rsid w:val="00754F2A"/>
    <w:rsid w:val="0076468E"/>
    <w:rsid w:val="0077189E"/>
    <w:rsid w:val="007729FF"/>
    <w:rsid w:val="00782E65"/>
    <w:rsid w:val="007A4CF8"/>
    <w:rsid w:val="007C2C28"/>
    <w:rsid w:val="007D30E9"/>
    <w:rsid w:val="007E0592"/>
    <w:rsid w:val="007F55EF"/>
    <w:rsid w:val="008121BD"/>
    <w:rsid w:val="00813E07"/>
    <w:rsid w:val="00825895"/>
    <w:rsid w:val="008429C6"/>
    <w:rsid w:val="00862161"/>
    <w:rsid w:val="008627C4"/>
    <w:rsid w:val="008634A9"/>
    <w:rsid w:val="00864571"/>
    <w:rsid w:val="00872872"/>
    <w:rsid w:val="00896FD1"/>
    <w:rsid w:val="008A7F78"/>
    <w:rsid w:val="008B3147"/>
    <w:rsid w:val="008B44B2"/>
    <w:rsid w:val="008C59E5"/>
    <w:rsid w:val="008D70C0"/>
    <w:rsid w:val="008D741E"/>
    <w:rsid w:val="00902DBE"/>
    <w:rsid w:val="0091178B"/>
    <w:rsid w:val="00911EC4"/>
    <w:rsid w:val="00925A1D"/>
    <w:rsid w:val="00931239"/>
    <w:rsid w:val="00936C80"/>
    <w:rsid w:val="009439C6"/>
    <w:rsid w:val="00952BC6"/>
    <w:rsid w:val="009531BC"/>
    <w:rsid w:val="009561F1"/>
    <w:rsid w:val="00961546"/>
    <w:rsid w:val="00967CC4"/>
    <w:rsid w:val="009728A8"/>
    <w:rsid w:val="00980967"/>
    <w:rsid w:val="00981009"/>
    <w:rsid w:val="009B0D7E"/>
    <w:rsid w:val="009B1FA7"/>
    <w:rsid w:val="009C2B06"/>
    <w:rsid w:val="009D1112"/>
    <w:rsid w:val="009F728C"/>
    <w:rsid w:val="00A03164"/>
    <w:rsid w:val="00A15BB2"/>
    <w:rsid w:val="00A2075B"/>
    <w:rsid w:val="00A26CE0"/>
    <w:rsid w:val="00A462CA"/>
    <w:rsid w:val="00A55E8A"/>
    <w:rsid w:val="00A601E0"/>
    <w:rsid w:val="00A637CA"/>
    <w:rsid w:val="00A640EF"/>
    <w:rsid w:val="00A716F8"/>
    <w:rsid w:val="00A756EC"/>
    <w:rsid w:val="00A9555A"/>
    <w:rsid w:val="00AA2AA4"/>
    <w:rsid w:val="00AC0B88"/>
    <w:rsid w:val="00AC286D"/>
    <w:rsid w:val="00AC799C"/>
    <w:rsid w:val="00AD135A"/>
    <w:rsid w:val="00AD4480"/>
    <w:rsid w:val="00AD6BB3"/>
    <w:rsid w:val="00B06783"/>
    <w:rsid w:val="00B2474E"/>
    <w:rsid w:val="00B32BD6"/>
    <w:rsid w:val="00B476CA"/>
    <w:rsid w:val="00B501AA"/>
    <w:rsid w:val="00B63629"/>
    <w:rsid w:val="00B65CE8"/>
    <w:rsid w:val="00B7360A"/>
    <w:rsid w:val="00B75DA7"/>
    <w:rsid w:val="00B77E4E"/>
    <w:rsid w:val="00B81501"/>
    <w:rsid w:val="00B90789"/>
    <w:rsid w:val="00BA2C4F"/>
    <w:rsid w:val="00BA5D4E"/>
    <w:rsid w:val="00BB2D1E"/>
    <w:rsid w:val="00BC55FF"/>
    <w:rsid w:val="00BE292D"/>
    <w:rsid w:val="00BE5A97"/>
    <w:rsid w:val="00BE7416"/>
    <w:rsid w:val="00BF477E"/>
    <w:rsid w:val="00C16700"/>
    <w:rsid w:val="00C407BA"/>
    <w:rsid w:val="00C41284"/>
    <w:rsid w:val="00C50220"/>
    <w:rsid w:val="00C61F15"/>
    <w:rsid w:val="00C7532F"/>
    <w:rsid w:val="00C87B61"/>
    <w:rsid w:val="00CA0D6E"/>
    <w:rsid w:val="00CA54DC"/>
    <w:rsid w:val="00CC0D21"/>
    <w:rsid w:val="00CC2FF7"/>
    <w:rsid w:val="00CC3BE9"/>
    <w:rsid w:val="00CC7A0E"/>
    <w:rsid w:val="00CD0C51"/>
    <w:rsid w:val="00CD0DC1"/>
    <w:rsid w:val="00CE35D5"/>
    <w:rsid w:val="00CF1056"/>
    <w:rsid w:val="00D17F44"/>
    <w:rsid w:val="00D36E54"/>
    <w:rsid w:val="00D45BAF"/>
    <w:rsid w:val="00D5059D"/>
    <w:rsid w:val="00D56116"/>
    <w:rsid w:val="00D61984"/>
    <w:rsid w:val="00D655C0"/>
    <w:rsid w:val="00D73307"/>
    <w:rsid w:val="00D75D52"/>
    <w:rsid w:val="00D80968"/>
    <w:rsid w:val="00D80EC7"/>
    <w:rsid w:val="00D95B0F"/>
    <w:rsid w:val="00DB4C2F"/>
    <w:rsid w:val="00DD3497"/>
    <w:rsid w:val="00DE5D07"/>
    <w:rsid w:val="00DF3C3C"/>
    <w:rsid w:val="00DF3C45"/>
    <w:rsid w:val="00E0427B"/>
    <w:rsid w:val="00E04F00"/>
    <w:rsid w:val="00E14D4B"/>
    <w:rsid w:val="00E178F3"/>
    <w:rsid w:val="00E32D0C"/>
    <w:rsid w:val="00E34A73"/>
    <w:rsid w:val="00E37D2D"/>
    <w:rsid w:val="00E45ED7"/>
    <w:rsid w:val="00E618CA"/>
    <w:rsid w:val="00E61CB7"/>
    <w:rsid w:val="00E63EA6"/>
    <w:rsid w:val="00E67E07"/>
    <w:rsid w:val="00E71726"/>
    <w:rsid w:val="00E919EB"/>
    <w:rsid w:val="00E92C6F"/>
    <w:rsid w:val="00EA762B"/>
    <w:rsid w:val="00EB61F2"/>
    <w:rsid w:val="00EC2BAD"/>
    <w:rsid w:val="00EF5CC2"/>
    <w:rsid w:val="00F03C6A"/>
    <w:rsid w:val="00F06DE0"/>
    <w:rsid w:val="00F110C0"/>
    <w:rsid w:val="00F12A7C"/>
    <w:rsid w:val="00F15DE0"/>
    <w:rsid w:val="00F324D5"/>
    <w:rsid w:val="00F52CC9"/>
    <w:rsid w:val="00F56640"/>
    <w:rsid w:val="00F64331"/>
    <w:rsid w:val="00F77305"/>
    <w:rsid w:val="00F972FC"/>
    <w:rsid w:val="00F97B3F"/>
    <w:rsid w:val="00FA4D3A"/>
    <w:rsid w:val="00FB3D61"/>
    <w:rsid w:val="00FC3640"/>
    <w:rsid w:val="00FE2478"/>
    <w:rsid w:val="00FF504D"/>
    <w:rsid w:val="00FF7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C5F13"/>
  <w15:chartTrackingRefBased/>
  <w15:docId w15:val="{2818C30E-4B8D-B940-A9B7-55B584156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E5"/>
    <w:rPr>
      <w:rFonts w:ascii="Times" w:eastAsia="Times" w:hAnsi="Times" w:cs="Times New Roman"/>
      <w:szCs w:val="20"/>
      <w:lang w:val="es-ES_tradnl"/>
    </w:rPr>
  </w:style>
  <w:style w:type="paragraph" w:styleId="Ttulo1">
    <w:name w:val="heading 1"/>
    <w:basedOn w:val="Normal"/>
    <w:next w:val="Normal"/>
    <w:link w:val="Ttulo1Car"/>
    <w:qFormat/>
    <w:rsid w:val="008C59E5"/>
    <w:pPr>
      <w:keepNext/>
      <w:jc w:val="center"/>
      <w:outlineLvl w:val="0"/>
    </w:pPr>
    <w:rPr>
      <w:rFonts w:ascii="Garamond" w:hAnsi="Garamond"/>
      <w:b/>
      <w:small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C59E5"/>
    <w:rPr>
      <w:rFonts w:ascii="Garamond" w:eastAsia="Times" w:hAnsi="Garamond" w:cs="Times New Roman"/>
      <w:b/>
      <w:smallCaps/>
      <w:szCs w:val="20"/>
      <w:lang w:val="es-ES_tradnl"/>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ita"/>
    <w:basedOn w:val="Normal"/>
    <w:link w:val="TextonotapieCar"/>
    <w:qFormat/>
    <w:rsid w:val="008C59E5"/>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qFormat/>
    <w:rsid w:val="008C59E5"/>
    <w:rPr>
      <w:rFonts w:ascii="Times" w:eastAsia="Times" w:hAnsi="Times" w:cs="Times New Roman"/>
      <w:szCs w:val="20"/>
      <w:lang w:val="es-ES_tradnl"/>
    </w:rPr>
  </w:style>
  <w:style w:type="paragraph" w:styleId="Textoindependiente2">
    <w:name w:val="Body Text 2"/>
    <w:basedOn w:val="Normal"/>
    <w:link w:val="Textoindependiente2Car"/>
    <w:rsid w:val="008C59E5"/>
    <w:pPr>
      <w:jc w:val="both"/>
    </w:pPr>
    <w:rPr>
      <w:rFonts w:ascii="Verdana" w:hAnsi="Verdana"/>
      <w:sz w:val="20"/>
    </w:rPr>
  </w:style>
  <w:style w:type="character" w:customStyle="1" w:styleId="Textoindependiente2Car">
    <w:name w:val="Texto independiente 2 Car"/>
    <w:basedOn w:val="Fuentedeprrafopredeter"/>
    <w:link w:val="Textoindependiente2"/>
    <w:rsid w:val="008C59E5"/>
    <w:rPr>
      <w:rFonts w:ascii="Verdana" w:eastAsia="Times"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8C59E5"/>
    <w:rPr>
      <w:vertAlign w:val="superscript"/>
    </w:rPr>
  </w:style>
  <w:style w:type="character" w:styleId="Hipervnculo">
    <w:name w:val="Hyperlink"/>
    <w:basedOn w:val="Fuentedeprrafopredeter"/>
    <w:uiPriority w:val="99"/>
    <w:rsid w:val="008C59E5"/>
    <w:rPr>
      <w:color w:val="0000FF"/>
      <w:u w:val="single"/>
    </w:rPr>
  </w:style>
  <w:style w:type="paragraph" w:styleId="Prrafodelista">
    <w:name w:val="List Paragraph"/>
    <w:aliases w:val="Footnote"/>
    <w:basedOn w:val="Normal"/>
    <w:link w:val="PrrafodelistaCar"/>
    <w:uiPriority w:val="34"/>
    <w:qFormat/>
    <w:rsid w:val="008C59E5"/>
    <w:pPr>
      <w:ind w:left="720"/>
    </w:pPr>
  </w:style>
  <w:style w:type="character" w:customStyle="1" w:styleId="PrrafodelistaCar">
    <w:name w:val="Párrafo de lista Car"/>
    <w:aliases w:val="Footnote Car"/>
    <w:link w:val="Prrafodelista"/>
    <w:uiPriority w:val="34"/>
    <w:rsid w:val="008C59E5"/>
    <w:rPr>
      <w:rFonts w:ascii="Times" w:eastAsia="Times" w:hAnsi="Times" w:cs="Times New Roman"/>
      <w:szCs w:val="20"/>
      <w:lang w:val="es-ES_tradnl"/>
    </w:rPr>
  </w:style>
  <w:style w:type="paragraph" w:styleId="TDC1">
    <w:name w:val="toc 1"/>
    <w:basedOn w:val="Normal"/>
    <w:next w:val="Normal"/>
    <w:autoRedefine/>
    <w:uiPriority w:val="39"/>
    <w:unhideWhenUsed/>
    <w:rsid w:val="008C59E5"/>
    <w:pPr>
      <w:spacing w:after="100"/>
    </w:pPr>
  </w:style>
  <w:style w:type="paragraph" w:styleId="NormalWeb">
    <w:name w:val="Normal (Web)"/>
    <w:basedOn w:val="Normal"/>
    <w:uiPriority w:val="99"/>
    <w:unhideWhenUsed/>
    <w:rsid w:val="00A640EF"/>
    <w:pPr>
      <w:spacing w:before="100" w:beforeAutospacing="1" w:after="100" w:afterAutospacing="1"/>
    </w:pPr>
    <w:rPr>
      <w:rFonts w:ascii="Times New Roman" w:eastAsia="Times New Roman" w:hAnsi="Times New Roman"/>
      <w:szCs w:val="24"/>
    </w:rPr>
  </w:style>
  <w:style w:type="character" w:styleId="Textoennegrita">
    <w:name w:val="Strong"/>
    <w:uiPriority w:val="22"/>
    <w:qFormat/>
    <w:rsid w:val="00980967"/>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80967"/>
    <w:pPr>
      <w:jc w:val="both"/>
    </w:pPr>
    <w:rPr>
      <w:rFonts w:asciiTheme="minorHAnsi" w:eastAsiaTheme="minorHAnsi" w:hAnsiTheme="minorHAnsi" w:cstheme="minorBidi"/>
      <w:szCs w:val="24"/>
      <w:vertAlign w:val="superscript"/>
    </w:rPr>
  </w:style>
  <w:style w:type="character" w:styleId="Refdecomentario">
    <w:name w:val="annotation reference"/>
    <w:uiPriority w:val="99"/>
    <w:semiHidden/>
    <w:unhideWhenUsed/>
    <w:rsid w:val="00980967"/>
    <w:rPr>
      <w:sz w:val="16"/>
      <w:szCs w:val="16"/>
    </w:rPr>
  </w:style>
  <w:style w:type="paragraph" w:styleId="Textocomentario">
    <w:name w:val="annotation text"/>
    <w:basedOn w:val="Normal"/>
    <w:link w:val="TextocomentarioCar"/>
    <w:uiPriority w:val="99"/>
    <w:unhideWhenUsed/>
    <w:rsid w:val="00980967"/>
    <w:pPr>
      <w:spacing w:after="200"/>
    </w:pPr>
    <w:rPr>
      <w:rFonts w:ascii="Calibri" w:eastAsia="Calibri" w:hAnsi="Calibri"/>
      <w:sz w:val="20"/>
      <w:lang w:val="en-US"/>
    </w:rPr>
  </w:style>
  <w:style w:type="character" w:customStyle="1" w:styleId="TextocomentarioCar">
    <w:name w:val="Texto comentario Car"/>
    <w:basedOn w:val="Fuentedeprrafopredeter"/>
    <w:link w:val="Textocomentario"/>
    <w:uiPriority w:val="99"/>
    <w:rsid w:val="00980967"/>
    <w:rPr>
      <w:rFonts w:ascii="Calibri" w:eastAsia="Calibri" w:hAnsi="Calibri" w:cs="Times New Roman"/>
      <w:sz w:val="20"/>
      <w:szCs w:val="20"/>
      <w:lang w:val="en-US"/>
    </w:rPr>
  </w:style>
  <w:style w:type="paragraph" w:styleId="Piedepgina">
    <w:name w:val="footer"/>
    <w:basedOn w:val="Normal"/>
    <w:link w:val="PiedepginaCar"/>
    <w:uiPriority w:val="99"/>
    <w:unhideWhenUsed/>
    <w:rsid w:val="009F728C"/>
    <w:pPr>
      <w:tabs>
        <w:tab w:val="center" w:pos="4680"/>
        <w:tab w:val="right" w:pos="9360"/>
      </w:tabs>
    </w:pPr>
  </w:style>
  <w:style w:type="character" w:customStyle="1" w:styleId="PiedepginaCar">
    <w:name w:val="Pie de página Car"/>
    <w:basedOn w:val="Fuentedeprrafopredeter"/>
    <w:link w:val="Piedepgina"/>
    <w:uiPriority w:val="99"/>
    <w:rsid w:val="009F728C"/>
    <w:rPr>
      <w:rFonts w:ascii="Times" w:eastAsia="Times" w:hAnsi="Times" w:cs="Times New Roman"/>
      <w:szCs w:val="20"/>
      <w:lang w:val="es-ES_tradnl"/>
    </w:rPr>
  </w:style>
  <w:style w:type="character" w:styleId="Nmerodepgina">
    <w:name w:val="page number"/>
    <w:basedOn w:val="Fuentedeprrafopredeter"/>
    <w:uiPriority w:val="99"/>
    <w:semiHidden/>
    <w:unhideWhenUsed/>
    <w:rsid w:val="009F728C"/>
  </w:style>
  <w:style w:type="paragraph" w:styleId="Encabezado">
    <w:name w:val="header"/>
    <w:basedOn w:val="Normal"/>
    <w:link w:val="EncabezadoCar"/>
    <w:uiPriority w:val="99"/>
    <w:unhideWhenUsed/>
    <w:rsid w:val="009F728C"/>
    <w:pPr>
      <w:tabs>
        <w:tab w:val="center" w:pos="4680"/>
        <w:tab w:val="right" w:pos="9360"/>
      </w:tabs>
    </w:pPr>
  </w:style>
  <w:style w:type="character" w:customStyle="1" w:styleId="EncabezadoCar">
    <w:name w:val="Encabezado Car"/>
    <w:basedOn w:val="Fuentedeprrafopredeter"/>
    <w:link w:val="Encabezado"/>
    <w:uiPriority w:val="99"/>
    <w:rsid w:val="009F728C"/>
    <w:rPr>
      <w:rFonts w:ascii="Times" w:eastAsia="Times" w:hAnsi="Times" w:cs="Times New Roman"/>
      <w:szCs w:val="20"/>
      <w:lang w:val="es-ES_tradnl"/>
    </w:rPr>
  </w:style>
  <w:style w:type="character" w:styleId="Nmerodelnea">
    <w:name w:val="line number"/>
    <w:basedOn w:val="Fuentedeprrafopredeter"/>
    <w:uiPriority w:val="99"/>
    <w:semiHidden/>
    <w:unhideWhenUsed/>
    <w:rsid w:val="004A5CE0"/>
  </w:style>
  <w:style w:type="paragraph" w:styleId="Asuntodelcomentario">
    <w:name w:val="annotation subject"/>
    <w:basedOn w:val="Textocomentario"/>
    <w:next w:val="Textocomentario"/>
    <w:link w:val="AsuntodelcomentarioCar"/>
    <w:uiPriority w:val="99"/>
    <w:semiHidden/>
    <w:unhideWhenUsed/>
    <w:rsid w:val="00F77305"/>
    <w:pPr>
      <w:spacing w:after="0"/>
    </w:pPr>
    <w:rPr>
      <w:rFonts w:ascii="Times" w:eastAsia="Times" w:hAnsi="Times"/>
      <w:b/>
      <w:bCs/>
      <w:lang w:val="es-ES_tradnl"/>
    </w:rPr>
  </w:style>
  <w:style w:type="character" w:customStyle="1" w:styleId="AsuntodelcomentarioCar">
    <w:name w:val="Asunto del comentario Car"/>
    <w:basedOn w:val="TextocomentarioCar"/>
    <w:link w:val="Asuntodelcomentario"/>
    <w:uiPriority w:val="99"/>
    <w:semiHidden/>
    <w:rsid w:val="00F77305"/>
    <w:rPr>
      <w:rFonts w:ascii="Times" w:eastAsia="Times" w:hAnsi="Times" w:cs="Times New Roman"/>
      <w:b/>
      <w:bCs/>
      <w:sz w:val="20"/>
      <w:szCs w:val="20"/>
      <w:lang w:val="es-ES_tradnl"/>
    </w:rPr>
  </w:style>
  <w:style w:type="paragraph" w:styleId="Textodeglobo">
    <w:name w:val="Balloon Text"/>
    <w:basedOn w:val="Normal"/>
    <w:link w:val="TextodegloboCar"/>
    <w:uiPriority w:val="99"/>
    <w:semiHidden/>
    <w:unhideWhenUsed/>
    <w:rsid w:val="00F7730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7305"/>
    <w:rPr>
      <w:rFonts w:ascii="Segoe UI" w:eastAsia="Times" w:hAnsi="Segoe UI" w:cs="Segoe UI"/>
      <w:sz w:val="18"/>
      <w:szCs w:val="18"/>
      <w:lang w:val="es-ES_tradnl"/>
    </w:rPr>
  </w:style>
  <w:style w:type="paragraph" w:styleId="Revisin">
    <w:name w:val="Revision"/>
    <w:hidden/>
    <w:uiPriority w:val="99"/>
    <w:semiHidden/>
    <w:rsid w:val="00F110C0"/>
    <w:rPr>
      <w:rFonts w:ascii="Times" w:eastAsia="Times" w:hAnsi="Times" w:cs="Times New Roman"/>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30236">
      <w:bodyDiv w:val="1"/>
      <w:marLeft w:val="0"/>
      <w:marRight w:val="0"/>
      <w:marTop w:val="0"/>
      <w:marBottom w:val="0"/>
      <w:divBdr>
        <w:top w:val="none" w:sz="0" w:space="0" w:color="auto"/>
        <w:left w:val="none" w:sz="0" w:space="0" w:color="auto"/>
        <w:bottom w:val="none" w:sz="0" w:space="0" w:color="auto"/>
        <w:right w:val="none" w:sz="0" w:space="0" w:color="auto"/>
      </w:divBdr>
      <w:divsChild>
        <w:div w:id="1278216199">
          <w:marLeft w:val="0"/>
          <w:marRight w:val="0"/>
          <w:marTop w:val="0"/>
          <w:marBottom w:val="0"/>
          <w:divBdr>
            <w:top w:val="none" w:sz="0" w:space="0" w:color="auto"/>
            <w:left w:val="none" w:sz="0" w:space="0" w:color="auto"/>
            <w:bottom w:val="none" w:sz="0" w:space="0" w:color="auto"/>
            <w:right w:val="none" w:sz="0" w:space="0" w:color="auto"/>
          </w:divBdr>
          <w:divsChild>
            <w:div w:id="1370061371">
              <w:marLeft w:val="0"/>
              <w:marRight w:val="0"/>
              <w:marTop w:val="0"/>
              <w:marBottom w:val="0"/>
              <w:divBdr>
                <w:top w:val="none" w:sz="0" w:space="0" w:color="auto"/>
                <w:left w:val="none" w:sz="0" w:space="0" w:color="auto"/>
                <w:bottom w:val="none" w:sz="0" w:space="0" w:color="auto"/>
                <w:right w:val="none" w:sz="0" w:space="0" w:color="auto"/>
              </w:divBdr>
              <w:divsChild>
                <w:div w:id="21463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2626">
      <w:bodyDiv w:val="1"/>
      <w:marLeft w:val="0"/>
      <w:marRight w:val="0"/>
      <w:marTop w:val="0"/>
      <w:marBottom w:val="0"/>
      <w:divBdr>
        <w:top w:val="none" w:sz="0" w:space="0" w:color="auto"/>
        <w:left w:val="none" w:sz="0" w:space="0" w:color="auto"/>
        <w:bottom w:val="none" w:sz="0" w:space="0" w:color="auto"/>
        <w:right w:val="none" w:sz="0" w:space="0" w:color="auto"/>
      </w:divBdr>
      <w:divsChild>
        <w:div w:id="1020354573">
          <w:marLeft w:val="0"/>
          <w:marRight w:val="0"/>
          <w:marTop w:val="0"/>
          <w:marBottom w:val="0"/>
          <w:divBdr>
            <w:top w:val="none" w:sz="0" w:space="0" w:color="auto"/>
            <w:left w:val="none" w:sz="0" w:space="0" w:color="auto"/>
            <w:bottom w:val="none" w:sz="0" w:space="0" w:color="auto"/>
            <w:right w:val="none" w:sz="0" w:space="0" w:color="auto"/>
          </w:divBdr>
          <w:divsChild>
            <w:div w:id="2068871668">
              <w:marLeft w:val="0"/>
              <w:marRight w:val="0"/>
              <w:marTop w:val="0"/>
              <w:marBottom w:val="0"/>
              <w:divBdr>
                <w:top w:val="none" w:sz="0" w:space="0" w:color="auto"/>
                <w:left w:val="none" w:sz="0" w:space="0" w:color="auto"/>
                <w:bottom w:val="none" w:sz="0" w:space="0" w:color="auto"/>
                <w:right w:val="none" w:sz="0" w:space="0" w:color="auto"/>
              </w:divBdr>
              <w:divsChild>
                <w:div w:id="3084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3924">
      <w:bodyDiv w:val="1"/>
      <w:marLeft w:val="0"/>
      <w:marRight w:val="0"/>
      <w:marTop w:val="0"/>
      <w:marBottom w:val="0"/>
      <w:divBdr>
        <w:top w:val="none" w:sz="0" w:space="0" w:color="auto"/>
        <w:left w:val="none" w:sz="0" w:space="0" w:color="auto"/>
        <w:bottom w:val="none" w:sz="0" w:space="0" w:color="auto"/>
        <w:right w:val="none" w:sz="0" w:space="0" w:color="auto"/>
      </w:divBdr>
    </w:div>
    <w:div w:id="284510912">
      <w:bodyDiv w:val="1"/>
      <w:marLeft w:val="0"/>
      <w:marRight w:val="0"/>
      <w:marTop w:val="0"/>
      <w:marBottom w:val="0"/>
      <w:divBdr>
        <w:top w:val="none" w:sz="0" w:space="0" w:color="auto"/>
        <w:left w:val="none" w:sz="0" w:space="0" w:color="auto"/>
        <w:bottom w:val="none" w:sz="0" w:space="0" w:color="auto"/>
        <w:right w:val="none" w:sz="0" w:space="0" w:color="auto"/>
      </w:divBdr>
      <w:divsChild>
        <w:div w:id="1165361769">
          <w:marLeft w:val="0"/>
          <w:marRight w:val="0"/>
          <w:marTop w:val="0"/>
          <w:marBottom w:val="0"/>
          <w:divBdr>
            <w:top w:val="none" w:sz="0" w:space="0" w:color="auto"/>
            <w:left w:val="none" w:sz="0" w:space="0" w:color="auto"/>
            <w:bottom w:val="none" w:sz="0" w:space="0" w:color="auto"/>
            <w:right w:val="none" w:sz="0" w:space="0" w:color="auto"/>
          </w:divBdr>
          <w:divsChild>
            <w:div w:id="1373456988">
              <w:marLeft w:val="0"/>
              <w:marRight w:val="0"/>
              <w:marTop w:val="0"/>
              <w:marBottom w:val="0"/>
              <w:divBdr>
                <w:top w:val="none" w:sz="0" w:space="0" w:color="auto"/>
                <w:left w:val="none" w:sz="0" w:space="0" w:color="auto"/>
                <w:bottom w:val="none" w:sz="0" w:space="0" w:color="auto"/>
                <w:right w:val="none" w:sz="0" w:space="0" w:color="auto"/>
              </w:divBdr>
              <w:divsChild>
                <w:div w:id="1626888237">
                  <w:marLeft w:val="0"/>
                  <w:marRight w:val="0"/>
                  <w:marTop w:val="0"/>
                  <w:marBottom w:val="0"/>
                  <w:divBdr>
                    <w:top w:val="none" w:sz="0" w:space="0" w:color="auto"/>
                    <w:left w:val="none" w:sz="0" w:space="0" w:color="auto"/>
                    <w:bottom w:val="none" w:sz="0" w:space="0" w:color="auto"/>
                    <w:right w:val="none" w:sz="0" w:space="0" w:color="auto"/>
                  </w:divBdr>
                  <w:divsChild>
                    <w:div w:id="53858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13693">
      <w:bodyDiv w:val="1"/>
      <w:marLeft w:val="0"/>
      <w:marRight w:val="0"/>
      <w:marTop w:val="0"/>
      <w:marBottom w:val="0"/>
      <w:divBdr>
        <w:top w:val="none" w:sz="0" w:space="0" w:color="auto"/>
        <w:left w:val="none" w:sz="0" w:space="0" w:color="auto"/>
        <w:bottom w:val="none" w:sz="0" w:space="0" w:color="auto"/>
        <w:right w:val="none" w:sz="0" w:space="0" w:color="auto"/>
      </w:divBdr>
    </w:div>
    <w:div w:id="311716215">
      <w:bodyDiv w:val="1"/>
      <w:marLeft w:val="0"/>
      <w:marRight w:val="0"/>
      <w:marTop w:val="0"/>
      <w:marBottom w:val="0"/>
      <w:divBdr>
        <w:top w:val="none" w:sz="0" w:space="0" w:color="auto"/>
        <w:left w:val="none" w:sz="0" w:space="0" w:color="auto"/>
        <w:bottom w:val="none" w:sz="0" w:space="0" w:color="auto"/>
        <w:right w:val="none" w:sz="0" w:space="0" w:color="auto"/>
      </w:divBdr>
      <w:divsChild>
        <w:div w:id="2095852197">
          <w:marLeft w:val="0"/>
          <w:marRight w:val="0"/>
          <w:marTop w:val="0"/>
          <w:marBottom w:val="0"/>
          <w:divBdr>
            <w:top w:val="none" w:sz="0" w:space="0" w:color="auto"/>
            <w:left w:val="none" w:sz="0" w:space="0" w:color="auto"/>
            <w:bottom w:val="none" w:sz="0" w:space="0" w:color="auto"/>
            <w:right w:val="none" w:sz="0" w:space="0" w:color="auto"/>
          </w:divBdr>
          <w:divsChild>
            <w:div w:id="1831291549">
              <w:marLeft w:val="0"/>
              <w:marRight w:val="0"/>
              <w:marTop w:val="0"/>
              <w:marBottom w:val="0"/>
              <w:divBdr>
                <w:top w:val="none" w:sz="0" w:space="0" w:color="auto"/>
                <w:left w:val="none" w:sz="0" w:space="0" w:color="auto"/>
                <w:bottom w:val="none" w:sz="0" w:space="0" w:color="auto"/>
                <w:right w:val="none" w:sz="0" w:space="0" w:color="auto"/>
              </w:divBdr>
              <w:divsChild>
                <w:div w:id="65171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7010">
      <w:bodyDiv w:val="1"/>
      <w:marLeft w:val="0"/>
      <w:marRight w:val="0"/>
      <w:marTop w:val="0"/>
      <w:marBottom w:val="0"/>
      <w:divBdr>
        <w:top w:val="none" w:sz="0" w:space="0" w:color="auto"/>
        <w:left w:val="none" w:sz="0" w:space="0" w:color="auto"/>
        <w:bottom w:val="none" w:sz="0" w:space="0" w:color="auto"/>
        <w:right w:val="none" w:sz="0" w:space="0" w:color="auto"/>
      </w:divBdr>
      <w:divsChild>
        <w:div w:id="1014114891">
          <w:marLeft w:val="0"/>
          <w:marRight w:val="0"/>
          <w:marTop w:val="0"/>
          <w:marBottom w:val="0"/>
          <w:divBdr>
            <w:top w:val="none" w:sz="0" w:space="0" w:color="auto"/>
            <w:left w:val="none" w:sz="0" w:space="0" w:color="auto"/>
            <w:bottom w:val="none" w:sz="0" w:space="0" w:color="auto"/>
            <w:right w:val="none" w:sz="0" w:space="0" w:color="auto"/>
          </w:divBdr>
          <w:divsChild>
            <w:div w:id="373043962">
              <w:marLeft w:val="0"/>
              <w:marRight w:val="0"/>
              <w:marTop w:val="0"/>
              <w:marBottom w:val="0"/>
              <w:divBdr>
                <w:top w:val="none" w:sz="0" w:space="0" w:color="auto"/>
                <w:left w:val="none" w:sz="0" w:space="0" w:color="auto"/>
                <w:bottom w:val="none" w:sz="0" w:space="0" w:color="auto"/>
                <w:right w:val="none" w:sz="0" w:space="0" w:color="auto"/>
              </w:divBdr>
              <w:divsChild>
                <w:div w:id="11219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47895">
      <w:bodyDiv w:val="1"/>
      <w:marLeft w:val="0"/>
      <w:marRight w:val="0"/>
      <w:marTop w:val="0"/>
      <w:marBottom w:val="0"/>
      <w:divBdr>
        <w:top w:val="none" w:sz="0" w:space="0" w:color="auto"/>
        <w:left w:val="none" w:sz="0" w:space="0" w:color="auto"/>
        <w:bottom w:val="none" w:sz="0" w:space="0" w:color="auto"/>
        <w:right w:val="none" w:sz="0" w:space="0" w:color="auto"/>
      </w:divBdr>
    </w:div>
    <w:div w:id="505441600">
      <w:bodyDiv w:val="1"/>
      <w:marLeft w:val="0"/>
      <w:marRight w:val="0"/>
      <w:marTop w:val="0"/>
      <w:marBottom w:val="0"/>
      <w:divBdr>
        <w:top w:val="none" w:sz="0" w:space="0" w:color="auto"/>
        <w:left w:val="none" w:sz="0" w:space="0" w:color="auto"/>
        <w:bottom w:val="none" w:sz="0" w:space="0" w:color="auto"/>
        <w:right w:val="none" w:sz="0" w:space="0" w:color="auto"/>
      </w:divBdr>
      <w:divsChild>
        <w:div w:id="1792749755">
          <w:marLeft w:val="0"/>
          <w:marRight w:val="0"/>
          <w:marTop w:val="0"/>
          <w:marBottom w:val="0"/>
          <w:divBdr>
            <w:top w:val="none" w:sz="0" w:space="0" w:color="auto"/>
            <w:left w:val="none" w:sz="0" w:space="0" w:color="auto"/>
            <w:bottom w:val="none" w:sz="0" w:space="0" w:color="auto"/>
            <w:right w:val="none" w:sz="0" w:space="0" w:color="auto"/>
          </w:divBdr>
          <w:divsChild>
            <w:div w:id="956762005">
              <w:marLeft w:val="0"/>
              <w:marRight w:val="0"/>
              <w:marTop w:val="0"/>
              <w:marBottom w:val="0"/>
              <w:divBdr>
                <w:top w:val="none" w:sz="0" w:space="0" w:color="auto"/>
                <w:left w:val="none" w:sz="0" w:space="0" w:color="auto"/>
                <w:bottom w:val="none" w:sz="0" w:space="0" w:color="auto"/>
                <w:right w:val="none" w:sz="0" w:space="0" w:color="auto"/>
              </w:divBdr>
              <w:divsChild>
                <w:div w:id="13131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734761">
      <w:bodyDiv w:val="1"/>
      <w:marLeft w:val="0"/>
      <w:marRight w:val="0"/>
      <w:marTop w:val="0"/>
      <w:marBottom w:val="0"/>
      <w:divBdr>
        <w:top w:val="none" w:sz="0" w:space="0" w:color="auto"/>
        <w:left w:val="none" w:sz="0" w:space="0" w:color="auto"/>
        <w:bottom w:val="none" w:sz="0" w:space="0" w:color="auto"/>
        <w:right w:val="none" w:sz="0" w:space="0" w:color="auto"/>
      </w:divBdr>
      <w:divsChild>
        <w:div w:id="337075731">
          <w:marLeft w:val="0"/>
          <w:marRight w:val="0"/>
          <w:marTop w:val="0"/>
          <w:marBottom w:val="0"/>
          <w:divBdr>
            <w:top w:val="none" w:sz="0" w:space="0" w:color="auto"/>
            <w:left w:val="none" w:sz="0" w:space="0" w:color="auto"/>
            <w:bottom w:val="none" w:sz="0" w:space="0" w:color="auto"/>
            <w:right w:val="none" w:sz="0" w:space="0" w:color="auto"/>
          </w:divBdr>
          <w:divsChild>
            <w:div w:id="59597174">
              <w:marLeft w:val="0"/>
              <w:marRight w:val="0"/>
              <w:marTop w:val="0"/>
              <w:marBottom w:val="0"/>
              <w:divBdr>
                <w:top w:val="none" w:sz="0" w:space="0" w:color="auto"/>
                <w:left w:val="none" w:sz="0" w:space="0" w:color="auto"/>
                <w:bottom w:val="none" w:sz="0" w:space="0" w:color="auto"/>
                <w:right w:val="none" w:sz="0" w:space="0" w:color="auto"/>
              </w:divBdr>
              <w:divsChild>
                <w:div w:id="1079517199">
                  <w:marLeft w:val="0"/>
                  <w:marRight w:val="0"/>
                  <w:marTop w:val="0"/>
                  <w:marBottom w:val="0"/>
                  <w:divBdr>
                    <w:top w:val="none" w:sz="0" w:space="0" w:color="auto"/>
                    <w:left w:val="none" w:sz="0" w:space="0" w:color="auto"/>
                    <w:bottom w:val="none" w:sz="0" w:space="0" w:color="auto"/>
                    <w:right w:val="none" w:sz="0" w:space="0" w:color="auto"/>
                  </w:divBdr>
                  <w:divsChild>
                    <w:div w:id="5553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364676">
      <w:bodyDiv w:val="1"/>
      <w:marLeft w:val="0"/>
      <w:marRight w:val="0"/>
      <w:marTop w:val="0"/>
      <w:marBottom w:val="0"/>
      <w:divBdr>
        <w:top w:val="none" w:sz="0" w:space="0" w:color="auto"/>
        <w:left w:val="none" w:sz="0" w:space="0" w:color="auto"/>
        <w:bottom w:val="none" w:sz="0" w:space="0" w:color="auto"/>
        <w:right w:val="none" w:sz="0" w:space="0" w:color="auto"/>
      </w:divBdr>
    </w:div>
    <w:div w:id="616915860">
      <w:bodyDiv w:val="1"/>
      <w:marLeft w:val="0"/>
      <w:marRight w:val="0"/>
      <w:marTop w:val="0"/>
      <w:marBottom w:val="0"/>
      <w:divBdr>
        <w:top w:val="none" w:sz="0" w:space="0" w:color="auto"/>
        <w:left w:val="none" w:sz="0" w:space="0" w:color="auto"/>
        <w:bottom w:val="none" w:sz="0" w:space="0" w:color="auto"/>
        <w:right w:val="none" w:sz="0" w:space="0" w:color="auto"/>
      </w:divBdr>
    </w:div>
    <w:div w:id="633563674">
      <w:bodyDiv w:val="1"/>
      <w:marLeft w:val="0"/>
      <w:marRight w:val="0"/>
      <w:marTop w:val="0"/>
      <w:marBottom w:val="0"/>
      <w:divBdr>
        <w:top w:val="none" w:sz="0" w:space="0" w:color="auto"/>
        <w:left w:val="none" w:sz="0" w:space="0" w:color="auto"/>
        <w:bottom w:val="none" w:sz="0" w:space="0" w:color="auto"/>
        <w:right w:val="none" w:sz="0" w:space="0" w:color="auto"/>
      </w:divBdr>
      <w:divsChild>
        <w:div w:id="1655186248">
          <w:marLeft w:val="0"/>
          <w:marRight w:val="0"/>
          <w:marTop w:val="0"/>
          <w:marBottom w:val="0"/>
          <w:divBdr>
            <w:top w:val="none" w:sz="0" w:space="0" w:color="auto"/>
            <w:left w:val="none" w:sz="0" w:space="0" w:color="auto"/>
            <w:bottom w:val="none" w:sz="0" w:space="0" w:color="auto"/>
            <w:right w:val="none" w:sz="0" w:space="0" w:color="auto"/>
          </w:divBdr>
          <w:divsChild>
            <w:div w:id="1243416405">
              <w:marLeft w:val="0"/>
              <w:marRight w:val="0"/>
              <w:marTop w:val="0"/>
              <w:marBottom w:val="0"/>
              <w:divBdr>
                <w:top w:val="none" w:sz="0" w:space="0" w:color="auto"/>
                <w:left w:val="none" w:sz="0" w:space="0" w:color="auto"/>
                <w:bottom w:val="none" w:sz="0" w:space="0" w:color="auto"/>
                <w:right w:val="none" w:sz="0" w:space="0" w:color="auto"/>
              </w:divBdr>
              <w:divsChild>
                <w:div w:id="1797333210">
                  <w:marLeft w:val="0"/>
                  <w:marRight w:val="0"/>
                  <w:marTop w:val="0"/>
                  <w:marBottom w:val="0"/>
                  <w:divBdr>
                    <w:top w:val="none" w:sz="0" w:space="0" w:color="auto"/>
                    <w:left w:val="none" w:sz="0" w:space="0" w:color="auto"/>
                    <w:bottom w:val="none" w:sz="0" w:space="0" w:color="auto"/>
                    <w:right w:val="none" w:sz="0" w:space="0" w:color="auto"/>
                  </w:divBdr>
                  <w:divsChild>
                    <w:div w:id="17138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903610">
      <w:bodyDiv w:val="1"/>
      <w:marLeft w:val="0"/>
      <w:marRight w:val="0"/>
      <w:marTop w:val="0"/>
      <w:marBottom w:val="0"/>
      <w:divBdr>
        <w:top w:val="none" w:sz="0" w:space="0" w:color="auto"/>
        <w:left w:val="none" w:sz="0" w:space="0" w:color="auto"/>
        <w:bottom w:val="none" w:sz="0" w:space="0" w:color="auto"/>
        <w:right w:val="none" w:sz="0" w:space="0" w:color="auto"/>
      </w:divBdr>
      <w:divsChild>
        <w:div w:id="808474174">
          <w:marLeft w:val="0"/>
          <w:marRight w:val="0"/>
          <w:marTop w:val="0"/>
          <w:marBottom w:val="0"/>
          <w:divBdr>
            <w:top w:val="none" w:sz="0" w:space="0" w:color="auto"/>
            <w:left w:val="none" w:sz="0" w:space="0" w:color="auto"/>
            <w:bottom w:val="none" w:sz="0" w:space="0" w:color="auto"/>
            <w:right w:val="none" w:sz="0" w:space="0" w:color="auto"/>
          </w:divBdr>
          <w:divsChild>
            <w:div w:id="715277435">
              <w:marLeft w:val="0"/>
              <w:marRight w:val="0"/>
              <w:marTop w:val="0"/>
              <w:marBottom w:val="0"/>
              <w:divBdr>
                <w:top w:val="none" w:sz="0" w:space="0" w:color="auto"/>
                <w:left w:val="none" w:sz="0" w:space="0" w:color="auto"/>
                <w:bottom w:val="none" w:sz="0" w:space="0" w:color="auto"/>
                <w:right w:val="none" w:sz="0" w:space="0" w:color="auto"/>
              </w:divBdr>
              <w:divsChild>
                <w:div w:id="1559365844">
                  <w:marLeft w:val="0"/>
                  <w:marRight w:val="0"/>
                  <w:marTop w:val="0"/>
                  <w:marBottom w:val="0"/>
                  <w:divBdr>
                    <w:top w:val="none" w:sz="0" w:space="0" w:color="auto"/>
                    <w:left w:val="none" w:sz="0" w:space="0" w:color="auto"/>
                    <w:bottom w:val="none" w:sz="0" w:space="0" w:color="auto"/>
                    <w:right w:val="none" w:sz="0" w:space="0" w:color="auto"/>
                  </w:divBdr>
                  <w:divsChild>
                    <w:div w:id="8004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620858">
      <w:bodyDiv w:val="1"/>
      <w:marLeft w:val="0"/>
      <w:marRight w:val="0"/>
      <w:marTop w:val="0"/>
      <w:marBottom w:val="0"/>
      <w:divBdr>
        <w:top w:val="none" w:sz="0" w:space="0" w:color="auto"/>
        <w:left w:val="none" w:sz="0" w:space="0" w:color="auto"/>
        <w:bottom w:val="none" w:sz="0" w:space="0" w:color="auto"/>
        <w:right w:val="none" w:sz="0" w:space="0" w:color="auto"/>
      </w:divBdr>
    </w:div>
    <w:div w:id="734553130">
      <w:bodyDiv w:val="1"/>
      <w:marLeft w:val="0"/>
      <w:marRight w:val="0"/>
      <w:marTop w:val="0"/>
      <w:marBottom w:val="0"/>
      <w:divBdr>
        <w:top w:val="none" w:sz="0" w:space="0" w:color="auto"/>
        <w:left w:val="none" w:sz="0" w:space="0" w:color="auto"/>
        <w:bottom w:val="none" w:sz="0" w:space="0" w:color="auto"/>
        <w:right w:val="none" w:sz="0" w:space="0" w:color="auto"/>
      </w:divBdr>
      <w:divsChild>
        <w:div w:id="1831214563">
          <w:marLeft w:val="0"/>
          <w:marRight w:val="0"/>
          <w:marTop w:val="0"/>
          <w:marBottom w:val="0"/>
          <w:divBdr>
            <w:top w:val="none" w:sz="0" w:space="0" w:color="auto"/>
            <w:left w:val="none" w:sz="0" w:space="0" w:color="auto"/>
            <w:bottom w:val="none" w:sz="0" w:space="0" w:color="auto"/>
            <w:right w:val="none" w:sz="0" w:space="0" w:color="auto"/>
          </w:divBdr>
          <w:divsChild>
            <w:div w:id="1273047726">
              <w:marLeft w:val="0"/>
              <w:marRight w:val="0"/>
              <w:marTop w:val="0"/>
              <w:marBottom w:val="0"/>
              <w:divBdr>
                <w:top w:val="none" w:sz="0" w:space="0" w:color="auto"/>
                <w:left w:val="none" w:sz="0" w:space="0" w:color="auto"/>
                <w:bottom w:val="none" w:sz="0" w:space="0" w:color="auto"/>
                <w:right w:val="none" w:sz="0" w:space="0" w:color="auto"/>
              </w:divBdr>
              <w:divsChild>
                <w:div w:id="152063067">
                  <w:marLeft w:val="0"/>
                  <w:marRight w:val="0"/>
                  <w:marTop w:val="0"/>
                  <w:marBottom w:val="0"/>
                  <w:divBdr>
                    <w:top w:val="none" w:sz="0" w:space="0" w:color="auto"/>
                    <w:left w:val="none" w:sz="0" w:space="0" w:color="auto"/>
                    <w:bottom w:val="none" w:sz="0" w:space="0" w:color="auto"/>
                    <w:right w:val="none" w:sz="0" w:space="0" w:color="auto"/>
                  </w:divBdr>
                  <w:divsChild>
                    <w:div w:id="16188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880418">
      <w:bodyDiv w:val="1"/>
      <w:marLeft w:val="0"/>
      <w:marRight w:val="0"/>
      <w:marTop w:val="0"/>
      <w:marBottom w:val="0"/>
      <w:divBdr>
        <w:top w:val="none" w:sz="0" w:space="0" w:color="auto"/>
        <w:left w:val="none" w:sz="0" w:space="0" w:color="auto"/>
        <w:bottom w:val="none" w:sz="0" w:space="0" w:color="auto"/>
        <w:right w:val="none" w:sz="0" w:space="0" w:color="auto"/>
      </w:divBdr>
    </w:div>
    <w:div w:id="814835538">
      <w:bodyDiv w:val="1"/>
      <w:marLeft w:val="0"/>
      <w:marRight w:val="0"/>
      <w:marTop w:val="0"/>
      <w:marBottom w:val="0"/>
      <w:divBdr>
        <w:top w:val="none" w:sz="0" w:space="0" w:color="auto"/>
        <w:left w:val="none" w:sz="0" w:space="0" w:color="auto"/>
        <w:bottom w:val="none" w:sz="0" w:space="0" w:color="auto"/>
        <w:right w:val="none" w:sz="0" w:space="0" w:color="auto"/>
      </w:divBdr>
    </w:div>
    <w:div w:id="837118077">
      <w:bodyDiv w:val="1"/>
      <w:marLeft w:val="0"/>
      <w:marRight w:val="0"/>
      <w:marTop w:val="0"/>
      <w:marBottom w:val="0"/>
      <w:divBdr>
        <w:top w:val="none" w:sz="0" w:space="0" w:color="auto"/>
        <w:left w:val="none" w:sz="0" w:space="0" w:color="auto"/>
        <w:bottom w:val="none" w:sz="0" w:space="0" w:color="auto"/>
        <w:right w:val="none" w:sz="0" w:space="0" w:color="auto"/>
      </w:divBdr>
    </w:div>
    <w:div w:id="838740537">
      <w:bodyDiv w:val="1"/>
      <w:marLeft w:val="0"/>
      <w:marRight w:val="0"/>
      <w:marTop w:val="0"/>
      <w:marBottom w:val="0"/>
      <w:divBdr>
        <w:top w:val="none" w:sz="0" w:space="0" w:color="auto"/>
        <w:left w:val="none" w:sz="0" w:space="0" w:color="auto"/>
        <w:bottom w:val="none" w:sz="0" w:space="0" w:color="auto"/>
        <w:right w:val="none" w:sz="0" w:space="0" w:color="auto"/>
      </w:divBdr>
    </w:div>
    <w:div w:id="876042451">
      <w:bodyDiv w:val="1"/>
      <w:marLeft w:val="0"/>
      <w:marRight w:val="0"/>
      <w:marTop w:val="0"/>
      <w:marBottom w:val="0"/>
      <w:divBdr>
        <w:top w:val="none" w:sz="0" w:space="0" w:color="auto"/>
        <w:left w:val="none" w:sz="0" w:space="0" w:color="auto"/>
        <w:bottom w:val="none" w:sz="0" w:space="0" w:color="auto"/>
        <w:right w:val="none" w:sz="0" w:space="0" w:color="auto"/>
      </w:divBdr>
    </w:div>
    <w:div w:id="911087960">
      <w:bodyDiv w:val="1"/>
      <w:marLeft w:val="0"/>
      <w:marRight w:val="0"/>
      <w:marTop w:val="0"/>
      <w:marBottom w:val="0"/>
      <w:divBdr>
        <w:top w:val="none" w:sz="0" w:space="0" w:color="auto"/>
        <w:left w:val="none" w:sz="0" w:space="0" w:color="auto"/>
        <w:bottom w:val="none" w:sz="0" w:space="0" w:color="auto"/>
        <w:right w:val="none" w:sz="0" w:space="0" w:color="auto"/>
      </w:divBdr>
      <w:divsChild>
        <w:div w:id="1079718033">
          <w:marLeft w:val="0"/>
          <w:marRight w:val="0"/>
          <w:marTop w:val="0"/>
          <w:marBottom w:val="0"/>
          <w:divBdr>
            <w:top w:val="none" w:sz="0" w:space="0" w:color="auto"/>
            <w:left w:val="none" w:sz="0" w:space="0" w:color="auto"/>
            <w:bottom w:val="none" w:sz="0" w:space="0" w:color="auto"/>
            <w:right w:val="none" w:sz="0" w:space="0" w:color="auto"/>
          </w:divBdr>
          <w:divsChild>
            <w:div w:id="2006126011">
              <w:marLeft w:val="0"/>
              <w:marRight w:val="0"/>
              <w:marTop w:val="0"/>
              <w:marBottom w:val="0"/>
              <w:divBdr>
                <w:top w:val="none" w:sz="0" w:space="0" w:color="auto"/>
                <w:left w:val="none" w:sz="0" w:space="0" w:color="auto"/>
                <w:bottom w:val="none" w:sz="0" w:space="0" w:color="auto"/>
                <w:right w:val="none" w:sz="0" w:space="0" w:color="auto"/>
              </w:divBdr>
              <w:divsChild>
                <w:div w:id="1907953818">
                  <w:marLeft w:val="0"/>
                  <w:marRight w:val="0"/>
                  <w:marTop w:val="0"/>
                  <w:marBottom w:val="0"/>
                  <w:divBdr>
                    <w:top w:val="none" w:sz="0" w:space="0" w:color="auto"/>
                    <w:left w:val="none" w:sz="0" w:space="0" w:color="auto"/>
                    <w:bottom w:val="none" w:sz="0" w:space="0" w:color="auto"/>
                    <w:right w:val="none" w:sz="0" w:space="0" w:color="auto"/>
                  </w:divBdr>
                  <w:divsChild>
                    <w:div w:id="7935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559019">
      <w:bodyDiv w:val="1"/>
      <w:marLeft w:val="0"/>
      <w:marRight w:val="0"/>
      <w:marTop w:val="0"/>
      <w:marBottom w:val="0"/>
      <w:divBdr>
        <w:top w:val="none" w:sz="0" w:space="0" w:color="auto"/>
        <w:left w:val="none" w:sz="0" w:space="0" w:color="auto"/>
        <w:bottom w:val="none" w:sz="0" w:space="0" w:color="auto"/>
        <w:right w:val="none" w:sz="0" w:space="0" w:color="auto"/>
      </w:divBdr>
      <w:divsChild>
        <w:div w:id="78216602">
          <w:marLeft w:val="0"/>
          <w:marRight w:val="0"/>
          <w:marTop w:val="0"/>
          <w:marBottom w:val="0"/>
          <w:divBdr>
            <w:top w:val="none" w:sz="0" w:space="0" w:color="auto"/>
            <w:left w:val="none" w:sz="0" w:space="0" w:color="auto"/>
            <w:bottom w:val="none" w:sz="0" w:space="0" w:color="auto"/>
            <w:right w:val="none" w:sz="0" w:space="0" w:color="auto"/>
          </w:divBdr>
          <w:divsChild>
            <w:div w:id="532377044">
              <w:marLeft w:val="0"/>
              <w:marRight w:val="0"/>
              <w:marTop w:val="0"/>
              <w:marBottom w:val="0"/>
              <w:divBdr>
                <w:top w:val="none" w:sz="0" w:space="0" w:color="auto"/>
                <w:left w:val="none" w:sz="0" w:space="0" w:color="auto"/>
                <w:bottom w:val="none" w:sz="0" w:space="0" w:color="auto"/>
                <w:right w:val="none" w:sz="0" w:space="0" w:color="auto"/>
              </w:divBdr>
              <w:divsChild>
                <w:div w:id="1035539581">
                  <w:marLeft w:val="0"/>
                  <w:marRight w:val="0"/>
                  <w:marTop w:val="0"/>
                  <w:marBottom w:val="0"/>
                  <w:divBdr>
                    <w:top w:val="none" w:sz="0" w:space="0" w:color="auto"/>
                    <w:left w:val="none" w:sz="0" w:space="0" w:color="auto"/>
                    <w:bottom w:val="none" w:sz="0" w:space="0" w:color="auto"/>
                    <w:right w:val="none" w:sz="0" w:space="0" w:color="auto"/>
                  </w:divBdr>
                  <w:divsChild>
                    <w:div w:id="21455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464071">
      <w:bodyDiv w:val="1"/>
      <w:marLeft w:val="0"/>
      <w:marRight w:val="0"/>
      <w:marTop w:val="0"/>
      <w:marBottom w:val="0"/>
      <w:divBdr>
        <w:top w:val="none" w:sz="0" w:space="0" w:color="auto"/>
        <w:left w:val="none" w:sz="0" w:space="0" w:color="auto"/>
        <w:bottom w:val="none" w:sz="0" w:space="0" w:color="auto"/>
        <w:right w:val="none" w:sz="0" w:space="0" w:color="auto"/>
      </w:divBdr>
      <w:divsChild>
        <w:div w:id="1267277374">
          <w:marLeft w:val="0"/>
          <w:marRight w:val="0"/>
          <w:marTop w:val="0"/>
          <w:marBottom w:val="0"/>
          <w:divBdr>
            <w:top w:val="none" w:sz="0" w:space="0" w:color="auto"/>
            <w:left w:val="none" w:sz="0" w:space="0" w:color="auto"/>
            <w:bottom w:val="none" w:sz="0" w:space="0" w:color="auto"/>
            <w:right w:val="none" w:sz="0" w:space="0" w:color="auto"/>
          </w:divBdr>
          <w:divsChild>
            <w:div w:id="856964616">
              <w:marLeft w:val="0"/>
              <w:marRight w:val="0"/>
              <w:marTop w:val="0"/>
              <w:marBottom w:val="0"/>
              <w:divBdr>
                <w:top w:val="none" w:sz="0" w:space="0" w:color="auto"/>
                <w:left w:val="none" w:sz="0" w:space="0" w:color="auto"/>
                <w:bottom w:val="none" w:sz="0" w:space="0" w:color="auto"/>
                <w:right w:val="none" w:sz="0" w:space="0" w:color="auto"/>
              </w:divBdr>
              <w:divsChild>
                <w:div w:id="624047739">
                  <w:marLeft w:val="0"/>
                  <w:marRight w:val="0"/>
                  <w:marTop w:val="0"/>
                  <w:marBottom w:val="0"/>
                  <w:divBdr>
                    <w:top w:val="none" w:sz="0" w:space="0" w:color="auto"/>
                    <w:left w:val="none" w:sz="0" w:space="0" w:color="auto"/>
                    <w:bottom w:val="none" w:sz="0" w:space="0" w:color="auto"/>
                    <w:right w:val="none" w:sz="0" w:space="0" w:color="auto"/>
                  </w:divBdr>
                  <w:divsChild>
                    <w:div w:id="38209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431066">
      <w:bodyDiv w:val="1"/>
      <w:marLeft w:val="0"/>
      <w:marRight w:val="0"/>
      <w:marTop w:val="0"/>
      <w:marBottom w:val="0"/>
      <w:divBdr>
        <w:top w:val="none" w:sz="0" w:space="0" w:color="auto"/>
        <w:left w:val="none" w:sz="0" w:space="0" w:color="auto"/>
        <w:bottom w:val="none" w:sz="0" w:space="0" w:color="auto"/>
        <w:right w:val="none" w:sz="0" w:space="0" w:color="auto"/>
      </w:divBdr>
      <w:divsChild>
        <w:div w:id="1405299590">
          <w:marLeft w:val="0"/>
          <w:marRight w:val="0"/>
          <w:marTop w:val="0"/>
          <w:marBottom w:val="0"/>
          <w:divBdr>
            <w:top w:val="none" w:sz="0" w:space="0" w:color="auto"/>
            <w:left w:val="none" w:sz="0" w:space="0" w:color="auto"/>
            <w:bottom w:val="none" w:sz="0" w:space="0" w:color="auto"/>
            <w:right w:val="none" w:sz="0" w:space="0" w:color="auto"/>
          </w:divBdr>
          <w:divsChild>
            <w:div w:id="1836409892">
              <w:marLeft w:val="0"/>
              <w:marRight w:val="0"/>
              <w:marTop w:val="0"/>
              <w:marBottom w:val="0"/>
              <w:divBdr>
                <w:top w:val="none" w:sz="0" w:space="0" w:color="auto"/>
                <w:left w:val="none" w:sz="0" w:space="0" w:color="auto"/>
                <w:bottom w:val="none" w:sz="0" w:space="0" w:color="auto"/>
                <w:right w:val="none" w:sz="0" w:space="0" w:color="auto"/>
              </w:divBdr>
              <w:divsChild>
                <w:div w:id="5414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364002">
      <w:bodyDiv w:val="1"/>
      <w:marLeft w:val="0"/>
      <w:marRight w:val="0"/>
      <w:marTop w:val="0"/>
      <w:marBottom w:val="0"/>
      <w:divBdr>
        <w:top w:val="none" w:sz="0" w:space="0" w:color="auto"/>
        <w:left w:val="none" w:sz="0" w:space="0" w:color="auto"/>
        <w:bottom w:val="none" w:sz="0" w:space="0" w:color="auto"/>
        <w:right w:val="none" w:sz="0" w:space="0" w:color="auto"/>
      </w:divBdr>
    </w:div>
    <w:div w:id="1157838061">
      <w:bodyDiv w:val="1"/>
      <w:marLeft w:val="0"/>
      <w:marRight w:val="0"/>
      <w:marTop w:val="0"/>
      <w:marBottom w:val="0"/>
      <w:divBdr>
        <w:top w:val="none" w:sz="0" w:space="0" w:color="auto"/>
        <w:left w:val="none" w:sz="0" w:space="0" w:color="auto"/>
        <w:bottom w:val="none" w:sz="0" w:space="0" w:color="auto"/>
        <w:right w:val="none" w:sz="0" w:space="0" w:color="auto"/>
      </w:divBdr>
    </w:div>
    <w:div w:id="1159879574">
      <w:bodyDiv w:val="1"/>
      <w:marLeft w:val="0"/>
      <w:marRight w:val="0"/>
      <w:marTop w:val="0"/>
      <w:marBottom w:val="0"/>
      <w:divBdr>
        <w:top w:val="none" w:sz="0" w:space="0" w:color="auto"/>
        <w:left w:val="none" w:sz="0" w:space="0" w:color="auto"/>
        <w:bottom w:val="none" w:sz="0" w:space="0" w:color="auto"/>
        <w:right w:val="none" w:sz="0" w:space="0" w:color="auto"/>
      </w:divBdr>
    </w:div>
    <w:div w:id="1222713296">
      <w:bodyDiv w:val="1"/>
      <w:marLeft w:val="0"/>
      <w:marRight w:val="0"/>
      <w:marTop w:val="0"/>
      <w:marBottom w:val="0"/>
      <w:divBdr>
        <w:top w:val="none" w:sz="0" w:space="0" w:color="auto"/>
        <w:left w:val="none" w:sz="0" w:space="0" w:color="auto"/>
        <w:bottom w:val="none" w:sz="0" w:space="0" w:color="auto"/>
        <w:right w:val="none" w:sz="0" w:space="0" w:color="auto"/>
      </w:divBdr>
    </w:div>
    <w:div w:id="1224176538">
      <w:bodyDiv w:val="1"/>
      <w:marLeft w:val="0"/>
      <w:marRight w:val="0"/>
      <w:marTop w:val="0"/>
      <w:marBottom w:val="0"/>
      <w:divBdr>
        <w:top w:val="none" w:sz="0" w:space="0" w:color="auto"/>
        <w:left w:val="none" w:sz="0" w:space="0" w:color="auto"/>
        <w:bottom w:val="none" w:sz="0" w:space="0" w:color="auto"/>
        <w:right w:val="none" w:sz="0" w:space="0" w:color="auto"/>
      </w:divBdr>
    </w:div>
    <w:div w:id="1235974610">
      <w:bodyDiv w:val="1"/>
      <w:marLeft w:val="0"/>
      <w:marRight w:val="0"/>
      <w:marTop w:val="0"/>
      <w:marBottom w:val="0"/>
      <w:divBdr>
        <w:top w:val="none" w:sz="0" w:space="0" w:color="auto"/>
        <w:left w:val="none" w:sz="0" w:space="0" w:color="auto"/>
        <w:bottom w:val="none" w:sz="0" w:space="0" w:color="auto"/>
        <w:right w:val="none" w:sz="0" w:space="0" w:color="auto"/>
      </w:divBdr>
    </w:div>
    <w:div w:id="1329334403">
      <w:bodyDiv w:val="1"/>
      <w:marLeft w:val="0"/>
      <w:marRight w:val="0"/>
      <w:marTop w:val="0"/>
      <w:marBottom w:val="0"/>
      <w:divBdr>
        <w:top w:val="none" w:sz="0" w:space="0" w:color="auto"/>
        <w:left w:val="none" w:sz="0" w:space="0" w:color="auto"/>
        <w:bottom w:val="none" w:sz="0" w:space="0" w:color="auto"/>
        <w:right w:val="none" w:sz="0" w:space="0" w:color="auto"/>
      </w:divBdr>
      <w:divsChild>
        <w:div w:id="1948729059">
          <w:marLeft w:val="0"/>
          <w:marRight w:val="12"/>
          <w:marTop w:val="0"/>
          <w:marBottom w:val="0"/>
          <w:divBdr>
            <w:top w:val="none" w:sz="0" w:space="0" w:color="auto"/>
            <w:left w:val="none" w:sz="0" w:space="0" w:color="auto"/>
            <w:bottom w:val="none" w:sz="0" w:space="0" w:color="auto"/>
            <w:right w:val="none" w:sz="0" w:space="0" w:color="auto"/>
          </w:divBdr>
        </w:div>
        <w:div w:id="589434956">
          <w:marLeft w:val="0"/>
          <w:marRight w:val="0"/>
          <w:marTop w:val="0"/>
          <w:marBottom w:val="0"/>
          <w:divBdr>
            <w:top w:val="none" w:sz="0" w:space="0" w:color="auto"/>
            <w:left w:val="none" w:sz="0" w:space="0" w:color="auto"/>
            <w:bottom w:val="none" w:sz="0" w:space="0" w:color="auto"/>
            <w:right w:val="none" w:sz="0" w:space="0" w:color="auto"/>
          </w:divBdr>
        </w:div>
      </w:divsChild>
    </w:div>
    <w:div w:id="1336229678">
      <w:bodyDiv w:val="1"/>
      <w:marLeft w:val="0"/>
      <w:marRight w:val="0"/>
      <w:marTop w:val="0"/>
      <w:marBottom w:val="0"/>
      <w:divBdr>
        <w:top w:val="none" w:sz="0" w:space="0" w:color="auto"/>
        <w:left w:val="none" w:sz="0" w:space="0" w:color="auto"/>
        <w:bottom w:val="none" w:sz="0" w:space="0" w:color="auto"/>
        <w:right w:val="none" w:sz="0" w:space="0" w:color="auto"/>
      </w:divBdr>
      <w:divsChild>
        <w:div w:id="1907571781">
          <w:marLeft w:val="0"/>
          <w:marRight w:val="0"/>
          <w:marTop w:val="0"/>
          <w:marBottom w:val="0"/>
          <w:divBdr>
            <w:top w:val="none" w:sz="0" w:space="0" w:color="auto"/>
            <w:left w:val="none" w:sz="0" w:space="0" w:color="auto"/>
            <w:bottom w:val="none" w:sz="0" w:space="0" w:color="auto"/>
            <w:right w:val="none" w:sz="0" w:space="0" w:color="auto"/>
          </w:divBdr>
          <w:divsChild>
            <w:div w:id="892886966">
              <w:marLeft w:val="0"/>
              <w:marRight w:val="0"/>
              <w:marTop w:val="0"/>
              <w:marBottom w:val="0"/>
              <w:divBdr>
                <w:top w:val="none" w:sz="0" w:space="0" w:color="auto"/>
                <w:left w:val="none" w:sz="0" w:space="0" w:color="auto"/>
                <w:bottom w:val="none" w:sz="0" w:space="0" w:color="auto"/>
                <w:right w:val="none" w:sz="0" w:space="0" w:color="auto"/>
              </w:divBdr>
              <w:divsChild>
                <w:div w:id="564075036">
                  <w:marLeft w:val="0"/>
                  <w:marRight w:val="0"/>
                  <w:marTop w:val="0"/>
                  <w:marBottom w:val="0"/>
                  <w:divBdr>
                    <w:top w:val="none" w:sz="0" w:space="0" w:color="auto"/>
                    <w:left w:val="none" w:sz="0" w:space="0" w:color="auto"/>
                    <w:bottom w:val="none" w:sz="0" w:space="0" w:color="auto"/>
                    <w:right w:val="none" w:sz="0" w:space="0" w:color="auto"/>
                  </w:divBdr>
                  <w:divsChild>
                    <w:div w:id="13902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73201">
      <w:bodyDiv w:val="1"/>
      <w:marLeft w:val="0"/>
      <w:marRight w:val="0"/>
      <w:marTop w:val="0"/>
      <w:marBottom w:val="0"/>
      <w:divBdr>
        <w:top w:val="none" w:sz="0" w:space="0" w:color="auto"/>
        <w:left w:val="none" w:sz="0" w:space="0" w:color="auto"/>
        <w:bottom w:val="none" w:sz="0" w:space="0" w:color="auto"/>
        <w:right w:val="none" w:sz="0" w:space="0" w:color="auto"/>
      </w:divBdr>
      <w:divsChild>
        <w:div w:id="106824790">
          <w:marLeft w:val="0"/>
          <w:marRight w:val="0"/>
          <w:marTop w:val="0"/>
          <w:marBottom w:val="0"/>
          <w:divBdr>
            <w:top w:val="none" w:sz="0" w:space="0" w:color="auto"/>
            <w:left w:val="none" w:sz="0" w:space="0" w:color="auto"/>
            <w:bottom w:val="none" w:sz="0" w:space="0" w:color="auto"/>
            <w:right w:val="none" w:sz="0" w:space="0" w:color="auto"/>
          </w:divBdr>
          <w:divsChild>
            <w:div w:id="1347949109">
              <w:marLeft w:val="0"/>
              <w:marRight w:val="0"/>
              <w:marTop w:val="0"/>
              <w:marBottom w:val="0"/>
              <w:divBdr>
                <w:top w:val="none" w:sz="0" w:space="0" w:color="auto"/>
                <w:left w:val="none" w:sz="0" w:space="0" w:color="auto"/>
                <w:bottom w:val="none" w:sz="0" w:space="0" w:color="auto"/>
                <w:right w:val="none" w:sz="0" w:space="0" w:color="auto"/>
              </w:divBdr>
              <w:divsChild>
                <w:div w:id="1870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00623">
      <w:bodyDiv w:val="1"/>
      <w:marLeft w:val="0"/>
      <w:marRight w:val="0"/>
      <w:marTop w:val="0"/>
      <w:marBottom w:val="0"/>
      <w:divBdr>
        <w:top w:val="none" w:sz="0" w:space="0" w:color="auto"/>
        <w:left w:val="none" w:sz="0" w:space="0" w:color="auto"/>
        <w:bottom w:val="none" w:sz="0" w:space="0" w:color="auto"/>
        <w:right w:val="none" w:sz="0" w:space="0" w:color="auto"/>
      </w:divBdr>
    </w:div>
    <w:div w:id="1527282937">
      <w:bodyDiv w:val="1"/>
      <w:marLeft w:val="0"/>
      <w:marRight w:val="0"/>
      <w:marTop w:val="0"/>
      <w:marBottom w:val="0"/>
      <w:divBdr>
        <w:top w:val="none" w:sz="0" w:space="0" w:color="auto"/>
        <w:left w:val="none" w:sz="0" w:space="0" w:color="auto"/>
        <w:bottom w:val="none" w:sz="0" w:space="0" w:color="auto"/>
        <w:right w:val="none" w:sz="0" w:space="0" w:color="auto"/>
      </w:divBdr>
    </w:div>
    <w:div w:id="1532452789">
      <w:bodyDiv w:val="1"/>
      <w:marLeft w:val="0"/>
      <w:marRight w:val="0"/>
      <w:marTop w:val="0"/>
      <w:marBottom w:val="0"/>
      <w:divBdr>
        <w:top w:val="none" w:sz="0" w:space="0" w:color="auto"/>
        <w:left w:val="none" w:sz="0" w:space="0" w:color="auto"/>
        <w:bottom w:val="none" w:sz="0" w:space="0" w:color="auto"/>
        <w:right w:val="none" w:sz="0" w:space="0" w:color="auto"/>
      </w:divBdr>
      <w:divsChild>
        <w:div w:id="796993758">
          <w:marLeft w:val="0"/>
          <w:marRight w:val="0"/>
          <w:marTop w:val="0"/>
          <w:marBottom w:val="0"/>
          <w:divBdr>
            <w:top w:val="none" w:sz="0" w:space="0" w:color="auto"/>
            <w:left w:val="none" w:sz="0" w:space="0" w:color="auto"/>
            <w:bottom w:val="none" w:sz="0" w:space="0" w:color="auto"/>
            <w:right w:val="none" w:sz="0" w:space="0" w:color="auto"/>
          </w:divBdr>
          <w:divsChild>
            <w:div w:id="902716243">
              <w:marLeft w:val="0"/>
              <w:marRight w:val="0"/>
              <w:marTop w:val="0"/>
              <w:marBottom w:val="0"/>
              <w:divBdr>
                <w:top w:val="none" w:sz="0" w:space="0" w:color="auto"/>
                <w:left w:val="none" w:sz="0" w:space="0" w:color="auto"/>
                <w:bottom w:val="none" w:sz="0" w:space="0" w:color="auto"/>
                <w:right w:val="none" w:sz="0" w:space="0" w:color="auto"/>
              </w:divBdr>
              <w:divsChild>
                <w:div w:id="1407873807">
                  <w:marLeft w:val="0"/>
                  <w:marRight w:val="0"/>
                  <w:marTop w:val="0"/>
                  <w:marBottom w:val="0"/>
                  <w:divBdr>
                    <w:top w:val="none" w:sz="0" w:space="0" w:color="auto"/>
                    <w:left w:val="none" w:sz="0" w:space="0" w:color="auto"/>
                    <w:bottom w:val="none" w:sz="0" w:space="0" w:color="auto"/>
                    <w:right w:val="none" w:sz="0" w:space="0" w:color="auto"/>
                  </w:divBdr>
                  <w:divsChild>
                    <w:div w:id="993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380508">
      <w:bodyDiv w:val="1"/>
      <w:marLeft w:val="0"/>
      <w:marRight w:val="0"/>
      <w:marTop w:val="0"/>
      <w:marBottom w:val="0"/>
      <w:divBdr>
        <w:top w:val="none" w:sz="0" w:space="0" w:color="auto"/>
        <w:left w:val="none" w:sz="0" w:space="0" w:color="auto"/>
        <w:bottom w:val="none" w:sz="0" w:space="0" w:color="auto"/>
        <w:right w:val="none" w:sz="0" w:space="0" w:color="auto"/>
      </w:divBdr>
      <w:divsChild>
        <w:div w:id="575896233">
          <w:marLeft w:val="0"/>
          <w:marRight w:val="0"/>
          <w:marTop w:val="0"/>
          <w:marBottom w:val="0"/>
          <w:divBdr>
            <w:top w:val="none" w:sz="0" w:space="0" w:color="auto"/>
            <w:left w:val="none" w:sz="0" w:space="0" w:color="auto"/>
            <w:bottom w:val="none" w:sz="0" w:space="0" w:color="auto"/>
            <w:right w:val="none" w:sz="0" w:space="0" w:color="auto"/>
          </w:divBdr>
          <w:divsChild>
            <w:div w:id="158079372">
              <w:marLeft w:val="0"/>
              <w:marRight w:val="0"/>
              <w:marTop w:val="0"/>
              <w:marBottom w:val="0"/>
              <w:divBdr>
                <w:top w:val="none" w:sz="0" w:space="0" w:color="auto"/>
                <w:left w:val="none" w:sz="0" w:space="0" w:color="auto"/>
                <w:bottom w:val="none" w:sz="0" w:space="0" w:color="auto"/>
                <w:right w:val="none" w:sz="0" w:space="0" w:color="auto"/>
              </w:divBdr>
              <w:divsChild>
                <w:div w:id="106995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43208">
      <w:bodyDiv w:val="1"/>
      <w:marLeft w:val="0"/>
      <w:marRight w:val="0"/>
      <w:marTop w:val="0"/>
      <w:marBottom w:val="0"/>
      <w:divBdr>
        <w:top w:val="none" w:sz="0" w:space="0" w:color="auto"/>
        <w:left w:val="none" w:sz="0" w:space="0" w:color="auto"/>
        <w:bottom w:val="none" w:sz="0" w:space="0" w:color="auto"/>
        <w:right w:val="none" w:sz="0" w:space="0" w:color="auto"/>
      </w:divBdr>
      <w:divsChild>
        <w:div w:id="985932398">
          <w:marLeft w:val="0"/>
          <w:marRight w:val="0"/>
          <w:marTop w:val="0"/>
          <w:marBottom w:val="0"/>
          <w:divBdr>
            <w:top w:val="none" w:sz="0" w:space="0" w:color="auto"/>
            <w:left w:val="none" w:sz="0" w:space="0" w:color="auto"/>
            <w:bottom w:val="none" w:sz="0" w:space="0" w:color="auto"/>
            <w:right w:val="none" w:sz="0" w:space="0" w:color="auto"/>
          </w:divBdr>
          <w:divsChild>
            <w:div w:id="366687287">
              <w:marLeft w:val="0"/>
              <w:marRight w:val="0"/>
              <w:marTop w:val="0"/>
              <w:marBottom w:val="0"/>
              <w:divBdr>
                <w:top w:val="none" w:sz="0" w:space="0" w:color="auto"/>
                <w:left w:val="none" w:sz="0" w:space="0" w:color="auto"/>
                <w:bottom w:val="none" w:sz="0" w:space="0" w:color="auto"/>
                <w:right w:val="none" w:sz="0" w:space="0" w:color="auto"/>
              </w:divBdr>
              <w:divsChild>
                <w:div w:id="24222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91887">
      <w:bodyDiv w:val="1"/>
      <w:marLeft w:val="0"/>
      <w:marRight w:val="0"/>
      <w:marTop w:val="0"/>
      <w:marBottom w:val="0"/>
      <w:divBdr>
        <w:top w:val="none" w:sz="0" w:space="0" w:color="auto"/>
        <w:left w:val="none" w:sz="0" w:space="0" w:color="auto"/>
        <w:bottom w:val="none" w:sz="0" w:space="0" w:color="auto"/>
        <w:right w:val="none" w:sz="0" w:space="0" w:color="auto"/>
      </w:divBdr>
    </w:div>
    <w:div w:id="1907950642">
      <w:bodyDiv w:val="1"/>
      <w:marLeft w:val="0"/>
      <w:marRight w:val="0"/>
      <w:marTop w:val="0"/>
      <w:marBottom w:val="0"/>
      <w:divBdr>
        <w:top w:val="none" w:sz="0" w:space="0" w:color="auto"/>
        <w:left w:val="none" w:sz="0" w:space="0" w:color="auto"/>
        <w:bottom w:val="none" w:sz="0" w:space="0" w:color="auto"/>
        <w:right w:val="none" w:sz="0" w:space="0" w:color="auto"/>
      </w:divBdr>
    </w:div>
    <w:div w:id="1946840785">
      <w:bodyDiv w:val="1"/>
      <w:marLeft w:val="0"/>
      <w:marRight w:val="0"/>
      <w:marTop w:val="0"/>
      <w:marBottom w:val="0"/>
      <w:divBdr>
        <w:top w:val="none" w:sz="0" w:space="0" w:color="auto"/>
        <w:left w:val="none" w:sz="0" w:space="0" w:color="auto"/>
        <w:bottom w:val="none" w:sz="0" w:space="0" w:color="auto"/>
        <w:right w:val="none" w:sz="0" w:space="0" w:color="auto"/>
      </w:divBdr>
    </w:div>
    <w:div w:id="1961522959">
      <w:bodyDiv w:val="1"/>
      <w:marLeft w:val="0"/>
      <w:marRight w:val="0"/>
      <w:marTop w:val="0"/>
      <w:marBottom w:val="0"/>
      <w:divBdr>
        <w:top w:val="none" w:sz="0" w:space="0" w:color="auto"/>
        <w:left w:val="none" w:sz="0" w:space="0" w:color="auto"/>
        <w:bottom w:val="none" w:sz="0" w:space="0" w:color="auto"/>
        <w:right w:val="none" w:sz="0" w:space="0" w:color="auto"/>
      </w:divBdr>
      <w:divsChild>
        <w:div w:id="1406536788">
          <w:marLeft w:val="0"/>
          <w:marRight w:val="0"/>
          <w:marTop w:val="0"/>
          <w:marBottom w:val="0"/>
          <w:divBdr>
            <w:top w:val="none" w:sz="0" w:space="0" w:color="auto"/>
            <w:left w:val="none" w:sz="0" w:space="0" w:color="auto"/>
            <w:bottom w:val="none" w:sz="0" w:space="0" w:color="auto"/>
            <w:right w:val="none" w:sz="0" w:space="0" w:color="auto"/>
          </w:divBdr>
          <w:divsChild>
            <w:div w:id="1915160212">
              <w:marLeft w:val="0"/>
              <w:marRight w:val="0"/>
              <w:marTop w:val="0"/>
              <w:marBottom w:val="0"/>
              <w:divBdr>
                <w:top w:val="none" w:sz="0" w:space="0" w:color="auto"/>
                <w:left w:val="none" w:sz="0" w:space="0" w:color="auto"/>
                <w:bottom w:val="none" w:sz="0" w:space="0" w:color="auto"/>
                <w:right w:val="none" w:sz="0" w:space="0" w:color="auto"/>
              </w:divBdr>
              <w:divsChild>
                <w:div w:id="1883714973">
                  <w:marLeft w:val="0"/>
                  <w:marRight w:val="0"/>
                  <w:marTop w:val="0"/>
                  <w:marBottom w:val="0"/>
                  <w:divBdr>
                    <w:top w:val="none" w:sz="0" w:space="0" w:color="auto"/>
                    <w:left w:val="none" w:sz="0" w:space="0" w:color="auto"/>
                    <w:bottom w:val="none" w:sz="0" w:space="0" w:color="auto"/>
                    <w:right w:val="none" w:sz="0" w:space="0" w:color="auto"/>
                  </w:divBdr>
                  <w:divsChild>
                    <w:div w:id="112986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202452">
      <w:bodyDiv w:val="1"/>
      <w:marLeft w:val="0"/>
      <w:marRight w:val="0"/>
      <w:marTop w:val="0"/>
      <w:marBottom w:val="0"/>
      <w:divBdr>
        <w:top w:val="none" w:sz="0" w:space="0" w:color="auto"/>
        <w:left w:val="none" w:sz="0" w:space="0" w:color="auto"/>
        <w:bottom w:val="none" w:sz="0" w:space="0" w:color="auto"/>
        <w:right w:val="none" w:sz="0" w:space="0" w:color="auto"/>
      </w:divBdr>
    </w:div>
    <w:div w:id="2077044359">
      <w:bodyDiv w:val="1"/>
      <w:marLeft w:val="0"/>
      <w:marRight w:val="0"/>
      <w:marTop w:val="0"/>
      <w:marBottom w:val="0"/>
      <w:divBdr>
        <w:top w:val="none" w:sz="0" w:space="0" w:color="auto"/>
        <w:left w:val="none" w:sz="0" w:space="0" w:color="auto"/>
        <w:bottom w:val="none" w:sz="0" w:space="0" w:color="auto"/>
        <w:right w:val="none" w:sz="0" w:space="0" w:color="auto"/>
      </w:divBdr>
    </w:div>
    <w:div w:id="2100639530">
      <w:bodyDiv w:val="1"/>
      <w:marLeft w:val="0"/>
      <w:marRight w:val="0"/>
      <w:marTop w:val="0"/>
      <w:marBottom w:val="0"/>
      <w:divBdr>
        <w:top w:val="none" w:sz="0" w:space="0" w:color="auto"/>
        <w:left w:val="none" w:sz="0" w:space="0" w:color="auto"/>
        <w:bottom w:val="none" w:sz="0" w:space="0" w:color="auto"/>
        <w:right w:val="none" w:sz="0" w:space="0" w:color="auto"/>
      </w:divBdr>
      <w:divsChild>
        <w:div w:id="1582834563">
          <w:marLeft w:val="0"/>
          <w:marRight w:val="0"/>
          <w:marTop w:val="0"/>
          <w:marBottom w:val="0"/>
          <w:divBdr>
            <w:top w:val="none" w:sz="0" w:space="0" w:color="auto"/>
            <w:left w:val="none" w:sz="0" w:space="0" w:color="auto"/>
            <w:bottom w:val="none" w:sz="0" w:space="0" w:color="auto"/>
            <w:right w:val="none" w:sz="0" w:space="0" w:color="auto"/>
          </w:divBdr>
          <w:divsChild>
            <w:div w:id="223571474">
              <w:marLeft w:val="0"/>
              <w:marRight w:val="0"/>
              <w:marTop w:val="0"/>
              <w:marBottom w:val="0"/>
              <w:divBdr>
                <w:top w:val="none" w:sz="0" w:space="0" w:color="auto"/>
                <w:left w:val="none" w:sz="0" w:space="0" w:color="auto"/>
                <w:bottom w:val="none" w:sz="0" w:space="0" w:color="auto"/>
                <w:right w:val="none" w:sz="0" w:space="0" w:color="auto"/>
              </w:divBdr>
              <w:divsChild>
                <w:div w:id="1212112649">
                  <w:marLeft w:val="0"/>
                  <w:marRight w:val="0"/>
                  <w:marTop w:val="0"/>
                  <w:marBottom w:val="0"/>
                  <w:divBdr>
                    <w:top w:val="none" w:sz="0" w:space="0" w:color="auto"/>
                    <w:left w:val="none" w:sz="0" w:space="0" w:color="auto"/>
                    <w:bottom w:val="none" w:sz="0" w:space="0" w:color="auto"/>
                    <w:right w:val="none" w:sz="0" w:space="0" w:color="auto"/>
                  </w:divBdr>
                  <w:divsChild>
                    <w:div w:id="9112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511831">
      <w:bodyDiv w:val="1"/>
      <w:marLeft w:val="0"/>
      <w:marRight w:val="0"/>
      <w:marTop w:val="0"/>
      <w:marBottom w:val="0"/>
      <w:divBdr>
        <w:top w:val="none" w:sz="0" w:space="0" w:color="auto"/>
        <w:left w:val="none" w:sz="0" w:space="0" w:color="auto"/>
        <w:bottom w:val="none" w:sz="0" w:space="0" w:color="auto"/>
        <w:right w:val="none" w:sz="0" w:space="0" w:color="auto"/>
      </w:divBdr>
      <w:divsChild>
        <w:div w:id="2106077524">
          <w:marLeft w:val="0"/>
          <w:marRight w:val="0"/>
          <w:marTop w:val="0"/>
          <w:marBottom w:val="0"/>
          <w:divBdr>
            <w:top w:val="none" w:sz="0" w:space="0" w:color="auto"/>
            <w:left w:val="none" w:sz="0" w:space="0" w:color="auto"/>
            <w:bottom w:val="none" w:sz="0" w:space="0" w:color="auto"/>
            <w:right w:val="none" w:sz="0" w:space="0" w:color="auto"/>
          </w:divBdr>
          <w:divsChild>
            <w:div w:id="1093041861">
              <w:marLeft w:val="0"/>
              <w:marRight w:val="0"/>
              <w:marTop w:val="0"/>
              <w:marBottom w:val="0"/>
              <w:divBdr>
                <w:top w:val="none" w:sz="0" w:space="0" w:color="auto"/>
                <w:left w:val="none" w:sz="0" w:space="0" w:color="auto"/>
                <w:bottom w:val="none" w:sz="0" w:space="0" w:color="auto"/>
                <w:right w:val="none" w:sz="0" w:space="0" w:color="auto"/>
              </w:divBdr>
              <w:divsChild>
                <w:div w:id="912474915">
                  <w:marLeft w:val="0"/>
                  <w:marRight w:val="0"/>
                  <w:marTop w:val="0"/>
                  <w:marBottom w:val="0"/>
                  <w:divBdr>
                    <w:top w:val="none" w:sz="0" w:space="0" w:color="auto"/>
                    <w:left w:val="none" w:sz="0" w:space="0" w:color="auto"/>
                    <w:bottom w:val="none" w:sz="0" w:space="0" w:color="auto"/>
                    <w:right w:val="none" w:sz="0" w:space="0" w:color="auto"/>
                  </w:divBdr>
                  <w:divsChild>
                    <w:div w:id="6205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25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acevedobuendia_01_07_11.pdf" TargetMode="External"/><Relationship Id="rId2" Type="http://schemas.openxmlformats.org/officeDocument/2006/relationships/hyperlink" Target="http://www.corteidh.or.cr/docs/casos/articulos/seriec_210_esp1.pdf" TargetMode="External"/><Relationship Id="rId1" Type="http://schemas.openxmlformats.org/officeDocument/2006/relationships/hyperlink" Target="http://www.corteidh.or.cr/docs/casos/articulos/seriec_198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C9FCF-4866-40E3-9CC5-74DD9D76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3086</Words>
  <Characters>16979</Characters>
  <Application>Microsoft Office Word</Application>
  <DocSecurity>0</DocSecurity>
  <Lines>141</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2021-09-23T14:05:00Z</cp:lastPrinted>
  <dcterms:created xsi:type="dcterms:W3CDTF">2021-09-23T18:29:00Z</dcterms:created>
  <dcterms:modified xsi:type="dcterms:W3CDTF">2021-09-23T18:29:00Z</dcterms:modified>
</cp:coreProperties>
</file>