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72BB4" w14:textId="77777777" w:rsidR="00962867" w:rsidRPr="00423668" w:rsidRDefault="00962867" w:rsidP="008139E1">
      <w:pPr>
        <w:jc w:val="both"/>
        <w:rPr>
          <w:rFonts w:ascii="Verdana" w:hAnsi="Verdana"/>
          <w:sz w:val="20"/>
          <w:lang w:eastAsia="es-ES"/>
        </w:rPr>
      </w:pPr>
    </w:p>
    <w:p w14:paraId="591468DD" w14:textId="77777777" w:rsidR="00D3009D" w:rsidRPr="00423668" w:rsidRDefault="00D3009D" w:rsidP="008139E1">
      <w:pPr>
        <w:jc w:val="both"/>
        <w:rPr>
          <w:rFonts w:ascii="Verdana" w:hAnsi="Verdana"/>
          <w:sz w:val="20"/>
          <w:lang w:eastAsia="es-ES"/>
        </w:rPr>
      </w:pPr>
    </w:p>
    <w:p w14:paraId="7F07C345" w14:textId="77777777" w:rsidR="00D3009D" w:rsidRPr="00423668" w:rsidRDefault="00D3009D" w:rsidP="008139E1">
      <w:pPr>
        <w:jc w:val="both"/>
        <w:rPr>
          <w:rFonts w:ascii="Verdana" w:hAnsi="Verdana"/>
          <w:sz w:val="20"/>
          <w:lang w:eastAsia="es-ES"/>
        </w:rPr>
      </w:pPr>
    </w:p>
    <w:p w14:paraId="67DB17DD" w14:textId="77777777" w:rsidR="00D3009D" w:rsidRPr="00423668" w:rsidRDefault="00D3009D" w:rsidP="008139E1">
      <w:pPr>
        <w:jc w:val="both"/>
        <w:rPr>
          <w:rFonts w:ascii="Verdana" w:hAnsi="Verdana"/>
          <w:sz w:val="20"/>
          <w:lang w:eastAsia="es-ES"/>
        </w:rPr>
      </w:pPr>
    </w:p>
    <w:p w14:paraId="5B2F6568" w14:textId="77777777" w:rsidR="00D3009D" w:rsidRPr="00423668" w:rsidRDefault="00D3009D" w:rsidP="008139E1">
      <w:pPr>
        <w:jc w:val="both"/>
        <w:rPr>
          <w:rFonts w:ascii="Verdana" w:hAnsi="Verdana"/>
          <w:sz w:val="20"/>
          <w:lang w:eastAsia="es-ES"/>
        </w:rPr>
      </w:pPr>
    </w:p>
    <w:p w14:paraId="445224BE" w14:textId="77777777" w:rsidR="00D3009D" w:rsidRPr="00423668" w:rsidRDefault="00D3009D" w:rsidP="008139E1">
      <w:pPr>
        <w:jc w:val="both"/>
        <w:rPr>
          <w:rFonts w:ascii="Verdana" w:hAnsi="Verdana"/>
          <w:sz w:val="20"/>
          <w:lang w:eastAsia="es-ES"/>
        </w:rPr>
      </w:pPr>
    </w:p>
    <w:p w14:paraId="1E585E53" w14:textId="77777777" w:rsidR="00A90B0C" w:rsidRPr="008139E1" w:rsidRDefault="00A90B0C" w:rsidP="00A90B0C">
      <w:pPr>
        <w:rPr>
          <w:rFonts w:ascii="Verdana" w:hAnsi="Verdana"/>
          <w:sz w:val="20"/>
          <w:lang w:eastAsia="es-ES"/>
        </w:rPr>
      </w:pPr>
    </w:p>
    <w:p w14:paraId="3F274CB3" w14:textId="77777777" w:rsidR="00D37C53" w:rsidRPr="00881768" w:rsidRDefault="00D37C53" w:rsidP="00881768">
      <w:pPr>
        <w:jc w:val="center"/>
        <w:rPr>
          <w:rFonts w:ascii="Verdana" w:hAnsi="Verdana"/>
          <w:b/>
          <w:caps/>
          <w:smallCaps/>
          <w:sz w:val="20"/>
          <w:lang w:eastAsia="es-ES"/>
        </w:rPr>
      </w:pPr>
      <w:r w:rsidRPr="00881768">
        <w:rPr>
          <w:rFonts w:ascii="Verdana" w:hAnsi="Verdana"/>
          <w:b/>
          <w:caps/>
          <w:smallCaps/>
          <w:sz w:val="20"/>
          <w:lang w:eastAsia="es-ES"/>
        </w:rPr>
        <w:t xml:space="preserve">Resolución </w:t>
      </w:r>
      <w:r w:rsidR="00A90B0C" w:rsidRPr="00881768">
        <w:rPr>
          <w:rFonts w:ascii="Verdana" w:hAnsi="Verdana"/>
          <w:b/>
          <w:caps/>
          <w:smallCaps/>
          <w:sz w:val="20"/>
          <w:lang w:eastAsia="es-ES"/>
        </w:rPr>
        <w:t>DE LA</w:t>
      </w:r>
    </w:p>
    <w:p w14:paraId="61B651DB" w14:textId="77777777" w:rsidR="00D37C53" w:rsidRPr="00881768" w:rsidRDefault="00D37C53" w:rsidP="00881768">
      <w:pPr>
        <w:jc w:val="center"/>
        <w:rPr>
          <w:rFonts w:ascii="Verdana" w:hAnsi="Verdana"/>
          <w:b/>
          <w:caps/>
          <w:smallCaps/>
          <w:sz w:val="20"/>
          <w:lang w:eastAsia="es-ES"/>
        </w:rPr>
      </w:pPr>
      <w:r w:rsidRPr="00881768">
        <w:rPr>
          <w:rFonts w:ascii="Verdana" w:hAnsi="Verdana"/>
          <w:b/>
          <w:caps/>
          <w:smallCaps/>
          <w:sz w:val="20"/>
          <w:lang w:eastAsia="es-ES"/>
        </w:rPr>
        <w:t>Corte Interamericana de Derechos Humanos</w:t>
      </w:r>
      <w:r w:rsidR="00947BF3" w:rsidRPr="00881768">
        <w:rPr>
          <w:rStyle w:val="Refdenotaalpie"/>
          <w:rFonts w:cs="Arial"/>
          <w:b/>
          <w:bCs/>
          <w:color w:val="000000"/>
          <w:spacing w:val="-4"/>
          <w:sz w:val="20"/>
          <w:lang w:val="es-CR"/>
        </w:rPr>
        <w:footnoteReference w:customMarkFollows="1" w:id="1"/>
        <w:t>*</w:t>
      </w:r>
    </w:p>
    <w:p w14:paraId="2A6F2ECE" w14:textId="77777777" w:rsidR="00E56F92" w:rsidRPr="00881768" w:rsidRDefault="00E56F92" w:rsidP="00881768">
      <w:pPr>
        <w:jc w:val="center"/>
        <w:rPr>
          <w:rFonts w:ascii="Verdana" w:hAnsi="Verdana"/>
          <w:b/>
          <w:caps/>
          <w:smallCaps/>
          <w:sz w:val="20"/>
          <w:lang w:eastAsia="es-ES"/>
        </w:rPr>
      </w:pPr>
    </w:p>
    <w:p w14:paraId="06634C10" w14:textId="77777777" w:rsidR="00D37C53" w:rsidRPr="00881768" w:rsidRDefault="00D37C53" w:rsidP="00881768">
      <w:pPr>
        <w:jc w:val="center"/>
        <w:rPr>
          <w:rFonts w:ascii="Verdana" w:hAnsi="Verdana"/>
          <w:b/>
          <w:caps/>
          <w:smallCaps/>
          <w:sz w:val="20"/>
          <w:lang w:eastAsia="es-ES"/>
        </w:rPr>
      </w:pPr>
      <w:r w:rsidRPr="00881768">
        <w:rPr>
          <w:rFonts w:ascii="Verdana" w:hAnsi="Verdana"/>
          <w:b/>
          <w:caps/>
          <w:smallCaps/>
          <w:sz w:val="20"/>
          <w:lang w:eastAsia="es-ES"/>
        </w:rPr>
        <w:t xml:space="preserve">de </w:t>
      </w:r>
      <w:r w:rsidR="0048382C">
        <w:rPr>
          <w:rFonts w:ascii="Verdana" w:hAnsi="Verdana"/>
          <w:b/>
          <w:caps/>
          <w:smallCaps/>
          <w:sz w:val="20"/>
          <w:lang w:eastAsia="es-ES"/>
        </w:rPr>
        <w:t>1</w:t>
      </w:r>
      <w:r w:rsidR="005F75D0" w:rsidRPr="00881768">
        <w:rPr>
          <w:rFonts w:ascii="Verdana" w:hAnsi="Verdana"/>
          <w:b/>
          <w:caps/>
          <w:smallCaps/>
          <w:sz w:val="20"/>
          <w:lang w:eastAsia="es-ES"/>
        </w:rPr>
        <w:t xml:space="preserve"> </w:t>
      </w:r>
      <w:r w:rsidRPr="00881768">
        <w:rPr>
          <w:rFonts w:ascii="Verdana" w:hAnsi="Verdana"/>
          <w:b/>
          <w:caps/>
          <w:smallCaps/>
          <w:sz w:val="20"/>
          <w:lang w:eastAsia="es-ES"/>
        </w:rPr>
        <w:t xml:space="preserve">de </w:t>
      </w:r>
      <w:r w:rsidR="0048382C">
        <w:rPr>
          <w:rFonts w:ascii="Verdana" w:hAnsi="Verdana"/>
          <w:b/>
          <w:caps/>
          <w:smallCaps/>
          <w:sz w:val="20"/>
          <w:lang w:eastAsia="es-ES"/>
        </w:rPr>
        <w:t>Se</w:t>
      </w:r>
      <w:r w:rsidR="00761678">
        <w:rPr>
          <w:rFonts w:ascii="Verdana" w:hAnsi="Verdana"/>
          <w:b/>
          <w:caps/>
          <w:smallCaps/>
          <w:sz w:val="20"/>
          <w:lang w:eastAsia="es-ES"/>
        </w:rPr>
        <w:t>P</w:t>
      </w:r>
      <w:r w:rsidR="0048382C">
        <w:rPr>
          <w:rFonts w:ascii="Verdana" w:hAnsi="Verdana"/>
          <w:b/>
          <w:caps/>
          <w:smallCaps/>
          <w:sz w:val="20"/>
          <w:lang w:eastAsia="es-ES"/>
        </w:rPr>
        <w:t>tiembre</w:t>
      </w:r>
      <w:r w:rsidR="00FA6318" w:rsidRPr="00881768">
        <w:rPr>
          <w:rFonts w:ascii="Verdana" w:hAnsi="Verdana"/>
          <w:b/>
          <w:caps/>
          <w:smallCaps/>
          <w:sz w:val="20"/>
          <w:lang w:eastAsia="es-ES"/>
        </w:rPr>
        <w:t xml:space="preserve"> </w:t>
      </w:r>
      <w:r w:rsidR="003F4B1D" w:rsidRPr="00881768">
        <w:rPr>
          <w:rFonts w:ascii="Verdana" w:hAnsi="Verdana"/>
          <w:b/>
          <w:caps/>
          <w:smallCaps/>
          <w:sz w:val="20"/>
          <w:lang w:eastAsia="es-ES"/>
        </w:rPr>
        <w:t>de 20</w:t>
      </w:r>
      <w:r w:rsidR="00947BF3" w:rsidRPr="00881768">
        <w:rPr>
          <w:rFonts w:ascii="Verdana" w:hAnsi="Verdana"/>
          <w:b/>
          <w:caps/>
          <w:smallCaps/>
          <w:sz w:val="20"/>
          <w:lang w:eastAsia="es-ES"/>
        </w:rPr>
        <w:t>21</w:t>
      </w:r>
    </w:p>
    <w:p w14:paraId="2A69B045" w14:textId="77777777" w:rsidR="00D37C53" w:rsidRPr="00881768" w:rsidRDefault="00D37C53" w:rsidP="00881768">
      <w:pPr>
        <w:jc w:val="center"/>
        <w:rPr>
          <w:rFonts w:ascii="Verdana" w:hAnsi="Verdana"/>
          <w:b/>
          <w:caps/>
          <w:smallCaps/>
          <w:sz w:val="20"/>
          <w:lang w:eastAsia="es-ES"/>
        </w:rPr>
      </w:pPr>
    </w:p>
    <w:p w14:paraId="339C1238" w14:textId="77777777" w:rsidR="00D37C53" w:rsidRPr="00881768" w:rsidRDefault="00D37C53" w:rsidP="00881768">
      <w:pPr>
        <w:jc w:val="center"/>
        <w:rPr>
          <w:rFonts w:ascii="Verdana" w:hAnsi="Verdana"/>
          <w:b/>
          <w:i/>
          <w:caps/>
          <w:smallCaps/>
          <w:sz w:val="20"/>
          <w:lang w:eastAsia="es-ES"/>
        </w:rPr>
      </w:pPr>
      <w:r w:rsidRPr="00881768">
        <w:rPr>
          <w:rFonts w:ascii="Verdana" w:hAnsi="Verdana"/>
          <w:b/>
          <w:i/>
          <w:caps/>
          <w:smallCaps/>
          <w:sz w:val="20"/>
          <w:lang w:eastAsia="es-ES"/>
        </w:rPr>
        <w:t>Caso BAENA RICARDO Y OTROS vs. PANAmÁ</w:t>
      </w:r>
    </w:p>
    <w:p w14:paraId="0573CF4E" w14:textId="77777777" w:rsidR="00D37C53" w:rsidRPr="00881768" w:rsidRDefault="00D37C53" w:rsidP="00881768">
      <w:pPr>
        <w:jc w:val="center"/>
        <w:rPr>
          <w:rFonts w:ascii="Verdana" w:hAnsi="Verdana"/>
          <w:b/>
          <w:i/>
          <w:sz w:val="20"/>
          <w:lang w:eastAsia="es-ES"/>
        </w:rPr>
      </w:pPr>
    </w:p>
    <w:p w14:paraId="46E49876" w14:textId="77777777" w:rsidR="00D37C53" w:rsidRPr="00881768" w:rsidRDefault="00D37C53" w:rsidP="00881768">
      <w:pPr>
        <w:jc w:val="center"/>
        <w:rPr>
          <w:rFonts w:ascii="Verdana" w:hAnsi="Verdana"/>
          <w:b/>
          <w:caps/>
          <w:smallCaps/>
          <w:sz w:val="20"/>
          <w:lang w:eastAsia="es-ES"/>
        </w:rPr>
      </w:pPr>
      <w:r w:rsidRPr="00881768">
        <w:rPr>
          <w:rFonts w:ascii="Verdana" w:hAnsi="Verdana"/>
          <w:b/>
          <w:caps/>
          <w:smallCaps/>
          <w:sz w:val="20"/>
          <w:lang w:eastAsia="es-ES"/>
        </w:rPr>
        <w:t>Supervisión de Cumplimiento de Sentencia</w:t>
      </w:r>
    </w:p>
    <w:p w14:paraId="4AB9B864" w14:textId="77777777" w:rsidR="00632525" w:rsidRPr="00881768" w:rsidRDefault="00632525" w:rsidP="00881768">
      <w:pPr>
        <w:jc w:val="center"/>
        <w:rPr>
          <w:rFonts w:ascii="Verdana" w:hAnsi="Verdana"/>
          <w:b/>
          <w:smallCaps/>
          <w:sz w:val="20"/>
        </w:rPr>
      </w:pPr>
    </w:p>
    <w:p w14:paraId="51E39FC8" w14:textId="77777777" w:rsidR="00D37C53" w:rsidRPr="00B72EF0" w:rsidRDefault="00D37C53" w:rsidP="00967FE6">
      <w:pPr>
        <w:spacing w:before="120" w:after="120"/>
        <w:jc w:val="both"/>
        <w:rPr>
          <w:rFonts w:ascii="Verdana" w:hAnsi="Verdana"/>
          <w:b/>
          <w:smallCaps/>
          <w:sz w:val="20"/>
        </w:rPr>
      </w:pPr>
      <w:r w:rsidRPr="00B72EF0">
        <w:rPr>
          <w:rFonts w:ascii="Verdana" w:hAnsi="Verdana"/>
          <w:b/>
          <w:smallCaps/>
          <w:sz w:val="20"/>
        </w:rPr>
        <w:t>VISTO:</w:t>
      </w:r>
    </w:p>
    <w:p w14:paraId="24759220" w14:textId="77777777" w:rsidR="00B768BD" w:rsidRPr="0046204A" w:rsidRDefault="00614313" w:rsidP="00967FE6">
      <w:pPr>
        <w:numPr>
          <w:ilvl w:val="0"/>
          <w:numId w:val="3"/>
        </w:numPr>
        <w:spacing w:before="120" w:after="120"/>
        <w:jc w:val="both"/>
        <w:rPr>
          <w:rFonts w:ascii="Verdana" w:hAnsi="Verdana"/>
          <w:sz w:val="20"/>
        </w:rPr>
      </w:pPr>
      <w:r w:rsidRPr="0046204A">
        <w:rPr>
          <w:rFonts w:ascii="Verdana" w:eastAsia="Times New Roman" w:hAnsi="Verdana" w:cs="TTE3F96A70t00"/>
          <w:sz w:val="20"/>
          <w:lang w:val="es-ES" w:eastAsia="es-ES"/>
        </w:rPr>
        <w:t xml:space="preserve">La Sentencia de fondo, reparaciones y costas (en adelante “la Sentencia”) </w:t>
      </w:r>
      <w:r w:rsidR="007F2200" w:rsidRPr="0046204A">
        <w:rPr>
          <w:rFonts w:ascii="Verdana" w:eastAsia="Times New Roman" w:hAnsi="Verdana" w:cs="TTE3F96A70t00"/>
          <w:sz w:val="20"/>
          <w:lang w:val="es-ES" w:eastAsia="es-ES"/>
        </w:rPr>
        <w:t xml:space="preserve">emitida </w:t>
      </w:r>
      <w:r w:rsidRPr="0046204A">
        <w:rPr>
          <w:rFonts w:ascii="Verdana" w:eastAsia="Times New Roman" w:hAnsi="Verdana" w:cs="TTE3F96A70t00"/>
          <w:sz w:val="20"/>
          <w:lang w:val="es-ES" w:eastAsia="es-ES"/>
        </w:rPr>
        <w:t>por la Corte Interamericana de Derechos Humanos (en adelante “la Corte Interamericana”, “la Corte” o “el Tribunal”)</w:t>
      </w:r>
      <w:r w:rsidR="007F2200" w:rsidRPr="0046204A">
        <w:rPr>
          <w:rFonts w:ascii="Verdana" w:eastAsia="Times New Roman" w:hAnsi="Verdana" w:cs="TTE3F96A70t00"/>
          <w:sz w:val="20"/>
          <w:lang w:val="es-ES" w:eastAsia="es-ES"/>
        </w:rPr>
        <w:t xml:space="preserve"> el 2 de febrero de 2001</w:t>
      </w:r>
      <w:r w:rsidR="007F2200" w:rsidRPr="00733EB0">
        <w:rPr>
          <w:rStyle w:val="Refdenotaalpie"/>
          <w:rFonts w:ascii="Verdana" w:eastAsia="Times New Roman" w:hAnsi="Verdana" w:cs="TTE3F96A70t00"/>
          <w:sz w:val="20"/>
          <w:lang w:val="es-ES" w:eastAsia="es-ES"/>
        </w:rPr>
        <w:footnoteReference w:id="2"/>
      </w:r>
      <w:r w:rsidR="004C0BAF" w:rsidRPr="0046204A">
        <w:rPr>
          <w:rFonts w:ascii="Verdana" w:hAnsi="Verdana"/>
          <w:sz w:val="20"/>
        </w:rPr>
        <w:t>.</w:t>
      </w:r>
      <w:r w:rsidR="00A05C59" w:rsidRPr="0046204A">
        <w:rPr>
          <w:rFonts w:ascii="Verdana" w:hAnsi="Verdana"/>
          <w:sz w:val="20"/>
        </w:rPr>
        <w:t xml:space="preserve"> </w:t>
      </w:r>
      <w:r w:rsidR="004C0BAF" w:rsidRPr="0046204A">
        <w:rPr>
          <w:rFonts w:ascii="Verdana" w:hAnsi="Verdana"/>
          <w:sz w:val="20"/>
        </w:rPr>
        <w:t>La Corte</w:t>
      </w:r>
      <w:r w:rsidR="00B56A70" w:rsidRPr="0046204A">
        <w:rPr>
          <w:rFonts w:ascii="Verdana" w:hAnsi="Verdana"/>
          <w:sz w:val="20"/>
        </w:rPr>
        <w:t xml:space="preserve"> declaró la responsabilidad internacional de la República de Panamá (en adelante “el Estado” o “Panamá”</w:t>
      </w:r>
      <w:r w:rsidR="00733EB0" w:rsidRPr="0046204A">
        <w:rPr>
          <w:rFonts w:ascii="Verdana" w:hAnsi="Verdana"/>
          <w:sz w:val="20"/>
        </w:rPr>
        <w:t>)</w:t>
      </w:r>
      <w:r w:rsidR="004C0BAF" w:rsidRPr="0046204A">
        <w:rPr>
          <w:rFonts w:ascii="Verdana" w:hAnsi="Verdana"/>
          <w:sz w:val="20"/>
        </w:rPr>
        <w:t xml:space="preserve"> por la violación a los principios de legalidad e irretroactividad, a los derechos a las garantías judiciales, a la protección judicial y a la libertad de asociación</w:t>
      </w:r>
      <w:r w:rsidR="0046204A" w:rsidRPr="0046204A">
        <w:rPr>
          <w:rFonts w:ascii="Verdana" w:hAnsi="Verdana"/>
          <w:sz w:val="20"/>
        </w:rPr>
        <w:t>,</w:t>
      </w:r>
      <w:r w:rsidR="004C0BAF" w:rsidRPr="0046204A">
        <w:rPr>
          <w:rFonts w:ascii="Verdana" w:hAnsi="Verdana"/>
          <w:sz w:val="20"/>
        </w:rPr>
        <w:t xml:space="preserve"> en perjuicio de </w:t>
      </w:r>
      <w:r w:rsidR="0046204A" w:rsidRPr="0046204A">
        <w:rPr>
          <w:rFonts w:ascii="Verdana" w:hAnsi="Verdana"/>
          <w:sz w:val="20"/>
        </w:rPr>
        <w:t>lo</w:t>
      </w:r>
      <w:r w:rsidR="004C0BAF" w:rsidRPr="0046204A">
        <w:rPr>
          <w:rFonts w:ascii="Verdana" w:hAnsi="Verdana"/>
          <w:sz w:val="20"/>
        </w:rPr>
        <w:t>s 270</w:t>
      </w:r>
      <w:r w:rsidR="0046204A" w:rsidRPr="0046204A">
        <w:rPr>
          <w:rFonts w:ascii="Verdana" w:hAnsi="Verdana"/>
          <w:sz w:val="20"/>
        </w:rPr>
        <w:t xml:space="preserve"> trabajadores</w:t>
      </w:r>
      <w:r w:rsidR="004C0BAF" w:rsidRPr="0046204A">
        <w:rPr>
          <w:rFonts w:ascii="Verdana" w:hAnsi="Verdana"/>
          <w:sz w:val="20"/>
        </w:rPr>
        <w:t xml:space="preserve"> </w:t>
      </w:r>
      <w:r w:rsidR="0046204A" w:rsidRPr="0046204A">
        <w:rPr>
          <w:rFonts w:ascii="Verdana" w:hAnsi="Verdana"/>
          <w:sz w:val="20"/>
        </w:rPr>
        <w:t>indicado</w:t>
      </w:r>
      <w:r w:rsidR="004C0BAF" w:rsidRPr="0046204A">
        <w:rPr>
          <w:rFonts w:ascii="Verdana" w:hAnsi="Verdana"/>
          <w:sz w:val="20"/>
        </w:rPr>
        <w:t>s en el párrafo 4 de la Sentencia. Dichas violaciones se declararon debido al despido injustificado</w:t>
      </w:r>
      <w:r w:rsidR="00F01056">
        <w:rPr>
          <w:rFonts w:ascii="Verdana" w:hAnsi="Verdana"/>
          <w:sz w:val="20"/>
        </w:rPr>
        <w:t>, sin debido proceso</w:t>
      </w:r>
      <w:r w:rsidR="004C0BAF" w:rsidRPr="0046204A">
        <w:rPr>
          <w:rFonts w:ascii="Verdana" w:hAnsi="Verdana"/>
          <w:sz w:val="20"/>
        </w:rPr>
        <w:t xml:space="preserve"> </w:t>
      </w:r>
      <w:r w:rsidR="00F01056">
        <w:rPr>
          <w:rFonts w:ascii="Verdana" w:hAnsi="Verdana"/>
          <w:sz w:val="20"/>
        </w:rPr>
        <w:t xml:space="preserve">y contrario al principio de legalidad </w:t>
      </w:r>
      <w:r w:rsidR="004C0BAF" w:rsidRPr="0046204A">
        <w:rPr>
          <w:rFonts w:ascii="Verdana" w:hAnsi="Verdana"/>
          <w:sz w:val="20"/>
        </w:rPr>
        <w:t xml:space="preserve">de 270 </w:t>
      </w:r>
      <w:r w:rsidR="0046204A" w:rsidRPr="0046204A">
        <w:rPr>
          <w:rFonts w:ascii="Verdana" w:hAnsi="Verdana"/>
          <w:sz w:val="20"/>
        </w:rPr>
        <w:t>trabajadores de ocho instituciones o empresas públicas en diciembre de 1990</w:t>
      </w:r>
      <w:r w:rsidR="00F01056">
        <w:rPr>
          <w:rFonts w:ascii="Verdana" w:hAnsi="Verdana"/>
          <w:sz w:val="20"/>
        </w:rPr>
        <w:t>.</w:t>
      </w:r>
      <w:r w:rsidR="0046204A" w:rsidRPr="0046204A">
        <w:rPr>
          <w:rFonts w:ascii="Verdana" w:hAnsi="Verdana"/>
          <w:sz w:val="20"/>
        </w:rPr>
        <w:t xml:space="preserve"> </w:t>
      </w:r>
      <w:r w:rsidR="00F01056">
        <w:rPr>
          <w:rFonts w:ascii="Verdana" w:hAnsi="Verdana"/>
          <w:sz w:val="20"/>
        </w:rPr>
        <w:t>Dichos despidos se basaron en una</w:t>
      </w:r>
      <w:r w:rsidR="0046204A" w:rsidRPr="0046204A">
        <w:rPr>
          <w:rFonts w:ascii="Verdana" w:hAnsi="Verdana"/>
          <w:sz w:val="20"/>
        </w:rPr>
        <w:t xml:space="preserve"> </w:t>
      </w:r>
      <w:r w:rsidR="00F01056">
        <w:rPr>
          <w:rFonts w:ascii="Verdana" w:hAnsi="Verdana"/>
          <w:sz w:val="20"/>
        </w:rPr>
        <w:t>l</w:t>
      </w:r>
      <w:r w:rsidR="0046204A" w:rsidRPr="0046204A">
        <w:rPr>
          <w:rFonts w:ascii="Verdana" w:hAnsi="Verdana"/>
          <w:sz w:val="20"/>
        </w:rPr>
        <w:t>ey</w:t>
      </w:r>
      <w:r w:rsidR="00F01056">
        <w:rPr>
          <w:rFonts w:ascii="Verdana" w:hAnsi="Verdana"/>
          <w:sz w:val="20"/>
        </w:rPr>
        <w:t xml:space="preserve"> aprobada el 14 de diciembre de 1990, </w:t>
      </w:r>
      <w:r w:rsidR="00F01056" w:rsidRPr="0046204A">
        <w:rPr>
          <w:rFonts w:ascii="Verdana" w:hAnsi="Verdana"/>
          <w:sz w:val="20"/>
        </w:rPr>
        <w:t xml:space="preserve">que </w:t>
      </w:r>
      <w:r w:rsidR="00F01056">
        <w:rPr>
          <w:rFonts w:ascii="Verdana" w:hAnsi="Verdana"/>
          <w:sz w:val="20"/>
        </w:rPr>
        <w:t xml:space="preserve">disponía una aplicación retroactiva para destituir a </w:t>
      </w:r>
      <w:r w:rsidR="00F01056" w:rsidRPr="0046204A">
        <w:rPr>
          <w:rFonts w:ascii="Verdana" w:hAnsi="Verdana"/>
          <w:sz w:val="20"/>
        </w:rPr>
        <w:t>todos los servidores públicos que hubieran participado en la organi</w:t>
      </w:r>
      <w:r w:rsidR="00F01056">
        <w:rPr>
          <w:rFonts w:ascii="Verdana" w:hAnsi="Verdana"/>
          <w:sz w:val="20"/>
        </w:rPr>
        <w:t>zación, llamado o ejecución del paro laboral efectuado el día 5 de ese mismo mes y año</w:t>
      </w:r>
      <w:r w:rsidR="00F01056" w:rsidRPr="0046204A">
        <w:rPr>
          <w:rFonts w:ascii="Verdana" w:hAnsi="Verdana"/>
          <w:sz w:val="20"/>
        </w:rPr>
        <w:t>, por considerar que buscaban subvertir el orden constitucional democrático y suplantarlo por un régimen militar</w:t>
      </w:r>
      <w:r w:rsidR="0046204A" w:rsidRPr="0046204A">
        <w:rPr>
          <w:rFonts w:ascii="Verdana" w:hAnsi="Verdana"/>
          <w:sz w:val="20"/>
        </w:rPr>
        <w:t>. Estos trabajadores participaron el 4 de diciembre de 1990 en una marcha para la reivindicación de derechos y beneficios laborales contenidos en un pliego de peticiones que presentó al Gobierno la Coordinadora de Sindicatos de Empresas Estatales, pero que éste rechazó;</w:t>
      </w:r>
      <w:r w:rsidR="00DE2A7F">
        <w:rPr>
          <w:rFonts w:ascii="Verdana" w:hAnsi="Verdana"/>
          <w:sz w:val="20"/>
        </w:rPr>
        <w:t xml:space="preserve"> ese</w:t>
      </w:r>
      <w:r w:rsidR="00F87F27">
        <w:rPr>
          <w:rFonts w:ascii="Verdana" w:hAnsi="Verdana"/>
          <w:sz w:val="20"/>
        </w:rPr>
        <w:t xml:space="preserve"> </w:t>
      </w:r>
      <w:r w:rsidR="00DE2A7F">
        <w:rPr>
          <w:rFonts w:ascii="Verdana" w:hAnsi="Verdana"/>
          <w:sz w:val="20"/>
        </w:rPr>
        <w:t>día coincidió con</w:t>
      </w:r>
      <w:r w:rsidR="00DE2A7F" w:rsidRPr="0046204A">
        <w:rPr>
          <w:rFonts w:ascii="Verdana" w:hAnsi="Verdana"/>
          <w:sz w:val="20"/>
        </w:rPr>
        <w:t xml:space="preserve"> la fuga del </w:t>
      </w:r>
      <w:proofErr w:type="gramStart"/>
      <w:r w:rsidR="00DE2A7F" w:rsidRPr="0046204A">
        <w:rPr>
          <w:rFonts w:ascii="Verdana" w:hAnsi="Verdana"/>
          <w:sz w:val="20"/>
        </w:rPr>
        <w:t>Coronel</w:t>
      </w:r>
      <w:proofErr w:type="gramEnd"/>
      <w:r w:rsidR="00DE2A7F" w:rsidRPr="0046204A">
        <w:rPr>
          <w:rFonts w:ascii="Verdana" w:hAnsi="Verdana"/>
          <w:sz w:val="20"/>
        </w:rPr>
        <w:t xml:space="preserve"> Eduardo Herrera </w:t>
      </w:r>
      <w:proofErr w:type="spellStart"/>
      <w:r w:rsidR="00DE2A7F" w:rsidRPr="0046204A">
        <w:rPr>
          <w:rFonts w:ascii="Verdana" w:hAnsi="Verdana"/>
          <w:sz w:val="20"/>
        </w:rPr>
        <w:t>Hassán</w:t>
      </w:r>
      <w:proofErr w:type="spellEnd"/>
      <w:r w:rsidR="00DE2A7F" w:rsidRPr="0046204A">
        <w:rPr>
          <w:rFonts w:ascii="Verdana" w:hAnsi="Verdana"/>
          <w:sz w:val="20"/>
        </w:rPr>
        <w:t xml:space="preserve"> y la toma parcial del Cuartel Central de la Policía Nacional por parte de éste.</w:t>
      </w:r>
      <w:r w:rsidR="0046204A" w:rsidRPr="0046204A">
        <w:rPr>
          <w:rFonts w:ascii="Verdana" w:hAnsi="Verdana"/>
          <w:sz w:val="20"/>
        </w:rPr>
        <w:t xml:space="preserve"> </w:t>
      </w:r>
      <w:r w:rsidR="00DE2A7F">
        <w:rPr>
          <w:rFonts w:ascii="Verdana" w:hAnsi="Verdana"/>
          <w:sz w:val="20"/>
        </w:rPr>
        <w:t>A</w:t>
      </w:r>
      <w:r w:rsidR="0046204A" w:rsidRPr="0046204A">
        <w:rPr>
          <w:rFonts w:ascii="Verdana" w:hAnsi="Verdana"/>
          <w:sz w:val="20"/>
        </w:rPr>
        <w:t>l día siguiente</w:t>
      </w:r>
      <w:r w:rsidR="00DE2A7F">
        <w:rPr>
          <w:rFonts w:ascii="Verdana" w:hAnsi="Verdana"/>
          <w:sz w:val="20"/>
        </w:rPr>
        <w:t>, estas personas trabajadoras</w:t>
      </w:r>
      <w:r w:rsidR="0046204A" w:rsidRPr="0046204A">
        <w:rPr>
          <w:rFonts w:ascii="Verdana" w:hAnsi="Verdana"/>
          <w:sz w:val="20"/>
        </w:rPr>
        <w:t xml:space="preserve"> participaron en un paro laboral de 24 horas.</w:t>
      </w:r>
      <w:r w:rsidR="008B3B55">
        <w:rPr>
          <w:rFonts w:ascii="Verdana" w:hAnsi="Verdana"/>
          <w:sz w:val="20"/>
        </w:rPr>
        <w:t xml:space="preserve"> </w:t>
      </w:r>
      <w:r w:rsidR="0046204A" w:rsidRPr="0046204A">
        <w:rPr>
          <w:rFonts w:ascii="Verdana" w:hAnsi="Verdana"/>
          <w:sz w:val="20"/>
        </w:rPr>
        <w:t xml:space="preserve">La Corte ordenó al Estado la adopción de diversas medidas de reparación </w:t>
      </w:r>
      <w:r w:rsidR="00101990" w:rsidRPr="0046204A">
        <w:rPr>
          <w:rFonts w:ascii="Verdana" w:hAnsi="Verdana"/>
          <w:sz w:val="20"/>
        </w:rPr>
        <w:t>(</w:t>
      </w:r>
      <w:r w:rsidR="00101990" w:rsidRPr="0046204A">
        <w:rPr>
          <w:rFonts w:ascii="Verdana" w:hAnsi="Verdana"/>
          <w:i/>
          <w:sz w:val="20"/>
        </w:rPr>
        <w:t>infra</w:t>
      </w:r>
      <w:r w:rsidR="00101990" w:rsidRPr="0046204A">
        <w:rPr>
          <w:rFonts w:ascii="Verdana" w:hAnsi="Verdana"/>
          <w:sz w:val="20"/>
        </w:rPr>
        <w:t xml:space="preserve"> Considerando </w:t>
      </w:r>
      <w:r w:rsidR="00BB3F63">
        <w:rPr>
          <w:rFonts w:ascii="Verdana" w:hAnsi="Verdana"/>
          <w:sz w:val="20"/>
        </w:rPr>
        <w:t>5</w:t>
      </w:r>
      <w:r w:rsidR="00101990" w:rsidRPr="0046204A">
        <w:rPr>
          <w:rFonts w:ascii="Verdana" w:hAnsi="Verdana"/>
          <w:sz w:val="20"/>
        </w:rPr>
        <w:t>)</w:t>
      </w:r>
      <w:r w:rsidR="00733EB0" w:rsidRPr="0046204A">
        <w:rPr>
          <w:rFonts w:ascii="Verdana" w:hAnsi="Verdana"/>
          <w:sz w:val="20"/>
        </w:rPr>
        <w:t>.</w:t>
      </w:r>
    </w:p>
    <w:p w14:paraId="4D73A0A1" w14:textId="77777777" w:rsidR="00614313" w:rsidRPr="00DB32F1" w:rsidRDefault="00614313" w:rsidP="00967FE6">
      <w:pPr>
        <w:numPr>
          <w:ilvl w:val="0"/>
          <w:numId w:val="3"/>
        </w:numPr>
        <w:spacing w:before="120" w:after="120"/>
        <w:jc w:val="both"/>
        <w:rPr>
          <w:rFonts w:ascii="Verdana" w:eastAsia="Times New Roman" w:hAnsi="Verdana" w:cs="TTE3F96A70t00"/>
          <w:sz w:val="20"/>
          <w:lang w:val="es-ES" w:eastAsia="es-ES"/>
        </w:rPr>
      </w:pPr>
      <w:bookmarkStart w:id="0" w:name="_Ref346808368"/>
      <w:r w:rsidRPr="00916B09">
        <w:rPr>
          <w:rFonts w:ascii="Verdana" w:hAnsi="Verdana"/>
          <w:sz w:val="20"/>
        </w:rPr>
        <w:t xml:space="preserve">Las Resoluciones de </w:t>
      </w:r>
      <w:r w:rsidR="005F3FEE">
        <w:rPr>
          <w:rFonts w:ascii="Verdana" w:hAnsi="Verdana"/>
          <w:sz w:val="20"/>
        </w:rPr>
        <w:t xml:space="preserve">supervisión de cumplimiento de </w:t>
      </w:r>
      <w:r w:rsidR="000B4DDF">
        <w:rPr>
          <w:rFonts w:ascii="Verdana" w:hAnsi="Verdana"/>
          <w:sz w:val="20"/>
        </w:rPr>
        <w:t>S</w:t>
      </w:r>
      <w:r w:rsidRPr="00916B09">
        <w:rPr>
          <w:rFonts w:ascii="Verdana" w:hAnsi="Verdana"/>
          <w:sz w:val="20"/>
        </w:rPr>
        <w:t xml:space="preserve">entencia emitidas por </w:t>
      </w:r>
      <w:r w:rsidR="00DB32F1">
        <w:rPr>
          <w:rFonts w:ascii="Verdana" w:hAnsi="Verdana"/>
          <w:sz w:val="20"/>
        </w:rPr>
        <w:t>el Tribunal</w:t>
      </w:r>
      <w:r w:rsidRPr="00916B09">
        <w:rPr>
          <w:rFonts w:ascii="Verdana" w:hAnsi="Verdana"/>
          <w:sz w:val="20"/>
        </w:rPr>
        <w:t xml:space="preserve"> </w:t>
      </w:r>
      <w:r w:rsidR="00DB32F1">
        <w:rPr>
          <w:rFonts w:ascii="Verdana" w:hAnsi="Verdana"/>
          <w:sz w:val="20"/>
        </w:rPr>
        <w:t>los días</w:t>
      </w:r>
      <w:r w:rsidRPr="00916B09">
        <w:rPr>
          <w:rFonts w:ascii="Verdana" w:hAnsi="Verdana"/>
          <w:sz w:val="20"/>
        </w:rPr>
        <w:t xml:space="preserve"> </w:t>
      </w:r>
      <w:r w:rsidRPr="007B3A23">
        <w:rPr>
          <w:rFonts w:ascii="Verdana" w:hAnsi="Verdana"/>
          <w:sz w:val="20"/>
        </w:rPr>
        <w:t xml:space="preserve">21 de junio y 22 de noviembre de 2002, 6 de junio de 2003, 28 de noviembre de 2005, 30 de octubre de 2008, 1 de julio de 2009, 28 de mayo de </w:t>
      </w:r>
      <w:r w:rsidR="007F2200" w:rsidRPr="007B3A23">
        <w:rPr>
          <w:rFonts w:ascii="Verdana" w:hAnsi="Verdana"/>
          <w:sz w:val="20"/>
        </w:rPr>
        <w:t>2010, 22 de febrero de 2011,</w:t>
      </w:r>
      <w:r w:rsidRPr="007B3A23">
        <w:rPr>
          <w:rFonts w:ascii="Verdana" w:hAnsi="Verdana"/>
          <w:sz w:val="20"/>
        </w:rPr>
        <w:t xml:space="preserve"> 28 de junio de 2012</w:t>
      </w:r>
      <w:r w:rsidR="007F2200" w:rsidRPr="007B3A23">
        <w:rPr>
          <w:rFonts w:ascii="Verdana" w:hAnsi="Verdana"/>
          <w:sz w:val="20"/>
        </w:rPr>
        <w:t xml:space="preserve"> y el 5 de febrero de 2013</w:t>
      </w:r>
      <w:r w:rsidR="00764F56" w:rsidRPr="007B3A23">
        <w:rPr>
          <w:rStyle w:val="Refdenotaalpie"/>
          <w:rFonts w:ascii="Verdana" w:hAnsi="Verdana"/>
          <w:sz w:val="20"/>
        </w:rPr>
        <w:footnoteReference w:id="3"/>
      </w:r>
      <w:r w:rsidRPr="007B3A23">
        <w:rPr>
          <w:rFonts w:ascii="Verdana" w:hAnsi="Verdana"/>
          <w:sz w:val="20"/>
        </w:rPr>
        <w:t>.</w:t>
      </w:r>
      <w:r w:rsidRPr="00916B09">
        <w:rPr>
          <w:rFonts w:ascii="Verdana" w:hAnsi="Verdana"/>
          <w:sz w:val="20"/>
        </w:rPr>
        <w:t xml:space="preserve"> </w:t>
      </w:r>
      <w:bookmarkEnd w:id="0"/>
    </w:p>
    <w:p w14:paraId="67E61382" w14:textId="77777777" w:rsidR="0026561F" w:rsidRPr="008556FD" w:rsidRDefault="005F3FEE" w:rsidP="00733EB0">
      <w:pPr>
        <w:numPr>
          <w:ilvl w:val="0"/>
          <w:numId w:val="3"/>
        </w:numPr>
        <w:autoSpaceDE w:val="0"/>
        <w:autoSpaceDN w:val="0"/>
        <w:adjustRightInd w:val="0"/>
        <w:spacing w:before="120" w:after="120"/>
        <w:jc w:val="both"/>
        <w:rPr>
          <w:rFonts w:ascii="Verdana" w:hAnsi="Verdana"/>
          <w:sz w:val="20"/>
        </w:rPr>
      </w:pPr>
      <w:r w:rsidRPr="008E6A06">
        <w:rPr>
          <w:rFonts w:ascii="Verdana" w:eastAsia="Times New Roman" w:hAnsi="Verdana" w:cs="TTE3F96A70t00"/>
          <w:sz w:val="20"/>
          <w:lang w:val="es-ES" w:eastAsia="es-ES"/>
        </w:rPr>
        <w:lastRenderedPageBreak/>
        <w:t>Los</w:t>
      </w:r>
      <w:r w:rsidR="006A743D" w:rsidRPr="008E6A06">
        <w:rPr>
          <w:rFonts w:ascii="Verdana" w:eastAsia="Times New Roman" w:hAnsi="Verdana" w:cs="TTE3F96A70t00"/>
          <w:sz w:val="20"/>
          <w:lang w:val="es-ES" w:eastAsia="es-ES"/>
        </w:rPr>
        <w:t xml:space="preserve"> informes y</w:t>
      </w:r>
      <w:r w:rsidR="00967FE6" w:rsidRPr="008556FD">
        <w:rPr>
          <w:rFonts w:ascii="Verdana" w:eastAsia="Times New Roman" w:hAnsi="Verdana" w:cs="TTE3F96A70t00"/>
          <w:sz w:val="20"/>
          <w:lang w:val="es-ES" w:eastAsia="es-ES"/>
        </w:rPr>
        <w:t xml:space="preserve"> </w:t>
      </w:r>
      <w:r w:rsidR="0026561F" w:rsidRPr="008556FD">
        <w:rPr>
          <w:rFonts w:ascii="Verdana" w:eastAsia="Times New Roman" w:hAnsi="Verdana" w:cs="TTE3F96A70t00"/>
          <w:sz w:val="20"/>
          <w:lang w:val="es-ES" w:eastAsia="es-ES"/>
        </w:rPr>
        <w:t xml:space="preserve">escritos presentados por el Estado entre </w:t>
      </w:r>
      <w:r w:rsidR="0026561F" w:rsidRPr="008E6A06">
        <w:rPr>
          <w:rFonts w:ascii="Verdana" w:eastAsia="Times New Roman" w:hAnsi="Verdana" w:cs="TTE3F96A70t00"/>
          <w:sz w:val="20"/>
          <w:lang w:val="es-ES" w:eastAsia="es-ES"/>
        </w:rPr>
        <w:t xml:space="preserve">marzo de 2013 y </w:t>
      </w:r>
      <w:r w:rsidR="00D46C3E" w:rsidRPr="008556FD">
        <w:rPr>
          <w:rFonts w:ascii="Verdana" w:eastAsia="Times New Roman" w:hAnsi="Verdana" w:cs="TTE3F96A70t00"/>
          <w:sz w:val="20"/>
          <w:lang w:val="es-ES" w:eastAsia="es-ES"/>
        </w:rPr>
        <w:t>agosto</w:t>
      </w:r>
      <w:r w:rsidR="0026561F" w:rsidRPr="008556FD">
        <w:rPr>
          <w:rFonts w:ascii="Verdana" w:eastAsia="Times New Roman" w:hAnsi="Verdana" w:cs="TTE3F96A70t00"/>
          <w:sz w:val="20"/>
          <w:lang w:val="es-ES" w:eastAsia="es-ES"/>
        </w:rPr>
        <w:t xml:space="preserve"> de 2015.</w:t>
      </w:r>
    </w:p>
    <w:p w14:paraId="008745F6" w14:textId="77777777" w:rsidR="00967FE6" w:rsidRPr="009B41E6" w:rsidRDefault="002459A7" w:rsidP="00733EB0">
      <w:pPr>
        <w:numPr>
          <w:ilvl w:val="0"/>
          <w:numId w:val="3"/>
        </w:numPr>
        <w:autoSpaceDE w:val="0"/>
        <w:autoSpaceDN w:val="0"/>
        <w:adjustRightInd w:val="0"/>
        <w:spacing w:before="120" w:after="120"/>
        <w:jc w:val="both"/>
        <w:rPr>
          <w:rFonts w:ascii="Verdana" w:hAnsi="Verdana"/>
          <w:sz w:val="20"/>
        </w:rPr>
      </w:pPr>
      <w:r w:rsidRPr="009B41E6">
        <w:rPr>
          <w:rFonts w:ascii="Verdana" w:hAnsi="Verdana"/>
          <w:sz w:val="20"/>
        </w:rPr>
        <w:t xml:space="preserve">Los </w:t>
      </w:r>
      <w:r w:rsidR="00967FE6" w:rsidRPr="009B41E6">
        <w:rPr>
          <w:rFonts w:ascii="Verdana" w:hAnsi="Verdana"/>
          <w:sz w:val="20"/>
        </w:rPr>
        <w:t>escritos presentados por varias de las víctimas y/o sus representantes entre febrero de 2013 y noviembre de 2018.</w:t>
      </w:r>
    </w:p>
    <w:p w14:paraId="609398C6" w14:textId="77777777" w:rsidR="00CB7825" w:rsidRPr="00F87F27" w:rsidRDefault="005F3FEE" w:rsidP="00CB7825">
      <w:pPr>
        <w:numPr>
          <w:ilvl w:val="0"/>
          <w:numId w:val="3"/>
        </w:numPr>
        <w:autoSpaceDE w:val="0"/>
        <w:autoSpaceDN w:val="0"/>
        <w:adjustRightInd w:val="0"/>
        <w:spacing w:before="120" w:after="120"/>
        <w:jc w:val="both"/>
        <w:rPr>
          <w:rFonts w:ascii="Verdana" w:hAnsi="Verdana"/>
          <w:sz w:val="20"/>
        </w:rPr>
      </w:pPr>
      <w:r w:rsidRPr="009B41E6">
        <w:rPr>
          <w:rFonts w:ascii="Verdana" w:hAnsi="Verdana"/>
          <w:sz w:val="20"/>
        </w:rPr>
        <w:t>Los</w:t>
      </w:r>
      <w:r w:rsidR="00091B4A" w:rsidRPr="00037310">
        <w:rPr>
          <w:rFonts w:ascii="Verdana" w:hAnsi="Verdana"/>
          <w:sz w:val="20"/>
        </w:rPr>
        <w:t xml:space="preserve"> escritos presentados por la Comisión Interamericana de Derechos Humanos (en adelante </w:t>
      </w:r>
      <w:r w:rsidR="00614313" w:rsidRPr="00A5382E">
        <w:rPr>
          <w:rFonts w:ascii="Verdana" w:hAnsi="Verdana"/>
          <w:sz w:val="20"/>
        </w:rPr>
        <w:t>“la Comisión In</w:t>
      </w:r>
      <w:r w:rsidR="00347EA2" w:rsidRPr="00A5382E">
        <w:rPr>
          <w:rFonts w:ascii="Verdana" w:hAnsi="Verdana"/>
          <w:sz w:val="20"/>
        </w:rPr>
        <w:t>teramericana” o “la Comisión”)</w:t>
      </w:r>
      <w:r w:rsidR="006E21D7" w:rsidRPr="00AB21FA">
        <w:rPr>
          <w:rFonts w:ascii="Verdana" w:hAnsi="Verdana"/>
          <w:sz w:val="20"/>
        </w:rPr>
        <w:t xml:space="preserve"> entre octubre de 2013 y noviembre de 2015</w:t>
      </w:r>
      <w:r w:rsidR="00967FE6" w:rsidRPr="00E56623">
        <w:rPr>
          <w:rFonts w:ascii="Verdana" w:hAnsi="Verdana"/>
          <w:sz w:val="20"/>
        </w:rPr>
        <w:t>.</w:t>
      </w:r>
    </w:p>
    <w:p w14:paraId="1958DCCB" w14:textId="77777777" w:rsidR="00CB7825" w:rsidRPr="0009269F" w:rsidRDefault="0088766A" w:rsidP="00CB7825">
      <w:pPr>
        <w:numPr>
          <w:ilvl w:val="0"/>
          <w:numId w:val="3"/>
        </w:numPr>
        <w:autoSpaceDE w:val="0"/>
        <w:autoSpaceDN w:val="0"/>
        <w:adjustRightInd w:val="0"/>
        <w:spacing w:before="120" w:after="120"/>
        <w:jc w:val="both"/>
        <w:rPr>
          <w:rFonts w:ascii="Verdana" w:hAnsi="Verdana"/>
          <w:sz w:val="20"/>
        </w:rPr>
      </w:pPr>
      <w:r w:rsidRPr="0009269F">
        <w:rPr>
          <w:rFonts w:ascii="Verdana" w:hAnsi="Verdana"/>
          <w:sz w:val="20"/>
        </w:rPr>
        <w:t xml:space="preserve">La Resolución emitida por el Presidente de la Corte el 21 de noviembre de 2018, mediante la cual delegó en el Secretario de la Corte </w:t>
      </w:r>
      <w:r w:rsidR="0046783C">
        <w:rPr>
          <w:rFonts w:ascii="Verdana" w:hAnsi="Verdana"/>
          <w:sz w:val="20"/>
        </w:rPr>
        <w:t>el inicio de</w:t>
      </w:r>
      <w:r w:rsidRPr="0009269F">
        <w:rPr>
          <w:rFonts w:ascii="Verdana" w:hAnsi="Verdana"/>
          <w:sz w:val="20"/>
        </w:rPr>
        <w:t xml:space="preserve"> gestiones dirigidas a coordinar, previo consentimiento del Estado, una reunión en Panamá con las víctimas interesadas o sus representantes y el Estado, para recabar información sobre las gestiones que estaba realizando </w:t>
      </w:r>
      <w:r w:rsidR="00767411">
        <w:rPr>
          <w:rFonts w:ascii="Verdana" w:hAnsi="Verdana"/>
          <w:sz w:val="20"/>
        </w:rPr>
        <w:t xml:space="preserve">este último </w:t>
      </w:r>
      <w:r w:rsidR="00B341C4">
        <w:rPr>
          <w:rFonts w:ascii="Verdana" w:hAnsi="Verdana"/>
          <w:sz w:val="20"/>
        </w:rPr>
        <w:t>con el objetivo de</w:t>
      </w:r>
      <w:r w:rsidR="00B341C4" w:rsidRPr="0009269F">
        <w:rPr>
          <w:rFonts w:ascii="Verdana" w:hAnsi="Verdana"/>
          <w:sz w:val="20"/>
        </w:rPr>
        <w:t xml:space="preserve"> </w:t>
      </w:r>
      <w:r w:rsidRPr="0009269F">
        <w:rPr>
          <w:rFonts w:ascii="Verdana" w:hAnsi="Verdana"/>
          <w:sz w:val="20"/>
        </w:rPr>
        <w:t>atender</w:t>
      </w:r>
      <w:r w:rsidR="0046783C">
        <w:rPr>
          <w:rFonts w:ascii="Verdana" w:hAnsi="Verdana"/>
          <w:sz w:val="20"/>
        </w:rPr>
        <w:t xml:space="preserve"> los</w:t>
      </w:r>
      <w:r w:rsidRPr="0009269F">
        <w:rPr>
          <w:rFonts w:ascii="Verdana" w:hAnsi="Verdana"/>
          <w:sz w:val="20"/>
        </w:rPr>
        <w:t xml:space="preserve"> reclamos de las víctimas relacionados con el pago de cuotas obrero</w:t>
      </w:r>
      <w:r w:rsidR="00390A06">
        <w:rPr>
          <w:rFonts w:ascii="Verdana" w:hAnsi="Verdana"/>
          <w:sz w:val="20"/>
        </w:rPr>
        <w:t>-</w:t>
      </w:r>
      <w:r w:rsidRPr="0009269F">
        <w:rPr>
          <w:rFonts w:ascii="Verdana" w:hAnsi="Verdana"/>
          <w:sz w:val="20"/>
        </w:rPr>
        <w:t>patronales al sistema de seguridad social (</w:t>
      </w:r>
      <w:r w:rsidRPr="0009269F">
        <w:rPr>
          <w:rFonts w:ascii="Verdana" w:hAnsi="Verdana"/>
          <w:i/>
          <w:sz w:val="20"/>
        </w:rPr>
        <w:t xml:space="preserve">infra </w:t>
      </w:r>
      <w:r w:rsidRPr="0009269F">
        <w:rPr>
          <w:rFonts w:ascii="Verdana" w:hAnsi="Verdana"/>
          <w:sz w:val="20"/>
        </w:rPr>
        <w:t>Considerando</w:t>
      </w:r>
      <w:r w:rsidR="001822CC">
        <w:rPr>
          <w:rFonts w:ascii="Verdana" w:hAnsi="Verdana"/>
          <w:sz w:val="20"/>
        </w:rPr>
        <w:t>s</w:t>
      </w:r>
      <w:r w:rsidRPr="0009269F">
        <w:rPr>
          <w:rFonts w:ascii="Verdana" w:hAnsi="Verdana"/>
          <w:sz w:val="20"/>
        </w:rPr>
        <w:t xml:space="preserve"> </w:t>
      </w:r>
      <w:r w:rsidR="001822CC">
        <w:rPr>
          <w:rFonts w:ascii="Verdana" w:hAnsi="Verdana"/>
          <w:sz w:val="20"/>
        </w:rPr>
        <w:t xml:space="preserve">27 y </w:t>
      </w:r>
      <w:r w:rsidR="001433C8">
        <w:rPr>
          <w:rFonts w:ascii="Verdana" w:hAnsi="Verdana"/>
          <w:sz w:val="20"/>
        </w:rPr>
        <w:t>28</w:t>
      </w:r>
      <w:r w:rsidRPr="0009269F">
        <w:rPr>
          <w:rFonts w:ascii="Verdana" w:hAnsi="Verdana"/>
          <w:sz w:val="20"/>
        </w:rPr>
        <w:t>)</w:t>
      </w:r>
      <w:r w:rsidR="00B341C4">
        <w:rPr>
          <w:rStyle w:val="Refdenotaalpie"/>
          <w:rFonts w:ascii="Verdana" w:hAnsi="Verdana"/>
          <w:sz w:val="20"/>
        </w:rPr>
        <w:footnoteReference w:id="4"/>
      </w:r>
      <w:r w:rsidRPr="0009269F">
        <w:rPr>
          <w:rFonts w:ascii="Verdana" w:hAnsi="Verdana"/>
          <w:sz w:val="20"/>
        </w:rPr>
        <w:t xml:space="preserve">. </w:t>
      </w:r>
    </w:p>
    <w:p w14:paraId="011B162A" w14:textId="77777777" w:rsidR="00C31AC2" w:rsidRPr="0009269F" w:rsidRDefault="00C31AC2" w:rsidP="00CB7825">
      <w:pPr>
        <w:numPr>
          <w:ilvl w:val="0"/>
          <w:numId w:val="3"/>
        </w:numPr>
        <w:autoSpaceDE w:val="0"/>
        <w:autoSpaceDN w:val="0"/>
        <w:adjustRightInd w:val="0"/>
        <w:spacing w:before="120" w:after="120"/>
        <w:jc w:val="both"/>
        <w:rPr>
          <w:rFonts w:ascii="Verdana" w:hAnsi="Verdana"/>
          <w:sz w:val="20"/>
        </w:rPr>
      </w:pPr>
      <w:r w:rsidRPr="0009269F">
        <w:rPr>
          <w:rFonts w:ascii="Verdana" w:hAnsi="Verdana"/>
          <w:sz w:val="20"/>
        </w:rPr>
        <w:t>La reunión sobre supervisión de cumplimiento realizada el 22 de febrero de 2019</w:t>
      </w:r>
      <w:r w:rsidR="005E3838" w:rsidRPr="0009269F">
        <w:rPr>
          <w:rFonts w:ascii="Verdana" w:hAnsi="Verdana"/>
          <w:sz w:val="20"/>
        </w:rPr>
        <w:t xml:space="preserve"> en </w:t>
      </w:r>
      <w:r w:rsidRPr="0009269F">
        <w:rPr>
          <w:rFonts w:ascii="Verdana" w:hAnsi="Verdana"/>
          <w:sz w:val="20"/>
        </w:rPr>
        <w:t>Ciudad de Panamá</w:t>
      </w:r>
      <w:r w:rsidR="00AF5C5D">
        <w:rPr>
          <w:rFonts w:ascii="Verdana" w:hAnsi="Verdana"/>
          <w:sz w:val="20"/>
        </w:rPr>
        <w:t xml:space="preserve">, </w:t>
      </w:r>
      <w:r w:rsidR="00AF5C5D" w:rsidRPr="0009269F">
        <w:rPr>
          <w:rFonts w:ascii="Verdana" w:hAnsi="Verdana"/>
          <w:sz w:val="20"/>
        </w:rPr>
        <w:t>en las instalaciones del Ministerio de Relaciones Exteriores</w:t>
      </w:r>
      <w:r w:rsidRPr="0009269F">
        <w:rPr>
          <w:rStyle w:val="Refdenotaalpie"/>
          <w:rFonts w:ascii="Verdana" w:hAnsi="Verdana"/>
          <w:sz w:val="20"/>
        </w:rPr>
        <w:footnoteReference w:id="5"/>
      </w:r>
      <w:r w:rsidRPr="0009269F">
        <w:rPr>
          <w:rFonts w:ascii="Verdana" w:hAnsi="Verdana"/>
          <w:sz w:val="20"/>
        </w:rPr>
        <w:t xml:space="preserve">. </w:t>
      </w:r>
    </w:p>
    <w:p w14:paraId="072E0880" w14:textId="77777777" w:rsidR="0009269F" w:rsidRPr="009B41E6" w:rsidRDefault="006A743D" w:rsidP="0009269F">
      <w:pPr>
        <w:numPr>
          <w:ilvl w:val="0"/>
          <w:numId w:val="3"/>
        </w:numPr>
        <w:autoSpaceDE w:val="0"/>
        <w:autoSpaceDN w:val="0"/>
        <w:adjustRightInd w:val="0"/>
        <w:spacing w:before="120" w:after="120"/>
        <w:jc w:val="both"/>
        <w:rPr>
          <w:rFonts w:ascii="Verdana" w:hAnsi="Verdana"/>
          <w:sz w:val="20"/>
        </w:rPr>
      </w:pPr>
      <w:r w:rsidRPr="008556FD">
        <w:rPr>
          <w:rFonts w:ascii="Verdana" w:hAnsi="Verdana"/>
          <w:sz w:val="20"/>
        </w:rPr>
        <w:t xml:space="preserve">Los </w:t>
      </w:r>
      <w:r w:rsidR="00CF7131" w:rsidRPr="008556FD">
        <w:rPr>
          <w:rFonts w:ascii="Verdana" w:hAnsi="Verdana"/>
          <w:sz w:val="20"/>
        </w:rPr>
        <w:t xml:space="preserve">seis </w:t>
      </w:r>
      <w:r w:rsidRPr="008556FD">
        <w:rPr>
          <w:rFonts w:ascii="Verdana" w:hAnsi="Verdana"/>
          <w:sz w:val="20"/>
        </w:rPr>
        <w:t xml:space="preserve">informes presentados por el Estado entre marzo de 2019 y </w:t>
      </w:r>
      <w:r w:rsidR="0009269F" w:rsidRPr="008556FD">
        <w:rPr>
          <w:rFonts w:ascii="Verdana" w:hAnsi="Verdana"/>
          <w:sz w:val="20"/>
        </w:rPr>
        <w:t>mayo de 2021 sobre el pago de la</w:t>
      </w:r>
      <w:r w:rsidR="0009269F" w:rsidRPr="009B41E6">
        <w:rPr>
          <w:rFonts w:ascii="Verdana" w:hAnsi="Verdana"/>
          <w:sz w:val="20"/>
        </w:rPr>
        <w:t>s cuotas obrero</w:t>
      </w:r>
      <w:r w:rsidR="00390A06">
        <w:rPr>
          <w:rFonts w:ascii="Verdana" w:hAnsi="Verdana"/>
          <w:sz w:val="20"/>
        </w:rPr>
        <w:t>-</w:t>
      </w:r>
      <w:r w:rsidR="0009269F" w:rsidRPr="009B41E6">
        <w:rPr>
          <w:rFonts w:ascii="Verdana" w:hAnsi="Verdana"/>
          <w:sz w:val="20"/>
        </w:rPr>
        <w:t>patronales a la Caja de Seguro Social</w:t>
      </w:r>
      <w:r w:rsidR="00CF7131" w:rsidRPr="009B41E6">
        <w:rPr>
          <w:rFonts w:ascii="Verdana" w:hAnsi="Verdana"/>
          <w:sz w:val="20"/>
        </w:rPr>
        <w:t>, en respuesta a solicitudes efectuadas por la Presidencia de la Corte, mediante notas de la Secretaría del Tribunal (en adelante también “la Secretaría”).</w:t>
      </w:r>
    </w:p>
    <w:p w14:paraId="0C08D5AB" w14:textId="77777777" w:rsidR="00CB7825" w:rsidRPr="0009269F" w:rsidRDefault="00CB7825" w:rsidP="0009269F">
      <w:pPr>
        <w:numPr>
          <w:ilvl w:val="0"/>
          <w:numId w:val="3"/>
        </w:numPr>
        <w:autoSpaceDE w:val="0"/>
        <w:autoSpaceDN w:val="0"/>
        <w:adjustRightInd w:val="0"/>
        <w:spacing w:before="120" w:after="120"/>
        <w:jc w:val="both"/>
        <w:rPr>
          <w:rFonts w:ascii="Verdana" w:hAnsi="Verdana"/>
          <w:sz w:val="20"/>
        </w:rPr>
      </w:pPr>
      <w:r w:rsidRPr="0009269F">
        <w:rPr>
          <w:rFonts w:ascii="Verdana" w:hAnsi="Verdana"/>
          <w:sz w:val="20"/>
        </w:rPr>
        <w:t xml:space="preserve">Los escritos presentados por varias de las víctimas y/o sus representantes entre diciembre de 2018 y </w:t>
      </w:r>
      <w:r w:rsidR="0009269F" w:rsidRPr="0009269F">
        <w:rPr>
          <w:rFonts w:ascii="Verdana" w:hAnsi="Verdana"/>
          <w:sz w:val="20"/>
        </w:rPr>
        <w:t>junio de 2021, mediante los cuales se refirieron al cumplimiento de la Sentencia y al pago de las referidas cuotas.</w:t>
      </w:r>
    </w:p>
    <w:p w14:paraId="49F9C4D2" w14:textId="77777777" w:rsidR="0009269F" w:rsidRDefault="0009269F" w:rsidP="00733EB0">
      <w:pPr>
        <w:spacing w:before="120" w:after="120"/>
        <w:jc w:val="both"/>
        <w:rPr>
          <w:rFonts w:ascii="Verdana" w:hAnsi="Verdana"/>
          <w:b/>
          <w:smallCaps/>
          <w:sz w:val="20"/>
        </w:rPr>
      </w:pPr>
    </w:p>
    <w:p w14:paraId="0E007742" w14:textId="77777777" w:rsidR="00A762FD" w:rsidRPr="00B72EF0" w:rsidRDefault="00D37C53" w:rsidP="00733EB0">
      <w:pPr>
        <w:spacing w:before="120" w:after="120"/>
        <w:jc w:val="both"/>
        <w:rPr>
          <w:rFonts w:ascii="Verdana" w:hAnsi="Verdana"/>
          <w:b/>
          <w:smallCaps/>
          <w:sz w:val="20"/>
        </w:rPr>
      </w:pPr>
      <w:r w:rsidRPr="00B72EF0">
        <w:rPr>
          <w:rFonts w:ascii="Verdana" w:hAnsi="Verdana"/>
          <w:b/>
          <w:smallCaps/>
          <w:sz w:val="20"/>
        </w:rPr>
        <w:t>CONSIDERANDO QUE:</w:t>
      </w:r>
    </w:p>
    <w:p w14:paraId="42EBDB5E" w14:textId="77777777" w:rsidR="0094016D" w:rsidRDefault="004F3339" w:rsidP="0094016D">
      <w:pPr>
        <w:pStyle w:val="Textoindependiente2"/>
        <w:numPr>
          <w:ilvl w:val="0"/>
          <w:numId w:val="1"/>
        </w:numPr>
        <w:tabs>
          <w:tab w:val="clear" w:pos="1080"/>
          <w:tab w:val="num" w:pos="0"/>
        </w:tabs>
        <w:spacing w:before="120" w:after="120"/>
        <w:ind w:left="0" w:firstLine="0"/>
      </w:pPr>
      <w:r>
        <w:t>E</w:t>
      </w:r>
      <w:r w:rsidR="00682A65" w:rsidRPr="001B2B0C">
        <w:t xml:space="preserve">n el ejercicio de </w:t>
      </w:r>
      <w:r w:rsidR="00682A65" w:rsidRPr="00EA548A">
        <w:rPr>
          <w:lang w:val="es-ES"/>
        </w:rPr>
        <w:t xml:space="preserve">su función jurisdiccional de </w:t>
      </w:r>
      <w:r w:rsidR="00682A65" w:rsidRPr="001B2B0C">
        <w:t>supervisar el cumplimiento de sus decisiones</w:t>
      </w:r>
      <w:r w:rsidR="00682A65" w:rsidRPr="001B2B0C">
        <w:rPr>
          <w:rStyle w:val="Refdenotaalpie"/>
        </w:rPr>
        <w:footnoteReference w:id="6"/>
      </w:r>
      <w:r w:rsidR="00682A65">
        <w:t>,</w:t>
      </w:r>
      <w:r w:rsidR="00402B89">
        <w:t xml:space="preserve"> </w:t>
      </w:r>
      <w:r w:rsidR="007B3A23">
        <w:t xml:space="preserve">la Corte ha venido supervisando </w:t>
      </w:r>
      <w:r w:rsidR="007B3A23" w:rsidRPr="007B3A23">
        <w:t xml:space="preserve">la ejecución </w:t>
      </w:r>
      <w:r w:rsidR="007B3A23" w:rsidRPr="009400FA">
        <w:t xml:space="preserve">de la Sentencia </w:t>
      </w:r>
      <w:r w:rsidR="009400FA">
        <w:t>emitida en</w:t>
      </w:r>
      <w:r w:rsidR="00B05161">
        <w:t xml:space="preserve"> el presente caso hace más de </w:t>
      </w:r>
      <w:r w:rsidR="004333D4">
        <w:t>veinte</w:t>
      </w:r>
      <w:r w:rsidR="0077731E">
        <w:t xml:space="preserve"> años</w:t>
      </w:r>
      <w:r w:rsidR="00612897">
        <w:t>. Entre los años 2002 y 2013</w:t>
      </w:r>
      <w:r w:rsidR="00431D63">
        <w:t>,</w:t>
      </w:r>
      <w:r w:rsidR="0077731E">
        <w:t xml:space="preserve"> el Tribunal </w:t>
      </w:r>
      <w:r w:rsidR="004333D4">
        <w:t>emiti</w:t>
      </w:r>
      <w:r w:rsidR="00A50ECA">
        <w:t>ó</w:t>
      </w:r>
      <w:r w:rsidR="004333D4">
        <w:t xml:space="preserve"> diez resoluciones de supervisión de cumplimiento (</w:t>
      </w:r>
      <w:r w:rsidR="00390A06" w:rsidRPr="00390A06">
        <w:rPr>
          <w:i/>
        </w:rPr>
        <w:t>supra</w:t>
      </w:r>
      <w:r w:rsidR="00390A06">
        <w:t xml:space="preserve"> Visto 2 e </w:t>
      </w:r>
      <w:r w:rsidR="004333D4" w:rsidRPr="0077731E">
        <w:rPr>
          <w:i/>
        </w:rPr>
        <w:t>infra</w:t>
      </w:r>
      <w:r w:rsidR="004333D4">
        <w:t xml:space="preserve"> Consid</w:t>
      </w:r>
      <w:r w:rsidR="0077731E">
        <w:t>erando</w:t>
      </w:r>
      <w:r w:rsidR="001822CC">
        <w:t>s</w:t>
      </w:r>
      <w:r w:rsidR="0077731E">
        <w:t xml:space="preserve"> </w:t>
      </w:r>
      <w:r w:rsidR="008556FD">
        <w:t>6</w:t>
      </w:r>
      <w:r w:rsidR="001822CC">
        <w:t xml:space="preserve"> a 16</w:t>
      </w:r>
      <w:r w:rsidR="0077731E">
        <w:t>)</w:t>
      </w:r>
      <w:r w:rsidR="00612897">
        <w:t xml:space="preserve">, y en </w:t>
      </w:r>
      <w:r w:rsidR="00A50ECA">
        <w:t xml:space="preserve">el </w:t>
      </w:r>
      <w:r w:rsidR="00612897">
        <w:t>2018 su Presidencia emitió una resolución (</w:t>
      </w:r>
      <w:r w:rsidR="00390A06" w:rsidRPr="00390A06">
        <w:rPr>
          <w:i/>
        </w:rPr>
        <w:t xml:space="preserve">supra </w:t>
      </w:r>
      <w:r w:rsidR="00390A06">
        <w:t xml:space="preserve">Visto 6 e </w:t>
      </w:r>
      <w:r w:rsidR="00612897" w:rsidRPr="00612897">
        <w:rPr>
          <w:i/>
        </w:rPr>
        <w:t xml:space="preserve">infra </w:t>
      </w:r>
      <w:r w:rsidR="00612897">
        <w:t>Considerando</w:t>
      </w:r>
      <w:r w:rsidR="001822CC">
        <w:t>s</w:t>
      </w:r>
      <w:r w:rsidR="00612897">
        <w:t xml:space="preserve"> </w:t>
      </w:r>
      <w:r w:rsidR="00CA4101">
        <w:t>27</w:t>
      </w:r>
      <w:r w:rsidR="001822CC">
        <w:t xml:space="preserve"> y 28</w:t>
      </w:r>
      <w:r w:rsidR="00612897">
        <w:t>)</w:t>
      </w:r>
      <w:r w:rsidR="0077731E">
        <w:t>.</w:t>
      </w:r>
    </w:p>
    <w:p w14:paraId="6D4B8E6C" w14:textId="77777777" w:rsidR="0094016D" w:rsidRPr="003E2228" w:rsidRDefault="0094016D" w:rsidP="0094016D">
      <w:pPr>
        <w:pStyle w:val="Textoindependiente2"/>
        <w:numPr>
          <w:ilvl w:val="0"/>
          <w:numId w:val="1"/>
        </w:numPr>
        <w:tabs>
          <w:tab w:val="clear" w:pos="1080"/>
          <w:tab w:val="num" w:pos="0"/>
        </w:tabs>
        <w:spacing w:before="120" w:after="120"/>
        <w:ind w:left="0" w:firstLine="0"/>
      </w:pPr>
      <w:r w:rsidRPr="0094016D">
        <w:t xml:space="preserve">De conformidad con lo establecido en el artículo 68.1 de la Convención Americana sobre Derechos Humanos, “[l]os </w:t>
      </w:r>
      <w:proofErr w:type="gramStart"/>
      <w:r w:rsidRPr="0094016D">
        <w:t>Estados Partes</w:t>
      </w:r>
      <w:proofErr w:type="gramEnd"/>
      <w:r w:rsidRPr="0094016D">
        <w:t xml:space="preserve"> en la Convención se comprometen a cumplir la decisión de la Corte en todo caso en que sean partes”. Esta obligación incluye el deber del </w:t>
      </w:r>
      <w:r w:rsidRPr="0094016D">
        <w:lastRenderedPageBreak/>
        <w:t>Estado de informar a la Corte sobre las medidas adoptadas para cumplir cada uno de los puntos ordenados, lo cual es fundamental para evaluar el estado de cumplimiento de la Sentencia en su conjunto</w:t>
      </w:r>
      <w:r>
        <w:rPr>
          <w:rStyle w:val="Refdenotaalpie"/>
        </w:rPr>
        <w:footnoteReference w:id="7"/>
      </w:r>
      <w:r w:rsidRPr="0094016D">
        <w:t xml:space="preserve">. Los Estados Parte en la Convención deben garantizar el cumplimiento de las </w:t>
      </w:r>
      <w:r w:rsidRPr="003E2228">
        <w:t>disposiciones convencionales y sus efectos propios (</w:t>
      </w:r>
      <w:proofErr w:type="spellStart"/>
      <w:r w:rsidRPr="003E2228">
        <w:rPr>
          <w:i/>
        </w:rPr>
        <w:t>effet</w:t>
      </w:r>
      <w:proofErr w:type="spellEnd"/>
      <w:r w:rsidRPr="003E2228">
        <w:rPr>
          <w:i/>
        </w:rPr>
        <w:t xml:space="preserve"> </w:t>
      </w:r>
      <w:proofErr w:type="spellStart"/>
      <w:r w:rsidRPr="003E2228">
        <w:rPr>
          <w:i/>
        </w:rPr>
        <w:t>utile</w:t>
      </w:r>
      <w:proofErr w:type="spellEnd"/>
      <w:r w:rsidRPr="003E2228">
        <w:t>) en el plano de sus respectivos derechos internos. Estas obligaci</w:t>
      </w:r>
      <w:r w:rsidRPr="00DE2A7F">
        <w:t>ones deben ser interpretadas y aplicadas de manera que la garantía protegida sea verdaderamente práctica y eficaz, teniendo presente la naturaleza especial de los tratados de derechos humanos</w:t>
      </w:r>
      <w:r w:rsidRPr="003E2228">
        <w:rPr>
          <w:rStyle w:val="Refdenotaalpie"/>
        </w:rPr>
        <w:footnoteReference w:id="8"/>
      </w:r>
      <w:r w:rsidRPr="003E2228">
        <w:t>.</w:t>
      </w:r>
    </w:p>
    <w:p w14:paraId="06A3A6F2" w14:textId="77777777" w:rsidR="0077731E" w:rsidRPr="0048382C" w:rsidRDefault="0094016D" w:rsidP="00EA548A">
      <w:pPr>
        <w:pStyle w:val="Textoindependiente2"/>
        <w:numPr>
          <w:ilvl w:val="0"/>
          <w:numId w:val="1"/>
        </w:numPr>
        <w:tabs>
          <w:tab w:val="clear" w:pos="1080"/>
          <w:tab w:val="num" w:pos="0"/>
        </w:tabs>
        <w:spacing w:before="120" w:after="120"/>
        <w:ind w:left="0" w:firstLine="0"/>
      </w:pPr>
      <w:r w:rsidRPr="001822CC">
        <w:t>L</w:t>
      </w:r>
      <w:r w:rsidR="0077731E" w:rsidRPr="001822CC">
        <w:t xml:space="preserve">a Corte </w:t>
      </w:r>
      <w:r w:rsidRPr="001822CC">
        <w:t>se pronunciará en esta Resolución sobre</w:t>
      </w:r>
      <w:r w:rsidR="0077731E" w:rsidRPr="001822CC">
        <w:t xml:space="preserve"> la solicitud del Estado de Panamá de que se declare el cierre por cumplimiento y</w:t>
      </w:r>
      <w:r w:rsidR="001822CC">
        <w:t>,</w:t>
      </w:r>
      <w:r w:rsidR="0077731E" w:rsidRPr="001822CC">
        <w:t xml:space="preserve"> </w:t>
      </w:r>
      <w:r w:rsidR="00CA4101">
        <w:t>consecuente</w:t>
      </w:r>
      <w:r w:rsidR="000E2FC6">
        <w:t>mente,</w:t>
      </w:r>
      <w:r w:rsidR="00CA4101">
        <w:t xml:space="preserve"> </w:t>
      </w:r>
      <w:r w:rsidR="001822CC">
        <w:t xml:space="preserve">el </w:t>
      </w:r>
      <w:r w:rsidR="0077731E" w:rsidRPr="001822CC">
        <w:t>archivo de este caso</w:t>
      </w:r>
      <w:r w:rsidR="006F4A3A">
        <w:t xml:space="preserve"> (</w:t>
      </w:r>
      <w:r w:rsidR="006F4A3A" w:rsidRPr="006F4A3A">
        <w:rPr>
          <w:i/>
        </w:rPr>
        <w:t>infra</w:t>
      </w:r>
      <w:r w:rsidR="006F4A3A">
        <w:t xml:space="preserve"> Considerandos 17 y </w:t>
      </w:r>
      <w:r w:rsidR="00C655DB">
        <w:t>31</w:t>
      </w:r>
      <w:r w:rsidR="006F4A3A">
        <w:t>)</w:t>
      </w:r>
      <w:r w:rsidR="0077731E" w:rsidRPr="001822CC">
        <w:t>.</w:t>
      </w:r>
      <w:r w:rsidR="0077731E" w:rsidRPr="003E2228">
        <w:t xml:space="preserve"> </w:t>
      </w:r>
      <w:r w:rsidR="00C35A24" w:rsidRPr="003E2228">
        <w:t xml:space="preserve">Para ello, se realizará: i) un recuento de las medidas de reparación ordenadas en la Sentencia </w:t>
      </w:r>
      <w:r w:rsidR="001822CC">
        <w:t>(</w:t>
      </w:r>
      <w:r w:rsidR="001822CC" w:rsidRPr="001822CC">
        <w:rPr>
          <w:i/>
        </w:rPr>
        <w:t>infra</w:t>
      </w:r>
      <w:r w:rsidR="001822CC">
        <w:t xml:space="preserve"> Considerando 5) </w:t>
      </w:r>
      <w:r w:rsidR="00C35A24" w:rsidRPr="003E2228">
        <w:t xml:space="preserve">y de lo </w:t>
      </w:r>
      <w:r w:rsidR="00054FF0" w:rsidRPr="00DE2A7F">
        <w:t xml:space="preserve">decidido por </w:t>
      </w:r>
      <w:r w:rsidR="000E2FC6">
        <w:t>este Tribunal</w:t>
      </w:r>
      <w:r w:rsidR="00054FF0" w:rsidRPr="00DE2A7F">
        <w:t xml:space="preserve"> </w:t>
      </w:r>
      <w:r w:rsidR="00C35A24" w:rsidRPr="004848C5">
        <w:t>durante la etapa de supervisión de cumplimiento</w:t>
      </w:r>
      <w:r w:rsidR="00F121C1" w:rsidRPr="004848C5">
        <w:t xml:space="preserve"> de </w:t>
      </w:r>
      <w:r w:rsidR="000E2FC6">
        <w:t xml:space="preserve">la Sentencia </w:t>
      </w:r>
      <w:r w:rsidR="00C35A24" w:rsidRPr="004848C5">
        <w:t>(</w:t>
      </w:r>
      <w:r w:rsidR="00C35A24" w:rsidRPr="004848C5">
        <w:rPr>
          <w:i/>
        </w:rPr>
        <w:t>infra</w:t>
      </w:r>
      <w:r w:rsidR="00C35A24" w:rsidRPr="004848C5">
        <w:t xml:space="preserve"> Considerandos </w:t>
      </w:r>
      <w:r w:rsidR="001822CC">
        <w:t>6</w:t>
      </w:r>
      <w:r w:rsidR="00C35A24" w:rsidRPr="004848C5">
        <w:t xml:space="preserve"> a </w:t>
      </w:r>
      <w:r w:rsidR="00CA4101">
        <w:t>16</w:t>
      </w:r>
      <w:r w:rsidR="00C35A24" w:rsidRPr="004848C5">
        <w:t xml:space="preserve">); </w:t>
      </w:r>
      <w:proofErr w:type="spellStart"/>
      <w:r w:rsidR="00C35A24" w:rsidRPr="004848C5">
        <w:t>ii</w:t>
      </w:r>
      <w:proofErr w:type="spellEnd"/>
      <w:r w:rsidR="00C35A24" w:rsidRPr="004848C5">
        <w:t xml:space="preserve">) </w:t>
      </w:r>
      <w:r w:rsidR="000E2FC6">
        <w:t xml:space="preserve">la </w:t>
      </w:r>
      <w:r w:rsidR="00C35A24" w:rsidRPr="004848C5">
        <w:t xml:space="preserve">valoración de la información sobre el cumplimiento de los </w:t>
      </w:r>
      <w:r w:rsidR="00213002" w:rsidRPr="009B5D72">
        <w:t xml:space="preserve">únicos </w:t>
      </w:r>
      <w:r w:rsidR="00C35A24" w:rsidRPr="009B5D72">
        <w:t xml:space="preserve">aspectos que se encontraban pendientes de implementación según lo resuelto en la </w:t>
      </w:r>
      <w:r w:rsidR="00F121C1" w:rsidRPr="0046783C">
        <w:t>R</w:t>
      </w:r>
      <w:r w:rsidR="00C35A24" w:rsidRPr="0046783C">
        <w:t xml:space="preserve">esolución de supervisión de cumplimiento de </w:t>
      </w:r>
      <w:r w:rsidR="000E2FC6">
        <w:t xml:space="preserve">5 de </w:t>
      </w:r>
      <w:r w:rsidR="00C35A24" w:rsidRPr="0046783C">
        <w:t>febrero de</w:t>
      </w:r>
      <w:r w:rsidR="00C35A24" w:rsidRPr="00B341C4">
        <w:t xml:space="preserve"> 2013 (</w:t>
      </w:r>
      <w:r w:rsidR="00C35A24" w:rsidRPr="00B341C4">
        <w:rPr>
          <w:i/>
        </w:rPr>
        <w:t>infra</w:t>
      </w:r>
      <w:r w:rsidR="00C35A24" w:rsidRPr="00B341C4">
        <w:t xml:space="preserve"> Considerandos </w:t>
      </w:r>
      <w:r w:rsidR="00A83A55">
        <w:t>17 a 2</w:t>
      </w:r>
      <w:r w:rsidR="00AB21FA">
        <w:t>5</w:t>
      </w:r>
      <w:r w:rsidR="00C35A24" w:rsidRPr="00B341C4">
        <w:t xml:space="preserve">), y </w:t>
      </w:r>
      <w:proofErr w:type="spellStart"/>
      <w:r w:rsidR="00C35A24" w:rsidRPr="00B341C4">
        <w:t>iii</w:t>
      </w:r>
      <w:proofErr w:type="spellEnd"/>
      <w:r w:rsidR="00C35A24" w:rsidRPr="00B341C4">
        <w:t xml:space="preserve">) la valoración de la información </w:t>
      </w:r>
      <w:r w:rsidR="00213002" w:rsidRPr="00BE503A">
        <w:t xml:space="preserve">sobre </w:t>
      </w:r>
      <w:r w:rsidR="00C35A24" w:rsidRPr="00BE503A">
        <w:t xml:space="preserve">las acciones que </w:t>
      </w:r>
      <w:r w:rsidR="00213002" w:rsidRPr="00BE503A">
        <w:t>implementó</w:t>
      </w:r>
      <w:r w:rsidR="00C35A24" w:rsidRPr="00BE503A">
        <w:t xml:space="preserve"> Panamá</w:t>
      </w:r>
      <w:r w:rsidR="000E2FC6">
        <w:t>, fundamentalmente entre el 2015 y 2020,</w:t>
      </w:r>
      <w:r w:rsidR="00C35A24" w:rsidRPr="00BE503A">
        <w:t xml:space="preserve"> </w:t>
      </w:r>
      <w:r w:rsidR="000E2FC6">
        <w:t>para el</w:t>
      </w:r>
      <w:r w:rsidR="00C35A24" w:rsidRPr="00BE503A">
        <w:t xml:space="preserve"> pago de </w:t>
      </w:r>
      <w:r w:rsidR="00C35A24" w:rsidRPr="0040066D">
        <w:t>las cuotas obrero</w:t>
      </w:r>
      <w:r w:rsidR="00C35A24" w:rsidRPr="004C268F">
        <w:t>-</w:t>
      </w:r>
      <w:r w:rsidR="00C35A24" w:rsidRPr="00460756">
        <w:t>patronales de los 270 trabajadores al sistema de seguridad social</w:t>
      </w:r>
      <w:r w:rsidR="000E2FC6">
        <w:t xml:space="preserve"> panameño</w:t>
      </w:r>
      <w:r w:rsidR="00562484" w:rsidRPr="00460756">
        <w:t xml:space="preserve"> (</w:t>
      </w:r>
      <w:r w:rsidR="00562484" w:rsidRPr="00460756">
        <w:rPr>
          <w:i/>
        </w:rPr>
        <w:t xml:space="preserve">infra </w:t>
      </w:r>
      <w:r w:rsidR="00562484" w:rsidRPr="00C8263D">
        <w:t xml:space="preserve">Considerandos </w:t>
      </w:r>
      <w:r w:rsidR="00A83A55">
        <w:t>26 a 33</w:t>
      </w:r>
      <w:r w:rsidR="00562484" w:rsidRPr="00C8263D">
        <w:t>)</w:t>
      </w:r>
      <w:r w:rsidR="00562665" w:rsidRPr="0048382C">
        <w:t>.</w:t>
      </w:r>
    </w:p>
    <w:p w14:paraId="4F483FFF" w14:textId="77777777" w:rsidR="00A334B0" w:rsidRPr="0048382C" w:rsidRDefault="00A334B0" w:rsidP="00EA548A">
      <w:pPr>
        <w:pStyle w:val="Textoindependiente2"/>
        <w:numPr>
          <w:ilvl w:val="0"/>
          <w:numId w:val="1"/>
        </w:numPr>
        <w:tabs>
          <w:tab w:val="clear" w:pos="1080"/>
          <w:tab w:val="num" w:pos="0"/>
        </w:tabs>
        <w:spacing w:before="120" w:after="120"/>
        <w:ind w:left="0" w:firstLine="0"/>
      </w:pPr>
      <w:r w:rsidRPr="0048382C">
        <w:t>El Tribunal estructurará sus consideraciones en el siguiente orden:</w:t>
      </w:r>
    </w:p>
    <w:p w14:paraId="21CBE850" w14:textId="77777777" w:rsidR="001E63B2" w:rsidRPr="00C1577F" w:rsidRDefault="001E63B2" w:rsidP="00C1577F">
      <w:pPr>
        <w:pStyle w:val="TDC1"/>
        <w:rPr>
          <w:rFonts w:ascii="Verdana" w:hAnsi="Verdana"/>
          <w:noProof/>
          <w:sz w:val="18"/>
          <w:szCs w:val="18"/>
        </w:rPr>
      </w:pPr>
      <w:r w:rsidRPr="003E2228">
        <w:fldChar w:fldCharType="begin"/>
      </w:r>
      <w:r w:rsidRPr="001822CC">
        <w:instrText xml:space="preserve"> TOC \o "1-2" \h \z \u </w:instrText>
      </w:r>
      <w:r w:rsidRPr="003E2228">
        <w:fldChar w:fldCharType="separate"/>
      </w:r>
      <w:hyperlink w:anchor="_Toc79418116" w:history="1">
        <w:r w:rsidRPr="00C1577F">
          <w:rPr>
            <w:rStyle w:val="Hipervnculo"/>
            <w:rFonts w:ascii="Verdana" w:hAnsi="Verdana"/>
            <w:i/>
            <w:noProof/>
            <w:sz w:val="18"/>
            <w:szCs w:val="18"/>
          </w:rPr>
          <w:t>A.</w:t>
        </w:r>
        <w:r w:rsidRPr="00C1577F">
          <w:rPr>
            <w:rFonts w:ascii="Verdana" w:hAnsi="Verdana"/>
            <w:noProof/>
            <w:sz w:val="18"/>
            <w:szCs w:val="18"/>
          </w:rPr>
          <w:tab/>
        </w:r>
        <w:r w:rsidRPr="00C1577F">
          <w:rPr>
            <w:rStyle w:val="Hipervnculo"/>
            <w:rFonts w:ascii="Verdana" w:hAnsi="Verdana"/>
            <w:i/>
            <w:noProof/>
            <w:sz w:val="18"/>
            <w:szCs w:val="18"/>
          </w:rPr>
          <w:t>Medidas ordenadas en la Sentencia y síntesis de</w:t>
        </w:r>
        <w:r w:rsidR="00C1577F" w:rsidRPr="00C1577F">
          <w:rPr>
            <w:rStyle w:val="Hipervnculo"/>
            <w:rFonts w:ascii="Verdana" w:hAnsi="Verdana"/>
            <w:i/>
            <w:noProof/>
            <w:sz w:val="18"/>
            <w:szCs w:val="18"/>
          </w:rPr>
          <w:t xml:space="preserve"> lo decidido por la Corte en</w:t>
        </w:r>
        <w:r w:rsidRPr="00C1577F">
          <w:rPr>
            <w:rStyle w:val="Hipervnculo"/>
            <w:rFonts w:ascii="Verdana" w:hAnsi="Verdana"/>
            <w:i/>
            <w:noProof/>
            <w:sz w:val="18"/>
            <w:szCs w:val="18"/>
          </w:rPr>
          <w:t xml:space="preserve"> resoluciones emitidas en la etapa de supervisión de cumplimiento</w:t>
        </w:r>
        <w:r w:rsidRPr="00C1577F">
          <w:rPr>
            <w:rFonts w:ascii="Verdana" w:hAnsi="Verdana"/>
            <w:noProof/>
            <w:webHidden/>
            <w:sz w:val="18"/>
            <w:szCs w:val="18"/>
          </w:rPr>
          <w:tab/>
        </w:r>
        <w:r w:rsidRPr="00C1577F">
          <w:rPr>
            <w:rFonts w:ascii="Verdana" w:hAnsi="Verdana"/>
            <w:noProof/>
            <w:webHidden/>
            <w:sz w:val="18"/>
            <w:szCs w:val="18"/>
          </w:rPr>
          <w:fldChar w:fldCharType="begin"/>
        </w:r>
        <w:r w:rsidRPr="00C1577F">
          <w:rPr>
            <w:rFonts w:ascii="Verdana" w:hAnsi="Verdana"/>
            <w:noProof/>
            <w:webHidden/>
            <w:sz w:val="18"/>
            <w:szCs w:val="18"/>
          </w:rPr>
          <w:instrText xml:space="preserve"> PAGEREF _Toc79418116 \h </w:instrText>
        </w:r>
        <w:r w:rsidRPr="00C1577F">
          <w:rPr>
            <w:rFonts w:ascii="Verdana" w:hAnsi="Verdana"/>
            <w:noProof/>
            <w:webHidden/>
            <w:sz w:val="18"/>
            <w:szCs w:val="18"/>
          </w:rPr>
        </w:r>
        <w:r w:rsidRPr="00C1577F">
          <w:rPr>
            <w:rFonts w:ascii="Verdana" w:hAnsi="Verdana"/>
            <w:noProof/>
            <w:webHidden/>
            <w:sz w:val="18"/>
            <w:szCs w:val="18"/>
          </w:rPr>
          <w:fldChar w:fldCharType="separate"/>
        </w:r>
        <w:r w:rsidR="00235C78">
          <w:rPr>
            <w:rFonts w:ascii="Verdana" w:hAnsi="Verdana"/>
            <w:noProof/>
            <w:webHidden/>
            <w:sz w:val="18"/>
            <w:szCs w:val="18"/>
          </w:rPr>
          <w:t>3</w:t>
        </w:r>
        <w:r w:rsidRPr="00C1577F">
          <w:rPr>
            <w:rFonts w:ascii="Verdana" w:hAnsi="Verdana"/>
            <w:noProof/>
            <w:webHidden/>
            <w:sz w:val="18"/>
            <w:szCs w:val="18"/>
          </w:rPr>
          <w:fldChar w:fldCharType="end"/>
        </w:r>
      </w:hyperlink>
    </w:p>
    <w:p w14:paraId="269C1443" w14:textId="77777777" w:rsidR="001E63B2" w:rsidRPr="00C1577F" w:rsidRDefault="0034698A" w:rsidP="00C1577F">
      <w:pPr>
        <w:pStyle w:val="TDC1"/>
        <w:rPr>
          <w:rFonts w:ascii="Verdana" w:hAnsi="Verdana"/>
          <w:noProof/>
          <w:sz w:val="18"/>
          <w:szCs w:val="18"/>
        </w:rPr>
      </w:pPr>
      <w:hyperlink w:anchor="_Toc79418117" w:history="1">
        <w:r w:rsidR="001E63B2" w:rsidRPr="00C1577F">
          <w:rPr>
            <w:rStyle w:val="Hipervnculo"/>
            <w:rFonts w:ascii="Verdana" w:hAnsi="Verdana"/>
            <w:i/>
            <w:noProof/>
            <w:sz w:val="18"/>
            <w:szCs w:val="18"/>
          </w:rPr>
          <w:t>B.</w:t>
        </w:r>
        <w:r w:rsidR="001E63B2" w:rsidRPr="00C1577F">
          <w:rPr>
            <w:rFonts w:ascii="Verdana" w:hAnsi="Verdana"/>
            <w:noProof/>
            <w:sz w:val="18"/>
            <w:szCs w:val="18"/>
          </w:rPr>
          <w:tab/>
        </w:r>
        <w:r w:rsidR="001E63B2" w:rsidRPr="00C1577F">
          <w:rPr>
            <w:rStyle w:val="Hipervnculo"/>
            <w:rFonts w:ascii="Verdana" w:hAnsi="Verdana"/>
            <w:i/>
            <w:noProof/>
            <w:sz w:val="18"/>
            <w:szCs w:val="18"/>
          </w:rPr>
          <w:t>Información y observaciones presentadas con posterioridad a la Resolución de 2013</w:t>
        </w:r>
        <w:r w:rsidR="001E63B2" w:rsidRPr="00C1577F">
          <w:rPr>
            <w:rFonts w:ascii="Verdana" w:hAnsi="Verdana"/>
            <w:noProof/>
            <w:webHidden/>
            <w:sz w:val="18"/>
            <w:szCs w:val="18"/>
          </w:rPr>
          <w:tab/>
        </w:r>
        <w:r w:rsidR="001E63B2" w:rsidRPr="00C1577F">
          <w:rPr>
            <w:rFonts w:ascii="Verdana" w:hAnsi="Verdana"/>
            <w:noProof/>
            <w:webHidden/>
            <w:sz w:val="18"/>
            <w:szCs w:val="18"/>
          </w:rPr>
          <w:fldChar w:fldCharType="begin"/>
        </w:r>
        <w:r w:rsidR="001E63B2" w:rsidRPr="00C1577F">
          <w:rPr>
            <w:rFonts w:ascii="Verdana" w:hAnsi="Verdana"/>
            <w:noProof/>
            <w:webHidden/>
            <w:sz w:val="18"/>
            <w:szCs w:val="18"/>
          </w:rPr>
          <w:instrText xml:space="preserve"> PAGEREF _Toc79418117 \h </w:instrText>
        </w:r>
        <w:r w:rsidR="001E63B2" w:rsidRPr="00C1577F">
          <w:rPr>
            <w:rFonts w:ascii="Verdana" w:hAnsi="Verdana"/>
            <w:noProof/>
            <w:webHidden/>
            <w:sz w:val="18"/>
            <w:szCs w:val="18"/>
          </w:rPr>
        </w:r>
        <w:r w:rsidR="001E63B2" w:rsidRPr="00C1577F">
          <w:rPr>
            <w:rFonts w:ascii="Verdana" w:hAnsi="Verdana"/>
            <w:noProof/>
            <w:webHidden/>
            <w:sz w:val="18"/>
            <w:szCs w:val="18"/>
          </w:rPr>
          <w:fldChar w:fldCharType="separate"/>
        </w:r>
        <w:r w:rsidR="00235C78">
          <w:rPr>
            <w:rFonts w:ascii="Verdana" w:hAnsi="Verdana"/>
            <w:noProof/>
            <w:webHidden/>
            <w:sz w:val="18"/>
            <w:szCs w:val="18"/>
          </w:rPr>
          <w:t>7</w:t>
        </w:r>
        <w:r w:rsidR="001E63B2" w:rsidRPr="00C1577F">
          <w:rPr>
            <w:rFonts w:ascii="Verdana" w:hAnsi="Verdana"/>
            <w:noProof/>
            <w:webHidden/>
            <w:sz w:val="18"/>
            <w:szCs w:val="18"/>
          </w:rPr>
          <w:fldChar w:fldCharType="end"/>
        </w:r>
      </w:hyperlink>
    </w:p>
    <w:p w14:paraId="4CC227F4" w14:textId="77777777" w:rsidR="001E63B2" w:rsidRPr="00C1577F" w:rsidRDefault="0034698A" w:rsidP="001822CC">
      <w:pPr>
        <w:pStyle w:val="TDC2"/>
        <w:tabs>
          <w:tab w:val="right" w:leader="dot" w:pos="9345"/>
        </w:tabs>
        <w:spacing w:before="80" w:after="80"/>
        <w:rPr>
          <w:rFonts w:ascii="Verdana" w:hAnsi="Verdana"/>
          <w:noProof/>
          <w:sz w:val="18"/>
          <w:szCs w:val="18"/>
        </w:rPr>
      </w:pPr>
      <w:hyperlink w:anchor="_Toc79418118" w:history="1">
        <w:r w:rsidR="001E63B2" w:rsidRPr="00C1577F">
          <w:rPr>
            <w:rStyle w:val="Hipervnculo"/>
            <w:rFonts w:ascii="Verdana" w:hAnsi="Verdana"/>
            <w:i/>
            <w:noProof/>
            <w:sz w:val="18"/>
            <w:szCs w:val="18"/>
          </w:rPr>
          <w:t>B.1. Pagos pendientes de los acuerdos suscritos por dos víctimas</w:t>
        </w:r>
        <w:r w:rsidR="001E63B2" w:rsidRPr="00C1577F">
          <w:rPr>
            <w:rFonts w:ascii="Verdana" w:hAnsi="Verdana"/>
            <w:noProof/>
            <w:webHidden/>
            <w:sz w:val="18"/>
            <w:szCs w:val="18"/>
          </w:rPr>
          <w:tab/>
        </w:r>
        <w:r w:rsidR="001E63B2" w:rsidRPr="00C1577F">
          <w:rPr>
            <w:rFonts w:ascii="Verdana" w:hAnsi="Verdana"/>
            <w:noProof/>
            <w:webHidden/>
            <w:sz w:val="18"/>
            <w:szCs w:val="18"/>
          </w:rPr>
          <w:fldChar w:fldCharType="begin"/>
        </w:r>
        <w:r w:rsidR="001E63B2" w:rsidRPr="00C1577F">
          <w:rPr>
            <w:rFonts w:ascii="Verdana" w:hAnsi="Verdana"/>
            <w:noProof/>
            <w:webHidden/>
            <w:sz w:val="18"/>
            <w:szCs w:val="18"/>
          </w:rPr>
          <w:instrText xml:space="preserve"> PAGEREF _Toc79418118 \h </w:instrText>
        </w:r>
        <w:r w:rsidR="001E63B2" w:rsidRPr="00C1577F">
          <w:rPr>
            <w:rFonts w:ascii="Verdana" w:hAnsi="Verdana"/>
            <w:noProof/>
            <w:webHidden/>
            <w:sz w:val="18"/>
            <w:szCs w:val="18"/>
          </w:rPr>
        </w:r>
        <w:r w:rsidR="001E63B2" w:rsidRPr="00C1577F">
          <w:rPr>
            <w:rFonts w:ascii="Verdana" w:hAnsi="Verdana"/>
            <w:noProof/>
            <w:webHidden/>
            <w:sz w:val="18"/>
            <w:szCs w:val="18"/>
          </w:rPr>
          <w:fldChar w:fldCharType="separate"/>
        </w:r>
        <w:r w:rsidR="00235C78">
          <w:rPr>
            <w:rFonts w:ascii="Verdana" w:hAnsi="Verdana"/>
            <w:noProof/>
            <w:webHidden/>
            <w:sz w:val="18"/>
            <w:szCs w:val="18"/>
          </w:rPr>
          <w:t>7</w:t>
        </w:r>
        <w:r w:rsidR="001E63B2" w:rsidRPr="00C1577F">
          <w:rPr>
            <w:rFonts w:ascii="Verdana" w:hAnsi="Verdana"/>
            <w:noProof/>
            <w:webHidden/>
            <w:sz w:val="18"/>
            <w:szCs w:val="18"/>
          </w:rPr>
          <w:fldChar w:fldCharType="end"/>
        </w:r>
      </w:hyperlink>
    </w:p>
    <w:p w14:paraId="4F839EC5" w14:textId="77777777" w:rsidR="001E63B2" w:rsidRPr="00C1577F" w:rsidRDefault="0034698A" w:rsidP="0002397E">
      <w:pPr>
        <w:pStyle w:val="TDC2"/>
        <w:tabs>
          <w:tab w:val="right" w:leader="dot" w:pos="9345"/>
        </w:tabs>
        <w:spacing w:before="80" w:after="80"/>
        <w:jc w:val="both"/>
        <w:rPr>
          <w:rFonts w:ascii="Verdana" w:hAnsi="Verdana"/>
          <w:noProof/>
          <w:sz w:val="18"/>
          <w:szCs w:val="18"/>
        </w:rPr>
      </w:pPr>
      <w:hyperlink w:anchor="_Toc79418119" w:history="1">
        <w:r w:rsidR="001E63B2" w:rsidRPr="00C1577F">
          <w:rPr>
            <w:rStyle w:val="Hipervnculo"/>
            <w:rFonts w:ascii="Verdana" w:hAnsi="Verdana"/>
            <w:i/>
            <w:noProof/>
            <w:sz w:val="18"/>
            <w:szCs w:val="18"/>
          </w:rPr>
          <w:t xml:space="preserve">B.2. Disconformidades de algunas víctimas y sentencia de la Sala Tercera </w:t>
        </w:r>
        <w:r w:rsidR="0002397E" w:rsidRPr="0002397E">
          <w:rPr>
            <w:rFonts w:ascii="Verdana" w:hAnsi="Verdana"/>
            <w:i/>
            <w:noProof/>
            <w:sz w:val="18"/>
            <w:szCs w:val="18"/>
          </w:rPr>
          <w:t>d</w:t>
        </w:r>
        <w:r w:rsidR="0002397E" w:rsidRPr="0002397E">
          <w:rPr>
            <w:rStyle w:val="Hipervnculo"/>
            <w:rFonts w:ascii="Verdana" w:hAnsi="Verdana"/>
            <w:i/>
            <w:noProof/>
            <w:sz w:val="18"/>
            <w:szCs w:val="18"/>
          </w:rPr>
          <w:t xml:space="preserve">e lo Contencioso Administrativo y Laboral </w:t>
        </w:r>
        <w:r w:rsidR="001E63B2" w:rsidRPr="00C1577F">
          <w:rPr>
            <w:rStyle w:val="Hipervnculo"/>
            <w:rFonts w:ascii="Verdana" w:hAnsi="Verdana"/>
            <w:i/>
            <w:noProof/>
            <w:sz w:val="18"/>
            <w:szCs w:val="18"/>
          </w:rPr>
          <w:t>de la Corte Suprema de Justicia</w:t>
        </w:r>
        <w:r w:rsidR="001E63B2" w:rsidRPr="00C1577F">
          <w:rPr>
            <w:rFonts w:ascii="Verdana" w:hAnsi="Verdana"/>
            <w:noProof/>
            <w:webHidden/>
            <w:sz w:val="18"/>
            <w:szCs w:val="18"/>
          </w:rPr>
          <w:tab/>
        </w:r>
        <w:r w:rsidR="001E63B2" w:rsidRPr="00C1577F">
          <w:rPr>
            <w:rFonts w:ascii="Verdana" w:hAnsi="Verdana"/>
            <w:noProof/>
            <w:webHidden/>
            <w:sz w:val="18"/>
            <w:szCs w:val="18"/>
          </w:rPr>
          <w:fldChar w:fldCharType="begin"/>
        </w:r>
        <w:r w:rsidR="001E63B2" w:rsidRPr="00C1577F">
          <w:rPr>
            <w:rFonts w:ascii="Verdana" w:hAnsi="Verdana"/>
            <w:noProof/>
            <w:webHidden/>
            <w:sz w:val="18"/>
            <w:szCs w:val="18"/>
          </w:rPr>
          <w:instrText xml:space="preserve"> PAGEREF _Toc79418119 \h </w:instrText>
        </w:r>
        <w:r w:rsidR="001E63B2" w:rsidRPr="00C1577F">
          <w:rPr>
            <w:rFonts w:ascii="Verdana" w:hAnsi="Verdana"/>
            <w:noProof/>
            <w:webHidden/>
            <w:sz w:val="18"/>
            <w:szCs w:val="18"/>
          </w:rPr>
        </w:r>
        <w:r w:rsidR="001E63B2" w:rsidRPr="00C1577F">
          <w:rPr>
            <w:rFonts w:ascii="Verdana" w:hAnsi="Verdana"/>
            <w:noProof/>
            <w:webHidden/>
            <w:sz w:val="18"/>
            <w:szCs w:val="18"/>
          </w:rPr>
          <w:fldChar w:fldCharType="separate"/>
        </w:r>
        <w:r w:rsidR="00235C78">
          <w:rPr>
            <w:rFonts w:ascii="Verdana" w:hAnsi="Verdana"/>
            <w:noProof/>
            <w:webHidden/>
            <w:sz w:val="18"/>
            <w:szCs w:val="18"/>
          </w:rPr>
          <w:t>8</w:t>
        </w:r>
        <w:r w:rsidR="001E63B2" w:rsidRPr="00C1577F">
          <w:rPr>
            <w:rFonts w:ascii="Verdana" w:hAnsi="Verdana"/>
            <w:noProof/>
            <w:webHidden/>
            <w:sz w:val="18"/>
            <w:szCs w:val="18"/>
          </w:rPr>
          <w:fldChar w:fldCharType="end"/>
        </w:r>
      </w:hyperlink>
    </w:p>
    <w:p w14:paraId="076ED153" w14:textId="77777777" w:rsidR="001E63B2" w:rsidRPr="00C1577F" w:rsidRDefault="0034698A" w:rsidP="001822CC">
      <w:pPr>
        <w:pStyle w:val="TDC2"/>
        <w:tabs>
          <w:tab w:val="right" w:leader="dot" w:pos="9345"/>
        </w:tabs>
        <w:spacing w:before="80" w:after="80"/>
        <w:rPr>
          <w:rFonts w:ascii="Verdana" w:hAnsi="Verdana"/>
          <w:noProof/>
          <w:sz w:val="18"/>
          <w:szCs w:val="18"/>
        </w:rPr>
      </w:pPr>
      <w:hyperlink w:anchor="_Toc79418120" w:history="1">
        <w:r w:rsidR="001E63B2" w:rsidRPr="00C1577F">
          <w:rPr>
            <w:rStyle w:val="Hipervnculo"/>
            <w:rFonts w:ascii="Verdana" w:hAnsi="Verdana"/>
            <w:i/>
            <w:noProof/>
            <w:sz w:val="18"/>
            <w:szCs w:val="18"/>
          </w:rPr>
          <w:t>B.3. Acciones estatales relacionadas con el pago de las cuotas obrero-patronales de las 270 víctimas a la Caja de Seguro Social</w:t>
        </w:r>
        <w:r w:rsidR="001E63B2" w:rsidRPr="00C1577F">
          <w:rPr>
            <w:rFonts w:ascii="Verdana" w:hAnsi="Verdana"/>
            <w:noProof/>
            <w:webHidden/>
            <w:sz w:val="18"/>
            <w:szCs w:val="18"/>
          </w:rPr>
          <w:tab/>
        </w:r>
        <w:r w:rsidR="001E63B2" w:rsidRPr="00C1577F">
          <w:rPr>
            <w:rFonts w:ascii="Verdana" w:hAnsi="Verdana"/>
            <w:noProof/>
            <w:webHidden/>
            <w:sz w:val="18"/>
            <w:szCs w:val="18"/>
          </w:rPr>
          <w:fldChar w:fldCharType="begin"/>
        </w:r>
        <w:r w:rsidR="001E63B2" w:rsidRPr="00C1577F">
          <w:rPr>
            <w:rFonts w:ascii="Verdana" w:hAnsi="Verdana"/>
            <w:noProof/>
            <w:webHidden/>
            <w:sz w:val="18"/>
            <w:szCs w:val="18"/>
          </w:rPr>
          <w:instrText xml:space="preserve"> PAGEREF _Toc79418120 \h </w:instrText>
        </w:r>
        <w:r w:rsidR="001E63B2" w:rsidRPr="00C1577F">
          <w:rPr>
            <w:rFonts w:ascii="Verdana" w:hAnsi="Verdana"/>
            <w:noProof/>
            <w:webHidden/>
            <w:sz w:val="18"/>
            <w:szCs w:val="18"/>
          </w:rPr>
        </w:r>
        <w:r w:rsidR="001E63B2" w:rsidRPr="00C1577F">
          <w:rPr>
            <w:rFonts w:ascii="Verdana" w:hAnsi="Verdana"/>
            <w:noProof/>
            <w:webHidden/>
            <w:sz w:val="18"/>
            <w:szCs w:val="18"/>
          </w:rPr>
          <w:fldChar w:fldCharType="separate"/>
        </w:r>
        <w:r w:rsidR="00235C78">
          <w:rPr>
            <w:rFonts w:ascii="Verdana" w:hAnsi="Verdana"/>
            <w:noProof/>
            <w:webHidden/>
            <w:sz w:val="18"/>
            <w:szCs w:val="18"/>
          </w:rPr>
          <w:t>9</w:t>
        </w:r>
        <w:r w:rsidR="001E63B2" w:rsidRPr="00C1577F">
          <w:rPr>
            <w:rFonts w:ascii="Verdana" w:hAnsi="Verdana"/>
            <w:noProof/>
            <w:webHidden/>
            <w:sz w:val="18"/>
            <w:szCs w:val="18"/>
          </w:rPr>
          <w:fldChar w:fldCharType="end"/>
        </w:r>
      </w:hyperlink>
    </w:p>
    <w:p w14:paraId="416103E4" w14:textId="77777777" w:rsidR="001E63B2" w:rsidRPr="00C1577F" w:rsidRDefault="0034698A" w:rsidP="00C1577F">
      <w:pPr>
        <w:pStyle w:val="TDC1"/>
        <w:rPr>
          <w:rFonts w:ascii="Verdana" w:hAnsi="Verdana"/>
          <w:noProof/>
          <w:sz w:val="18"/>
          <w:szCs w:val="18"/>
        </w:rPr>
      </w:pPr>
      <w:hyperlink w:anchor="_Toc79418121" w:history="1">
        <w:r w:rsidR="001E63B2" w:rsidRPr="00C1577F">
          <w:rPr>
            <w:rStyle w:val="Hipervnculo"/>
            <w:rFonts w:ascii="Verdana" w:hAnsi="Verdana"/>
            <w:i/>
            <w:noProof/>
            <w:sz w:val="18"/>
            <w:szCs w:val="18"/>
          </w:rPr>
          <w:t>C.</w:t>
        </w:r>
        <w:r w:rsidR="001E63B2" w:rsidRPr="00C1577F">
          <w:rPr>
            <w:rFonts w:ascii="Verdana" w:hAnsi="Verdana"/>
            <w:noProof/>
            <w:sz w:val="18"/>
            <w:szCs w:val="18"/>
          </w:rPr>
          <w:tab/>
        </w:r>
        <w:r w:rsidR="001E63B2" w:rsidRPr="00C1577F">
          <w:rPr>
            <w:rStyle w:val="Hipervnculo"/>
            <w:rFonts w:ascii="Verdana" w:hAnsi="Verdana"/>
            <w:i/>
            <w:noProof/>
            <w:sz w:val="18"/>
            <w:szCs w:val="18"/>
          </w:rPr>
          <w:t>Conclusión</w:t>
        </w:r>
        <w:r w:rsidR="001E63B2" w:rsidRPr="00C1577F">
          <w:rPr>
            <w:rFonts w:ascii="Verdana" w:hAnsi="Verdana"/>
            <w:noProof/>
            <w:webHidden/>
            <w:sz w:val="18"/>
            <w:szCs w:val="18"/>
          </w:rPr>
          <w:tab/>
        </w:r>
        <w:r w:rsidR="001E63B2" w:rsidRPr="00C1577F">
          <w:rPr>
            <w:rFonts w:ascii="Verdana" w:hAnsi="Verdana"/>
            <w:noProof/>
            <w:webHidden/>
            <w:sz w:val="18"/>
            <w:szCs w:val="18"/>
          </w:rPr>
          <w:fldChar w:fldCharType="begin"/>
        </w:r>
        <w:r w:rsidR="001E63B2" w:rsidRPr="00C1577F">
          <w:rPr>
            <w:rFonts w:ascii="Verdana" w:hAnsi="Verdana"/>
            <w:noProof/>
            <w:webHidden/>
            <w:sz w:val="18"/>
            <w:szCs w:val="18"/>
          </w:rPr>
          <w:instrText xml:space="preserve"> PAGEREF _Toc79418121 \h </w:instrText>
        </w:r>
        <w:r w:rsidR="001E63B2" w:rsidRPr="00C1577F">
          <w:rPr>
            <w:rFonts w:ascii="Verdana" w:hAnsi="Verdana"/>
            <w:noProof/>
            <w:webHidden/>
            <w:sz w:val="18"/>
            <w:szCs w:val="18"/>
          </w:rPr>
        </w:r>
        <w:r w:rsidR="001E63B2" w:rsidRPr="00C1577F">
          <w:rPr>
            <w:rFonts w:ascii="Verdana" w:hAnsi="Verdana"/>
            <w:noProof/>
            <w:webHidden/>
            <w:sz w:val="18"/>
            <w:szCs w:val="18"/>
          </w:rPr>
          <w:fldChar w:fldCharType="separate"/>
        </w:r>
        <w:r w:rsidR="00235C78">
          <w:rPr>
            <w:rFonts w:ascii="Verdana" w:hAnsi="Verdana"/>
            <w:noProof/>
            <w:webHidden/>
            <w:sz w:val="18"/>
            <w:szCs w:val="18"/>
          </w:rPr>
          <w:t>11</w:t>
        </w:r>
        <w:r w:rsidR="001E63B2" w:rsidRPr="00C1577F">
          <w:rPr>
            <w:rFonts w:ascii="Verdana" w:hAnsi="Verdana"/>
            <w:noProof/>
            <w:webHidden/>
            <w:sz w:val="18"/>
            <w:szCs w:val="18"/>
          </w:rPr>
          <w:fldChar w:fldCharType="end"/>
        </w:r>
      </w:hyperlink>
    </w:p>
    <w:p w14:paraId="41DF1825" w14:textId="77777777" w:rsidR="001E63B2" w:rsidRPr="003E2228" w:rsidRDefault="001E63B2" w:rsidP="00562665">
      <w:pPr>
        <w:pStyle w:val="Textoindependiente2"/>
        <w:spacing w:before="120" w:after="120"/>
      </w:pPr>
      <w:r w:rsidRPr="003E2228">
        <w:fldChar w:fldCharType="end"/>
      </w:r>
    </w:p>
    <w:p w14:paraId="26AE26E0" w14:textId="77777777" w:rsidR="0094016D" w:rsidRPr="00BB3F63" w:rsidRDefault="00562665" w:rsidP="00A334B0">
      <w:pPr>
        <w:pStyle w:val="Textoindependiente2"/>
        <w:numPr>
          <w:ilvl w:val="0"/>
          <w:numId w:val="37"/>
        </w:numPr>
        <w:spacing w:before="120" w:after="120"/>
        <w:ind w:hanging="371"/>
        <w:outlineLvl w:val="0"/>
        <w:rPr>
          <w:b/>
          <w:i/>
        </w:rPr>
      </w:pPr>
      <w:bookmarkStart w:id="1" w:name="_Toc79418116"/>
      <w:r w:rsidRPr="00DE2A7F">
        <w:rPr>
          <w:b/>
          <w:i/>
        </w:rPr>
        <w:t>Medidas ordenadas en la Sentencia y síntesis de</w:t>
      </w:r>
      <w:r w:rsidR="00C1577F">
        <w:rPr>
          <w:b/>
          <w:i/>
        </w:rPr>
        <w:t xml:space="preserve"> lo decidido por la Corte en</w:t>
      </w:r>
      <w:r w:rsidRPr="00DE2A7F">
        <w:rPr>
          <w:b/>
          <w:i/>
        </w:rPr>
        <w:t xml:space="preserve"> </w:t>
      </w:r>
      <w:r w:rsidR="0083305C" w:rsidRPr="00DE2A7F">
        <w:rPr>
          <w:b/>
          <w:i/>
        </w:rPr>
        <w:t xml:space="preserve">resoluciones emitidas en </w:t>
      </w:r>
      <w:r w:rsidRPr="00DE2A7F">
        <w:rPr>
          <w:b/>
          <w:i/>
        </w:rPr>
        <w:t>la etapa de supervisión de cumplimiento</w:t>
      </w:r>
      <w:bookmarkEnd w:id="1"/>
    </w:p>
    <w:p w14:paraId="02161447" w14:textId="77777777" w:rsidR="00A3480E" w:rsidRPr="003E2228" w:rsidRDefault="00BC5E53" w:rsidP="004333D4">
      <w:pPr>
        <w:pStyle w:val="Textoindependiente2"/>
        <w:numPr>
          <w:ilvl w:val="0"/>
          <w:numId w:val="1"/>
        </w:numPr>
        <w:tabs>
          <w:tab w:val="clear" w:pos="1080"/>
          <w:tab w:val="num" w:pos="0"/>
        </w:tabs>
        <w:spacing w:before="120" w:after="120"/>
        <w:ind w:left="0" w:firstLine="0"/>
      </w:pPr>
      <w:r w:rsidRPr="004848C5">
        <w:t xml:space="preserve">En la </w:t>
      </w:r>
      <w:r w:rsidRPr="00F81054">
        <w:t>Sentencia</w:t>
      </w:r>
      <w:r w:rsidR="00562665" w:rsidRPr="003E2228">
        <w:t>,</w:t>
      </w:r>
      <w:r w:rsidRPr="003E2228">
        <w:t xml:space="preserve"> el Tribunal dispuso </w:t>
      </w:r>
      <w:r w:rsidR="00F409FD">
        <w:t xml:space="preserve">las siguientes </w:t>
      </w:r>
      <w:r w:rsidRPr="00F81054">
        <w:t>cuatro medidas de reparación</w:t>
      </w:r>
      <w:r w:rsidR="00A3480E" w:rsidRPr="003E2228">
        <w:t xml:space="preserve">: </w:t>
      </w:r>
      <w:r w:rsidR="00F409FD">
        <w:t>(</w:t>
      </w:r>
      <w:r w:rsidR="00A3480E" w:rsidRPr="003E2228">
        <w:t>i) el pago a los 270 trabajadores de los montos correspondientes a salarios caídos y demás derechos laborales que les correspond</w:t>
      </w:r>
      <w:r w:rsidR="00F409FD">
        <w:t>ieran</w:t>
      </w:r>
      <w:r w:rsidR="00A3480E" w:rsidRPr="003E2228">
        <w:t xml:space="preserve"> según su legislación; </w:t>
      </w:r>
      <w:r w:rsidR="00F409FD">
        <w:t>(</w:t>
      </w:r>
      <w:proofErr w:type="spellStart"/>
      <w:r w:rsidR="00A3480E" w:rsidRPr="003E2228">
        <w:t>ii</w:t>
      </w:r>
      <w:proofErr w:type="spellEnd"/>
      <w:r w:rsidR="00A3480E" w:rsidRPr="003E2228">
        <w:t>) el reintegro en sus cargos o en otros empleos en condiciones que respet</w:t>
      </w:r>
      <w:r w:rsidR="00F409FD">
        <w:t>aran</w:t>
      </w:r>
      <w:r w:rsidR="00A3480E" w:rsidRPr="003E2228">
        <w:t xml:space="preserve"> aquellas que tenían al momento de ser despedidos, o si esto no fuera p</w:t>
      </w:r>
      <w:r w:rsidR="00A3480E" w:rsidRPr="00DE2A7F">
        <w:t xml:space="preserve">osible, el pago de la indemnización correspondiente a la terminación de relaciones de trabajo conforme al derecho laboral interno; </w:t>
      </w:r>
      <w:r w:rsidR="00F409FD">
        <w:t>(</w:t>
      </w:r>
      <w:proofErr w:type="spellStart"/>
      <w:r w:rsidR="00A3480E" w:rsidRPr="00DE2A7F">
        <w:t>iii</w:t>
      </w:r>
      <w:proofErr w:type="spellEnd"/>
      <w:r w:rsidR="00A3480E" w:rsidRPr="00DE2A7F">
        <w:t>) el pago a cada uno de los 270 trabajadores de una suma fijada en la Sentencia por concepto de</w:t>
      </w:r>
      <w:r w:rsidR="00767411">
        <w:t xml:space="preserve"> indemnización del</w:t>
      </w:r>
      <w:r w:rsidR="00A3480E" w:rsidRPr="00DE2A7F">
        <w:t xml:space="preserve"> daño moral, y </w:t>
      </w:r>
      <w:r w:rsidR="00F409FD">
        <w:t>(</w:t>
      </w:r>
      <w:proofErr w:type="spellStart"/>
      <w:r w:rsidR="00A3480E" w:rsidRPr="00DE2A7F">
        <w:t>iv</w:t>
      </w:r>
      <w:proofErr w:type="spellEnd"/>
      <w:r w:rsidR="00A3480E" w:rsidRPr="00DE2A7F">
        <w:t>) el reint</w:t>
      </w:r>
      <w:r w:rsidR="00A3480E" w:rsidRPr="004848C5">
        <w:t>egro de costas y gastos tanto al conjunto de los 270 trabajadores como a sus representantes</w:t>
      </w:r>
      <w:r w:rsidR="00562665" w:rsidRPr="003E2228">
        <w:rPr>
          <w:rStyle w:val="Refdenotaalpie"/>
        </w:rPr>
        <w:footnoteReference w:id="9"/>
      </w:r>
      <w:r w:rsidR="00A3480E" w:rsidRPr="003E2228">
        <w:t>.</w:t>
      </w:r>
    </w:p>
    <w:p w14:paraId="2414A469" w14:textId="77777777" w:rsidR="00526B51" w:rsidRPr="002F7DFE" w:rsidRDefault="008B3B55" w:rsidP="00526B51">
      <w:pPr>
        <w:pStyle w:val="Textoindependiente2"/>
        <w:numPr>
          <w:ilvl w:val="0"/>
          <w:numId w:val="1"/>
        </w:numPr>
        <w:tabs>
          <w:tab w:val="clear" w:pos="1080"/>
          <w:tab w:val="num" w:pos="0"/>
        </w:tabs>
        <w:spacing w:before="120" w:after="120"/>
        <w:ind w:left="0" w:firstLine="0"/>
      </w:pPr>
      <w:r w:rsidRPr="003E2228">
        <w:t xml:space="preserve">Tal como ha sido indicado, </w:t>
      </w:r>
      <w:r w:rsidRPr="00F81054">
        <w:t>e</w:t>
      </w:r>
      <w:r w:rsidR="00A3480E" w:rsidRPr="00F81054">
        <w:t>ntre los años 2002 y 2013 la Corte emiti</w:t>
      </w:r>
      <w:r w:rsidR="00500541" w:rsidRPr="00F81054">
        <w:t>ó</w:t>
      </w:r>
      <w:r w:rsidR="00A3480E" w:rsidRPr="00F81054">
        <w:t xml:space="preserve"> diez resoluciones</w:t>
      </w:r>
      <w:r w:rsidR="00A3480E" w:rsidRPr="003E2228">
        <w:t xml:space="preserve"> de supervisión de cumplimiento de la Sentencia (</w:t>
      </w:r>
      <w:r w:rsidR="00A3480E" w:rsidRPr="003E2228">
        <w:rPr>
          <w:i/>
        </w:rPr>
        <w:t>supra</w:t>
      </w:r>
      <w:r w:rsidR="00A3480E" w:rsidRPr="003E2228">
        <w:t xml:space="preserve"> Visto 2). </w:t>
      </w:r>
      <w:r w:rsidR="00BC5E53" w:rsidRPr="00DE2A7F">
        <w:t xml:space="preserve">En </w:t>
      </w:r>
      <w:r w:rsidR="00F409FD">
        <w:t>aquellas</w:t>
      </w:r>
      <w:r w:rsidR="00BC5E53" w:rsidRPr="00DE2A7F">
        <w:t xml:space="preserve"> </w:t>
      </w:r>
      <w:r w:rsidRPr="00DE2A7F">
        <w:t xml:space="preserve">que fueron </w:t>
      </w:r>
      <w:r w:rsidR="00BC5E53" w:rsidRPr="00F81054">
        <w:lastRenderedPageBreak/>
        <w:t xml:space="preserve">emitidas entre </w:t>
      </w:r>
      <w:r w:rsidR="00F409FD">
        <w:t>los años</w:t>
      </w:r>
      <w:r w:rsidR="00347EA2" w:rsidRPr="00F81054">
        <w:t xml:space="preserve"> </w:t>
      </w:r>
      <w:r w:rsidR="00BC5E53" w:rsidRPr="00F81054">
        <w:t>2002 y 2005</w:t>
      </w:r>
      <w:r w:rsidR="00460756">
        <w:t>,</w:t>
      </w:r>
      <w:r w:rsidR="00BC5E53" w:rsidRPr="00F81054">
        <w:t xml:space="preserve"> el Tribunal </w:t>
      </w:r>
      <w:r w:rsidR="00A3480E" w:rsidRPr="00F81054">
        <w:t>declaró el cumplimiento total del reintegro de costas y gastos y el cumplimiento parcial del pago de las indemnizaciones por daño moral y del pago de los salarios caídos y demás derechos laborales</w:t>
      </w:r>
      <w:r w:rsidR="00A90B0C" w:rsidRPr="00F81054">
        <w:rPr>
          <w:rStyle w:val="Refdenotaalpie"/>
        </w:rPr>
        <w:footnoteReference w:id="10"/>
      </w:r>
      <w:r w:rsidR="00A3480E" w:rsidRPr="00F81054">
        <w:t>, ya que</w:t>
      </w:r>
      <w:r w:rsidR="00A3480E" w:rsidRPr="00F81054">
        <w:rPr>
          <w:i/>
        </w:rPr>
        <w:t xml:space="preserve"> </w:t>
      </w:r>
      <w:r w:rsidR="00A3480E" w:rsidRPr="00F81054">
        <w:t xml:space="preserve">constató que </w:t>
      </w:r>
      <w:r w:rsidR="00B64985" w:rsidRPr="00F81054">
        <w:t xml:space="preserve">el Estado había </w:t>
      </w:r>
      <w:r w:rsidR="00A3480E" w:rsidRPr="00F81054">
        <w:t xml:space="preserve">realizado </w:t>
      </w:r>
      <w:r w:rsidR="00B64985" w:rsidRPr="00F81054">
        <w:t xml:space="preserve">pagos </w:t>
      </w:r>
      <w:r w:rsidR="00A3480E" w:rsidRPr="00F81054">
        <w:t xml:space="preserve">parciales </w:t>
      </w:r>
      <w:r w:rsidR="00B64985" w:rsidRPr="00F81054">
        <w:t>a algunas de las víctimas o sus derechohabientes</w:t>
      </w:r>
      <w:r w:rsidR="00BC5E53" w:rsidRPr="003E2228">
        <w:t xml:space="preserve">. </w:t>
      </w:r>
    </w:p>
    <w:p w14:paraId="46F427F6" w14:textId="77777777" w:rsidR="004749A4" w:rsidRPr="00DE2A7F" w:rsidRDefault="00F81946" w:rsidP="009C039C">
      <w:pPr>
        <w:pStyle w:val="Textoindependiente2"/>
        <w:numPr>
          <w:ilvl w:val="0"/>
          <w:numId w:val="1"/>
        </w:numPr>
        <w:tabs>
          <w:tab w:val="clear" w:pos="1080"/>
          <w:tab w:val="num" w:pos="0"/>
        </w:tabs>
        <w:spacing w:before="120" w:after="120"/>
        <w:ind w:left="0" w:firstLine="0"/>
      </w:pPr>
      <w:r w:rsidRPr="002F7DFE">
        <w:t>Posteriormente, e</w:t>
      </w:r>
      <w:r w:rsidR="00BC5E53" w:rsidRPr="008C31EB">
        <w:t xml:space="preserve">n </w:t>
      </w:r>
      <w:r w:rsidR="00347EA2" w:rsidRPr="008C31EB">
        <w:t xml:space="preserve">la </w:t>
      </w:r>
      <w:r w:rsidR="00347EA2" w:rsidRPr="00F81054">
        <w:t>R</w:t>
      </w:r>
      <w:r w:rsidR="00BC5E53" w:rsidRPr="00F81054">
        <w:t xml:space="preserve">esolución de </w:t>
      </w:r>
      <w:r w:rsidR="005A2747">
        <w:t xml:space="preserve">30 de </w:t>
      </w:r>
      <w:r w:rsidR="00BC5E53" w:rsidRPr="00F81054">
        <w:t>octubre de 2008</w:t>
      </w:r>
      <w:r w:rsidR="00F81054">
        <w:rPr>
          <w:rStyle w:val="Refdenotaalpie"/>
        </w:rPr>
        <w:footnoteReference w:id="11"/>
      </w:r>
      <w:r w:rsidR="00BC5E53" w:rsidRPr="00F81054">
        <w:t xml:space="preserve"> la Corte </w:t>
      </w:r>
      <w:r w:rsidR="002C6635" w:rsidRPr="00F81054">
        <w:t xml:space="preserve">constató que 202 víctimas del caso o sus derechohabientes </w:t>
      </w:r>
      <w:r w:rsidR="005A2747">
        <w:t>habían suscrito</w:t>
      </w:r>
      <w:r w:rsidR="002C6635" w:rsidRPr="00F81054">
        <w:t xml:space="preserve"> con el Estado unos acuerdos denominados </w:t>
      </w:r>
      <w:r w:rsidR="00BC5E53" w:rsidRPr="00F81054">
        <w:rPr>
          <w:i/>
        </w:rPr>
        <w:t xml:space="preserve">“Acuerdos que Establecen las Bases para el Cumplimiento de la Sentencia de 2 de </w:t>
      </w:r>
      <w:proofErr w:type="gramStart"/>
      <w:r w:rsidRPr="00F81054">
        <w:rPr>
          <w:i/>
        </w:rPr>
        <w:t>Febrero</w:t>
      </w:r>
      <w:proofErr w:type="gramEnd"/>
      <w:r w:rsidRPr="00F81054">
        <w:rPr>
          <w:i/>
        </w:rPr>
        <w:t xml:space="preserve"> Emitida por la Corte Interamericana de Derechos Humanos de la Organización de los Estados Americanos (OEA) dentro del Caso Baena Ricardo y otros Vs. Panamá”</w:t>
      </w:r>
      <w:r w:rsidR="002C6635" w:rsidRPr="00F81054">
        <w:rPr>
          <w:i/>
        </w:rPr>
        <w:t>.</w:t>
      </w:r>
      <w:r w:rsidR="00DB22C8" w:rsidRPr="003E2228">
        <w:t xml:space="preserve"> </w:t>
      </w:r>
      <w:r w:rsidR="004749A4" w:rsidRPr="003E2228">
        <w:t>El Tribunal constató que estos acuerdos d</w:t>
      </w:r>
      <w:r w:rsidR="004749A4" w:rsidRPr="00DE2A7F">
        <w:t xml:space="preserve">isponen, entre otros aspectos: </w:t>
      </w:r>
    </w:p>
    <w:p w14:paraId="1FADF4B7" w14:textId="77777777" w:rsidR="004749A4" w:rsidRPr="003E2228" w:rsidRDefault="004749A4" w:rsidP="008C268A">
      <w:pPr>
        <w:pStyle w:val="Textoindependiente2"/>
        <w:numPr>
          <w:ilvl w:val="0"/>
          <w:numId w:val="31"/>
        </w:numPr>
        <w:tabs>
          <w:tab w:val="left" w:pos="709"/>
        </w:tabs>
        <w:spacing w:before="120" w:after="120"/>
        <w:ind w:left="709" w:hanging="425"/>
        <w:rPr>
          <w:szCs w:val="19"/>
        </w:rPr>
      </w:pPr>
      <w:proofErr w:type="gramStart"/>
      <w:r w:rsidRPr="00DE2A7F">
        <w:rPr>
          <w:szCs w:val="19"/>
        </w:rPr>
        <w:t xml:space="preserve">la </w:t>
      </w:r>
      <w:r w:rsidRPr="00F81054">
        <w:rPr>
          <w:szCs w:val="19"/>
        </w:rPr>
        <w:t>suma a pagar</w:t>
      </w:r>
      <w:proofErr w:type="gramEnd"/>
      <w:r w:rsidRPr="00F81054">
        <w:rPr>
          <w:szCs w:val="19"/>
        </w:rPr>
        <w:t xml:space="preserve"> a cada una de las víctimas o sus derechohabientes “en concepto de reparación total por las violaciones establecidas por la Corte Interamericana en la Sentencia</w:t>
      </w:r>
      <w:r w:rsidRPr="003E2228">
        <w:rPr>
          <w:szCs w:val="19"/>
        </w:rPr>
        <w:t xml:space="preserve">”; </w:t>
      </w:r>
    </w:p>
    <w:p w14:paraId="6F91DCFB" w14:textId="77777777" w:rsidR="002C6635" w:rsidRPr="003E2228" w:rsidRDefault="004749A4" w:rsidP="008C268A">
      <w:pPr>
        <w:pStyle w:val="Textoindependiente2"/>
        <w:numPr>
          <w:ilvl w:val="0"/>
          <w:numId w:val="31"/>
        </w:numPr>
        <w:tabs>
          <w:tab w:val="left" w:pos="709"/>
        </w:tabs>
        <w:spacing w:before="120" w:after="120"/>
        <w:ind w:left="709" w:hanging="425"/>
        <w:rPr>
          <w:szCs w:val="19"/>
        </w:rPr>
      </w:pPr>
      <w:r w:rsidRPr="00DE2A7F">
        <w:rPr>
          <w:szCs w:val="19"/>
        </w:rPr>
        <w:t xml:space="preserve">la </w:t>
      </w:r>
      <w:r w:rsidR="0021527B" w:rsidRPr="00DE2A7F">
        <w:rPr>
          <w:szCs w:val="19"/>
        </w:rPr>
        <w:t xml:space="preserve">declaración de la </w:t>
      </w:r>
      <w:r w:rsidRPr="00BB3F63">
        <w:rPr>
          <w:szCs w:val="19"/>
        </w:rPr>
        <w:t>víctima o su derechohabi</w:t>
      </w:r>
      <w:r w:rsidRPr="004848C5">
        <w:rPr>
          <w:szCs w:val="19"/>
        </w:rPr>
        <w:t xml:space="preserve">ente </w:t>
      </w:r>
      <w:r w:rsidR="0021527B" w:rsidRPr="004848C5">
        <w:rPr>
          <w:szCs w:val="19"/>
        </w:rPr>
        <w:t>respecto a</w:t>
      </w:r>
      <w:r w:rsidRPr="004848C5">
        <w:rPr>
          <w:szCs w:val="19"/>
        </w:rPr>
        <w:t xml:space="preserve"> que “comprende y está de acuerdo […] que </w:t>
      </w:r>
      <w:r w:rsidRPr="00F81054">
        <w:rPr>
          <w:szCs w:val="19"/>
        </w:rPr>
        <w:t>la [referida] suma corresponde a la totalidad de lo adeudado […] por el Estado en virtud de la Sentencia” y que “con su pago considera reparado íntegramente y en su totalidad el daño causado por las violaciones imputadas al Estado</w:t>
      </w:r>
      <w:r w:rsidRPr="003E2228">
        <w:rPr>
          <w:szCs w:val="19"/>
        </w:rPr>
        <w:t>”;</w:t>
      </w:r>
    </w:p>
    <w:p w14:paraId="49D7747B" w14:textId="77777777" w:rsidR="004749A4" w:rsidRPr="0046783C" w:rsidRDefault="0021527B" w:rsidP="008C268A">
      <w:pPr>
        <w:pStyle w:val="Textoindependiente2"/>
        <w:numPr>
          <w:ilvl w:val="0"/>
          <w:numId w:val="31"/>
        </w:numPr>
        <w:tabs>
          <w:tab w:val="left" w:pos="709"/>
        </w:tabs>
        <w:spacing w:before="120" w:after="120"/>
        <w:ind w:left="709" w:hanging="425"/>
        <w:rPr>
          <w:szCs w:val="19"/>
        </w:rPr>
      </w:pPr>
      <w:r w:rsidRPr="00DE2A7F">
        <w:rPr>
          <w:szCs w:val="19"/>
        </w:rPr>
        <w:t xml:space="preserve">la aceptación de </w:t>
      </w:r>
      <w:r w:rsidR="004749A4" w:rsidRPr="00DE2A7F">
        <w:rPr>
          <w:szCs w:val="19"/>
        </w:rPr>
        <w:t xml:space="preserve">la víctima o su derechohabiente </w:t>
      </w:r>
      <w:r w:rsidRPr="00BB3F63">
        <w:rPr>
          <w:szCs w:val="19"/>
        </w:rPr>
        <w:t xml:space="preserve">respecto a que </w:t>
      </w:r>
      <w:r w:rsidR="004749A4" w:rsidRPr="004848C5">
        <w:rPr>
          <w:szCs w:val="19"/>
        </w:rPr>
        <w:t xml:space="preserve">el pago de la suma completa “en su totalidad los derechos a los que se refiere la Sentencia [correspondientes a] salarios caídos y demás derechos laborales que le corresponden </w:t>
      </w:r>
      <w:r w:rsidR="00884F66" w:rsidRPr="009B5D72">
        <w:rPr>
          <w:szCs w:val="19"/>
        </w:rPr>
        <w:t>según la legislación panameñ</w:t>
      </w:r>
      <w:r w:rsidR="004749A4" w:rsidRPr="009B5D72">
        <w:rPr>
          <w:szCs w:val="19"/>
        </w:rPr>
        <w:t>a, daño moral, costas y gastos y cualquier otro monto referente al caso”</w:t>
      </w:r>
      <w:r w:rsidRPr="0046783C">
        <w:rPr>
          <w:szCs w:val="19"/>
        </w:rPr>
        <w:t>;</w:t>
      </w:r>
    </w:p>
    <w:p w14:paraId="699C70B7" w14:textId="77777777" w:rsidR="004749A4" w:rsidRPr="003E2228" w:rsidRDefault="0021527B" w:rsidP="008C268A">
      <w:pPr>
        <w:pStyle w:val="Textoindependiente2"/>
        <w:numPr>
          <w:ilvl w:val="0"/>
          <w:numId w:val="31"/>
        </w:numPr>
        <w:tabs>
          <w:tab w:val="left" w:pos="709"/>
        </w:tabs>
        <w:spacing w:before="120" w:after="120"/>
        <w:ind w:left="709" w:hanging="425"/>
        <w:rPr>
          <w:szCs w:val="19"/>
        </w:rPr>
      </w:pPr>
      <w:r w:rsidRPr="00B341C4">
        <w:rPr>
          <w:szCs w:val="19"/>
        </w:rPr>
        <w:t xml:space="preserve">la disposición de que </w:t>
      </w:r>
      <w:r w:rsidR="004749A4" w:rsidRPr="00B341C4">
        <w:rPr>
          <w:szCs w:val="19"/>
        </w:rPr>
        <w:t xml:space="preserve">la suma se cancelará a las víctimas en </w:t>
      </w:r>
      <w:r w:rsidR="004749A4" w:rsidRPr="00F81054">
        <w:rPr>
          <w:szCs w:val="19"/>
        </w:rPr>
        <w:t>cuatro cuotas anuales</w:t>
      </w:r>
      <w:r w:rsidR="004749A4" w:rsidRPr="003E2228">
        <w:rPr>
          <w:szCs w:val="19"/>
        </w:rPr>
        <w:t xml:space="preserve"> comenzando en septiembre de 2008 y finalizando en septiembre de 2011, “una vez el acuerdo sea homologado por la Corte Interamericana”;</w:t>
      </w:r>
    </w:p>
    <w:p w14:paraId="319D1B1C" w14:textId="77777777" w:rsidR="004749A4" w:rsidRPr="00BB3F63" w:rsidRDefault="0021527B" w:rsidP="008C268A">
      <w:pPr>
        <w:pStyle w:val="Textoindependiente2"/>
        <w:numPr>
          <w:ilvl w:val="0"/>
          <w:numId w:val="31"/>
        </w:numPr>
        <w:tabs>
          <w:tab w:val="left" w:pos="709"/>
        </w:tabs>
        <w:spacing w:before="120" w:after="120"/>
        <w:ind w:left="709" w:hanging="425"/>
        <w:rPr>
          <w:szCs w:val="19"/>
        </w:rPr>
      </w:pPr>
      <w:r w:rsidRPr="003E2228">
        <w:rPr>
          <w:szCs w:val="19"/>
        </w:rPr>
        <w:t xml:space="preserve">la declaración de </w:t>
      </w:r>
      <w:r w:rsidR="004749A4" w:rsidRPr="00DE2A7F">
        <w:rPr>
          <w:szCs w:val="19"/>
        </w:rPr>
        <w:t xml:space="preserve">la víctima o </w:t>
      </w:r>
      <w:r w:rsidR="005A2747">
        <w:rPr>
          <w:szCs w:val="19"/>
        </w:rPr>
        <w:t xml:space="preserve">su </w:t>
      </w:r>
      <w:r w:rsidR="004749A4" w:rsidRPr="00DE2A7F">
        <w:rPr>
          <w:szCs w:val="19"/>
        </w:rPr>
        <w:t xml:space="preserve">derechohabiente </w:t>
      </w:r>
      <w:r w:rsidRPr="00DE2A7F">
        <w:rPr>
          <w:szCs w:val="19"/>
        </w:rPr>
        <w:t>respecto a</w:t>
      </w:r>
      <w:r w:rsidR="004749A4" w:rsidRPr="00DE2A7F">
        <w:rPr>
          <w:szCs w:val="19"/>
        </w:rPr>
        <w:t xml:space="preserve"> que </w:t>
      </w:r>
      <w:r w:rsidR="004749A4" w:rsidRPr="00F81054">
        <w:rPr>
          <w:szCs w:val="19"/>
        </w:rPr>
        <w:t>“quedan satisfechas en su totalidad de sus derechos […] y que no tienen ningún otro reclamo</w:t>
      </w:r>
      <w:r w:rsidR="004749A4" w:rsidRPr="003E2228">
        <w:rPr>
          <w:szCs w:val="19"/>
        </w:rPr>
        <w:t xml:space="preserve">, presente o futuro </w:t>
      </w:r>
      <w:proofErr w:type="gramStart"/>
      <w:r w:rsidR="004749A4" w:rsidRPr="003E2228">
        <w:rPr>
          <w:szCs w:val="19"/>
        </w:rPr>
        <w:t>e</w:t>
      </w:r>
      <w:r w:rsidR="004749A4" w:rsidRPr="00DE2A7F">
        <w:rPr>
          <w:szCs w:val="19"/>
        </w:rPr>
        <w:t>n relación a</w:t>
      </w:r>
      <w:proofErr w:type="gramEnd"/>
      <w:r w:rsidR="004749A4" w:rsidRPr="00DE2A7F">
        <w:rPr>
          <w:szCs w:val="19"/>
        </w:rPr>
        <w:t xml:space="preserve"> los derechos que a su favor se reconocen en ese fallo”</w:t>
      </w:r>
      <w:r w:rsidRPr="00DE2A7F">
        <w:rPr>
          <w:szCs w:val="19"/>
        </w:rPr>
        <w:t>;</w:t>
      </w:r>
    </w:p>
    <w:p w14:paraId="7325D9F6" w14:textId="77777777" w:rsidR="0021527B" w:rsidRPr="004848C5" w:rsidRDefault="0021527B" w:rsidP="008C268A">
      <w:pPr>
        <w:pStyle w:val="Textoindependiente2"/>
        <w:numPr>
          <w:ilvl w:val="0"/>
          <w:numId w:val="31"/>
        </w:numPr>
        <w:tabs>
          <w:tab w:val="left" w:pos="709"/>
        </w:tabs>
        <w:spacing w:before="120" w:after="120"/>
        <w:ind w:left="709" w:hanging="425"/>
        <w:rPr>
          <w:szCs w:val="19"/>
        </w:rPr>
      </w:pPr>
      <w:r w:rsidRPr="004848C5">
        <w:rPr>
          <w:szCs w:val="19"/>
        </w:rPr>
        <w:t xml:space="preserve">el convenio entre las partes de que “la Corte Interamericana realice la supervisión del presente acuerdo”, y </w:t>
      </w:r>
    </w:p>
    <w:p w14:paraId="0E279593" w14:textId="77777777" w:rsidR="0021527B" w:rsidRPr="003E2228" w:rsidRDefault="0021527B" w:rsidP="008C268A">
      <w:pPr>
        <w:pStyle w:val="Textoindependiente2"/>
        <w:numPr>
          <w:ilvl w:val="0"/>
          <w:numId w:val="31"/>
        </w:numPr>
        <w:tabs>
          <w:tab w:val="left" w:pos="709"/>
        </w:tabs>
        <w:spacing w:before="120" w:after="120"/>
        <w:ind w:left="709" w:hanging="425"/>
        <w:rPr>
          <w:szCs w:val="19"/>
        </w:rPr>
      </w:pPr>
      <w:r w:rsidRPr="004848C5">
        <w:rPr>
          <w:szCs w:val="19"/>
        </w:rPr>
        <w:t xml:space="preserve">que </w:t>
      </w:r>
      <w:r w:rsidR="005A2747">
        <w:rPr>
          <w:szCs w:val="19"/>
        </w:rPr>
        <w:t>este acuerdo</w:t>
      </w:r>
      <w:r w:rsidRPr="004848C5">
        <w:rPr>
          <w:szCs w:val="19"/>
        </w:rPr>
        <w:t xml:space="preserve"> entre las partes “solo tendrá validez si es homologado por la Corte Interamericana”</w:t>
      </w:r>
      <w:r w:rsidR="00A90B0C" w:rsidRPr="003E2228">
        <w:rPr>
          <w:rStyle w:val="Refdenotaalpie"/>
          <w:szCs w:val="19"/>
        </w:rPr>
        <w:footnoteReference w:id="12"/>
      </w:r>
      <w:r w:rsidRPr="003E2228">
        <w:rPr>
          <w:szCs w:val="19"/>
        </w:rPr>
        <w:t>.</w:t>
      </w:r>
    </w:p>
    <w:p w14:paraId="1FA1EEC3" w14:textId="77777777" w:rsidR="001E63B2" w:rsidRPr="003E2228" w:rsidRDefault="009F5404" w:rsidP="00210B86">
      <w:pPr>
        <w:pStyle w:val="Textoindependiente2"/>
        <w:numPr>
          <w:ilvl w:val="0"/>
          <w:numId w:val="1"/>
        </w:numPr>
        <w:tabs>
          <w:tab w:val="clear" w:pos="1080"/>
          <w:tab w:val="num" w:pos="0"/>
        </w:tabs>
        <w:spacing w:before="120" w:after="120"/>
        <w:ind w:left="0" w:firstLine="0"/>
      </w:pPr>
      <w:r w:rsidRPr="003E2228">
        <w:t xml:space="preserve">Asimismo, </w:t>
      </w:r>
      <w:r w:rsidR="001E63B2" w:rsidRPr="003E2228">
        <w:t xml:space="preserve">la Corte tomó nota de </w:t>
      </w:r>
      <w:r w:rsidR="002144C6" w:rsidRPr="00DE2A7F">
        <w:t xml:space="preserve">que </w:t>
      </w:r>
      <w:r w:rsidR="001E63B2" w:rsidRPr="00F81054">
        <w:t xml:space="preserve">para las víctimas o derechohabientes que no firmaran el acuerdo, el Estado </w:t>
      </w:r>
      <w:r w:rsidR="001E63B2" w:rsidRPr="00F81054">
        <w:rPr>
          <w:szCs w:val="19"/>
        </w:rPr>
        <w:t>consignaría las sumas a su favor en cuentas bancarias individualizadas, las cuales serían desembolsadas una vez que lo fir</w:t>
      </w:r>
      <w:r w:rsidR="00B163F5" w:rsidRPr="00F81054">
        <w:rPr>
          <w:szCs w:val="19"/>
        </w:rPr>
        <w:t>maran</w:t>
      </w:r>
      <w:r w:rsidR="001E63B2" w:rsidRPr="003E2228">
        <w:rPr>
          <w:szCs w:val="19"/>
        </w:rPr>
        <w:t>.</w:t>
      </w:r>
    </w:p>
    <w:p w14:paraId="225177D2" w14:textId="77777777" w:rsidR="00F81946" w:rsidRPr="004848C5" w:rsidRDefault="007C0A83" w:rsidP="00733EB0">
      <w:pPr>
        <w:pStyle w:val="Textoindependiente2"/>
        <w:numPr>
          <w:ilvl w:val="0"/>
          <w:numId w:val="1"/>
        </w:numPr>
        <w:tabs>
          <w:tab w:val="clear" w:pos="1080"/>
          <w:tab w:val="num" w:pos="0"/>
        </w:tabs>
        <w:spacing w:before="120" w:after="120"/>
        <w:ind w:left="0" w:firstLine="0"/>
      </w:pPr>
      <w:r>
        <w:t>E</w:t>
      </w:r>
      <w:r w:rsidRPr="00DE2A7F">
        <w:t>n la Resolución de octubre de 2008</w:t>
      </w:r>
      <w:r>
        <w:t xml:space="preserve"> </w:t>
      </w:r>
      <w:r w:rsidR="0021527B" w:rsidRPr="00F81054">
        <w:t xml:space="preserve">la Corte resolvió </w:t>
      </w:r>
      <w:r w:rsidR="0026339D" w:rsidRPr="00F81054">
        <w:t>que era procedente homologar</w:t>
      </w:r>
      <w:r>
        <w:t xml:space="preserve"> </w:t>
      </w:r>
      <w:r w:rsidR="0026339D" w:rsidRPr="00F81054">
        <w:t xml:space="preserve">los </w:t>
      </w:r>
      <w:r>
        <w:t xml:space="preserve">referidos acuerdos </w:t>
      </w:r>
      <w:r w:rsidR="0026339D" w:rsidRPr="00F81054">
        <w:t>y que el Estado cumpliera con ellos en los plazos y forma convenidos.</w:t>
      </w:r>
      <w:r w:rsidR="0026339D" w:rsidRPr="003E2228">
        <w:t xml:space="preserve"> La Corte realizó la </w:t>
      </w:r>
      <w:r w:rsidR="0021527B" w:rsidRPr="00DE2A7F">
        <w:t>siguiente</w:t>
      </w:r>
      <w:r w:rsidR="0026339D" w:rsidRPr="00DE2A7F">
        <w:t xml:space="preserve"> consideración</w:t>
      </w:r>
      <w:r w:rsidR="0021527B" w:rsidRPr="004848C5">
        <w:t>:</w:t>
      </w:r>
    </w:p>
    <w:p w14:paraId="2A6E89FC" w14:textId="77777777" w:rsidR="00440E07" w:rsidRPr="00DE2A7F" w:rsidRDefault="00940D1B" w:rsidP="00537D58">
      <w:pPr>
        <w:pStyle w:val="Textoindependiente2"/>
        <w:spacing w:before="120" w:after="120"/>
        <w:ind w:left="709" w:right="850"/>
        <w:rPr>
          <w:sz w:val="16"/>
          <w:szCs w:val="16"/>
        </w:rPr>
      </w:pPr>
      <w:r w:rsidRPr="009B5D72">
        <w:rPr>
          <w:sz w:val="16"/>
          <w:szCs w:val="16"/>
        </w:rPr>
        <w:t>21. Que en estas circunstancias el papel del Tribunal es contribuir a resolver las diferencias entre las partes dentro del marco de sus atribuciones y las normas de la Convención. En este caso, en atención al acuerdo de voluntades expresado en los documentos aportado</w:t>
      </w:r>
      <w:r w:rsidRPr="0046783C">
        <w:rPr>
          <w:sz w:val="16"/>
          <w:szCs w:val="16"/>
        </w:rPr>
        <w:t xml:space="preserve">s, y a la necesidad del pronunciamiento positivo del Tribunal a efectos de concederle validez legal a los acuerdos y de </w:t>
      </w:r>
      <w:r w:rsidRPr="0046783C">
        <w:rPr>
          <w:sz w:val="16"/>
          <w:szCs w:val="16"/>
        </w:rPr>
        <w:lastRenderedPageBreak/>
        <w:t xml:space="preserve">que se realicen los pagos correspondientes </w:t>
      </w:r>
      <w:r w:rsidR="00416496">
        <w:rPr>
          <w:sz w:val="16"/>
          <w:szCs w:val="16"/>
        </w:rPr>
        <w:t>[…]</w:t>
      </w:r>
      <w:r w:rsidRPr="0046783C">
        <w:rPr>
          <w:sz w:val="16"/>
          <w:szCs w:val="16"/>
        </w:rPr>
        <w:t xml:space="preserve">, </w:t>
      </w:r>
      <w:r w:rsidRPr="00F81054">
        <w:rPr>
          <w:sz w:val="16"/>
          <w:szCs w:val="16"/>
        </w:rPr>
        <w:t>la Corte considera que es procedente homologar los acuerdos convenidos entre el Estado y un grupo significativo de las víctimas o derechohabientes.</w:t>
      </w:r>
      <w:r w:rsidRPr="003E2228">
        <w:rPr>
          <w:sz w:val="16"/>
          <w:szCs w:val="16"/>
        </w:rPr>
        <w:t xml:space="preserve"> En consecuencia, el Estado debe cumplir en favor de las víctimas o derechohabientes firmantes de los acuerdos las obligaciones convenidas en los plazos y en la forma que en ellos se establece. </w:t>
      </w:r>
    </w:p>
    <w:p w14:paraId="6DB04217" w14:textId="77777777" w:rsidR="00537D58" w:rsidRPr="00DE2A7F" w:rsidRDefault="00537D58" w:rsidP="00537D58">
      <w:pPr>
        <w:pStyle w:val="Textoindependiente2"/>
        <w:numPr>
          <w:ilvl w:val="0"/>
          <w:numId w:val="1"/>
        </w:numPr>
        <w:tabs>
          <w:tab w:val="clear" w:pos="1080"/>
          <w:tab w:val="num" w:pos="0"/>
        </w:tabs>
        <w:spacing w:before="120" w:after="120"/>
        <w:ind w:left="0" w:firstLine="0"/>
      </w:pPr>
      <w:r w:rsidRPr="00DE2A7F">
        <w:t xml:space="preserve">Respecto a las </w:t>
      </w:r>
      <w:r w:rsidRPr="00F81054">
        <w:t>víctimas o derechohabientes que en ese momento no habían firmado los acuerdos y de los cinco que se retractaron</w:t>
      </w:r>
      <w:r w:rsidRPr="003E2228">
        <w:t xml:space="preserve"> después de haberlos suscrito, </w:t>
      </w:r>
      <w:r w:rsidR="00440E07" w:rsidRPr="003E2228">
        <w:t xml:space="preserve">la Corte consideró </w:t>
      </w:r>
      <w:r w:rsidRPr="00DE2A7F">
        <w:t xml:space="preserve">lo siguiente: </w:t>
      </w:r>
    </w:p>
    <w:p w14:paraId="1DE45961" w14:textId="77777777" w:rsidR="00537D58" w:rsidRPr="00B341C4" w:rsidRDefault="00940D1B" w:rsidP="00940D1B">
      <w:pPr>
        <w:pStyle w:val="Textoindependiente2"/>
        <w:spacing w:before="120" w:after="120"/>
        <w:ind w:left="709" w:right="850"/>
        <w:rPr>
          <w:sz w:val="16"/>
          <w:szCs w:val="16"/>
        </w:rPr>
      </w:pPr>
      <w:r w:rsidRPr="004848C5">
        <w:rPr>
          <w:sz w:val="16"/>
          <w:szCs w:val="16"/>
        </w:rPr>
        <w:t xml:space="preserve">27. Que respecto de las víctimas o derechohabientes no firmantes, o que con posterioridad a la firma del acuerdo manifestaron su voluntad de dejarlo sin efecto, </w:t>
      </w:r>
      <w:r w:rsidRPr="009B5D72">
        <w:rPr>
          <w:sz w:val="16"/>
          <w:szCs w:val="16"/>
        </w:rPr>
        <w:t>la Corte considera pertinente señalar que el Estado deberá proceder consignando en cuentas bancarias individualizadas los montos co</w:t>
      </w:r>
      <w:r w:rsidRPr="0046783C">
        <w:rPr>
          <w:sz w:val="16"/>
          <w:szCs w:val="16"/>
        </w:rPr>
        <w:t>rrespondientes a tales víctimas o derechohabientes, bajo la obligación de realizar los pagos cuando la víctima o derechohabiente firme el respectivo acuerdo si lo estima pertinente, o bien si alguna autoridad judicial interna así lo dispone, en los término</w:t>
      </w:r>
      <w:r w:rsidRPr="00B341C4">
        <w:rPr>
          <w:sz w:val="16"/>
          <w:szCs w:val="16"/>
        </w:rPr>
        <w:t xml:space="preserve">s señalados por ésta. </w:t>
      </w:r>
    </w:p>
    <w:p w14:paraId="5C459CCD" w14:textId="77777777" w:rsidR="00851ADE" w:rsidRPr="00DE2A7F" w:rsidRDefault="00940D1B" w:rsidP="00537D58">
      <w:pPr>
        <w:pStyle w:val="Textoindependiente2"/>
        <w:numPr>
          <w:ilvl w:val="0"/>
          <w:numId w:val="1"/>
        </w:numPr>
        <w:tabs>
          <w:tab w:val="clear" w:pos="1080"/>
          <w:tab w:val="num" w:pos="0"/>
        </w:tabs>
        <w:spacing w:before="120" w:after="120"/>
        <w:ind w:left="0" w:firstLine="0"/>
      </w:pPr>
      <w:r w:rsidRPr="00B341C4">
        <w:t xml:space="preserve">Además, respecto de </w:t>
      </w:r>
      <w:r w:rsidR="00851ADE" w:rsidRPr="00BE503A">
        <w:t xml:space="preserve">los </w:t>
      </w:r>
      <w:r w:rsidR="00851ADE" w:rsidRPr="00F81054">
        <w:t>reclamos</w:t>
      </w:r>
      <w:r w:rsidR="00D040D9" w:rsidRPr="00F81054">
        <w:t xml:space="preserve"> y/o discrepancias</w:t>
      </w:r>
      <w:r w:rsidR="00851ADE" w:rsidRPr="00F81054">
        <w:t xml:space="preserve"> que </w:t>
      </w:r>
      <w:r w:rsidR="00D040D9" w:rsidRPr="00F81054">
        <w:t>las víctimas o derechohabientes</w:t>
      </w:r>
      <w:r w:rsidRPr="00F81054">
        <w:t xml:space="preserve"> no firmantes </w:t>
      </w:r>
      <w:r w:rsidR="00851ADE" w:rsidRPr="00F81054">
        <w:t>pudieren tener</w:t>
      </w:r>
      <w:r w:rsidR="00D040D9" w:rsidRPr="00F81054">
        <w:t xml:space="preserve"> sobre los acuerdos</w:t>
      </w:r>
      <w:r w:rsidR="00851ADE" w:rsidRPr="00F81054">
        <w:t xml:space="preserve">, </w:t>
      </w:r>
      <w:r w:rsidRPr="00F81054">
        <w:t>dispuso</w:t>
      </w:r>
      <w:r w:rsidR="00D040D9" w:rsidRPr="00F81054">
        <w:t xml:space="preserve"> que debían tener la posibilidad de resolverlos a nivel interno</w:t>
      </w:r>
      <w:r w:rsidR="00D040D9" w:rsidRPr="003E2228">
        <w:t>, estableciendo lo siguiente:</w:t>
      </w:r>
      <w:r w:rsidRPr="003E2228">
        <w:t xml:space="preserve"> </w:t>
      </w:r>
    </w:p>
    <w:p w14:paraId="759D5802" w14:textId="77777777" w:rsidR="00940D1B" w:rsidRPr="0046783C" w:rsidRDefault="00851ADE" w:rsidP="00851ADE">
      <w:pPr>
        <w:pStyle w:val="Textoindependiente2"/>
        <w:spacing w:before="120" w:after="120"/>
        <w:ind w:left="709" w:right="850"/>
        <w:rPr>
          <w:sz w:val="16"/>
          <w:szCs w:val="16"/>
        </w:rPr>
      </w:pPr>
      <w:r w:rsidRPr="00DE2A7F">
        <w:rPr>
          <w:sz w:val="16"/>
          <w:szCs w:val="16"/>
        </w:rPr>
        <w:t>28.</w:t>
      </w:r>
      <w:r w:rsidRPr="00DE2A7F">
        <w:rPr>
          <w:sz w:val="16"/>
          <w:szCs w:val="16"/>
        </w:rPr>
        <w:tab/>
      </w:r>
      <w:r w:rsidR="00B820DF" w:rsidRPr="00DE2A7F">
        <w:rPr>
          <w:sz w:val="16"/>
          <w:szCs w:val="16"/>
        </w:rPr>
        <w:t xml:space="preserve">Que </w:t>
      </w:r>
      <w:r w:rsidRPr="004848C5">
        <w:rPr>
          <w:sz w:val="16"/>
          <w:szCs w:val="16"/>
        </w:rPr>
        <w:t xml:space="preserve">[…] las víctimas o derechohabientes no firmantes de los acuerdos o quienes se retractaron, </w:t>
      </w:r>
      <w:r w:rsidR="00940D1B" w:rsidRPr="009B5D72">
        <w:rPr>
          <w:sz w:val="16"/>
          <w:szCs w:val="16"/>
        </w:rPr>
        <w:t xml:space="preserve">deben contar con la posibilidad de recurrir a una instancia judicial competente con el fin de poder presentar los reclamos que consideren pertinentes y obtener una decisión al respecto. </w:t>
      </w:r>
    </w:p>
    <w:p w14:paraId="30464860" w14:textId="77777777" w:rsidR="00851ADE" w:rsidRPr="00B341C4" w:rsidRDefault="00851ADE" w:rsidP="00851ADE">
      <w:pPr>
        <w:pStyle w:val="Textoindependiente2"/>
        <w:spacing w:before="120" w:after="120"/>
        <w:ind w:left="709" w:right="850"/>
        <w:rPr>
          <w:sz w:val="16"/>
          <w:szCs w:val="16"/>
        </w:rPr>
      </w:pPr>
      <w:r w:rsidRPr="00B341C4">
        <w:rPr>
          <w:sz w:val="16"/>
          <w:szCs w:val="16"/>
        </w:rPr>
        <w:t>[…]</w:t>
      </w:r>
    </w:p>
    <w:p w14:paraId="13536A43" w14:textId="77777777" w:rsidR="00940D1B" w:rsidRPr="00460756" w:rsidRDefault="00940D1B" w:rsidP="00940D1B">
      <w:pPr>
        <w:pStyle w:val="Textoindependiente2"/>
        <w:tabs>
          <w:tab w:val="num" w:pos="0"/>
        </w:tabs>
        <w:spacing w:before="120" w:after="120"/>
        <w:ind w:left="709" w:right="850"/>
        <w:rPr>
          <w:sz w:val="16"/>
          <w:szCs w:val="16"/>
        </w:rPr>
      </w:pPr>
      <w:r w:rsidRPr="00BE503A">
        <w:rPr>
          <w:sz w:val="16"/>
          <w:szCs w:val="16"/>
        </w:rPr>
        <w:t xml:space="preserve">30. Que en relación con los demás alegatos de las personas no firmantes o que se retractaron en cuanto a la falta de reintegro en los cargos u otras alternativas previstas en el punto resolutivo séptimo de la Sentencia, a lo relativo a los intereses moratorios del daño moral en relación con el punto resolutivo octavo de la Sentencia y a la devolución de impuestos sobre la renta de las reparaciones pagadas anteriormente, </w:t>
      </w:r>
      <w:r w:rsidRPr="00460756">
        <w:rPr>
          <w:sz w:val="16"/>
          <w:szCs w:val="16"/>
        </w:rPr>
        <w:t xml:space="preserve">la Corte observa que el ofrecimiento del Estado comprende la totalidad de derechos que se derivan de la Sentencia. Por ello, el Estado deberá </w:t>
      </w:r>
      <w:proofErr w:type="gramStart"/>
      <w:r w:rsidRPr="00460756">
        <w:rPr>
          <w:sz w:val="16"/>
          <w:szCs w:val="16"/>
        </w:rPr>
        <w:t>proceder a realizar</w:t>
      </w:r>
      <w:proofErr w:type="gramEnd"/>
      <w:r w:rsidRPr="00460756">
        <w:rPr>
          <w:sz w:val="16"/>
          <w:szCs w:val="16"/>
        </w:rPr>
        <w:t xml:space="preserve"> los depósitos de las sumas debidas a las víctimas o derechohabientes no firmantes y de quienes se retractaron y de conformidad con lo mencionado anteriormente las discrepancias deberán ser resueltas en el derecho interno. </w:t>
      </w:r>
    </w:p>
    <w:p w14:paraId="02204896" w14:textId="77777777" w:rsidR="006466B8" w:rsidRPr="003E2228" w:rsidRDefault="008C268A" w:rsidP="006466B8">
      <w:pPr>
        <w:pStyle w:val="Textoindependiente2"/>
        <w:numPr>
          <w:ilvl w:val="0"/>
          <w:numId w:val="1"/>
        </w:numPr>
        <w:tabs>
          <w:tab w:val="clear" w:pos="1080"/>
          <w:tab w:val="num" w:pos="0"/>
        </w:tabs>
        <w:spacing w:before="120" w:after="120"/>
        <w:ind w:left="0" w:firstLine="0"/>
      </w:pPr>
      <w:r w:rsidRPr="00460756">
        <w:t>Aunado</w:t>
      </w:r>
      <w:r w:rsidR="00940D1B" w:rsidRPr="00460756">
        <w:t xml:space="preserve"> </w:t>
      </w:r>
      <w:r w:rsidRPr="002230EF">
        <w:t>a</w:t>
      </w:r>
      <w:r w:rsidR="00940D1B" w:rsidRPr="002230EF">
        <w:t xml:space="preserve"> lo anterior, </w:t>
      </w:r>
      <w:r w:rsidR="00940D1B" w:rsidRPr="00F81054">
        <w:t xml:space="preserve">en la referida </w:t>
      </w:r>
      <w:r w:rsidR="006F4AD4" w:rsidRPr="00F81054">
        <w:t>R</w:t>
      </w:r>
      <w:r w:rsidR="00940D1B" w:rsidRPr="00F81054">
        <w:t xml:space="preserve">esolución de octubre de 2008 se definió el objeto de lo </w:t>
      </w:r>
      <w:r w:rsidR="00314184" w:rsidRPr="00F81054">
        <w:t>único que</w:t>
      </w:r>
      <w:r w:rsidR="006E2C5D">
        <w:t>,</w:t>
      </w:r>
      <w:r w:rsidR="00940D1B" w:rsidRPr="00F81054">
        <w:t xml:space="preserve"> </w:t>
      </w:r>
      <w:r w:rsidR="006E2C5D" w:rsidRPr="00F81054">
        <w:t>en adelante</w:t>
      </w:r>
      <w:r w:rsidR="006E2C5D">
        <w:t>,</w:t>
      </w:r>
      <w:r w:rsidR="006E2C5D" w:rsidRPr="00F81054">
        <w:t xml:space="preserve"> </w:t>
      </w:r>
      <w:r w:rsidR="00CA6F50" w:rsidRPr="00F81054">
        <w:t xml:space="preserve">continuaría siendo </w:t>
      </w:r>
      <w:r w:rsidR="00940D1B" w:rsidRPr="00F81054">
        <w:t xml:space="preserve">supervisado </w:t>
      </w:r>
      <w:r w:rsidR="00CA6F50" w:rsidRPr="00F81054">
        <w:t xml:space="preserve">por </w:t>
      </w:r>
      <w:r w:rsidR="00343330" w:rsidRPr="00F81054">
        <w:t>la Corte Interamericana</w:t>
      </w:r>
      <w:r w:rsidR="00CA6F50" w:rsidRPr="00F81054">
        <w:t>.</w:t>
      </w:r>
      <w:r w:rsidR="00CA6F50" w:rsidRPr="003E2228">
        <w:t xml:space="preserve"> Al respecto, </w:t>
      </w:r>
      <w:r w:rsidR="00314184" w:rsidRPr="003E2228">
        <w:t xml:space="preserve">este Tribunal </w:t>
      </w:r>
      <w:r w:rsidR="00CA6F50" w:rsidRPr="00DE2A7F">
        <w:t xml:space="preserve">indicó </w:t>
      </w:r>
      <w:r w:rsidR="0001674C" w:rsidRPr="00DE2A7F">
        <w:t xml:space="preserve">que </w:t>
      </w:r>
      <w:r w:rsidR="00CA6F50" w:rsidRPr="00DE2A7F">
        <w:t>“</w:t>
      </w:r>
      <w:r w:rsidR="00CA6F50" w:rsidRPr="00F81054">
        <w:t>dará por concluido el presente caso, una vez que el Estado hay</w:t>
      </w:r>
      <w:r w:rsidR="008E1188" w:rsidRPr="00F81054">
        <w:t>a</w:t>
      </w:r>
      <w:r w:rsidR="00CA6F50" w:rsidRPr="00F81054">
        <w:t xml:space="preserve"> cancelado los pagos y realiza</w:t>
      </w:r>
      <w:r w:rsidR="008E1188" w:rsidRPr="00F81054">
        <w:t>do los depósitos conforme lo</w:t>
      </w:r>
      <w:r w:rsidR="00CA6F50" w:rsidRPr="00F81054">
        <w:t xml:space="preserve"> dispuesto en los acuerdos y en la presente </w:t>
      </w:r>
      <w:r w:rsidR="008C31EB">
        <w:t>R</w:t>
      </w:r>
      <w:r w:rsidR="00CA6F50" w:rsidRPr="00F81054">
        <w:t>esolución”</w:t>
      </w:r>
      <w:r w:rsidR="00CA6F50" w:rsidRPr="00F81054">
        <w:rPr>
          <w:rStyle w:val="Refdenotaalpie"/>
        </w:rPr>
        <w:footnoteReference w:id="13"/>
      </w:r>
      <w:r w:rsidR="00CA6F50" w:rsidRPr="003E2228">
        <w:t xml:space="preserve"> y resolvió que:</w:t>
      </w:r>
    </w:p>
    <w:p w14:paraId="2B8D5778" w14:textId="77777777" w:rsidR="006466B8" w:rsidRPr="003E2228" w:rsidRDefault="006466B8" w:rsidP="006466B8">
      <w:pPr>
        <w:pStyle w:val="Textoindependiente2"/>
        <w:tabs>
          <w:tab w:val="num" w:pos="0"/>
        </w:tabs>
        <w:spacing w:before="120" w:after="120"/>
        <w:ind w:left="709" w:right="850"/>
        <w:rPr>
          <w:sz w:val="16"/>
          <w:szCs w:val="16"/>
        </w:rPr>
      </w:pPr>
      <w:r w:rsidRPr="003E2228">
        <w:rPr>
          <w:sz w:val="16"/>
          <w:szCs w:val="16"/>
        </w:rPr>
        <w:t xml:space="preserve">[…] </w:t>
      </w:r>
      <w:r w:rsidRPr="00F81054">
        <w:rPr>
          <w:b/>
          <w:sz w:val="16"/>
          <w:szCs w:val="16"/>
        </w:rPr>
        <w:t>mantendrá abierto el procedimiento de supervisión</w:t>
      </w:r>
      <w:r w:rsidRPr="00F81054">
        <w:rPr>
          <w:sz w:val="16"/>
          <w:szCs w:val="16"/>
        </w:rPr>
        <w:t xml:space="preserve"> de cumplimiento de la Sentencia </w:t>
      </w:r>
      <w:r w:rsidR="00F6090B" w:rsidRPr="00F81054">
        <w:rPr>
          <w:b/>
          <w:sz w:val="16"/>
          <w:szCs w:val="16"/>
        </w:rPr>
        <w:t xml:space="preserve">al </w:t>
      </w:r>
      <w:r w:rsidRPr="00F81054">
        <w:rPr>
          <w:b/>
          <w:sz w:val="16"/>
          <w:szCs w:val="16"/>
        </w:rPr>
        <w:t>sólo efecto de recibir: a)</w:t>
      </w:r>
      <w:r w:rsidRPr="00F81054">
        <w:rPr>
          <w:sz w:val="16"/>
          <w:szCs w:val="16"/>
        </w:rPr>
        <w:t xml:space="preserve"> los comprobantes de pago a las víctimas o derechohabientes firmantes de los acuerdos, y </w:t>
      </w:r>
      <w:r w:rsidRPr="00F81054">
        <w:rPr>
          <w:b/>
          <w:sz w:val="16"/>
          <w:szCs w:val="16"/>
        </w:rPr>
        <w:t>b)</w:t>
      </w:r>
      <w:r w:rsidRPr="00F81054">
        <w:rPr>
          <w:sz w:val="16"/>
          <w:szCs w:val="16"/>
        </w:rPr>
        <w:t xml:space="preserve"> los comprobantes de depósito bancario respecto de aquellas personas que no han firmado los acuerdos o que con posterioridad a la firma se retractaron</w:t>
      </w:r>
      <w:r w:rsidRPr="00F81054">
        <w:rPr>
          <w:rStyle w:val="Refdenotaalpie"/>
          <w:sz w:val="16"/>
          <w:szCs w:val="16"/>
        </w:rPr>
        <w:footnoteReference w:id="14"/>
      </w:r>
      <w:r w:rsidRPr="00F81054">
        <w:rPr>
          <w:sz w:val="16"/>
          <w:szCs w:val="16"/>
        </w:rPr>
        <w:t>.</w:t>
      </w:r>
      <w:r w:rsidR="00314184" w:rsidRPr="00F81054">
        <w:rPr>
          <w:sz w:val="16"/>
          <w:szCs w:val="16"/>
        </w:rPr>
        <w:t xml:space="preserve"> </w:t>
      </w:r>
      <w:r w:rsidR="00314184" w:rsidRPr="00F81054">
        <w:rPr>
          <w:i/>
          <w:sz w:val="16"/>
          <w:szCs w:val="16"/>
        </w:rPr>
        <w:t>(Énfasis añadido)</w:t>
      </w:r>
    </w:p>
    <w:p w14:paraId="68615A2E" w14:textId="77777777" w:rsidR="00712B71" w:rsidRPr="00F81054" w:rsidRDefault="002212E7" w:rsidP="002212E7">
      <w:pPr>
        <w:pStyle w:val="Textoindependiente2"/>
        <w:numPr>
          <w:ilvl w:val="0"/>
          <w:numId w:val="1"/>
        </w:numPr>
        <w:tabs>
          <w:tab w:val="clear" w:pos="1080"/>
          <w:tab w:val="num" w:pos="0"/>
        </w:tabs>
        <w:spacing w:before="120" w:after="120"/>
        <w:ind w:left="0" w:firstLine="0"/>
      </w:pPr>
      <w:r w:rsidRPr="003E2228">
        <w:t>E</w:t>
      </w:r>
      <w:r w:rsidR="0021527B" w:rsidRPr="003E2228">
        <w:t xml:space="preserve">n las </w:t>
      </w:r>
      <w:r w:rsidR="00473878">
        <w:t>R</w:t>
      </w:r>
      <w:r w:rsidR="0021527B" w:rsidRPr="003E2228">
        <w:t xml:space="preserve">esoluciones emitidas </w:t>
      </w:r>
      <w:r w:rsidR="00CA6F50" w:rsidRPr="00DE2A7F">
        <w:t xml:space="preserve">con posterioridad, </w:t>
      </w:r>
      <w:r w:rsidR="0021527B" w:rsidRPr="00F81054">
        <w:t>entre 2009 y 2013</w:t>
      </w:r>
      <w:r w:rsidR="00CA6F50" w:rsidRPr="003E2228">
        <w:t>,</w:t>
      </w:r>
      <w:r w:rsidR="0021527B" w:rsidRPr="003E2228">
        <w:t xml:space="preserve"> </w:t>
      </w:r>
      <w:r w:rsidR="0021527B" w:rsidRPr="00F81054">
        <w:t>la Corte continu</w:t>
      </w:r>
      <w:r w:rsidR="008A4466" w:rsidRPr="00F81054">
        <w:t>ó</w:t>
      </w:r>
      <w:r w:rsidR="0021527B" w:rsidRPr="00F81054">
        <w:t xml:space="preserve"> supervisa</w:t>
      </w:r>
      <w:r w:rsidR="00F06F63" w:rsidRPr="00F81054">
        <w:t>n</w:t>
      </w:r>
      <w:r w:rsidR="0021527B" w:rsidRPr="00F81054">
        <w:t xml:space="preserve">do el cumplimiento del presente caso en los términos </w:t>
      </w:r>
      <w:r w:rsidR="007C0A83">
        <w:t>indicados</w:t>
      </w:r>
      <w:r w:rsidR="0021527B" w:rsidRPr="00F81054">
        <w:t xml:space="preserve"> en la referida </w:t>
      </w:r>
      <w:r w:rsidR="006F4AD4" w:rsidRPr="00F81054">
        <w:t>R</w:t>
      </w:r>
      <w:r w:rsidR="0021527B" w:rsidRPr="00F81054">
        <w:t>esolución de octubre de 2008</w:t>
      </w:r>
      <w:r w:rsidR="00F81054">
        <w:t xml:space="preserve"> (</w:t>
      </w:r>
      <w:r w:rsidR="00F81054" w:rsidRPr="00F81054">
        <w:rPr>
          <w:i/>
        </w:rPr>
        <w:t>supra</w:t>
      </w:r>
      <w:r w:rsidR="00F81054">
        <w:t xml:space="preserve"> Considerando 12)</w:t>
      </w:r>
      <w:r w:rsidR="00CA6F50" w:rsidRPr="00F81054">
        <w:t xml:space="preserve">. </w:t>
      </w:r>
      <w:r w:rsidR="00891A56" w:rsidRPr="00F81054">
        <w:t xml:space="preserve">Por ello, </w:t>
      </w:r>
      <w:r w:rsidR="007B333E" w:rsidRPr="00F81054">
        <w:t>únicamente</w:t>
      </w:r>
      <w:r w:rsidRPr="00F81054">
        <w:t xml:space="preserve"> </w:t>
      </w:r>
      <w:r w:rsidR="00891A56" w:rsidRPr="00F81054">
        <w:t>se</w:t>
      </w:r>
      <w:r w:rsidR="002A62F9" w:rsidRPr="00F81054">
        <w:t xml:space="preserve"> </w:t>
      </w:r>
      <w:r w:rsidR="00153B03" w:rsidRPr="00F81054">
        <w:t>ha</w:t>
      </w:r>
      <w:r w:rsidR="002A62F9" w:rsidRPr="00F81054">
        <w:t xml:space="preserve"> supervisa</w:t>
      </w:r>
      <w:r w:rsidR="00667C81" w:rsidRPr="00F81054">
        <w:t>do</w:t>
      </w:r>
      <w:r w:rsidRPr="00F81054">
        <w:t>, a través de los comprobantes remitidos por el Estado, si ést</w:t>
      </w:r>
      <w:r w:rsidR="00940640" w:rsidRPr="00F81054">
        <w:t>e</w:t>
      </w:r>
      <w:r w:rsidRPr="00F81054">
        <w:t xml:space="preserve"> ha cumplido con realizar los </w:t>
      </w:r>
      <w:r w:rsidR="000B150F" w:rsidRPr="00F81054">
        <w:t xml:space="preserve">cuatro pagos </w:t>
      </w:r>
      <w:r w:rsidRPr="00F81054">
        <w:t xml:space="preserve">o depósitos </w:t>
      </w:r>
      <w:r w:rsidR="000B150F" w:rsidRPr="00F81054">
        <w:t xml:space="preserve">anuales a los que se había comprometido bajo </w:t>
      </w:r>
      <w:r w:rsidR="008A4466" w:rsidRPr="00F81054">
        <w:t>los</w:t>
      </w:r>
      <w:r w:rsidR="000B150F" w:rsidRPr="00F81054">
        <w:t xml:space="preserve"> </w:t>
      </w:r>
      <w:r w:rsidR="00891A56" w:rsidRPr="00F81054">
        <w:t>mencionado</w:t>
      </w:r>
      <w:r w:rsidR="008A4466" w:rsidRPr="00F81054">
        <w:t>s</w:t>
      </w:r>
      <w:r w:rsidR="00891A56" w:rsidRPr="00F81054">
        <w:t xml:space="preserve"> </w:t>
      </w:r>
      <w:r w:rsidR="000B150F" w:rsidRPr="00F81054">
        <w:t>acuerdo</w:t>
      </w:r>
      <w:r w:rsidR="008A4466" w:rsidRPr="00F81054">
        <w:t>s</w:t>
      </w:r>
      <w:r w:rsidR="00973F0C" w:rsidRPr="00F81054">
        <w:t xml:space="preserve"> </w:t>
      </w:r>
      <w:r w:rsidR="00891A56" w:rsidRPr="00F81054">
        <w:t>homologado</w:t>
      </w:r>
      <w:r w:rsidR="008A4466" w:rsidRPr="00F81054">
        <w:t>s</w:t>
      </w:r>
      <w:r w:rsidR="00891A56" w:rsidRPr="00F81054">
        <w:t xml:space="preserve"> por la Corte</w:t>
      </w:r>
      <w:r w:rsidRPr="00F81054">
        <w:t xml:space="preserve">. </w:t>
      </w:r>
    </w:p>
    <w:p w14:paraId="79CD8168" w14:textId="77777777" w:rsidR="004731F9" w:rsidRPr="004848C5" w:rsidRDefault="002212E7" w:rsidP="002212E7">
      <w:pPr>
        <w:pStyle w:val="Textoindependiente2"/>
        <w:numPr>
          <w:ilvl w:val="0"/>
          <w:numId w:val="1"/>
        </w:numPr>
        <w:tabs>
          <w:tab w:val="clear" w:pos="1080"/>
          <w:tab w:val="num" w:pos="0"/>
        </w:tabs>
        <w:spacing w:before="120" w:after="120"/>
        <w:ind w:left="0" w:firstLine="0"/>
      </w:pPr>
      <w:r w:rsidRPr="003E2228">
        <w:t>Además,</w:t>
      </w:r>
      <w:r w:rsidR="004C1C71">
        <w:t xml:space="preserve"> en esas resoluciones</w:t>
      </w:r>
      <w:r w:rsidRPr="003E2228">
        <w:t xml:space="preserve"> </w:t>
      </w:r>
      <w:r w:rsidRPr="008C471D">
        <w:t xml:space="preserve">se fue dejando constancia de </w:t>
      </w:r>
      <w:r w:rsidR="000B150F" w:rsidRPr="008C471D">
        <w:t xml:space="preserve">la cantidad de víctimas o derechohabientes </w:t>
      </w:r>
      <w:r w:rsidR="00667C81" w:rsidRPr="008C471D">
        <w:t>que</w:t>
      </w:r>
      <w:r w:rsidR="00973F0C" w:rsidRPr="008C471D">
        <w:t xml:space="preserve"> </w:t>
      </w:r>
      <w:r w:rsidRPr="008C471D">
        <w:t>suscribieron</w:t>
      </w:r>
      <w:r w:rsidR="000B150F" w:rsidRPr="008C471D">
        <w:t xml:space="preserve"> el acuerdo</w:t>
      </w:r>
      <w:r w:rsidR="00314184" w:rsidRPr="008C471D">
        <w:t xml:space="preserve"> homologado por la Corte</w:t>
      </w:r>
      <w:r w:rsidR="000B150F" w:rsidRPr="008C471D">
        <w:t xml:space="preserve"> </w:t>
      </w:r>
      <w:r w:rsidR="00891A56" w:rsidRPr="008C471D">
        <w:t>luego del</w:t>
      </w:r>
      <w:r w:rsidR="000B150F" w:rsidRPr="008C471D">
        <w:t xml:space="preserve"> 2008</w:t>
      </w:r>
      <w:r w:rsidR="00C67F36" w:rsidRPr="008C471D">
        <w:t>, de manera</w:t>
      </w:r>
      <w:r w:rsidR="008B3B55" w:rsidRPr="008C471D">
        <w:t xml:space="preserve"> </w:t>
      </w:r>
      <w:r w:rsidR="00C67F36" w:rsidRPr="008C471D">
        <w:t>que</w:t>
      </w:r>
      <w:r w:rsidR="008A4466" w:rsidRPr="008C471D">
        <w:t xml:space="preserve"> </w:t>
      </w:r>
      <w:r w:rsidR="00C430E5" w:rsidRPr="008C471D">
        <w:t>26</w:t>
      </w:r>
      <w:r w:rsidR="00891A56" w:rsidRPr="008C471D">
        <w:t>8</w:t>
      </w:r>
      <w:r w:rsidR="00C430E5" w:rsidRPr="008C471D">
        <w:t xml:space="preserve"> de las 270 víc</w:t>
      </w:r>
      <w:r w:rsidR="00C67F36" w:rsidRPr="008C471D">
        <w:t>timas o sus derechohabientes</w:t>
      </w:r>
      <w:r w:rsidR="00940640" w:rsidRPr="008C471D">
        <w:t xml:space="preserve"> lo</w:t>
      </w:r>
      <w:r w:rsidR="00C67F36" w:rsidRPr="008C471D">
        <w:t xml:space="preserve"> habían</w:t>
      </w:r>
      <w:r w:rsidR="00C430E5" w:rsidRPr="008C471D">
        <w:t xml:space="preserve"> </w:t>
      </w:r>
      <w:r w:rsidR="00940640" w:rsidRPr="008C471D">
        <w:t>firmado</w:t>
      </w:r>
      <w:r w:rsidR="008A4466" w:rsidRPr="008C471D">
        <w:t xml:space="preserve"> a febrero de 2013</w:t>
      </w:r>
      <w:r w:rsidR="00186D27" w:rsidRPr="008C471D">
        <w:rPr>
          <w:rStyle w:val="Refdenotaalpie"/>
        </w:rPr>
        <w:footnoteReference w:id="15"/>
      </w:r>
      <w:r w:rsidR="00C430E5" w:rsidRPr="008C471D">
        <w:t>.</w:t>
      </w:r>
      <w:r w:rsidR="00891A56" w:rsidRPr="003E2228">
        <w:t xml:space="preserve"> </w:t>
      </w:r>
      <w:r w:rsidR="00712B71" w:rsidRPr="003E2228">
        <w:t xml:space="preserve">Respecto de las dos víctimas que no habían firmado los acuerdos (Luis Batista y </w:t>
      </w:r>
      <w:r w:rsidR="00712B71" w:rsidRPr="003E2228">
        <w:lastRenderedPageBreak/>
        <w:t xml:space="preserve">Andrés Bermúdez), </w:t>
      </w:r>
      <w:r w:rsidR="004C1C71">
        <w:t xml:space="preserve">en la referida Resolución de febrero de 2013 </w:t>
      </w:r>
      <w:r w:rsidR="00712B71" w:rsidRPr="003E2228">
        <w:t>la Corte tomó nota de lo informado por el Estado en cuanto a que éstas “se n[</w:t>
      </w:r>
      <w:proofErr w:type="spellStart"/>
      <w:r w:rsidR="00712B71" w:rsidRPr="003E2228">
        <w:t>egaban</w:t>
      </w:r>
      <w:proofErr w:type="spellEnd"/>
      <w:r w:rsidR="00712B71" w:rsidRPr="003E2228">
        <w:t>] a recibir los pagos correspondientes, a</w:t>
      </w:r>
      <w:r w:rsidR="00712B71" w:rsidRPr="00DE2A7F">
        <w:t xml:space="preserve"> pesar de los esfuerzos realizados por el Estado a tal efecto, por lo cual dichos pagos fueron depositados como certificados de garantía en el Banco Nacional de Panamá, de los cuales aportó copias”, así como que los representantes no presentaron observaciones específicas sobre esto. Al respecto, </w:t>
      </w:r>
      <w:r w:rsidR="004C1C71">
        <w:t>este Tribunal</w:t>
      </w:r>
      <w:r w:rsidR="00712B71" w:rsidRPr="00DE2A7F">
        <w:t xml:space="preserve"> sostuvo lo siguiente:</w:t>
      </w:r>
    </w:p>
    <w:p w14:paraId="5BEA65CB" w14:textId="77777777" w:rsidR="00712B71" w:rsidRPr="0046783C" w:rsidRDefault="00712B71" w:rsidP="00712B71">
      <w:pPr>
        <w:pStyle w:val="Textoindependiente2"/>
        <w:tabs>
          <w:tab w:val="num" w:pos="0"/>
        </w:tabs>
        <w:spacing w:before="120" w:after="120"/>
        <w:ind w:left="709" w:right="850"/>
        <w:rPr>
          <w:sz w:val="16"/>
          <w:szCs w:val="16"/>
        </w:rPr>
      </w:pPr>
      <w:r w:rsidRPr="009B5D72">
        <w:rPr>
          <w:sz w:val="16"/>
          <w:szCs w:val="16"/>
        </w:rPr>
        <w:t>24. Al respecto, la Corte recuerda que</w:t>
      </w:r>
      <w:r w:rsidR="00576F60">
        <w:rPr>
          <w:sz w:val="16"/>
          <w:szCs w:val="16"/>
        </w:rPr>
        <w:t>,</w:t>
      </w:r>
      <w:r w:rsidRPr="009B5D72">
        <w:rPr>
          <w:sz w:val="16"/>
          <w:szCs w:val="16"/>
        </w:rPr>
        <w:t xml:space="preserve"> en su Resolución de junio de 2012, el Tribunal constató que los referidos certificados de garantía habían sido depositados en el Banco Nacional de Panamá, por lo cual consideró cumplida la obligación del Estado de consignar en una cuenta bancaria las sumas correspondientes a los cuatro pagos respecto de estas víctimas. En consecuencia, la Corte advierte que dicha obligación ya no es objeto de la su</w:t>
      </w:r>
      <w:r w:rsidRPr="0046783C">
        <w:rPr>
          <w:sz w:val="16"/>
          <w:szCs w:val="16"/>
        </w:rPr>
        <w:t>pervisión de cumplimiento de esta Sentencia.</w:t>
      </w:r>
    </w:p>
    <w:p w14:paraId="4A50160E" w14:textId="77777777" w:rsidR="00891A56" w:rsidRPr="003E2228" w:rsidRDefault="00C67F36" w:rsidP="002212E7">
      <w:pPr>
        <w:pStyle w:val="Textoindependiente2"/>
        <w:numPr>
          <w:ilvl w:val="0"/>
          <w:numId w:val="1"/>
        </w:numPr>
        <w:tabs>
          <w:tab w:val="clear" w:pos="1080"/>
          <w:tab w:val="num" w:pos="0"/>
        </w:tabs>
        <w:spacing w:before="120" w:after="120"/>
        <w:ind w:left="0" w:firstLine="0"/>
      </w:pPr>
      <w:r w:rsidRPr="00BE503A">
        <w:t>También, en las referidas resoluciones</w:t>
      </w:r>
      <w:r w:rsidR="002B4BE0">
        <w:t xml:space="preserve"> emitidas </w:t>
      </w:r>
      <w:r w:rsidR="00576F60">
        <w:t>entre 2009 y 2013</w:t>
      </w:r>
      <w:r w:rsidR="007B333E" w:rsidRPr="00BE503A">
        <w:t xml:space="preserve">, </w:t>
      </w:r>
      <w:r w:rsidR="007B333E" w:rsidRPr="002B4BE0">
        <w:t>esta Corte</w:t>
      </w:r>
      <w:r w:rsidRPr="002B4BE0">
        <w:t xml:space="preserve"> tomó nota de que algunas de las víctimas y sus represe</w:t>
      </w:r>
      <w:r w:rsidR="00280FD6" w:rsidRPr="002B4BE0">
        <w:t>ntantes continuaban manifestando “su descontento, inconformidad e insatisfacción con la forma de cumplimiento de la Sentencia, con los montos pagados y, de manera general, objetando lo actuado por Panamá y las decisiones de este Tribunal” respecto a la homologación de los acuerdos.</w:t>
      </w:r>
      <w:r w:rsidR="00280FD6" w:rsidRPr="003E2228">
        <w:t xml:space="preserve"> Ante ello,</w:t>
      </w:r>
      <w:r w:rsidR="00A77A44">
        <w:t xml:space="preserve"> </w:t>
      </w:r>
      <w:r w:rsidR="00343330" w:rsidRPr="003E2228">
        <w:t>el</w:t>
      </w:r>
      <w:r w:rsidR="00280FD6" w:rsidRPr="003E2228">
        <w:t xml:space="preserve"> Tribunal advirtió que casi la totalidad de las víctimas habían firmado los acuerdos y reiteró que </w:t>
      </w:r>
      <w:r w:rsidR="00851ADE" w:rsidRPr="00DE2A7F">
        <w:t>“</w:t>
      </w:r>
      <w:r w:rsidR="00280FD6" w:rsidRPr="00DE2A7F">
        <w:t>el alcance y contenido de los acuerdos respecto de los conceptos pagados con</w:t>
      </w:r>
      <w:r w:rsidR="00280FD6" w:rsidRPr="004848C5">
        <w:t xml:space="preserve">sta en el instrumento firmado por [las víctimas o sus derechohabientes] y los criterios utilizados por el Estado </w:t>
      </w:r>
      <w:r w:rsidR="004731F9" w:rsidRPr="004848C5">
        <w:t>f</w:t>
      </w:r>
      <w:r w:rsidR="00280FD6" w:rsidRPr="004848C5">
        <w:t xml:space="preserve">ueron </w:t>
      </w:r>
      <w:r w:rsidR="004731F9" w:rsidRPr="009B5D72">
        <w:t>presentados</w:t>
      </w:r>
      <w:r w:rsidR="00280FD6" w:rsidRPr="009B5D72">
        <w:t xml:space="preserve"> en su informe, el cual fue transmitido a los representantes legales y cuya síntesis aparece en el Resolución de 2008”</w:t>
      </w:r>
      <w:r w:rsidR="005C27C3">
        <w:rPr>
          <w:rStyle w:val="Refdenotaalpie"/>
        </w:rPr>
        <w:footnoteReference w:id="16"/>
      </w:r>
      <w:r w:rsidR="00280FD6" w:rsidRPr="009B5D72">
        <w:t xml:space="preserve"> y </w:t>
      </w:r>
      <w:r w:rsidR="007C0A83">
        <w:t xml:space="preserve">concluyó </w:t>
      </w:r>
      <w:r w:rsidR="00280FD6" w:rsidRPr="009B5D72">
        <w:t xml:space="preserve">que </w:t>
      </w:r>
      <w:r w:rsidR="00280FD6" w:rsidRPr="0046783C">
        <w:t>“únicamente” se mantendría abierto el procedimiento de supervisión a efecto de recibir los comprobantes de pago o dep</w:t>
      </w:r>
      <w:r w:rsidR="00496861">
        <w:t>ó</w:t>
      </w:r>
      <w:r w:rsidR="00280FD6" w:rsidRPr="0046783C">
        <w:t>sito a las víctimas o sus representantes</w:t>
      </w:r>
      <w:r w:rsidR="00496861">
        <w:rPr>
          <w:rStyle w:val="Refdenotaalpie"/>
        </w:rPr>
        <w:footnoteReference w:id="17"/>
      </w:r>
      <w:r w:rsidR="00280FD6" w:rsidRPr="0046783C">
        <w:t xml:space="preserve">. </w:t>
      </w:r>
      <w:r w:rsidR="004731F9" w:rsidRPr="0046783C">
        <w:t>A</w:t>
      </w:r>
      <w:r w:rsidR="00851ADE" w:rsidRPr="00B341C4">
        <w:t>simismo, el Tribunal reiteró que el</w:t>
      </w:r>
      <w:r w:rsidR="004731F9" w:rsidRPr="00B341C4">
        <w:t xml:space="preserve"> “cese del procedimiento de supervisión internacional con r</w:t>
      </w:r>
      <w:r w:rsidR="004731F9" w:rsidRPr="00BE503A">
        <w:t xml:space="preserve">elación a quienes el Estado ha pagado las sumas debidas tiene efectos en el </w:t>
      </w:r>
      <w:r w:rsidR="00522A89" w:rsidRPr="00BE503A">
        <w:t xml:space="preserve">presente proceso internacional, </w:t>
      </w:r>
      <w:r w:rsidR="004731F9" w:rsidRPr="004C268F">
        <w:t xml:space="preserve">sin perjuicio </w:t>
      </w:r>
      <w:r w:rsidR="007B333E" w:rsidRPr="004C268F">
        <w:t xml:space="preserve">de </w:t>
      </w:r>
      <w:r w:rsidR="007B333E" w:rsidRPr="00460756">
        <w:t>que,</w:t>
      </w:r>
      <w:r w:rsidR="004731F9" w:rsidRPr="00460756">
        <w:t xml:space="preserve"> </w:t>
      </w:r>
      <w:r w:rsidR="004731F9" w:rsidRPr="002B4BE0">
        <w:t>en el derecho interno, eventualmente, continúen las reclamaciones”</w:t>
      </w:r>
      <w:r w:rsidR="0031057A">
        <w:rPr>
          <w:rStyle w:val="Refdenotaalpie"/>
        </w:rPr>
        <w:footnoteReference w:id="18"/>
      </w:r>
      <w:r w:rsidR="004731F9" w:rsidRPr="002B4BE0">
        <w:t xml:space="preserve"> sobre las referidas discrepancias</w:t>
      </w:r>
      <w:r w:rsidR="004731F9" w:rsidRPr="003E2228">
        <w:t xml:space="preserve">.  </w:t>
      </w:r>
    </w:p>
    <w:p w14:paraId="7D6AF3D8" w14:textId="77777777" w:rsidR="008C268A" w:rsidRPr="00D03968" w:rsidRDefault="002212E7" w:rsidP="003828CA">
      <w:pPr>
        <w:pStyle w:val="Textoindependiente2"/>
        <w:numPr>
          <w:ilvl w:val="0"/>
          <w:numId w:val="1"/>
        </w:numPr>
        <w:tabs>
          <w:tab w:val="clear" w:pos="1080"/>
          <w:tab w:val="num" w:pos="0"/>
        </w:tabs>
        <w:spacing w:before="120" w:after="120"/>
        <w:ind w:left="0" w:firstLine="0"/>
      </w:pPr>
      <w:r w:rsidRPr="003E2228">
        <w:t>Tomando en cuenta</w:t>
      </w:r>
      <w:r w:rsidR="006466B8" w:rsidRPr="00DE2A7F">
        <w:t xml:space="preserve"> la supervisión realizada en </w:t>
      </w:r>
      <w:r w:rsidRPr="00DE2A7F">
        <w:t>esas resoluciones</w:t>
      </w:r>
      <w:r w:rsidR="006466B8" w:rsidRPr="00DE2A7F">
        <w:t xml:space="preserve">, </w:t>
      </w:r>
      <w:r w:rsidR="006466B8" w:rsidRPr="00D03968">
        <w:t xml:space="preserve">en la </w:t>
      </w:r>
      <w:r w:rsidR="00C67F36" w:rsidRPr="00D03968">
        <w:t xml:space="preserve">última </w:t>
      </w:r>
      <w:r w:rsidR="00A02B4E" w:rsidRPr="00D03968">
        <w:t>R</w:t>
      </w:r>
      <w:r w:rsidR="006466B8" w:rsidRPr="00D03968">
        <w:t>esolución</w:t>
      </w:r>
      <w:r w:rsidR="00A02B4E" w:rsidRPr="00D03968">
        <w:t>, emitida en</w:t>
      </w:r>
      <w:r w:rsidR="006466B8" w:rsidRPr="00D03968">
        <w:t xml:space="preserve"> febrero de 2013</w:t>
      </w:r>
      <w:r w:rsidR="00A02B4E" w:rsidRPr="00D03968">
        <w:t>,</w:t>
      </w:r>
      <w:r w:rsidR="008C268A" w:rsidRPr="00D03968">
        <w:t xml:space="preserve"> </w:t>
      </w:r>
      <w:r w:rsidR="008E1188" w:rsidRPr="00D03968">
        <w:t xml:space="preserve">la Corte </w:t>
      </w:r>
      <w:r w:rsidR="008C268A" w:rsidRPr="00D03968">
        <w:t>dispuso</w:t>
      </w:r>
      <w:r w:rsidR="004425DE" w:rsidRPr="003E2228">
        <w:t xml:space="preserve"> en el punto </w:t>
      </w:r>
      <w:r w:rsidR="00D03968">
        <w:t>declarativo segundo, el resolutivo tercero</w:t>
      </w:r>
      <w:r w:rsidR="00F220C7" w:rsidRPr="003E2228">
        <w:t xml:space="preserve"> </w:t>
      </w:r>
      <w:r w:rsidR="004425DE" w:rsidRPr="003E2228">
        <w:t>y los Considerandos 15, 22 y 29,</w:t>
      </w:r>
      <w:r w:rsidR="008C268A" w:rsidRPr="003E2228">
        <w:t xml:space="preserve"> </w:t>
      </w:r>
      <w:r w:rsidR="008C268A" w:rsidRPr="00D03968">
        <w:t>que</w:t>
      </w:r>
      <w:r w:rsidR="007B333E" w:rsidRPr="00D03968">
        <w:t xml:space="preserve"> mantendría abierto el procedimiento de supervisión de cumplimiento de Sentencia solamente a fin de recibir</w:t>
      </w:r>
      <w:r w:rsidR="00A02B4E" w:rsidRPr="00D03968">
        <w:t>:</w:t>
      </w:r>
      <w:r w:rsidR="003828CA" w:rsidRPr="00D03968">
        <w:t xml:space="preserve"> “</w:t>
      </w:r>
      <w:r w:rsidR="008C268A" w:rsidRPr="00D03968">
        <w:t xml:space="preserve">a) el comprobante del tercer pago a los derechohabientes de la víctima Ricardo Rivera; b) el comprobante del cuarto pago al o los derechohabientes de la víctima David </w:t>
      </w:r>
      <w:proofErr w:type="spellStart"/>
      <w:r w:rsidR="008C268A" w:rsidRPr="00D03968">
        <w:t>Jaen</w:t>
      </w:r>
      <w:proofErr w:type="spellEnd"/>
      <w:r w:rsidR="008C268A" w:rsidRPr="00D03968">
        <w:t xml:space="preserve"> </w:t>
      </w:r>
      <w:proofErr w:type="spellStart"/>
      <w:r w:rsidR="008C268A" w:rsidRPr="00D03968">
        <w:t>Marin</w:t>
      </w:r>
      <w:proofErr w:type="spellEnd"/>
      <w:r w:rsidR="008C268A" w:rsidRPr="00D03968">
        <w:t xml:space="preserve">, y c) las explicaciones u observaciones por parte de Panamá sobre los alcances de la sentencia emitida por la </w:t>
      </w:r>
      <w:r w:rsidR="003828CA" w:rsidRPr="00D03968">
        <w:t xml:space="preserve">[Sala Tercera de lo Contencioso Administrativo y Laboral de la] </w:t>
      </w:r>
      <w:r w:rsidR="008C268A" w:rsidRPr="00D03968">
        <w:t>Corte Suprema de Justicia en relación con el presente caso</w:t>
      </w:r>
      <w:r w:rsidR="003828CA" w:rsidRPr="00D03968">
        <w:t>”</w:t>
      </w:r>
      <w:r w:rsidR="00F220C7">
        <w:rPr>
          <w:rStyle w:val="Refdenotaalpie"/>
        </w:rPr>
        <w:footnoteReference w:id="19"/>
      </w:r>
      <w:r w:rsidR="008C268A" w:rsidRPr="00D03968">
        <w:t>.</w:t>
      </w:r>
    </w:p>
    <w:p w14:paraId="0B19A0BB" w14:textId="77777777" w:rsidR="007B333E" w:rsidRPr="003E2228" w:rsidRDefault="007B333E" w:rsidP="007B333E">
      <w:pPr>
        <w:pStyle w:val="Textoindependiente2"/>
        <w:tabs>
          <w:tab w:val="num" w:pos="0"/>
        </w:tabs>
        <w:spacing w:before="120" w:after="120"/>
        <w:ind w:right="850"/>
        <w:rPr>
          <w:sz w:val="16"/>
          <w:szCs w:val="16"/>
        </w:rPr>
      </w:pPr>
    </w:p>
    <w:p w14:paraId="7137D1C4" w14:textId="77777777" w:rsidR="007B333E" w:rsidRPr="004848C5" w:rsidRDefault="00404C10" w:rsidP="00A334B0">
      <w:pPr>
        <w:pStyle w:val="Textoindependiente2"/>
        <w:numPr>
          <w:ilvl w:val="0"/>
          <w:numId w:val="37"/>
        </w:numPr>
        <w:spacing w:before="120" w:after="120"/>
        <w:ind w:hanging="371"/>
        <w:outlineLvl w:val="0"/>
        <w:rPr>
          <w:b/>
          <w:i/>
        </w:rPr>
      </w:pPr>
      <w:bookmarkStart w:id="2" w:name="_Toc79418117"/>
      <w:r w:rsidRPr="003E2228">
        <w:rPr>
          <w:b/>
          <w:i/>
        </w:rPr>
        <w:t xml:space="preserve">Información y observaciones presentadas </w:t>
      </w:r>
      <w:r w:rsidR="00676F60" w:rsidRPr="003E2228">
        <w:rPr>
          <w:b/>
          <w:i/>
        </w:rPr>
        <w:t xml:space="preserve">con posterioridad a </w:t>
      </w:r>
      <w:r w:rsidRPr="003E2228">
        <w:rPr>
          <w:b/>
          <w:i/>
        </w:rPr>
        <w:t>la R</w:t>
      </w:r>
      <w:r w:rsidRPr="00DE2A7F">
        <w:rPr>
          <w:b/>
          <w:i/>
        </w:rPr>
        <w:t>esolución de 2013</w:t>
      </w:r>
      <w:bookmarkEnd w:id="2"/>
      <w:r w:rsidR="00676F60" w:rsidRPr="00DE2A7F">
        <w:rPr>
          <w:b/>
          <w:i/>
        </w:rPr>
        <w:t xml:space="preserve"> </w:t>
      </w:r>
    </w:p>
    <w:p w14:paraId="05773003" w14:textId="77777777" w:rsidR="00BA32AE" w:rsidRPr="009B5D72" w:rsidRDefault="00BA32AE" w:rsidP="00A334B0">
      <w:pPr>
        <w:pStyle w:val="Textoindependiente2"/>
        <w:spacing w:before="120" w:after="120"/>
        <w:ind w:left="1080"/>
        <w:outlineLvl w:val="1"/>
        <w:rPr>
          <w:i/>
        </w:rPr>
      </w:pPr>
      <w:bookmarkStart w:id="3" w:name="_Toc79418118"/>
      <w:r w:rsidRPr="009B5D72">
        <w:rPr>
          <w:i/>
        </w:rPr>
        <w:lastRenderedPageBreak/>
        <w:t>B.1. Pagos pendientes de los acuerdos suscritos por dos víctimas</w:t>
      </w:r>
      <w:bookmarkEnd w:id="3"/>
    </w:p>
    <w:p w14:paraId="48799478" w14:textId="77777777" w:rsidR="00BA32AE" w:rsidRPr="003E2228" w:rsidRDefault="00BA32AE" w:rsidP="00A334B0">
      <w:pPr>
        <w:numPr>
          <w:ilvl w:val="0"/>
          <w:numId w:val="1"/>
        </w:numPr>
        <w:tabs>
          <w:tab w:val="clear" w:pos="1080"/>
          <w:tab w:val="num" w:pos="0"/>
        </w:tabs>
        <w:spacing w:before="120" w:after="120"/>
        <w:ind w:left="0" w:firstLine="0"/>
        <w:jc w:val="both"/>
        <w:rPr>
          <w:rFonts w:ascii="Verdana" w:hAnsi="Verdana"/>
          <w:b/>
          <w:sz w:val="20"/>
          <w:u w:val="single"/>
        </w:rPr>
      </w:pPr>
      <w:r w:rsidRPr="009B5D72">
        <w:rPr>
          <w:rFonts w:ascii="Verdana" w:hAnsi="Verdana"/>
          <w:sz w:val="20"/>
        </w:rPr>
        <w:t xml:space="preserve">Luego de la referida Resolución de febrero de 2013, </w:t>
      </w:r>
      <w:r w:rsidRPr="00D03968">
        <w:rPr>
          <w:rFonts w:ascii="Verdana" w:hAnsi="Verdana"/>
          <w:sz w:val="20"/>
        </w:rPr>
        <w:t>Panamá aportó los comprobantes de pago relativos a las víctimas Ricardo Rivera y David Jaén que fueron solicitados y sostuvo que los montos convenidos en todos los acuerdos “han sido cancelados en su totalidad”.</w:t>
      </w:r>
      <w:r w:rsidRPr="003E2228">
        <w:rPr>
          <w:rFonts w:ascii="Verdana" w:hAnsi="Verdana"/>
          <w:sz w:val="20"/>
        </w:rPr>
        <w:t xml:space="preserve"> </w:t>
      </w:r>
      <w:r w:rsidR="00CA7FBA" w:rsidRPr="003E2228">
        <w:rPr>
          <w:rFonts w:ascii="Verdana" w:hAnsi="Verdana"/>
          <w:sz w:val="20"/>
        </w:rPr>
        <w:t xml:space="preserve">Asimismo, agregó que todos los pagos o depósitos que ha efectuado se realizaron </w:t>
      </w:r>
      <w:r w:rsidR="00CA7FBA" w:rsidRPr="00DE2A7F">
        <w:rPr>
          <w:rFonts w:ascii="Verdana" w:hAnsi="Verdana"/>
          <w:b/>
          <w:sz w:val="16"/>
          <w:szCs w:val="16"/>
        </w:rPr>
        <w:t>“</w:t>
      </w:r>
      <w:r w:rsidR="00CA7FBA" w:rsidRPr="00DE2A7F">
        <w:rPr>
          <w:rFonts w:ascii="Verdana" w:hAnsi="Verdana"/>
          <w:sz w:val="20"/>
        </w:rPr>
        <w:t xml:space="preserve">en los términos y condiciones establecidos mediante </w:t>
      </w:r>
      <w:r w:rsidR="006F4A3A">
        <w:rPr>
          <w:rFonts w:ascii="Verdana" w:hAnsi="Verdana"/>
          <w:sz w:val="20"/>
        </w:rPr>
        <w:t>[los]</w:t>
      </w:r>
      <w:r w:rsidR="00CA7FBA" w:rsidRPr="00DE2A7F">
        <w:rPr>
          <w:rFonts w:ascii="Verdana" w:hAnsi="Verdana"/>
          <w:sz w:val="20"/>
        </w:rPr>
        <w:t xml:space="preserve"> acuerdo</w:t>
      </w:r>
      <w:r w:rsidR="006F4A3A">
        <w:rPr>
          <w:rFonts w:ascii="Verdana" w:hAnsi="Verdana"/>
          <w:sz w:val="20"/>
        </w:rPr>
        <w:t>[s]</w:t>
      </w:r>
      <w:r w:rsidR="00CA7FBA" w:rsidRPr="00DE2A7F">
        <w:rPr>
          <w:rFonts w:ascii="Verdana" w:hAnsi="Verdana"/>
          <w:sz w:val="20"/>
        </w:rPr>
        <w:t xml:space="preserve"> voluntario</w:t>
      </w:r>
      <w:r w:rsidR="006F4A3A">
        <w:rPr>
          <w:rFonts w:ascii="Verdana" w:hAnsi="Verdana"/>
          <w:sz w:val="20"/>
        </w:rPr>
        <w:t>[s]</w:t>
      </w:r>
      <w:r w:rsidR="00CA7FBA" w:rsidRPr="00DE2A7F">
        <w:rPr>
          <w:rFonts w:ascii="Verdana" w:hAnsi="Verdana"/>
          <w:sz w:val="20"/>
        </w:rPr>
        <w:t xml:space="preserve"> entre las</w:t>
      </w:r>
      <w:r w:rsidR="00CA7FBA" w:rsidRPr="004848C5">
        <w:rPr>
          <w:rFonts w:ascii="Verdana" w:hAnsi="Verdana"/>
          <w:sz w:val="20"/>
        </w:rPr>
        <w:t xml:space="preserve"> víctimas y el Estado panameño y que a su vez fue</w:t>
      </w:r>
      <w:r w:rsidR="006F4A3A">
        <w:rPr>
          <w:rFonts w:ascii="Verdana" w:hAnsi="Verdana"/>
          <w:sz w:val="20"/>
        </w:rPr>
        <w:t>[ron]</w:t>
      </w:r>
      <w:r w:rsidR="00CA7FBA" w:rsidRPr="004848C5">
        <w:rPr>
          <w:rFonts w:ascii="Verdana" w:hAnsi="Verdana"/>
          <w:sz w:val="20"/>
        </w:rPr>
        <w:t xml:space="preserve"> reconocido</w:t>
      </w:r>
      <w:r w:rsidR="006F4A3A">
        <w:rPr>
          <w:rFonts w:ascii="Verdana" w:hAnsi="Verdana"/>
          <w:sz w:val="20"/>
        </w:rPr>
        <w:t>[s]</w:t>
      </w:r>
      <w:r w:rsidR="00CA7FBA" w:rsidRPr="004848C5">
        <w:rPr>
          <w:rFonts w:ascii="Verdana" w:hAnsi="Verdana"/>
          <w:sz w:val="20"/>
        </w:rPr>
        <w:t xml:space="preserve"> por la Corte”, la cual “consideró prudente homologar[los], acotando que el ofrecimiento del Estado </w:t>
      </w:r>
      <w:proofErr w:type="spellStart"/>
      <w:r w:rsidR="00CA7FBA" w:rsidRPr="004848C5">
        <w:rPr>
          <w:rFonts w:ascii="Verdana" w:hAnsi="Verdana"/>
          <w:sz w:val="20"/>
        </w:rPr>
        <w:t>comprend</w:t>
      </w:r>
      <w:proofErr w:type="spellEnd"/>
      <w:r w:rsidR="00CA7FBA" w:rsidRPr="004848C5">
        <w:rPr>
          <w:rFonts w:ascii="Verdana" w:hAnsi="Verdana"/>
          <w:sz w:val="20"/>
        </w:rPr>
        <w:t>[</w:t>
      </w:r>
      <w:proofErr w:type="spellStart"/>
      <w:r w:rsidR="00CA7FBA" w:rsidRPr="004848C5">
        <w:rPr>
          <w:rFonts w:ascii="Verdana" w:hAnsi="Verdana"/>
          <w:sz w:val="20"/>
        </w:rPr>
        <w:t>ía</w:t>
      </w:r>
      <w:proofErr w:type="spellEnd"/>
      <w:r w:rsidR="00CA7FBA" w:rsidRPr="004848C5">
        <w:rPr>
          <w:rFonts w:ascii="Verdana" w:hAnsi="Verdana"/>
          <w:sz w:val="20"/>
        </w:rPr>
        <w:t>] la totalidad de derechos que se derivan de la sentencia”</w:t>
      </w:r>
      <w:r w:rsidR="00E64D2A" w:rsidRPr="009B5D72">
        <w:rPr>
          <w:rFonts w:ascii="Verdana" w:hAnsi="Verdana"/>
          <w:sz w:val="20"/>
        </w:rPr>
        <w:t>. Con base en los referidos</w:t>
      </w:r>
      <w:r w:rsidR="00E64D2A" w:rsidRPr="0046783C">
        <w:rPr>
          <w:rFonts w:ascii="Verdana" w:hAnsi="Verdana"/>
          <w:sz w:val="20"/>
        </w:rPr>
        <w:t xml:space="preserve"> argumentos, </w:t>
      </w:r>
      <w:r w:rsidR="00E64D2A" w:rsidRPr="00D03968">
        <w:rPr>
          <w:rFonts w:ascii="Verdana" w:hAnsi="Verdana"/>
          <w:sz w:val="20"/>
        </w:rPr>
        <w:t xml:space="preserve">Panamá solicitó que “se declare cumplida la Sentencia” y “se dé por terminada la supervisión de cumplimiento de </w:t>
      </w:r>
      <w:proofErr w:type="gramStart"/>
      <w:r w:rsidR="00E64D2A" w:rsidRPr="00D03968">
        <w:rPr>
          <w:rFonts w:ascii="Verdana" w:hAnsi="Verdana"/>
          <w:sz w:val="20"/>
        </w:rPr>
        <w:t>la misma</w:t>
      </w:r>
      <w:proofErr w:type="gramEnd"/>
      <w:r w:rsidR="00E64D2A" w:rsidRPr="00D03968">
        <w:rPr>
          <w:rFonts w:ascii="Verdana" w:hAnsi="Verdana"/>
          <w:sz w:val="20"/>
        </w:rPr>
        <w:t>”.</w:t>
      </w:r>
      <w:r w:rsidR="00E64D2A" w:rsidRPr="003E2228">
        <w:rPr>
          <w:rFonts w:ascii="Verdana" w:hAnsi="Verdana"/>
          <w:sz w:val="20"/>
        </w:rPr>
        <w:t xml:space="preserve"> </w:t>
      </w:r>
    </w:p>
    <w:p w14:paraId="7B418DF7" w14:textId="77777777" w:rsidR="00CA7FBA" w:rsidRPr="00D03968" w:rsidRDefault="00CA7FBA" w:rsidP="00CA7FBA">
      <w:pPr>
        <w:numPr>
          <w:ilvl w:val="0"/>
          <w:numId w:val="1"/>
        </w:numPr>
        <w:tabs>
          <w:tab w:val="clear" w:pos="1080"/>
          <w:tab w:val="num" w:pos="0"/>
        </w:tabs>
        <w:spacing w:before="120" w:after="120"/>
        <w:ind w:left="0" w:firstLine="0"/>
        <w:jc w:val="both"/>
        <w:rPr>
          <w:rFonts w:ascii="Verdana" w:hAnsi="Verdana"/>
          <w:b/>
          <w:sz w:val="20"/>
          <w:u w:val="single"/>
        </w:rPr>
      </w:pPr>
      <w:r w:rsidRPr="00DE2A7F">
        <w:rPr>
          <w:rFonts w:ascii="Verdana" w:hAnsi="Verdana"/>
          <w:sz w:val="20"/>
        </w:rPr>
        <w:t xml:space="preserve">De acuerdo con </w:t>
      </w:r>
      <w:r w:rsidR="00893425">
        <w:rPr>
          <w:rFonts w:ascii="Verdana" w:hAnsi="Verdana"/>
          <w:sz w:val="20"/>
        </w:rPr>
        <w:t xml:space="preserve">los </w:t>
      </w:r>
      <w:r w:rsidR="005A15CD">
        <w:rPr>
          <w:rFonts w:ascii="Verdana" w:hAnsi="Verdana"/>
          <w:sz w:val="20"/>
        </w:rPr>
        <w:t>as</w:t>
      </w:r>
      <w:r w:rsidR="00D03968">
        <w:rPr>
          <w:rFonts w:ascii="Verdana" w:hAnsi="Verdana"/>
          <w:sz w:val="20"/>
        </w:rPr>
        <w:t>pectos</w:t>
      </w:r>
      <w:r w:rsidR="00893425">
        <w:rPr>
          <w:rFonts w:ascii="Verdana" w:hAnsi="Verdana"/>
          <w:sz w:val="20"/>
        </w:rPr>
        <w:t xml:space="preserve"> </w:t>
      </w:r>
      <w:r w:rsidR="00BF64D1">
        <w:rPr>
          <w:rFonts w:ascii="Verdana" w:hAnsi="Verdana"/>
          <w:sz w:val="20"/>
        </w:rPr>
        <w:t xml:space="preserve">que permanecían </w:t>
      </w:r>
      <w:r w:rsidR="006F4A3A">
        <w:rPr>
          <w:rFonts w:ascii="Verdana" w:hAnsi="Verdana"/>
          <w:sz w:val="20"/>
        </w:rPr>
        <w:t xml:space="preserve">como </w:t>
      </w:r>
      <w:r w:rsidRPr="00DE2A7F">
        <w:rPr>
          <w:rFonts w:ascii="Verdana" w:hAnsi="Verdana"/>
          <w:sz w:val="20"/>
        </w:rPr>
        <w:t xml:space="preserve">objeto de supervisión según lo </w:t>
      </w:r>
      <w:r w:rsidR="00EE68E7">
        <w:rPr>
          <w:rFonts w:ascii="Verdana" w:hAnsi="Verdana"/>
          <w:sz w:val="20"/>
        </w:rPr>
        <w:t>dispuesto</w:t>
      </w:r>
      <w:r w:rsidRPr="00DE2A7F">
        <w:rPr>
          <w:rFonts w:ascii="Verdana" w:hAnsi="Verdana"/>
          <w:sz w:val="20"/>
        </w:rPr>
        <w:t xml:space="preserve"> en la Resolución de febrero de 2013 (</w:t>
      </w:r>
      <w:r w:rsidRPr="004848C5">
        <w:rPr>
          <w:rFonts w:ascii="Verdana" w:hAnsi="Verdana"/>
          <w:i/>
          <w:sz w:val="20"/>
        </w:rPr>
        <w:t>supra</w:t>
      </w:r>
      <w:r w:rsidRPr="004848C5">
        <w:rPr>
          <w:rFonts w:ascii="Verdana" w:hAnsi="Verdana"/>
          <w:sz w:val="20"/>
        </w:rPr>
        <w:t xml:space="preserve"> Considerando </w:t>
      </w:r>
      <w:r w:rsidR="00893425">
        <w:rPr>
          <w:rFonts w:ascii="Verdana" w:hAnsi="Verdana"/>
          <w:sz w:val="20"/>
        </w:rPr>
        <w:t>16</w:t>
      </w:r>
      <w:r w:rsidRPr="004848C5">
        <w:rPr>
          <w:rFonts w:ascii="Verdana" w:hAnsi="Verdana"/>
          <w:sz w:val="20"/>
        </w:rPr>
        <w:t>), y con base en la información y comprobantes de pago aportados por el Estado</w:t>
      </w:r>
      <w:r w:rsidRPr="003E2228">
        <w:rPr>
          <w:rStyle w:val="Refdenotaalpie"/>
          <w:rFonts w:ascii="Verdana" w:hAnsi="Verdana"/>
          <w:sz w:val="20"/>
        </w:rPr>
        <w:footnoteReference w:id="20"/>
      </w:r>
      <w:r w:rsidRPr="003E2228">
        <w:rPr>
          <w:rFonts w:ascii="Verdana" w:hAnsi="Verdana"/>
          <w:sz w:val="20"/>
        </w:rPr>
        <w:t>, así como las observaciones de los representantes de esas víctimas</w:t>
      </w:r>
      <w:r w:rsidRPr="003E2228">
        <w:rPr>
          <w:rStyle w:val="Refdenotaalpie"/>
          <w:rFonts w:ascii="Verdana" w:hAnsi="Verdana"/>
          <w:sz w:val="20"/>
        </w:rPr>
        <w:footnoteReference w:id="21"/>
      </w:r>
      <w:r w:rsidRPr="003E2228">
        <w:rPr>
          <w:rFonts w:ascii="Verdana" w:hAnsi="Verdana"/>
          <w:sz w:val="20"/>
        </w:rPr>
        <w:t xml:space="preserve"> y de la Comisión Interamericana</w:t>
      </w:r>
      <w:r w:rsidRPr="003E2228">
        <w:rPr>
          <w:rStyle w:val="Refdenotaalpie"/>
          <w:rFonts w:ascii="Verdana" w:hAnsi="Verdana"/>
          <w:sz w:val="20"/>
        </w:rPr>
        <w:footnoteReference w:id="22"/>
      </w:r>
      <w:r w:rsidRPr="003E2228">
        <w:rPr>
          <w:rFonts w:ascii="Verdana" w:hAnsi="Verdana"/>
          <w:sz w:val="20"/>
        </w:rPr>
        <w:t xml:space="preserve">, la Corte constata </w:t>
      </w:r>
      <w:r w:rsidRPr="00D03968">
        <w:rPr>
          <w:rFonts w:ascii="Verdana" w:hAnsi="Verdana"/>
          <w:sz w:val="20"/>
        </w:rPr>
        <w:t xml:space="preserve">que el Estado ha cumplido con entregar a la derechohabiente de la víctima Ricardo Rivera el tercer pago del desembolso previsto en el acuerdo, así como con entregar al derechohabiente de la víctima David </w:t>
      </w:r>
      <w:r w:rsidR="00690B1D" w:rsidRPr="00D03968">
        <w:rPr>
          <w:rFonts w:ascii="Verdana" w:hAnsi="Verdana"/>
          <w:sz w:val="20"/>
        </w:rPr>
        <w:t>Jaén</w:t>
      </w:r>
      <w:r w:rsidRPr="00D03968">
        <w:rPr>
          <w:rFonts w:ascii="Verdana" w:hAnsi="Verdana"/>
          <w:sz w:val="20"/>
        </w:rPr>
        <w:t xml:space="preserve"> el cuarto pago del desembolso previsto en el acuerdo.</w:t>
      </w:r>
    </w:p>
    <w:p w14:paraId="1CF03CC9" w14:textId="77777777" w:rsidR="00E41CA0" w:rsidRPr="003E2228" w:rsidRDefault="00E41CA0" w:rsidP="00E41CA0">
      <w:pPr>
        <w:numPr>
          <w:ilvl w:val="0"/>
          <w:numId w:val="1"/>
        </w:numPr>
        <w:tabs>
          <w:tab w:val="clear" w:pos="1080"/>
          <w:tab w:val="num" w:pos="0"/>
        </w:tabs>
        <w:spacing w:before="120" w:after="120"/>
        <w:ind w:left="0" w:firstLine="0"/>
        <w:jc w:val="both"/>
        <w:rPr>
          <w:rFonts w:ascii="Verdana" w:hAnsi="Verdana"/>
          <w:b/>
          <w:sz w:val="20"/>
          <w:u w:val="single"/>
        </w:rPr>
      </w:pPr>
      <w:r w:rsidRPr="00D03968">
        <w:rPr>
          <w:rFonts w:ascii="Verdana" w:hAnsi="Verdana"/>
          <w:sz w:val="20"/>
        </w:rPr>
        <w:t>A la fecha, solo una de las 270 víctimas no habría firmado el acuerdo</w:t>
      </w:r>
      <w:r w:rsidRPr="00D03968">
        <w:rPr>
          <w:rStyle w:val="Refdenotaalpie"/>
          <w:rFonts w:ascii="Verdana" w:hAnsi="Verdana"/>
          <w:sz w:val="20"/>
        </w:rPr>
        <w:footnoteReference w:id="23"/>
      </w:r>
      <w:r w:rsidRPr="00D03968">
        <w:rPr>
          <w:rFonts w:ascii="Verdana" w:hAnsi="Verdana"/>
          <w:sz w:val="20"/>
        </w:rPr>
        <w:t>.</w:t>
      </w:r>
      <w:r w:rsidRPr="003E2228">
        <w:rPr>
          <w:rFonts w:ascii="Verdana" w:hAnsi="Verdana"/>
          <w:sz w:val="20"/>
        </w:rPr>
        <w:t xml:space="preserve"> Al respecto, la Corte </w:t>
      </w:r>
      <w:r w:rsidRPr="00D03968">
        <w:rPr>
          <w:rFonts w:ascii="Verdana" w:hAnsi="Verdana"/>
          <w:sz w:val="20"/>
        </w:rPr>
        <w:t xml:space="preserve">recuerda lo señalado en su Resolución de febrero de 2013, en el sentido de que la Corte constató que el Estado había cumplido con depositar en una cuenta bancaria los montos a su favor, y que esa obligación ya </w:t>
      </w:r>
      <w:r w:rsidR="007F125F" w:rsidRPr="00D03968">
        <w:rPr>
          <w:rFonts w:ascii="Verdana" w:hAnsi="Verdana"/>
          <w:sz w:val="20"/>
        </w:rPr>
        <w:t xml:space="preserve">no </w:t>
      </w:r>
      <w:r w:rsidRPr="00D03968">
        <w:rPr>
          <w:rFonts w:ascii="Verdana" w:hAnsi="Verdana"/>
          <w:sz w:val="20"/>
        </w:rPr>
        <w:t>sería objeto de la supervisión de cumplimiento de esta Sentencia</w:t>
      </w:r>
      <w:r w:rsidRPr="003E2228">
        <w:rPr>
          <w:rFonts w:ascii="Verdana" w:hAnsi="Verdana"/>
          <w:sz w:val="20"/>
        </w:rPr>
        <w:t xml:space="preserve"> (</w:t>
      </w:r>
      <w:r w:rsidRPr="003E2228">
        <w:rPr>
          <w:rFonts w:ascii="Verdana" w:hAnsi="Verdana"/>
          <w:i/>
          <w:sz w:val="20"/>
        </w:rPr>
        <w:t>supra</w:t>
      </w:r>
      <w:r w:rsidRPr="003E2228">
        <w:rPr>
          <w:rFonts w:ascii="Verdana" w:hAnsi="Verdana"/>
          <w:sz w:val="20"/>
        </w:rPr>
        <w:t xml:space="preserve"> Considerando </w:t>
      </w:r>
      <w:r w:rsidR="002B496F">
        <w:rPr>
          <w:rFonts w:ascii="Verdana" w:hAnsi="Verdana"/>
          <w:sz w:val="20"/>
        </w:rPr>
        <w:t>14</w:t>
      </w:r>
      <w:r w:rsidRPr="003E2228">
        <w:rPr>
          <w:rFonts w:ascii="Verdana" w:hAnsi="Verdana"/>
          <w:sz w:val="20"/>
        </w:rPr>
        <w:t>). Ello no obsta que</w:t>
      </w:r>
      <w:r w:rsidR="00D03968">
        <w:rPr>
          <w:rFonts w:ascii="Verdana" w:hAnsi="Verdana"/>
          <w:sz w:val="20"/>
        </w:rPr>
        <w:t>,</w:t>
      </w:r>
      <w:r w:rsidRPr="003E2228">
        <w:rPr>
          <w:rFonts w:ascii="Verdana" w:hAnsi="Verdana"/>
          <w:sz w:val="20"/>
        </w:rPr>
        <w:t xml:space="preserve"> </w:t>
      </w:r>
      <w:r w:rsidRPr="00DE2A7F">
        <w:rPr>
          <w:rFonts w:ascii="Verdana" w:hAnsi="Verdana"/>
          <w:sz w:val="20"/>
        </w:rPr>
        <w:t>si esta víctima no está conforme con los términos del acuerdo de cumplimiento propuesto por el Estado</w:t>
      </w:r>
      <w:r w:rsidR="002B496F">
        <w:rPr>
          <w:rFonts w:ascii="Verdana" w:hAnsi="Verdana"/>
          <w:sz w:val="20"/>
        </w:rPr>
        <w:t>,</w:t>
      </w:r>
      <w:r w:rsidRPr="00DE2A7F">
        <w:rPr>
          <w:rFonts w:ascii="Verdana" w:hAnsi="Verdana"/>
          <w:sz w:val="20"/>
        </w:rPr>
        <w:t xml:space="preserve"> pueda </w:t>
      </w:r>
      <w:r w:rsidRPr="00D03968">
        <w:rPr>
          <w:rFonts w:ascii="Verdana" w:hAnsi="Verdana"/>
          <w:sz w:val="20"/>
        </w:rPr>
        <w:t>plantear los reclamos correspondientes ante los tribunales internos para que éstos resuelvan conforme a la normativa panameña</w:t>
      </w:r>
      <w:r w:rsidRPr="003E2228">
        <w:rPr>
          <w:rFonts w:ascii="Verdana" w:hAnsi="Verdana"/>
          <w:sz w:val="20"/>
        </w:rPr>
        <w:t>.</w:t>
      </w:r>
    </w:p>
    <w:p w14:paraId="4758AED4" w14:textId="77777777" w:rsidR="00BA32AE" w:rsidRPr="00DE2A7F" w:rsidRDefault="00E41CA0" w:rsidP="00E41CA0">
      <w:pPr>
        <w:numPr>
          <w:ilvl w:val="0"/>
          <w:numId w:val="1"/>
        </w:numPr>
        <w:tabs>
          <w:tab w:val="clear" w:pos="1080"/>
          <w:tab w:val="num" w:pos="0"/>
        </w:tabs>
        <w:spacing w:before="120" w:after="120"/>
        <w:ind w:left="0" w:firstLine="0"/>
        <w:jc w:val="both"/>
        <w:rPr>
          <w:rFonts w:ascii="Verdana" w:hAnsi="Verdana"/>
          <w:b/>
          <w:sz w:val="20"/>
          <w:u w:val="single"/>
        </w:rPr>
      </w:pPr>
      <w:r w:rsidRPr="00DE2A7F">
        <w:rPr>
          <w:rFonts w:ascii="Verdana" w:hAnsi="Verdana"/>
          <w:sz w:val="20"/>
        </w:rPr>
        <w:t>De acuerdo con lo constatado por esta Corte a través de varias resoluciones de supervisión de cumplimiento</w:t>
      </w:r>
      <w:r w:rsidR="00424A41">
        <w:rPr>
          <w:rFonts w:ascii="Verdana" w:hAnsi="Verdana"/>
          <w:sz w:val="20"/>
        </w:rPr>
        <w:t xml:space="preserve"> </w:t>
      </w:r>
      <w:r w:rsidR="00424A41" w:rsidRPr="00DE2A7F">
        <w:rPr>
          <w:rFonts w:ascii="Verdana" w:hAnsi="Verdana"/>
          <w:sz w:val="20"/>
        </w:rPr>
        <w:t>(</w:t>
      </w:r>
      <w:r w:rsidR="00424A41" w:rsidRPr="00DE2A7F">
        <w:rPr>
          <w:rFonts w:ascii="Verdana" w:hAnsi="Verdana"/>
          <w:i/>
          <w:sz w:val="20"/>
        </w:rPr>
        <w:t>supra</w:t>
      </w:r>
      <w:r w:rsidR="00424A41">
        <w:rPr>
          <w:rFonts w:ascii="Verdana" w:hAnsi="Verdana"/>
          <w:sz w:val="20"/>
        </w:rPr>
        <w:t xml:space="preserve"> Considerandos </w:t>
      </w:r>
      <w:r w:rsidR="00DF1974">
        <w:rPr>
          <w:rFonts w:ascii="Verdana" w:hAnsi="Verdana"/>
          <w:sz w:val="20"/>
        </w:rPr>
        <w:t>12</w:t>
      </w:r>
      <w:r w:rsidR="00424A41">
        <w:rPr>
          <w:rFonts w:ascii="Verdana" w:hAnsi="Verdana"/>
          <w:sz w:val="20"/>
        </w:rPr>
        <w:t xml:space="preserve"> a 16</w:t>
      </w:r>
      <w:r w:rsidR="00424A41" w:rsidRPr="004848C5">
        <w:rPr>
          <w:rFonts w:ascii="Verdana" w:hAnsi="Verdana"/>
          <w:sz w:val="20"/>
        </w:rPr>
        <w:t>)</w:t>
      </w:r>
      <w:r w:rsidRPr="00DE2A7F">
        <w:rPr>
          <w:rFonts w:ascii="Verdana" w:hAnsi="Verdana"/>
          <w:sz w:val="20"/>
        </w:rPr>
        <w:t>, incluyendo la presente (</w:t>
      </w:r>
      <w:r w:rsidRPr="00DE2A7F">
        <w:rPr>
          <w:rFonts w:ascii="Verdana" w:hAnsi="Verdana"/>
          <w:i/>
          <w:sz w:val="20"/>
        </w:rPr>
        <w:t>supra</w:t>
      </w:r>
      <w:r w:rsidRPr="004848C5">
        <w:rPr>
          <w:rFonts w:ascii="Verdana" w:hAnsi="Verdana"/>
          <w:sz w:val="20"/>
        </w:rPr>
        <w:t xml:space="preserve"> Considerandos </w:t>
      </w:r>
      <w:r w:rsidR="003E7C26">
        <w:rPr>
          <w:rFonts w:ascii="Verdana" w:hAnsi="Verdana"/>
          <w:sz w:val="20"/>
        </w:rPr>
        <w:t>18 y 19</w:t>
      </w:r>
      <w:r w:rsidRPr="004848C5">
        <w:rPr>
          <w:rFonts w:ascii="Verdana" w:hAnsi="Verdana"/>
          <w:sz w:val="20"/>
        </w:rPr>
        <w:t xml:space="preserve">), </w:t>
      </w:r>
      <w:r w:rsidR="00DF6DEF" w:rsidRPr="00503CD6">
        <w:rPr>
          <w:rFonts w:ascii="Verdana" w:hAnsi="Verdana"/>
          <w:sz w:val="20"/>
        </w:rPr>
        <w:t xml:space="preserve">Panamá </w:t>
      </w:r>
      <w:r w:rsidR="00CA7FBA" w:rsidRPr="00503CD6">
        <w:rPr>
          <w:rFonts w:ascii="Verdana" w:hAnsi="Verdana"/>
          <w:sz w:val="20"/>
        </w:rPr>
        <w:t>pag</w:t>
      </w:r>
      <w:r w:rsidR="00DF6DEF" w:rsidRPr="00503CD6">
        <w:rPr>
          <w:rFonts w:ascii="Verdana" w:hAnsi="Verdana"/>
          <w:sz w:val="20"/>
        </w:rPr>
        <w:t>ó</w:t>
      </w:r>
      <w:r w:rsidR="00CA7FBA" w:rsidRPr="00503CD6">
        <w:rPr>
          <w:rFonts w:ascii="Verdana" w:hAnsi="Verdana"/>
          <w:sz w:val="20"/>
        </w:rPr>
        <w:t xml:space="preserve"> la totalidad de las sumas establecidas en los acuerdos a favor de 2</w:t>
      </w:r>
      <w:r w:rsidRPr="00503CD6">
        <w:rPr>
          <w:rFonts w:ascii="Verdana" w:hAnsi="Verdana"/>
          <w:sz w:val="20"/>
        </w:rPr>
        <w:t>69</w:t>
      </w:r>
      <w:r w:rsidR="00CA7FBA" w:rsidRPr="00503CD6">
        <w:rPr>
          <w:rFonts w:ascii="Verdana" w:hAnsi="Verdana"/>
          <w:sz w:val="20"/>
        </w:rPr>
        <w:t xml:space="preserve"> víctimas del presente caso o sus derechohabientes</w:t>
      </w:r>
      <w:r w:rsidR="00DA0896" w:rsidRPr="00503CD6">
        <w:rPr>
          <w:rFonts w:ascii="Verdana" w:hAnsi="Verdana"/>
          <w:sz w:val="20"/>
        </w:rPr>
        <w:t>,</w:t>
      </w:r>
      <w:r w:rsidRPr="00503CD6">
        <w:rPr>
          <w:rFonts w:ascii="Verdana" w:hAnsi="Verdana"/>
          <w:sz w:val="20"/>
        </w:rPr>
        <w:t xml:space="preserve"> y </w:t>
      </w:r>
      <w:r w:rsidR="00503CD6" w:rsidRPr="00503CD6">
        <w:rPr>
          <w:rFonts w:ascii="Verdana" w:hAnsi="Verdana"/>
          <w:sz w:val="20"/>
        </w:rPr>
        <w:t>realizó</w:t>
      </w:r>
      <w:r w:rsidRPr="00503CD6">
        <w:rPr>
          <w:rFonts w:ascii="Verdana" w:hAnsi="Verdana"/>
          <w:sz w:val="20"/>
        </w:rPr>
        <w:t xml:space="preserve"> el depósito bancario de </w:t>
      </w:r>
      <w:r w:rsidR="00DF6DEF" w:rsidRPr="00503CD6">
        <w:rPr>
          <w:rFonts w:ascii="Verdana" w:hAnsi="Verdana"/>
          <w:sz w:val="20"/>
        </w:rPr>
        <w:t>una</w:t>
      </w:r>
      <w:r w:rsidRPr="00503CD6">
        <w:rPr>
          <w:rFonts w:ascii="Verdana" w:hAnsi="Verdana"/>
          <w:sz w:val="20"/>
        </w:rPr>
        <w:t xml:space="preserve"> suma a favor de la víctima que </w:t>
      </w:r>
      <w:r w:rsidR="00DF6DEF" w:rsidRPr="00503CD6">
        <w:rPr>
          <w:rFonts w:ascii="Verdana" w:hAnsi="Verdana"/>
          <w:sz w:val="20"/>
        </w:rPr>
        <w:t xml:space="preserve">no </w:t>
      </w:r>
      <w:r w:rsidRPr="00503CD6">
        <w:rPr>
          <w:rFonts w:ascii="Verdana" w:hAnsi="Verdana"/>
          <w:sz w:val="20"/>
        </w:rPr>
        <w:t>suscribi</w:t>
      </w:r>
      <w:r w:rsidR="00DF6DEF" w:rsidRPr="00503CD6">
        <w:rPr>
          <w:rFonts w:ascii="Verdana" w:hAnsi="Verdana"/>
          <w:sz w:val="20"/>
        </w:rPr>
        <w:t>ó</w:t>
      </w:r>
      <w:r w:rsidRPr="00503CD6">
        <w:rPr>
          <w:rFonts w:ascii="Verdana" w:hAnsi="Verdana"/>
          <w:sz w:val="20"/>
        </w:rPr>
        <w:t xml:space="preserve"> el acuerdo.</w:t>
      </w:r>
      <w:r w:rsidR="00CA7FBA" w:rsidRPr="00D03968">
        <w:rPr>
          <w:rFonts w:ascii="Verdana" w:hAnsi="Verdana"/>
          <w:sz w:val="20"/>
        </w:rPr>
        <w:t xml:space="preserve"> Ello, sin perjuicio de que</w:t>
      </w:r>
      <w:r w:rsidR="00B56D24">
        <w:rPr>
          <w:rFonts w:ascii="Verdana" w:hAnsi="Verdana"/>
          <w:sz w:val="20"/>
        </w:rPr>
        <w:t>,</w:t>
      </w:r>
      <w:r w:rsidR="00CA7FBA" w:rsidRPr="00D03968">
        <w:rPr>
          <w:rFonts w:ascii="Verdana" w:hAnsi="Verdana"/>
          <w:sz w:val="20"/>
        </w:rPr>
        <w:t xml:space="preserve"> en el derecho interno, eventualmente continúen las reclamaciones que algunas víctimas del presente caso hubieren iniciado, lo cual no será supervisado por este Tribunal </w:t>
      </w:r>
      <w:proofErr w:type="gramStart"/>
      <w:r w:rsidR="00CA7FBA" w:rsidRPr="00D03968">
        <w:rPr>
          <w:rFonts w:ascii="Verdana" w:hAnsi="Verdana"/>
          <w:sz w:val="20"/>
        </w:rPr>
        <w:t>de acuerdo a</w:t>
      </w:r>
      <w:proofErr w:type="gramEnd"/>
      <w:r w:rsidR="00CA7FBA" w:rsidRPr="00D03968">
        <w:rPr>
          <w:rFonts w:ascii="Verdana" w:hAnsi="Verdana"/>
          <w:sz w:val="20"/>
        </w:rPr>
        <w:t xml:space="preserve"> lo dispuesto en la Resolución de </w:t>
      </w:r>
      <w:r w:rsidRPr="00D03968">
        <w:rPr>
          <w:rFonts w:ascii="Verdana" w:hAnsi="Verdana"/>
          <w:sz w:val="20"/>
        </w:rPr>
        <w:t xml:space="preserve">febrero de </w:t>
      </w:r>
      <w:r w:rsidR="00CA7FBA" w:rsidRPr="00D03968">
        <w:rPr>
          <w:rFonts w:ascii="Verdana" w:hAnsi="Verdana"/>
          <w:sz w:val="20"/>
        </w:rPr>
        <w:t>2013</w:t>
      </w:r>
      <w:r w:rsidR="00CA7FBA" w:rsidRPr="003E2228">
        <w:rPr>
          <w:rFonts w:ascii="Verdana" w:hAnsi="Verdana"/>
          <w:sz w:val="20"/>
        </w:rPr>
        <w:t xml:space="preserve"> (</w:t>
      </w:r>
      <w:r w:rsidR="00CA7FBA" w:rsidRPr="003E2228">
        <w:rPr>
          <w:rFonts w:ascii="Verdana" w:hAnsi="Verdana"/>
          <w:i/>
          <w:sz w:val="20"/>
        </w:rPr>
        <w:t>supra</w:t>
      </w:r>
      <w:r w:rsidRPr="003E2228">
        <w:rPr>
          <w:rFonts w:ascii="Verdana" w:hAnsi="Verdana"/>
          <w:sz w:val="20"/>
        </w:rPr>
        <w:t xml:space="preserve"> Considerando</w:t>
      </w:r>
      <w:r w:rsidR="003A1407">
        <w:rPr>
          <w:rFonts w:ascii="Verdana" w:hAnsi="Verdana"/>
          <w:sz w:val="20"/>
        </w:rPr>
        <w:t xml:space="preserve"> </w:t>
      </w:r>
      <w:r w:rsidR="00401945">
        <w:rPr>
          <w:rFonts w:ascii="Verdana" w:hAnsi="Verdana"/>
          <w:sz w:val="20"/>
        </w:rPr>
        <w:t>16</w:t>
      </w:r>
      <w:r w:rsidR="00CA7FBA" w:rsidRPr="00DE2A7F">
        <w:rPr>
          <w:rFonts w:ascii="Verdana" w:hAnsi="Verdana"/>
          <w:sz w:val="20"/>
        </w:rPr>
        <w:t>).</w:t>
      </w:r>
      <w:r w:rsidR="00DF6DEF">
        <w:rPr>
          <w:rFonts w:ascii="Verdana" w:hAnsi="Verdana"/>
          <w:sz w:val="20"/>
        </w:rPr>
        <w:t xml:space="preserve"> </w:t>
      </w:r>
    </w:p>
    <w:p w14:paraId="3037E39E" w14:textId="77777777" w:rsidR="0069429D" w:rsidRPr="00DE2A7F" w:rsidRDefault="0069429D" w:rsidP="0069429D">
      <w:pPr>
        <w:spacing w:before="120" w:after="120"/>
        <w:jc w:val="both"/>
        <w:rPr>
          <w:rFonts w:ascii="Verdana" w:hAnsi="Verdana"/>
          <w:b/>
          <w:sz w:val="20"/>
          <w:u w:val="single"/>
        </w:rPr>
      </w:pPr>
    </w:p>
    <w:p w14:paraId="6B23EDC0" w14:textId="77777777" w:rsidR="00CA7FBA" w:rsidRPr="004848C5" w:rsidRDefault="00CA7FBA" w:rsidP="00A334B0">
      <w:pPr>
        <w:pStyle w:val="Textoindependiente2"/>
        <w:spacing w:before="120" w:after="120"/>
        <w:ind w:left="1080"/>
        <w:outlineLvl w:val="1"/>
        <w:rPr>
          <w:i/>
        </w:rPr>
      </w:pPr>
      <w:bookmarkStart w:id="4" w:name="_Toc79418119"/>
      <w:r w:rsidRPr="004848C5">
        <w:rPr>
          <w:i/>
        </w:rPr>
        <w:lastRenderedPageBreak/>
        <w:t xml:space="preserve">B.2. Disconformidades de algunas víctimas y sentencia de la Sala Tercera </w:t>
      </w:r>
      <w:r w:rsidR="0002397E" w:rsidRPr="0002397E">
        <w:rPr>
          <w:i/>
        </w:rPr>
        <w:t>de lo Contencioso Administrativo y</w:t>
      </w:r>
      <w:r w:rsidR="0002397E" w:rsidRPr="00211D4A">
        <w:t xml:space="preserve"> Laboral </w:t>
      </w:r>
      <w:r w:rsidRPr="004848C5">
        <w:rPr>
          <w:i/>
        </w:rPr>
        <w:t>de la Corte Suprema de Justicia</w:t>
      </w:r>
      <w:bookmarkEnd w:id="4"/>
    </w:p>
    <w:p w14:paraId="5C64D848" w14:textId="77777777" w:rsidR="003E0D2D" w:rsidRPr="00B56D24" w:rsidRDefault="0051677D" w:rsidP="003E0D2D">
      <w:pPr>
        <w:numPr>
          <w:ilvl w:val="0"/>
          <w:numId w:val="1"/>
        </w:numPr>
        <w:tabs>
          <w:tab w:val="clear" w:pos="1080"/>
          <w:tab w:val="num" w:pos="0"/>
        </w:tabs>
        <w:spacing w:before="120" w:after="120"/>
        <w:ind w:left="0" w:firstLine="0"/>
        <w:jc w:val="both"/>
        <w:rPr>
          <w:rFonts w:ascii="Verdana" w:hAnsi="Verdana"/>
          <w:sz w:val="20"/>
        </w:rPr>
      </w:pPr>
      <w:r w:rsidRPr="004848C5">
        <w:rPr>
          <w:rFonts w:ascii="Verdana" w:hAnsi="Verdana"/>
          <w:sz w:val="20"/>
        </w:rPr>
        <w:t xml:space="preserve">Adicionalmente, </w:t>
      </w:r>
      <w:r w:rsidRPr="00211D4A">
        <w:rPr>
          <w:rFonts w:ascii="Verdana" w:hAnsi="Verdana"/>
          <w:sz w:val="20"/>
        </w:rPr>
        <w:t xml:space="preserve">en la referida Resolución de febrero de 2013 la Corte </w:t>
      </w:r>
      <w:r w:rsidR="0080089A" w:rsidRPr="00211D4A">
        <w:rPr>
          <w:rFonts w:ascii="Verdana" w:hAnsi="Verdana"/>
          <w:sz w:val="20"/>
        </w:rPr>
        <w:t>solicitó al Estado que remitiera explicaciones sobre los alcances</w:t>
      </w:r>
      <w:r w:rsidR="003E0D2D" w:rsidRPr="00211D4A">
        <w:rPr>
          <w:rFonts w:ascii="Verdana" w:hAnsi="Verdana"/>
          <w:sz w:val="20"/>
        </w:rPr>
        <w:t xml:space="preserve"> </w:t>
      </w:r>
      <w:r w:rsidR="0080089A" w:rsidRPr="00211D4A">
        <w:rPr>
          <w:rFonts w:ascii="Verdana" w:hAnsi="Verdana"/>
          <w:sz w:val="20"/>
        </w:rPr>
        <w:t>de una decisión emitida por la Sala Tercera de lo Contencioso Administrativo y Laboral de la Corte Suprema de Justicia</w:t>
      </w:r>
      <w:r w:rsidR="00317531">
        <w:rPr>
          <w:rFonts w:ascii="Verdana" w:hAnsi="Verdana"/>
          <w:sz w:val="20"/>
        </w:rPr>
        <w:t xml:space="preserve"> (</w:t>
      </w:r>
      <w:r w:rsidR="00317531">
        <w:rPr>
          <w:rFonts w:ascii="Verdana" w:hAnsi="Verdana"/>
          <w:i/>
          <w:sz w:val="20"/>
        </w:rPr>
        <w:t xml:space="preserve">supra </w:t>
      </w:r>
      <w:r w:rsidR="00317531">
        <w:rPr>
          <w:rFonts w:ascii="Verdana" w:hAnsi="Verdana"/>
          <w:sz w:val="20"/>
        </w:rPr>
        <w:t>Considerando 16)</w:t>
      </w:r>
      <w:r w:rsidR="0080089A" w:rsidRPr="00211D4A">
        <w:rPr>
          <w:rFonts w:ascii="Verdana" w:hAnsi="Verdana"/>
          <w:sz w:val="20"/>
        </w:rPr>
        <w:t xml:space="preserve">, en la cual </w:t>
      </w:r>
      <w:r w:rsidR="003E0D2D" w:rsidRPr="00211D4A">
        <w:rPr>
          <w:rFonts w:ascii="Verdana" w:hAnsi="Verdana"/>
          <w:sz w:val="20"/>
        </w:rPr>
        <w:t xml:space="preserve">no </w:t>
      </w:r>
      <w:r w:rsidR="00A34DCD">
        <w:rPr>
          <w:rFonts w:ascii="Verdana" w:hAnsi="Verdana"/>
          <w:sz w:val="20"/>
        </w:rPr>
        <w:t xml:space="preserve">se </w:t>
      </w:r>
      <w:r w:rsidR="003E0D2D" w:rsidRPr="00211D4A">
        <w:rPr>
          <w:rFonts w:ascii="Verdana" w:hAnsi="Verdana"/>
          <w:sz w:val="20"/>
        </w:rPr>
        <w:t xml:space="preserve">admitió una demanda interpuesta por </w:t>
      </w:r>
      <w:r w:rsidR="00DE4F69" w:rsidRPr="00211D4A">
        <w:rPr>
          <w:rFonts w:ascii="Verdana" w:hAnsi="Verdana"/>
          <w:sz w:val="20"/>
        </w:rPr>
        <w:t>doce</w:t>
      </w:r>
      <w:r w:rsidR="003E0D2D" w:rsidRPr="00211D4A">
        <w:rPr>
          <w:rFonts w:ascii="Verdana" w:hAnsi="Verdana"/>
          <w:sz w:val="20"/>
        </w:rPr>
        <w:t xml:space="preserve"> de las víctimas del presente caso en relación con el cumplimiento de </w:t>
      </w:r>
      <w:r w:rsidR="00A34DCD">
        <w:rPr>
          <w:rFonts w:ascii="Verdana" w:hAnsi="Verdana"/>
          <w:sz w:val="20"/>
        </w:rPr>
        <w:t>est</w:t>
      </w:r>
      <w:r w:rsidR="003E0D2D" w:rsidRPr="00211D4A">
        <w:rPr>
          <w:rFonts w:ascii="Verdana" w:hAnsi="Verdana"/>
          <w:sz w:val="20"/>
        </w:rPr>
        <w:t xml:space="preserve">a Sentencia, y </w:t>
      </w:r>
      <w:r w:rsidR="00DE4F69" w:rsidRPr="00211D4A">
        <w:rPr>
          <w:rFonts w:ascii="Verdana" w:hAnsi="Verdana"/>
          <w:sz w:val="20"/>
        </w:rPr>
        <w:t xml:space="preserve">sobre </w:t>
      </w:r>
      <w:r w:rsidR="003E0D2D" w:rsidRPr="00211D4A">
        <w:rPr>
          <w:rFonts w:ascii="Verdana" w:hAnsi="Verdana"/>
          <w:sz w:val="20"/>
        </w:rPr>
        <w:t xml:space="preserve">las posibles implicaciones de </w:t>
      </w:r>
      <w:r w:rsidR="00A34DCD">
        <w:rPr>
          <w:rFonts w:ascii="Verdana" w:hAnsi="Verdana"/>
          <w:sz w:val="20"/>
        </w:rPr>
        <w:t>dicha</w:t>
      </w:r>
      <w:r w:rsidR="003E0D2D" w:rsidRPr="00211D4A">
        <w:rPr>
          <w:rFonts w:ascii="Verdana" w:hAnsi="Verdana"/>
          <w:sz w:val="20"/>
        </w:rPr>
        <w:t xml:space="preserve"> decisión en cuanto a la posibilidad de las víctimas de presentar reclamaciones en el derecho interno en relación con el presente caso</w:t>
      </w:r>
      <w:r w:rsidR="003E0D2D" w:rsidRPr="00511368">
        <w:rPr>
          <w:rStyle w:val="Refdenotaalpie"/>
          <w:rFonts w:ascii="Verdana" w:hAnsi="Verdana"/>
          <w:sz w:val="20"/>
        </w:rPr>
        <w:footnoteReference w:id="24"/>
      </w:r>
      <w:r w:rsidR="003E0D2D" w:rsidRPr="00511368">
        <w:rPr>
          <w:rFonts w:ascii="Verdana" w:hAnsi="Verdana"/>
          <w:sz w:val="20"/>
        </w:rPr>
        <w:t>.</w:t>
      </w:r>
      <w:r w:rsidR="003E0D2D" w:rsidRPr="00B56D24">
        <w:rPr>
          <w:rFonts w:ascii="Verdana" w:hAnsi="Verdana"/>
          <w:sz w:val="20"/>
        </w:rPr>
        <w:t xml:space="preserve"> </w:t>
      </w:r>
    </w:p>
    <w:p w14:paraId="23CA33F9" w14:textId="77777777" w:rsidR="00BA32AE" w:rsidRPr="003E2228" w:rsidRDefault="00DE4F69" w:rsidP="00DE4F69">
      <w:pPr>
        <w:numPr>
          <w:ilvl w:val="0"/>
          <w:numId w:val="1"/>
        </w:numPr>
        <w:tabs>
          <w:tab w:val="clear" w:pos="1080"/>
          <w:tab w:val="num" w:pos="0"/>
        </w:tabs>
        <w:spacing w:before="120" w:after="120"/>
        <w:ind w:left="0" w:firstLine="0"/>
        <w:jc w:val="both"/>
        <w:rPr>
          <w:rFonts w:ascii="Verdana" w:hAnsi="Verdana"/>
          <w:sz w:val="20"/>
        </w:rPr>
      </w:pPr>
      <w:r w:rsidRPr="00B341C4">
        <w:rPr>
          <w:rFonts w:ascii="Verdana" w:hAnsi="Verdana"/>
          <w:sz w:val="20"/>
        </w:rPr>
        <w:t xml:space="preserve">El </w:t>
      </w:r>
      <w:r w:rsidRPr="00B341C4">
        <w:rPr>
          <w:rFonts w:ascii="Verdana" w:hAnsi="Verdana"/>
          <w:i/>
          <w:sz w:val="20"/>
        </w:rPr>
        <w:t>Estado</w:t>
      </w:r>
      <w:r w:rsidRPr="00BE503A">
        <w:rPr>
          <w:rFonts w:ascii="Verdana" w:hAnsi="Verdana"/>
          <w:sz w:val="20"/>
        </w:rPr>
        <w:t xml:space="preserve"> explicó que la acción que fue interpuesta por las referidas víctimas</w:t>
      </w:r>
      <w:r w:rsidR="00273394">
        <w:rPr>
          <w:rFonts w:ascii="Verdana" w:hAnsi="Verdana"/>
          <w:sz w:val="20"/>
        </w:rPr>
        <w:t>,</w:t>
      </w:r>
      <w:r w:rsidRPr="00BE503A">
        <w:rPr>
          <w:rFonts w:ascii="Verdana" w:hAnsi="Verdana"/>
          <w:sz w:val="20"/>
        </w:rPr>
        <w:t xml:space="preserve"> fue inadmitida por la Corte Suprema de Justicia porque</w:t>
      </w:r>
      <w:r w:rsidR="00E5399C" w:rsidRPr="004C268F">
        <w:rPr>
          <w:rFonts w:ascii="Verdana" w:hAnsi="Verdana"/>
          <w:sz w:val="20"/>
        </w:rPr>
        <w:t>,</w:t>
      </w:r>
      <w:r w:rsidRPr="004C268F">
        <w:rPr>
          <w:rFonts w:ascii="Verdana" w:hAnsi="Verdana"/>
          <w:sz w:val="20"/>
        </w:rPr>
        <w:t xml:space="preserve"> según </w:t>
      </w:r>
      <w:r w:rsidR="00E0715F">
        <w:rPr>
          <w:rFonts w:ascii="Verdana" w:hAnsi="Verdana"/>
          <w:sz w:val="20"/>
        </w:rPr>
        <w:t xml:space="preserve">la </w:t>
      </w:r>
      <w:r w:rsidRPr="004C268F">
        <w:rPr>
          <w:rFonts w:ascii="Verdana" w:hAnsi="Verdana"/>
          <w:sz w:val="20"/>
        </w:rPr>
        <w:t>normativa prevista en el Código Judicial panameño, la ejecución de una sentencia contra el Estado l</w:t>
      </w:r>
      <w:r w:rsidR="00E5399C" w:rsidRPr="00460756">
        <w:rPr>
          <w:rFonts w:ascii="Verdana" w:hAnsi="Verdana"/>
          <w:sz w:val="20"/>
        </w:rPr>
        <w:t>e correspondería al tribunal o c</w:t>
      </w:r>
      <w:r w:rsidRPr="00460756">
        <w:rPr>
          <w:rFonts w:ascii="Verdana" w:hAnsi="Verdana"/>
          <w:sz w:val="20"/>
        </w:rPr>
        <w:t>orte que dictó la sentencia en primer lugar, es d</w:t>
      </w:r>
      <w:r w:rsidR="00A34DCD">
        <w:rPr>
          <w:rFonts w:ascii="Verdana" w:hAnsi="Verdana"/>
          <w:sz w:val="20"/>
        </w:rPr>
        <w:t>ecir, a la Corte Interamericana</w:t>
      </w:r>
      <w:r w:rsidRPr="00460756">
        <w:rPr>
          <w:rFonts w:ascii="Verdana" w:hAnsi="Verdana"/>
          <w:sz w:val="20"/>
        </w:rPr>
        <w:t xml:space="preserve"> y, por </w:t>
      </w:r>
      <w:r w:rsidRPr="0048382C">
        <w:rPr>
          <w:rFonts w:ascii="Verdana" w:hAnsi="Verdana"/>
          <w:sz w:val="20"/>
        </w:rPr>
        <w:t>lo tanto</w:t>
      </w:r>
      <w:r w:rsidR="00E5399C" w:rsidRPr="0048382C">
        <w:rPr>
          <w:rFonts w:ascii="Verdana" w:hAnsi="Verdana"/>
          <w:sz w:val="20"/>
        </w:rPr>
        <w:t>,</w:t>
      </w:r>
      <w:r w:rsidRPr="0048382C">
        <w:rPr>
          <w:rFonts w:ascii="Verdana" w:hAnsi="Verdana"/>
          <w:sz w:val="20"/>
        </w:rPr>
        <w:t xml:space="preserve"> este tribunal interamericano debería remitir una comunicación al Presidente de la Corte Suprema a fin de que dis</w:t>
      </w:r>
      <w:r w:rsidR="00E5399C" w:rsidRPr="0048382C">
        <w:rPr>
          <w:rFonts w:ascii="Verdana" w:hAnsi="Verdana"/>
          <w:sz w:val="20"/>
        </w:rPr>
        <w:t xml:space="preserve">pusiera </w:t>
      </w:r>
      <w:r w:rsidRPr="0048382C">
        <w:rPr>
          <w:rFonts w:ascii="Verdana" w:hAnsi="Verdana"/>
          <w:sz w:val="20"/>
        </w:rPr>
        <w:t xml:space="preserve">lo necesario para la ejecución de la Sentencia. Además, señaló que </w:t>
      </w:r>
      <w:r w:rsidR="00E5399C" w:rsidRPr="0048382C">
        <w:rPr>
          <w:rFonts w:ascii="Verdana" w:hAnsi="Verdana"/>
          <w:sz w:val="20"/>
        </w:rPr>
        <w:t>esta</w:t>
      </w:r>
      <w:r w:rsidRPr="0048382C">
        <w:rPr>
          <w:rFonts w:ascii="Verdana" w:hAnsi="Verdana"/>
          <w:sz w:val="20"/>
        </w:rPr>
        <w:t xml:space="preserve"> acción </w:t>
      </w:r>
      <w:r w:rsidR="00E5399C" w:rsidRPr="0048382C">
        <w:rPr>
          <w:rFonts w:ascii="Verdana" w:hAnsi="Verdana"/>
          <w:sz w:val="20"/>
        </w:rPr>
        <w:t>de las víctimas</w:t>
      </w:r>
      <w:r w:rsidRPr="0048382C">
        <w:rPr>
          <w:rFonts w:ascii="Verdana" w:hAnsi="Verdana"/>
          <w:sz w:val="20"/>
        </w:rPr>
        <w:t xml:space="preserve"> pretendía desvirtuar</w:t>
      </w:r>
      <w:r w:rsidR="00E5399C" w:rsidRPr="00E61C04">
        <w:rPr>
          <w:rFonts w:ascii="Verdana" w:hAnsi="Verdana"/>
          <w:sz w:val="20"/>
        </w:rPr>
        <w:t xml:space="preserve"> términos de</w:t>
      </w:r>
      <w:r w:rsidRPr="00E61C04">
        <w:rPr>
          <w:rFonts w:ascii="Verdana" w:hAnsi="Verdana"/>
          <w:sz w:val="20"/>
        </w:rPr>
        <w:t xml:space="preserve"> los acuerdos</w:t>
      </w:r>
      <w:r w:rsidR="00E5399C" w:rsidRPr="005C27C3">
        <w:rPr>
          <w:rFonts w:ascii="Verdana" w:hAnsi="Verdana"/>
          <w:sz w:val="20"/>
        </w:rPr>
        <w:t xml:space="preserve"> que fueron suscritos por las víctimas y</w:t>
      </w:r>
      <w:r w:rsidRPr="005C27C3">
        <w:rPr>
          <w:rFonts w:ascii="Verdana" w:hAnsi="Verdana"/>
          <w:sz w:val="20"/>
        </w:rPr>
        <w:t xml:space="preserve"> homologados por la Corte Interamericana. También sostuvo que</w:t>
      </w:r>
      <w:r w:rsidR="00273394">
        <w:rPr>
          <w:rFonts w:ascii="Verdana" w:hAnsi="Verdana"/>
          <w:sz w:val="20"/>
        </w:rPr>
        <w:t>,</w:t>
      </w:r>
      <w:r w:rsidRPr="005C27C3">
        <w:rPr>
          <w:rFonts w:ascii="Verdana" w:hAnsi="Verdana"/>
          <w:sz w:val="20"/>
        </w:rPr>
        <w:t xml:space="preserve"> “exigiendo la petición mediante la vía idónea, […] no existe obstáculo alguno que impida [a las víctimas] la asistencia judicial para el efectivo cumplimiento de las reclamaciones presentadas”</w:t>
      </w:r>
      <w:r w:rsidR="00E5399C" w:rsidRPr="005C27C3">
        <w:rPr>
          <w:rFonts w:ascii="Verdana" w:hAnsi="Verdana"/>
          <w:sz w:val="20"/>
        </w:rPr>
        <w:t xml:space="preserve"> a nivel interno</w:t>
      </w:r>
      <w:r w:rsidRPr="005C27C3">
        <w:rPr>
          <w:rFonts w:ascii="Verdana" w:hAnsi="Verdana"/>
          <w:sz w:val="20"/>
        </w:rPr>
        <w:t>.</w:t>
      </w:r>
      <w:r w:rsidR="00E5399C" w:rsidRPr="005C27C3">
        <w:rPr>
          <w:rFonts w:ascii="Verdana" w:hAnsi="Verdana"/>
          <w:b/>
          <w:sz w:val="16"/>
          <w:szCs w:val="16"/>
        </w:rPr>
        <w:t xml:space="preserve"> </w:t>
      </w:r>
      <w:r w:rsidR="00E5399C" w:rsidRPr="005C27C3">
        <w:rPr>
          <w:rFonts w:ascii="Verdana" w:hAnsi="Verdana"/>
          <w:sz w:val="20"/>
        </w:rPr>
        <w:t xml:space="preserve">La organización </w:t>
      </w:r>
      <w:r w:rsidR="00E5399C" w:rsidRPr="005C27C3">
        <w:rPr>
          <w:rFonts w:ascii="Verdana" w:hAnsi="Verdana"/>
          <w:i/>
          <w:sz w:val="20"/>
        </w:rPr>
        <w:t>CEJIL</w:t>
      </w:r>
      <w:r w:rsidR="00E5399C" w:rsidRPr="005C27C3">
        <w:rPr>
          <w:rFonts w:ascii="Verdana" w:hAnsi="Verdana"/>
          <w:sz w:val="20"/>
        </w:rPr>
        <w:t>, quien representaba</w:t>
      </w:r>
      <w:r w:rsidR="006D44CD">
        <w:rPr>
          <w:rFonts w:ascii="Verdana" w:hAnsi="Verdana"/>
          <w:sz w:val="20"/>
        </w:rPr>
        <w:t xml:space="preserve"> a</w:t>
      </w:r>
      <w:r w:rsidR="00E5399C" w:rsidRPr="005C27C3">
        <w:rPr>
          <w:rFonts w:ascii="Verdana" w:hAnsi="Verdana"/>
          <w:sz w:val="20"/>
        </w:rPr>
        <w:t xml:space="preserve"> la mayoría de las víctimas en ese momento, </w:t>
      </w:r>
      <w:r w:rsidR="00E5399C" w:rsidRPr="00585913">
        <w:rPr>
          <w:rFonts w:ascii="Verdana" w:hAnsi="Verdana"/>
          <w:i/>
          <w:sz w:val="20"/>
        </w:rPr>
        <w:t>la Organización de Trabajadores Víctimas de la Ley 25</w:t>
      </w:r>
      <w:r w:rsidR="00E5399C" w:rsidRPr="00585913">
        <w:rPr>
          <w:rFonts w:ascii="Verdana" w:hAnsi="Verdana"/>
          <w:sz w:val="20"/>
        </w:rPr>
        <w:t xml:space="preserve"> y </w:t>
      </w:r>
      <w:r w:rsidR="00E5399C" w:rsidRPr="00A77A44">
        <w:rPr>
          <w:rFonts w:ascii="Verdana" w:hAnsi="Verdana"/>
          <w:i/>
          <w:sz w:val="20"/>
        </w:rPr>
        <w:t>la Comisión Interamericana</w:t>
      </w:r>
      <w:r w:rsidR="00E5399C" w:rsidRPr="00A77A44">
        <w:rPr>
          <w:rFonts w:ascii="Verdana" w:hAnsi="Verdana"/>
          <w:sz w:val="20"/>
        </w:rPr>
        <w:t xml:space="preserve"> presentaron observaciones expresando su preocupación debido a que las víctimas no contarían con una vía adecuada a nivel interno para presentar sus reclamaciones</w:t>
      </w:r>
      <w:r w:rsidR="00E5399C" w:rsidRPr="003E2228">
        <w:rPr>
          <w:rStyle w:val="Refdenotaalpie"/>
          <w:rFonts w:ascii="Verdana" w:hAnsi="Verdana"/>
          <w:sz w:val="20"/>
        </w:rPr>
        <w:footnoteReference w:id="25"/>
      </w:r>
      <w:r w:rsidR="00E5399C" w:rsidRPr="003E2228">
        <w:rPr>
          <w:rFonts w:ascii="Verdana" w:hAnsi="Verdana"/>
          <w:sz w:val="20"/>
        </w:rPr>
        <w:t>.</w:t>
      </w:r>
      <w:r w:rsidR="00E5399C" w:rsidRPr="003E2228">
        <w:rPr>
          <w:rFonts w:ascii="Verdana" w:hAnsi="Verdana"/>
          <w:color w:val="0070C0"/>
          <w:sz w:val="20"/>
        </w:rPr>
        <w:t xml:space="preserve"> </w:t>
      </w:r>
    </w:p>
    <w:p w14:paraId="1F38ADED" w14:textId="77777777" w:rsidR="00E5399C" w:rsidRPr="003E2228" w:rsidRDefault="00E5399C" w:rsidP="00BA32AE">
      <w:pPr>
        <w:numPr>
          <w:ilvl w:val="0"/>
          <w:numId w:val="1"/>
        </w:numPr>
        <w:tabs>
          <w:tab w:val="clear" w:pos="1080"/>
          <w:tab w:val="num" w:pos="0"/>
        </w:tabs>
        <w:spacing w:before="120" w:after="120"/>
        <w:ind w:left="0" w:firstLine="0"/>
        <w:jc w:val="both"/>
        <w:rPr>
          <w:rFonts w:ascii="Verdana" w:hAnsi="Verdana"/>
          <w:sz w:val="20"/>
        </w:rPr>
      </w:pPr>
      <w:r w:rsidRPr="003E2228">
        <w:rPr>
          <w:rFonts w:ascii="Verdana" w:hAnsi="Verdana"/>
          <w:sz w:val="20"/>
        </w:rPr>
        <w:t xml:space="preserve">Al respecto, </w:t>
      </w:r>
      <w:r w:rsidRPr="00211D4A">
        <w:rPr>
          <w:rFonts w:ascii="Verdana" w:hAnsi="Verdana"/>
          <w:sz w:val="20"/>
        </w:rPr>
        <w:t xml:space="preserve">se recuerda que, según ha sido indicado </w:t>
      </w:r>
      <w:r w:rsidR="00A34DCD">
        <w:rPr>
          <w:rFonts w:ascii="Verdana" w:hAnsi="Verdana"/>
          <w:sz w:val="20"/>
        </w:rPr>
        <w:t xml:space="preserve">reiteradamente </w:t>
      </w:r>
      <w:r w:rsidRPr="00211D4A">
        <w:rPr>
          <w:rFonts w:ascii="Verdana" w:hAnsi="Verdana"/>
          <w:sz w:val="20"/>
        </w:rPr>
        <w:t>en la etapa de supervisión de cumplimiento de este caso</w:t>
      </w:r>
      <w:r w:rsidR="00CC33C6">
        <w:rPr>
          <w:rStyle w:val="Refdenotaalpie"/>
          <w:rFonts w:ascii="Verdana" w:hAnsi="Verdana"/>
          <w:sz w:val="20"/>
        </w:rPr>
        <w:footnoteReference w:id="26"/>
      </w:r>
      <w:r w:rsidRPr="00211D4A">
        <w:rPr>
          <w:rFonts w:ascii="Verdana" w:hAnsi="Verdana"/>
          <w:sz w:val="20"/>
        </w:rPr>
        <w:t>, los reclamo</w:t>
      </w:r>
      <w:r w:rsidR="002001D9">
        <w:rPr>
          <w:rFonts w:ascii="Verdana" w:hAnsi="Verdana"/>
          <w:sz w:val="20"/>
        </w:rPr>
        <w:t>s</w:t>
      </w:r>
      <w:r w:rsidRPr="00211D4A">
        <w:rPr>
          <w:rFonts w:ascii="Verdana" w:hAnsi="Verdana"/>
          <w:sz w:val="20"/>
        </w:rPr>
        <w:t xml:space="preserve"> o discrepancias de las víctimas </w:t>
      </w:r>
      <w:r w:rsidR="00CC33C6">
        <w:rPr>
          <w:rFonts w:ascii="Verdana" w:hAnsi="Verdana"/>
          <w:sz w:val="20"/>
        </w:rPr>
        <w:lastRenderedPageBreak/>
        <w:t xml:space="preserve">respecto a los derechos comprendidos en los acuerdos y los montos de las indemnizaciones </w:t>
      </w:r>
      <w:r w:rsidRPr="00211D4A">
        <w:rPr>
          <w:rFonts w:ascii="Verdana" w:hAnsi="Verdana"/>
          <w:sz w:val="20"/>
        </w:rPr>
        <w:t>debían ser resueltas en el ámbito interno, lo cual comprende la posibilidad de recurrir a las autoridades competentes, entre ellas los tribunales nacionales.</w:t>
      </w:r>
      <w:r w:rsidRPr="003E2228">
        <w:rPr>
          <w:rFonts w:ascii="Verdana" w:hAnsi="Verdana"/>
          <w:sz w:val="20"/>
        </w:rPr>
        <w:t xml:space="preserve"> En ese sentido, </w:t>
      </w:r>
      <w:r w:rsidRPr="00211D4A">
        <w:rPr>
          <w:rFonts w:ascii="Verdana" w:hAnsi="Verdana"/>
          <w:sz w:val="20"/>
        </w:rPr>
        <w:t xml:space="preserve">si alguna de las víctimas </w:t>
      </w:r>
      <w:r w:rsidR="007E157E" w:rsidRPr="00211D4A">
        <w:rPr>
          <w:rFonts w:ascii="Verdana" w:hAnsi="Verdana"/>
          <w:sz w:val="20"/>
        </w:rPr>
        <w:t xml:space="preserve">del caso </w:t>
      </w:r>
      <w:r w:rsidRPr="00211D4A">
        <w:rPr>
          <w:rFonts w:ascii="Verdana" w:hAnsi="Verdana"/>
          <w:sz w:val="20"/>
        </w:rPr>
        <w:t xml:space="preserve">considera que hay derechos laborales irrenunciables que </w:t>
      </w:r>
      <w:r w:rsidR="007E157E" w:rsidRPr="00211D4A">
        <w:rPr>
          <w:rFonts w:ascii="Verdana" w:hAnsi="Verdana"/>
          <w:sz w:val="20"/>
        </w:rPr>
        <w:t>no fueron contemplados en los acuerdos, les corresponde plantear las acciones o demandas correspondientes y que éstas sean valoradas y resueltas por los tribunales nacionales de acuerdo con la normativa panameña</w:t>
      </w:r>
      <w:r w:rsidR="007E157E" w:rsidRPr="003E2228">
        <w:rPr>
          <w:rFonts w:ascii="Verdana" w:hAnsi="Verdana"/>
          <w:sz w:val="20"/>
        </w:rPr>
        <w:t>.</w:t>
      </w:r>
    </w:p>
    <w:p w14:paraId="5C752819" w14:textId="77777777" w:rsidR="00A334B0" w:rsidRPr="0046783C" w:rsidRDefault="007E157E" w:rsidP="00A334B0">
      <w:pPr>
        <w:numPr>
          <w:ilvl w:val="0"/>
          <w:numId w:val="1"/>
        </w:numPr>
        <w:tabs>
          <w:tab w:val="clear" w:pos="1080"/>
          <w:tab w:val="num" w:pos="0"/>
        </w:tabs>
        <w:spacing w:before="120" w:after="120"/>
        <w:ind w:left="0" w:firstLine="0"/>
        <w:jc w:val="both"/>
        <w:rPr>
          <w:rFonts w:ascii="Verdana" w:hAnsi="Verdana"/>
          <w:sz w:val="20"/>
        </w:rPr>
      </w:pPr>
      <w:r w:rsidRPr="003E2228">
        <w:rPr>
          <w:rFonts w:ascii="Verdana" w:hAnsi="Verdana"/>
          <w:sz w:val="20"/>
        </w:rPr>
        <w:t xml:space="preserve">Por otra parte, </w:t>
      </w:r>
      <w:r w:rsidRPr="00211D4A">
        <w:rPr>
          <w:rFonts w:ascii="Verdana" w:hAnsi="Verdana"/>
          <w:sz w:val="20"/>
        </w:rPr>
        <w:t xml:space="preserve">con posterioridad a la </w:t>
      </w:r>
      <w:r w:rsidR="00211D4A">
        <w:rPr>
          <w:rFonts w:ascii="Verdana" w:hAnsi="Verdana"/>
          <w:sz w:val="20"/>
        </w:rPr>
        <w:t>R</w:t>
      </w:r>
      <w:r w:rsidRPr="00211D4A">
        <w:rPr>
          <w:rFonts w:ascii="Verdana" w:hAnsi="Verdana"/>
          <w:sz w:val="20"/>
        </w:rPr>
        <w:t xml:space="preserve">esolución de febrero de 2013 </w:t>
      </w:r>
      <w:r w:rsidRPr="00211D4A">
        <w:rPr>
          <w:rFonts w:ascii="Verdana" w:hAnsi="Verdana"/>
          <w:i/>
          <w:sz w:val="20"/>
        </w:rPr>
        <w:t>algunas de las víctimas y/o sus representantes</w:t>
      </w:r>
      <w:r w:rsidRPr="00211D4A">
        <w:rPr>
          <w:rFonts w:ascii="Verdana" w:hAnsi="Verdana"/>
          <w:sz w:val="20"/>
        </w:rPr>
        <w:t>, principalmente un grupo de víctimas de la “Organización de Trabajadores Víctima de la Ley 25” y el señor Domingo De Gracia, han continuado presentando escritos en los cuales, de manera reiterada, han expresado su disconformidad con las determinaciones de los montos indemnizatorios realizados por el Estado y con la homologación de los acuerdos por parte de la Corte.</w:t>
      </w:r>
      <w:r w:rsidRPr="003E2228">
        <w:rPr>
          <w:rFonts w:ascii="Verdana" w:hAnsi="Verdana"/>
          <w:sz w:val="20"/>
        </w:rPr>
        <w:t xml:space="preserve"> </w:t>
      </w:r>
      <w:r w:rsidR="00A334B0" w:rsidRPr="003E2228">
        <w:rPr>
          <w:rFonts w:ascii="Verdana" w:hAnsi="Verdana"/>
          <w:sz w:val="20"/>
        </w:rPr>
        <w:t xml:space="preserve">En cuanto a estos argumentos, </w:t>
      </w:r>
      <w:r w:rsidR="00A334B0" w:rsidRPr="00DE2A7F">
        <w:rPr>
          <w:rFonts w:ascii="Verdana" w:hAnsi="Verdana"/>
          <w:i/>
          <w:sz w:val="20"/>
        </w:rPr>
        <w:t>Panamá</w:t>
      </w:r>
      <w:r w:rsidR="00A334B0" w:rsidRPr="00DE2A7F">
        <w:rPr>
          <w:rFonts w:ascii="Verdana" w:hAnsi="Verdana"/>
          <w:sz w:val="20"/>
        </w:rPr>
        <w:t xml:space="preserve"> sostuvo que los </w:t>
      </w:r>
      <w:r w:rsidR="00A334B0" w:rsidRPr="004848C5">
        <w:rPr>
          <w:rFonts w:ascii="Verdana" w:hAnsi="Verdana"/>
          <w:sz w:val="20"/>
        </w:rPr>
        <w:t>acuerdos entre el Estado y las víctimas, “establece[n] los términos y condiciones de la compensación a las mismas”, “fueron realizados a plena voluntad de las partes” y se les “reconoció la validez” por medio de la “homologa[</w:t>
      </w:r>
      <w:proofErr w:type="spellStart"/>
      <w:r w:rsidR="00A334B0" w:rsidRPr="004848C5">
        <w:rPr>
          <w:rFonts w:ascii="Verdana" w:hAnsi="Verdana"/>
          <w:sz w:val="20"/>
        </w:rPr>
        <w:t>ción</w:t>
      </w:r>
      <w:proofErr w:type="spellEnd"/>
      <w:r w:rsidR="00A334B0" w:rsidRPr="004848C5">
        <w:rPr>
          <w:rFonts w:ascii="Verdana" w:hAnsi="Verdana"/>
          <w:sz w:val="20"/>
        </w:rPr>
        <w:t xml:space="preserve">] por la Corte Interamericana”, por lo que, </w:t>
      </w:r>
      <w:r w:rsidR="00A334B0" w:rsidRPr="009B5D72">
        <w:rPr>
          <w:rFonts w:ascii="Verdana" w:hAnsi="Verdana"/>
          <w:sz w:val="20"/>
        </w:rPr>
        <w:t>“[c]</w:t>
      </w:r>
      <w:proofErr w:type="spellStart"/>
      <w:r w:rsidR="00A334B0" w:rsidRPr="009B5D72">
        <w:rPr>
          <w:rFonts w:ascii="Verdana" w:hAnsi="Verdana"/>
          <w:sz w:val="20"/>
        </w:rPr>
        <w:t>ualquier</w:t>
      </w:r>
      <w:proofErr w:type="spellEnd"/>
      <w:r w:rsidR="00A334B0" w:rsidRPr="009B5D72">
        <w:rPr>
          <w:rFonts w:ascii="Verdana" w:hAnsi="Verdana"/>
          <w:sz w:val="20"/>
        </w:rPr>
        <w:t xml:space="preserve"> pretensión que tenga por objetivo el desvirtuar o cambiar los términos en los que se efectuó el acuerdo sería cont</w:t>
      </w:r>
      <w:r w:rsidR="00B834CD">
        <w:rPr>
          <w:rFonts w:ascii="Verdana" w:hAnsi="Verdana"/>
          <w:sz w:val="20"/>
        </w:rPr>
        <w:t>r</w:t>
      </w:r>
      <w:r w:rsidR="00A334B0" w:rsidRPr="009B5D72">
        <w:rPr>
          <w:rFonts w:ascii="Verdana" w:hAnsi="Verdana"/>
          <w:sz w:val="20"/>
        </w:rPr>
        <w:t>ario a lo dispuesto en el [mismo]”, en cuanto</w:t>
      </w:r>
      <w:r w:rsidR="00211D4A">
        <w:rPr>
          <w:rFonts w:ascii="Verdana" w:hAnsi="Verdana"/>
          <w:sz w:val="20"/>
        </w:rPr>
        <w:t xml:space="preserve"> a</w:t>
      </w:r>
      <w:r w:rsidR="00A334B0" w:rsidRPr="009B5D72">
        <w:rPr>
          <w:rFonts w:ascii="Verdana" w:hAnsi="Verdana"/>
          <w:sz w:val="20"/>
        </w:rPr>
        <w:t xml:space="preserve"> la declaración de las víctimas o derechohabientes respecto a que quedan satisfechas con el pago de la suma indicada en los mismos y a que no tienen reclamos presentes o futuros en relación a los derechos que a su favor reconoce la Senten</w:t>
      </w:r>
      <w:r w:rsidR="00A334B0" w:rsidRPr="0046783C">
        <w:rPr>
          <w:rFonts w:ascii="Verdana" w:hAnsi="Verdana"/>
          <w:sz w:val="20"/>
        </w:rPr>
        <w:t>cia de la Corte Interamericana.</w:t>
      </w:r>
    </w:p>
    <w:p w14:paraId="15904078" w14:textId="77777777" w:rsidR="007E157E" w:rsidRPr="00DE2A7F" w:rsidRDefault="007E157E" w:rsidP="00A334B0">
      <w:pPr>
        <w:numPr>
          <w:ilvl w:val="0"/>
          <w:numId w:val="1"/>
        </w:numPr>
        <w:tabs>
          <w:tab w:val="clear" w:pos="1080"/>
          <w:tab w:val="num" w:pos="0"/>
        </w:tabs>
        <w:spacing w:before="120" w:after="120"/>
        <w:ind w:left="0" w:firstLine="0"/>
        <w:jc w:val="both"/>
        <w:rPr>
          <w:rFonts w:ascii="Verdana" w:hAnsi="Verdana"/>
          <w:sz w:val="20"/>
        </w:rPr>
      </w:pPr>
      <w:r w:rsidRPr="0046783C">
        <w:rPr>
          <w:rFonts w:ascii="Verdana" w:hAnsi="Verdana"/>
          <w:sz w:val="20"/>
        </w:rPr>
        <w:t xml:space="preserve">Al respecto, </w:t>
      </w:r>
      <w:r w:rsidRPr="00211D4A">
        <w:rPr>
          <w:rFonts w:ascii="Verdana" w:hAnsi="Verdana"/>
          <w:sz w:val="20"/>
        </w:rPr>
        <w:t>se recuerda que estas discrepancias no se encuentran comprendidas dentro de los asuntos respecto de los cuales este Tribunal mantuvo abierta la supervisión de cumplimiento de este caso</w:t>
      </w:r>
      <w:r w:rsidRPr="003E2228">
        <w:rPr>
          <w:rFonts w:ascii="Verdana" w:hAnsi="Verdana"/>
          <w:sz w:val="20"/>
        </w:rPr>
        <w:t xml:space="preserve"> (</w:t>
      </w:r>
      <w:r w:rsidRPr="003E2228">
        <w:rPr>
          <w:rFonts w:ascii="Verdana" w:hAnsi="Verdana"/>
          <w:i/>
          <w:sz w:val="20"/>
        </w:rPr>
        <w:t>supra</w:t>
      </w:r>
      <w:r w:rsidRPr="003E2228">
        <w:rPr>
          <w:rFonts w:ascii="Verdana" w:hAnsi="Verdana"/>
          <w:sz w:val="20"/>
        </w:rPr>
        <w:t xml:space="preserve"> Considerando </w:t>
      </w:r>
      <w:r w:rsidR="00B834CD">
        <w:rPr>
          <w:rFonts w:ascii="Verdana" w:hAnsi="Verdana"/>
          <w:sz w:val="20"/>
        </w:rPr>
        <w:t>16</w:t>
      </w:r>
      <w:r w:rsidRPr="003E2228">
        <w:rPr>
          <w:rFonts w:ascii="Verdana" w:hAnsi="Verdana"/>
          <w:sz w:val="20"/>
        </w:rPr>
        <w:t xml:space="preserve">). </w:t>
      </w:r>
    </w:p>
    <w:p w14:paraId="5A05F8F5" w14:textId="77777777" w:rsidR="0069429D" w:rsidRPr="00DE2A7F" w:rsidRDefault="0069429D" w:rsidP="0069429D">
      <w:pPr>
        <w:spacing w:before="120" w:after="120"/>
        <w:jc w:val="both"/>
        <w:rPr>
          <w:rFonts w:ascii="Verdana" w:hAnsi="Verdana"/>
          <w:sz w:val="20"/>
        </w:rPr>
      </w:pPr>
    </w:p>
    <w:p w14:paraId="322CC624" w14:textId="77777777" w:rsidR="00E3094B" w:rsidRPr="004848C5" w:rsidRDefault="00A334B0" w:rsidP="00A334B0">
      <w:pPr>
        <w:pStyle w:val="Textoindependiente2"/>
        <w:spacing w:before="120" w:after="120"/>
        <w:ind w:left="1080"/>
        <w:outlineLvl w:val="1"/>
        <w:rPr>
          <w:i/>
        </w:rPr>
      </w:pPr>
      <w:bookmarkStart w:id="5" w:name="_Toc79418120"/>
      <w:r w:rsidRPr="004848C5">
        <w:rPr>
          <w:i/>
        </w:rPr>
        <w:t xml:space="preserve">B.3. </w:t>
      </w:r>
      <w:r w:rsidR="00E3094B" w:rsidRPr="004848C5">
        <w:rPr>
          <w:i/>
        </w:rPr>
        <w:t>Acciones estatales relacionadas con el pago de las cuotas obrero-patronales de las 270 víctimas a la Caja de Seguro Social</w:t>
      </w:r>
      <w:bookmarkEnd w:id="5"/>
    </w:p>
    <w:p w14:paraId="7ABA2592" w14:textId="77777777" w:rsidR="003377FC" w:rsidRPr="00B56D24" w:rsidRDefault="00990A95" w:rsidP="00F66399">
      <w:pPr>
        <w:numPr>
          <w:ilvl w:val="0"/>
          <w:numId w:val="1"/>
        </w:numPr>
        <w:tabs>
          <w:tab w:val="clear" w:pos="1080"/>
          <w:tab w:val="num" w:pos="0"/>
        </w:tabs>
        <w:spacing w:before="120" w:after="120"/>
        <w:ind w:left="0" w:firstLine="0"/>
        <w:jc w:val="both"/>
        <w:rPr>
          <w:rFonts w:ascii="Verdana" w:hAnsi="Verdana"/>
          <w:sz w:val="20"/>
        </w:rPr>
      </w:pPr>
      <w:r w:rsidRPr="004848C5">
        <w:rPr>
          <w:rFonts w:ascii="Verdana" w:hAnsi="Verdana"/>
          <w:sz w:val="20"/>
        </w:rPr>
        <w:t xml:space="preserve">Finalmente, la Corte observa que, </w:t>
      </w:r>
      <w:r w:rsidR="00B1487C" w:rsidRPr="00567327">
        <w:rPr>
          <w:rFonts w:ascii="Verdana" w:hAnsi="Verdana"/>
          <w:sz w:val="20"/>
        </w:rPr>
        <w:t>desde el 2015</w:t>
      </w:r>
      <w:r w:rsidR="00B75195">
        <w:rPr>
          <w:rFonts w:ascii="Verdana" w:hAnsi="Verdana"/>
          <w:sz w:val="20"/>
        </w:rPr>
        <w:t>,</w:t>
      </w:r>
      <w:r w:rsidR="00B1487C" w:rsidRPr="00567327">
        <w:rPr>
          <w:rFonts w:ascii="Verdana" w:hAnsi="Verdana"/>
          <w:sz w:val="20"/>
        </w:rPr>
        <w:t xml:space="preserve"> </w:t>
      </w:r>
      <w:r w:rsidR="004F47F1" w:rsidRPr="00567327">
        <w:rPr>
          <w:rFonts w:ascii="Verdana" w:hAnsi="Verdana"/>
          <w:sz w:val="20"/>
        </w:rPr>
        <w:t>un</w:t>
      </w:r>
      <w:r w:rsidR="003377FC" w:rsidRPr="00567327">
        <w:rPr>
          <w:rFonts w:ascii="Verdana" w:hAnsi="Verdana"/>
          <w:sz w:val="20"/>
        </w:rPr>
        <w:t xml:space="preserve"> grupo de</w:t>
      </w:r>
      <w:r w:rsidR="0033386A" w:rsidRPr="00567327">
        <w:rPr>
          <w:rFonts w:ascii="Verdana" w:hAnsi="Verdana"/>
          <w:sz w:val="20"/>
        </w:rPr>
        <w:t xml:space="preserve"> víctimas </w:t>
      </w:r>
      <w:r w:rsidR="00D30721" w:rsidRPr="00567327">
        <w:rPr>
          <w:rFonts w:ascii="Verdana" w:hAnsi="Verdana"/>
          <w:sz w:val="20"/>
        </w:rPr>
        <w:t>remiti</w:t>
      </w:r>
      <w:r w:rsidR="004F47F1" w:rsidRPr="00567327">
        <w:rPr>
          <w:rFonts w:ascii="Verdana" w:hAnsi="Verdana"/>
          <w:sz w:val="20"/>
        </w:rPr>
        <w:t>ó</w:t>
      </w:r>
      <w:r w:rsidR="00D30721" w:rsidRPr="00567327">
        <w:rPr>
          <w:rFonts w:ascii="Verdana" w:hAnsi="Verdana"/>
          <w:sz w:val="20"/>
        </w:rPr>
        <w:t xml:space="preserve"> copia de varias comunicaciones electrónicas </w:t>
      </w:r>
      <w:r w:rsidR="00AF2A02">
        <w:rPr>
          <w:rFonts w:ascii="Verdana" w:hAnsi="Verdana"/>
          <w:sz w:val="20"/>
        </w:rPr>
        <w:t>sostenidas</w:t>
      </w:r>
      <w:r w:rsidR="00B75195">
        <w:rPr>
          <w:rFonts w:ascii="Verdana" w:hAnsi="Verdana"/>
          <w:sz w:val="20"/>
        </w:rPr>
        <w:t xml:space="preserve"> </w:t>
      </w:r>
      <w:r w:rsidR="00D30721" w:rsidRPr="00567327">
        <w:rPr>
          <w:rFonts w:ascii="Verdana" w:hAnsi="Verdana"/>
          <w:sz w:val="20"/>
        </w:rPr>
        <w:t>con autoridades estatales</w:t>
      </w:r>
      <w:r w:rsidR="00952DD5">
        <w:rPr>
          <w:rFonts w:ascii="Verdana" w:hAnsi="Verdana"/>
          <w:sz w:val="20"/>
        </w:rPr>
        <w:t>,</w:t>
      </w:r>
      <w:r w:rsidR="00D30721" w:rsidRPr="00567327">
        <w:rPr>
          <w:rFonts w:ascii="Verdana" w:hAnsi="Verdana"/>
          <w:sz w:val="20"/>
        </w:rPr>
        <w:t xml:space="preserve"> relacionadas con las acciones que estaba implementando el Estado para pagar a la </w:t>
      </w:r>
      <w:r w:rsidR="00B1487C" w:rsidRPr="00567327">
        <w:rPr>
          <w:rFonts w:ascii="Verdana" w:hAnsi="Verdana"/>
          <w:sz w:val="20"/>
        </w:rPr>
        <w:t>Caja de</w:t>
      </w:r>
      <w:r w:rsidR="0033386A" w:rsidRPr="00567327">
        <w:rPr>
          <w:rFonts w:ascii="Verdana" w:hAnsi="Verdana"/>
          <w:sz w:val="20"/>
        </w:rPr>
        <w:t xml:space="preserve"> </w:t>
      </w:r>
      <w:r w:rsidR="005F15C4" w:rsidRPr="00567327">
        <w:rPr>
          <w:rFonts w:ascii="Verdana" w:hAnsi="Verdana"/>
          <w:sz w:val="20"/>
        </w:rPr>
        <w:t xml:space="preserve">Seguro Social </w:t>
      </w:r>
      <w:r w:rsidR="00B87B1B" w:rsidRPr="00567327">
        <w:rPr>
          <w:rFonts w:ascii="Verdana" w:hAnsi="Verdana"/>
          <w:sz w:val="20"/>
        </w:rPr>
        <w:t xml:space="preserve">de Panamá </w:t>
      </w:r>
      <w:r w:rsidR="005F15C4" w:rsidRPr="00567327">
        <w:rPr>
          <w:rFonts w:ascii="Verdana" w:hAnsi="Verdana"/>
          <w:sz w:val="20"/>
        </w:rPr>
        <w:t>cuotas obrero-</w:t>
      </w:r>
      <w:r w:rsidR="0033386A" w:rsidRPr="00567327">
        <w:rPr>
          <w:rFonts w:ascii="Verdana" w:hAnsi="Verdana"/>
          <w:sz w:val="20"/>
        </w:rPr>
        <w:t>patronales de los 270 trabaja</w:t>
      </w:r>
      <w:r w:rsidR="00B1487C" w:rsidRPr="00567327">
        <w:rPr>
          <w:rFonts w:ascii="Verdana" w:hAnsi="Verdana"/>
          <w:sz w:val="20"/>
        </w:rPr>
        <w:t>dores víctimas</w:t>
      </w:r>
      <w:r w:rsidR="0005409A" w:rsidRPr="00567327">
        <w:rPr>
          <w:rFonts w:ascii="Verdana" w:hAnsi="Verdana"/>
          <w:sz w:val="20"/>
        </w:rPr>
        <w:t xml:space="preserve"> de este caso</w:t>
      </w:r>
      <w:r w:rsidR="00DF6F78">
        <w:rPr>
          <w:rFonts w:ascii="Verdana" w:hAnsi="Verdana"/>
          <w:sz w:val="20"/>
        </w:rPr>
        <w:t>,</w:t>
      </w:r>
      <w:r w:rsidR="00FF24F0">
        <w:rPr>
          <w:rFonts w:ascii="Verdana" w:hAnsi="Verdana"/>
          <w:sz w:val="20"/>
        </w:rPr>
        <w:t xml:space="preserve"> </w:t>
      </w:r>
      <w:r w:rsidR="00FF24F0" w:rsidRPr="00103EC6">
        <w:rPr>
          <w:rFonts w:ascii="Verdana" w:hAnsi="Verdana"/>
          <w:sz w:val="20"/>
        </w:rPr>
        <w:t>correspondientes al período comprendido entre diciembre de 1990 y enero de 2001</w:t>
      </w:r>
      <w:r w:rsidR="0033386A" w:rsidRPr="003E2228">
        <w:rPr>
          <w:rFonts w:ascii="Verdana" w:hAnsi="Verdana"/>
          <w:sz w:val="20"/>
        </w:rPr>
        <w:t>.</w:t>
      </w:r>
      <w:r w:rsidR="0033386A" w:rsidRPr="003E2228">
        <w:rPr>
          <w:rFonts w:ascii="Verdana" w:hAnsi="Verdana"/>
          <w:color w:val="7030A0"/>
          <w:sz w:val="20"/>
        </w:rPr>
        <w:t xml:space="preserve"> </w:t>
      </w:r>
    </w:p>
    <w:p w14:paraId="524051B7" w14:textId="77777777" w:rsidR="00DF4CFE" w:rsidRPr="003E2228" w:rsidRDefault="00D30721" w:rsidP="00F66399">
      <w:pPr>
        <w:numPr>
          <w:ilvl w:val="0"/>
          <w:numId w:val="1"/>
        </w:numPr>
        <w:tabs>
          <w:tab w:val="clear" w:pos="1080"/>
          <w:tab w:val="num" w:pos="0"/>
        </w:tabs>
        <w:spacing w:before="120" w:after="120"/>
        <w:ind w:left="0" w:firstLine="0"/>
        <w:jc w:val="both"/>
        <w:rPr>
          <w:rFonts w:ascii="Verdana" w:hAnsi="Verdana"/>
          <w:sz w:val="20"/>
        </w:rPr>
      </w:pPr>
      <w:r w:rsidRPr="00DE2A7F">
        <w:rPr>
          <w:rFonts w:ascii="Verdana" w:hAnsi="Verdana"/>
          <w:sz w:val="20"/>
        </w:rPr>
        <w:t xml:space="preserve">En la </w:t>
      </w:r>
      <w:r w:rsidRPr="00567327">
        <w:rPr>
          <w:rFonts w:ascii="Verdana" w:hAnsi="Verdana"/>
          <w:sz w:val="20"/>
        </w:rPr>
        <w:t>Resolución de la Presidencia de la Corte de noviembre de 2018</w:t>
      </w:r>
      <w:r w:rsidRPr="003E2228">
        <w:rPr>
          <w:rFonts w:ascii="Verdana" w:hAnsi="Verdana"/>
          <w:sz w:val="20"/>
        </w:rPr>
        <w:t xml:space="preserve"> (</w:t>
      </w:r>
      <w:r w:rsidRPr="003E2228">
        <w:rPr>
          <w:rFonts w:ascii="Verdana" w:hAnsi="Verdana"/>
          <w:i/>
          <w:sz w:val="20"/>
        </w:rPr>
        <w:t>supra</w:t>
      </w:r>
      <w:r w:rsidRPr="003E2228">
        <w:rPr>
          <w:rFonts w:ascii="Verdana" w:hAnsi="Verdana"/>
          <w:sz w:val="20"/>
        </w:rPr>
        <w:t xml:space="preserve"> Visto </w:t>
      </w:r>
      <w:r w:rsidR="00AF2A02">
        <w:rPr>
          <w:rFonts w:ascii="Verdana" w:hAnsi="Verdana"/>
          <w:sz w:val="20"/>
        </w:rPr>
        <w:t>6</w:t>
      </w:r>
      <w:r w:rsidRPr="003E2228">
        <w:rPr>
          <w:rFonts w:ascii="Verdana" w:hAnsi="Verdana"/>
          <w:sz w:val="20"/>
        </w:rPr>
        <w:t>), se tom</w:t>
      </w:r>
      <w:r w:rsidR="00B87B1B" w:rsidRPr="00DE2A7F">
        <w:rPr>
          <w:rFonts w:ascii="Verdana" w:hAnsi="Verdana"/>
          <w:sz w:val="20"/>
        </w:rPr>
        <w:t xml:space="preserve">ó nota de una de las </w:t>
      </w:r>
      <w:r w:rsidR="00B87B1B" w:rsidRPr="00567327">
        <w:rPr>
          <w:rFonts w:ascii="Verdana" w:hAnsi="Verdana"/>
          <w:sz w:val="20"/>
        </w:rPr>
        <w:t>acciones más recientes</w:t>
      </w:r>
      <w:r w:rsidR="00AF2A02">
        <w:rPr>
          <w:rFonts w:ascii="Verdana" w:hAnsi="Verdana"/>
          <w:sz w:val="20"/>
        </w:rPr>
        <w:t>,</w:t>
      </w:r>
      <w:r w:rsidR="00B87B1B" w:rsidRPr="003E2228">
        <w:rPr>
          <w:rFonts w:ascii="Verdana" w:hAnsi="Verdana"/>
          <w:sz w:val="20"/>
        </w:rPr>
        <w:t xml:space="preserve"> </w:t>
      </w:r>
      <w:r w:rsidR="00AF2A02">
        <w:rPr>
          <w:rFonts w:ascii="Verdana" w:hAnsi="Verdana"/>
          <w:sz w:val="20"/>
        </w:rPr>
        <w:t>referente a</w:t>
      </w:r>
      <w:r w:rsidR="00B87B1B" w:rsidRPr="003E2228">
        <w:rPr>
          <w:rFonts w:ascii="Verdana" w:hAnsi="Verdana"/>
          <w:sz w:val="20"/>
        </w:rPr>
        <w:t xml:space="preserve"> una </w:t>
      </w:r>
      <w:r w:rsidR="00640E58" w:rsidRPr="003E2228">
        <w:rPr>
          <w:rFonts w:ascii="Verdana" w:hAnsi="Verdana"/>
          <w:sz w:val="20"/>
        </w:rPr>
        <w:t>nota suscrita por la Subdirectora de Asuntos Jurídicos Internacionales y Tratados del Ministerio de Relaciones Exteriores de Panamá, en la cual comunica</w:t>
      </w:r>
      <w:r w:rsidR="00B87B1B" w:rsidRPr="003E2228">
        <w:rPr>
          <w:rFonts w:ascii="Verdana" w:hAnsi="Verdana"/>
          <w:sz w:val="20"/>
        </w:rPr>
        <w:t>b</w:t>
      </w:r>
      <w:r w:rsidR="00B87B1B" w:rsidRPr="00DE2A7F">
        <w:rPr>
          <w:rFonts w:ascii="Verdana" w:hAnsi="Verdana"/>
          <w:sz w:val="20"/>
        </w:rPr>
        <w:t>a</w:t>
      </w:r>
      <w:r w:rsidR="00640E58" w:rsidRPr="00DE2A7F">
        <w:rPr>
          <w:rFonts w:ascii="Verdana" w:hAnsi="Verdana"/>
          <w:sz w:val="20"/>
        </w:rPr>
        <w:t xml:space="preserve"> que</w:t>
      </w:r>
      <w:r w:rsidR="00ED2FEB" w:rsidRPr="00567327">
        <w:rPr>
          <w:rFonts w:ascii="Verdana" w:hAnsi="Verdana"/>
          <w:sz w:val="20"/>
        </w:rPr>
        <w:t>,</w:t>
      </w:r>
      <w:r w:rsidR="00640E58" w:rsidRPr="00567327">
        <w:rPr>
          <w:rFonts w:ascii="Verdana" w:hAnsi="Verdana"/>
          <w:sz w:val="20"/>
        </w:rPr>
        <w:t xml:space="preserve"> “en cumplimiento de los compromisos del Estado p</w:t>
      </w:r>
      <w:r w:rsidR="00CB423D" w:rsidRPr="00567327">
        <w:rPr>
          <w:rFonts w:ascii="Verdana" w:hAnsi="Verdana"/>
          <w:sz w:val="20"/>
        </w:rPr>
        <w:t xml:space="preserve">anameño en materia de Derechos </w:t>
      </w:r>
      <w:r w:rsidR="00640E58" w:rsidRPr="00567327">
        <w:rPr>
          <w:rFonts w:ascii="Verdana" w:hAnsi="Verdana"/>
          <w:sz w:val="20"/>
        </w:rPr>
        <w:t>Humanos”</w:t>
      </w:r>
      <w:r w:rsidR="00ED2FEB" w:rsidRPr="00567327">
        <w:rPr>
          <w:rFonts w:ascii="Verdana" w:hAnsi="Verdana"/>
          <w:sz w:val="20"/>
        </w:rPr>
        <w:t xml:space="preserve">, se </w:t>
      </w:r>
      <w:r w:rsidR="00B87B1B" w:rsidRPr="00567327">
        <w:rPr>
          <w:rFonts w:ascii="Verdana" w:hAnsi="Verdana"/>
          <w:sz w:val="20"/>
        </w:rPr>
        <w:t>había elaborado</w:t>
      </w:r>
      <w:r w:rsidR="00640E58" w:rsidRPr="00567327">
        <w:rPr>
          <w:rFonts w:ascii="Verdana" w:hAnsi="Verdana"/>
          <w:sz w:val="20"/>
        </w:rPr>
        <w:t xml:space="preserve"> un “Cronograma de Trabajo que establec</w:t>
      </w:r>
      <w:r w:rsidR="00B87B1B" w:rsidRPr="00567327">
        <w:rPr>
          <w:rFonts w:ascii="Verdana" w:hAnsi="Verdana"/>
          <w:sz w:val="20"/>
        </w:rPr>
        <w:t>ía</w:t>
      </w:r>
      <w:r w:rsidR="00640E58" w:rsidRPr="00567327">
        <w:rPr>
          <w:rFonts w:ascii="Verdana" w:hAnsi="Verdana"/>
          <w:sz w:val="20"/>
        </w:rPr>
        <w:t xml:space="preserve"> los términos para pagar la deuda que mantiene el Estado con la Caja de Seguro Social (CSS) en concepto de cuotas obrero-patronales de 270 trabajadores despedidos por la Ley 25 de 1990”</w:t>
      </w:r>
      <w:r w:rsidR="00F6090B" w:rsidRPr="00567327">
        <w:rPr>
          <w:rStyle w:val="Refdenotaalpie"/>
          <w:rFonts w:ascii="Verdana" w:hAnsi="Verdana"/>
          <w:sz w:val="20"/>
        </w:rPr>
        <w:footnoteReference w:id="27"/>
      </w:r>
      <w:r w:rsidR="00ED2FEB" w:rsidRPr="00567327">
        <w:rPr>
          <w:rFonts w:ascii="Verdana" w:hAnsi="Verdana"/>
          <w:sz w:val="20"/>
        </w:rPr>
        <w:t>.</w:t>
      </w:r>
      <w:r w:rsidR="00ED2FEB" w:rsidRPr="003E2228">
        <w:rPr>
          <w:rFonts w:ascii="Verdana" w:hAnsi="Verdana"/>
          <w:sz w:val="20"/>
        </w:rPr>
        <w:t xml:space="preserve"> Según dicho cronograma</w:t>
      </w:r>
      <w:r w:rsidR="00952DD5">
        <w:rPr>
          <w:rFonts w:ascii="Verdana" w:hAnsi="Verdana"/>
          <w:sz w:val="20"/>
        </w:rPr>
        <w:t>,</w:t>
      </w:r>
      <w:r w:rsidR="00ED2FEB" w:rsidRPr="003E2228">
        <w:rPr>
          <w:rFonts w:ascii="Verdana" w:hAnsi="Verdana"/>
          <w:sz w:val="20"/>
        </w:rPr>
        <w:t xml:space="preserve"> la deuda por las cuotas obrero-patronales </w:t>
      </w:r>
      <w:r w:rsidR="00ED2FEB" w:rsidRPr="00567327">
        <w:rPr>
          <w:rFonts w:ascii="Verdana" w:hAnsi="Verdana"/>
          <w:sz w:val="20"/>
        </w:rPr>
        <w:t>estaría saldada antes del 31</w:t>
      </w:r>
      <w:r w:rsidR="00E44ED5" w:rsidRPr="00567327">
        <w:rPr>
          <w:rFonts w:ascii="Verdana" w:hAnsi="Verdana"/>
          <w:sz w:val="20"/>
        </w:rPr>
        <w:t xml:space="preserve"> de diciembre del 2018</w:t>
      </w:r>
      <w:r w:rsidR="00DF4CFE" w:rsidRPr="003E2228">
        <w:rPr>
          <w:rFonts w:ascii="Verdana" w:hAnsi="Verdana"/>
          <w:sz w:val="20"/>
        </w:rPr>
        <w:t xml:space="preserve">, ya que mediante la aprobación de la Ley 49 de 11 de septiembre de 2018, se </w:t>
      </w:r>
      <w:r w:rsidR="002376B4">
        <w:rPr>
          <w:rFonts w:ascii="Verdana" w:hAnsi="Verdana"/>
          <w:sz w:val="20"/>
        </w:rPr>
        <w:t xml:space="preserve">había concedido </w:t>
      </w:r>
      <w:r w:rsidR="00DF4CFE" w:rsidRPr="003E2228">
        <w:rPr>
          <w:rFonts w:ascii="Verdana" w:hAnsi="Verdana"/>
          <w:sz w:val="20"/>
        </w:rPr>
        <w:t>moratoria a los intereses para las obligaciones de pago de las cuotas a la Caja de Seguro Social hasta dicha fecha</w:t>
      </w:r>
      <w:r w:rsidR="00952DD5">
        <w:rPr>
          <w:rStyle w:val="Refdenotaalpie"/>
          <w:rFonts w:ascii="Verdana" w:hAnsi="Verdana"/>
          <w:sz w:val="20"/>
        </w:rPr>
        <w:footnoteReference w:id="28"/>
      </w:r>
      <w:r w:rsidR="00DF4CFE" w:rsidRPr="003E2228">
        <w:rPr>
          <w:rFonts w:ascii="Verdana" w:hAnsi="Verdana"/>
          <w:sz w:val="20"/>
        </w:rPr>
        <w:t>.</w:t>
      </w:r>
    </w:p>
    <w:p w14:paraId="088BC71B" w14:textId="77777777" w:rsidR="00937691" w:rsidRPr="00103EC6" w:rsidRDefault="00F66399" w:rsidP="00F66399">
      <w:pPr>
        <w:numPr>
          <w:ilvl w:val="0"/>
          <w:numId w:val="1"/>
        </w:numPr>
        <w:tabs>
          <w:tab w:val="clear" w:pos="1080"/>
          <w:tab w:val="num" w:pos="0"/>
        </w:tabs>
        <w:spacing w:before="120" w:after="120"/>
        <w:ind w:left="0" w:firstLine="0"/>
        <w:jc w:val="both"/>
        <w:rPr>
          <w:rFonts w:ascii="Verdana" w:hAnsi="Verdana"/>
          <w:sz w:val="20"/>
        </w:rPr>
      </w:pPr>
      <w:r w:rsidRPr="00103EC6">
        <w:rPr>
          <w:rFonts w:ascii="Verdana" w:hAnsi="Verdana"/>
          <w:sz w:val="20"/>
        </w:rPr>
        <w:lastRenderedPageBreak/>
        <w:t xml:space="preserve">Tomando en cuenta las gestiones que en ese momento estaba realizando el Estado para atender </w:t>
      </w:r>
      <w:r w:rsidR="00937691" w:rsidRPr="00103EC6">
        <w:rPr>
          <w:rFonts w:ascii="Verdana" w:hAnsi="Verdana"/>
          <w:sz w:val="20"/>
        </w:rPr>
        <w:t>los reclamos de las víctimas relacionados con el pago de las cuotas obrero</w:t>
      </w:r>
      <w:r w:rsidR="005F15C4" w:rsidRPr="00103EC6">
        <w:rPr>
          <w:rFonts w:ascii="Verdana" w:hAnsi="Verdana"/>
          <w:sz w:val="20"/>
        </w:rPr>
        <w:t>-</w:t>
      </w:r>
      <w:r w:rsidR="00937691" w:rsidRPr="00103EC6">
        <w:rPr>
          <w:rFonts w:ascii="Verdana" w:hAnsi="Verdana"/>
          <w:sz w:val="20"/>
        </w:rPr>
        <w:t>patronales</w:t>
      </w:r>
      <w:r w:rsidR="009751A9" w:rsidRPr="00103EC6">
        <w:rPr>
          <w:rFonts w:ascii="Verdana" w:hAnsi="Verdana"/>
          <w:sz w:val="20"/>
        </w:rPr>
        <w:t xml:space="preserve">, </w:t>
      </w:r>
      <w:r w:rsidRPr="00103EC6">
        <w:rPr>
          <w:rFonts w:ascii="Verdana" w:hAnsi="Verdana"/>
          <w:sz w:val="20"/>
        </w:rPr>
        <w:t>en la referida Resolución de noviembre de 2018, la Presidencia del Tribunal</w:t>
      </w:r>
      <w:r w:rsidR="009751A9" w:rsidRPr="00103EC6">
        <w:rPr>
          <w:rFonts w:ascii="Verdana" w:hAnsi="Verdana"/>
          <w:sz w:val="20"/>
        </w:rPr>
        <w:t xml:space="preserve"> </w:t>
      </w:r>
      <w:r w:rsidRPr="00103EC6">
        <w:rPr>
          <w:rFonts w:ascii="Verdana" w:hAnsi="Verdana"/>
          <w:sz w:val="20"/>
        </w:rPr>
        <w:t xml:space="preserve">consideró </w:t>
      </w:r>
      <w:r w:rsidR="005F15C4" w:rsidRPr="00103EC6">
        <w:rPr>
          <w:rFonts w:ascii="Verdana" w:hAnsi="Verdana"/>
          <w:sz w:val="20"/>
        </w:rPr>
        <w:t xml:space="preserve">necesario que la Corte </w:t>
      </w:r>
      <w:r w:rsidR="002A358C" w:rsidRPr="00103EC6">
        <w:rPr>
          <w:rFonts w:ascii="Verdana" w:hAnsi="Verdana"/>
          <w:sz w:val="20"/>
        </w:rPr>
        <w:t>c</w:t>
      </w:r>
      <w:r w:rsidRPr="00103EC6">
        <w:rPr>
          <w:rFonts w:ascii="Verdana" w:hAnsi="Verdana"/>
          <w:sz w:val="20"/>
        </w:rPr>
        <w:t>ontara</w:t>
      </w:r>
      <w:r w:rsidR="002A358C" w:rsidRPr="00103EC6">
        <w:rPr>
          <w:rFonts w:ascii="Verdana" w:hAnsi="Verdana"/>
          <w:sz w:val="20"/>
        </w:rPr>
        <w:t xml:space="preserve"> con información sobre </w:t>
      </w:r>
      <w:r w:rsidR="009751A9" w:rsidRPr="00103EC6">
        <w:rPr>
          <w:rFonts w:ascii="Verdana" w:hAnsi="Verdana"/>
          <w:sz w:val="20"/>
        </w:rPr>
        <w:t>el pago efectivo de tales conceptos</w:t>
      </w:r>
      <w:r w:rsidR="00491253" w:rsidRPr="00103EC6">
        <w:rPr>
          <w:rFonts w:ascii="Verdana" w:hAnsi="Verdana"/>
          <w:sz w:val="20"/>
        </w:rPr>
        <w:t xml:space="preserve"> a la seguridad social</w:t>
      </w:r>
      <w:r w:rsidR="009751A9" w:rsidRPr="00103EC6">
        <w:rPr>
          <w:rFonts w:ascii="Verdana" w:hAnsi="Verdana"/>
          <w:sz w:val="20"/>
        </w:rPr>
        <w:t xml:space="preserve">, previo a valorar </w:t>
      </w:r>
      <w:r w:rsidR="002A358C" w:rsidRPr="00103EC6">
        <w:rPr>
          <w:rFonts w:ascii="Verdana" w:hAnsi="Verdana"/>
          <w:sz w:val="20"/>
        </w:rPr>
        <w:t>la</w:t>
      </w:r>
      <w:r w:rsidR="009751A9" w:rsidRPr="00103EC6">
        <w:rPr>
          <w:rFonts w:ascii="Verdana" w:hAnsi="Verdana"/>
          <w:sz w:val="20"/>
        </w:rPr>
        <w:t xml:space="preserve"> solicitud </w:t>
      </w:r>
      <w:r w:rsidR="002A358C" w:rsidRPr="00103EC6">
        <w:rPr>
          <w:rFonts w:ascii="Verdana" w:hAnsi="Verdana"/>
          <w:sz w:val="20"/>
        </w:rPr>
        <w:t xml:space="preserve">del Estado </w:t>
      </w:r>
      <w:r w:rsidR="009751A9" w:rsidRPr="00103EC6">
        <w:rPr>
          <w:rFonts w:ascii="Verdana" w:hAnsi="Verdana"/>
          <w:sz w:val="20"/>
        </w:rPr>
        <w:t>de que se declar</w:t>
      </w:r>
      <w:r w:rsidR="00491253" w:rsidRPr="00103EC6">
        <w:rPr>
          <w:rFonts w:ascii="Verdana" w:hAnsi="Verdana"/>
          <w:sz w:val="20"/>
        </w:rPr>
        <w:t>ara</w:t>
      </w:r>
      <w:r w:rsidR="009751A9" w:rsidRPr="00103EC6">
        <w:rPr>
          <w:rFonts w:ascii="Verdana" w:hAnsi="Verdana"/>
          <w:sz w:val="20"/>
        </w:rPr>
        <w:t xml:space="preserve"> el cierre del presente caso</w:t>
      </w:r>
      <w:r w:rsidRPr="00103EC6">
        <w:rPr>
          <w:rFonts w:ascii="Verdana" w:hAnsi="Verdana"/>
          <w:sz w:val="20"/>
        </w:rPr>
        <w:t>, para lo cual</w:t>
      </w:r>
      <w:r w:rsidR="00106FCB" w:rsidRPr="00103EC6">
        <w:rPr>
          <w:rFonts w:ascii="Verdana" w:hAnsi="Verdana"/>
          <w:sz w:val="20"/>
        </w:rPr>
        <w:t xml:space="preserve"> </w:t>
      </w:r>
      <w:r w:rsidR="002A358C" w:rsidRPr="00103EC6">
        <w:rPr>
          <w:rFonts w:ascii="Verdana" w:hAnsi="Verdana"/>
          <w:sz w:val="20"/>
        </w:rPr>
        <w:t>deleg</w:t>
      </w:r>
      <w:r w:rsidRPr="00103EC6">
        <w:rPr>
          <w:rFonts w:ascii="Verdana" w:hAnsi="Verdana"/>
          <w:sz w:val="20"/>
        </w:rPr>
        <w:t>ó</w:t>
      </w:r>
      <w:r w:rsidR="002A358C" w:rsidRPr="00103EC6">
        <w:rPr>
          <w:rFonts w:ascii="Verdana" w:hAnsi="Verdana"/>
          <w:sz w:val="20"/>
        </w:rPr>
        <w:t xml:space="preserve"> en </w:t>
      </w:r>
      <w:r w:rsidR="005F15C4" w:rsidRPr="00103EC6">
        <w:rPr>
          <w:rFonts w:ascii="Verdana" w:hAnsi="Verdana"/>
          <w:sz w:val="20"/>
        </w:rPr>
        <w:t>el</w:t>
      </w:r>
      <w:r w:rsidR="00106FCB" w:rsidRPr="00103EC6">
        <w:rPr>
          <w:rFonts w:ascii="Verdana" w:hAnsi="Verdana"/>
          <w:sz w:val="20"/>
        </w:rPr>
        <w:t xml:space="preserve"> Secretario </w:t>
      </w:r>
      <w:r w:rsidR="005F15C4" w:rsidRPr="00103EC6">
        <w:rPr>
          <w:rFonts w:ascii="Verdana" w:hAnsi="Verdana"/>
          <w:sz w:val="20"/>
        </w:rPr>
        <w:t>de la Corte</w:t>
      </w:r>
      <w:r w:rsidR="002376B4">
        <w:rPr>
          <w:rFonts w:ascii="Verdana" w:hAnsi="Verdana"/>
          <w:sz w:val="20"/>
        </w:rPr>
        <w:t xml:space="preserve"> la labor de</w:t>
      </w:r>
      <w:r w:rsidR="005F15C4" w:rsidRPr="00103EC6">
        <w:rPr>
          <w:rFonts w:ascii="Verdana" w:hAnsi="Verdana"/>
          <w:sz w:val="20"/>
        </w:rPr>
        <w:t xml:space="preserve"> </w:t>
      </w:r>
      <w:r w:rsidRPr="00103EC6">
        <w:rPr>
          <w:rFonts w:ascii="Verdana" w:hAnsi="Verdana"/>
          <w:sz w:val="20"/>
        </w:rPr>
        <w:t xml:space="preserve">coordinar, previo consentimiento del Estado, </w:t>
      </w:r>
      <w:r w:rsidR="00106FCB" w:rsidRPr="00103EC6">
        <w:rPr>
          <w:rFonts w:ascii="Verdana" w:hAnsi="Verdana"/>
          <w:sz w:val="20"/>
        </w:rPr>
        <w:t xml:space="preserve">una reunión </w:t>
      </w:r>
      <w:r w:rsidR="005F3400" w:rsidRPr="00103EC6">
        <w:rPr>
          <w:rFonts w:ascii="Verdana" w:hAnsi="Verdana"/>
          <w:sz w:val="20"/>
        </w:rPr>
        <w:t xml:space="preserve">en Panamá </w:t>
      </w:r>
      <w:r w:rsidR="00106FCB" w:rsidRPr="00103EC6">
        <w:rPr>
          <w:rFonts w:ascii="Verdana" w:hAnsi="Verdana"/>
          <w:sz w:val="20"/>
        </w:rPr>
        <w:t>con</w:t>
      </w:r>
      <w:r w:rsidR="00D67B8C" w:rsidRPr="00103EC6">
        <w:rPr>
          <w:rFonts w:ascii="Verdana" w:hAnsi="Verdana"/>
          <w:sz w:val="20"/>
        </w:rPr>
        <w:t xml:space="preserve"> las víctimas interesadas o sus representantes y el Estado</w:t>
      </w:r>
      <w:r w:rsidR="00E37D7C" w:rsidRPr="00103EC6">
        <w:rPr>
          <w:rFonts w:ascii="Verdana" w:hAnsi="Verdana"/>
          <w:sz w:val="20"/>
        </w:rPr>
        <w:t xml:space="preserve">. </w:t>
      </w:r>
    </w:p>
    <w:p w14:paraId="75620051" w14:textId="77777777" w:rsidR="007935E7" w:rsidRPr="00103EC6" w:rsidRDefault="00F66399" w:rsidP="007935E7">
      <w:pPr>
        <w:numPr>
          <w:ilvl w:val="0"/>
          <w:numId w:val="1"/>
        </w:numPr>
        <w:tabs>
          <w:tab w:val="clear" w:pos="1080"/>
          <w:tab w:val="num" w:pos="0"/>
        </w:tabs>
        <w:spacing w:before="120" w:after="120"/>
        <w:ind w:left="0" w:firstLine="0"/>
        <w:jc w:val="both"/>
        <w:rPr>
          <w:rFonts w:ascii="Verdana" w:hAnsi="Verdana"/>
          <w:sz w:val="20"/>
        </w:rPr>
      </w:pPr>
      <w:r w:rsidRPr="00C655DB">
        <w:rPr>
          <w:rFonts w:ascii="Verdana" w:hAnsi="Verdana"/>
          <w:sz w:val="20"/>
        </w:rPr>
        <w:t>La referida reunión fue llevada a cabo en febrero de 2019 (</w:t>
      </w:r>
      <w:r w:rsidRPr="00C655DB">
        <w:rPr>
          <w:rFonts w:ascii="Verdana" w:hAnsi="Verdana"/>
          <w:i/>
          <w:sz w:val="20"/>
        </w:rPr>
        <w:t>supra</w:t>
      </w:r>
      <w:r w:rsidRPr="00C655DB">
        <w:rPr>
          <w:rFonts w:ascii="Verdana" w:hAnsi="Verdana"/>
          <w:sz w:val="20"/>
        </w:rPr>
        <w:t xml:space="preserve"> Visto </w:t>
      </w:r>
      <w:r w:rsidR="001433C8" w:rsidRPr="00C655DB">
        <w:rPr>
          <w:rFonts w:ascii="Verdana" w:hAnsi="Verdana"/>
          <w:sz w:val="20"/>
        </w:rPr>
        <w:t>7</w:t>
      </w:r>
      <w:r w:rsidRPr="00C655DB">
        <w:rPr>
          <w:rFonts w:ascii="Verdana" w:hAnsi="Verdana"/>
          <w:sz w:val="20"/>
        </w:rPr>
        <w:t xml:space="preserve">). En </w:t>
      </w:r>
      <w:r w:rsidR="004F47F1" w:rsidRPr="00C655DB">
        <w:rPr>
          <w:rFonts w:ascii="Verdana" w:hAnsi="Verdana"/>
          <w:sz w:val="20"/>
        </w:rPr>
        <w:t xml:space="preserve">la misma </w:t>
      </w:r>
      <w:r w:rsidRPr="00C655DB">
        <w:rPr>
          <w:rFonts w:ascii="Verdana" w:hAnsi="Verdana"/>
          <w:sz w:val="20"/>
        </w:rPr>
        <w:t>se escuch</w:t>
      </w:r>
      <w:r w:rsidR="00F6046D" w:rsidRPr="00C655DB">
        <w:rPr>
          <w:rFonts w:ascii="Verdana" w:hAnsi="Verdana"/>
          <w:sz w:val="20"/>
        </w:rPr>
        <w:t>aron</w:t>
      </w:r>
      <w:r w:rsidR="00F6046D" w:rsidRPr="00DE2A7F">
        <w:rPr>
          <w:rFonts w:ascii="Verdana" w:hAnsi="Verdana"/>
          <w:sz w:val="20"/>
        </w:rPr>
        <w:t xml:space="preserve"> las observaciones de las víctimas y/o sus representantes en cuanto al pago de las cuotas obrero</w:t>
      </w:r>
      <w:r w:rsidR="002376B4">
        <w:rPr>
          <w:rFonts w:ascii="Verdana" w:hAnsi="Verdana"/>
          <w:sz w:val="20"/>
        </w:rPr>
        <w:t>-</w:t>
      </w:r>
      <w:r w:rsidR="00F6046D" w:rsidRPr="00DE2A7F">
        <w:rPr>
          <w:rFonts w:ascii="Verdana" w:hAnsi="Verdana"/>
          <w:sz w:val="20"/>
        </w:rPr>
        <w:t>patrona</w:t>
      </w:r>
      <w:r w:rsidR="00F6046D" w:rsidRPr="004848C5">
        <w:rPr>
          <w:rFonts w:ascii="Verdana" w:hAnsi="Verdana"/>
          <w:sz w:val="20"/>
        </w:rPr>
        <w:t xml:space="preserve">les y sus discrepancias </w:t>
      </w:r>
      <w:r w:rsidR="00E509EE">
        <w:rPr>
          <w:rFonts w:ascii="Verdana" w:hAnsi="Verdana"/>
          <w:sz w:val="20"/>
        </w:rPr>
        <w:t>respecto al</w:t>
      </w:r>
      <w:r w:rsidR="00F6046D" w:rsidRPr="004848C5">
        <w:rPr>
          <w:rFonts w:ascii="Verdana" w:hAnsi="Verdana"/>
          <w:sz w:val="20"/>
        </w:rPr>
        <w:t xml:space="preserve"> cumplimiento de la Sentencia de este caso en general. Asimismo, </w:t>
      </w:r>
      <w:r w:rsidR="00F6046D" w:rsidRPr="00103EC6">
        <w:rPr>
          <w:rFonts w:ascii="Verdana" w:hAnsi="Verdana"/>
          <w:sz w:val="20"/>
        </w:rPr>
        <w:t xml:space="preserve">el Estado expuso </w:t>
      </w:r>
      <w:r w:rsidR="007935E7" w:rsidRPr="00103EC6">
        <w:rPr>
          <w:rFonts w:ascii="Verdana" w:hAnsi="Verdana"/>
          <w:sz w:val="20"/>
        </w:rPr>
        <w:t>las razones por las cuales las</w:t>
      </w:r>
      <w:r w:rsidR="002376B4">
        <w:rPr>
          <w:rFonts w:ascii="Verdana" w:hAnsi="Verdana"/>
          <w:sz w:val="20"/>
        </w:rPr>
        <w:t xml:space="preserve"> cuotas obrero-</w:t>
      </w:r>
      <w:r w:rsidR="00F6046D" w:rsidRPr="00103EC6">
        <w:rPr>
          <w:rFonts w:ascii="Verdana" w:hAnsi="Verdana"/>
          <w:sz w:val="20"/>
        </w:rPr>
        <w:t xml:space="preserve">patronales aún no habían sido pagadas a la </w:t>
      </w:r>
      <w:r w:rsidR="00390A06">
        <w:rPr>
          <w:rFonts w:ascii="Verdana" w:hAnsi="Verdana"/>
          <w:sz w:val="20"/>
        </w:rPr>
        <w:t>Caja de</w:t>
      </w:r>
      <w:r w:rsidR="00F6046D" w:rsidRPr="00103EC6">
        <w:rPr>
          <w:rFonts w:ascii="Verdana" w:hAnsi="Verdana"/>
          <w:sz w:val="20"/>
        </w:rPr>
        <w:t xml:space="preserve"> Seguro Social</w:t>
      </w:r>
      <w:r w:rsidR="00491253" w:rsidRPr="00103EC6">
        <w:rPr>
          <w:rFonts w:ascii="Verdana" w:hAnsi="Verdana"/>
          <w:sz w:val="20"/>
        </w:rPr>
        <w:t>.</w:t>
      </w:r>
      <w:r w:rsidR="00491253" w:rsidRPr="003E2228">
        <w:rPr>
          <w:rFonts w:ascii="Verdana" w:hAnsi="Verdana"/>
          <w:sz w:val="20"/>
        </w:rPr>
        <w:t xml:space="preserve"> E</w:t>
      </w:r>
      <w:r w:rsidR="00DF4CFE" w:rsidRPr="003E2228">
        <w:rPr>
          <w:rFonts w:ascii="Verdana" w:hAnsi="Verdana"/>
          <w:sz w:val="20"/>
        </w:rPr>
        <w:t>ntre ellas, que este asunto no</w:t>
      </w:r>
      <w:r w:rsidR="00DF4CFE" w:rsidRPr="00DE2A7F">
        <w:rPr>
          <w:rFonts w:ascii="Verdana" w:hAnsi="Verdana"/>
          <w:sz w:val="20"/>
        </w:rPr>
        <w:t xml:space="preserve"> había podido ser conocido oportunamente por la Asamblea Legislativa</w:t>
      </w:r>
      <w:r w:rsidR="002376B4">
        <w:rPr>
          <w:rFonts w:ascii="Verdana" w:hAnsi="Verdana"/>
          <w:sz w:val="20"/>
        </w:rPr>
        <w:t xml:space="preserve">, por lo que </w:t>
      </w:r>
      <w:r w:rsidR="00DF4CFE" w:rsidRPr="00DE2A7F">
        <w:rPr>
          <w:rFonts w:ascii="Verdana" w:hAnsi="Verdana"/>
          <w:sz w:val="20"/>
        </w:rPr>
        <w:t>ya no se contaba con el presupuesto necesario para hacer frente al pago</w:t>
      </w:r>
      <w:r w:rsidR="004C11A0" w:rsidRPr="00DE2A7F">
        <w:rPr>
          <w:rFonts w:ascii="Verdana" w:hAnsi="Verdana"/>
          <w:sz w:val="20"/>
        </w:rPr>
        <w:t xml:space="preserve"> con las condiciones </w:t>
      </w:r>
      <w:r w:rsidR="00D62D8E" w:rsidRPr="004848C5">
        <w:rPr>
          <w:rFonts w:ascii="Verdana" w:hAnsi="Verdana"/>
          <w:sz w:val="20"/>
        </w:rPr>
        <w:t xml:space="preserve">de exención </w:t>
      </w:r>
      <w:r w:rsidR="004C11A0" w:rsidRPr="004848C5">
        <w:rPr>
          <w:rFonts w:ascii="Verdana" w:hAnsi="Verdana"/>
          <w:sz w:val="20"/>
        </w:rPr>
        <w:t xml:space="preserve">que ofrecía la ley de moratoria de intereses respecto de obligaciones con la </w:t>
      </w:r>
      <w:r w:rsidR="00390A06">
        <w:rPr>
          <w:rFonts w:ascii="Verdana" w:hAnsi="Verdana"/>
          <w:sz w:val="20"/>
        </w:rPr>
        <w:t>Caja de</w:t>
      </w:r>
      <w:r w:rsidR="004C11A0" w:rsidRPr="004848C5">
        <w:rPr>
          <w:rFonts w:ascii="Verdana" w:hAnsi="Verdana"/>
          <w:sz w:val="20"/>
        </w:rPr>
        <w:t xml:space="preserve"> Seguro Social (</w:t>
      </w:r>
      <w:r w:rsidR="004C11A0" w:rsidRPr="004848C5">
        <w:rPr>
          <w:rFonts w:ascii="Verdana" w:hAnsi="Verdana"/>
          <w:i/>
          <w:sz w:val="20"/>
        </w:rPr>
        <w:t>supra</w:t>
      </w:r>
      <w:r w:rsidR="004C11A0" w:rsidRPr="004848C5">
        <w:rPr>
          <w:rFonts w:ascii="Verdana" w:hAnsi="Verdana"/>
          <w:sz w:val="20"/>
        </w:rPr>
        <w:t xml:space="preserve"> Considerando </w:t>
      </w:r>
      <w:r w:rsidR="00F144AA">
        <w:rPr>
          <w:rFonts w:ascii="Verdana" w:hAnsi="Verdana"/>
          <w:sz w:val="20"/>
        </w:rPr>
        <w:t>27</w:t>
      </w:r>
      <w:r w:rsidR="004C11A0" w:rsidRPr="004848C5">
        <w:rPr>
          <w:rFonts w:ascii="Verdana" w:hAnsi="Verdana"/>
          <w:sz w:val="20"/>
        </w:rPr>
        <w:t xml:space="preserve">). </w:t>
      </w:r>
      <w:r w:rsidR="004C11A0" w:rsidRPr="00103EC6">
        <w:rPr>
          <w:rFonts w:ascii="Verdana" w:hAnsi="Verdana"/>
          <w:sz w:val="20"/>
        </w:rPr>
        <w:t>A pesar de ello,</w:t>
      </w:r>
      <w:r w:rsidR="00DF4CFE" w:rsidRPr="00103EC6">
        <w:rPr>
          <w:rFonts w:ascii="Verdana" w:hAnsi="Verdana"/>
          <w:sz w:val="20"/>
        </w:rPr>
        <w:t xml:space="preserve"> expresó su compromiso de continuar realizando gestiones </w:t>
      </w:r>
      <w:r w:rsidR="004C11A0" w:rsidRPr="00103EC6">
        <w:rPr>
          <w:rFonts w:ascii="Verdana" w:hAnsi="Verdana"/>
          <w:sz w:val="20"/>
        </w:rPr>
        <w:t>para concretar el efectivo pago de estas cuotas</w:t>
      </w:r>
      <w:r w:rsidR="00F6046D" w:rsidRPr="00103EC6">
        <w:rPr>
          <w:rFonts w:ascii="Verdana" w:hAnsi="Verdana"/>
          <w:sz w:val="20"/>
        </w:rPr>
        <w:t xml:space="preserve">. </w:t>
      </w:r>
      <w:r w:rsidR="007935E7" w:rsidRPr="00103EC6">
        <w:rPr>
          <w:rFonts w:ascii="Verdana" w:hAnsi="Verdana"/>
          <w:sz w:val="20"/>
        </w:rPr>
        <w:t>Luego de ello, siguiendo instrucciones de la Presidencia del Tribunal, a t</w:t>
      </w:r>
      <w:r w:rsidR="00491253" w:rsidRPr="00103EC6">
        <w:rPr>
          <w:rFonts w:ascii="Verdana" w:hAnsi="Verdana"/>
          <w:sz w:val="20"/>
        </w:rPr>
        <w:t xml:space="preserve">ravés de </w:t>
      </w:r>
      <w:r w:rsidR="00C655DB">
        <w:rPr>
          <w:rFonts w:ascii="Verdana" w:hAnsi="Verdana"/>
          <w:sz w:val="20"/>
        </w:rPr>
        <w:t xml:space="preserve">diversas </w:t>
      </w:r>
      <w:r w:rsidR="00491253" w:rsidRPr="00103EC6">
        <w:rPr>
          <w:rFonts w:ascii="Verdana" w:hAnsi="Verdana"/>
          <w:sz w:val="20"/>
        </w:rPr>
        <w:t xml:space="preserve">notas de su Secretaría, </w:t>
      </w:r>
      <w:r w:rsidR="007935E7" w:rsidRPr="00103EC6">
        <w:rPr>
          <w:rFonts w:ascii="Verdana" w:hAnsi="Verdana"/>
          <w:sz w:val="20"/>
        </w:rPr>
        <w:t xml:space="preserve">se </w:t>
      </w:r>
      <w:r w:rsidR="00491253" w:rsidRPr="00103EC6">
        <w:rPr>
          <w:rFonts w:ascii="Verdana" w:hAnsi="Verdana"/>
          <w:sz w:val="20"/>
        </w:rPr>
        <w:t>solicitó</w:t>
      </w:r>
      <w:r w:rsidR="007935E7" w:rsidRPr="00103EC6">
        <w:rPr>
          <w:rFonts w:ascii="Verdana" w:hAnsi="Verdana"/>
          <w:sz w:val="20"/>
        </w:rPr>
        <w:t xml:space="preserve"> al Estado </w:t>
      </w:r>
      <w:r w:rsidR="00491253" w:rsidRPr="00103EC6">
        <w:rPr>
          <w:rFonts w:ascii="Verdana" w:hAnsi="Verdana"/>
          <w:sz w:val="20"/>
        </w:rPr>
        <w:t xml:space="preserve">que remitiera información actualizada </w:t>
      </w:r>
      <w:r w:rsidR="004C11A0" w:rsidRPr="00103EC6">
        <w:rPr>
          <w:rFonts w:ascii="Verdana" w:hAnsi="Verdana"/>
          <w:sz w:val="20"/>
        </w:rPr>
        <w:t>al respecto</w:t>
      </w:r>
      <w:r w:rsidR="007935E7" w:rsidRPr="00103EC6">
        <w:rPr>
          <w:rFonts w:ascii="Verdana" w:hAnsi="Verdana"/>
          <w:sz w:val="20"/>
        </w:rPr>
        <w:t>.</w:t>
      </w:r>
    </w:p>
    <w:p w14:paraId="4BB31564" w14:textId="77777777" w:rsidR="004F47F1" w:rsidRPr="00103EC6" w:rsidRDefault="007935E7" w:rsidP="008C268A">
      <w:pPr>
        <w:numPr>
          <w:ilvl w:val="0"/>
          <w:numId w:val="1"/>
        </w:numPr>
        <w:tabs>
          <w:tab w:val="clear" w:pos="1080"/>
          <w:tab w:val="num" w:pos="0"/>
        </w:tabs>
        <w:spacing w:before="120" w:after="120"/>
        <w:ind w:left="0" w:firstLine="0"/>
        <w:jc w:val="both"/>
        <w:rPr>
          <w:rFonts w:ascii="Verdana" w:hAnsi="Verdana"/>
          <w:b/>
          <w:sz w:val="20"/>
        </w:rPr>
      </w:pPr>
      <w:r w:rsidRPr="00103EC6">
        <w:rPr>
          <w:rFonts w:ascii="Verdana" w:hAnsi="Verdana"/>
          <w:sz w:val="20"/>
        </w:rPr>
        <w:t xml:space="preserve">En su informe de </w:t>
      </w:r>
      <w:r w:rsidR="00A33B78" w:rsidRPr="00103EC6">
        <w:rPr>
          <w:rFonts w:ascii="Verdana" w:hAnsi="Verdana"/>
          <w:sz w:val="20"/>
        </w:rPr>
        <w:t>3</w:t>
      </w:r>
      <w:r w:rsidRPr="00103EC6">
        <w:rPr>
          <w:rFonts w:ascii="Verdana" w:hAnsi="Verdana"/>
          <w:sz w:val="20"/>
        </w:rPr>
        <w:t xml:space="preserve"> de </w:t>
      </w:r>
      <w:r w:rsidR="00A33B78" w:rsidRPr="00103EC6">
        <w:rPr>
          <w:rFonts w:ascii="Verdana" w:hAnsi="Verdana"/>
          <w:sz w:val="20"/>
        </w:rPr>
        <w:t xml:space="preserve">junio </w:t>
      </w:r>
      <w:r w:rsidRPr="00103EC6">
        <w:rPr>
          <w:rFonts w:ascii="Verdana" w:hAnsi="Verdana"/>
          <w:sz w:val="20"/>
        </w:rPr>
        <w:t>20</w:t>
      </w:r>
      <w:r w:rsidR="00A33B78" w:rsidRPr="00103EC6">
        <w:rPr>
          <w:rFonts w:ascii="Verdana" w:hAnsi="Verdana"/>
          <w:sz w:val="20"/>
        </w:rPr>
        <w:t>19</w:t>
      </w:r>
      <w:r w:rsidRPr="00103EC6">
        <w:rPr>
          <w:rFonts w:ascii="Verdana" w:hAnsi="Verdana"/>
          <w:sz w:val="20"/>
        </w:rPr>
        <w:t xml:space="preserve">, </w:t>
      </w:r>
      <w:r w:rsidR="00491253" w:rsidRPr="00103EC6">
        <w:rPr>
          <w:rFonts w:ascii="Verdana" w:hAnsi="Verdana"/>
          <w:sz w:val="20"/>
        </w:rPr>
        <w:t>Panamá</w:t>
      </w:r>
      <w:r w:rsidRPr="00103EC6">
        <w:rPr>
          <w:rFonts w:ascii="Verdana" w:hAnsi="Verdana"/>
          <w:sz w:val="20"/>
        </w:rPr>
        <w:t xml:space="preserve"> </w:t>
      </w:r>
      <w:r w:rsidR="00D62D8E" w:rsidRPr="00103EC6">
        <w:rPr>
          <w:rFonts w:ascii="Verdana" w:hAnsi="Verdana"/>
          <w:sz w:val="20"/>
        </w:rPr>
        <w:t xml:space="preserve">señaló que el Ministerio de Economía y Finanzas </w:t>
      </w:r>
      <w:r w:rsidR="008343E2" w:rsidRPr="00103EC6">
        <w:rPr>
          <w:rFonts w:ascii="Verdana" w:hAnsi="Verdana"/>
          <w:sz w:val="20"/>
        </w:rPr>
        <w:t>“</w:t>
      </w:r>
      <w:r w:rsidR="004C11A0" w:rsidRPr="00103EC6">
        <w:rPr>
          <w:rFonts w:ascii="Verdana" w:hAnsi="Verdana"/>
          <w:sz w:val="20"/>
        </w:rPr>
        <w:t xml:space="preserve">ya contaba </w:t>
      </w:r>
      <w:r w:rsidR="008343E2" w:rsidRPr="00103EC6">
        <w:rPr>
          <w:rFonts w:ascii="Verdana" w:hAnsi="Verdana"/>
          <w:sz w:val="20"/>
        </w:rPr>
        <w:t>[</w:t>
      </w:r>
      <w:r w:rsidR="00CB423D" w:rsidRPr="00103EC6">
        <w:rPr>
          <w:rFonts w:ascii="Verdana" w:hAnsi="Verdana"/>
          <w:sz w:val="20"/>
        </w:rPr>
        <w:t>nuevamente</w:t>
      </w:r>
      <w:r w:rsidR="008343E2" w:rsidRPr="00103EC6">
        <w:rPr>
          <w:rFonts w:ascii="Verdana" w:hAnsi="Verdana"/>
          <w:sz w:val="20"/>
        </w:rPr>
        <w:t>]</w:t>
      </w:r>
      <w:r w:rsidR="00CB423D" w:rsidRPr="00103EC6">
        <w:rPr>
          <w:rFonts w:ascii="Verdana" w:hAnsi="Verdana"/>
          <w:sz w:val="20"/>
        </w:rPr>
        <w:t xml:space="preserve"> </w:t>
      </w:r>
      <w:r w:rsidR="004C11A0" w:rsidRPr="00103EC6">
        <w:rPr>
          <w:rFonts w:ascii="Verdana" w:hAnsi="Verdana"/>
          <w:sz w:val="20"/>
        </w:rPr>
        <w:t xml:space="preserve">con el presupuesto para hacerle frente al pago </w:t>
      </w:r>
      <w:r w:rsidR="00DF6F78">
        <w:rPr>
          <w:rFonts w:ascii="Verdana" w:hAnsi="Verdana"/>
          <w:sz w:val="20"/>
        </w:rPr>
        <w:t xml:space="preserve">[a la seguridad social] </w:t>
      </w:r>
      <w:r w:rsidR="004C11A0" w:rsidRPr="00103EC6">
        <w:rPr>
          <w:rFonts w:ascii="Verdana" w:hAnsi="Verdana"/>
          <w:sz w:val="20"/>
        </w:rPr>
        <w:t xml:space="preserve">de las </w:t>
      </w:r>
      <w:r w:rsidR="008343E2" w:rsidRPr="00103EC6">
        <w:rPr>
          <w:rFonts w:ascii="Verdana" w:hAnsi="Verdana"/>
          <w:sz w:val="20"/>
        </w:rPr>
        <w:t>[</w:t>
      </w:r>
      <w:r w:rsidR="00335B1B" w:rsidRPr="00103EC6">
        <w:rPr>
          <w:rFonts w:ascii="Verdana" w:hAnsi="Verdana"/>
          <w:sz w:val="20"/>
        </w:rPr>
        <w:t>120</w:t>
      </w:r>
      <w:r w:rsidR="008343E2" w:rsidRPr="00103EC6">
        <w:rPr>
          <w:rFonts w:ascii="Verdana" w:hAnsi="Verdana"/>
          <w:sz w:val="20"/>
        </w:rPr>
        <w:t>]</w:t>
      </w:r>
      <w:r w:rsidR="00335B1B" w:rsidRPr="00103EC6">
        <w:rPr>
          <w:rFonts w:ascii="Verdana" w:hAnsi="Verdana"/>
          <w:sz w:val="20"/>
        </w:rPr>
        <w:t xml:space="preserve"> </w:t>
      </w:r>
      <w:r w:rsidR="00491253" w:rsidRPr="00103EC6">
        <w:rPr>
          <w:rFonts w:ascii="Verdana" w:hAnsi="Verdana"/>
          <w:sz w:val="20"/>
        </w:rPr>
        <w:t>cuotas obrero-</w:t>
      </w:r>
      <w:r w:rsidR="004C11A0" w:rsidRPr="00103EC6">
        <w:rPr>
          <w:rFonts w:ascii="Verdana" w:hAnsi="Verdana"/>
          <w:sz w:val="20"/>
        </w:rPr>
        <w:t xml:space="preserve">patronales de los 270 </w:t>
      </w:r>
      <w:r w:rsidR="008343E2" w:rsidRPr="00103EC6">
        <w:rPr>
          <w:rFonts w:ascii="Verdana" w:hAnsi="Verdana"/>
          <w:sz w:val="20"/>
        </w:rPr>
        <w:t>[</w:t>
      </w:r>
      <w:r w:rsidR="004C11A0" w:rsidRPr="00103EC6">
        <w:rPr>
          <w:rFonts w:ascii="Verdana" w:hAnsi="Verdana"/>
          <w:sz w:val="20"/>
        </w:rPr>
        <w:t>trabajadores</w:t>
      </w:r>
      <w:r w:rsidR="008343E2" w:rsidRPr="00103EC6">
        <w:rPr>
          <w:rFonts w:ascii="Verdana" w:hAnsi="Verdana"/>
          <w:sz w:val="20"/>
        </w:rPr>
        <w:t>]</w:t>
      </w:r>
      <w:r w:rsidR="004C11A0" w:rsidRPr="00103EC6">
        <w:rPr>
          <w:rFonts w:ascii="Verdana" w:hAnsi="Verdana"/>
          <w:sz w:val="20"/>
        </w:rPr>
        <w:t xml:space="preserve"> </w:t>
      </w:r>
      <w:r w:rsidR="00491253" w:rsidRPr="00103EC6">
        <w:rPr>
          <w:rFonts w:ascii="Verdana" w:hAnsi="Verdana"/>
          <w:sz w:val="20"/>
        </w:rPr>
        <w:t xml:space="preserve">víctimas </w:t>
      </w:r>
      <w:r w:rsidR="008343E2" w:rsidRPr="00103EC6">
        <w:rPr>
          <w:rFonts w:ascii="Verdana" w:hAnsi="Verdana"/>
          <w:sz w:val="20"/>
        </w:rPr>
        <w:t>[</w:t>
      </w:r>
      <w:r w:rsidR="00491253" w:rsidRPr="00103EC6">
        <w:rPr>
          <w:rFonts w:ascii="Verdana" w:hAnsi="Verdana"/>
          <w:sz w:val="20"/>
        </w:rPr>
        <w:t>de este</w:t>
      </w:r>
      <w:r w:rsidR="008343E2" w:rsidRPr="00103EC6">
        <w:rPr>
          <w:rFonts w:ascii="Verdana" w:hAnsi="Verdana"/>
          <w:sz w:val="20"/>
        </w:rPr>
        <w:t>]</w:t>
      </w:r>
      <w:r w:rsidR="00491253" w:rsidRPr="00103EC6">
        <w:rPr>
          <w:rFonts w:ascii="Verdana" w:hAnsi="Verdana"/>
          <w:sz w:val="20"/>
        </w:rPr>
        <w:t xml:space="preserve"> caso</w:t>
      </w:r>
      <w:r w:rsidR="00E56623" w:rsidRPr="00103EC6">
        <w:rPr>
          <w:rFonts w:ascii="Verdana" w:hAnsi="Verdana"/>
          <w:sz w:val="20"/>
        </w:rPr>
        <w:t>”</w:t>
      </w:r>
      <w:r w:rsidR="00491253" w:rsidRPr="00103EC6">
        <w:rPr>
          <w:rFonts w:ascii="Verdana" w:hAnsi="Verdana"/>
          <w:sz w:val="20"/>
        </w:rPr>
        <w:t xml:space="preserve">, por el </w:t>
      </w:r>
      <w:r w:rsidR="00335B1B" w:rsidRPr="00103EC6">
        <w:rPr>
          <w:rFonts w:ascii="Verdana" w:hAnsi="Verdana"/>
          <w:sz w:val="20"/>
        </w:rPr>
        <w:t xml:space="preserve">período </w:t>
      </w:r>
      <w:r w:rsidR="00491253" w:rsidRPr="00103EC6">
        <w:rPr>
          <w:rFonts w:ascii="Verdana" w:hAnsi="Verdana"/>
          <w:sz w:val="20"/>
        </w:rPr>
        <w:t xml:space="preserve">comprendido entre </w:t>
      </w:r>
      <w:r w:rsidR="00335B1B" w:rsidRPr="00103EC6">
        <w:rPr>
          <w:rFonts w:ascii="Verdana" w:hAnsi="Verdana"/>
          <w:sz w:val="20"/>
        </w:rPr>
        <w:t>diciembre de 1990 a enero de 2001</w:t>
      </w:r>
      <w:r w:rsidR="00491253" w:rsidRPr="00103EC6">
        <w:rPr>
          <w:rFonts w:ascii="Verdana" w:hAnsi="Verdana"/>
          <w:sz w:val="20"/>
        </w:rPr>
        <w:t>,</w:t>
      </w:r>
      <w:r w:rsidR="00335B1B" w:rsidRPr="003E2228">
        <w:rPr>
          <w:rFonts w:ascii="Verdana" w:hAnsi="Verdana"/>
          <w:sz w:val="20"/>
        </w:rPr>
        <w:t xml:space="preserve"> </w:t>
      </w:r>
      <w:r w:rsidR="00491253" w:rsidRPr="003E2228">
        <w:rPr>
          <w:rFonts w:ascii="Verdana" w:hAnsi="Verdana"/>
          <w:sz w:val="20"/>
        </w:rPr>
        <w:t>así como</w:t>
      </w:r>
      <w:r w:rsidR="004C11A0" w:rsidRPr="00DE2A7F">
        <w:rPr>
          <w:rFonts w:ascii="Verdana" w:hAnsi="Verdana"/>
          <w:sz w:val="20"/>
        </w:rPr>
        <w:t xml:space="preserve"> que la gestión de cobro estaba ante la Contraloría General de la República para su referendo. </w:t>
      </w:r>
      <w:r w:rsidR="00AB7386">
        <w:rPr>
          <w:rFonts w:ascii="Verdana" w:hAnsi="Verdana"/>
          <w:sz w:val="16"/>
        </w:rPr>
        <w:t xml:space="preserve"> </w:t>
      </w:r>
      <w:r w:rsidR="004C11A0" w:rsidRPr="004848C5">
        <w:rPr>
          <w:rFonts w:ascii="Verdana" w:hAnsi="Verdana"/>
          <w:sz w:val="20"/>
        </w:rPr>
        <w:t xml:space="preserve">Posteriormente, </w:t>
      </w:r>
      <w:r w:rsidR="004C11A0" w:rsidRPr="00103EC6">
        <w:rPr>
          <w:rFonts w:ascii="Verdana" w:hAnsi="Verdana"/>
          <w:sz w:val="20"/>
        </w:rPr>
        <w:t xml:space="preserve">en octubre de ese mismo año informó que </w:t>
      </w:r>
      <w:r w:rsidR="00D62D8E" w:rsidRPr="00103EC6">
        <w:rPr>
          <w:rFonts w:ascii="Verdana" w:hAnsi="Verdana"/>
          <w:sz w:val="20"/>
        </w:rPr>
        <w:t>mediante</w:t>
      </w:r>
      <w:r w:rsidR="00CB423D" w:rsidRPr="00103EC6">
        <w:rPr>
          <w:rFonts w:ascii="Verdana" w:hAnsi="Verdana"/>
          <w:sz w:val="20"/>
        </w:rPr>
        <w:t xml:space="preserve"> una</w:t>
      </w:r>
      <w:r w:rsidR="00D62D8E" w:rsidRPr="00103EC6">
        <w:rPr>
          <w:rFonts w:ascii="Verdana" w:hAnsi="Verdana"/>
          <w:sz w:val="20"/>
        </w:rPr>
        <w:t xml:space="preserve"> nueva</w:t>
      </w:r>
      <w:r w:rsidR="00CB423D" w:rsidRPr="00103EC6">
        <w:rPr>
          <w:rFonts w:ascii="Verdana" w:hAnsi="Verdana"/>
          <w:sz w:val="20"/>
        </w:rPr>
        <w:t xml:space="preserve"> ley </w:t>
      </w:r>
      <w:r w:rsidR="00D62D8E" w:rsidRPr="00103EC6">
        <w:rPr>
          <w:rFonts w:ascii="Verdana" w:hAnsi="Verdana"/>
          <w:sz w:val="20"/>
        </w:rPr>
        <w:t>se había aprobado una amnistía tributaria, la cual, entre otros aspectos, “</w:t>
      </w:r>
      <w:proofErr w:type="spellStart"/>
      <w:r w:rsidR="00D62D8E" w:rsidRPr="00103EC6">
        <w:rPr>
          <w:rFonts w:ascii="Verdana" w:hAnsi="Verdana"/>
          <w:sz w:val="20"/>
        </w:rPr>
        <w:t>conced</w:t>
      </w:r>
      <w:proofErr w:type="spellEnd"/>
      <w:r w:rsidR="00D62D8E" w:rsidRPr="00103EC6">
        <w:rPr>
          <w:rFonts w:ascii="Verdana" w:hAnsi="Verdana"/>
          <w:sz w:val="20"/>
        </w:rPr>
        <w:t>[</w:t>
      </w:r>
      <w:proofErr w:type="spellStart"/>
      <w:r w:rsidR="00D62D8E" w:rsidRPr="00103EC6">
        <w:rPr>
          <w:rFonts w:ascii="Verdana" w:hAnsi="Verdana"/>
          <w:sz w:val="20"/>
        </w:rPr>
        <w:t>ía</w:t>
      </w:r>
      <w:proofErr w:type="spellEnd"/>
      <w:r w:rsidR="00D62D8E" w:rsidRPr="00103EC6">
        <w:rPr>
          <w:rFonts w:ascii="Verdana" w:hAnsi="Verdana"/>
          <w:sz w:val="20"/>
        </w:rPr>
        <w:t>] un período de moratoria hasta el 31 de diciembre de 2019</w:t>
      </w:r>
      <w:r w:rsidR="00C45E76">
        <w:rPr>
          <w:rFonts w:ascii="Verdana" w:hAnsi="Verdana"/>
          <w:sz w:val="20"/>
        </w:rPr>
        <w:t>,</w:t>
      </w:r>
      <w:r w:rsidR="00D62D8E" w:rsidRPr="00103EC6">
        <w:rPr>
          <w:rFonts w:ascii="Verdana" w:hAnsi="Verdana"/>
          <w:sz w:val="20"/>
        </w:rPr>
        <w:t xml:space="preserve"> a los intereses y recargos de las cuotas empleado-empleador de l</w:t>
      </w:r>
      <w:r w:rsidR="00491253" w:rsidRPr="00103EC6">
        <w:rPr>
          <w:rFonts w:ascii="Verdana" w:hAnsi="Verdana"/>
          <w:sz w:val="20"/>
        </w:rPr>
        <w:t xml:space="preserve">a Caja de Seguro Social que </w:t>
      </w:r>
      <w:proofErr w:type="spellStart"/>
      <w:r w:rsidR="00491253" w:rsidRPr="00103EC6">
        <w:rPr>
          <w:rFonts w:ascii="Verdana" w:hAnsi="Verdana"/>
          <w:sz w:val="20"/>
        </w:rPr>
        <w:t>deb</w:t>
      </w:r>
      <w:proofErr w:type="spellEnd"/>
      <w:r w:rsidR="00491253" w:rsidRPr="00103EC6">
        <w:rPr>
          <w:rFonts w:ascii="Verdana" w:hAnsi="Verdana"/>
          <w:sz w:val="20"/>
        </w:rPr>
        <w:t>[</w:t>
      </w:r>
      <w:proofErr w:type="spellStart"/>
      <w:r w:rsidR="00491253" w:rsidRPr="00103EC6">
        <w:rPr>
          <w:rFonts w:ascii="Verdana" w:hAnsi="Verdana"/>
          <w:sz w:val="20"/>
        </w:rPr>
        <w:t>ía</w:t>
      </w:r>
      <w:proofErr w:type="spellEnd"/>
      <w:r w:rsidR="00491253" w:rsidRPr="00103EC6">
        <w:rPr>
          <w:rFonts w:ascii="Verdana" w:hAnsi="Verdana"/>
          <w:sz w:val="20"/>
        </w:rPr>
        <w:t>]</w:t>
      </w:r>
      <w:r w:rsidR="00D62D8E" w:rsidRPr="00103EC6">
        <w:rPr>
          <w:rFonts w:ascii="Verdana" w:hAnsi="Verdana"/>
          <w:sz w:val="20"/>
        </w:rPr>
        <w:t xml:space="preserve"> pagar el Estado a los extrabajadores afectados por la Ley 25 de 1990”</w:t>
      </w:r>
      <w:r w:rsidR="00D62D8E" w:rsidRPr="00103EC6">
        <w:rPr>
          <w:rStyle w:val="Refdenotaalpie"/>
          <w:rFonts w:ascii="Verdana" w:hAnsi="Verdana"/>
          <w:sz w:val="20"/>
        </w:rPr>
        <w:footnoteReference w:id="29"/>
      </w:r>
      <w:r w:rsidR="00D62D8E" w:rsidRPr="00103EC6">
        <w:rPr>
          <w:rFonts w:ascii="Verdana" w:hAnsi="Verdana"/>
          <w:sz w:val="20"/>
        </w:rPr>
        <w:t>.</w:t>
      </w:r>
      <w:r w:rsidR="009944F0" w:rsidRPr="003E2228">
        <w:rPr>
          <w:rFonts w:ascii="Verdana" w:hAnsi="Verdana"/>
          <w:b/>
          <w:sz w:val="16"/>
        </w:rPr>
        <w:t xml:space="preserve"> </w:t>
      </w:r>
      <w:r w:rsidR="009944F0" w:rsidRPr="00103EC6">
        <w:rPr>
          <w:rFonts w:ascii="Verdana" w:hAnsi="Verdana"/>
          <w:sz w:val="20"/>
        </w:rPr>
        <w:t>En febrero de 2020</w:t>
      </w:r>
      <w:r w:rsidR="00C655DB">
        <w:rPr>
          <w:rFonts w:ascii="Verdana" w:hAnsi="Verdana"/>
          <w:sz w:val="20"/>
        </w:rPr>
        <w:t>,</w:t>
      </w:r>
      <w:r w:rsidR="009944F0" w:rsidRPr="00103EC6">
        <w:rPr>
          <w:rFonts w:ascii="Verdana" w:hAnsi="Verdana"/>
          <w:sz w:val="20"/>
        </w:rPr>
        <w:t xml:space="preserve"> comunicó que </w:t>
      </w:r>
      <w:r w:rsidR="005E51C7" w:rsidRPr="00103EC6">
        <w:rPr>
          <w:rFonts w:ascii="Verdana" w:hAnsi="Verdana"/>
          <w:sz w:val="20"/>
        </w:rPr>
        <w:t>“</w:t>
      </w:r>
      <w:r w:rsidR="00C45E76">
        <w:rPr>
          <w:rFonts w:ascii="Verdana" w:hAnsi="Verdana"/>
          <w:sz w:val="20"/>
        </w:rPr>
        <w:t>[</w:t>
      </w:r>
      <w:r w:rsidR="005E51C7" w:rsidRPr="00103EC6">
        <w:rPr>
          <w:rFonts w:ascii="Verdana" w:hAnsi="Verdana"/>
          <w:sz w:val="20"/>
        </w:rPr>
        <w:t>el</w:t>
      </w:r>
      <w:r w:rsidR="00C45E76">
        <w:rPr>
          <w:rFonts w:ascii="Verdana" w:hAnsi="Verdana"/>
          <w:sz w:val="20"/>
        </w:rPr>
        <w:t>]</w:t>
      </w:r>
      <w:r w:rsidR="005E51C7" w:rsidRPr="00103EC6">
        <w:rPr>
          <w:rFonts w:ascii="Verdana" w:hAnsi="Verdana"/>
          <w:sz w:val="20"/>
        </w:rPr>
        <w:t xml:space="preserve"> 2 de diciembre de 2019, el Gobierno Nacional le hizo un pago a la Caja de Seguro Social por la suma de B./5,172,780.52, para el pago de las </w:t>
      </w:r>
      <w:r w:rsidR="00335B1B" w:rsidRPr="00103EC6">
        <w:rPr>
          <w:rFonts w:ascii="Verdana" w:hAnsi="Verdana"/>
          <w:sz w:val="20"/>
        </w:rPr>
        <w:t xml:space="preserve">[referidas] </w:t>
      </w:r>
      <w:r w:rsidR="00491253" w:rsidRPr="00103EC6">
        <w:rPr>
          <w:rFonts w:ascii="Verdana" w:hAnsi="Verdana"/>
          <w:sz w:val="20"/>
        </w:rPr>
        <w:t>cuotas obrero-</w:t>
      </w:r>
      <w:r w:rsidR="005E51C7" w:rsidRPr="00103EC6">
        <w:rPr>
          <w:rFonts w:ascii="Verdana" w:hAnsi="Verdana"/>
          <w:sz w:val="20"/>
        </w:rPr>
        <w:t>patronales en cumplimiento de la sentencia [de este caso]”</w:t>
      </w:r>
      <w:r w:rsidR="00BC4AED" w:rsidRPr="00103EC6">
        <w:rPr>
          <w:rFonts w:ascii="Verdana" w:hAnsi="Verdana"/>
          <w:sz w:val="20"/>
        </w:rPr>
        <w:t>,</w:t>
      </w:r>
      <w:r w:rsidR="00BC4AED" w:rsidRPr="00103EC6">
        <w:rPr>
          <w:rFonts w:ascii="Verdana" w:hAnsi="Verdana"/>
          <w:b/>
          <w:sz w:val="16"/>
        </w:rPr>
        <w:t xml:space="preserve"> </w:t>
      </w:r>
      <w:r w:rsidR="00BC4AED" w:rsidRPr="00103EC6">
        <w:rPr>
          <w:rFonts w:ascii="Verdana" w:hAnsi="Verdana"/>
          <w:sz w:val="20"/>
        </w:rPr>
        <w:t>y que dicha institución “demora[</w:t>
      </w:r>
      <w:proofErr w:type="spellStart"/>
      <w:r w:rsidR="00BC4AED" w:rsidRPr="00103EC6">
        <w:rPr>
          <w:rFonts w:ascii="Verdana" w:hAnsi="Verdana"/>
          <w:sz w:val="20"/>
        </w:rPr>
        <w:t>ba</w:t>
      </w:r>
      <w:proofErr w:type="spellEnd"/>
      <w:r w:rsidR="00BC4AED" w:rsidRPr="00103EC6">
        <w:rPr>
          <w:rFonts w:ascii="Verdana" w:hAnsi="Verdana"/>
          <w:sz w:val="20"/>
        </w:rPr>
        <w:t xml:space="preserve">] de tres a cuatro meses en procesar el pago y que éste </w:t>
      </w:r>
      <w:r w:rsidR="00491253" w:rsidRPr="00103EC6">
        <w:rPr>
          <w:rFonts w:ascii="Verdana" w:hAnsi="Verdana"/>
          <w:sz w:val="20"/>
        </w:rPr>
        <w:t>[fuera]</w:t>
      </w:r>
      <w:r w:rsidR="00BC4AED" w:rsidRPr="00103EC6">
        <w:rPr>
          <w:rFonts w:ascii="Verdana" w:hAnsi="Verdana"/>
          <w:sz w:val="20"/>
        </w:rPr>
        <w:t xml:space="preserve"> acreditado a las cuotas de los extrabajadores”. </w:t>
      </w:r>
      <w:r w:rsidR="00335B1B" w:rsidRPr="00103EC6">
        <w:rPr>
          <w:rFonts w:ascii="Verdana" w:hAnsi="Verdana"/>
          <w:b/>
          <w:sz w:val="16"/>
        </w:rPr>
        <w:t xml:space="preserve"> </w:t>
      </w:r>
    </w:p>
    <w:p w14:paraId="304881CF" w14:textId="77777777" w:rsidR="00BC4AED" w:rsidRPr="00103EC6" w:rsidRDefault="00335B1B" w:rsidP="008C268A">
      <w:pPr>
        <w:numPr>
          <w:ilvl w:val="0"/>
          <w:numId w:val="1"/>
        </w:numPr>
        <w:tabs>
          <w:tab w:val="clear" w:pos="1080"/>
          <w:tab w:val="num" w:pos="0"/>
        </w:tabs>
        <w:spacing w:before="120" w:after="120"/>
        <w:ind w:left="0" w:firstLine="0"/>
        <w:jc w:val="both"/>
        <w:rPr>
          <w:rFonts w:ascii="Verdana" w:hAnsi="Verdana"/>
          <w:b/>
          <w:sz w:val="20"/>
        </w:rPr>
      </w:pPr>
      <w:r w:rsidRPr="003E2228">
        <w:rPr>
          <w:rFonts w:ascii="Verdana" w:hAnsi="Verdana"/>
          <w:sz w:val="20"/>
        </w:rPr>
        <w:t xml:space="preserve">De acuerdo con </w:t>
      </w:r>
      <w:r w:rsidR="007611BA">
        <w:rPr>
          <w:rFonts w:ascii="Verdana" w:hAnsi="Verdana"/>
          <w:sz w:val="20"/>
        </w:rPr>
        <w:t xml:space="preserve">la </w:t>
      </w:r>
      <w:r w:rsidRPr="003E2228">
        <w:rPr>
          <w:rFonts w:ascii="Verdana" w:hAnsi="Verdana"/>
          <w:sz w:val="20"/>
        </w:rPr>
        <w:t xml:space="preserve">información aportada </w:t>
      </w:r>
      <w:r w:rsidR="00C655DB" w:rsidRPr="00DE2A7F">
        <w:rPr>
          <w:rFonts w:ascii="Verdana" w:hAnsi="Verdana"/>
          <w:sz w:val="20"/>
        </w:rPr>
        <w:t>durante el 2021</w:t>
      </w:r>
      <w:r w:rsidR="00C655DB">
        <w:rPr>
          <w:rFonts w:ascii="Verdana" w:hAnsi="Verdana"/>
          <w:sz w:val="20"/>
        </w:rPr>
        <w:t xml:space="preserve"> </w:t>
      </w:r>
      <w:r w:rsidRPr="003E2228">
        <w:rPr>
          <w:rFonts w:ascii="Verdana" w:hAnsi="Verdana"/>
          <w:sz w:val="20"/>
        </w:rPr>
        <w:t>por el Estad</w:t>
      </w:r>
      <w:r w:rsidR="002669C8" w:rsidRPr="003E2228">
        <w:rPr>
          <w:rFonts w:ascii="Verdana" w:hAnsi="Verdana"/>
          <w:sz w:val="20"/>
        </w:rPr>
        <w:t>o</w:t>
      </w:r>
      <w:r w:rsidR="00F66850" w:rsidRPr="003E2228">
        <w:rPr>
          <w:rStyle w:val="Refdenotaalpie"/>
          <w:rFonts w:ascii="Verdana" w:hAnsi="Verdana"/>
          <w:sz w:val="20"/>
        </w:rPr>
        <w:footnoteReference w:id="30"/>
      </w:r>
      <w:r w:rsidRPr="003E2228">
        <w:rPr>
          <w:rFonts w:ascii="Verdana" w:hAnsi="Verdana"/>
          <w:sz w:val="20"/>
        </w:rPr>
        <w:t xml:space="preserve"> </w:t>
      </w:r>
      <w:r w:rsidR="00D2740B" w:rsidRPr="003E2228">
        <w:rPr>
          <w:rFonts w:ascii="Verdana" w:hAnsi="Verdana"/>
          <w:sz w:val="16"/>
        </w:rPr>
        <w:t xml:space="preserve"> </w:t>
      </w:r>
      <w:r w:rsidRPr="00DE2A7F">
        <w:rPr>
          <w:rFonts w:ascii="Verdana" w:hAnsi="Verdana"/>
          <w:sz w:val="20"/>
        </w:rPr>
        <w:t xml:space="preserve">y por varias de las víctimas del caso, </w:t>
      </w:r>
      <w:r w:rsidR="00C655DB">
        <w:rPr>
          <w:rFonts w:ascii="Verdana" w:hAnsi="Verdana"/>
          <w:sz w:val="20"/>
        </w:rPr>
        <w:t xml:space="preserve">se ha constatado que </w:t>
      </w:r>
      <w:r w:rsidR="004F47F1" w:rsidRPr="00103EC6">
        <w:rPr>
          <w:rFonts w:ascii="Verdana" w:hAnsi="Verdana"/>
          <w:sz w:val="20"/>
        </w:rPr>
        <w:t>dichas</w:t>
      </w:r>
      <w:r w:rsidRPr="00103EC6">
        <w:rPr>
          <w:rFonts w:ascii="Verdana" w:hAnsi="Verdana"/>
          <w:sz w:val="20"/>
        </w:rPr>
        <w:t xml:space="preserve"> cuotas </w:t>
      </w:r>
      <w:r w:rsidR="004F47F1" w:rsidRPr="00103EC6">
        <w:rPr>
          <w:rFonts w:ascii="Verdana" w:hAnsi="Verdana"/>
          <w:sz w:val="20"/>
        </w:rPr>
        <w:t xml:space="preserve">a la Caja de Seguro Social </w:t>
      </w:r>
      <w:r w:rsidRPr="00103EC6">
        <w:rPr>
          <w:rFonts w:ascii="Verdana" w:hAnsi="Verdana"/>
          <w:sz w:val="20"/>
        </w:rPr>
        <w:t xml:space="preserve">ya han sido acreditadas a </w:t>
      </w:r>
      <w:r w:rsidR="00EF1492" w:rsidRPr="00103EC6">
        <w:rPr>
          <w:rFonts w:ascii="Verdana" w:hAnsi="Verdana"/>
          <w:sz w:val="20"/>
        </w:rPr>
        <w:t xml:space="preserve">las cotizaciones de </w:t>
      </w:r>
      <w:r w:rsidRPr="00103EC6">
        <w:rPr>
          <w:rFonts w:ascii="Verdana" w:hAnsi="Verdana"/>
          <w:sz w:val="20"/>
        </w:rPr>
        <w:t>cada un</w:t>
      </w:r>
      <w:r w:rsidR="00D2740B" w:rsidRPr="00103EC6">
        <w:rPr>
          <w:rFonts w:ascii="Verdana" w:hAnsi="Verdana"/>
          <w:sz w:val="20"/>
        </w:rPr>
        <w:t>a de las 270 víctimas</w:t>
      </w:r>
      <w:r w:rsidR="00EF1492" w:rsidRPr="00103EC6">
        <w:rPr>
          <w:rFonts w:ascii="Verdana" w:hAnsi="Verdana"/>
          <w:sz w:val="20"/>
        </w:rPr>
        <w:t xml:space="preserve">. </w:t>
      </w:r>
      <w:r w:rsidR="00977825" w:rsidRPr="00103EC6">
        <w:rPr>
          <w:rFonts w:ascii="Verdana" w:hAnsi="Verdana"/>
          <w:sz w:val="20"/>
        </w:rPr>
        <w:t>Panamá sostuvo que con este pago de las cuotas obrero-patronales “</w:t>
      </w:r>
      <w:proofErr w:type="spellStart"/>
      <w:r w:rsidR="00977825" w:rsidRPr="00103EC6">
        <w:rPr>
          <w:rFonts w:ascii="Verdana" w:hAnsi="Verdana"/>
          <w:sz w:val="20"/>
        </w:rPr>
        <w:t>cumpl</w:t>
      </w:r>
      <w:proofErr w:type="spellEnd"/>
      <w:r w:rsidR="00977825" w:rsidRPr="00103EC6">
        <w:rPr>
          <w:rFonts w:ascii="Verdana" w:hAnsi="Verdana"/>
          <w:sz w:val="20"/>
        </w:rPr>
        <w:t>[</w:t>
      </w:r>
      <w:proofErr w:type="spellStart"/>
      <w:r w:rsidR="00977825" w:rsidRPr="00103EC6">
        <w:rPr>
          <w:rFonts w:ascii="Verdana" w:hAnsi="Verdana"/>
          <w:sz w:val="20"/>
        </w:rPr>
        <w:t>ió</w:t>
      </w:r>
      <w:proofErr w:type="spellEnd"/>
      <w:r w:rsidR="00977825" w:rsidRPr="00103EC6">
        <w:rPr>
          <w:rFonts w:ascii="Verdana" w:hAnsi="Verdana"/>
          <w:sz w:val="20"/>
        </w:rPr>
        <w:t xml:space="preserve">] en su totalidad con lo ordenado por la Corte Interamericana […], razón por la cual </w:t>
      </w:r>
      <w:r w:rsidR="00131597" w:rsidRPr="00103EC6">
        <w:rPr>
          <w:rFonts w:ascii="Verdana" w:hAnsi="Verdana"/>
          <w:sz w:val="20"/>
        </w:rPr>
        <w:t xml:space="preserve">[reiteró la] </w:t>
      </w:r>
      <w:proofErr w:type="spellStart"/>
      <w:proofErr w:type="gramStart"/>
      <w:r w:rsidR="00977825" w:rsidRPr="00103EC6">
        <w:rPr>
          <w:rFonts w:ascii="Verdana" w:hAnsi="Verdana"/>
          <w:sz w:val="20"/>
        </w:rPr>
        <w:t>sol</w:t>
      </w:r>
      <w:r w:rsidR="00131597" w:rsidRPr="00103EC6">
        <w:rPr>
          <w:rFonts w:ascii="Verdana" w:hAnsi="Verdana"/>
          <w:sz w:val="20"/>
        </w:rPr>
        <w:t>icit</w:t>
      </w:r>
      <w:proofErr w:type="spellEnd"/>
      <w:r w:rsidR="00131597" w:rsidRPr="00103EC6">
        <w:rPr>
          <w:rFonts w:ascii="Verdana" w:hAnsi="Verdana"/>
          <w:sz w:val="20"/>
        </w:rPr>
        <w:t>[</w:t>
      </w:r>
      <w:proofErr w:type="spellStart"/>
      <w:proofErr w:type="gramEnd"/>
      <w:r w:rsidR="00131597" w:rsidRPr="00103EC6">
        <w:rPr>
          <w:rFonts w:ascii="Verdana" w:hAnsi="Verdana"/>
          <w:sz w:val="20"/>
        </w:rPr>
        <w:t>ud</w:t>
      </w:r>
      <w:proofErr w:type="spellEnd"/>
      <w:r w:rsidR="00131597" w:rsidRPr="00103EC6">
        <w:rPr>
          <w:rFonts w:ascii="Verdana" w:hAnsi="Verdana"/>
          <w:sz w:val="20"/>
        </w:rPr>
        <w:t xml:space="preserve"> de</w:t>
      </w:r>
      <w:r w:rsidR="00977825" w:rsidRPr="00103EC6">
        <w:rPr>
          <w:rFonts w:ascii="Verdana" w:hAnsi="Verdana"/>
          <w:sz w:val="20"/>
        </w:rPr>
        <w:t>] cierre del caso”.</w:t>
      </w:r>
      <w:r w:rsidR="00BC4AED" w:rsidRPr="00103EC6">
        <w:rPr>
          <w:rFonts w:ascii="Verdana" w:hAnsi="Verdana"/>
          <w:b/>
          <w:sz w:val="20"/>
        </w:rPr>
        <w:t xml:space="preserve"> </w:t>
      </w:r>
    </w:p>
    <w:p w14:paraId="68A8ABED" w14:textId="77777777" w:rsidR="004F6600" w:rsidRPr="00503CD6" w:rsidRDefault="004F47F1" w:rsidP="009945C2">
      <w:pPr>
        <w:numPr>
          <w:ilvl w:val="0"/>
          <w:numId w:val="1"/>
        </w:numPr>
        <w:tabs>
          <w:tab w:val="clear" w:pos="1080"/>
          <w:tab w:val="num" w:pos="0"/>
        </w:tabs>
        <w:spacing w:before="120" w:after="120"/>
        <w:ind w:left="0" w:firstLine="0"/>
        <w:jc w:val="both"/>
        <w:rPr>
          <w:rFonts w:ascii="Verdana" w:hAnsi="Verdana"/>
          <w:sz w:val="20"/>
        </w:rPr>
      </w:pPr>
      <w:r w:rsidRPr="00503CD6">
        <w:rPr>
          <w:rFonts w:ascii="Verdana" w:hAnsi="Verdana"/>
          <w:sz w:val="20"/>
        </w:rPr>
        <w:t>L</w:t>
      </w:r>
      <w:r w:rsidR="00977825" w:rsidRPr="00503CD6">
        <w:rPr>
          <w:rFonts w:ascii="Verdana" w:hAnsi="Verdana"/>
          <w:sz w:val="20"/>
        </w:rPr>
        <w:t xml:space="preserve">a Corte valora </w:t>
      </w:r>
      <w:r w:rsidRPr="00503CD6">
        <w:rPr>
          <w:rFonts w:ascii="Verdana" w:hAnsi="Verdana"/>
          <w:sz w:val="20"/>
        </w:rPr>
        <w:t xml:space="preserve">muy </w:t>
      </w:r>
      <w:r w:rsidR="00977825" w:rsidRPr="00503CD6">
        <w:rPr>
          <w:rFonts w:ascii="Verdana" w:hAnsi="Verdana"/>
          <w:sz w:val="20"/>
        </w:rPr>
        <w:t>positivamente</w:t>
      </w:r>
      <w:r w:rsidR="009945C2" w:rsidRPr="00503CD6">
        <w:rPr>
          <w:rFonts w:ascii="Verdana" w:hAnsi="Verdana"/>
          <w:sz w:val="20"/>
        </w:rPr>
        <w:t xml:space="preserve"> </w:t>
      </w:r>
      <w:r w:rsidR="00977825" w:rsidRPr="00503CD6">
        <w:rPr>
          <w:rFonts w:ascii="Verdana" w:hAnsi="Verdana"/>
          <w:sz w:val="20"/>
        </w:rPr>
        <w:t xml:space="preserve">los esfuerzos </w:t>
      </w:r>
      <w:r w:rsidRPr="00503CD6">
        <w:rPr>
          <w:rFonts w:ascii="Verdana" w:hAnsi="Verdana"/>
          <w:sz w:val="20"/>
        </w:rPr>
        <w:t xml:space="preserve">adicionales </w:t>
      </w:r>
      <w:r w:rsidR="00977825" w:rsidRPr="00503CD6">
        <w:rPr>
          <w:rFonts w:ascii="Verdana" w:hAnsi="Verdana"/>
          <w:sz w:val="20"/>
        </w:rPr>
        <w:t>que</w:t>
      </w:r>
      <w:r w:rsidR="00790212" w:rsidRPr="00503CD6">
        <w:rPr>
          <w:rFonts w:ascii="Verdana" w:hAnsi="Verdana"/>
          <w:sz w:val="20"/>
        </w:rPr>
        <w:t xml:space="preserve"> realizó Panamá, fundamentalmente entre los años 2015 y 2020, </w:t>
      </w:r>
      <w:r w:rsidR="00977825" w:rsidRPr="00503CD6">
        <w:rPr>
          <w:rFonts w:ascii="Verdana" w:hAnsi="Verdana"/>
          <w:sz w:val="20"/>
        </w:rPr>
        <w:t xml:space="preserve">para pagar a 120 cuotas obrero-patronales </w:t>
      </w:r>
      <w:r w:rsidR="00094EBC" w:rsidRPr="00503CD6">
        <w:rPr>
          <w:rFonts w:ascii="Verdana" w:hAnsi="Verdana"/>
          <w:sz w:val="20"/>
        </w:rPr>
        <w:t xml:space="preserve">relativas a las 270 víctimas, </w:t>
      </w:r>
      <w:r w:rsidR="00977825" w:rsidRPr="00503CD6">
        <w:rPr>
          <w:rFonts w:ascii="Verdana" w:hAnsi="Verdana"/>
          <w:sz w:val="20"/>
        </w:rPr>
        <w:t>correspondientes al período comprendido entre diciembre de 1990 y enero de 2001</w:t>
      </w:r>
      <w:r w:rsidR="009945C2" w:rsidRPr="00503CD6">
        <w:rPr>
          <w:rFonts w:ascii="Verdana" w:hAnsi="Verdana"/>
          <w:sz w:val="20"/>
        </w:rPr>
        <w:t>,</w:t>
      </w:r>
      <w:r w:rsidR="00977825" w:rsidRPr="00503CD6">
        <w:rPr>
          <w:rFonts w:ascii="Verdana" w:hAnsi="Verdana"/>
          <w:sz w:val="20"/>
        </w:rPr>
        <w:t xml:space="preserve"> </w:t>
      </w:r>
      <w:r w:rsidR="00094EBC" w:rsidRPr="00503CD6">
        <w:rPr>
          <w:rFonts w:ascii="Verdana" w:hAnsi="Verdana"/>
          <w:sz w:val="20"/>
        </w:rPr>
        <w:t>las cuales</w:t>
      </w:r>
      <w:r w:rsidR="00937D55" w:rsidRPr="00503CD6">
        <w:rPr>
          <w:rFonts w:ascii="Verdana" w:hAnsi="Verdana"/>
          <w:sz w:val="20"/>
        </w:rPr>
        <w:t xml:space="preserve"> tendrán un impacto positivo en las posibilidades de las víctimas de acogerse a una pensión, de que sus derechohabientes las reciban y/o de mejorar las pensiones de aquellos que ya se habían acogido a éstas</w:t>
      </w:r>
      <w:r w:rsidR="009945C2" w:rsidRPr="00503CD6">
        <w:rPr>
          <w:rFonts w:ascii="Verdana" w:hAnsi="Verdana"/>
          <w:sz w:val="20"/>
        </w:rPr>
        <w:t xml:space="preserve">. </w:t>
      </w:r>
    </w:p>
    <w:p w14:paraId="29D8991D" w14:textId="77777777" w:rsidR="00A334B0" w:rsidRPr="00103EC6" w:rsidRDefault="009945C2" w:rsidP="00A334B0">
      <w:pPr>
        <w:numPr>
          <w:ilvl w:val="0"/>
          <w:numId w:val="1"/>
        </w:numPr>
        <w:tabs>
          <w:tab w:val="clear" w:pos="1080"/>
          <w:tab w:val="num" w:pos="0"/>
        </w:tabs>
        <w:spacing w:before="120" w:after="120"/>
        <w:ind w:left="0" w:firstLine="0"/>
        <w:jc w:val="both"/>
        <w:rPr>
          <w:rFonts w:ascii="Verdana" w:hAnsi="Verdana"/>
          <w:sz w:val="20"/>
        </w:rPr>
      </w:pPr>
      <w:r w:rsidRPr="003E2228">
        <w:rPr>
          <w:rFonts w:ascii="Verdana" w:hAnsi="Verdana"/>
          <w:sz w:val="20"/>
        </w:rPr>
        <w:lastRenderedPageBreak/>
        <w:t xml:space="preserve">Este Tribunal entiende </w:t>
      </w:r>
      <w:r w:rsidR="00790212" w:rsidRPr="003E2228">
        <w:rPr>
          <w:rFonts w:ascii="Verdana" w:hAnsi="Verdana"/>
          <w:sz w:val="20"/>
        </w:rPr>
        <w:t xml:space="preserve">que </w:t>
      </w:r>
      <w:r w:rsidRPr="00103EC6">
        <w:rPr>
          <w:rFonts w:ascii="Verdana" w:hAnsi="Verdana"/>
          <w:sz w:val="20"/>
        </w:rPr>
        <w:t>a</w:t>
      </w:r>
      <w:r w:rsidR="004F6600" w:rsidRPr="00103EC6">
        <w:rPr>
          <w:rFonts w:ascii="Verdana" w:hAnsi="Verdana"/>
          <w:sz w:val="20"/>
        </w:rPr>
        <w:t>ún pueda</w:t>
      </w:r>
      <w:r w:rsidRPr="00103EC6">
        <w:rPr>
          <w:rFonts w:ascii="Verdana" w:hAnsi="Verdana"/>
          <w:sz w:val="20"/>
        </w:rPr>
        <w:t>n persistir inconformidades de las víctimas en cuanto a cómo se realizaron los cálculos para la acreditación de estas cuotas</w:t>
      </w:r>
      <w:r w:rsidR="00A40E2F" w:rsidRPr="00103EC6">
        <w:rPr>
          <w:rFonts w:ascii="Verdana" w:hAnsi="Verdana"/>
          <w:sz w:val="20"/>
        </w:rPr>
        <w:t>. S</w:t>
      </w:r>
      <w:r w:rsidRPr="00103EC6">
        <w:rPr>
          <w:rFonts w:ascii="Verdana" w:hAnsi="Verdana"/>
          <w:sz w:val="20"/>
        </w:rPr>
        <w:t xml:space="preserve">in embargo, de acuerdo con la información aportada por </w:t>
      </w:r>
      <w:r w:rsidR="00A40E2F" w:rsidRPr="00103EC6">
        <w:rPr>
          <w:rFonts w:ascii="Verdana" w:hAnsi="Verdana"/>
          <w:sz w:val="20"/>
        </w:rPr>
        <w:t>el Estado</w:t>
      </w:r>
      <w:r w:rsidR="00D166A8">
        <w:rPr>
          <w:rFonts w:ascii="Verdana" w:hAnsi="Verdana"/>
          <w:sz w:val="20"/>
        </w:rPr>
        <w:t>,</w:t>
      </w:r>
      <w:r w:rsidRPr="00103EC6">
        <w:rPr>
          <w:rFonts w:ascii="Verdana" w:hAnsi="Verdana"/>
          <w:sz w:val="20"/>
        </w:rPr>
        <w:t xml:space="preserve"> estos reclamos deben plantearse a petición de parte ante la </w:t>
      </w:r>
      <w:r w:rsidR="00390A06">
        <w:rPr>
          <w:rFonts w:ascii="Verdana" w:hAnsi="Verdana"/>
          <w:sz w:val="20"/>
        </w:rPr>
        <w:t>Caja de</w:t>
      </w:r>
      <w:r w:rsidRPr="00103EC6">
        <w:rPr>
          <w:rFonts w:ascii="Verdana" w:hAnsi="Verdana"/>
          <w:sz w:val="20"/>
        </w:rPr>
        <w:t xml:space="preserve"> Seguro Social</w:t>
      </w:r>
      <w:r w:rsidR="00A40E2F" w:rsidRPr="00103EC6">
        <w:rPr>
          <w:rStyle w:val="Refdenotaalpie"/>
          <w:rFonts w:ascii="Verdana" w:hAnsi="Verdana"/>
          <w:sz w:val="20"/>
        </w:rPr>
        <w:footnoteReference w:id="31"/>
      </w:r>
      <w:r w:rsidRPr="00103EC6">
        <w:rPr>
          <w:rFonts w:ascii="Verdana" w:hAnsi="Verdana"/>
          <w:sz w:val="20"/>
        </w:rPr>
        <w:t>. Al respecto, la Corte toma nota de que algunas de las víctimas, especialmente aquellas que se habían acogido a una pensión por vejez</w:t>
      </w:r>
      <w:r w:rsidR="00881768" w:rsidRPr="00103EC6">
        <w:rPr>
          <w:rFonts w:ascii="Verdana" w:hAnsi="Verdana"/>
          <w:sz w:val="20"/>
        </w:rPr>
        <w:t xml:space="preserve"> (normal o anticipada) o por invalidez</w:t>
      </w:r>
      <w:r w:rsidRPr="00103EC6">
        <w:rPr>
          <w:rFonts w:ascii="Verdana" w:hAnsi="Verdana"/>
          <w:sz w:val="20"/>
        </w:rPr>
        <w:t>, han planteado de manera individual reclamos para que</w:t>
      </w:r>
      <w:r w:rsidR="00DE4C6C">
        <w:rPr>
          <w:rFonts w:ascii="Verdana" w:hAnsi="Verdana"/>
          <w:sz w:val="20"/>
        </w:rPr>
        <w:t xml:space="preserve"> se realicen nuevos cálculos, lo</w:t>
      </w:r>
      <w:r w:rsidRPr="00103EC6">
        <w:rPr>
          <w:rFonts w:ascii="Verdana" w:hAnsi="Verdana"/>
          <w:sz w:val="20"/>
        </w:rPr>
        <w:t>s cuales están siendo atendid</w:t>
      </w:r>
      <w:r w:rsidR="00DE4C6C">
        <w:rPr>
          <w:rFonts w:ascii="Verdana" w:hAnsi="Verdana"/>
          <w:sz w:val="20"/>
        </w:rPr>
        <w:t>o</w:t>
      </w:r>
      <w:r w:rsidRPr="00103EC6">
        <w:rPr>
          <w:rFonts w:ascii="Verdana" w:hAnsi="Verdana"/>
          <w:sz w:val="20"/>
        </w:rPr>
        <w:t xml:space="preserve">s por dicha entidad. </w:t>
      </w:r>
      <w:r w:rsidR="004F6600" w:rsidRPr="00103EC6">
        <w:rPr>
          <w:rFonts w:ascii="Verdana" w:hAnsi="Verdana"/>
          <w:sz w:val="20"/>
        </w:rPr>
        <w:t>En ese entendido, la Corte no supervisará ni atenderá asuntos que se relacionen con esos reclamos.</w:t>
      </w:r>
    </w:p>
    <w:p w14:paraId="7576A43B" w14:textId="77777777" w:rsidR="00A334B0" w:rsidRPr="003E2228" w:rsidRDefault="00A334B0" w:rsidP="00A334B0">
      <w:pPr>
        <w:spacing w:before="120" w:after="120"/>
        <w:jc w:val="both"/>
        <w:rPr>
          <w:rFonts w:ascii="Verdana" w:hAnsi="Verdana"/>
          <w:sz w:val="20"/>
        </w:rPr>
      </w:pPr>
    </w:p>
    <w:p w14:paraId="63875C33" w14:textId="77777777" w:rsidR="00A334B0" w:rsidRPr="00DE2A7F" w:rsidRDefault="00A334B0" w:rsidP="00A334B0">
      <w:pPr>
        <w:pStyle w:val="Textoindependiente2"/>
        <w:numPr>
          <w:ilvl w:val="0"/>
          <w:numId w:val="37"/>
        </w:numPr>
        <w:spacing w:before="120" w:after="120"/>
        <w:ind w:hanging="371"/>
        <w:outlineLvl w:val="0"/>
        <w:rPr>
          <w:b/>
          <w:i/>
        </w:rPr>
      </w:pPr>
      <w:r w:rsidRPr="00DE2A7F">
        <w:rPr>
          <w:i/>
        </w:rPr>
        <w:t xml:space="preserve"> </w:t>
      </w:r>
      <w:bookmarkStart w:id="6" w:name="_Toc79418121"/>
      <w:r w:rsidRPr="00DE2A7F">
        <w:rPr>
          <w:b/>
          <w:i/>
        </w:rPr>
        <w:t>Conclusión</w:t>
      </w:r>
      <w:bookmarkEnd w:id="6"/>
    </w:p>
    <w:p w14:paraId="5AE8F89A" w14:textId="77777777" w:rsidR="009533A2" w:rsidRPr="00103EC6" w:rsidRDefault="008269F2" w:rsidP="008269F2">
      <w:pPr>
        <w:numPr>
          <w:ilvl w:val="0"/>
          <w:numId w:val="1"/>
        </w:numPr>
        <w:tabs>
          <w:tab w:val="clear" w:pos="1080"/>
          <w:tab w:val="num" w:pos="0"/>
        </w:tabs>
        <w:spacing w:before="120" w:after="120"/>
        <w:ind w:left="0" w:firstLine="0"/>
        <w:jc w:val="both"/>
        <w:rPr>
          <w:rFonts w:ascii="Verdana" w:hAnsi="Verdana"/>
          <w:sz w:val="20"/>
        </w:rPr>
      </w:pPr>
      <w:r w:rsidRPr="004848C5">
        <w:rPr>
          <w:rFonts w:ascii="Verdana" w:hAnsi="Verdana"/>
          <w:sz w:val="20"/>
        </w:rPr>
        <w:t>La Corte observa que en cumplimiento de la Sentencia y lo dispuesto en las resoluciones de supervisión de cumplimiento de este caso</w:t>
      </w:r>
      <w:r w:rsidR="00D166A8">
        <w:rPr>
          <w:rFonts w:ascii="Verdana" w:hAnsi="Verdana"/>
          <w:sz w:val="20"/>
        </w:rPr>
        <w:t>,</w:t>
      </w:r>
      <w:r w:rsidRPr="004848C5">
        <w:rPr>
          <w:rFonts w:ascii="Verdana" w:hAnsi="Verdana"/>
          <w:sz w:val="20"/>
        </w:rPr>
        <w:t xml:space="preserve"> </w:t>
      </w:r>
      <w:r w:rsidRPr="00103EC6">
        <w:rPr>
          <w:rFonts w:ascii="Verdana" w:hAnsi="Verdana"/>
          <w:sz w:val="20"/>
        </w:rPr>
        <w:t>el Estado ha pagado a las víctimas de este caso</w:t>
      </w:r>
      <w:r w:rsidR="00FF24F0">
        <w:rPr>
          <w:rFonts w:ascii="Verdana" w:hAnsi="Verdana"/>
          <w:sz w:val="20"/>
        </w:rPr>
        <w:t>:</w:t>
      </w:r>
      <w:r w:rsidRPr="00103EC6">
        <w:rPr>
          <w:rFonts w:ascii="Verdana" w:hAnsi="Verdana"/>
          <w:sz w:val="20"/>
        </w:rPr>
        <w:t xml:space="preserve"> </w:t>
      </w:r>
      <w:r w:rsidR="009533A2" w:rsidRPr="00103EC6">
        <w:rPr>
          <w:rFonts w:ascii="Verdana" w:hAnsi="Verdana"/>
          <w:sz w:val="20"/>
        </w:rPr>
        <w:t>el monto establecido por la Corte para cada una de ellas por concepto de</w:t>
      </w:r>
      <w:r w:rsidRPr="00103EC6">
        <w:rPr>
          <w:rFonts w:ascii="Verdana" w:hAnsi="Verdana"/>
          <w:sz w:val="20"/>
        </w:rPr>
        <w:t xml:space="preserve"> </w:t>
      </w:r>
      <w:r w:rsidR="00FF24F0">
        <w:rPr>
          <w:rFonts w:ascii="Verdana" w:hAnsi="Verdana"/>
          <w:sz w:val="20"/>
        </w:rPr>
        <w:t xml:space="preserve">indemnización del </w:t>
      </w:r>
      <w:r w:rsidR="009533A2" w:rsidRPr="00103EC6">
        <w:rPr>
          <w:rFonts w:ascii="Verdana" w:hAnsi="Verdana"/>
          <w:sz w:val="20"/>
        </w:rPr>
        <w:t>daño moral</w:t>
      </w:r>
      <w:r w:rsidR="00FF24F0">
        <w:rPr>
          <w:rFonts w:ascii="Verdana" w:hAnsi="Verdana"/>
          <w:sz w:val="20"/>
        </w:rPr>
        <w:t>;</w:t>
      </w:r>
      <w:r w:rsidR="009533A2" w:rsidRPr="00103EC6">
        <w:rPr>
          <w:rFonts w:ascii="Verdana" w:hAnsi="Verdana"/>
          <w:sz w:val="20"/>
        </w:rPr>
        <w:t xml:space="preserve"> el reintegro de costas y gastos; las sumas establecidas en cada uno de los </w:t>
      </w:r>
      <w:r w:rsidR="009533A2" w:rsidRPr="00103EC6">
        <w:rPr>
          <w:rFonts w:ascii="Verdana" w:hAnsi="Verdana"/>
          <w:i/>
          <w:sz w:val="20"/>
        </w:rPr>
        <w:t>“Acuerdos que Establecen las Bases para el Cumplimiento de la Sentencia de 2 de Febrero Emitida por la Corte Interamericana de Derechos Humanos de la Organización de los Estados Americanos (OEA) dentro del Caso Baena Ricardo y otros Vs. Panamá”</w:t>
      </w:r>
      <w:r w:rsidR="009533A2" w:rsidRPr="00103EC6">
        <w:rPr>
          <w:rFonts w:ascii="Verdana" w:hAnsi="Verdana"/>
          <w:sz w:val="20"/>
        </w:rPr>
        <w:t xml:space="preserve">; la devolución del impuesto sobre la renta que les había sido descontado a las víctimas, </w:t>
      </w:r>
      <w:r w:rsidR="000C555C" w:rsidRPr="00103EC6">
        <w:rPr>
          <w:rFonts w:ascii="Verdana" w:hAnsi="Verdana"/>
          <w:sz w:val="16"/>
        </w:rPr>
        <w:t xml:space="preserve"> </w:t>
      </w:r>
      <w:r w:rsidR="009533A2" w:rsidRPr="00103EC6">
        <w:rPr>
          <w:rFonts w:ascii="Verdana" w:hAnsi="Verdana"/>
          <w:sz w:val="20"/>
        </w:rPr>
        <w:t xml:space="preserve">y el pago retroactivo </w:t>
      </w:r>
      <w:r w:rsidR="00856ADB">
        <w:rPr>
          <w:rFonts w:ascii="Verdana" w:hAnsi="Verdana"/>
          <w:sz w:val="20"/>
        </w:rPr>
        <w:t xml:space="preserve">a la seguridad social </w:t>
      </w:r>
      <w:r w:rsidR="009533A2" w:rsidRPr="00103EC6">
        <w:rPr>
          <w:rFonts w:ascii="Verdana" w:hAnsi="Verdana"/>
          <w:sz w:val="20"/>
        </w:rPr>
        <w:t xml:space="preserve">de 120 cuotas obrero-patronales </w:t>
      </w:r>
      <w:r w:rsidR="00856ADB">
        <w:rPr>
          <w:rFonts w:ascii="Verdana" w:hAnsi="Verdana"/>
          <w:sz w:val="20"/>
        </w:rPr>
        <w:t xml:space="preserve">relativas a las 270 víctimas, </w:t>
      </w:r>
      <w:r w:rsidR="009533A2" w:rsidRPr="00103EC6">
        <w:rPr>
          <w:rFonts w:ascii="Verdana" w:hAnsi="Verdana"/>
          <w:sz w:val="20"/>
        </w:rPr>
        <w:t xml:space="preserve">correspondientes al período comprendido entre diciembre de 1990 y enero de 2001. </w:t>
      </w:r>
    </w:p>
    <w:p w14:paraId="36961140" w14:textId="77777777" w:rsidR="00CE058C" w:rsidRPr="00103EC6" w:rsidRDefault="001A210C" w:rsidP="008269F2">
      <w:pPr>
        <w:numPr>
          <w:ilvl w:val="0"/>
          <w:numId w:val="1"/>
        </w:numPr>
        <w:tabs>
          <w:tab w:val="clear" w:pos="1080"/>
          <w:tab w:val="num" w:pos="0"/>
        </w:tabs>
        <w:spacing w:before="120" w:after="120"/>
        <w:ind w:left="0" w:firstLine="0"/>
        <w:jc w:val="both"/>
        <w:rPr>
          <w:rFonts w:ascii="Verdana" w:hAnsi="Verdana"/>
          <w:sz w:val="20"/>
        </w:rPr>
      </w:pPr>
      <w:r w:rsidRPr="00103EC6">
        <w:rPr>
          <w:rFonts w:ascii="Verdana" w:hAnsi="Verdana"/>
          <w:sz w:val="20"/>
        </w:rPr>
        <w:t>Tomando en consideración</w:t>
      </w:r>
      <w:r w:rsidR="00CE058C" w:rsidRPr="00103EC6">
        <w:rPr>
          <w:rFonts w:ascii="Verdana" w:hAnsi="Verdana"/>
          <w:sz w:val="20"/>
        </w:rPr>
        <w:t xml:space="preserve"> que</w:t>
      </w:r>
      <w:r w:rsidRPr="00103EC6">
        <w:rPr>
          <w:rFonts w:ascii="Verdana" w:hAnsi="Verdana"/>
          <w:sz w:val="20"/>
        </w:rPr>
        <w:t xml:space="preserve"> desde el 2008</w:t>
      </w:r>
      <w:r w:rsidR="001E65F5" w:rsidRPr="00103EC6">
        <w:rPr>
          <w:rFonts w:ascii="Verdana" w:hAnsi="Verdana"/>
          <w:sz w:val="20"/>
        </w:rPr>
        <w:t xml:space="preserve">, la Corte </w:t>
      </w:r>
      <w:r w:rsidRPr="00103EC6">
        <w:rPr>
          <w:rFonts w:ascii="Verdana" w:hAnsi="Verdana"/>
          <w:sz w:val="20"/>
        </w:rPr>
        <w:t>únicamente</w:t>
      </w:r>
      <w:r w:rsidR="00CE058C" w:rsidRPr="00103EC6">
        <w:rPr>
          <w:rFonts w:ascii="Verdana" w:hAnsi="Verdana"/>
          <w:sz w:val="20"/>
        </w:rPr>
        <w:t xml:space="preserve"> mantuvo abierto el presente proceso de supervisión de cumplimiento a efecto de recibir los comprobantes de pago de las víctimas o derecho habientes firmantes del acuerdo y de los depósitos bancarios a nombre de las víctimas o derechohabientes no firmantes o que se retractaron (</w:t>
      </w:r>
      <w:r w:rsidR="00CE058C" w:rsidRPr="00103EC6">
        <w:rPr>
          <w:rFonts w:ascii="Verdana" w:hAnsi="Verdana"/>
          <w:i/>
          <w:sz w:val="20"/>
        </w:rPr>
        <w:t>supra</w:t>
      </w:r>
      <w:r w:rsidR="00CE058C" w:rsidRPr="00103EC6">
        <w:rPr>
          <w:rFonts w:ascii="Verdana" w:hAnsi="Verdana"/>
          <w:sz w:val="20"/>
        </w:rPr>
        <w:t xml:space="preserve"> Considerando </w:t>
      </w:r>
      <w:r w:rsidR="003F32F4" w:rsidRPr="00DE4C6C">
        <w:rPr>
          <w:rFonts w:ascii="Verdana" w:hAnsi="Verdana"/>
          <w:sz w:val="20"/>
        </w:rPr>
        <w:t>1</w:t>
      </w:r>
      <w:r w:rsidR="00DE4C6C" w:rsidRPr="00DE4C6C">
        <w:rPr>
          <w:rFonts w:ascii="Verdana" w:hAnsi="Verdana"/>
          <w:sz w:val="20"/>
        </w:rPr>
        <w:t>2</w:t>
      </w:r>
      <w:r w:rsidR="00CE058C" w:rsidRPr="00103EC6">
        <w:rPr>
          <w:rFonts w:ascii="Verdana" w:hAnsi="Verdana"/>
          <w:sz w:val="20"/>
        </w:rPr>
        <w:t>), y que se ha constatado que Panamá ha cum</w:t>
      </w:r>
      <w:r w:rsidR="009533A2" w:rsidRPr="00103EC6">
        <w:rPr>
          <w:rFonts w:ascii="Verdana" w:hAnsi="Verdana"/>
          <w:sz w:val="20"/>
        </w:rPr>
        <w:t>plido en su totalidad con ello,</w:t>
      </w:r>
      <w:r w:rsidRPr="00103EC6">
        <w:rPr>
          <w:rFonts w:ascii="Verdana" w:hAnsi="Verdana"/>
          <w:sz w:val="20"/>
        </w:rPr>
        <w:t xml:space="preserve"> así como que diversos esfuerzos del Estado han culminado en el pago efectivo a la seguridad social</w:t>
      </w:r>
      <w:r w:rsidR="003F32F4">
        <w:rPr>
          <w:rFonts w:ascii="Verdana" w:hAnsi="Verdana"/>
          <w:sz w:val="20"/>
        </w:rPr>
        <w:t xml:space="preserve"> de</w:t>
      </w:r>
      <w:r w:rsidRPr="00103EC6">
        <w:rPr>
          <w:rFonts w:ascii="Verdana" w:hAnsi="Verdana"/>
          <w:sz w:val="20"/>
        </w:rPr>
        <w:t xml:space="preserve"> las 120 cuotas obrero-patronales correspondientes al período comprendido entre diciembre de 1990 y enero de 2001 de las 270 víctimas del caso</w:t>
      </w:r>
      <w:r w:rsidR="001E65F5" w:rsidRPr="00103EC6">
        <w:rPr>
          <w:rFonts w:ascii="Verdana" w:hAnsi="Verdana"/>
          <w:sz w:val="20"/>
        </w:rPr>
        <w:t xml:space="preserve"> (</w:t>
      </w:r>
      <w:r w:rsidR="001E65F5" w:rsidRPr="00103EC6">
        <w:rPr>
          <w:rFonts w:ascii="Verdana" w:hAnsi="Verdana"/>
          <w:i/>
          <w:sz w:val="20"/>
        </w:rPr>
        <w:t xml:space="preserve">supra </w:t>
      </w:r>
      <w:r w:rsidR="001E65F5" w:rsidRPr="00103EC6">
        <w:rPr>
          <w:rFonts w:ascii="Verdana" w:hAnsi="Verdana"/>
          <w:sz w:val="20"/>
        </w:rPr>
        <w:t xml:space="preserve">Considerandos </w:t>
      </w:r>
      <w:r w:rsidR="00ED784C">
        <w:rPr>
          <w:rFonts w:ascii="Verdana" w:hAnsi="Verdana"/>
          <w:sz w:val="20"/>
        </w:rPr>
        <w:t>26</w:t>
      </w:r>
      <w:r w:rsidR="00103EC6">
        <w:rPr>
          <w:rFonts w:ascii="Verdana" w:hAnsi="Verdana"/>
          <w:sz w:val="20"/>
        </w:rPr>
        <w:t xml:space="preserve"> a </w:t>
      </w:r>
      <w:r w:rsidR="00823DFC">
        <w:rPr>
          <w:rFonts w:ascii="Verdana" w:hAnsi="Verdana"/>
          <w:sz w:val="20"/>
        </w:rPr>
        <w:t>32</w:t>
      </w:r>
      <w:r w:rsidR="001E65F5" w:rsidRPr="00103EC6">
        <w:rPr>
          <w:rFonts w:ascii="Verdana" w:hAnsi="Verdana"/>
          <w:sz w:val="20"/>
        </w:rPr>
        <w:t>)</w:t>
      </w:r>
      <w:r w:rsidRPr="00103EC6">
        <w:rPr>
          <w:rFonts w:ascii="Verdana" w:hAnsi="Verdana"/>
          <w:sz w:val="20"/>
        </w:rPr>
        <w:t xml:space="preserve">, </w:t>
      </w:r>
      <w:r w:rsidR="001E65F5" w:rsidRPr="00103EC6">
        <w:rPr>
          <w:rFonts w:ascii="Verdana" w:hAnsi="Verdana"/>
          <w:sz w:val="20"/>
        </w:rPr>
        <w:t xml:space="preserve">este Tribunal </w:t>
      </w:r>
      <w:r w:rsidR="00CE058C" w:rsidRPr="00103EC6">
        <w:rPr>
          <w:rFonts w:ascii="Verdana" w:hAnsi="Verdana"/>
          <w:sz w:val="20"/>
        </w:rPr>
        <w:t>da por concluido el procedimiento de supervisión internacional</w:t>
      </w:r>
      <w:r w:rsidR="001E65F5" w:rsidRPr="00103EC6">
        <w:rPr>
          <w:rFonts w:ascii="Verdana" w:hAnsi="Verdana"/>
          <w:sz w:val="20"/>
        </w:rPr>
        <w:t xml:space="preserve"> de </w:t>
      </w:r>
      <w:r w:rsidR="00350282" w:rsidRPr="00103EC6">
        <w:rPr>
          <w:rFonts w:ascii="Verdana" w:hAnsi="Verdana"/>
          <w:sz w:val="20"/>
        </w:rPr>
        <w:t>la Sentencia de e</w:t>
      </w:r>
      <w:r w:rsidR="00CE058C" w:rsidRPr="00103EC6">
        <w:rPr>
          <w:rFonts w:ascii="Verdana" w:hAnsi="Verdana"/>
          <w:sz w:val="20"/>
        </w:rPr>
        <w:t xml:space="preserve">ste caso. </w:t>
      </w:r>
    </w:p>
    <w:p w14:paraId="36208DE8" w14:textId="77777777" w:rsidR="00B56D24" w:rsidRDefault="00B56D24" w:rsidP="008C268A">
      <w:pPr>
        <w:spacing w:before="120" w:after="120"/>
        <w:jc w:val="both"/>
        <w:rPr>
          <w:rFonts w:ascii="Verdana" w:hAnsi="Verdana"/>
          <w:b/>
          <w:sz w:val="20"/>
        </w:rPr>
      </w:pPr>
    </w:p>
    <w:p w14:paraId="19F0C5F7" w14:textId="77777777" w:rsidR="0000398B" w:rsidRDefault="0000398B" w:rsidP="008C268A">
      <w:pPr>
        <w:spacing w:before="120" w:after="120"/>
        <w:jc w:val="both"/>
        <w:rPr>
          <w:rFonts w:ascii="Verdana" w:hAnsi="Verdana"/>
          <w:b/>
          <w:sz w:val="20"/>
        </w:rPr>
      </w:pPr>
    </w:p>
    <w:p w14:paraId="44E74F8D" w14:textId="77777777" w:rsidR="0000398B" w:rsidRDefault="0000398B" w:rsidP="008C268A">
      <w:pPr>
        <w:spacing w:before="120" w:after="120"/>
        <w:jc w:val="both"/>
        <w:rPr>
          <w:rFonts w:ascii="Verdana" w:hAnsi="Verdana"/>
          <w:b/>
          <w:sz w:val="20"/>
        </w:rPr>
      </w:pPr>
    </w:p>
    <w:p w14:paraId="78E39E40" w14:textId="77777777" w:rsidR="00336C08" w:rsidRPr="00DE2A7F" w:rsidRDefault="00881768" w:rsidP="008C268A">
      <w:pPr>
        <w:spacing w:before="120" w:after="120"/>
        <w:jc w:val="both"/>
        <w:rPr>
          <w:rFonts w:ascii="Verdana" w:hAnsi="Verdana"/>
          <w:b/>
          <w:sz w:val="20"/>
        </w:rPr>
      </w:pPr>
      <w:r w:rsidRPr="00DE2A7F">
        <w:rPr>
          <w:rFonts w:ascii="Verdana" w:hAnsi="Verdana"/>
          <w:b/>
          <w:sz w:val="20"/>
        </w:rPr>
        <w:t>POR TANTO:</w:t>
      </w:r>
    </w:p>
    <w:p w14:paraId="4F3AE8C6" w14:textId="77777777" w:rsidR="00881768" w:rsidRPr="004848C5" w:rsidRDefault="00881768" w:rsidP="008C268A">
      <w:pPr>
        <w:spacing w:before="120" w:after="120"/>
        <w:jc w:val="both"/>
        <w:rPr>
          <w:rFonts w:ascii="Verdana" w:hAnsi="Verdana"/>
          <w:b/>
          <w:sz w:val="20"/>
        </w:rPr>
      </w:pPr>
      <w:r w:rsidRPr="004848C5">
        <w:rPr>
          <w:rFonts w:ascii="Verdana" w:hAnsi="Verdana"/>
          <w:b/>
          <w:sz w:val="20"/>
        </w:rPr>
        <w:t>LA CORTE INTERAMERICANA DE DERECHOS HUMANOS,</w:t>
      </w:r>
    </w:p>
    <w:p w14:paraId="2200C095" w14:textId="77777777" w:rsidR="00881768" w:rsidRPr="009B5D72" w:rsidRDefault="00881768" w:rsidP="008C268A">
      <w:pPr>
        <w:spacing w:before="120" w:after="120"/>
        <w:jc w:val="both"/>
        <w:rPr>
          <w:rFonts w:ascii="Verdana" w:hAnsi="Verdana"/>
          <w:b/>
          <w:sz w:val="20"/>
        </w:rPr>
      </w:pPr>
      <w:r w:rsidRPr="004848C5">
        <w:rPr>
          <w:rFonts w:ascii="Verdana" w:hAnsi="Verdana"/>
          <w:sz w:val="20"/>
        </w:rPr>
        <w:t>en el ejercicio de sus atribuciones de supervisión del cumplimiento de sus decisiones, de conformidad con los artículos 33, 62.1, 62.3, 65, 67 y 68.1 de la Convenci</w:t>
      </w:r>
      <w:r w:rsidRPr="009B5D72">
        <w:rPr>
          <w:rFonts w:ascii="Verdana" w:hAnsi="Verdana"/>
          <w:sz w:val="20"/>
        </w:rPr>
        <w:t>ón Americana sobre Derechos Humanos, 24, 25 y 30 del Estatuto, y 31.2 y 69 de su Reglamento,</w:t>
      </w:r>
    </w:p>
    <w:p w14:paraId="11E8E701" w14:textId="77777777" w:rsidR="00884F66" w:rsidRPr="0046783C" w:rsidRDefault="00884F66" w:rsidP="008C268A">
      <w:pPr>
        <w:spacing w:before="120" w:after="120"/>
        <w:jc w:val="both"/>
        <w:rPr>
          <w:rFonts w:ascii="Verdana" w:hAnsi="Verdana"/>
          <w:b/>
          <w:sz w:val="20"/>
        </w:rPr>
      </w:pPr>
    </w:p>
    <w:p w14:paraId="2EF2C0CB" w14:textId="77777777" w:rsidR="00336C08" w:rsidRPr="00B341C4" w:rsidRDefault="00336C08" w:rsidP="008C268A">
      <w:pPr>
        <w:spacing w:before="120" w:after="120"/>
        <w:jc w:val="both"/>
        <w:rPr>
          <w:rFonts w:ascii="Verdana" w:hAnsi="Verdana"/>
          <w:b/>
          <w:sz w:val="20"/>
        </w:rPr>
      </w:pPr>
      <w:r w:rsidRPr="00B341C4">
        <w:rPr>
          <w:rFonts w:ascii="Verdana" w:hAnsi="Verdana"/>
          <w:b/>
          <w:sz w:val="20"/>
        </w:rPr>
        <w:t>RESUELVE:</w:t>
      </w:r>
    </w:p>
    <w:p w14:paraId="31DB04C3" w14:textId="77777777" w:rsidR="00F15DD7" w:rsidRPr="0048382C" w:rsidRDefault="00F15DD7" w:rsidP="001E65F5">
      <w:pPr>
        <w:numPr>
          <w:ilvl w:val="0"/>
          <w:numId w:val="33"/>
        </w:numPr>
        <w:spacing w:before="120" w:after="120"/>
        <w:ind w:left="0" w:firstLine="0"/>
        <w:jc w:val="both"/>
        <w:rPr>
          <w:rFonts w:ascii="Verdana" w:hAnsi="Verdana"/>
          <w:sz w:val="20"/>
        </w:rPr>
      </w:pPr>
      <w:r w:rsidRPr="00BE503A">
        <w:rPr>
          <w:rFonts w:ascii="Verdana" w:hAnsi="Verdana"/>
          <w:sz w:val="20"/>
        </w:rPr>
        <w:t>Recordar que, de acuerdo a lo dispuesto en la Resolución de supervisión de cumplimiento de febrero de 2013, el Estado había pagado o depositado a 268 de</w:t>
      </w:r>
      <w:r w:rsidRPr="00460756">
        <w:rPr>
          <w:rFonts w:ascii="Verdana" w:hAnsi="Verdana"/>
          <w:sz w:val="20"/>
        </w:rPr>
        <w:t xml:space="preserve"> las 270 </w:t>
      </w:r>
      <w:r w:rsidRPr="00460756">
        <w:rPr>
          <w:rFonts w:ascii="Verdana" w:hAnsi="Verdana"/>
          <w:sz w:val="20"/>
        </w:rPr>
        <w:lastRenderedPageBreak/>
        <w:t xml:space="preserve">víctimas del caso la totalidad de los montos indicados en los acuerdos denominados </w:t>
      </w:r>
      <w:r w:rsidRPr="0048382C">
        <w:rPr>
          <w:rFonts w:ascii="Verdana" w:hAnsi="Verdana"/>
          <w:i/>
          <w:sz w:val="20"/>
        </w:rPr>
        <w:t xml:space="preserve">“Acuerdos que Establecen las Bases para el Cumplimiento de la Sentencia de 2 de </w:t>
      </w:r>
      <w:proofErr w:type="gramStart"/>
      <w:r w:rsidRPr="0048382C">
        <w:rPr>
          <w:rFonts w:ascii="Verdana" w:hAnsi="Verdana"/>
          <w:i/>
          <w:sz w:val="20"/>
        </w:rPr>
        <w:t>Febrero</w:t>
      </w:r>
      <w:proofErr w:type="gramEnd"/>
      <w:r w:rsidRPr="0048382C">
        <w:rPr>
          <w:rFonts w:ascii="Verdana" w:hAnsi="Verdana"/>
          <w:i/>
          <w:sz w:val="20"/>
        </w:rPr>
        <w:t xml:space="preserve"> Emitida por la Corte Interamericana de Derechos Humanos de la Organización de los Estados Americanos (OEA) dentro del Caso Baena Ricardo y otros Vs. Panamá</w:t>
      </w:r>
      <w:r w:rsidR="00FF24F0">
        <w:rPr>
          <w:rFonts w:ascii="Verdana" w:hAnsi="Verdana"/>
          <w:i/>
          <w:sz w:val="20"/>
        </w:rPr>
        <w:t>”</w:t>
      </w:r>
      <w:r w:rsidRPr="0048382C">
        <w:rPr>
          <w:rFonts w:ascii="Verdana" w:hAnsi="Verdana"/>
          <w:i/>
          <w:sz w:val="20"/>
        </w:rPr>
        <w:t xml:space="preserve">. </w:t>
      </w:r>
    </w:p>
    <w:p w14:paraId="3A527E96" w14:textId="77777777" w:rsidR="001E65F5" w:rsidRPr="00E61C04" w:rsidRDefault="001E65F5" w:rsidP="001E65F5">
      <w:pPr>
        <w:numPr>
          <w:ilvl w:val="0"/>
          <w:numId w:val="33"/>
        </w:numPr>
        <w:spacing w:before="120" w:after="120"/>
        <w:ind w:left="0" w:firstLine="0"/>
        <w:jc w:val="both"/>
        <w:rPr>
          <w:rFonts w:ascii="Verdana" w:hAnsi="Verdana"/>
          <w:b/>
          <w:sz w:val="20"/>
          <w:u w:val="single"/>
        </w:rPr>
      </w:pPr>
      <w:r w:rsidRPr="0048382C">
        <w:rPr>
          <w:rFonts w:ascii="Verdana" w:hAnsi="Verdana"/>
          <w:sz w:val="20"/>
        </w:rPr>
        <w:t>Declarar, de conformidad con lo</w:t>
      </w:r>
      <w:r w:rsidR="009B0F50" w:rsidRPr="0048382C">
        <w:rPr>
          <w:rFonts w:ascii="Verdana" w:hAnsi="Verdana"/>
          <w:sz w:val="20"/>
        </w:rPr>
        <w:t xml:space="preserve"> dispuesto </w:t>
      </w:r>
      <w:r w:rsidRPr="0048382C">
        <w:rPr>
          <w:rFonts w:ascii="Verdana" w:hAnsi="Verdana"/>
          <w:sz w:val="20"/>
        </w:rPr>
        <w:t xml:space="preserve">en el Considerando </w:t>
      </w:r>
      <w:r w:rsidR="00823DFC">
        <w:rPr>
          <w:rFonts w:ascii="Verdana" w:hAnsi="Verdana"/>
          <w:sz w:val="20"/>
        </w:rPr>
        <w:t>18</w:t>
      </w:r>
      <w:r w:rsidRPr="0048382C">
        <w:rPr>
          <w:rFonts w:ascii="Verdana" w:hAnsi="Verdana"/>
          <w:sz w:val="20"/>
        </w:rPr>
        <w:t xml:space="preserve"> de la presente Resolución, que el Estado ha cumplido con entregar a la derechohabiente de la víctima Ricardo Rivera el tercer pago del desembolso previsto en el acuerdo, así como con entregar al derechohabiente de la víctima David Jaén el cuarto pago del desembolso previsto en el acuerdo.</w:t>
      </w:r>
    </w:p>
    <w:p w14:paraId="09CF20DB" w14:textId="77777777" w:rsidR="00F15DD7" w:rsidRPr="00496861" w:rsidRDefault="001E65F5" w:rsidP="00F15DD7">
      <w:pPr>
        <w:numPr>
          <w:ilvl w:val="0"/>
          <w:numId w:val="33"/>
        </w:numPr>
        <w:spacing w:before="120" w:after="120"/>
        <w:ind w:left="0" w:firstLine="0"/>
        <w:jc w:val="both"/>
        <w:rPr>
          <w:rFonts w:ascii="Verdana" w:hAnsi="Verdana"/>
          <w:sz w:val="20"/>
        </w:rPr>
      </w:pPr>
      <w:r w:rsidRPr="005C27C3">
        <w:rPr>
          <w:rFonts w:ascii="Verdana" w:hAnsi="Verdana"/>
          <w:sz w:val="20"/>
        </w:rPr>
        <w:t xml:space="preserve">Declarar, de conformidad con lo indicado en el Considerando </w:t>
      </w:r>
      <w:r w:rsidR="00823DFC">
        <w:rPr>
          <w:rFonts w:ascii="Verdana" w:hAnsi="Verdana"/>
          <w:sz w:val="20"/>
        </w:rPr>
        <w:t>20</w:t>
      </w:r>
      <w:r w:rsidRPr="005C27C3">
        <w:rPr>
          <w:rFonts w:ascii="Verdana" w:hAnsi="Verdana"/>
          <w:sz w:val="20"/>
        </w:rPr>
        <w:t xml:space="preserve"> de la presente Resolución, que el Estado ha cumplido en su totalidad con </w:t>
      </w:r>
      <w:r w:rsidR="00924557" w:rsidRPr="005C27C3">
        <w:rPr>
          <w:rFonts w:ascii="Verdana" w:hAnsi="Verdana"/>
          <w:sz w:val="20"/>
        </w:rPr>
        <w:t xml:space="preserve">los pagos previstos en los acuerdos </w:t>
      </w:r>
      <w:r w:rsidR="000C65AB" w:rsidRPr="00585913">
        <w:rPr>
          <w:rFonts w:ascii="Verdana" w:hAnsi="Verdana"/>
          <w:sz w:val="20"/>
        </w:rPr>
        <w:t xml:space="preserve">que suscribió con 269 de </w:t>
      </w:r>
      <w:r w:rsidR="00924557" w:rsidRPr="00585913">
        <w:rPr>
          <w:rFonts w:ascii="Verdana" w:hAnsi="Verdana"/>
          <w:sz w:val="20"/>
        </w:rPr>
        <w:t xml:space="preserve">las </w:t>
      </w:r>
      <w:r w:rsidR="000C65AB" w:rsidRPr="00A77A44">
        <w:rPr>
          <w:rFonts w:ascii="Verdana" w:hAnsi="Verdana"/>
          <w:sz w:val="20"/>
        </w:rPr>
        <w:t xml:space="preserve">270 </w:t>
      </w:r>
      <w:r w:rsidR="00924557" w:rsidRPr="00A77A44">
        <w:rPr>
          <w:rFonts w:ascii="Verdana" w:hAnsi="Verdana"/>
          <w:sz w:val="20"/>
        </w:rPr>
        <w:t>víctimas y/o sus derechohabientes, que fueron homologados por la Corte en la Resolución de octubre de 2008</w:t>
      </w:r>
      <w:r w:rsidR="00F15DD7" w:rsidRPr="00496861">
        <w:rPr>
          <w:rFonts w:ascii="Verdana" w:hAnsi="Verdana"/>
          <w:sz w:val="20"/>
        </w:rPr>
        <w:t xml:space="preserve">, y con depositar en una cuenta bancaria </w:t>
      </w:r>
      <w:r w:rsidR="00FF24F0">
        <w:rPr>
          <w:rFonts w:ascii="Verdana" w:hAnsi="Verdana"/>
          <w:sz w:val="20"/>
        </w:rPr>
        <w:t>el</w:t>
      </w:r>
      <w:r w:rsidR="00F15DD7" w:rsidRPr="00496861">
        <w:rPr>
          <w:rFonts w:ascii="Verdana" w:hAnsi="Verdana"/>
          <w:sz w:val="20"/>
        </w:rPr>
        <w:t xml:space="preserve"> monto a favor de la víctima que aún no habría suscrito el acuerdo.</w:t>
      </w:r>
    </w:p>
    <w:p w14:paraId="6A2C154C" w14:textId="77777777" w:rsidR="001E65F5" w:rsidRPr="00F220C7" w:rsidRDefault="001E65F5" w:rsidP="00D67B8C">
      <w:pPr>
        <w:numPr>
          <w:ilvl w:val="0"/>
          <w:numId w:val="33"/>
        </w:numPr>
        <w:spacing w:before="120" w:after="120"/>
        <w:ind w:left="0" w:firstLine="0"/>
        <w:jc w:val="both"/>
        <w:rPr>
          <w:rFonts w:ascii="Verdana" w:hAnsi="Verdana"/>
          <w:sz w:val="20"/>
        </w:rPr>
      </w:pPr>
      <w:r w:rsidRPr="00496861">
        <w:rPr>
          <w:rFonts w:ascii="Verdana" w:hAnsi="Verdana"/>
          <w:sz w:val="20"/>
        </w:rPr>
        <w:t xml:space="preserve">Declarar, de conformidad con lo indicado en </w:t>
      </w:r>
      <w:r w:rsidR="00103EC6">
        <w:rPr>
          <w:rFonts w:ascii="Verdana" w:hAnsi="Verdana"/>
          <w:sz w:val="20"/>
        </w:rPr>
        <w:t>los</w:t>
      </w:r>
      <w:r w:rsidRPr="00496861">
        <w:rPr>
          <w:rFonts w:ascii="Verdana" w:hAnsi="Verdana"/>
          <w:sz w:val="20"/>
        </w:rPr>
        <w:t xml:space="preserve"> Considerando</w:t>
      </w:r>
      <w:r w:rsidR="00103EC6">
        <w:rPr>
          <w:rFonts w:ascii="Verdana" w:hAnsi="Verdana"/>
          <w:sz w:val="20"/>
        </w:rPr>
        <w:t>s 30 a</w:t>
      </w:r>
      <w:r w:rsidRPr="00496861">
        <w:rPr>
          <w:rFonts w:ascii="Verdana" w:hAnsi="Verdana"/>
          <w:sz w:val="20"/>
        </w:rPr>
        <w:t xml:space="preserve"> </w:t>
      </w:r>
      <w:r w:rsidR="00823DFC">
        <w:rPr>
          <w:rFonts w:ascii="Verdana" w:hAnsi="Verdana"/>
          <w:sz w:val="20"/>
        </w:rPr>
        <w:t>32</w:t>
      </w:r>
      <w:r w:rsidRPr="00496861">
        <w:rPr>
          <w:rFonts w:ascii="Verdana" w:hAnsi="Verdana"/>
          <w:sz w:val="20"/>
        </w:rPr>
        <w:t xml:space="preserve"> de la presente Resolución</w:t>
      </w:r>
      <w:r w:rsidR="000C65AB" w:rsidRPr="0031057A">
        <w:rPr>
          <w:rFonts w:ascii="Verdana" w:hAnsi="Verdana"/>
          <w:sz w:val="20"/>
        </w:rPr>
        <w:t>,</w:t>
      </w:r>
      <w:r w:rsidRPr="0031057A">
        <w:rPr>
          <w:rFonts w:ascii="Verdana" w:hAnsi="Verdana"/>
          <w:sz w:val="20"/>
        </w:rPr>
        <w:t xml:space="preserve"> que el Estado </w:t>
      </w:r>
      <w:r w:rsidR="000C65AB" w:rsidRPr="0031057A">
        <w:rPr>
          <w:rFonts w:ascii="Verdana" w:hAnsi="Verdana"/>
          <w:sz w:val="20"/>
        </w:rPr>
        <w:t xml:space="preserve">adicionalmente </w:t>
      </w:r>
      <w:r w:rsidRPr="0031057A">
        <w:rPr>
          <w:rFonts w:ascii="Verdana" w:hAnsi="Verdana"/>
          <w:sz w:val="20"/>
        </w:rPr>
        <w:t>ha paga</w:t>
      </w:r>
      <w:r w:rsidR="000C65AB" w:rsidRPr="00F220C7">
        <w:rPr>
          <w:rFonts w:ascii="Verdana" w:hAnsi="Verdana"/>
          <w:sz w:val="20"/>
        </w:rPr>
        <w:t>do</w:t>
      </w:r>
      <w:r w:rsidRPr="00F220C7">
        <w:rPr>
          <w:rFonts w:ascii="Verdana" w:hAnsi="Verdana"/>
          <w:sz w:val="20"/>
        </w:rPr>
        <w:t xml:space="preserve"> a la Caja de Seguro Social de Panamá 120 cuotas obrero-patronales de las 270 víctimas del caso, correspondientes al período comprendido entre diciembre de 1990 y enero de 2001.</w:t>
      </w:r>
    </w:p>
    <w:p w14:paraId="3839F71A" w14:textId="77777777" w:rsidR="004B4CF7" w:rsidRPr="00BE43F7" w:rsidRDefault="00881768" w:rsidP="00D67B8C">
      <w:pPr>
        <w:numPr>
          <w:ilvl w:val="0"/>
          <w:numId w:val="33"/>
        </w:numPr>
        <w:spacing w:before="120" w:after="120"/>
        <w:ind w:left="0" w:firstLine="0"/>
        <w:jc w:val="both"/>
        <w:rPr>
          <w:rFonts w:ascii="Verdana" w:hAnsi="Verdana"/>
          <w:sz w:val="20"/>
        </w:rPr>
      </w:pPr>
      <w:r w:rsidRPr="00F220C7">
        <w:rPr>
          <w:rFonts w:ascii="Verdana" w:hAnsi="Verdana"/>
          <w:sz w:val="20"/>
        </w:rPr>
        <w:t xml:space="preserve">Dar por concluido el </w:t>
      </w:r>
      <w:r w:rsidR="004B4CF7" w:rsidRPr="00F220C7">
        <w:rPr>
          <w:rFonts w:ascii="Verdana" w:hAnsi="Verdana"/>
          <w:i/>
          <w:sz w:val="20"/>
        </w:rPr>
        <w:t xml:space="preserve">Caso Baena Ricardo y otros </w:t>
      </w:r>
      <w:r w:rsidR="004B4CF7" w:rsidRPr="005C09D9">
        <w:rPr>
          <w:rFonts w:ascii="Verdana" w:hAnsi="Verdana"/>
          <w:sz w:val="20"/>
        </w:rPr>
        <w:t xml:space="preserve">dado que la República de </w:t>
      </w:r>
      <w:r w:rsidRPr="00A40F2B">
        <w:rPr>
          <w:rFonts w:ascii="Verdana" w:hAnsi="Verdana"/>
          <w:sz w:val="20"/>
        </w:rPr>
        <w:t>Panamá</w:t>
      </w:r>
      <w:r w:rsidR="004B4CF7" w:rsidRPr="00A40F2B">
        <w:rPr>
          <w:rFonts w:ascii="Verdana" w:hAnsi="Verdana"/>
          <w:sz w:val="20"/>
        </w:rPr>
        <w:t xml:space="preserve"> ha dado cumplimiento a lo dispuesto en Sentencia de </w:t>
      </w:r>
      <w:r w:rsidR="004B4CF7" w:rsidRPr="00BE43F7">
        <w:rPr>
          <w:rFonts w:ascii="Verdana" w:eastAsia="Times New Roman" w:hAnsi="Verdana" w:cs="TTE3F96A70t00"/>
          <w:sz w:val="20"/>
          <w:lang w:val="es-ES" w:eastAsia="es-ES"/>
        </w:rPr>
        <w:t>fondo, reparaciones y costas emitida el 2 de febrero de 2001</w:t>
      </w:r>
      <w:r w:rsidR="004B4CF7" w:rsidRPr="00BE43F7">
        <w:rPr>
          <w:rFonts w:ascii="Verdana" w:hAnsi="Verdana"/>
          <w:sz w:val="20"/>
        </w:rPr>
        <w:t>.</w:t>
      </w:r>
    </w:p>
    <w:p w14:paraId="22C968E7" w14:textId="77777777" w:rsidR="00881768" w:rsidRPr="00952DD5" w:rsidRDefault="004B4CF7" w:rsidP="00D67B8C">
      <w:pPr>
        <w:numPr>
          <w:ilvl w:val="0"/>
          <w:numId w:val="33"/>
        </w:numPr>
        <w:spacing w:before="120" w:after="120"/>
        <w:ind w:left="0" w:firstLine="0"/>
        <w:jc w:val="both"/>
        <w:rPr>
          <w:rFonts w:ascii="Verdana" w:hAnsi="Verdana"/>
          <w:sz w:val="20"/>
        </w:rPr>
      </w:pPr>
      <w:r w:rsidRPr="00952DD5">
        <w:rPr>
          <w:rFonts w:ascii="Verdana" w:hAnsi="Verdana"/>
          <w:sz w:val="20"/>
        </w:rPr>
        <w:t xml:space="preserve">Archivar el expediente del </w:t>
      </w:r>
      <w:r w:rsidRPr="00952DD5">
        <w:rPr>
          <w:rFonts w:ascii="Verdana" w:hAnsi="Verdana"/>
          <w:i/>
          <w:sz w:val="20"/>
        </w:rPr>
        <w:t>Caso Baena Ricardo y otros Vs. Panamá</w:t>
      </w:r>
      <w:r w:rsidRPr="00952DD5">
        <w:rPr>
          <w:rFonts w:ascii="Verdana" w:hAnsi="Verdana"/>
          <w:sz w:val="20"/>
        </w:rPr>
        <w:t xml:space="preserve">.  </w:t>
      </w:r>
    </w:p>
    <w:p w14:paraId="23CA3232" w14:textId="77777777" w:rsidR="00881768" w:rsidRPr="00AB7386" w:rsidRDefault="00881768" w:rsidP="00881768">
      <w:pPr>
        <w:numPr>
          <w:ilvl w:val="0"/>
          <w:numId w:val="33"/>
        </w:numPr>
        <w:spacing w:before="120" w:after="120"/>
        <w:ind w:left="0" w:firstLine="0"/>
        <w:jc w:val="both"/>
        <w:rPr>
          <w:rFonts w:ascii="Verdana" w:hAnsi="Verdana"/>
          <w:sz w:val="20"/>
        </w:rPr>
      </w:pPr>
      <w:r w:rsidRPr="00AB7386">
        <w:rPr>
          <w:rFonts w:ascii="Verdana" w:hAnsi="Verdana"/>
          <w:sz w:val="20"/>
        </w:rPr>
        <w:t xml:space="preserve">Comunicar esta Resolución a la Asamblea General de la Organización de los Estados Americanos por conducto del Informe Anual de la Corte Interamericana de Derechos Humanos del año 2021. </w:t>
      </w:r>
    </w:p>
    <w:p w14:paraId="1EF47E8F" w14:textId="77777777" w:rsidR="00405532" w:rsidRDefault="00881768" w:rsidP="00881768">
      <w:pPr>
        <w:numPr>
          <w:ilvl w:val="0"/>
          <w:numId w:val="33"/>
        </w:numPr>
        <w:spacing w:before="120" w:after="120"/>
        <w:ind w:left="0" w:firstLine="0"/>
        <w:jc w:val="both"/>
        <w:rPr>
          <w:rFonts w:ascii="Verdana" w:hAnsi="Verdana"/>
          <w:sz w:val="20"/>
        </w:rPr>
      </w:pPr>
      <w:r w:rsidRPr="00AB7386">
        <w:rPr>
          <w:rFonts w:ascii="Verdana" w:hAnsi="Verdana"/>
          <w:sz w:val="20"/>
        </w:rPr>
        <w:t>Disponer que la Secretaría de la Corte notifique la presente Resolución al Estado, a los representantes de la</w:t>
      </w:r>
      <w:r w:rsidR="000C65AB" w:rsidRPr="00EC7E87">
        <w:rPr>
          <w:rFonts w:ascii="Verdana" w:hAnsi="Verdana"/>
          <w:sz w:val="20"/>
        </w:rPr>
        <w:t>s</w:t>
      </w:r>
      <w:r w:rsidRPr="00C45E76">
        <w:rPr>
          <w:rFonts w:ascii="Verdana" w:hAnsi="Verdana"/>
          <w:sz w:val="20"/>
        </w:rPr>
        <w:t xml:space="preserve"> víctima</w:t>
      </w:r>
      <w:r w:rsidR="000C65AB" w:rsidRPr="00C45E76">
        <w:rPr>
          <w:rFonts w:ascii="Verdana" w:hAnsi="Verdana"/>
          <w:sz w:val="20"/>
        </w:rPr>
        <w:t>s</w:t>
      </w:r>
      <w:r w:rsidRPr="00881768">
        <w:rPr>
          <w:rFonts w:ascii="Verdana" w:hAnsi="Verdana"/>
          <w:sz w:val="20"/>
        </w:rPr>
        <w:t xml:space="preserve"> y a la Comisión Interamericana de Derechos Humanos.</w:t>
      </w:r>
    </w:p>
    <w:p w14:paraId="2DC8357A" w14:textId="77777777" w:rsidR="002101D4" w:rsidRDefault="002101D4" w:rsidP="00405532">
      <w:pPr>
        <w:jc w:val="both"/>
        <w:rPr>
          <w:rFonts w:ascii="Verdana" w:hAnsi="Verdana"/>
          <w:sz w:val="20"/>
          <w:lang w:val="es-ES"/>
        </w:rPr>
      </w:pPr>
    </w:p>
    <w:p w14:paraId="24A7F7FC" w14:textId="33786BB1" w:rsidR="00405532" w:rsidRPr="002D12F9" w:rsidRDefault="00405532" w:rsidP="00405532">
      <w:pPr>
        <w:jc w:val="both"/>
        <w:rPr>
          <w:rFonts w:ascii="Verdana" w:hAnsi="Verdana"/>
          <w:sz w:val="20"/>
          <w:lang w:val="es-ES"/>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lang w:val="es-CR"/>
        </w:rPr>
        <w:t>Baena Ricardo y otros Vs. Panamá.</w:t>
      </w:r>
      <w:r>
        <w:rPr>
          <w:rFonts w:ascii="Verdana" w:hAnsi="Verdana"/>
          <w:iCs/>
          <w:sz w:val="20"/>
          <w:lang w:val="es-CR"/>
        </w:rPr>
        <w:t xml:space="preserve"> </w:t>
      </w:r>
      <w:r w:rsidRPr="00ED3A0E">
        <w:rPr>
          <w:rFonts w:ascii="Verdana" w:hAnsi="Verdana" w:cs="Arial"/>
          <w:sz w:val="20"/>
          <w:lang w:val="es-CR"/>
        </w:rPr>
        <w:t>Supervisión de Cumplimiento de Sentencia</w:t>
      </w:r>
      <w:r>
        <w:rPr>
          <w:rFonts w:ascii="Verdana" w:hAnsi="Verdana"/>
          <w:iCs/>
          <w:sz w:val="20"/>
          <w:lang w:val="es-CR"/>
        </w:rPr>
        <w:t>. Resolución de la Corte Interamericana de Derechos Humanos de 1 de septiembre de 2021.  Resolución adoptada en San José de Costa Rica por medio de sesión virtual.</w:t>
      </w:r>
    </w:p>
    <w:p w14:paraId="5AE155B0" w14:textId="77777777" w:rsidR="00405532" w:rsidRDefault="00405532" w:rsidP="00405532">
      <w:pPr>
        <w:jc w:val="both"/>
        <w:rPr>
          <w:rFonts w:ascii="Verdana" w:hAnsi="Verdana"/>
          <w:sz w:val="20"/>
          <w:lang w:val="es-ES"/>
        </w:rPr>
      </w:pPr>
    </w:p>
    <w:p w14:paraId="11A1244C" w14:textId="77777777" w:rsidR="00405532" w:rsidRDefault="00405532" w:rsidP="00405532">
      <w:pPr>
        <w:jc w:val="both"/>
        <w:rPr>
          <w:rFonts w:ascii="Verdana" w:hAnsi="Verdana"/>
          <w:sz w:val="20"/>
          <w:lang w:val="es-ES"/>
        </w:rPr>
      </w:pPr>
    </w:p>
    <w:p w14:paraId="6DFA258A" w14:textId="77777777" w:rsidR="00405532" w:rsidRPr="00405532" w:rsidRDefault="00405532" w:rsidP="00405532">
      <w:pPr>
        <w:jc w:val="both"/>
        <w:rPr>
          <w:rFonts w:ascii="Verdana" w:eastAsia="Calibri" w:hAnsi="Verdana"/>
          <w:sz w:val="20"/>
          <w:lang w:val="es-ES"/>
        </w:rPr>
      </w:pPr>
    </w:p>
    <w:p w14:paraId="307F063C" w14:textId="77777777" w:rsidR="00405532" w:rsidRPr="006A18B4" w:rsidRDefault="00405532" w:rsidP="00405532">
      <w:pPr>
        <w:jc w:val="center"/>
        <w:rPr>
          <w:rFonts w:ascii="Verdana" w:hAnsi="Verdana"/>
          <w:sz w:val="20"/>
          <w:lang w:val="es-CR"/>
        </w:rPr>
      </w:pPr>
    </w:p>
    <w:p w14:paraId="141F033E" w14:textId="77777777" w:rsidR="00405532" w:rsidRPr="006A18B4" w:rsidRDefault="00405532" w:rsidP="00405532">
      <w:pPr>
        <w:jc w:val="center"/>
        <w:rPr>
          <w:rFonts w:ascii="Verdana" w:hAnsi="Verdana"/>
          <w:sz w:val="20"/>
          <w:lang w:val="es-CR"/>
        </w:rPr>
      </w:pPr>
    </w:p>
    <w:p w14:paraId="04CC1407" w14:textId="77777777" w:rsidR="00405532" w:rsidRPr="006A18B4" w:rsidRDefault="00405532" w:rsidP="00405532">
      <w:pPr>
        <w:jc w:val="center"/>
        <w:rPr>
          <w:rFonts w:ascii="Verdana" w:hAnsi="Verdana"/>
          <w:sz w:val="20"/>
          <w:lang w:val="es-CR"/>
        </w:rPr>
      </w:pPr>
    </w:p>
    <w:p w14:paraId="2429145B" w14:textId="77777777" w:rsidR="00405532" w:rsidRPr="006A18B4" w:rsidRDefault="00405532" w:rsidP="00405532">
      <w:pPr>
        <w:jc w:val="center"/>
        <w:rPr>
          <w:rFonts w:ascii="Verdana" w:hAnsi="Verdana"/>
          <w:sz w:val="20"/>
          <w:lang w:val="es-CR"/>
        </w:rPr>
      </w:pPr>
    </w:p>
    <w:p w14:paraId="56FEA94B" w14:textId="77777777" w:rsidR="00405532" w:rsidRPr="00104315" w:rsidRDefault="00405532" w:rsidP="00405532">
      <w:pPr>
        <w:jc w:val="center"/>
        <w:rPr>
          <w:rFonts w:ascii="Verdana" w:hAnsi="Verdana"/>
          <w:sz w:val="20"/>
          <w:lang w:val="es-CR"/>
        </w:rPr>
      </w:pPr>
      <w:r w:rsidRPr="00104315">
        <w:rPr>
          <w:rFonts w:ascii="Verdana" w:hAnsi="Verdana"/>
          <w:sz w:val="20"/>
          <w:lang w:val="es-CR"/>
        </w:rPr>
        <w:t>Elizabeth Odio Benito</w:t>
      </w:r>
    </w:p>
    <w:p w14:paraId="02B191F8" w14:textId="77777777" w:rsidR="00405532" w:rsidRPr="00104315" w:rsidRDefault="00405532" w:rsidP="00405532">
      <w:pPr>
        <w:jc w:val="center"/>
        <w:rPr>
          <w:rFonts w:ascii="Verdana" w:hAnsi="Verdana"/>
          <w:sz w:val="20"/>
          <w:lang w:val="es-CR"/>
        </w:rPr>
      </w:pPr>
      <w:r w:rsidRPr="00104315">
        <w:rPr>
          <w:rFonts w:ascii="Verdana" w:hAnsi="Verdana"/>
          <w:sz w:val="20"/>
          <w:lang w:val="es-CR"/>
        </w:rPr>
        <w:t>Presidenta</w:t>
      </w:r>
    </w:p>
    <w:p w14:paraId="713983E6" w14:textId="77777777" w:rsidR="00405532" w:rsidRPr="00104315" w:rsidRDefault="00405532" w:rsidP="00405532">
      <w:pPr>
        <w:jc w:val="center"/>
        <w:rPr>
          <w:rFonts w:ascii="Verdana" w:hAnsi="Verdana"/>
          <w:sz w:val="20"/>
          <w:lang w:val="es-CR"/>
        </w:rPr>
      </w:pPr>
    </w:p>
    <w:p w14:paraId="46860039" w14:textId="77777777" w:rsidR="00405532" w:rsidRPr="00104315" w:rsidRDefault="00405532" w:rsidP="00405532">
      <w:pPr>
        <w:jc w:val="center"/>
        <w:rPr>
          <w:rFonts w:ascii="Verdana" w:hAnsi="Verdana"/>
          <w:sz w:val="20"/>
          <w:lang w:val="es-CR"/>
        </w:rPr>
      </w:pPr>
    </w:p>
    <w:p w14:paraId="1DC36A3E" w14:textId="77777777" w:rsidR="00405532" w:rsidRPr="00104315" w:rsidRDefault="00405532" w:rsidP="00405532">
      <w:pPr>
        <w:rPr>
          <w:rFonts w:ascii="Verdana" w:hAnsi="Verdana"/>
          <w:sz w:val="20"/>
          <w:lang w:val="es-CR"/>
        </w:rPr>
      </w:pPr>
    </w:p>
    <w:p w14:paraId="6CCF96B3" w14:textId="77777777" w:rsidR="00405532" w:rsidRPr="00104315" w:rsidRDefault="00405532" w:rsidP="00405532">
      <w:pPr>
        <w:rPr>
          <w:rFonts w:ascii="Verdana" w:hAnsi="Verdana"/>
          <w:sz w:val="20"/>
          <w:lang w:val="es-CR"/>
        </w:rPr>
      </w:pPr>
    </w:p>
    <w:p w14:paraId="72D54A7C" w14:textId="77777777" w:rsidR="00405532" w:rsidRPr="00104315" w:rsidRDefault="00405532" w:rsidP="00405532">
      <w:pPr>
        <w:rPr>
          <w:rFonts w:ascii="Verdana" w:hAnsi="Verdana"/>
          <w:sz w:val="20"/>
          <w:lang w:val="es-CR"/>
        </w:rPr>
      </w:pPr>
      <w:r w:rsidRPr="00104315">
        <w:rPr>
          <w:rFonts w:ascii="Verdana" w:hAnsi="Verdana"/>
          <w:sz w:val="20"/>
          <w:lang w:val="es-CR"/>
        </w:rPr>
        <w:t>Eduardo Vio Grossi                                                             Humberto Antonio Sierra Porto</w:t>
      </w:r>
    </w:p>
    <w:p w14:paraId="7B9761D1" w14:textId="77777777" w:rsidR="00405532" w:rsidRPr="00104315" w:rsidRDefault="00405532" w:rsidP="00405532">
      <w:pPr>
        <w:rPr>
          <w:rFonts w:ascii="Verdana" w:hAnsi="Verdana"/>
          <w:sz w:val="20"/>
          <w:lang w:val="es-CR"/>
        </w:rPr>
      </w:pPr>
    </w:p>
    <w:p w14:paraId="799088FB" w14:textId="77777777" w:rsidR="00405532" w:rsidRPr="00104315" w:rsidRDefault="00405532" w:rsidP="00405532">
      <w:pPr>
        <w:rPr>
          <w:rFonts w:ascii="Verdana" w:hAnsi="Verdana"/>
          <w:sz w:val="20"/>
          <w:lang w:val="es-CR"/>
        </w:rPr>
      </w:pPr>
    </w:p>
    <w:p w14:paraId="38E40157" w14:textId="77777777" w:rsidR="00405532" w:rsidRPr="00104315" w:rsidRDefault="00405532" w:rsidP="00405532">
      <w:pPr>
        <w:rPr>
          <w:rFonts w:ascii="Verdana" w:hAnsi="Verdana"/>
          <w:sz w:val="20"/>
          <w:lang w:val="es-CR"/>
        </w:rPr>
      </w:pPr>
    </w:p>
    <w:p w14:paraId="1E143FB3" w14:textId="77777777" w:rsidR="00405532" w:rsidRPr="00104315" w:rsidRDefault="00405532" w:rsidP="00405532">
      <w:pPr>
        <w:rPr>
          <w:rFonts w:ascii="Verdana" w:hAnsi="Verdana"/>
          <w:sz w:val="20"/>
          <w:lang w:val="es-CR"/>
        </w:rPr>
      </w:pPr>
    </w:p>
    <w:p w14:paraId="09DC6862" w14:textId="77777777" w:rsidR="00405532" w:rsidRPr="00104315" w:rsidRDefault="00405532" w:rsidP="00405532">
      <w:pPr>
        <w:rPr>
          <w:rFonts w:ascii="Verdana" w:hAnsi="Verdana"/>
          <w:sz w:val="20"/>
          <w:lang w:val="es-CR"/>
        </w:rPr>
      </w:pPr>
    </w:p>
    <w:p w14:paraId="679D2D79" w14:textId="77777777" w:rsidR="00405532" w:rsidRPr="00104315" w:rsidRDefault="00405532" w:rsidP="00405532">
      <w:pPr>
        <w:rPr>
          <w:rFonts w:ascii="Verdana" w:hAnsi="Verdana"/>
          <w:sz w:val="20"/>
          <w:lang w:val="es-CR"/>
        </w:rPr>
      </w:pPr>
    </w:p>
    <w:p w14:paraId="13E66BCD" w14:textId="77777777" w:rsidR="00405532" w:rsidRPr="00104315" w:rsidRDefault="00405532" w:rsidP="00405532">
      <w:pPr>
        <w:rPr>
          <w:rFonts w:ascii="Verdana" w:hAnsi="Verdana"/>
          <w:sz w:val="20"/>
          <w:lang w:val="es-CR"/>
        </w:rPr>
      </w:pPr>
      <w:r w:rsidRPr="00104315">
        <w:rPr>
          <w:rFonts w:ascii="Verdana" w:hAnsi="Verdana"/>
          <w:sz w:val="20"/>
          <w:lang w:val="es-CR"/>
        </w:rPr>
        <w:t>Eduardo Ferrer Mac-</w:t>
      </w:r>
      <w:proofErr w:type="spellStart"/>
      <w:r w:rsidRPr="00104315">
        <w:rPr>
          <w:rFonts w:ascii="Verdana" w:hAnsi="Verdana"/>
          <w:sz w:val="20"/>
          <w:lang w:val="es-CR"/>
        </w:rPr>
        <w:t>Gregor</w:t>
      </w:r>
      <w:proofErr w:type="spellEnd"/>
      <w:r w:rsidRPr="00104315">
        <w:rPr>
          <w:rFonts w:ascii="Verdana" w:hAnsi="Verdana"/>
          <w:sz w:val="20"/>
          <w:lang w:val="es-CR"/>
        </w:rPr>
        <w:t xml:space="preserve"> </w:t>
      </w:r>
      <w:proofErr w:type="spellStart"/>
      <w:r w:rsidRPr="00104315">
        <w:rPr>
          <w:rFonts w:ascii="Verdana" w:hAnsi="Verdana"/>
          <w:sz w:val="20"/>
          <w:lang w:val="es-CR"/>
        </w:rPr>
        <w:t>Poisot</w:t>
      </w:r>
      <w:proofErr w:type="spellEnd"/>
      <w:r w:rsidRPr="00104315">
        <w:rPr>
          <w:rFonts w:ascii="Verdana" w:hAnsi="Verdana"/>
          <w:sz w:val="20"/>
          <w:lang w:val="es-CR"/>
        </w:rPr>
        <w:tab/>
        <w:t xml:space="preserve">                                                Eugenio Raúl Zaffaroni</w:t>
      </w:r>
    </w:p>
    <w:p w14:paraId="09C26015" w14:textId="77777777" w:rsidR="00405532" w:rsidRPr="00104315" w:rsidRDefault="00405532" w:rsidP="00405532">
      <w:pPr>
        <w:rPr>
          <w:rFonts w:ascii="Verdana" w:hAnsi="Verdana"/>
          <w:sz w:val="20"/>
          <w:lang w:val="es-CR"/>
        </w:rPr>
      </w:pPr>
    </w:p>
    <w:p w14:paraId="00ECB97C" w14:textId="77777777" w:rsidR="00405532" w:rsidRPr="00104315" w:rsidRDefault="00405532" w:rsidP="00405532">
      <w:pPr>
        <w:rPr>
          <w:rFonts w:ascii="Verdana" w:hAnsi="Verdana"/>
          <w:sz w:val="20"/>
          <w:lang w:val="es-CR"/>
        </w:rPr>
      </w:pPr>
    </w:p>
    <w:p w14:paraId="149471D6" w14:textId="77777777" w:rsidR="00405532" w:rsidRPr="00104315" w:rsidRDefault="00405532" w:rsidP="00405532">
      <w:pPr>
        <w:rPr>
          <w:rFonts w:ascii="Verdana" w:hAnsi="Verdana"/>
          <w:sz w:val="20"/>
          <w:lang w:val="es-CR"/>
        </w:rPr>
      </w:pPr>
    </w:p>
    <w:p w14:paraId="1DDFE388" w14:textId="77777777" w:rsidR="00405532" w:rsidRPr="00104315" w:rsidRDefault="00405532" w:rsidP="00405532">
      <w:pPr>
        <w:rPr>
          <w:rFonts w:ascii="Verdana" w:hAnsi="Verdana"/>
          <w:sz w:val="20"/>
          <w:lang w:val="es-CR"/>
        </w:rPr>
      </w:pPr>
    </w:p>
    <w:p w14:paraId="31288DA5" w14:textId="77777777" w:rsidR="00405532" w:rsidRPr="00104315" w:rsidRDefault="00405532" w:rsidP="00405532">
      <w:pPr>
        <w:rPr>
          <w:rFonts w:ascii="Verdana" w:hAnsi="Verdana"/>
          <w:sz w:val="20"/>
          <w:lang w:val="es-CR"/>
        </w:rPr>
      </w:pPr>
    </w:p>
    <w:p w14:paraId="7BCEBBBB" w14:textId="77777777" w:rsidR="00405532" w:rsidRPr="00104315" w:rsidRDefault="00405532" w:rsidP="00405532">
      <w:pPr>
        <w:jc w:val="center"/>
        <w:rPr>
          <w:rFonts w:ascii="Verdana" w:hAnsi="Verdana"/>
          <w:sz w:val="20"/>
          <w:lang w:val="es-CR"/>
        </w:rPr>
      </w:pPr>
      <w:r w:rsidRPr="00104315">
        <w:rPr>
          <w:rFonts w:ascii="Verdana" w:hAnsi="Verdana"/>
          <w:sz w:val="20"/>
          <w:lang w:val="es-CR"/>
        </w:rPr>
        <w:t>Ricardo C. Pérez Manrique</w:t>
      </w:r>
    </w:p>
    <w:p w14:paraId="4504F3C0" w14:textId="77777777" w:rsidR="00405532" w:rsidRPr="00104315" w:rsidRDefault="00405532" w:rsidP="00405532">
      <w:pPr>
        <w:jc w:val="both"/>
        <w:rPr>
          <w:rFonts w:ascii="Verdana" w:hAnsi="Verdana"/>
          <w:sz w:val="20"/>
          <w:lang w:val="es-CR"/>
        </w:rPr>
      </w:pPr>
    </w:p>
    <w:p w14:paraId="6A07E3E4" w14:textId="77777777" w:rsidR="00405532" w:rsidRPr="00104315" w:rsidRDefault="00405532" w:rsidP="00405532">
      <w:pPr>
        <w:jc w:val="both"/>
        <w:rPr>
          <w:rFonts w:ascii="Verdana" w:hAnsi="Verdana"/>
          <w:sz w:val="20"/>
          <w:lang w:val="es-CR"/>
        </w:rPr>
      </w:pPr>
    </w:p>
    <w:p w14:paraId="4BBE852F" w14:textId="77777777" w:rsidR="00405532" w:rsidRPr="00104315" w:rsidRDefault="00405532" w:rsidP="00405532">
      <w:pPr>
        <w:jc w:val="both"/>
        <w:rPr>
          <w:rFonts w:ascii="Verdana" w:hAnsi="Verdana"/>
          <w:sz w:val="20"/>
          <w:lang w:val="es-CR"/>
        </w:rPr>
      </w:pPr>
    </w:p>
    <w:p w14:paraId="6708305E" w14:textId="77777777" w:rsidR="00405532" w:rsidRPr="00104315" w:rsidRDefault="00405532" w:rsidP="00405532">
      <w:pPr>
        <w:jc w:val="both"/>
        <w:rPr>
          <w:rFonts w:ascii="Verdana" w:hAnsi="Verdana"/>
          <w:sz w:val="20"/>
          <w:lang w:val="es-CR"/>
        </w:rPr>
      </w:pPr>
    </w:p>
    <w:p w14:paraId="40346D40" w14:textId="77777777" w:rsidR="00405532" w:rsidRPr="00104315" w:rsidRDefault="00405532" w:rsidP="00405532">
      <w:pPr>
        <w:jc w:val="both"/>
        <w:rPr>
          <w:rFonts w:ascii="Verdana" w:hAnsi="Verdana"/>
          <w:sz w:val="20"/>
          <w:lang w:val="es-CR"/>
        </w:rPr>
      </w:pPr>
    </w:p>
    <w:p w14:paraId="365007B1" w14:textId="77777777" w:rsidR="00405532" w:rsidRPr="00104315" w:rsidRDefault="00405532" w:rsidP="00405532">
      <w:pPr>
        <w:jc w:val="both"/>
        <w:rPr>
          <w:rFonts w:ascii="Verdana" w:hAnsi="Verdana"/>
          <w:sz w:val="20"/>
          <w:lang w:val="es-CR"/>
        </w:rPr>
      </w:pPr>
    </w:p>
    <w:p w14:paraId="3743EA2B" w14:textId="77777777" w:rsidR="00405532" w:rsidRPr="00FC4051" w:rsidRDefault="00405532" w:rsidP="00405532">
      <w:pPr>
        <w:jc w:val="center"/>
        <w:rPr>
          <w:rFonts w:ascii="Verdana" w:hAnsi="Verdana"/>
          <w:sz w:val="20"/>
          <w:lang w:val="pt-BR"/>
        </w:rPr>
      </w:pPr>
      <w:r w:rsidRPr="00FC4051">
        <w:rPr>
          <w:rFonts w:ascii="Verdana" w:hAnsi="Verdana"/>
          <w:sz w:val="20"/>
          <w:lang w:val="pt-BR"/>
        </w:rPr>
        <w:t>Pablo Saavedra Alessandri</w:t>
      </w:r>
    </w:p>
    <w:p w14:paraId="437B376E" w14:textId="77777777" w:rsidR="00405532" w:rsidRDefault="00405532" w:rsidP="00405532">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690A5F8F" w14:textId="77777777" w:rsidR="00405532" w:rsidRPr="00FC4051" w:rsidRDefault="00405532" w:rsidP="00405532">
      <w:pPr>
        <w:pStyle w:val="Textonotapie"/>
        <w:rPr>
          <w:rFonts w:ascii="Verdana" w:hAnsi="Verdana"/>
          <w:lang w:val="pt-BR"/>
        </w:rPr>
      </w:pPr>
    </w:p>
    <w:p w14:paraId="4E00E0AB" w14:textId="77777777" w:rsidR="00405532" w:rsidRPr="00FC4051" w:rsidRDefault="00405532" w:rsidP="00405532">
      <w:pPr>
        <w:pStyle w:val="Textonotapie"/>
        <w:rPr>
          <w:rFonts w:ascii="Verdana" w:hAnsi="Verdana"/>
          <w:lang w:val="pt-BR"/>
        </w:rPr>
      </w:pPr>
    </w:p>
    <w:p w14:paraId="12B7D34B" w14:textId="77777777" w:rsidR="00405532" w:rsidRPr="00FC4051" w:rsidRDefault="00405532" w:rsidP="00405532">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3131AF8D" w14:textId="77777777" w:rsidR="00405532" w:rsidRPr="00FC4051" w:rsidRDefault="00405532" w:rsidP="00405532">
      <w:pPr>
        <w:rPr>
          <w:rFonts w:ascii="Verdana" w:hAnsi="Verdana"/>
          <w:sz w:val="20"/>
          <w:lang w:val="pt-BR"/>
        </w:rPr>
      </w:pPr>
    </w:p>
    <w:p w14:paraId="5A287CC1" w14:textId="77777777" w:rsidR="00405532" w:rsidRDefault="00405532" w:rsidP="00405532">
      <w:pPr>
        <w:jc w:val="center"/>
        <w:rPr>
          <w:rFonts w:ascii="Verdana" w:hAnsi="Verdana"/>
          <w:sz w:val="20"/>
          <w:lang w:val="pt-BR"/>
        </w:rPr>
      </w:pPr>
    </w:p>
    <w:p w14:paraId="5E46CB5B" w14:textId="77777777" w:rsidR="00405532" w:rsidRPr="00FC4051" w:rsidRDefault="00405532" w:rsidP="00405532">
      <w:pPr>
        <w:jc w:val="right"/>
        <w:rPr>
          <w:rFonts w:ascii="Verdana" w:hAnsi="Verdana"/>
          <w:sz w:val="20"/>
          <w:lang w:val="pt-BR"/>
        </w:rPr>
      </w:pPr>
    </w:p>
    <w:p w14:paraId="5CF45AB1" w14:textId="77777777" w:rsidR="00405532" w:rsidRDefault="00405532" w:rsidP="00405532">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25482313" w14:textId="77777777" w:rsidR="00405532" w:rsidRDefault="00405532" w:rsidP="00405532">
      <w:pPr>
        <w:ind w:left="6480" w:firstLine="720"/>
        <w:rPr>
          <w:rFonts w:ascii="Verdana" w:hAnsi="Verdana"/>
          <w:sz w:val="20"/>
          <w:lang w:val="pt-BR"/>
        </w:rPr>
      </w:pPr>
      <w:r>
        <w:rPr>
          <w:rFonts w:ascii="Verdana" w:hAnsi="Verdana"/>
          <w:sz w:val="20"/>
          <w:lang w:val="pt-BR"/>
        </w:rPr>
        <w:t xml:space="preserve">     Presidenta</w:t>
      </w:r>
    </w:p>
    <w:p w14:paraId="5B766385" w14:textId="77777777" w:rsidR="00405532" w:rsidRPr="00FC4051" w:rsidRDefault="00405532" w:rsidP="00405532">
      <w:pPr>
        <w:jc w:val="both"/>
        <w:rPr>
          <w:rFonts w:ascii="Verdana" w:hAnsi="Verdana"/>
          <w:sz w:val="20"/>
          <w:lang w:val="pt-BR"/>
        </w:rPr>
      </w:pPr>
    </w:p>
    <w:p w14:paraId="67D4DA6D" w14:textId="77777777" w:rsidR="00405532" w:rsidRDefault="00405532" w:rsidP="00405532">
      <w:pPr>
        <w:jc w:val="both"/>
        <w:rPr>
          <w:rFonts w:ascii="Verdana" w:hAnsi="Verdana"/>
          <w:sz w:val="20"/>
          <w:lang w:val="pt-BR"/>
        </w:rPr>
      </w:pPr>
    </w:p>
    <w:p w14:paraId="6BCC8420" w14:textId="77777777" w:rsidR="00405532" w:rsidRDefault="00405532" w:rsidP="00405532">
      <w:pPr>
        <w:jc w:val="both"/>
        <w:rPr>
          <w:rFonts w:ascii="Verdana" w:hAnsi="Verdana"/>
          <w:sz w:val="20"/>
          <w:lang w:val="pt-BR"/>
        </w:rPr>
      </w:pPr>
    </w:p>
    <w:p w14:paraId="1FF5BB7C" w14:textId="77777777" w:rsidR="00405532" w:rsidRDefault="00405532" w:rsidP="00405532">
      <w:pPr>
        <w:jc w:val="both"/>
        <w:rPr>
          <w:rFonts w:ascii="Verdana" w:hAnsi="Verdana"/>
          <w:sz w:val="20"/>
          <w:lang w:val="pt-BR"/>
        </w:rPr>
      </w:pPr>
    </w:p>
    <w:p w14:paraId="31264144" w14:textId="77777777" w:rsidR="00405532" w:rsidRPr="00FC4051" w:rsidRDefault="00405532" w:rsidP="00405532">
      <w:pPr>
        <w:jc w:val="both"/>
        <w:rPr>
          <w:rFonts w:ascii="Verdana" w:hAnsi="Verdana"/>
          <w:sz w:val="20"/>
          <w:lang w:val="pt-BR"/>
        </w:rPr>
      </w:pPr>
    </w:p>
    <w:p w14:paraId="23A2908B" w14:textId="77777777" w:rsidR="00405532" w:rsidRPr="00FC4051" w:rsidRDefault="00405532" w:rsidP="00405532">
      <w:pPr>
        <w:jc w:val="both"/>
        <w:rPr>
          <w:rFonts w:ascii="Verdana" w:hAnsi="Verdana"/>
          <w:sz w:val="20"/>
          <w:lang w:val="pt-BR"/>
        </w:rPr>
      </w:pPr>
      <w:r w:rsidRPr="00FC4051">
        <w:rPr>
          <w:rFonts w:ascii="Verdana" w:hAnsi="Verdana"/>
          <w:sz w:val="20"/>
          <w:lang w:val="pt-BR"/>
        </w:rPr>
        <w:t>Pablo Saavedra Alessandri</w:t>
      </w:r>
    </w:p>
    <w:p w14:paraId="2E8FD8DF" w14:textId="77777777" w:rsidR="00405532" w:rsidRPr="007E10A8" w:rsidRDefault="00405532" w:rsidP="00405532">
      <w:pPr>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5F7FBB93" w14:textId="77777777" w:rsidR="00881768" w:rsidRPr="00881768" w:rsidRDefault="00881768" w:rsidP="00405532">
      <w:pPr>
        <w:spacing w:before="120" w:after="120"/>
        <w:jc w:val="both"/>
        <w:rPr>
          <w:rFonts w:ascii="Verdana" w:hAnsi="Verdana"/>
          <w:sz w:val="20"/>
        </w:rPr>
      </w:pPr>
    </w:p>
    <w:sectPr w:rsidR="00881768" w:rsidRPr="00881768" w:rsidSect="000B4DDF">
      <w:headerReference w:type="even" r:id="rId8"/>
      <w:headerReference w:type="default" r:id="rId9"/>
      <w:footerReference w:type="default" r:id="rId10"/>
      <w:pgSz w:w="12240" w:h="15840" w:code="1"/>
      <w:pgMar w:top="1440" w:right="1467" w:bottom="1134" w:left="1418"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D638B" w14:textId="77777777" w:rsidR="0034698A" w:rsidRDefault="0034698A">
      <w:r>
        <w:separator/>
      </w:r>
    </w:p>
  </w:endnote>
  <w:endnote w:type="continuationSeparator" w:id="0">
    <w:p w14:paraId="505CCC4F" w14:textId="77777777" w:rsidR="0034698A" w:rsidRDefault="0034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 York">
    <w:panose1 w:val="02040503060506020304"/>
    <w:charset w:val="00"/>
    <w:family w:val="roman"/>
    <w:pitch w:val="variable"/>
    <w:sig w:usb0="00000003" w:usb1="00000000" w:usb2="00000000" w:usb3="00000000" w:csb0="00000001" w:csb1="00000000"/>
  </w:font>
  <w:font w:name="Palatino">
    <w:altName w:val="Book Antiqua"/>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TE3F96A7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FCBC" w14:textId="77777777" w:rsidR="00DB3D04" w:rsidRPr="00BE7755" w:rsidRDefault="00DB3D04" w:rsidP="00BE7755">
    <w:pPr>
      <w:pStyle w:val="Piedepgina"/>
      <w:tabs>
        <w:tab w:val="center" w:pos="4677"/>
        <w:tab w:val="left" w:pos="5620"/>
      </w:tabs>
      <w:jc w:val="center"/>
      <w:rPr>
        <w:rFonts w:ascii="Verdana" w:hAnsi="Verdana"/>
        <w:sz w:val="20"/>
      </w:rPr>
    </w:pPr>
    <w:r>
      <w:rPr>
        <w:rFonts w:ascii="Verdana" w:hAnsi="Verdana"/>
        <w:sz w:val="20"/>
      </w:rPr>
      <w:t>-</w:t>
    </w:r>
    <w:r w:rsidRPr="00947BF3">
      <w:rPr>
        <w:rFonts w:ascii="Verdana" w:hAnsi="Verdana"/>
        <w:sz w:val="20"/>
      </w:rPr>
      <w:fldChar w:fldCharType="begin"/>
    </w:r>
    <w:r w:rsidRPr="00947BF3">
      <w:rPr>
        <w:rFonts w:ascii="Verdana" w:hAnsi="Verdana"/>
        <w:sz w:val="20"/>
      </w:rPr>
      <w:instrText>PAGE   \* MERGEFORMAT</w:instrText>
    </w:r>
    <w:r w:rsidRPr="00947BF3">
      <w:rPr>
        <w:rFonts w:ascii="Verdana" w:hAnsi="Verdana"/>
        <w:sz w:val="20"/>
      </w:rPr>
      <w:fldChar w:fldCharType="separate"/>
    </w:r>
    <w:r w:rsidR="00960743" w:rsidRPr="00960743">
      <w:rPr>
        <w:rFonts w:ascii="Verdana" w:hAnsi="Verdana"/>
        <w:noProof/>
        <w:sz w:val="20"/>
        <w:lang w:val="es-ES"/>
      </w:rPr>
      <w:t>13</w:t>
    </w:r>
    <w:r w:rsidRPr="00947BF3">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5095" w14:textId="77777777" w:rsidR="0034698A" w:rsidRDefault="0034698A">
      <w:r>
        <w:separator/>
      </w:r>
    </w:p>
  </w:footnote>
  <w:footnote w:type="continuationSeparator" w:id="0">
    <w:p w14:paraId="56C72ADC" w14:textId="77777777" w:rsidR="0034698A" w:rsidRDefault="0034698A">
      <w:r>
        <w:continuationSeparator/>
      </w:r>
    </w:p>
  </w:footnote>
  <w:footnote w:id="1">
    <w:p w14:paraId="0D7AC6A2" w14:textId="77777777" w:rsidR="00DB3D04" w:rsidRPr="000B4DDF" w:rsidRDefault="00DB3D04" w:rsidP="00AA398D">
      <w:pPr>
        <w:pStyle w:val="Textonotapie"/>
        <w:tabs>
          <w:tab w:val="left" w:pos="426"/>
        </w:tabs>
        <w:jc w:val="both"/>
        <w:rPr>
          <w:rFonts w:ascii="Verdana" w:eastAsia="Times New Roman" w:hAnsi="Verdana" w:cs="Calibri"/>
          <w:color w:val="FF0000"/>
          <w:sz w:val="16"/>
          <w:szCs w:val="16"/>
          <w:lang w:val="es-AR"/>
        </w:rPr>
      </w:pPr>
      <w:r w:rsidRPr="0089399D">
        <w:rPr>
          <w:rStyle w:val="Refdenotaalpie"/>
          <w:rFonts w:ascii="Verdana" w:hAnsi="Verdana"/>
          <w:sz w:val="16"/>
          <w:szCs w:val="16"/>
          <w:lang w:val="es-AR"/>
        </w:rPr>
        <w:t>*</w:t>
      </w:r>
      <w:r w:rsidRPr="0089399D">
        <w:rPr>
          <w:rFonts w:ascii="Verdana" w:hAnsi="Verdana"/>
          <w:sz w:val="16"/>
          <w:szCs w:val="16"/>
          <w:lang w:val="es-AR"/>
        </w:rPr>
        <w:tab/>
      </w:r>
      <w:r w:rsidRPr="0089399D">
        <w:rPr>
          <w:rFonts w:ascii="Verdana" w:eastAsia="Times New Roman" w:hAnsi="Verdana" w:cs="Calibri"/>
          <w:color w:val="000000"/>
          <w:sz w:val="16"/>
          <w:szCs w:val="16"/>
          <w:lang w:val="es-AR"/>
        </w:rPr>
        <w:t xml:space="preserve">Debido a las circunstancias excepcionales ocasionadas por la pandemia COVID-19, esta Resolución fue </w:t>
      </w:r>
      <w:r w:rsidRPr="0089399D">
        <w:rPr>
          <w:rFonts w:ascii="Verdana" w:hAnsi="Verdana"/>
          <w:sz w:val="16"/>
          <w:szCs w:val="16"/>
        </w:rPr>
        <w:t>deliberada</w:t>
      </w:r>
      <w:r w:rsidRPr="0089399D">
        <w:rPr>
          <w:rFonts w:ascii="Verdana" w:eastAsia="Times New Roman" w:hAnsi="Verdana" w:cs="Calibri"/>
          <w:color w:val="000000"/>
          <w:sz w:val="16"/>
          <w:szCs w:val="16"/>
          <w:lang w:val="es-AR"/>
        </w:rPr>
        <w:t xml:space="preserve"> y aprobada durante el</w:t>
      </w:r>
      <w:r>
        <w:rPr>
          <w:rFonts w:ascii="Verdana" w:eastAsia="Times New Roman" w:hAnsi="Verdana" w:cs="Calibri"/>
          <w:color w:val="000000"/>
          <w:sz w:val="16"/>
          <w:szCs w:val="16"/>
          <w:lang w:val="es-AR"/>
        </w:rPr>
        <w:t xml:space="preserve"> 143</w:t>
      </w:r>
      <w:r w:rsidRPr="0089399D">
        <w:rPr>
          <w:rFonts w:ascii="Verdana" w:eastAsia="Times New Roman" w:hAnsi="Verdana" w:cs="Calibri"/>
          <w:color w:val="000000"/>
          <w:sz w:val="16"/>
          <w:szCs w:val="16"/>
          <w:lang w:val="es-AR"/>
        </w:rPr>
        <w:t xml:space="preserve"> Período Ordinario de Sesiones, el cual se llevó a cabo de forma no presencial utilizando medios tecnológicos de conformidad con lo establecido en el Reglamento de la Corte</w:t>
      </w:r>
      <w:r w:rsidRPr="00235C78">
        <w:rPr>
          <w:rFonts w:ascii="Verdana" w:eastAsia="Times New Roman" w:hAnsi="Verdana" w:cs="Calibri"/>
          <w:color w:val="000000"/>
          <w:sz w:val="16"/>
          <w:szCs w:val="16"/>
          <w:lang w:val="es-AR"/>
        </w:rPr>
        <w:t xml:space="preserve">. </w:t>
      </w:r>
      <w:r w:rsidR="00423668" w:rsidRPr="00235C78">
        <w:rPr>
          <w:rFonts w:ascii="Verdana" w:eastAsia="Times New Roman" w:hAnsi="Verdana" w:cs="Calibri"/>
          <w:color w:val="000000"/>
          <w:sz w:val="16"/>
          <w:szCs w:val="16"/>
          <w:lang w:val="es-AR"/>
        </w:rPr>
        <w:t xml:space="preserve">El L. Patricio Pazmiño Freire, no participó en el conocimiento y deliberación de la presente Resolución, pues </w:t>
      </w:r>
      <w:r w:rsidR="00761678">
        <w:rPr>
          <w:rFonts w:ascii="Verdana" w:eastAsia="Times New Roman" w:hAnsi="Verdana" w:cs="Calibri"/>
          <w:color w:val="000000"/>
          <w:sz w:val="16"/>
          <w:szCs w:val="16"/>
          <w:lang w:val="es-AR"/>
        </w:rPr>
        <w:t>s</w:t>
      </w:r>
      <w:r w:rsidR="00423668" w:rsidRPr="00235C78">
        <w:rPr>
          <w:rFonts w:ascii="Verdana" w:eastAsia="Times New Roman" w:hAnsi="Verdana" w:cs="Calibri"/>
          <w:color w:val="000000"/>
          <w:sz w:val="16"/>
          <w:szCs w:val="16"/>
          <w:lang w:val="es-AR"/>
        </w:rPr>
        <w:t xml:space="preserve">e excusó, de conformidad con lo dispuesto en los artículos 19 del Estatuto y 21 del Reglamento de la Corte, lo cual fue aceptado por la </w:t>
      </w:r>
      <w:proofErr w:type="gramStart"/>
      <w:r w:rsidR="00423668" w:rsidRPr="00235C78">
        <w:rPr>
          <w:rFonts w:ascii="Verdana" w:eastAsia="Times New Roman" w:hAnsi="Verdana" w:cs="Calibri"/>
          <w:color w:val="000000"/>
          <w:sz w:val="16"/>
          <w:szCs w:val="16"/>
          <w:lang w:val="es-AR"/>
        </w:rPr>
        <w:t>Presidenta</w:t>
      </w:r>
      <w:proofErr w:type="gramEnd"/>
      <w:r w:rsidR="00423668" w:rsidRPr="00235C78">
        <w:rPr>
          <w:rFonts w:ascii="Verdana" w:eastAsia="Times New Roman" w:hAnsi="Verdana" w:cs="Calibri"/>
          <w:color w:val="000000"/>
          <w:sz w:val="16"/>
          <w:szCs w:val="16"/>
          <w:lang w:val="es-AR"/>
        </w:rPr>
        <w:t xml:space="preserve"> del Tribunal</w:t>
      </w:r>
      <w:r w:rsidR="00423668" w:rsidRPr="00235C78">
        <w:t>.</w:t>
      </w:r>
      <w:r w:rsidR="00423668" w:rsidRPr="00235C78">
        <w:rPr>
          <w:rFonts w:ascii="Verdana" w:eastAsia="Times New Roman" w:hAnsi="Verdana" w:cs="Calibri"/>
          <w:color w:val="FF0000"/>
          <w:sz w:val="16"/>
          <w:szCs w:val="16"/>
          <w:lang w:val="es-AR"/>
        </w:rPr>
        <w:t xml:space="preserve"> </w:t>
      </w:r>
    </w:p>
  </w:footnote>
  <w:footnote w:id="2">
    <w:p w14:paraId="3A22EE3F" w14:textId="77777777" w:rsidR="00DB3D04" w:rsidRPr="0089399D" w:rsidRDefault="00DB3D04" w:rsidP="0089399D">
      <w:pPr>
        <w:pStyle w:val="Textonotapie"/>
        <w:tabs>
          <w:tab w:val="left" w:pos="426"/>
        </w:tabs>
        <w:jc w:val="both"/>
        <w:rPr>
          <w:rFonts w:ascii="Verdana" w:hAnsi="Verdana"/>
          <w:b/>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Cfr.</w:t>
      </w:r>
      <w:r w:rsidRPr="0089399D">
        <w:rPr>
          <w:rFonts w:ascii="Verdana" w:hAnsi="Verdana"/>
          <w:sz w:val="16"/>
          <w:szCs w:val="16"/>
        </w:rPr>
        <w:t xml:space="preserve"> </w:t>
      </w:r>
      <w:r w:rsidRPr="0089399D">
        <w:rPr>
          <w:rStyle w:val="Textoennegrita"/>
          <w:rFonts w:ascii="Verdana" w:hAnsi="Verdana"/>
          <w:b w:val="0"/>
          <w:i/>
          <w:color w:val="000000"/>
          <w:sz w:val="16"/>
          <w:szCs w:val="16"/>
          <w:shd w:val="clear" w:color="auto" w:fill="FFFFFF"/>
        </w:rPr>
        <w:t>Caso Baena Ricardo y otros Vs. Panamá. Fondo, Reparaciones y Costas</w:t>
      </w:r>
      <w:r w:rsidRPr="0089399D">
        <w:rPr>
          <w:rStyle w:val="Textoennegrita"/>
          <w:rFonts w:ascii="Verdana" w:hAnsi="Verdana"/>
          <w:b w:val="0"/>
          <w:color w:val="000000"/>
          <w:sz w:val="16"/>
          <w:szCs w:val="16"/>
          <w:shd w:val="clear" w:color="auto" w:fill="FFFFFF"/>
        </w:rPr>
        <w:t xml:space="preserve">. Sentencia de 2 de febrero de 2001. Serie C No. 72. El texto íntegro de la Sentencia se encuentra disponible en: </w:t>
      </w:r>
      <w:hyperlink r:id="rId1" w:history="1">
        <w:r w:rsidRPr="0089399D">
          <w:rPr>
            <w:rStyle w:val="Hipervnculo"/>
            <w:rFonts w:ascii="Verdana" w:hAnsi="Verdana"/>
            <w:sz w:val="16"/>
            <w:szCs w:val="16"/>
            <w:shd w:val="clear" w:color="auto" w:fill="FFFFFF"/>
          </w:rPr>
          <w:t>http://www.corteidh.or.cr/docs/casos/articulos/Seriec_72_esp.pdf</w:t>
        </w:r>
      </w:hyperlink>
      <w:r w:rsidRPr="0089399D">
        <w:rPr>
          <w:rStyle w:val="Textoennegrita"/>
          <w:rFonts w:ascii="Verdana" w:hAnsi="Verdana"/>
          <w:b w:val="0"/>
          <w:color w:val="000000"/>
          <w:sz w:val="16"/>
          <w:szCs w:val="16"/>
          <w:shd w:val="clear" w:color="auto" w:fill="FFFFFF"/>
        </w:rPr>
        <w:t xml:space="preserve">. </w:t>
      </w:r>
    </w:p>
  </w:footnote>
  <w:footnote w:id="3">
    <w:p w14:paraId="691AC5F8" w14:textId="77777777" w:rsidR="00DB3D04" w:rsidRPr="001822CC" w:rsidRDefault="00DB3D04" w:rsidP="0089399D">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t xml:space="preserve">Las Resoluciones de supervisión de cumplimiento </w:t>
      </w:r>
      <w:r w:rsidRPr="001822CC">
        <w:rPr>
          <w:rFonts w:ascii="Verdana" w:hAnsi="Verdana"/>
          <w:sz w:val="16"/>
          <w:szCs w:val="16"/>
        </w:rPr>
        <w:t xml:space="preserve">de Sentencia emitidas en el presente caso se encuentran disponibles a través del siguiente enlace: </w:t>
      </w:r>
      <w:hyperlink r:id="rId2" w:history="1">
        <w:r w:rsidRPr="001822CC">
          <w:rPr>
            <w:rStyle w:val="Hipervnculo"/>
            <w:rFonts w:ascii="Verdana" w:hAnsi="Verdana"/>
            <w:sz w:val="16"/>
            <w:szCs w:val="16"/>
          </w:rPr>
          <w:t>https://www.corteidh.or.cr/supervision_de_cumplimiento.cfm</w:t>
        </w:r>
      </w:hyperlink>
      <w:r w:rsidRPr="001822CC">
        <w:rPr>
          <w:rFonts w:ascii="Verdana" w:hAnsi="Verdana"/>
          <w:sz w:val="16"/>
          <w:szCs w:val="16"/>
        </w:rPr>
        <w:t xml:space="preserve">. </w:t>
      </w:r>
    </w:p>
  </w:footnote>
  <w:footnote w:id="4">
    <w:p w14:paraId="4329A831" w14:textId="77777777" w:rsidR="00DB3D04" w:rsidRPr="001822CC" w:rsidRDefault="00DB3D04" w:rsidP="001822CC">
      <w:pPr>
        <w:pStyle w:val="Textonotapie"/>
        <w:jc w:val="both"/>
        <w:rPr>
          <w:lang w:val="es-ES"/>
        </w:rPr>
      </w:pPr>
      <w:r w:rsidRPr="001822CC">
        <w:rPr>
          <w:rStyle w:val="Refdenotaalpie"/>
          <w:rFonts w:ascii="Verdana" w:hAnsi="Verdana"/>
          <w:sz w:val="16"/>
          <w:szCs w:val="16"/>
        </w:rPr>
        <w:footnoteRef/>
      </w:r>
      <w:r w:rsidRPr="001822CC">
        <w:rPr>
          <w:rFonts w:ascii="Verdana" w:hAnsi="Verdana"/>
          <w:sz w:val="16"/>
          <w:szCs w:val="16"/>
        </w:rPr>
        <w:t xml:space="preserve">    </w:t>
      </w:r>
      <w:r w:rsidRPr="001822CC">
        <w:rPr>
          <w:rFonts w:ascii="Verdana" w:hAnsi="Verdana"/>
          <w:i/>
          <w:sz w:val="16"/>
          <w:szCs w:val="16"/>
        </w:rPr>
        <w:t xml:space="preserve">Cfr. Caso Baena Ricardo y otros Vs. Panamá. Supervisión de Cumplimiento de Sentencia. </w:t>
      </w:r>
      <w:r w:rsidRPr="001822CC">
        <w:rPr>
          <w:rFonts w:ascii="Verdana" w:hAnsi="Verdana"/>
          <w:sz w:val="16"/>
          <w:szCs w:val="16"/>
        </w:rPr>
        <w:t xml:space="preserve">Resolución del </w:t>
      </w:r>
      <w:proofErr w:type="gramStart"/>
      <w:r w:rsidRPr="001822CC">
        <w:rPr>
          <w:rFonts w:ascii="Verdana" w:hAnsi="Verdana"/>
          <w:sz w:val="16"/>
          <w:szCs w:val="16"/>
        </w:rPr>
        <w:t>Presidente</w:t>
      </w:r>
      <w:proofErr w:type="gramEnd"/>
      <w:r w:rsidRPr="001822CC">
        <w:rPr>
          <w:rFonts w:ascii="Verdana" w:hAnsi="Verdana"/>
          <w:sz w:val="16"/>
          <w:szCs w:val="16"/>
        </w:rPr>
        <w:t xml:space="preserve"> de la Corte Interamericana de Derechos Humanos de 21 de noviembre de 2018.</w:t>
      </w:r>
      <w:r>
        <w:t xml:space="preserve"> </w:t>
      </w:r>
    </w:p>
  </w:footnote>
  <w:footnote w:id="5">
    <w:p w14:paraId="30262543" w14:textId="77777777" w:rsidR="00DB3D04" w:rsidRPr="0089399D" w:rsidRDefault="00DB3D04" w:rsidP="00AA398D">
      <w:pPr>
        <w:pStyle w:val="Textonotapie"/>
        <w:tabs>
          <w:tab w:val="left" w:pos="426"/>
        </w:tabs>
        <w:jc w:val="both"/>
        <w:rPr>
          <w:rFonts w:ascii="Verdana" w:hAnsi="Verdana"/>
          <w:sz w:val="16"/>
          <w:szCs w:val="16"/>
          <w:lang w:val="es-ES"/>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D3009D">
        <w:rPr>
          <w:rFonts w:ascii="Verdana" w:hAnsi="Verdana"/>
          <w:sz w:val="16"/>
          <w:szCs w:val="16"/>
        </w:rPr>
        <w:t xml:space="preserve">A esta reunión asistieron: a) por el Estado: </w:t>
      </w:r>
      <w:r w:rsidRPr="00D3009D">
        <w:rPr>
          <w:rFonts w:ascii="Verdana" w:hAnsi="Verdana"/>
          <w:sz w:val="16"/>
          <w:szCs w:val="16"/>
          <w:lang w:val="es-ES"/>
        </w:rPr>
        <w:t xml:space="preserve">Gina López, Agente, Directora de Asuntos Jurídicos Internacionales y Tratados del Ministerio de Relaciones Exteriores; Ana Cambra, Agente, Jefa del Departamento de Derechos Humanos del Ministerio de Relaciones Exteriores; Katherine Batista, abogada del </w:t>
      </w:r>
      <w:r>
        <w:rPr>
          <w:rFonts w:ascii="Verdana" w:hAnsi="Verdana"/>
          <w:sz w:val="16"/>
          <w:szCs w:val="16"/>
          <w:lang w:val="es-ES"/>
        </w:rPr>
        <w:t>mismo departamento</w:t>
      </w:r>
      <w:r w:rsidRPr="00D3009D">
        <w:rPr>
          <w:rFonts w:ascii="Verdana" w:hAnsi="Verdana"/>
          <w:sz w:val="16"/>
          <w:szCs w:val="16"/>
          <w:lang w:val="es-ES"/>
        </w:rPr>
        <w:t xml:space="preserve">; Anaís Guerra, abogada del Ministerio de Economía y Finanzas; María del Carmen Guillén, Directora de Ingresos de la Caja de Seguro Social; </w:t>
      </w:r>
      <w:proofErr w:type="spellStart"/>
      <w:r w:rsidRPr="00D3009D">
        <w:rPr>
          <w:rFonts w:ascii="Verdana" w:hAnsi="Verdana"/>
          <w:sz w:val="16"/>
          <w:szCs w:val="16"/>
          <w:lang w:val="es-ES"/>
        </w:rPr>
        <w:t>Elsebir</w:t>
      </w:r>
      <w:proofErr w:type="spellEnd"/>
      <w:r w:rsidRPr="00D3009D">
        <w:rPr>
          <w:rFonts w:ascii="Verdana" w:hAnsi="Verdana"/>
          <w:sz w:val="16"/>
          <w:szCs w:val="16"/>
          <w:lang w:val="es-ES"/>
        </w:rPr>
        <w:t xml:space="preserve"> </w:t>
      </w:r>
      <w:proofErr w:type="spellStart"/>
      <w:r w:rsidRPr="00D3009D">
        <w:rPr>
          <w:rFonts w:ascii="Verdana" w:hAnsi="Verdana"/>
          <w:sz w:val="16"/>
          <w:szCs w:val="16"/>
          <w:lang w:val="es-ES"/>
        </w:rPr>
        <w:t>Ducreux</w:t>
      </w:r>
      <w:proofErr w:type="spellEnd"/>
      <w:r w:rsidRPr="00D3009D">
        <w:rPr>
          <w:rFonts w:ascii="Verdana" w:hAnsi="Verdana"/>
          <w:sz w:val="16"/>
          <w:szCs w:val="16"/>
          <w:lang w:val="es-ES"/>
        </w:rPr>
        <w:t xml:space="preserve"> de Castillero, Directora Ejecutiva de Prestaciones Económicas de la Caja de Seguro Social; Rafael Candanedo, Director Ejecutivo de Legal de la Caja de Seguro Social, y Elvia Gudiño, asesora del Ministerio de Trabajo y Desarrollo Laboral; b) las </w:t>
      </w:r>
      <w:r w:rsidR="00767411">
        <w:rPr>
          <w:rFonts w:ascii="Verdana" w:hAnsi="Verdana"/>
          <w:sz w:val="16"/>
          <w:szCs w:val="16"/>
          <w:lang w:val="es-ES"/>
        </w:rPr>
        <w:t xml:space="preserve">siguientes </w:t>
      </w:r>
      <w:r w:rsidRPr="00D3009D">
        <w:rPr>
          <w:rFonts w:ascii="Verdana" w:hAnsi="Verdana"/>
          <w:sz w:val="16"/>
          <w:szCs w:val="16"/>
          <w:lang w:val="es-ES"/>
        </w:rPr>
        <w:t>víctimas</w:t>
      </w:r>
      <w:r w:rsidR="00767411">
        <w:rPr>
          <w:rFonts w:ascii="Verdana" w:hAnsi="Verdana"/>
          <w:sz w:val="16"/>
          <w:szCs w:val="16"/>
          <w:lang w:val="es-ES"/>
        </w:rPr>
        <w:t xml:space="preserve"> y representantes</w:t>
      </w:r>
      <w:r w:rsidRPr="00D3009D">
        <w:rPr>
          <w:rFonts w:ascii="Verdana" w:hAnsi="Verdana"/>
          <w:sz w:val="16"/>
          <w:szCs w:val="16"/>
          <w:lang w:val="es-ES"/>
        </w:rPr>
        <w:t>: Manrique Mejía Ferrer, Ladislao Alberto Caraballo, Luis Batista, Tomás Segura, Domingo De Gracia, Esteban Perea y Rolando Miller; Roberto David Marenco Mercado; José Félix Martín Rodríguez, Alfonso Chacón Mata, Keylor Hidalgo Mora y Luis E</w:t>
      </w:r>
      <w:r>
        <w:rPr>
          <w:rFonts w:ascii="Verdana" w:hAnsi="Verdana"/>
          <w:sz w:val="16"/>
          <w:szCs w:val="16"/>
          <w:lang w:val="es-ES"/>
        </w:rPr>
        <w:t>d</w:t>
      </w:r>
      <w:r w:rsidRPr="00D3009D">
        <w:rPr>
          <w:rFonts w:ascii="Verdana" w:hAnsi="Verdana"/>
          <w:sz w:val="16"/>
          <w:szCs w:val="16"/>
          <w:lang w:val="es-ES"/>
        </w:rPr>
        <w:t xml:space="preserve">uardo </w:t>
      </w:r>
      <w:proofErr w:type="spellStart"/>
      <w:r w:rsidRPr="00D3009D">
        <w:rPr>
          <w:rFonts w:ascii="Verdana" w:hAnsi="Verdana"/>
          <w:sz w:val="16"/>
          <w:szCs w:val="16"/>
          <w:lang w:val="es-ES"/>
        </w:rPr>
        <w:t>Baruco</w:t>
      </w:r>
      <w:proofErr w:type="spellEnd"/>
      <w:r w:rsidRPr="00D3009D">
        <w:rPr>
          <w:rFonts w:ascii="Verdana" w:hAnsi="Verdana"/>
          <w:sz w:val="16"/>
          <w:szCs w:val="16"/>
          <w:lang w:val="es-ES"/>
        </w:rPr>
        <w:t xml:space="preserve"> Bastos; Humberto Aparicio (asesor legal interno de la Organización de Trabajadores Víctimas de la Ley 25 de 1990) y David González (contador público autorizado)</w:t>
      </w:r>
      <w:r>
        <w:rPr>
          <w:rFonts w:ascii="Verdana" w:hAnsi="Verdana"/>
          <w:sz w:val="16"/>
          <w:szCs w:val="16"/>
          <w:lang w:val="es-ES"/>
        </w:rPr>
        <w:t>,</w:t>
      </w:r>
      <w:r w:rsidRPr="00D3009D">
        <w:rPr>
          <w:rFonts w:ascii="Verdana" w:hAnsi="Verdana"/>
          <w:sz w:val="16"/>
          <w:szCs w:val="16"/>
          <w:lang w:val="es-ES"/>
        </w:rPr>
        <w:t xml:space="preserve"> y d) por la Secretaría de la Corte Interamericana: Pablo Saavedra Alessandri, Secretario; Gabriela Pacheco Arias y Ana Lucía Aguirre Garabito, abogadas de la Unidad de Supervisión de Cumplimiento de la Secretaría del Tribunal.</w:t>
      </w:r>
    </w:p>
  </w:footnote>
  <w:footnote w:id="6">
    <w:p w14:paraId="42703D6D" w14:textId="77777777" w:rsidR="00DB3D04" w:rsidRPr="0089399D" w:rsidRDefault="00DB3D04" w:rsidP="00AA398D">
      <w:pPr>
        <w:pStyle w:val="Textonotapie"/>
        <w:tabs>
          <w:tab w:val="left" w:pos="426"/>
        </w:tabs>
        <w:jc w:val="both"/>
        <w:rPr>
          <w:rFonts w:ascii="Verdana" w:hAnsi="Verdana"/>
          <w:sz w:val="16"/>
          <w:szCs w:val="16"/>
          <w:lang w:val="es-CR"/>
        </w:rPr>
      </w:pPr>
      <w:r w:rsidRPr="0089399D">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sidRPr="0089399D">
        <w:rPr>
          <w:rFonts w:ascii="Verdana" w:hAnsi="Verdana"/>
          <w:sz w:val="16"/>
          <w:szCs w:val="16"/>
          <w:lang w:val="es-CR"/>
        </w:rPr>
        <w:t xml:space="preserve">Facultad que además </w:t>
      </w:r>
      <w:r w:rsidRPr="0089399D">
        <w:rPr>
          <w:rFonts w:ascii="Verdana" w:hAnsi="Verdana"/>
          <w:sz w:val="16"/>
          <w:szCs w:val="16"/>
          <w:lang w:val="es-ES"/>
        </w:rPr>
        <w:t>se desprende de lo dispuesto en los artículos 33, 62.1, 62.3 y 65 de la Convención Americana</w:t>
      </w:r>
      <w:r>
        <w:rPr>
          <w:rFonts w:ascii="Verdana" w:hAnsi="Verdana"/>
          <w:sz w:val="16"/>
          <w:szCs w:val="16"/>
          <w:lang w:val="es-ES"/>
        </w:rPr>
        <w:t xml:space="preserve"> sobre Derechos Humanos</w:t>
      </w:r>
      <w:r w:rsidRPr="0089399D">
        <w:rPr>
          <w:rFonts w:ascii="Verdana" w:hAnsi="Verdana"/>
          <w:sz w:val="16"/>
          <w:szCs w:val="16"/>
          <w:lang w:val="es-ES"/>
        </w:rPr>
        <w:t xml:space="preserve"> y </w:t>
      </w:r>
      <w:r w:rsidRPr="0089399D">
        <w:rPr>
          <w:rFonts w:ascii="Verdana" w:hAnsi="Verdana"/>
          <w:sz w:val="16"/>
          <w:szCs w:val="16"/>
          <w:lang w:val="es-CR"/>
        </w:rPr>
        <w:t>30 de su Estatuto y se encuentra regulada en el artículo 69 de su Reglamento.</w:t>
      </w:r>
    </w:p>
  </w:footnote>
  <w:footnote w:id="7">
    <w:p w14:paraId="66F16061" w14:textId="77777777" w:rsidR="00DB3D04" w:rsidRPr="0089399D" w:rsidRDefault="00DB3D04" w:rsidP="00AA398D">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Cfr. Caso Cinco Pensionistas Vs. Perú. Supervisión de cumplimiento de Sentencia.</w:t>
      </w:r>
      <w:r w:rsidRPr="0089399D">
        <w:rPr>
          <w:rFonts w:ascii="Verdana" w:hAnsi="Verdana"/>
          <w:sz w:val="16"/>
          <w:szCs w:val="16"/>
        </w:rPr>
        <w:t xml:space="preserve"> Resolución de la Corte Interamericana de Derechos Humanos de 17 de noviembre de 2004, Considerando 5, y </w:t>
      </w:r>
      <w:r w:rsidRPr="001822CC">
        <w:rPr>
          <w:rFonts w:ascii="Verdana" w:hAnsi="Verdana"/>
          <w:i/>
          <w:sz w:val="16"/>
          <w:szCs w:val="16"/>
        </w:rPr>
        <w:t>Caso Hernández Vs. Argentina. Supervisión de Cumplimiento de Sentencia.</w:t>
      </w:r>
      <w:r w:rsidRPr="004C268F">
        <w:rPr>
          <w:rFonts w:ascii="Verdana" w:hAnsi="Verdana"/>
          <w:sz w:val="16"/>
          <w:szCs w:val="16"/>
        </w:rPr>
        <w:t xml:space="preserve"> Resolución de la Corte Interamericana de Derecho</w:t>
      </w:r>
      <w:r>
        <w:rPr>
          <w:rFonts w:ascii="Verdana" w:hAnsi="Verdana"/>
          <w:sz w:val="16"/>
          <w:szCs w:val="16"/>
        </w:rPr>
        <w:t>s Humanos de 27 de mayo de 2021, Considerando 2.</w:t>
      </w:r>
    </w:p>
  </w:footnote>
  <w:footnote w:id="8">
    <w:p w14:paraId="550B44A6" w14:textId="77777777" w:rsidR="00DB3D04" w:rsidRPr="0089399D" w:rsidRDefault="00DB3D04" w:rsidP="00AA398D">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 xml:space="preserve">Cfr. Caso </w:t>
      </w:r>
      <w:proofErr w:type="spellStart"/>
      <w:r w:rsidRPr="0089399D">
        <w:rPr>
          <w:rFonts w:ascii="Verdana" w:hAnsi="Verdana"/>
          <w:i/>
          <w:sz w:val="16"/>
          <w:szCs w:val="16"/>
        </w:rPr>
        <w:t>Ivcher</w:t>
      </w:r>
      <w:proofErr w:type="spellEnd"/>
      <w:r w:rsidRPr="0089399D">
        <w:rPr>
          <w:rFonts w:ascii="Verdana" w:hAnsi="Verdana"/>
          <w:i/>
          <w:sz w:val="16"/>
          <w:szCs w:val="16"/>
        </w:rPr>
        <w:t xml:space="preserve"> </w:t>
      </w:r>
      <w:proofErr w:type="spellStart"/>
      <w:r w:rsidRPr="0089399D">
        <w:rPr>
          <w:rFonts w:ascii="Verdana" w:hAnsi="Verdana"/>
          <w:i/>
          <w:sz w:val="16"/>
          <w:szCs w:val="16"/>
        </w:rPr>
        <w:t>Bronstein</w:t>
      </w:r>
      <w:proofErr w:type="spellEnd"/>
      <w:r w:rsidRPr="0089399D">
        <w:rPr>
          <w:rFonts w:ascii="Verdana" w:hAnsi="Verdana"/>
          <w:i/>
          <w:sz w:val="16"/>
          <w:szCs w:val="16"/>
        </w:rPr>
        <w:t xml:space="preserve"> Vs. Perú. Competencia.</w:t>
      </w:r>
      <w:r w:rsidRPr="0089399D">
        <w:rPr>
          <w:rFonts w:ascii="Verdana" w:hAnsi="Verdana"/>
          <w:sz w:val="16"/>
          <w:szCs w:val="16"/>
        </w:rPr>
        <w:t xml:space="preserve"> Sentencia de la Corte Interamericana de Derechos Humanos de 24 de septiembre de 1999. Serie C No. 54, párr. 37, y</w:t>
      </w:r>
      <w:r>
        <w:rPr>
          <w:rFonts w:ascii="Verdana" w:hAnsi="Verdana"/>
          <w:sz w:val="16"/>
          <w:szCs w:val="16"/>
        </w:rPr>
        <w:t xml:space="preserve"> </w:t>
      </w:r>
      <w:r w:rsidRPr="007C0573">
        <w:rPr>
          <w:rFonts w:ascii="Verdana" w:hAnsi="Verdana"/>
          <w:i/>
          <w:sz w:val="16"/>
          <w:szCs w:val="16"/>
        </w:rPr>
        <w:t>Caso Hernández Vs. Argentina</w:t>
      </w:r>
      <w:r>
        <w:rPr>
          <w:rFonts w:ascii="Verdana" w:hAnsi="Verdana"/>
          <w:i/>
          <w:sz w:val="16"/>
          <w:szCs w:val="16"/>
        </w:rPr>
        <w:t xml:space="preserve">, supra </w:t>
      </w:r>
      <w:r>
        <w:rPr>
          <w:rFonts w:ascii="Verdana" w:hAnsi="Verdana"/>
          <w:sz w:val="16"/>
          <w:szCs w:val="16"/>
        </w:rPr>
        <w:t>nota 6, Considerando 2.</w:t>
      </w:r>
      <w:r w:rsidRPr="0089399D">
        <w:rPr>
          <w:rFonts w:ascii="Verdana" w:hAnsi="Verdana"/>
          <w:sz w:val="16"/>
          <w:szCs w:val="16"/>
        </w:rPr>
        <w:t xml:space="preserve"> </w:t>
      </w:r>
    </w:p>
  </w:footnote>
  <w:footnote w:id="9">
    <w:p w14:paraId="2C558539" w14:textId="77777777" w:rsidR="00DB3D04" w:rsidRPr="0089399D" w:rsidRDefault="00DB3D04" w:rsidP="00AA398D">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Cfr.</w:t>
      </w:r>
      <w:r w:rsidRPr="0089399D">
        <w:rPr>
          <w:rFonts w:ascii="Verdana" w:hAnsi="Verdana"/>
          <w:sz w:val="16"/>
          <w:szCs w:val="16"/>
        </w:rPr>
        <w:t xml:space="preserve"> </w:t>
      </w:r>
      <w:r w:rsidRPr="0089399D">
        <w:rPr>
          <w:rStyle w:val="Textoennegrita"/>
          <w:rFonts w:ascii="Verdana" w:hAnsi="Verdana"/>
          <w:b w:val="0"/>
          <w:i/>
          <w:color w:val="000000"/>
          <w:sz w:val="16"/>
          <w:szCs w:val="16"/>
          <w:shd w:val="clear" w:color="auto" w:fill="FFFFFF"/>
        </w:rPr>
        <w:t>Caso Baena Ricardo y otros Vs. Panamá</w:t>
      </w:r>
      <w:r>
        <w:rPr>
          <w:rStyle w:val="Textoennegrita"/>
          <w:rFonts w:ascii="Verdana" w:hAnsi="Verdana"/>
          <w:b w:val="0"/>
          <w:i/>
          <w:color w:val="000000"/>
          <w:sz w:val="16"/>
          <w:szCs w:val="16"/>
          <w:shd w:val="clear" w:color="auto" w:fill="FFFFFF"/>
        </w:rPr>
        <w:t>, supra nota 1</w:t>
      </w:r>
      <w:r>
        <w:rPr>
          <w:rStyle w:val="Textoennegrita"/>
          <w:rFonts w:ascii="Verdana" w:hAnsi="Verdana"/>
          <w:b w:val="0"/>
          <w:color w:val="000000"/>
          <w:sz w:val="16"/>
          <w:szCs w:val="16"/>
          <w:shd w:val="clear" w:color="auto" w:fill="FFFFFF"/>
        </w:rPr>
        <w:t>,</w:t>
      </w:r>
      <w:r w:rsidRPr="0089399D">
        <w:rPr>
          <w:rFonts w:ascii="Verdana" w:hAnsi="Verdana"/>
          <w:i/>
          <w:sz w:val="16"/>
          <w:szCs w:val="16"/>
        </w:rPr>
        <w:t xml:space="preserve"> </w:t>
      </w:r>
      <w:r>
        <w:rPr>
          <w:rFonts w:ascii="Verdana" w:hAnsi="Verdana"/>
          <w:sz w:val="16"/>
          <w:szCs w:val="16"/>
        </w:rPr>
        <w:t>p</w:t>
      </w:r>
      <w:r w:rsidRPr="0089399D">
        <w:rPr>
          <w:rFonts w:ascii="Verdana" w:hAnsi="Verdana"/>
          <w:sz w:val="16"/>
          <w:szCs w:val="16"/>
        </w:rPr>
        <w:t>untos resolutivo</w:t>
      </w:r>
      <w:r>
        <w:rPr>
          <w:rFonts w:ascii="Verdana" w:hAnsi="Verdana"/>
          <w:sz w:val="16"/>
          <w:szCs w:val="16"/>
        </w:rPr>
        <w:t>s</w:t>
      </w:r>
      <w:r w:rsidRPr="0089399D">
        <w:rPr>
          <w:rFonts w:ascii="Verdana" w:hAnsi="Verdana"/>
          <w:sz w:val="16"/>
          <w:szCs w:val="16"/>
        </w:rPr>
        <w:t xml:space="preserve"> sexto a noveno.</w:t>
      </w:r>
    </w:p>
  </w:footnote>
  <w:footnote w:id="10">
    <w:p w14:paraId="67E4AB47" w14:textId="77777777" w:rsidR="00DB3D04" w:rsidRPr="0089399D" w:rsidRDefault="00DB3D04" w:rsidP="00F81054">
      <w:pPr>
        <w:pStyle w:val="Textonotapie"/>
        <w:tabs>
          <w:tab w:val="left" w:pos="426"/>
        </w:tabs>
        <w:jc w:val="both"/>
        <w:rPr>
          <w:rFonts w:ascii="Verdana" w:hAnsi="Verdana"/>
          <w:sz w:val="16"/>
          <w:szCs w:val="16"/>
          <w:lang w:val="es-CR"/>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lang w:val="es-CR"/>
        </w:rPr>
        <w:tab/>
      </w:r>
      <w:r w:rsidRPr="0089399D">
        <w:rPr>
          <w:rFonts w:ascii="Verdana" w:hAnsi="Verdana"/>
          <w:i/>
          <w:sz w:val="16"/>
          <w:szCs w:val="16"/>
          <w:lang w:val="es-CR"/>
        </w:rPr>
        <w:t xml:space="preserve">Cfr. </w:t>
      </w:r>
      <w:r w:rsidRPr="0089399D">
        <w:rPr>
          <w:rStyle w:val="Textoennegrita"/>
          <w:rFonts w:ascii="Verdana" w:hAnsi="Verdana"/>
          <w:b w:val="0"/>
          <w:i/>
          <w:color w:val="000000"/>
          <w:sz w:val="16"/>
          <w:szCs w:val="16"/>
          <w:shd w:val="clear" w:color="auto" w:fill="FFFFFF"/>
        </w:rPr>
        <w:t>Caso Baena Ricardo y otros Vs. Panamá. Supervisión de Cumplimiento de Sentencia.</w:t>
      </w:r>
      <w:r w:rsidRPr="0089399D">
        <w:rPr>
          <w:rStyle w:val="Textoennegrita"/>
          <w:rFonts w:ascii="Verdana" w:hAnsi="Verdana"/>
          <w:b w:val="0"/>
          <w:color w:val="000000"/>
          <w:sz w:val="16"/>
          <w:szCs w:val="16"/>
          <w:shd w:val="clear" w:color="auto" w:fill="FFFFFF"/>
        </w:rPr>
        <w:t xml:space="preserve"> Resolución de la Corte Interamericana de Derechos Humanos de 28 de noviembre de 2005, puntos declarativos primero y </w:t>
      </w:r>
      <w:r>
        <w:rPr>
          <w:rStyle w:val="Textoennegrita"/>
          <w:rFonts w:ascii="Verdana" w:hAnsi="Verdana"/>
          <w:b w:val="0"/>
          <w:color w:val="000000"/>
          <w:sz w:val="16"/>
          <w:szCs w:val="16"/>
          <w:shd w:val="clear" w:color="auto" w:fill="FFFFFF"/>
        </w:rPr>
        <w:t>tercero</w:t>
      </w:r>
      <w:r w:rsidRPr="0089399D">
        <w:rPr>
          <w:rStyle w:val="Textoennegrita"/>
          <w:rFonts w:ascii="Verdana" w:hAnsi="Verdana"/>
          <w:b w:val="0"/>
          <w:color w:val="000000"/>
          <w:sz w:val="16"/>
          <w:szCs w:val="16"/>
          <w:shd w:val="clear" w:color="auto" w:fill="FFFFFF"/>
        </w:rPr>
        <w:t>.</w:t>
      </w:r>
    </w:p>
  </w:footnote>
  <w:footnote w:id="11">
    <w:p w14:paraId="4A8BBF40" w14:textId="77777777" w:rsidR="00DB3D04" w:rsidRPr="00F81054" w:rsidRDefault="00DB3D04" w:rsidP="00F81054">
      <w:pPr>
        <w:pStyle w:val="Textonotapie"/>
        <w:tabs>
          <w:tab w:val="left" w:pos="426"/>
        </w:tabs>
        <w:jc w:val="both"/>
        <w:rPr>
          <w:rFonts w:ascii="Verdana" w:hAnsi="Verdana"/>
          <w:sz w:val="16"/>
          <w:szCs w:val="16"/>
        </w:rPr>
      </w:pPr>
      <w:r w:rsidRPr="00F81054">
        <w:rPr>
          <w:rStyle w:val="Refdenotaalpie"/>
          <w:rFonts w:ascii="Verdana" w:hAnsi="Verdana"/>
          <w:sz w:val="16"/>
          <w:szCs w:val="16"/>
        </w:rPr>
        <w:footnoteRef/>
      </w:r>
      <w:r w:rsidRPr="00F81054">
        <w:rPr>
          <w:rFonts w:ascii="Verdana" w:hAnsi="Verdana"/>
          <w:sz w:val="16"/>
          <w:szCs w:val="16"/>
        </w:rPr>
        <w:t xml:space="preserve"> </w:t>
      </w:r>
      <w:r w:rsidRPr="00F81054">
        <w:rPr>
          <w:rFonts w:ascii="Verdana" w:hAnsi="Verdana"/>
          <w:sz w:val="16"/>
          <w:szCs w:val="16"/>
        </w:rPr>
        <w:tab/>
      </w:r>
      <w:r w:rsidRPr="00F81054">
        <w:rPr>
          <w:rFonts w:ascii="Verdana" w:hAnsi="Verdana"/>
          <w:i/>
          <w:sz w:val="16"/>
          <w:szCs w:val="16"/>
        </w:rPr>
        <w:t>Cfr.</w:t>
      </w:r>
      <w:r w:rsidRPr="00F81054">
        <w:rPr>
          <w:rFonts w:ascii="Verdana" w:hAnsi="Verdana"/>
          <w:sz w:val="16"/>
          <w:szCs w:val="16"/>
        </w:rPr>
        <w:t xml:space="preserve"> </w:t>
      </w:r>
      <w:r w:rsidRPr="00F81054">
        <w:rPr>
          <w:rFonts w:ascii="Verdana" w:hAnsi="Verdana"/>
          <w:i/>
          <w:sz w:val="16"/>
          <w:szCs w:val="16"/>
        </w:rPr>
        <w:t>Caso Baena Ricardo y otros Vs. Panamá. Supervisión de Cumplimiento de Sentencia.</w:t>
      </w:r>
      <w:r w:rsidRPr="00F81054">
        <w:rPr>
          <w:rFonts w:ascii="Verdana" w:hAnsi="Verdana"/>
          <w:sz w:val="16"/>
          <w:szCs w:val="16"/>
        </w:rPr>
        <w:t xml:space="preserve"> Resolución de la Corte Interamericana de Derechos Humanos de 30 de octubre de 2008. Disponible en: </w:t>
      </w:r>
      <w:hyperlink r:id="rId3" w:history="1">
        <w:r w:rsidRPr="00F81054">
          <w:rPr>
            <w:rStyle w:val="Hipervnculo"/>
            <w:rFonts w:ascii="Verdana" w:hAnsi="Verdana"/>
            <w:sz w:val="16"/>
            <w:szCs w:val="16"/>
          </w:rPr>
          <w:t>http://corteidh.or.cr/docs/supervisiones/baena_30_10_08.pdf</w:t>
        </w:r>
      </w:hyperlink>
      <w:r w:rsidRPr="00F81054">
        <w:rPr>
          <w:rFonts w:ascii="Verdana" w:hAnsi="Verdana"/>
          <w:sz w:val="16"/>
          <w:szCs w:val="16"/>
        </w:rPr>
        <w:t xml:space="preserve">. </w:t>
      </w:r>
    </w:p>
  </w:footnote>
  <w:footnote w:id="12">
    <w:p w14:paraId="6E34C8C6" w14:textId="77777777" w:rsidR="00DB3D04" w:rsidRPr="0089399D" w:rsidRDefault="00DB3D04" w:rsidP="0089399D">
      <w:pPr>
        <w:pStyle w:val="Textonotapie"/>
        <w:tabs>
          <w:tab w:val="left" w:pos="426"/>
        </w:tabs>
        <w:jc w:val="both"/>
        <w:rPr>
          <w:rFonts w:ascii="Verdana" w:hAnsi="Verdana"/>
          <w:sz w:val="16"/>
          <w:szCs w:val="16"/>
          <w:lang w:val="es-CR"/>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 xml:space="preserve">Cfr. </w:t>
      </w:r>
      <w:r w:rsidRPr="0089399D">
        <w:rPr>
          <w:rStyle w:val="Textoennegrita"/>
          <w:rFonts w:ascii="Verdana" w:hAnsi="Verdana"/>
          <w:b w:val="0"/>
          <w:i/>
          <w:color w:val="000000"/>
          <w:sz w:val="16"/>
          <w:szCs w:val="16"/>
          <w:shd w:val="clear" w:color="auto" w:fill="FFFFFF"/>
        </w:rPr>
        <w:t>Caso Baena Ricardo y otros Vs. Panamá</w:t>
      </w:r>
      <w:r>
        <w:rPr>
          <w:rStyle w:val="Textoennegrita"/>
          <w:rFonts w:ascii="Verdana" w:hAnsi="Verdana"/>
          <w:b w:val="0"/>
          <w:i/>
          <w:color w:val="000000"/>
          <w:sz w:val="16"/>
          <w:szCs w:val="16"/>
          <w:shd w:val="clear" w:color="auto" w:fill="FFFFFF"/>
        </w:rPr>
        <w:t xml:space="preserve">, supra </w:t>
      </w:r>
      <w:r w:rsidRPr="00F81054">
        <w:rPr>
          <w:rStyle w:val="Textoennegrita"/>
          <w:rFonts w:ascii="Verdana" w:hAnsi="Verdana"/>
          <w:b w:val="0"/>
          <w:color w:val="000000"/>
          <w:sz w:val="16"/>
          <w:szCs w:val="16"/>
          <w:shd w:val="clear" w:color="auto" w:fill="FFFFFF"/>
        </w:rPr>
        <w:t>nota 10,</w:t>
      </w:r>
      <w:r w:rsidRPr="0089399D">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Resolución de 30 de octubre de 2008, </w:t>
      </w:r>
      <w:r w:rsidRPr="0089399D">
        <w:rPr>
          <w:rStyle w:val="Textoennegrita"/>
          <w:rFonts w:ascii="Verdana" w:hAnsi="Verdana"/>
          <w:b w:val="0"/>
          <w:color w:val="000000"/>
          <w:sz w:val="16"/>
          <w:szCs w:val="16"/>
          <w:shd w:val="clear" w:color="auto" w:fill="FFFFFF"/>
        </w:rPr>
        <w:t xml:space="preserve">Considerando </w:t>
      </w:r>
      <w:r>
        <w:rPr>
          <w:rStyle w:val="Textoennegrita"/>
          <w:rFonts w:ascii="Verdana" w:hAnsi="Verdana"/>
          <w:b w:val="0"/>
          <w:color w:val="000000"/>
          <w:sz w:val="16"/>
          <w:szCs w:val="16"/>
          <w:shd w:val="clear" w:color="auto" w:fill="FFFFFF"/>
        </w:rPr>
        <w:t>15</w:t>
      </w:r>
      <w:r w:rsidRPr="0089399D">
        <w:rPr>
          <w:rStyle w:val="Textoennegrita"/>
          <w:rFonts w:ascii="Verdana" w:hAnsi="Verdana"/>
          <w:b w:val="0"/>
          <w:color w:val="000000"/>
          <w:sz w:val="16"/>
          <w:szCs w:val="16"/>
          <w:shd w:val="clear" w:color="auto" w:fill="FFFFFF"/>
        </w:rPr>
        <w:t>.</w:t>
      </w:r>
    </w:p>
  </w:footnote>
  <w:footnote w:id="13">
    <w:p w14:paraId="7A073B8D" w14:textId="77777777" w:rsidR="00DB3D04" w:rsidRPr="0089399D" w:rsidRDefault="00DB3D04" w:rsidP="008C471D">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 xml:space="preserve"> </w:t>
      </w:r>
      <w:r>
        <w:rPr>
          <w:rFonts w:ascii="Verdana" w:hAnsi="Verdana"/>
          <w:i/>
          <w:sz w:val="16"/>
          <w:szCs w:val="16"/>
        </w:rPr>
        <w:t xml:space="preserve">Cfr. </w:t>
      </w:r>
      <w:r w:rsidRPr="00EA4D43">
        <w:rPr>
          <w:rFonts w:ascii="Verdana" w:hAnsi="Verdana"/>
          <w:i/>
          <w:sz w:val="16"/>
          <w:szCs w:val="16"/>
        </w:rPr>
        <w:t>Caso Baena Ricardo y otros Vs. Panamá</w:t>
      </w:r>
      <w:r w:rsidRPr="00F81054">
        <w:rPr>
          <w:rFonts w:ascii="Verdana" w:hAnsi="Verdana"/>
          <w:sz w:val="16"/>
          <w:szCs w:val="16"/>
        </w:rPr>
        <w:t xml:space="preserve">, </w:t>
      </w:r>
      <w:r>
        <w:rPr>
          <w:rStyle w:val="Textoennegrita"/>
          <w:rFonts w:ascii="Verdana" w:hAnsi="Verdana"/>
          <w:b w:val="0"/>
          <w:i/>
          <w:color w:val="000000"/>
          <w:sz w:val="16"/>
          <w:szCs w:val="16"/>
          <w:shd w:val="clear" w:color="auto" w:fill="FFFFFF"/>
        </w:rPr>
        <w:t xml:space="preserve">supra </w:t>
      </w:r>
      <w:r w:rsidRPr="00F81054">
        <w:rPr>
          <w:rStyle w:val="Textoennegrita"/>
          <w:rFonts w:ascii="Verdana" w:hAnsi="Verdana"/>
          <w:b w:val="0"/>
          <w:color w:val="000000"/>
          <w:sz w:val="16"/>
          <w:szCs w:val="16"/>
          <w:shd w:val="clear" w:color="auto" w:fill="FFFFFF"/>
        </w:rPr>
        <w:t>nota 10</w:t>
      </w:r>
      <w:r>
        <w:rPr>
          <w:rStyle w:val="Textoennegrita"/>
          <w:rFonts w:ascii="Verdana" w:hAnsi="Verdana"/>
          <w:b w:val="0"/>
          <w:color w:val="000000"/>
          <w:sz w:val="16"/>
          <w:szCs w:val="16"/>
          <w:shd w:val="clear" w:color="auto" w:fill="FFFFFF"/>
        </w:rPr>
        <w:t xml:space="preserve">, Resolución de 30 de octubre de 2008, </w:t>
      </w:r>
      <w:r w:rsidRPr="00F81054">
        <w:rPr>
          <w:rFonts w:ascii="Verdana" w:hAnsi="Verdana"/>
          <w:sz w:val="16"/>
          <w:szCs w:val="16"/>
        </w:rPr>
        <w:t>Considerando 31.</w:t>
      </w:r>
    </w:p>
  </w:footnote>
  <w:footnote w:id="14">
    <w:p w14:paraId="02849885" w14:textId="77777777" w:rsidR="00DB3D04" w:rsidRPr="0089399D" w:rsidRDefault="00DB3D04" w:rsidP="008C471D">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Pr>
          <w:rFonts w:ascii="Verdana" w:hAnsi="Verdana"/>
          <w:sz w:val="16"/>
          <w:szCs w:val="16"/>
        </w:rPr>
        <w:t xml:space="preserve"> </w:t>
      </w:r>
      <w:r w:rsidRPr="008C471D">
        <w:rPr>
          <w:rFonts w:ascii="Verdana" w:hAnsi="Verdana"/>
          <w:i/>
          <w:sz w:val="16"/>
          <w:szCs w:val="16"/>
        </w:rPr>
        <w:t>Cfr.</w:t>
      </w:r>
      <w:r>
        <w:rPr>
          <w:rFonts w:ascii="Verdana" w:hAnsi="Verdana"/>
          <w:sz w:val="16"/>
          <w:szCs w:val="16"/>
        </w:rPr>
        <w:t xml:space="preserve"> </w:t>
      </w:r>
      <w:r w:rsidRPr="00EA4D43">
        <w:rPr>
          <w:rFonts w:ascii="Verdana" w:hAnsi="Verdana"/>
          <w:i/>
          <w:sz w:val="16"/>
          <w:szCs w:val="16"/>
        </w:rPr>
        <w:t>Caso Baena Ricardo y otros Vs. Panamá</w:t>
      </w:r>
      <w:r w:rsidRPr="00571ECA">
        <w:rPr>
          <w:rFonts w:ascii="Verdana" w:hAnsi="Verdana"/>
          <w:sz w:val="16"/>
          <w:szCs w:val="16"/>
        </w:rPr>
        <w:t>,</w:t>
      </w:r>
      <w:r>
        <w:rPr>
          <w:rFonts w:ascii="Verdana" w:hAnsi="Verdana"/>
          <w:sz w:val="16"/>
          <w:szCs w:val="16"/>
        </w:rPr>
        <w:t xml:space="preserve"> </w:t>
      </w:r>
      <w:r>
        <w:rPr>
          <w:rStyle w:val="Textoennegrita"/>
          <w:rFonts w:ascii="Verdana" w:hAnsi="Verdana"/>
          <w:b w:val="0"/>
          <w:i/>
          <w:color w:val="000000"/>
          <w:sz w:val="16"/>
          <w:szCs w:val="16"/>
          <w:shd w:val="clear" w:color="auto" w:fill="FFFFFF"/>
        </w:rPr>
        <w:t xml:space="preserve">supra </w:t>
      </w:r>
      <w:r w:rsidRPr="00F81054">
        <w:rPr>
          <w:rStyle w:val="Textoennegrita"/>
          <w:rFonts w:ascii="Verdana" w:hAnsi="Verdana"/>
          <w:b w:val="0"/>
          <w:color w:val="000000"/>
          <w:sz w:val="16"/>
          <w:szCs w:val="16"/>
          <w:shd w:val="clear" w:color="auto" w:fill="FFFFFF"/>
        </w:rPr>
        <w:t>nota 10</w:t>
      </w:r>
      <w:r>
        <w:rPr>
          <w:rStyle w:val="Textoennegrita"/>
          <w:rFonts w:ascii="Verdana" w:hAnsi="Verdana"/>
          <w:b w:val="0"/>
          <w:color w:val="000000"/>
          <w:sz w:val="16"/>
          <w:szCs w:val="16"/>
          <w:shd w:val="clear" w:color="auto" w:fill="FFFFFF"/>
        </w:rPr>
        <w:t>,</w:t>
      </w:r>
      <w:r w:rsidRPr="00571ECA">
        <w:rPr>
          <w:rFonts w:ascii="Verdana" w:hAnsi="Verdana"/>
          <w:sz w:val="16"/>
          <w:szCs w:val="16"/>
        </w:rPr>
        <w:t xml:space="preserve"> </w:t>
      </w:r>
      <w:r>
        <w:rPr>
          <w:rStyle w:val="Textoennegrita"/>
          <w:rFonts w:ascii="Verdana" w:hAnsi="Verdana"/>
          <w:b w:val="0"/>
          <w:color w:val="000000"/>
          <w:sz w:val="16"/>
          <w:szCs w:val="16"/>
          <w:shd w:val="clear" w:color="auto" w:fill="FFFFFF"/>
        </w:rPr>
        <w:t xml:space="preserve">Resolución de 30 de octubre de 2008, </w:t>
      </w:r>
      <w:r>
        <w:rPr>
          <w:rFonts w:ascii="Verdana" w:hAnsi="Verdana"/>
          <w:sz w:val="16"/>
          <w:szCs w:val="16"/>
        </w:rPr>
        <w:t>punto resolutivo 4.</w:t>
      </w:r>
      <w:r w:rsidRPr="00571ECA">
        <w:rPr>
          <w:rFonts w:ascii="Verdana" w:hAnsi="Verdana"/>
          <w:sz w:val="16"/>
          <w:szCs w:val="16"/>
        </w:rPr>
        <w:t xml:space="preserve"> </w:t>
      </w:r>
    </w:p>
  </w:footnote>
  <w:footnote w:id="15">
    <w:p w14:paraId="33DBE961" w14:textId="77777777" w:rsidR="00DB3D04" w:rsidRPr="0089399D" w:rsidRDefault="00DB3D04" w:rsidP="002B4BE0">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r>
      <w:r w:rsidRPr="0089399D">
        <w:rPr>
          <w:rFonts w:ascii="Verdana" w:hAnsi="Verdana"/>
          <w:i/>
          <w:sz w:val="16"/>
          <w:szCs w:val="16"/>
        </w:rPr>
        <w:t xml:space="preserve">Cfr. </w:t>
      </w:r>
      <w:r w:rsidRPr="0089399D">
        <w:rPr>
          <w:rFonts w:ascii="Verdana" w:hAnsi="Verdana"/>
          <w:bCs/>
          <w:i/>
          <w:sz w:val="16"/>
          <w:szCs w:val="16"/>
        </w:rPr>
        <w:t>Caso Baena Ricardo y otros Vs. Panamá</w:t>
      </w:r>
      <w:r w:rsidRPr="0089399D">
        <w:rPr>
          <w:rFonts w:ascii="Verdana" w:hAnsi="Verdana"/>
          <w:bCs/>
          <w:sz w:val="16"/>
          <w:szCs w:val="16"/>
        </w:rPr>
        <w:t>.</w:t>
      </w:r>
      <w:r w:rsidRPr="0089399D">
        <w:rPr>
          <w:rFonts w:ascii="Verdana" w:hAnsi="Verdana"/>
          <w:sz w:val="16"/>
          <w:szCs w:val="16"/>
        </w:rPr>
        <w:t xml:space="preserve"> </w:t>
      </w:r>
      <w:r w:rsidRPr="0089399D">
        <w:rPr>
          <w:rFonts w:ascii="Verdana" w:hAnsi="Verdana"/>
          <w:i/>
          <w:sz w:val="16"/>
          <w:szCs w:val="16"/>
        </w:rPr>
        <w:t>Supervisión de Cumplimiento de Sentencia</w:t>
      </w:r>
      <w:r>
        <w:rPr>
          <w:rFonts w:ascii="Verdana" w:hAnsi="Verdana"/>
          <w:sz w:val="16"/>
          <w:szCs w:val="16"/>
        </w:rPr>
        <w:t xml:space="preserve">. </w:t>
      </w:r>
      <w:r w:rsidRPr="0089399D">
        <w:rPr>
          <w:rFonts w:ascii="Verdana" w:hAnsi="Verdana"/>
          <w:sz w:val="16"/>
          <w:szCs w:val="16"/>
        </w:rPr>
        <w:t xml:space="preserve">Resolución de la Corte </w:t>
      </w:r>
      <w:r w:rsidRPr="0089399D">
        <w:rPr>
          <w:rStyle w:val="Textoennegrita"/>
          <w:rFonts w:ascii="Verdana" w:hAnsi="Verdana"/>
          <w:b w:val="0"/>
          <w:color w:val="000000"/>
          <w:sz w:val="16"/>
          <w:szCs w:val="16"/>
          <w:shd w:val="clear" w:color="auto" w:fill="FFFFFF"/>
        </w:rPr>
        <w:t>Interamericana de Derechos Humanos</w:t>
      </w:r>
      <w:r>
        <w:rPr>
          <w:rStyle w:val="Textoennegrita"/>
          <w:rFonts w:ascii="Verdana" w:hAnsi="Verdana"/>
          <w:b w:val="0"/>
          <w:color w:val="000000"/>
          <w:sz w:val="16"/>
          <w:szCs w:val="16"/>
          <w:shd w:val="clear" w:color="auto" w:fill="FFFFFF"/>
        </w:rPr>
        <w:t xml:space="preserve"> </w:t>
      </w:r>
      <w:r w:rsidRPr="0089399D">
        <w:rPr>
          <w:rFonts w:ascii="Verdana" w:hAnsi="Verdana"/>
          <w:sz w:val="16"/>
          <w:szCs w:val="16"/>
        </w:rPr>
        <w:t>de 5 de febrero de 2013, Considerando</w:t>
      </w:r>
      <w:r>
        <w:rPr>
          <w:rFonts w:ascii="Verdana" w:hAnsi="Verdana"/>
          <w:sz w:val="16"/>
          <w:szCs w:val="16"/>
        </w:rPr>
        <w:t>s</w:t>
      </w:r>
      <w:r w:rsidRPr="0089399D">
        <w:rPr>
          <w:rFonts w:ascii="Verdana" w:hAnsi="Verdana"/>
          <w:sz w:val="16"/>
          <w:szCs w:val="16"/>
        </w:rPr>
        <w:t xml:space="preserve"> </w:t>
      </w:r>
      <w:r>
        <w:rPr>
          <w:rFonts w:ascii="Verdana" w:hAnsi="Verdana"/>
          <w:sz w:val="16"/>
          <w:szCs w:val="16"/>
        </w:rPr>
        <w:t xml:space="preserve">23 y </w:t>
      </w:r>
      <w:r w:rsidRPr="0089399D">
        <w:rPr>
          <w:rFonts w:ascii="Verdana" w:hAnsi="Verdana"/>
          <w:sz w:val="16"/>
          <w:szCs w:val="16"/>
        </w:rPr>
        <w:t>24.</w:t>
      </w:r>
    </w:p>
  </w:footnote>
  <w:footnote w:id="16">
    <w:p w14:paraId="1694F786" w14:textId="77777777" w:rsidR="00DB3D04" w:rsidRPr="002B4BE0" w:rsidRDefault="00DB3D04" w:rsidP="002B4BE0">
      <w:pPr>
        <w:pStyle w:val="Textonotapie"/>
        <w:tabs>
          <w:tab w:val="left" w:pos="426"/>
        </w:tabs>
        <w:jc w:val="both"/>
        <w:rPr>
          <w:rFonts w:ascii="Verdana" w:hAnsi="Verdana"/>
          <w:sz w:val="16"/>
        </w:rPr>
      </w:pPr>
      <w:r w:rsidRPr="002B4BE0">
        <w:rPr>
          <w:rStyle w:val="Refdenotaalpie"/>
          <w:rFonts w:ascii="Verdana" w:hAnsi="Verdana"/>
          <w:sz w:val="16"/>
        </w:rPr>
        <w:footnoteRef/>
      </w:r>
      <w:r w:rsidRPr="002B4BE0">
        <w:rPr>
          <w:rFonts w:ascii="Verdana" w:hAnsi="Verdana"/>
          <w:sz w:val="16"/>
        </w:rPr>
        <w:t xml:space="preserve"> </w:t>
      </w:r>
      <w:r>
        <w:rPr>
          <w:rFonts w:ascii="Verdana" w:hAnsi="Verdana"/>
          <w:sz w:val="16"/>
        </w:rPr>
        <w:tab/>
      </w:r>
      <w:r w:rsidRPr="002B4BE0">
        <w:rPr>
          <w:rFonts w:ascii="Verdana" w:hAnsi="Verdana"/>
          <w:i/>
          <w:sz w:val="16"/>
        </w:rPr>
        <w:t>Cfr. Caso Baena Ricardo y otros Vs. Panamá. Supervisión de Cumplimiento de Sentencia.</w:t>
      </w:r>
      <w:r w:rsidRPr="002B4BE0">
        <w:rPr>
          <w:rFonts w:ascii="Verdana" w:hAnsi="Verdana"/>
          <w:sz w:val="16"/>
        </w:rPr>
        <w:t xml:space="preserve"> Resolución de la</w:t>
      </w:r>
      <w:r>
        <w:rPr>
          <w:rFonts w:ascii="Verdana" w:hAnsi="Verdana"/>
          <w:sz w:val="16"/>
        </w:rPr>
        <w:t xml:space="preserve"> </w:t>
      </w:r>
      <w:r w:rsidRPr="002B4BE0">
        <w:rPr>
          <w:rFonts w:ascii="Verdana" w:hAnsi="Verdana"/>
          <w:sz w:val="16"/>
        </w:rPr>
        <w:t>Corte de 1 de julio de</w:t>
      </w:r>
      <w:r w:rsidRPr="00585913">
        <w:rPr>
          <w:rFonts w:ascii="Verdana" w:hAnsi="Verdana"/>
          <w:sz w:val="16"/>
        </w:rPr>
        <w:t xml:space="preserve"> 2009, Considerando 16</w:t>
      </w:r>
      <w:r w:rsidRPr="002B4BE0">
        <w:rPr>
          <w:rFonts w:ascii="Verdana" w:hAnsi="Verdana"/>
          <w:sz w:val="16"/>
        </w:rPr>
        <w:t xml:space="preserve">; </w:t>
      </w:r>
      <w:r w:rsidRPr="002B4BE0">
        <w:rPr>
          <w:rFonts w:ascii="Verdana" w:hAnsi="Verdana"/>
          <w:i/>
          <w:sz w:val="16"/>
        </w:rPr>
        <w:t>Caso Baena Ricardo y otros Vs. Panamá. Supervisión de Cumplimiento de Sentencia.</w:t>
      </w:r>
      <w:r w:rsidRPr="002B4BE0">
        <w:rPr>
          <w:rFonts w:ascii="Verdana" w:hAnsi="Verdana"/>
          <w:sz w:val="16"/>
        </w:rPr>
        <w:t xml:space="preserve"> Resolución de la Corte de 28 de mayo de 2010</w:t>
      </w:r>
      <w:r>
        <w:rPr>
          <w:rFonts w:ascii="Verdana" w:hAnsi="Verdana"/>
          <w:sz w:val="16"/>
        </w:rPr>
        <w:t>, Considerando 17</w:t>
      </w:r>
      <w:r w:rsidRPr="005C27C3">
        <w:rPr>
          <w:rFonts w:ascii="Verdana" w:hAnsi="Verdana"/>
          <w:sz w:val="16"/>
        </w:rPr>
        <w:t>;</w:t>
      </w:r>
      <w:r w:rsidRPr="002B4BE0">
        <w:rPr>
          <w:rFonts w:ascii="Verdana" w:hAnsi="Verdana"/>
          <w:sz w:val="16"/>
        </w:rPr>
        <w:t xml:space="preserve"> </w:t>
      </w:r>
      <w:r w:rsidRPr="002B4BE0">
        <w:rPr>
          <w:rFonts w:ascii="Verdana" w:hAnsi="Verdana"/>
          <w:i/>
          <w:sz w:val="16"/>
        </w:rPr>
        <w:t>Caso Baena Ricardo y otros Vs. Panamá.</w:t>
      </w:r>
      <w:r w:rsidRPr="002B4BE0">
        <w:rPr>
          <w:rFonts w:ascii="Verdana" w:hAnsi="Verdana"/>
          <w:sz w:val="16"/>
        </w:rPr>
        <w:t xml:space="preserve"> Resolución de la Corte de 22 de febre</w:t>
      </w:r>
      <w:r w:rsidRPr="00585913">
        <w:rPr>
          <w:rFonts w:ascii="Verdana" w:hAnsi="Verdana"/>
          <w:sz w:val="16"/>
        </w:rPr>
        <w:t>ro de 2011, Considerando 20</w:t>
      </w:r>
      <w:r>
        <w:rPr>
          <w:rFonts w:ascii="Verdana" w:hAnsi="Verdana"/>
          <w:sz w:val="16"/>
        </w:rPr>
        <w:t xml:space="preserve"> y</w:t>
      </w:r>
      <w:r w:rsidRPr="005647FE">
        <w:rPr>
          <w:rFonts w:ascii="Verdana" w:hAnsi="Verdana"/>
          <w:i/>
          <w:sz w:val="16"/>
          <w:szCs w:val="16"/>
        </w:rPr>
        <w:t xml:space="preserve"> </w:t>
      </w:r>
      <w:r w:rsidRPr="00FB7915">
        <w:rPr>
          <w:rFonts w:ascii="Verdana" w:hAnsi="Verdana"/>
          <w:i/>
          <w:sz w:val="16"/>
          <w:szCs w:val="16"/>
        </w:rPr>
        <w:t>Caso Baena Ricardo y otros Vs. Panamá. Supervisión de Cumplimiento de Sentencia.</w:t>
      </w:r>
      <w:r w:rsidRPr="00FB7915">
        <w:rPr>
          <w:rFonts w:ascii="Verdana" w:hAnsi="Verdana"/>
          <w:sz w:val="16"/>
          <w:szCs w:val="16"/>
        </w:rPr>
        <w:t xml:space="preserve"> Resolución de la Corte Interamericana de Derechos Humanos de 28 de junio de 2012, </w:t>
      </w:r>
      <w:r>
        <w:rPr>
          <w:rFonts w:ascii="Verdana" w:hAnsi="Verdana"/>
          <w:sz w:val="16"/>
          <w:szCs w:val="16"/>
        </w:rPr>
        <w:t>Considerando 25</w:t>
      </w:r>
      <w:r>
        <w:rPr>
          <w:rFonts w:ascii="Verdana" w:hAnsi="Verdana"/>
          <w:sz w:val="16"/>
        </w:rPr>
        <w:t>.</w:t>
      </w:r>
    </w:p>
  </w:footnote>
  <w:footnote w:id="17">
    <w:p w14:paraId="6BE88C85" w14:textId="77777777" w:rsidR="00DB3D04" w:rsidRPr="002B4BE0" w:rsidRDefault="00DB3D04" w:rsidP="002B4BE0">
      <w:pPr>
        <w:pStyle w:val="Textonotapie"/>
        <w:tabs>
          <w:tab w:val="left" w:pos="426"/>
        </w:tabs>
        <w:jc w:val="both"/>
        <w:rPr>
          <w:rFonts w:ascii="Verdana" w:hAnsi="Verdana"/>
          <w:sz w:val="16"/>
          <w:szCs w:val="16"/>
          <w:lang w:val="es-ES"/>
        </w:rPr>
      </w:pPr>
      <w:r w:rsidRPr="002B4BE0">
        <w:rPr>
          <w:rStyle w:val="Refdenotaalpie"/>
          <w:rFonts w:ascii="Verdana" w:hAnsi="Verdana"/>
          <w:sz w:val="16"/>
          <w:szCs w:val="16"/>
        </w:rPr>
        <w:footnoteRef/>
      </w:r>
      <w:r w:rsidRPr="002B4BE0">
        <w:rPr>
          <w:rFonts w:ascii="Verdana" w:hAnsi="Verdana"/>
          <w:sz w:val="16"/>
          <w:szCs w:val="16"/>
        </w:rPr>
        <w:t xml:space="preserve"> </w:t>
      </w:r>
      <w:r>
        <w:rPr>
          <w:rFonts w:ascii="Verdana" w:hAnsi="Verdana"/>
          <w:sz w:val="16"/>
          <w:szCs w:val="16"/>
        </w:rPr>
        <w:tab/>
      </w:r>
      <w:r w:rsidRPr="00496861">
        <w:rPr>
          <w:rFonts w:ascii="Verdana" w:hAnsi="Verdana"/>
          <w:i/>
          <w:sz w:val="16"/>
          <w:szCs w:val="16"/>
        </w:rPr>
        <w:t>Cfr. Caso B</w:t>
      </w:r>
      <w:r>
        <w:rPr>
          <w:rFonts w:ascii="Verdana" w:hAnsi="Verdana"/>
          <w:i/>
          <w:sz w:val="16"/>
          <w:szCs w:val="16"/>
        </w:rPr>
        <w:t xml:space="preserve">aena Ricardo y otros Vs. Panamá, supra </w:t>
      </w:r>
      <w:r w:rsidRPr="00576F60">
        <w:rPr>
          <w:rFonts w:ascii="Verdana" w:hAnsi="Verdana"/>
          <w:sz w:val="16"/>
          <w:szCs w:val="16"/>
        </w:rPr>
        <w:t>nota 15,</w:t>
      </w:r>
      <w:r>
        <w:rPr>
          <w:rFonts w:ascii="Verdana" w:hAnsi="Verdana"/>
          <w:i/>
          <w:sz w:val="16"/>
          <w:szCs w:val="16"/>
        </w:rPr>
        <w:t xml:space="preserve"> </w:t>
      </w:r>
      <w:r w:rsidRPr="00496861">
        <w:rPr>
          <w:rFonts w:ascii="Verdana" w:hAnsi="Verdana"/>
          <w:sz w:val="16"/>
          <w:szCs w:val="16"/>
        </w:rPr>
        <w:t xml:space="preserve">Resolución de </w:t>
      </w:r>
      <w:r w:rsidRPr="005647FE">
        <w:rPr>
          <w:rFonts w:ascii="Verdana" w:hAnsi="Verdana"/>
          <w:sz w:val="16"/>
          <w:szCs w:val="16"/>
        </w:rPr>
        <w:t>1 de julio de</w:t>
      </w:r>
      <w:r w:rsidRPr="0031057A">
        <w:rPr>
          <w:rFonts w:ascii="Verdana" w:hAnsi="Verdana"/>
          <w:sz w:val="16"/>
          <w:szCs w:val="16"/>
        </w:rPr>
        <w:t xml:space="preserve"> 2009, punto resolutivo </w:t>
      </w:r>
      <w:r>
        <w:rPr>
          <w:rFonts w:ascii="Verdana" w:hAnsi="Verdana"/>
          <w:sz w:val="16"/>
          <w:szCs w:val="16"/>
        </w:rPr>
        <w:t>cuarto</w:t>
      </w:r>
      <w:r w:rsidRPr="0031057A">
        <w:rPr>
          <w:rFonts w:ascii="Verdana" w:hAnsi="Verdana"/>
          <w:sz w:val="16"/>
          <w:szCs w:val="16"/>
        </w:rPr>
        <w:t xml:space="preserve">; </w:t>
      </w:r>
      <w:r w:rsidRPr="00F220C7">
        <w:rPr>
          <w:rFonts w:ascii="Verdana" w:hAnsi="Verdana"/>
          <w:sz w:val="16"/>
          <w:szCs w:val="16"/>
        </w:rPr>
        <w:t xml:space="preserve">Resolución </w:t>
      </w:r>
      <w:r>
        <w:rPr>
          <w:rFonts w:ascii="Verdana" w:hAnsi="Verdana"/>
          <w:sz w:val="16"/>
          <w:szCs w:val="16"/>
        </w:rPr>
        <w:t>de</w:t>
      </w:r>
      <w:r w:rsidRPr="00F220C7">
        <w:rPr>
          <w:rFonts w:ascii="Verdana" w:hAnsi="Verdana"/>
          <w:sz w:val="16"/>
          <w:szCs w:val="16"/>
        </w:rPr>
        <w:t xml:space="preserve"> 28 de mayo de 2010, punto resolutivo </w:t>
      </w:r>
      <w:r>
        <w:rPr>
          <w:rFonts w:ascii="Verdana" w:hAnsi="Verdana"/>
          <w:sz w:val="16"/>
          <w:szCs w:val="16"/>
        </w:rPr>
        <w:t>cuarto</w:t>
      </w:r>
      <w:r w:rsidRPr="00F220C7">
        <w:rPr>
          <w:rFonts w:ascii="Verdana" w:hAnsi="Verdana"/>
          <w:sz w:val="16"/>
          <w:szCs w:val="16"/>
        </w:rPr>
        <w:t xml:space="preserve">; Resolución de 22 de febrero de 2011, punto resolutivo </w:t>
      </w:r>
      <w:r>
        <w:rPr>
          <w:rFonts w:ascii="Verdana" w:hAnsi="Verdana"/>
          <w:sz w:val="16"/>
          <w:szCs w:val="16"/>
        </w:rPr>
        <w:t>tercero y</w:t>
      </w:r>
      <w:r w:rsidRPr="00F220C7">
        <w:rPr>
          <w:rFonts w:ascii="Verdana" w:hAnsi="Verdana"/>
          <w:sz w:val="16"/>
          <w:szCs w:val="16"/>
        </w:rPr>
        <w:t xml:space="preserve"> Resolución de 28 de junio de 2012, punto resolutivo </w:t>
      </w:r>
      <w:r>
        <w:rPr>
          <w:rFonts w:ascii="Verdana" w:hAnsi="Verdana"/>
          <w:sz w:val="16"/>
          <w:szCs w:val="16"/>
        </w:rPr>
        <w:t>tercero.</w:t>
      </w:r>
    </w:p>
  </w:footnote>
  <w:footnote w:id="18">
    <w:p w14:paraId="5363B709" w14:textId="77777777" w:rsidR="00DB3D04" w:rsidRPr="002B4BE0" w:rsidRDefault="00DB3D04" w:rsidP="002B4BE0">
      <w:pPr>
        <w:pStyle w:val="Textonotapie"/>
        <w:tabs>
          <w:tab w:val="left" w:pos="426"/>
        </w:tabs>
        <w:jc w:val="both"/>
        <w:rPr>
          <w:rFonts w:ascii="Verdana" w:hAnsi="Verdana"/>
          <w:sz w:val="16"/>
          <w:szCs w:val="16"/>
          <w:lang w:val="es-ES"/>
        </w:rPr>
      </w:pPr>
      <w:r w:rsidRPr="002B4BE0">
        <w:rPr>
          <w:rStyle w:val="Refdenotaalpie"/>
          <w:rFonts w:ascii="Verdana" w:hAnsi="Verdana"/>
          <w:sz w:val="16"/>
          <w:szCs w:val="16"/>
        </w:rPr>
        <w:footnoteRef/>
      </w:r>
      <w:r w:rsidRPr="002B4BE0">
        <w:rPr>
          <w:rFonts w:ascii="Verdana" w:hAnsi="Verdana"/>
          <w:sz w:val="16"/>
          <w:szCs w:val="16"/>
        </w:rPr>
        <w:t xml:space="preserve"> </w:t>
      </w:r>
      <w:r w:rsidRPr="00A40F2B">
        <w:rPr>
          <w:rFonts w:ascii="Verdana" w:hAnsi="Verdana"/>
          <w:sz w:val="16"/>
          <w:szCs w:val="16"/>
        </w:rPr>
        <w:t xml:space="preserve"> </w:t>
      </w:r>
      <w:r>
        <w:rPr>
          <w:rFonts w:ascii="Verdana" w:hAnsi="Verdana"/>
          <w:sz w:val="16"/>
          <w:szCs w:val="16"/>
        </w:rPr>
        <w:tab/>
      </w:r>
      <w:r w:rsidRPr="00A40F2B">
        <w:rPr>
          <w:rFonts w:ascii="Verdana" w:hAnsi="Verdana"/>
          <w:i/>
          <w:sz w:val="16"/>
          <w:szCs w:val="16"/>
        </w:rPr>
        <w:t>Cfr. Caso B</w:t>
      </w:r>
      <w:r>
        <w:rPr>
          <w:rFonts w:ascii="Verdana" w:hAnsi="Verdana"/>
          <w:i/>
          <w:sz w:val="16"/>
          <w:szCs w:val="16"/>
        </w:rPr>
        <w:t xml:space="preserve">aena Ricardo y otros Vs. Panamá, supra </w:t>
      </w:r>
      <w:r w:rsidRPr="00576F60">
        <w:rPr>
          <w:rFonts w:ascii="Verdana" w:hAnsi="Verdana"/>
          <w:sz w:val="16"/>
          <w:szCs w:val="16"/>
        </w:rPr>
        <w:t>nota 15,</w:t>
      </w:r>
      <w:r>
        <w:rPr>
          <w:rFonts w:ascii="Verdana" w:hAnsi="Verdana"/>
          <w:i/>
          <w:sz w:val="16"/>
          <w:szCs w:val="16"/>
        </w:rPr>
        <w:t xml:space="preserve"> </w:t>
      </w:r>
      <w:r w:rsidRPr="00A40F2B">
        <w:rPr>
          <w:rFonts w:ascii="Verdana" w:hAnsi="Verdana"/>
          <w:sz w:val="16"/>
          <w:szCs w:val="16"/>
        </w:rPr>
        <w:t>Resolución de 28 de junio de 2012, Considerando</w:t>
      </w:r>
      <w:r w:rsidRPr="00BE43F7">
        <w:rPr>
          <w:rFonts w:ascii="Verdana" w:hAnsi="Verdana"/>
          <w:sz w:val="16"/>
          <w:szCs w:val="16"/>
        </w:rPr>
        <w:t xml:space="preserve"> 27 y </w:t>
      </w:r>
      <w:r w:rsidRPr="00BE43F7">
        <w:rPr>
          <w:rFonts w:ascii="Verdana" w:hAnsi="Verdana"/>
          <w:i/>
          <w:sz w:val="16"/>
          <w:szCs w:val="16"/>
        </w:rPr>
        <w:t>Caso Baena Ricardo y otros Vs.</w:t>
      </w:r>
      <w:r>
        <w:rPr>
          <w:rFonts w:ascii="Verdana" w:hAnsi="Verdana"/>
          <w:i/>
          <w:sz w:val="16"/>
          <w:szCs w:val="16"/>
        </w:rPr>
        <w:t xml:space="preserve"> </w:t>
      </w:r>
      <w:r w:rsidRPr="00BE43F7">
        <w:rPr>
          <w:rFonts w:ascii="Verdana" w:hAnsi="Verdana"/>
          <w:i/>
          <w:sz w:val="16"/>
          <w:szCs w:val="16"/>
        </w:rPr>
        <w:t>Panam</w:t>
      </w:r>
      <w:r>
        <w:rPr>
          <w:rFonts w:ascii="Verdana" w:hAnsi="Verdana"/>
          <w:i/>
          <w:sz w:val="16"/>
          <w:szCs w:val="16"/>
        </w:rPr>
        <w:t xml:space="preserve">á, supra </w:t>
      </w:r>
      <w:r w:rsidRPr="00674873">
        <w:rPr>
          <w:rFonts w:ascii="Verdana" w:hAnsi="Verdana"/>
          <w:sz w:val="16"/>
          <w:szCs w:val="16"/>
        </w:rPr>
        <w:t>nota 14</w:t>
      </w:r>
      <w:r>
        <w:rPr>
          <w:rFonts w:ascii="Verdana" w:hAnsi="Verdana"/>
          <w:i/>
          <w:sz w:val="16"/>
          <w:szCs w:val="16"/>
        </w:rPr>
        <w:t xml:space="preserve">, </w:t>
      </w:r>
      <w:r w:rsidRPr="00416340">
        <w:rPr>
          <w:rFonts w:ascii="Verdana" w:hAnsi="Verdana"/>
          <w:sz w:val="16"/>
          <w:szCs w:val="16"/>
        </w:rPr>
        <w:t>Resolución de 5 de febrero de 2013, Considerando 27.</w:t>
      </w:r>
    </w:p>
  </w:footnote>
  <w:footnote w:id="19">
    <w:p w14:paraId="3371C3B0" w14:textId="77777777" w:rsidR="00DB3D04" w:rsidRPr="00D03968" w:rsidRDefault="00DB3D04" w:rsidP="00D03968">
      <w:pPr>
        <w:pStyle w:val="Textonotapie"/>
        <w:tabs>
          <w:tab w:val="left" w:pos="426"/>
        </w:tabs>
        <w:jc w:val="both"/>
        <w:rPr>
          <w:lang w:val="es-ES"/>
        </w:rPr>
      </w:pPr>
      <w:r w:rsidRPr="00D03968">
        <w:rPr>
          <w:rStyle w:val="Refdenotaalpie"/>
          <w:rFonts w:ascii="Verdana" w:hAnsi="Verdana"/>
          <w:sz w:val="16"/>
          <w:szCs w:val="16"/>
        </w:rPr>
        <w:footnoteRef/>
      </w:r>
      <w:r w:rsidRPr="00D03968">
        <w:rPr>
          <w:rFonts w:ascii="Verdana" w:hAnsi="Verdana"/>
          <w:sz w:val="16"/>
          <w:szCs w:val="16"/>
        </w:rPr>
        <w:t xml:space="preserve"> </w:t>
      </w:r>
      <w:r>
        <w:rPr>
          <w:rFonts w:ascii="Verdana" w:hAnsi="Verdana"/>
          <w:sz w:val="16"/>
          <w:szCs w:val="16"/>
        </w:rPr>
        <w:tab/>
      </w:r>
      <w:r w:rsidRPr="00A40F2B">
        <w:rPr>
          <w:rFonts w:ascii="Verdana" w:hAnsi="Verdana"/>
          <w:i/>
          <w:sz w:val="16"/>
          <w:szCs w:val="16"/>
        </w:rPr>
        <w:t>Cfr. Caso Baena Ricardo y otros Vs. Panamá</w:t>
      </w:r>
      <w:r>
        <w:rPr>
          <w:rFonts w:ascii="Verdana" w:hAnsi="Verdana"/>
          <w:i/>
          <w:sz w:val="16"/>
          <w:szCs w:val="16"/>
        </w:rPr>
        <w:t xml:space="preserve">, supra </w:t>
      </w:r>
      <w:r w:rsidRPr="00674873">
        <w:rPr>
          <w:rFonts w:ascii="Verdana" w:hAnsi="Verdana"/>
          <w:sz w:val="16"/>
          <w:szCs w:val="16"/>
        </w:rPr>
        <w:t>nota 14,</w:t>
      </w:r>
      <w:r>
        <w:rPr>
          <w:rFonts w:ascii="Verdana" w:hAnsi="Verdana"/>
          <w:i/>
          <w:sz w:val="16"/>
          <w:szCs w:val="16"/>
        </w:rPr>
        <w:t xml:space="preserve"> </w:t>
      </w:r>
      <w:r w:rsidRPr="00A40F2B">
        <w:rPr>
          <w:rFonts w:ascii="Verdana" w:hAnsi="Verdana"/>
          <w:sz w:val="16"/>
          <w:szCs w:val="16"/>
        </w:rPr>
        <w:t xml:space="preserve">Resolución de 5 de febrero de 2013, punto declarativo </w:t>
      </w:r>
      <w:r>
        <w:rPr>
          <w:rFonts w:ascii="Verdana" w:hAnsi="Verdana"/>
          <w:sz w:val="16"/>
          <w:szCs w:val="16"/>
        </w:rPr>
        <w:t>segundo y punto resolutivo tercero</w:t>
      </w:r>
      <w:r w:rsidRPr="00A40F2B">
        <w:rPr>
          <w:rFonts w:ascii="Verdana" w:hAnsi="Verdana"/>
          <w:sz w:val="16"/>
          <w:szCs w:val="16"/>
        </w:rPr>
        <w:t>.</w:t>
      </w:r>
    </w:p>
  </w:footnote>
  <w:footnote w:id="20">
    <w:p w14:paraId="2E6D1499" w14:textId="77777777" w:rsidR="00DB3D04" w:rsidRPr="0089399D" w:rsidRDefault="00DB3D04" w:rsidP="00D03968">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t>Con respecto al tercer pago a favor de la hereder</w:t>
      </w:r>
      <w:r>
        <w:rPr>
          <w:rFonts w:ascii="Verdana" w:hAnsi="Verdana"/>
          <w:sz w:val="16"/>
          <w:szCs w:val="16"/>
        </w:rPr>
        <w:t>a de la víctima Ricardo Rivera</w:t>
      </w:r>
      <w:r w:rsidRPr="0089399D">
        <w:rPr>
          <w:rFonts w:ascii="Verdana" w:hAnsi="Verdana"/>
          <w:sz w:val="16"/>
          <w:szCs w:val="16"/>
        </w:rPr>
        <w:t xml:space="preserve">, informó que “el 20 de junio de 2013 el Ministerio de Trabajo y Desarrollo Laboral hizo la aclaratoria de que el cheque No. 44614 era el correspondiente al tercer pago, pese a que su texto no lo describía como tercer pago”. Indicó que “[a] la señora </w:t>
      </w:r>
      <w:proofErr w:type="spellStart"/>
      <w:r w:rsidRPr="0089399D">
        <w:rPr>
          <w:rFonts w:ascii="Verdana" w:hAnsi="Verdana"/>
          <w:sz w:val="16"/>
          <w:szCs w:val="16"/>
        </w:rPr>
        <w:t>Zayira</w:t>
      </w:r>
      <w:proofErr w:type="spellEnd"/>
      <w:r w:rsidRPr="0089399D">
        <w:rPr>
          <w:rFonts w:ascii="Verdana" w:hAnsi="Verdana"/>
          <w:sz w:val="16"/>
          <w:szCs w:val="16"/>
        </w:rPr>
        <w:t xml:space="preserve"> Rivera Rowe [heredera del señor Rivera] solo le correspondían dos pagos de los cuatro establecidos, debido a que su antecesor Mario Rivera cobró dos pagos previamente”.</w:t>
      </w:r>
      <w:r w:rsidRPr="0089399D">
        <w:rPr>
          <w:rFonts w:ascii="Verdana" w:hAnsi="Verdana"/>
          <w:b/>
          <w:sz w:val="16"/>
          <w:szCs w:val="16"/>
        </w:rPr>
        <w:t xml:space="preserve"> </w:t>
      </w:r>
      <w:r w:rsidRPr="0089399D">
        <w:rPr>
          <w:rFonts w:ascii="Verdana" w:hAnsi="Verdana"/>
          <w:sz w:val="16"/>
          <w:szCs w:val="16"/>
        </w:rPr>
        <w:t xml:space="preserve">En relación con el cuarto pago a favor de los derechohabientes de la víctima David Jaén Marín, informó que “mediante Auto No. 1718 de 21 de septiembre de 2012, dictado por el Juzgado Segundo Municipal del Distrito de Colón, Ramo Civil […] se </w:t>
      </w:r>
      <w:proofErr w:type="spellStart"/>
      <w:r w:rsidRPr="0089399D">
        <w:rPr>
          <w:rFonts w:ascii="Verdana" w:hAnsi="Verdana"/>
          <w:sz w:val="16"/>
          <w:szCs w:val="16"/>
        </w:rPr>
        <w:t>declar</w:t>
      </w:r>
      <w:proofErr w:type="spellEnd"/>
      <w:r w:rsidRPr="0089399D">
        <w:rPr>
          <w:rFonts w:ascii="Verdana" w:hAnsi="Verdana"/>
          <w:sz w:val="16"/>
          <w:szCs w:val="16"/>
        </w:rPr>
        <w:t>[</w:t>
      </w:r>
      <w:proofErr w:type="spellStart"/>
      <w:r w:rsidRPr="0089399D">
        <w:rPr>
          <w:rFonts w:ascii="Verdana" w:hAnsi="Verdana"/>
          <w:sz w:val="16"/>
          <w:szCs w:val="16"/>
        </w:rPr>
        <w:t>ó</w:t>
      </w:r>
      <w:proofErr w:type="spellEnd"/>
      <w:r w:rsidRPr="0089399D">
        <w:rPr>
          <w:rFonts w:ascii="Verdana" w:hAnsi="Verdana"/>
          <w:sz w:val="16"/>
          <w:szCs w:val="16"/>
        </w:rPr>
        <w:t>] heredero y sin perjuicio de terceros a David Jaén Anderson”, y que en cheque No. 45004 se le adjudicó la suma correspondiente al cuarto pago a favor de la víctima.</w:t>
      </w:r>
      <w:r w:rsidRPr="0089399D">
        <w:rPr>
          <w:rFonts w:ascii="Verdana" w:hAnsi="Verdana"/>
          <w:i/>
          <w:sz w:val="16"/>
          <w:szCs w:val="16"/>
        </w:rPr>
        <w:t xml:space="preserve"> Cfr.</w:t>
      </w:r>
      <w:r w:rsidRPr="0089399D">
        <w:rPr>
          <w:rFonts w:ascii="Verdana" w:hAnsi="Verdana"/>
          <w:sz w:val="16"/>
          <w:szCs w:val="16"/>
        </w:rPr>
        <w:t xml:space="preserve"> Cheques No. 34301, 35824, 44614 y 45254 relativos a los cuatro pagos correspondientes a la víctima Ricardo Rivera; Auto No. 1718 emitido el 21 de septiembre de 2012 por el Juzgado Segundo Municipal del Distrito de Colón, Ramo Civil sobre la declaratoria de herederos de la víctima David Jaén Marín, y Cheque No. 45724 relativo a</w:t>
      </w:r>
      <w:r>
        <w:rPr>
          <w:rFonts w:ascii="Verdana" w:hAnsi="Verdana"/>
          <w:sz w:val="16"/>
          <w:szCs w:val="16"/>
        </w:rPr>
        <w:t xml:space="preserve">l cuarto pago correspondiente al derechohabiente de la </w:t>
      </w:r>
      <w:r w:rsidRPr="0089399D">
        <w:rPr>
          <w:rFonts w:ascii="Verdana" w:hAnsi="Verdana"/>
          <w:sz w:val="16"/>
          <w:szCs w:val="16"/>
        </w:rPr>
        <w:t xml:space="preserve">víctima David Jaén Marín (anexos a los </w:t>
      </w:r>
      <w:r>
        <w:rPr>
          <w:rFonts w:ascii="Verdana" w:hAnsi="Verdana"/>
          <w:sz w:val="16"/>
          <w:szCs w:val="16"/>
        </w:rPr>
        <w:t>informes estatales</w:t>
      </w:r>
      <w:r w:rsidRPr="0089399D">
        <w:rPr>
          <w:rFonts w:ascii="Verdana" w:hAnsi="Verdana"/>
          <w:sz w:val="16"/>
          <w:szCs w:val="16"/>
        </w:rPr>
        <w:t xml:space="preserve"> de 21 de junio y 23 de agosto de 2013). </w:t>
      </w:r>
    </w:p>
  </w:footnote>
  <w:footnote w:id="21">
    <w:p w14:paraId="29BC0D5F" w14:textId="77777777" w:rsidR="00DB3D04" w:rsidRPr="0089399D" w:rsidRDefault="00DB3D04" w:rsidP="00D03968">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t xml:space="preserve">Indicaron que “[sus] representados [les] han comunicado que no tienen ninguna observación al respecto”. </w:t>
      </w:r>
    </w:p>
  </w:footnote>
  <w:footnote w:id="22">
    <w:p w14:paraId="2E59BC8C" w14:textId="77777777" w:rsidR="00DB3D04" w:rsidRPr="0089399D" w:rsidRDefault="00DB3D04" w:rsidP="00D03968">
      <w:pPr>
        <w:pStyle w:val="Textonotapie"/>
        <w:tabs>
          <w:tab w:val="left" w:pos="426"/>
        </w:tabs>
        <w:jc w:val="both"/>
        <w:rPr>
          <w:rFonts w:ascii="Verdana" w:hAnsi="Verdana"/>
          <w:sz w:val="16"/>
          <w:szCs w:val="16"/>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rPr>
        <w:tab/>
        <w:t xml:space="preserve">Observó que Panamá “adjuntó documentación que acreditaría dichos pagos” por lo cual “habría cumplido con las mencionadas obligaciones”. </w:t>
      </w:r>
    </w:p>
  </w:footnote>
  <w:footnote w:id="23">
    <w:p w14:paraId="43A301D4" w14:textId="77777777" w:rsidR="00DB3D04" w:rsidRPr="00D03968" w:rsidRDefault="00DB3D04" w:rsidP="00D03968">
      <w:pPr>
        <w:pStyle w:val="Textonotapie"/>
        <w:tabs>
          <w:tab w:val="left" w:pos="426"/>
        </w:tabs>
        <w:jc w:val="both"/>
        <w:rPr>
          <w:rFonts w:ascii="Verdana" w:hAnsi="Verdana"/>
          <w:sz w:val="16"/>
          <w:szCs w:val="16"/>
          <w:lang w:val="pt-BR"/>
        </w:rPr>
      </w:pPr>
      <w:r w:rsidRPr="00E41CA0">
        <w:rPr>
          <w:rStyle w:val="Refdenotaalpie"/>
          <w:rFonts w:ascii="Verdana" w:hAnsi="Verdana"/>
          <w:sz w:val="16"/>
          <w:szCs w:val="16"/>
        </w:rPr>
        <w:footnoteRef/>
      </w:r>
      <w:r w:rsidRPr="00D03968">
        <w:rPr>
          <w:rFonts w:ascii="Verdana" w:hAnsi="Verdana"/>
          <w:sz w:val="16"/>
          <w:szCs w:val="16"/>
          <w:lang w:val="pt-BR"/>
        </w:rPr>
        <w:t xml:space="preserve"> </w:t>
      </w:r>
      <w:r w:rsidRPr="00D03968">
        <w:rPr>
          <w:rFonts w:ascii="Verdana" w:hAnsi="Verdana"/>
          <w:sz w:val="16"/>
          <w:szCs w:val="16"/>
          <w:lang w:val="pt-BR"/>
        </w:rPr>
        <w:tab/>
        <w:t>Se trata de Andrés Bermúdez.</w:t>
      </w:r>
    </w:p>
  </w:footnote>
  <w:footnote w:id="24">
    <w:p w14:paraId="5F89F9FB" w14:textId="77777777" w:rsidR="00DB3D04" w:rsidRPr="003E0D2D" w:rsidRDefault="00DB3D04" w:rsidP="00211D4A">
      <w:pPr>
        <w:pStyle w:val="Textonotapie"/>
        <w:tabs>
          <w:tab w:val="left" w:pos="426"/>
        </w:tabs>
        <w:jc w:val="both"/>
      </w:pPr>
      <w:r w:rsidRPr="00211D4A">
        <w:rPr>
          <w:rStyle w:val="Refdenotaalpie"/>
          <w:rFonts w:ascii="Verdana" w:hAnsi="Verdana"/>
          <w:sz w:val="16"/>
          <w:szCs w:val="16"/>
        </w:rPr>
        <w:footnoteRef/>
      </w:r>
      <w:r w:rsidRPr="00211D4A">
        <w:rPr>
          <w:rFonts w:ascii="Verdana" w:hAnsi="Verdana"/>
          <w:sz w:val="16"/>
          <w:szCs w:val="16"/>
        </w:rPr>
        <w:t xml:space="preserve"> </w:t>
      </w:r>
      <w:r w:rsidRPr="00211D4A">
        <w:rPr>
          <w:rFonts w:ascii="Verdana" w:hAnsi="Verdana"/>
          <w:sz w:val="16"/>
          <w:szCs w:val="16"/>
        </w:rPr>
        <w:tab/>
      </w:r>
      <w:r w:rsidRPr="00C9134F">
        <w:rPr>
          <w:rFonts w:ascii="Verdana" w:hAnsi="Verdana"/>
          <w:i/>
          <w:sz w:val="16"/>
          <w:szCs w:val="16"/>
        </w:rPr>
        <w:t xml:space="preserve">Cfr. </w:t>
      </w:r>
      <w:r w:rsidRPr="00BE43F7">
        <w:rPr>
          <w:rFonts w:ascii="Verdana" w:hAnsi="Verdana"/>
          <w:i/>
          <w:sz w:val="16"/>
          <w:szCs w:val="16"/>
        </w:rPr>
        <w:t>Caso Baena Ricardo y otros Vs.</w:t>
      </w:r>
      <w:r>
        <w:rPr>
          <w:rFonts w:ascii="Verdana" w:hAnsi="Verdana"/>
          <w:i/>
          <w:sz w:val="16"/>
          <w:szCs w:val="16"/>
        </w:rPr>
        <w:t xml:space="preserve"> </w:t>
      </w:r>
      <w:r w:rsidRPr="00BE43F7">
        <w:rPr>
          <w:rFonts w:ascii="Verdana" w:hAnsi="Verdana"/>
          <w:i/>
          <w:sz w:val="16"/>
          <w:szCs w:val="16"/>
        </w:rPr>
        <w:t>Panam</w:t>
      </w:r>
      <w:r>
        <w:rPr>
          <w:rFonts w:ascii="Verdana" w:hAnsi="Verdana"/>
          <w:i/>
          <w:sz w:val="16"/>
          <w:szCs w:val="16"/>
        </w:rPr>
        <w:t xml:space="preserve">á, supra </w:t>
      </w:r>
      <w:r w:rsidRPr="00674873">
        <w:rPr>
          <w:rFonts w:ascii="Verdana" w:hAnsi="Verdana"/>
          <w:sz w:val="16"/>
          <w:szCs w:val="16"/>
        </w:rPr>
        <w:t>nota 14,</w:t>
      </w:r>
      <w:r>
        <w:rPr>
          <w:rFonts w:ascii="Verdana" w:hAnsi="Verdana"/>
          <w:i/>
          <w:sz w:val="16"/>
          <w:szCs w:val="16"/>
        </w:rPr>
        <w:t xml:space="preserve"> </w:t>
      </w:r>
      <w:r w:rsidRPr="00A40F2B">
        <w:rPr>
          <w:rFonts w:ascii="Verdana" w:hAnsi="Verdana"/>
          <w:sz w:val="16"/>
          <w:szCs w:val="16"/>
        </w:rPr>
        <w:t xml:space="preserve">Resolución de 5 de febrero de 2013, </w:t>
      </w:r>
      <w:r w:rsidRPr="00C9134F">
        <w:rPr>
          <w:rFonts w:ascii="Verdana" w:hAnsi="Verdana"/>
          <w:sz w:val="16"/>
          <w:szCs w:val="16"/>
        </w:rPr>
        <w:t>Considerando</w:t>
      </w:r>
      <w:r>
        <w:rPr>
          <w:rFonts w:ascii="Verdana" w:hAnsi="Verdana"/>
          <w:sz w:val="16"/>
          <w:szCs w:val="16"/>
        </w:rPr>
        <w:t>s</w:t>
      </w:r>
      <w:r w:rsidRPr="00C9134F">
        <w:rPr>
          <w:rFonts w:ascii="Verdana" w:hAnsi="Verdana"/>
          <w:sz w:val="16"/>
          <w:szCs w:val="16"/>
        </w:rPr>
        <w:t xml:space="preserve"> 28</w:t>
      </w:r>
      <w:r>
        <w:rPr>
          <w:rFonts w:ascii="Verdana" w:hAnsi="Verdana"/>
          <w:sz w:val="16"/>
          <w:szCs w:val="16"/>
        </w:rPr>
        <w:t xml:space="preserve"> y 29</w:t>
      </w:r>
      <w:r w:rsidRPr="00C9134F">
        <w:rPr>
          <w:rFonts w:ascii="Verdana" w:hAnsi="Verdana"/>
          <w:sz w:val="16"/>
          <w:szCs w:val="16"/>
        </w:rPr>
        <w:t>.</w:t>
      </w:r>
    </w:p>
  </w:footnote>
  <w:footnote w:id="25">
    <w:p w14:paraId="4B47F577" w14:textId="77777777" w:rsidR="00DB3D04" w:rsidRPr="00937D55" w:rsidRDefault="00DB3D04" w:rsidP="00211D4A">
      <w:pPr>
        <w:pStyle w:val="Textonotapie"/>
        <w:tabs>
          <w:tab w:val="left" w:pos="426"/>
        </w:tabs>
        <w:jc w:val="both"/>
        <w:rPr>
          <w:rFonts w:ascii="Verdana" w:hAnsi="Verdana"/>
          <w:sz w:val="16"/>
          <w:szCs w:val="16"/>
        </w:rPr>
      </w:pPr>
      <w:r w:rsidRPr="00A25FA3">
        <w:rPr>
          <w:rStyle w:val="Refdenotaalpie"/>
          <w:rFonts w:ascii="Verdana" w:hAnsi="Verdana"/>
          <w:sz w:val="16"/>
          <w:szCs w:val="16"/>
        </w:rPr>
        <w:footnoteRef/>
      </w:r>
      <w:r w:rsidRPr="00A25FA3">
        <w:rPr>
          <w:rFonts w:ascii="Verdana" w:hAnsi="Verdana"/>
          <w:sz w:val="16"/>
          <w:szCs w:val="16"/>
        </w:rPr>
        <w:t xml:space="preserve"> </w:t>
      </w:r>
      <w:r w:rsidRPr="00A25FA3">
        <w:rPr>
          <w:rFonts w:ascii="Verdana" w:hAnsi="Verdana"/>
          <w:sz w:val="16"/>
          <w:szCs w:val="16"/>
        </w:rPr>
        <w:tab/>
      </w:r>
      <w:r w:rsidRPr="00952AF7">
        <w:rPr>
          <w:rFonts w:ascii="Verdana" w:hAnsi="Verdana"/>
          <w:i/>
          <w:sz w:val="16"/>
          <w:szCs w:val="16"/>
        </w:rPr>
        <w:t>CEJIL</w:t>
      </w:r>
      <w:r>
        <w:rPr>
          <w:rFonts w:ascii="Verdana" w:hAnsi="Verdana"/>
          <w:sz w:val="16"/>
          <w:szCs w:val="16"/>
        </w:rPr>
        <w:t xml:space="preserve"> observó que </w:t>
      </w:r>
      <w:r w:rsidRPr="0082202F">
        <w:rPr>
          <w:rFonts w:ascii="Verdana" w:hAnsi="Verdana"/>
          <w:sz w:val="16"/>
          <w:szCs w:val="16"/>
        </w:rPr>
        <w:t xml:space="preserve">“resulta preocupante” </w:t>
      </w:r>
      <w:r>
        <w:rPr>
          <w:rFonts w:ascii="Verdana" w:hAnsi="Verdana"/>
          <w:sz w:val="16"/>
          <w:szCs w:val="16"/>
        </w:rPr>
        <w:t>la información aportada por el</w:t>
      </w:r>
      <w:r w:rsidRPr="0082202F">
        <w:rPr>
          <w:rFonts w:ascii="Verdana" w:hAnsi="Verdana"/>
          <w:sz w:val="16"/>
          <w:szCs w:val="16"/>
        </w:rPr>
        <w:t xml:space="preserve"> Estado en cuanto a la declaratoria de inadmisibilidad de las demandas presentadas ante la Sala III de lo Contencioso Administrativo de la Corte Suprema, pues “pareciera evidenciar que no existe una vía adecuada para poder presentar reclamaciones sobre este caso a nivel interno”.</w:t>
      </w:r>
      <w:r w:rsidRPr="0082202F">
        <w:rPr>
          <w:rFonts w:ascii="Verdana" w:hAnsi="Verdana"/>
          <w:b/>
          <w:sz w:val="16"/>
          <w:szCs w:val="16"/>
        </w:rPr>
        <w:t xml:space="preserve"> </w:t>
      </w:r>
      <w:r w:rsidRPr="0082202F">
        <w:rPr>
          <w:rFonts w:ascii="Verdana" w:hAnsi="Verdana"/>
          <w:sz w:val="16"/>
          <w:szCs w:val="16"/>
        </w:rPr>
        <w:t xml:space="preserve">Asimismo, consideró que es “improcedente la aplicación del […] artículo 1047 [del Código Judicial], ya que este </w:t>
      </w:r>
      <w:r>
        <w:rPr>
          <w:rFonts w:ascii="Verdana" w:hAnsi="Verdana"/>
          <w:sz w:val="16"/>
          <w:szCs w:val="16"/>
        </w:rPr>
        <w:t>“</w:t>
      </w:r>
      <w:r w:rsidRPr="0082202F">
        <w:rPr>
          <w:rFonts w:ascii="Verdana" w:hAnsi="Verdana"/>
          <w:sz w:val="16"/>
          <w:szCs w:val="16"/>
        </w:rPr>
        <w:t>se refiere a la ejecución de Sentencias emitidas a nivel interno, y no así a las dictadas por tribunales internacionales” y que “</w:t>
      </w:r>
      <w:r>
        <w:rPr>
          <w:rFonts w:ascii="Verdana" w:hAnsi="Verdana"/>
          <w:sz w:val="16"/>
          <w:szCs w:val="16"/>
        </w:rPr>
        <w:t>[</w:t>
      </w:r>
      <w:r w:rsidRPr="0082202F">
        <w:rPr>
          <w:rFonts w:ascii="Verdana" w:hAnsi="Verdana"/>
          <w:sz w:val="16"/>
          <w:szCs w:val="16"/>
        </w:rPr>
        <w:t>dicho artículo</w:t>
      </w:r>
      <w:r>
        <w:rPr>
          <w:rFonts w:ascii="Verdana" w:hAnsi="Verdana"/>
          <w:sz w:val="16"/>
          <w:szCs w:val="16"/>
        </w:rPr>
        <w:t>]</w:t>
      </w:r>
      <w:r w:rsidRPr="0082202F">
        <w:rPr>
          <w:rFonts w:ascii="Verdana" w:hAnsi="Verdana"/>
          <w:sz w:val="16"/>
          <w:szCs w:val="16"/>
        </w:rPr>
        <w:t xml:space="preserve"> lo único que expresa es el procedimiento que los tribunales </w:t>
      </w:r>
      <w:r w:rsidRPr="0043292A">
        <w:rPr>
          <w:rFonts w:ascii="Verdana" w:hAnsi="Verdana"/>
          <w:sz w:val="16"/>
          <w:szCs w:val="16"/>
        </w:rPr>
        <w:t xml:space="preserve">internos deben realizar para ejecutar sus sentencias; lo cual claramente no consiste en un recurso efectivo para que los interesados formulen sus reclamos en las instancias internas”. Sostuvo que “si bien no todas las víctimas han utilizado la misma vía procesal para presentar sus demandas, en última instancia todas ellas llegarían a conocimiento de la [referida] Sala Tercera […], quien ya fijó una posición declarando la no inadmisibilidad de </w:t>
      </w:r>
      <w:proofErr w:type="gramStart"/>
      <w:r w:rsidRPr="0043292A">
        <w:rPr>
          <w:rFonts w:ascii="Verdana" w:hAnsi="Verdana"/>
          <w:sz w:val="16"/>
          <w:szCs w:val="16"/>
        </w:rPr>
        <w:t>las mismas</w:t>
      </w:r>
      <w:proofErr w:type="gramEnd"/>
      <w:r w:rsidRPr="0043292A">
        <w:rPr>
          <w:rFonts w:ascii="Verdana" w:hAnsi="Verdana"/>
          <w:sz w:val="16"/>
          <w:szCs w:val="16"/>
        </w:rPr>
        <w:t xml:space="preserve"> por las razones citadas”. En ese sentido, consideró fundamental que se “reitere al Estado su obligación de garantizar un recurso efectivo que permita a las víctimas reclamar sus derechos”.</w:t>
      </w:r>
      <w:r w:rsidRPr="0043292A">
        <w:rPr>
          <w:rFonts w:ascii="Verdana" w:hAnsi="Verdana"/>
          <w:b/>
          <w:sz w:val="16"/>
          <w:szCs w:val="16"/>
        </w:rPr>
        <w:t xml:space="preserve"> </w:t>
      </w:r>
      <w:r w:rsidRPr="0043292A">
        <w:rPr>
          <w:rFonts w:ascii="Verdana" w:hAnsi="Verdana"/>
          <w:sz w:val="16"/>
          <w:szCs w:val="16"/>
        </w:rPr>
        <w:t xml:space="preserve">La </w:t>
      </w:r>
      <w:r w:rsidRPr="0043292A">
        <w:rPr>
          <w:rFonts w:ascii="Verdana" w:hAnsi="Verdana"/>
          <w:i/>
          <w:sz w:val="16"/>
          <w:szCs w:val="16"/>
        </w:rPr>
        <w:t>Organización de Víctimas de la Ley 25</w:t>
      </w:r>
      <w:r w:rsidRPr="0043292A">
        <w:rPr>
          <w:rFonts w:ascii="Verdana" w:hAnsi="Verdana"/>
          <w:sz w:val="16"/>
          <w:szCs w:val="16"/>
        </w:rPr>
        <w:t xml:space="preserve"> reiteradamente se ha referido a la importancia de que la Corte</w:t>
      </w:r>
      <w:r>
        <w:rPr>
          <w:rFonts w:ascii="Verdana" w:hAnsi="Verdana"/>
          <w:sz w:val="16"/>
          <w:szCs w:val="16"/>
        </w:rPr>
        <w:t xml:space="preserve"> Interamericana</w:t>
      </w:r>
      <w:r w:rsidRPr="0043292A">
        <w:rPr>
          <w:rFonts w:ascii="Verdana" w:hAnsi="Verdana"/>
          <w:sz w:val="16"/>
          <w:szCs w:val="16"/>
        </w:rPr>
        <w:t xml:space="preserve"> se pronuncie sobre esta decisión interna de la Sala Tercera de lo Contencioso y Laboral de la Corte Suprema</w:t>
      </w:r>
      <w:r>
        <w:rPr>
          <w:rFonts w:ascii="Verdana" w:hAnsi="Verdana"/>
          <w:sz w:val="16"/>
          <w:szCs w:val="16"/>
        </w:rPr>
        <w:t xml:space="preserve"> de Justicia,</w:t>
      </w:r>
      <w:r w:rsidRPr="0043292A">
        <w:rPr>
          <w:rFonts w:ascii="Verdana" w:hAnsi="Verdana"/>
          <w:sz w:val="16"/>
          <w:szCs w:val="16"/>
        </w:rPr>
        <w:t xml:space="preserve"> en tanto evidencia que sus reclamos y discrepancias no serán adecuada y efectivamente atendid</w:t>
      </w:r>
      <w:r>
        <w:rPr>
          <w:rFonts w:ascii="Verdana" w:hAnsi="Verdana"/>
          <w:sz w:val="16"/>
          <w:szCs w:val="16"/>
        </w:rPr>
        <w:t>o</w:t>
      </w:r>
      <w:r w:rsidRPr="0043292A">
        <w:rPr>
          <w:rFonts w:ascii="Verdana" w:hAnsi="Verdana"/>
          <w:sz w:val="16"/>
          <w:szCs w:val="16"/>
        </w:rPr>
        <w:t xml:space="preserve">s a nivel interno. Por su parte, la </w:t>
      </w:r>
      <w:r w:rsidRPr="00211D4A">
        <w:rPr>
          <w:rFonts w:ascii="Verdana" w:hAnsi="Verdana"/>
          <w:i/>
          <w:sz w:val="16"/>
          <w:szCs w:val="16"/>
        </w:rPr>
        <w:t>Comisión Interamericana</w:t>
      </w:r>
      <w:r w:rsidRPr="0043292A">
        <w:rPr>
          <w:rFonts w:ascii="Verdana" w:hAnsi="Verdana"/>
          <w:sz w:val="16"/>
          <w:szCs w:val="16"/>
        </w:rPr>
        <w:t xml:space="preserve"> observó que “la única vía que tendrían las víctimas para cuestionar a nivel interno los acuerdos de pago sería la prevista en el artículo 1047 del Código Judicial Panameño referido a la ejecución de sentencias en contra del Estado”; sin embargo, expresó su “preocupación” puesto que según este artículo, “la posibilidad de las víctimas de cuestionar a nivel interno los pagos establecidos [en el acuerdo] estaría limitada a una eventual comunicación de la Corte Interamericana al Presidente de la Corte Suprema de Justicia de Panamá”, pese a que de manera reiterada la Corte Interamericana ha establecido que discrepancias de las víctimas sobre los derechos derivados de la Sentencia debían ser resueltas en el ámbito interno. En ese sentido “</w:t>
      </w:r>
      <w:proofErr w:type="spellStart"/>
      <w:r w:rsidRPr="0043292A">
        <w:rPr>
          <w:rFonts w:ascii="Verdana" w:hAnsi="Verdana"/>
          <w:sz w:val="16"/>
          <w:szCs w:val="16"/>
        </w:rPr>
        <w:t>consider</w:t>
      </w:r>
      <w:proofErr w:type="spellEnd"/>
      <w:r w:rsidRPr="0043292A">
        <w:rPr>
          <w:rFonts w:ascii="Verdana" w:hAnsi="Verdana"/>
          <w:sz w:val="16"/>
          <w:szCs w:val="16"/>
        </w:rPr>
        <w:t>[</w:t>
      </w:r>
      <w:proofErr w:type="spellStart"/>
      <w:r w:rsidRPr="0043292A">
        <w:rPr>
          <w:rFonts w:ascii="Verdana" w:hAnsi="Verdana"/>
          <w:sz w:val="16"/>
          <w:szCs w:val="16"/>
        </w:rPr>
        <w:t>ó</w:t>
      </w:r>
      <w:proofErr w:type="spellEnd"/>
      <w:r w:rsidRPr="0043292A">
        <w:rPr>
          <w:rFonts w:ascii="Verdana" w:hAnsi="Verdana"/>
          <w:sz w:val="16"/>
          <w:szCs w:val="16"/>
        </w:rPr>
        <w:t xml:space="preserve">] importante que el Estado presente información respecto de los mecanismos –incluso no judiciales- idóneos para efectuar determinaciones de esta naturaleza especialmente para </w:t>
      </w:r>
      <w:r w:rsidRPr="00937D55">
        <w:rPr>
          <w:rFonts w:ascii="Verdana" w:hAnsi="Verdana"/>
          <w:sz w:val="16"/>
          <w:szCs w:val="16"/>
        </w:rPr>
        <w:t>que las víctimas puedan cuestionar los pagos establecidos”.</w:t>
      </w:r>
    </w:p>
  </w:footnote>
  <w:footnote w:id="26">
    <w:p w14:paraId="22A0A38F" w14:textId="77777777" w:rsidR="00B56D24" w:rsidRPr="00937D55" w:rsidRDefault="00CC33C6" w:rsidP="00937D55">
      <w:pPr>
        <w:pStyle w:val="Textonotapie"/>
        <w:tabs>
          <w:tab w:val="left" w:pos="426"/>
        </w:tabs>
        <w:jc w:val="both"/>
        <w:rPr>
          <w:rFonts w:ascii="Verdana" w:hAnsi="Verdana"/>
          <w:sz w:val="16"/>
          <w:szCs w:val="16"/>
          <w:lang w:val="es-ES"/>
        </w:rPr>
      </w:pPr>
      <w:r w:rsidRPr="00937D55">
        <w:rPr>
          <w:rStyle w:val="Refdenotaalpie"/>
          <w:rFonts w:ascii="Verdana" w:hAnsi="Verdana"/>
          <w:sz w:val="16"/>
          <w:szCs w:val="16"/>
        </w:rPr>
        <w:footnoteRef/>
      </w:r>
      <w:r w:rsidRPr="00937D55">
        <w:rPr>
          <w:rFonts w:ascii="Verdana" w:hAnsi="Verdana"/>
          <w:sz w:val="16"/>
          <w:szCs w:val="16"/>
        </w:rPr>
        <w:t xml:space="preserve"> </w:t>
      </w:r>
      <w:r w:rsidRPr="00937D55">
        <w:rPr>
          <w:rFonts w:ascii="Verdana" w:hAnsi="Verdana"/>
          <w:sz w:val="16"/>
          <w:szCs w:val="16"/>
        </w:rPr>
        <w:tab/>
      </w:r>
      <w:r w:rsidR="00B56D24" w:rsidRPr="00937D55">
        <w:rPr>
          <w:rFonts w:ascii="Verdana" w:hAnsi="Verdana"/>
          <w:i/>
          <w:sz w:val="16"/>
          <w:szCs w:val="16"/>
        </w:rPr>
        <w:t>Cfr. Caso</w:t>
      </w:r>
      <w:r w:rsidR="00B56D24" w:rsidRPr="00EA4D43">
        <w:rPr>
          <w:rFonts w:ascii="Verdana" w:hAnsi="Verdana"/>
          <w:i/>
          <w:sz w:val="16"/>
          <w:szCs w:val="16"/>
        </w:rPr>
        <w:t xml:space="preserve"> Baena Ricardo y otros Vs. Panamá</w:t>
      </w:r>
      <w:r w:rsidR="00B56D24" w:rsidRPr="00F81054">
        <w:rPr>
          <w:rFonts w:ascii="Verdana" w:hAnsi="Verdana"/>
          <w:sz w:val="16"/>
          <w:szCs w:val="16"/>
        </w:rPr>
        <w:t xml:space="preserve">, </w:t>
      </w:r>
      <w:r w:rsidR="00B56D24">
        <w:rPr>
          <w:rStyle w:val="Textoennegrita"/>
          <w:rFonts w:ascii="Verdana" w:hAnsi="Verdana"/>
          <w:b w:val="0"/>
          <w:i/>
          <w:color w:val="000000"/>
          <w:sz w:val="16"/>
          <w:szCs w:val="16"/>
          <w:shd w:val="clear" w:color="auto" w:fill="FFFFFF"/>
        </w:rPr>
        <w:t xml:space="preserve">supra </w:t>
      </w:r>
      <w:r w:rsidR="00B56D24" w:rsidRPr="00F81054">
        <w:rPr>
          <w:rStyle w:val="Textoennegrita"/>
          <w:rFonts w:ascii="Verdana" w:hAnsi="Verdana"/>
          <w:b w:val="0"/>
          <w:color w:val="000000"/>
          <w:sz w:val="16"/>
          <w:szCs w:val="16"/>
          <w:shd w:val="clear" w:color="auto" w:fill="FFFFFF"/>
        </w:rPr>
        <w:t>nota 10</w:t>
      </w:r>
      <w:r w:rsidR="00B56D24">
        <w:rPr>
          <w:rStyle w:val="Textoennegrita"/>
          <w:rFonts w:ascii="Verdana" w:hAnsi="Verdana"/>
          <w:b w:val="0"/>
          <w:color w:val="000000"/>
          <w:sz w:val="16"/>
          <w:szCs w:val="16"/>
          <w:shd w:val="clear" w:color="auto" w:fill="FFFFFF"/>
        </w:rPr>
        <w:t xml:space="preserve">, Resolución de 30 de octubre de 2008, </w:t>
      </w:r>
      <w:r w:rsidR="00B56D24">
        <w:rPr>
          <w:rFonts w:ascii="Verdana" w:hAnsi="Verdana"/>
          <w:sz w:val="16"/>
          <w:szCs w:val="16"/>
        </w:rPr>
        <w:t xml:space="preserve">punto resolutivo segundo; </w:t>
      </w:r>
      <w:r w:rsidR="00B56D24" w:rsidRPr="00496861">
        <w:rPr>
          <w:rFonts w:ascii="Verdana" w:hAnsi="Verdana"/>
          <w:i/>
          <w:sz w:val="16"/>
          <w:szCs w:val="16"/>
        </w:rPr>
        <w:t>Caso B</w:t>
      </w:r>
      <w:r w:rsidR="00B56D24">
        <w:rPr>
          <w:rFonts w:ascii="Verdana" w:hAnsi="Verdana"/>
          <w:i/>
          <w:sz w:val="16"/>
          <w:szCs w:val="16"/>
        </w:rPr>
        <w:t xml:space="preserve">aena Ricardo y otros Vs. Panamá, supra </w:t>
      </w:r>
      <w:r w:rsidR="00B56D24" w:rsidRPr="00576F60">
        <w:rPr>
          <w:rFonts w:ascii="Verdana" w:hAnsi="Verdana"/>
          <w:sz w:val="16"/>
          <w:szCs w:val="16"/>
        </w:rPr>
        <w:t>nota 15,</w:t>
      </w:r>
      <w:r w:rsidR="00B56D24">
        <w:rPr>
          <w:rFonts w:ascii="Verdana" w:hAnsi="Verdana"/>
          <w:i/>
          <w:sz w:val="16"/>
          <w:szCs w:val="16"/>
        </w:rPr>
        <w:t xml:space="preserve"> </w:t>
      </w:r>
      <w:r w:rsidR="00B56D24" w:rsidRPr="00496861">
        <w:rPr>
          <w:rFonts w:ascii="Verdana" w:hAnsi="Verdana"/>
          <w:sz w:val="16"/>
          <w:szCs w:val="16"/>
        </w:rPr>
        <w:t xml:space="preserve">Resolución de </w:t>
      </w:r>
      <w:r w:rsidR="00B56D24" w:rsidRPr="005647FE">
        <w:rPr>
          <w:rFonts w:ascii="Verdana" w:hAnsi="Verdana"/>
          <w:sz w:val="16"/>
          <w:szCs w:val="16"/>
        </w:rPr>
        <w:t>1 de julio de</w:t>
      </w:r>
      <w:r w:rsidR="00B56D24" w:rsidRPr="0031057A">
        <w:rPr>
          <w:rFonts w:ascii="Verdana" w:hAnsi="Verdana"/>
          <w:sz w:val="16"/>
          <w:szCs w:val="16"/>
        </w:rPr>
        <w:t xml:space="preserve"> 2009,</w:t>
      </w:r>
      <w:r w:rsidR="00B56D24">
        <w:rPr>
          <w:rFonts w:ascii="Verdana" w:hAnsi="Verdana"/>
          <w:sz w:val="16"/>
          <w:szCs w:val="16"/>
        </w:rPr>
        <w:t xml:space="preserve"> punto resolutivo tercero</w:t>
      </w:r>
      <w:r w:rsidR="00937D55">
        <w:rPr>
          <w:rFonts w:ascii="Verdana" w:hAnsi="Verdana"/>
          <w:sz w:val="16"/>
          <w:szCs w:val="16"/>
        </w:rPr>
        <w:t xml:space="preserve">, </w:t>
      </w:r>
      <w:r w:rsidR="00937D55" w:rsidRPr="00F220C7">
        <w:rPr>
          <w:rFonts w:ascii="Verdana" w:hAnsi="Verdana"/>
          <w:sz w:val="16"/>
          <w:szCs w:val="16"/>
        </w:rPr>
        <w:t xml:space="preserve">Resolución </w:t>
      </w:r>
      <w:r w:rsidR="00937D55">
        <w:rPr>
          <w:rFonts w:ascii="Verdana" w:hAnsi="Verdana"/>
          <w:sz w:val="16"/>
          <w:szCs w:val="16"/>
        </w:rPr>
        <w:t>de</w:t>
      </w:r>
      <w:r w:rsidR="00937D55" w:rsidRPr="00F220C7">
        <w:rPr>
          <w:rFonts w:ascii="Verdana" w:hAnsi="Verdana"/>
          <w:sz w:val="16"/>
          <w:szCs w:val="16"/>
        </w:rPr>
        <w:t xml:space="preserve"> 28 de mayo de 2010, punto resolutivo </w:t>
      </w:r>
      <w:r w:rsidR="00937D55">
        <w:rPr>
          <w:rFonts w:ascii="Verdana" w:hAnsi="Verdana"/>
          <w:sz w:val="16"/>
          <w:szCs w:val="16"/>
        </w:rPr>
        <w:t>tercero</w:t>
      </w:r>
      <w:r w:rsidR="00937D55" w:rsidRPr="00F220C7">
        <w:rPr>
          <w:rFonts w:ascii="Verdana" w:hAnsi="Verdana"/>
          <w:sz w:val="16"/>
          <w:szCs w:val="16"/>
        </w:rPr>
        <w:t xml:space="preserve">; Resolución de 22 de febrero de 2011, punto resolutivo </w:t>
      </w:r>
      <w:r w:rsidR="00937D55">
        <w:rPr>
          <w:rFonts w:ascii="Verdana" w:hAnsi="Verdana"/>
          <w:sz w:val="16"/>
          <w:szCs w:val="16"/>
        </w:rPr>
        <w:t>segundo y</w:t>
      </w:r>
      <w:r w:rsidR="00937D55" w:rsidRPr="00F220C7">
        <w:rPr>
          <w:rFonts w:ascii="Verdana" w:hAnsi="Verdana"/>
          <w:sz w:val="16"/>
          <w:szCs w:val="16"/>
        </w:rPr>
        <w:t xml:space="preserve"> Resolución de 28 de junio de 2012, punto resolutivo </w:t>
      </w:r>
      <w:r w:rsidR="00937D55">
        <w:rPr>
          <w:rFonts w:ascii="Verdana" w:hAnsi="Verdana"/>
          <w:sz w:val="16"/>
          <w:szCs w:val="16"/>
        </w:rPr>
        <w:t xml:space="preserve">segundo, y </w:t>
      </w:r>
      <w:r w:rsidR="00937D55" w:rsidRPr="00BE43F7">
        <w:rPr>
          <w:rFonts w:ascii="Verdana" w:hAnsi="Verdana"/>
          <w:i/>
          <w:sz w:val="16"/>
          <w:szCs w:val="16"/>
        </w:rPr>
        <w:t>Caso Baena Ricardo y otros Vs.</w:t>
      </w:r>
      <w:r w:rsidR="00937D55">
        <w:rPr>
          <w:rFonts w:ascii="Verdana" w:hAnsi="Verdana"/>
          <w:i/>
          <w:sz w:val="16"/>
          <w:szCs w:val="16"/>
        </w:rPr>
        <w:t xml:space="preserve"> </w:t>
      </w:r>
      <w:r w:rsidR="00937D55" w:rsidRPr="00BE43F7">
        <w:rPr>
          <w:rFonts w:ascii="Verdana" w:hAnsi="Verdana"/>
          <w:i/>
          <w:sz w:val="16"/>
          <w:szCs w:val="16"/>
        </w:rPr>
        <w:t>Panam</w:t>
      </w:r>
      <w:r w:rsidR="00937D55">
        <w:rPr>
          <w:rFonts w:ascii="Verdana" w:hAnsi="Verdana"/>
          <w:i/>
          <w:sz w:val="16"/>
          <w:szCs w:val="16"/>
        </w:rPr>
        <w:t xml:space="preserve">á, supra </w:t>
      </w:r>
      <w:r w:rsidR="00937D55" w:rsidRPr="00674873">
        <w:rPr>
          <w:rFonts w:ascii="Verdana" w:hAnsi="Verdana"/>
          <w:sz w:val="16"/>
          <w:szCs w:val="16"/>
        </w:rPr>
        <w:t>nota 14,</w:t>
      </w:r>
      <w:r w:rsidR="00937D55">
        <w:rPr>
          <w:rFonts w:ascii="Verdana" w:hAnsi="Verdana"/>
          <w:i/>
          <w:sz w:val="16"/>
          <w:szCs w:val="16"/>
        </w:rPr>
        <w:t xml:space="preserve"> </w:t>
      </w:r>
      <w:r w:rsidR="00937D55" w:rsidRPr="00A40F2B">
        <w:rPr>
          <w:rFonts w:ascii="Verdana" w:hAnsi="Verdana"/>
          <w:sz w:val="16"/>
          <w:szCs w:val="16"/>
        </w:rPr>
        <w:t>Resolución de 5 de febrero de 2013,</w:t>
      </w:r>
      <w:r w:rsidR="00937D55">
        <w:rPr>
          <w:rFonts w:ascii="Verdana" w:hAnsi="Verdana"/>
          <w:sz w:val="16"/>
          <w:szCs w:val="16"/>
        </w:rPr>
        <w:t xml:space="preserve"> Considerando 29.</w:t>
      </w:r>
    </w:p>
    <w:p w14:paraId="07AF69D0" w14:textId="77777777" w:rsidR="00CC33C6" w:rsidRPr="00CC33C6" w:rsidRDefault="00CC33C6" w:rsidP="00CC33C6">
      <w:pPr>
        <w:pStyle w:val="Textonotapie"/>
        <w:jc w:val="both"/>
        <w:rPr>
          <w:rFonts w:ascii="Verdana" w:hAnsi="Verdana"/>
          <w:sz w:val="16"/>
          <w:szCs w:val="16"/>
        </w:rPr>
      </w:pPr>
    </w:p>
  </w:footnote>
  <w:footnote w:id="27">
    <w:p w14:paraId="6F7B0143" w14:textId="77777777" w:rsidR="00DB3D04" w:rsidRPr="0089399D" w:rsidRDefault="00DB3D04" w:rsidP="0089399D">
      <w:pPr>
        <w:pStyle w:val="Textonotapie"/>
        <w:tabs>
          <w:tab w:val="left" w:pos="426"/>
        </w:tabs>
        <w:jc w:val="both"/>
        <w:rPr>
          <w:rFonts w:ascii="Verdana" w:hAnsi="Verdana"/>
          <w:sz w:val="16"/>
          <w:szCs w:val="16"/>
          <w:lang w:val="es-CR"/>
        </w:rPr>
      </w:pPr>
      <w:r w:rsidRPr="0089399D">
        <w:rPr>
          <w:rStyle w:val="Refdenotaalpie"/>
          <w:rFonts w:ascii="Verdana" w:hAnsi="Verdana"/>
          <w:sz w:val="16"/>
          <w:szCs w:val="16"/>
        </w:rPr>
        <w:footnoteRef/>
      </w:r>
      <w:r w:rsidRPr="0089399D">
        <w:rPr>
          <w:rFonts w:ascii="Verdana" w:hAnsi="Verdana"/>
          <w:sz w:val="16"/>
          <w:szCs w:val="16"/>
        </w:rPr>
        <w:t xml:space="preserve"> </w:t>
      </w:r>
      <w:r w:rsidRPr="0089399D">
        <w:rPr>
          <w:rFonts w:ascii="Verdana" w:hAnsi="Verdana"/>
          <w:sz w:val="16"/>
          <w:szCs w:val="16"/>
          <w:lang w:val="es-CR"/>
        </w:rPr>
        <w:tab/>
        <w:t xml:space="preserve">En esa nota se indica que “la deuda que mantiene el Estado con la </w:t>
      </w:r>
      <w:proofErr w:type="gramStart"/>
      <w:r w:rsidRPr="0089399D">
        <w:rPr>
          <w:rFonts w:ascii="Verdana" w:hAnsi="Verdana"/>
          <w:sz w:val="16"/>
          <w:szCs w:val="16"/>
          <w:lang w:val="es-CR"/>
        </w:rPr>
        <w:t>C[</w:t>
      </w:r>
      <w:proofErr w:type="gramEnd"/>
      <w:r w:rsidRPr="0089399D">
        <w:rPr>
          <w:rFonts w:ascii="Verdana" w:hAnsi="Verdana"/>
          <w:sz w:val="16"/>
          <w:szCs w:val="16"/>
          <w:lang w:val="es-CR"/>
        </w:rPr>
        <w:t xml:space="preserve">aja del Seguro Social] es de cuatro </w:t>
      </w:r>
      <w:r w:rsidRPr="002376B4">
        <w:rPr>
          <w:rFonts w:ascii="Verdana" w:hAnsi="Verdana"/>
          <w:sz w:val="16"/>
          <w:szCs w:val="16"/>
        </w:rPr>
        <w:t>millones</w:t>
      </w:r>
      <w:r w:rsidRPr="0089399D">
        <w:rPr>
          <w:rFonts w:ascii="Verdana" w:hAnsi="Verdana"/>
          <w:sz w:val="16"/>
          <w:szCs w:val="16"/>
          <w:lang w:val="es-CR"/>
        </w:rPr>
        <w:t xml:space="preserve"> quinientos cincuenta y cinco mil setecientos cuatro mil dólares (USD$4,555,704.55)”, sin intereses moratorios.</w:t>
      </w:r>
    </w:p>
  </w:footnote>
  <w:footnote w:id="28">
    <w:p w14:paraId="5CEC6A17" w14:textId="77777777" w:rsidR="00DB3D04" w:rsidRPr="00103EC6" w:rsidRDefault="00DB3D04" w:rsidP="00103EC6">
      <w:pPr>
        <w:pStyle w:val="Textonotapie"/>
        <w:tabs>
          <w:tab w:val="left" w:pos="426"/>
        </w:tabs>
        <w:jc w:val="both"/>
        <w:rPr>
          <w:rFonts w:ascii="Verdana" w:hAnsi="Verdana"/>
          <w:sz w:val="16"/>
          <w:szCs w:val="16"/>
        </w:rPr>
      </w:pPr>
      <w:r w:rsidRPr="00103EC6">
        <w:rPr>
          <w:rStyle w:val="Refdenotaalpie"/>
          <w:rFonts w:ascii="Verdana" w:hAnsi="Verdana"/>
          <w:sz w:val="16"/>
          <w:szCs w:val="16"/>
        </w:rPr>
        <w:footnoteRef/>
      </w:r>
      <w:r w:rsidRPr="00103EC6">
        <w:rPr>
          <w:rFonts w:ascii="Verdana" w:hAnsi="Verdana"/>
          <w:sz w:val="16"/>
          <w:szCs w:val="16"/>
        </w:rPr>
        <w:t xml:space="preserve"> </w:t>
      </w:r>
      <w:r>
        <w:rPr>
          <w:rFonts w:ascii="Verdana" w:hAnsi="Verdana"/>
          <w:sz w:val="16"/>
          <w:szCs w:val="16"/>
        </w:rPr>
        <w:tab/>
      </w:r>
      <w:r w:rsidRPr="00103EC6">
        <w:rPr>
          <w:rFonts w:ascii="Verdana" w:hAnsi="Verdana"/>
          <w:i/>
          <w:sz w:val="16"/>
          <w:szCs w:val="16"/>
        </w:rPr>
        <w:t>Cfr.</w:t>
      </w:r>
      <w:r w:rsidRPr="00103EC6">
        <w:rPr>
          <w:rFonts w:ascii="Verdana" w:hAnsi="Verdana"/>
          <w:sz w:val="16"/>
          <w:szCs w:val="16"/>
        </w:rPr>
        <w:t xml:space="preserve"> Ley 49 de 11 de septiembre de 2018 "Que modifica el Código Fiscal y la Ley 66 de 2017 sobre materia de</w:t>
      </w:r>
      <w:r>
        <w:rPr>
          <w:rFonts w:ascii="Verdana" w:hAnsi="Verdana"/>
          <w:sz w:val="16"/>
          <w:szCs w:val="16"/>
        </w:rPr>
        <w:t xml:space="preserve"> </w:t>
      </w:r>
      <w:r w:rsidRPr="00103EC6">
        <w:rPr>
          <w:rFonts w:ascii="Verdana" w:hAnsi="Verdana"/>
          <w:sz w:val="16"/>
          <w:szCs w:val="16"/>
        </w:rPr>
        <w:t>impuesto de inmuebles, y dicta otras disposiciones", publicada en la Gaceta Oficial Digital de 12 de septiembre de</w:t>
      </w:r>
      <w:r>
        <w:rPr>
          <w:rFonts w:ascii="Verdana" w:hAnsi="Verdana"/>
          <w:sz w:val="16"/>
          <w:szCs w:val="16"/>
        </w:rPr>
        <w:t xml:space="preserve"> </w:t>
      </w:r>
      <w:r w:rsidRPr="00103EC6">
        <w:rPr>
          <w:rFonts w:ascii="Verdana" w:hAnsi="Verdana"/>
          <w:sz w:val="16"/>
          <w:szCs w:val="16"/>
        </w:rPr>
        <w:t>2018.</w:t>
      </w:r>
    </w:p>
  </w:footnote>
  <w:footnote w:id="29">
    <w:p w14:paraId="74AECCD8" w14:textId="77777777" w:rsidR="00DB3D04" w:rsidRPr="00B05628" w:rsidRDefault="00DB3D04" w:rsidP="00B05628">
      <w:pPr>
        <w:pStyle w:val="Textonotapie"/>
        <w:tabs>
          <w:tab w:val="left" w:pos="426"/>
        </w:tabs>
        <w:jc w:val="both"/>
        <w:rPr>
          <w:rFonts w:ascii="Verdana" w:hAnsi="Verdana"/>
          <w:sz w:val="16"/>
          <w:szCs w:val="16"/>
          <w:lang w:val="es-CR"/>
        </w:rPr>
      </w:pPr>
      <w:r w:rsidRPr="00B05628">
        <w:rPr>
          <w:rStyle w:val="Refdenotaalpie"/>
          <w:rFonts w:ascii="Verdana" w:hAnsi="Verdana"/>
          <w:sz w:val="16"/>
          <w:szCs w:val="16"/>
        </w:rPr>
        <w:footnoteRef/>
      </w:r>
      <w:r w:rsidRPr="00B05628">
        <w:rPr>
          <w:rFonts w:ascii="Verdana" w:hAnsi="Verdana"/>
          <w:sz w:val="16"/>
          <w:szCs w:val="16"/>
        </w:rPr>
        <w:t xml:space="preserve"> </w:t>
      </w:r>
      <w:r w:rsidRPr="00B05628">
        <w:rPr>
          <w:rFonts w:ascii="Verdana" w:hAnsi="Verdana"/>
          <w:sz w:val="16"/>
          <w:szCs w:val="16"/>
          <w:lang w:val="es-CR"/>
        </w:rPr>
        <w:tab/>
      </w:r>
      <w:r w:rsidRPr="00B05628">
        <w:rPr>
          <w:rFonts w:ascii="Verdana" w:hAnsi="Verdana"/>
          <w:i/>
          <w:sz w:val="16"/>
          <w:szCs w:val="16"/>
          <w:lang w:val="es-CR"/>
        </w:rPr>
        <w:t>Cfr.</w:t>
      </w:r>
      <w:r w:rsidRPr="00B05628">
        <w:rPr>
          <w:rFonts w:ascii="Verdana" w:hAnsi="Verdana"/>
          <w:sz w:val="16"/>
          <w:szCs w:val="16"/>
          <w:lang w:val="es-CR"/>
        </w:rPr>
        <w:t xml:space="preserve"> </w:t>
      </w:r>
      <w:r w:rsidRPr="00B05628">
        <w:rPr>
          <w:rFonts w:ascii="Verdana" w:hAnsi="Verdana"/>
          <w:sz w:val="16"/>
          <w:szCs w:val="16"/>
        </w:rPr>
        <w:t xml:space="preserve">Ley 99 de 11 de octubre de 2019, artículo 11 (anexo al informe estatal de </w:t>
      </w:r>
      <w:r>
        <w:rPr>
          <w:rFonts w:ascii="Verdana" w:hAnsi="Verdana"/>
          <w:sz w:val="16"/>
          <w:szCs w:val="16"/>
        </w:rPr>
        <w:t xml:space="preserve">17 </w:t>
      </w:r>
      <w:r w:rsidRPr="00B05628">
        <w:rPr>
          <w:rFonts w:ascii="Verdana" w:hAnsi="Verdana"/>
          <w:sz w:val="16"/>
          <w:szCs w:val="16"/>
        </w:rPr>
        <w:t>octubre de 2019).</w:t>
      </w:r>
    </w:p>
  </w:footnote>
  <w:footnote w:id="30">
    <w:p w14:paraId="70F56829" w14:textId="77777777" w:rsidR="00DB3D04" w:rsidRPr="00F66850" w:rsidRDefault="00DB3D04" w:rsidP="00B05628">
      <w:pPr>
        <w:pStyle w:val="Textonotapie"/>
        <w:tabs>
          <w:tab w:val="left" w:pos="426"/>
        </w:tabs>
        <w:jc w:val="both"/>
        <w:rPr>
          <w:rFonts w:ascii="Verdana" w:hAnsi="Verdana"/>
          <w:sz w:val="16"/>
          <w:szCs w:val="16"/>
          <w:lang w:val="es-CR"/>
        </w:rPr>
      </w:pPr>
      <w:r w:rsidRPr="00B05628">
        <w:rPr>
          <w:rStyle w:val="Refdenotaalpie"/>
          <w:rFonts w:ascii="Verdana" w:hAnsi="Verdana"/>
          <w:sz w:val="16"/>
          <w:szCs w:val="16"/>
        </w:rPr>
        <w:footnoteRef/>
      </w:r>
      <w:r w:rsidRPr="00B05628">
        <w:rPr>
          <w:rFonts w:ascii="Verdana" w:hAnsi="Verdana"/>
          <w:sz w:val="16"/>
          <w:szCs w:val="16"/>
        </w:rPr>
        <w:t xml:space="preserve"> </w:t>
      </w:r>
      <w:r w:rsidRPr="00B05628">
        <w:rPr>
          <w:rFonts w:ascii="Verdana" w:hAnsi="Verdana"/>
          <w:sz w:val="16"/>
          <w:szCs w:val="16"/>
          <w:lang w:val="es-CR"/>
        </w:rPr>
        <w:tab/>
        <w:t>En su informe</w:t>
      </w:r>
      <w:r>
        <w:rPr>
          <w:rFonts w:ascii="Verdana" w:hAnsi="Verdana"/>
          <w:sz w:val="16"/>
          <w:szCs w:val="16"/>
          <w:lang w:val="es-CR"/>
        </w:rPr>
        <w:t xml:space="preserve"> de 21</w:t>
      </w:r>
      <w:r w:rsidRPr="00B05628">
        <w:rPr>
          <w:rFonts w:ascii="Verdana" w:hAnsi="Verdana"/>
          <w:sz w:val="16"/>
          <w:szCs w:val="16"/>
          <w:lang w:val="es-CR"/>
        </w:rPr>
        <w:t xml:space="preserve"> de mayo de 2021</w:t>
      </w:r>
      <w:r>
        <w:rPr>
          <w:rFonts w:ascii="Verdana" w:hAnsi="Verdana"/>
          <w:sz w:val="16"/>
          <w:szCs w:val="16"/>
          <w:lang w:val="es-CR"/>
        </w:rPr>
        <w:t>,</w:t>
      </w:r>
      <w:r w:rsidRPr="00B05628">
        <w:rPr>
          <w:rFonts w:ascii="Verdana" w:hAnsi="Verdana"/>
          <w:sz w:val="16"/>
          <w:szCs w:val="16"/>
          <w:lang w:val="es-CR"/>
        </w:rPr>
        <w:t xml:space="preserve"> el Estado explicó el procedimiento que los diversos departamentos de la Caja de Seguro Social</w:t>
      </w:r>
      <w:r>
        <w:rPr>
          <w:rFonts w:ascii="Verdana" w:hAnsi="Verdana"/>
          <w:sz w:val="16"/>
          <w:szCs w:val="16"/>
          <w:lang w:val="es-CR"/>
        </w:rPr>
        <w:t xml:space="preserve"> siguieron</w:t>
      </w:r>
      <w:r w:rsidRPr="00B05628">
        <w:rPr>
          <w:rFonts w:ascii="Verdana" w:hAnsi="Verdana"/>
          <w:sz w:val="16"/>
          <w:szCs w:val="16"/>
          <w:lang w:val="es-CR"/>
        </w:rPr>
        <w:t xml:space="preserve"> para realizar los cálculos correspondientes, levantar las planillas de los 270 trabajadores y acreditar la carga de las cuotas de diciembre de 1990 a enero de 2001.</w:t>
      </w:r>
    </w:p>
  </w:footnote>
  <w:footnote w:id="31">
    <w:p w14:paraId="11A9EA1A" w14:textId="77777777" w:rsidR="00DB3D04" w:rsidRPr="00A40E2F" w:rsidRDefault="00DB3D04" w:rsidP="00103EC6">
      <w:pPr>
        <w:pStyle w:val="Textonotapie"/>
        <w:tabs>
          <w:tab w:val="left" w:pos="426"/>
        </w:tabs>
        <w:jc w:val="both"/>
        <w:rPr>
          <w:rFonts w:ascii="Verdana" w:hAnsi="Verdana"/>
          <w:sz w:val="16"/>
          <w:szCs w:val="16"/>
          <w:lang w:val="es-CR"/>
        </w:rPr>
      </w:pPr>
      <w:r w:rsidRPr="00A40E2F">
        <w:rPr>
          <w:rStyle w:val="Refdenotaalpie"/>
          <w:rFonts w:ascii="Verdana" w:hAnsi="Verdana"/>
          <w:sz w:val="16"/>
          <w:szCs w:val="16"/>
        </w:rPr>
        <w:footnoteRef/>
      </w:r>
      <w:r w:rsidRPr="00A40E2F">
        <w:rPr>
          <w:rFonts w:ascii="Verdana" w:hAnsi="Verdana"/>
          <w:sz w:val="16"/>
          <w:szCs w:val="16"/>
        </w:rPr>
        <w:t xml:space="preserve"> </w:t>
      </w:r>
      <w:r w:rsidRPr="00A40E2F">
        <w:rPr>
          <w:rFonts w:ascii="Verdana" w:hAnsi="Verdana"/>
          <w:sz w:val="16"/>
          <w:szCs w:val="16"/>
          <w:lang w:val="es-CR"/>
        </w:rPr>
        <w:tab/>
        <w:t>El Estad</w:t>
      </w:r>
      <w:r>
        <w:rPr>
          <w:rFonts w:ascii="Verdana" w:hAnsi="Verdana"/>
          <w:sz w:val="16"/>
          <w:szCs w:val="16"/>
          <w:lang w:val="es-CR"/>
        </w:rPr>
        <w:t>o</w:t>
      </w:r>
      <w:r w:rsidRPr="00A40E2F">
        <w:rPr>
          <w:rFonts w:ascii="Verdana" w:hAnsi="Verdana"/>
          <w:sz w:val="16"/>
          <w:szCs w:val="16"/>
          <w:lang w:val="es-CR"/>
        </w:rPr>
        <w:t xml:space="preserve"> explicó que “para realizar la carga de las cuotas a </w:t>
      </w:r>
      <w:proofErr w:type="spellStart"/>
      <w:r w:rsidRPr="00A40E2F">
        <w:rPr>
          <w:rFonts w:ascii="Verdana" w:hAnsi="Verdana"/>
          <w:sz w:val="16"/>
          <w:szCs w:val="16"/>
          <w:lang w:val="es-CR"/>
        </w:rPr>
        <w:t>tod</w:t>
      </w:r>
      <w:proofErr w:type="spellEnd"/>
      <w:r>
        <w:rPr>
          <w:rFonts w:ascii="Verdana" w:hAnsi="Verdana"/>
          <w:sz w:val="16"/>
          <w:szCs w:val="16"/>
          <w:lang w:val="es-CR"/>
        </w:rPr>
        <w:t>[a]</w:t>
      </w:r>
      <w:r w:rsidRPr="00A40E2F">
        <w:rPr>
          <w:rFonts w:ascii="Verdana" w:hAnsi="Verdana"/>
          <w:sz w:val="16"/>
          <w:szCs w:val="16"/>
          <w:lang w:val="es-CR"/>
        </w:rPr>
        <w:t xml:space="preserve">s </w:t>
      </w:r>
      <w:proofErr w:type="gramStart"/>
      <w:r w:rsidRPr="00A40E2F">
        <w:rPr>
          <w:rFonts w:ascii="Verdana" w:hAnsi="Verdana"/>
          <w:sz w:val="16"/>
          <w:szCs w:val="16"/>
          <w:lang w:val="es-CR"/>
        </w:rPr>
        <w:t>l[</w:t>
      </w:r>
      <w:proofErr w:type="gramEnd"/>
      <w:r w:rsidRPr="00A40E2F">
        <w:rPr>
          <w:rFonts w:ascii="Verdana" w:hAnsi="Verdana"/>
          <w:sz w:val="16"/>
          <w:szCs w:val="16"/>
          <w:lang w:val="es-CR"/>
        </w:rPr>
        <w:t xml:space="preserve">as víctimas] asegurad[a]s, correspondientes al período de diciembre de 1990 a enero de 2001, se le comunicó a cada afectado que debía solicitar de manera individual (a petición de parte interesada) el cálculo de sus cuotas, tomando en consideración que cada caso es diferente a otro”.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13D6" w14:textId="77777777" w:rsidR="00DB3D04" w:rsidRDefault="00DB3D04" w:rsidP="00D37C5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23B2D581" w14:textId="77777777" w:rsidR="00DB3D04" w:rsidRDefault="00DB3D0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0699" w14:textId="77777777" w:rsidR="00DB3D04" w:rsidRPr="003F4B1D" w:rsidRDefault="00DB3D04" w:rsidP="00A90B0C">
    <w:pPr>
      <w:pStyle w:val="Encabezado"/>
      <w:jc w:val="right"/>
      <w:rPr>
        <w:rFonts w:ascii="Verdana" w:hAnsi="Verdana"/>
        <w:sz w:val="1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02B2"/>
    <w:multiLevelType w:val="hybridMultilevel"/>
    <w:tmpl w:val="3E162E84"/>
    <w:lvl w:ilvl="0" w:tplc="F90E16C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9225B6"/>
    <w:multiLevelType w:val="hybridMultilevel"/>
    <w:tmpl w:val="F7700FDA"/>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D056DA"/>
    <w:multiLevelType w:val="hybridMultilevel"/>
    <w:tmpl w:val="8B34C6B4"/>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ACD1083"/>
    <w:multiLevelType w:val="hybridMultilevel"/>
    <w:tmpl w:val="E63AF882"/>
    <w:lvl w:ilvl="0" w:tplc="39F86B44">
      <w:start w:val="1"/>
      <w:numFmt w:val="decimal"/>
      <w:lvlText w:val="%1."/>
      <w:lvlJc w:val="left"/>
      <w:pPr>
        <w:ind w:left="1440" w:hanging="720"/>
      </w:pPr>
      <w:rPr>
        <w:rFonts w:eastAsia="Times" w:cs="Times New Roman" w:hint="default"/>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0D6220E0"/>
    <w:multiLevelType w:val="hybridMultilevel"/>
    <w:tmpl w:val="A490B506"/>
    <w:lvl w:ilvl="0" w:tplc="325EC1CE">
      <w:start w:val="8"/>
      <w:numFmt w:val="decimal"/>
      <w:lvlText w:val="%1."/>
      <w:lvlJc w:val="left"/>
      <w:pPr>
        <w:ind w:left="502" w:hanging="360"/>
      </w:pPr>
      <w:rPr>
        <w:rFonts w:hint="default"/>
        <w:b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C24D50"/>
    <w:multiLevelType w:val="hybridMultilevel"/>
    <w:tmpl w:val="C4466AF8"/>
    <w:lvl w:ilvl="0" w:tplc="E4C85CA0">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18CA3677"/>
    <w:multiLevelType w:val="hybridMultilevel"/>
    <w:tmpl w:val="1E6213B4"/>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BC57E2D"/>
    <w:multiLevelType w:val="hybridMultilevel"/>
    <w:tmpl w:val="9760D55A"/>
    <w:lvl w:ilvl="0" w:tplc="705CD3F4">
      <w:start w:val="1"/>
      <w:numFmt w:val="decimal"/>
      <w:lvlText w:val="%1."/>
      <w:lvlJc w:val="left"/>
      <w:pPr>
        <w:ind w:left="360" w:hanging="360"/>
      </w:pPr>
      <w:rPr>
        <w:rFonts w:hint="default"/>
        <w:b/>
        <w:i/>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1EDD4A86"/>
    <w:multiLevelType w:val="hybridMultilevel"/>
    <w:tmpl w:val="1D04AC9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 w15:restartNumberingAfterBreak="0">
    <w:nsid w:val="1F0966BF"/>
    <w:multiLevelType w:val="hybridMultilevel"/>
    <w:tmpl w:val="D65AE30E"/>
    <w:lvl w:ilvl="0" w:tplc="9D4E5CE4">
      <w:start w:val="1"/>
      <w:numFmt w:val="decimal"/>
      <w:lvlText w:val="%1."/>
      <w:lvlJc w:val="left"/>
      <w:pPr>
        <w:tabs>
          <w:tab w:val="num" w:pos="1080"/>
        </w:tabs>
        <w:ind w:left="1080" w:hanging="360"/>
      </w:pPr>
      <w:rPr>
        <w:b w:val="0"/>
        <w:i w:val="0"/>
        <w:color w:val="auto"/>
        <w:sz w:val="20"/>
        <w:szCs w:val="20"/>
      </w:rPr>
    </w:lvl>
    <w:lvl w:ilvl="1" w:tplc="000F0409">
      <w:start w:val="1"/>
      <w:numFmt w:val="decimal"/>
      <w:lvlText w:val="%2."/>
      <w:lvlJc w:val="left"/>
      <w:pPr>
        <w:tabs>
          <w:tab w:val="num" w:pos="2160"/>
        </w:tabs>
        <w:ind w:left="2160" w:hanging="360"/>
      </w:pPr>
      <w:rPr>
        <w:sz w:val="20"/>
        <w:szCs w:val="20"/>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 w15:restartNumberingAfterBreak="0">
    <w:nsid w:val="25474CF5"/>
    <w:multiLevelType w:val="hybridMultilevel"/>
    <w:tmpl w:val="2EBC2724"/>
    <w:lvl w:ilvl="0" w:tplc="140A0015">
      <w:start w:val="1"/>
      <w:numFmt w:val="upperLetter"/>
      <w:lvlText w:val="%1."/>
      <w:lvlJc w:val="left"/>
      <w:pPr>
        <w:ind w:left="1080" w:hanging="720"/>
      </w:pPr>
      <w:rPr>
        <w:rFonts w:hint="default"/>
        <w:b/>
        <w:i/>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951488D"/>
    <w:multiLevelType w:val="hybridMultilevel"/>
    <w:tmpl w:val="2D4E7034"/>
    <w:lvl w:ilvl="0" w:tplc="39F86B44">
      <w:start w:val="1"/>
      <w:numFmt w:val="decimal"/>
      <w:lvlText w:val="%1."/>
      <w:lvlJc w:val="left"/>
      <w:pPr>
        <w:ind w:left="1440" w:hanging="720"/>
      </w:pPr>
      <w:rPr>
        <w:rFonts w:eastAsia="Times" w:cs="Times New Roman" w:hint="default"/>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15:restartNumberingAfterBreak="0">
    <w:nsid w:val="2CC06BDE"/>
    <w:multiLevelType w:val="hybridMultilevel"/>
    <w:tmpl w:val="E0860FF2"/>
    <w:lvl w:ilvl="0" w:tplc="36141AC8">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2F08099A"/>
    <w:multiLevelType w:val="hybridMultilevel"/>
    <w:tmpl w:val="023E5A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8F677E3"/>
    <w:multiLevelType w:val="hybridMultilevel"/>
    <w:tmpl w:val="1E6213B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4844A8"/>
    <w:multiLevelType w:val="hybridMultilevel"/>
    <w:tmpl w:val="D324BA58"/>
    <w:lvl w:ilvl="0" w:tplc="40CC3D5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96F195F"/>
    <w:multiLevelType w:val="hybridMultilevel"/>
    <w:tmpl w:val="6AB03902"/>
    <w:lvl w:ilvl="0" w:tplc="C48496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53AAB"/>
    <w:multiLevelType w:val="hybridMultilevel"/>
    <w:tmpl w:val="F3C80780"/>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8" w15:restartNumberingAfterBreak="0">
    <w:nsid w:val="3B30516E"/>
    <w:multiLevelType w:val="hybridMultilevel"/>
    <w:tmpl w:val="3E162E84"/>
    <w:lvl w:ilvl="0" w:tplc="F90E16C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D5C3446"/>
    <w:multiLevelType w:val="hybridMultilevel"/>
    <w:tmpl w:val="84844E4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E24202B"/>
    <w:multiLevelType w:val="hybridMultilevel"/>
    <w:tmpl w:val="73306F22"/>
    <w:lvl w:ilvl="0" w:tplc="00446C9C">
      <w:start w:val="1"/>
      <w:numFmt w:val="decimal"/>
      <w:lvlText w:val="%1."/>
      <w:lvlJc w:val="left"/>
      <w:pPr>
        <w:ind w:left="360" w:hanging="360"/>
      </w:pPr>
      <w:rPr>
        <w:rFonts w:ascii="Verdana" w:hAnsi="Verdana" w:hint="default"/>
        <w:b w:val="0"/>
        <w:sz w:val="18"/>
        <w:szCs w:val="18"/>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3FF30DF9"/>
    <w:multiLevelType w:val="hybridMultilevel"/>
    <w:tmpl w:val="BC0E16BC"/>
    <w:lvl w:ilvl="0" w:tplc="C3CCE9E0">
      <w:start w:val="7"/>
      <w:numFmt w:val="decimal"/>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1FB09AD"/>
    <w:multiLevelType w:val="hybridMultilevel"/>
    <w:tmpl w:val="FA2047F0"/>
    <w:lvl w:ilvl="0" w:tplc="675846B2">
      <w:start w:val="1"/>
      <w:numFmt w:val="decimal"/>
      <w:lvlText w:val="%1."/>
      <w:lvlJc w:val="left"/>
      <w:pPr>
        <w:tabs>
          <w:tab w:val="num" w:pos="720"/>
        </w:tabs>
        <w:ind w:left="0" w:firstLine="0"/>
      </w:pPr>
      <w:rPr>
        <w:rFonts w:ascii="Verdana" w:hAnsi="Verdana" w:hint="default"/>
        <w:b w:val="0"/>
        <w:i w:val="0"/>
        <w:sz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54642A3"/>
    <w:multiLevelType w:val="hybridMultilevel"/>
    <w:tmpl w:val="6A78DCB8"/>
    <w:lvl w:ilvl="0" w:tplc="EDE03430">
      <w:start w:val="27"/>
      <w:numFmt w:val="decimal"/>
      <w:lvlText w:val="%1."/>
      <w:lvlJc w:val="left"/>
      <w:pPr>
        <w:ind w:left="1440" w:hanging="720"/>
      </w:pPr>
      <w:rPr>
        <w:rFonts w:eastAsia="Times" w:cs="Times New Roman" w:hint="default"/>
        <w:b w:val="0"/>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9D52F5D"/>
    <w:multiLevelType w:val="hybridMultilevel"/>
    <w:tmpl w:val="452AD22E"/>
    <w:lvl w:ilvl="0" w:tplc="C9A073B0">
      <w:start w:val="1"/>
      <w:numFmt w:val="decimal"/>
      <w:lvlText w:val="%1."/>
      <w:lvlJc w:val="left"/>
      <w:pPr>
        <w:tabs>
          <w:tab w:val="num" w:pos="68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AA6167C"/>
    <w:multiLevelType w:val="hybridMultilevel"/>
    <w:tmpl w:val="A38EF55A"/>
    <w:lvl w:ilvl="0" w:tplc="3C36383C">
      <w:start w:val="1"/>
      <w:numFmt w:val="decimal"/>
      <w:lvlText w:val="%1."/>
      <w:lvlJc w:val="left"/>
      <w:pPr>
        <w:ind w:left="1080" w:hanging="720"/>
      </w:pPr>
      <w:rPr>
        <w:rFonts w:eastAsia="Times"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E567BE0"/>
    <w:multiLevelType w:val="hybridMultilevel"/>
    <w:tmpl w:val="A6769890"/>
    <w:lvl w:ilvl="0" w:tplc="488E0120">
      <w:start w:val="1"/>
      <w:numFmt w:val="decimal"/>
      <w:lvlText w:val="%1."/>
      <w:lvlJc w:val="left"/>
      <w:pPr>
        <w:ind w:left="1440" w:hanging="720"/>
      </w:pPr>
      <w:rPr>
        <w:rFonts w:eastAsia="Times" w:cs="Times New Roman" w:hint="default"/>
        <w:b w:val="0"/>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15:restartNumberingAfterBreak="0">
    <w:nsid w:val="4E61276A"/>
    <w:multiLevelType w:val="hybridMultilevel"/>
    <w:tmpl w:val="850C90A4"/>
    <w:lvl w:ilvl="0" w:tplc="A5729340">
      <w:start w:val="1"/>
      <w:numFmt w:val="decimal"/>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7800DE0"/>
    <w:multiLevelType w:val="hybridMultilevel"/>
    <w:tmpl w:val="0022671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A07097D"/>
    <w:multiLevelType w:val="hybridMultilevel"/>
    <w:tmpl w:val="D7C42DD2"/>
    <w:lvl w:ilvl="0" w:tplc="140A000F">
      <w:start w:val="9"/>
      <w:numFmt w:val="decimal"/>
      <w:lvlText w:val="%1."/>
      <w:lvlJc w:val="left"/>
      <w:pPr>
        <w:ind w:left="720" w:hanging="360"/>
      </w:pPr>
      <w:rPr>
        <w:rFonts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BC60BFD"/>
    <w:multiLevelType w:val="hybridMultilevel"/>
    <w:tmpl w:val="82101A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BD966D8"/>
    <w:multiLevelType w:val="hybridMultilevel"/>
    <w:tmpl w:val="FBEE6142"/>
    <w:lvl w:ilvl="0" w:tplc="B7A6E5E4">
      <w:start w:val="4"/>
      <w:numFmt w:val="bullet"/>
      <w:lvlText w:val=""/>
      <w:lvlJc w:val="left"/>
      <w:pPr>
        <w:ind w:left="1080" w:hanging="360"/>
      </w:pPr>
      <w:rPr>
        <w:rFonts w:ascii="Symbol" w:eastAsia="Times New Roman" w:hAnsi="Symbol" w:cs="Times New Roman"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2" w15:restartNumberingAfterBreak="0">
    <w:nsid w:val="651B7C0C"/>
    <w:multiLevelType w:val="hybridMultilevel"/>
    <w:tmpl w:val="C3843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56762C5"/>
    <w:multiLevelType w:val="hybridMultilevel"/>
    <w:tmpl w:val="37DE89EC"/>
    <w:lvl w:ilvl="0" w:tplc="762AB166">
      <w:start w:val="4"/>
      <w:numFmt w:val="bullet"/>
      <w:lvlText w:val=""/>
      <w:lvlJc w:val="left"/>
      <w:pPr>
        <w:ind w:left="1080" w:hanging="360"/>
      </w:pPr>
      <w:rPr>
        <w:rFonts w:ascii="Symbol" w:eastAsia="Times New Roman" w:hAnsi="Symbol" w:cs="Times New Roman"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4" w15:restartNumberingAfterBreak="0">
    <w:nsid w:val="69B47436"/>
    <w:multiLevelType w:val="hybridMultilevel"/>
    <w:tmpl w:val="A38EF55A"/>
    <w:lvl w:ilvl="0" w:tplc="3C36383C">
      <w:start w:val="1"/>
      <w:numFmt w:val="decimal"/>
      <w:lvlText w:val="%1."/>
      <w:lvlJc w:val="left"/>
      <w:pPr>
        <w:ind w:left="3240" w:hanging="720"/>
      </w:pPr>
      <w:rPr>
        <w:rFonts w:eastAsia="Times" w:cs="Times New Roman" w:hint="default"/>
      </w:rPr>
    </w:lvl>
    <w:lvl w:ilvl="1" w:tplc="140A0019" w:tentative="1">
      <w:start w:val="1"/>
      <w:numFmt w:val="lowerLetter"/>
      <w:lvlText w:val="%2."/>
      <w:lvlJc w:val="left"/>
      <w:pPr>
        <w:ind w:left="3600" w:hanging="360"/>
      </w:pPr>
    </w:lvl>
    <w:lvl w:ilvl="2" w:tplc="140A001B" w:tentative="1">
      <w:start w:val="1"/>
      <w:numFmt w:val="lowerRoman"/>
      <w:lvlText w:val="%3."/>
      <w:lvlJc w:val="right"/>
      <w:pPr>
        <w:ind w:left="4320" w:hanging="180"/>
      </w:pPr>
    </w:lvl>
    <w:lvl w:ilvl="3" w:tplc="140A000F" w:tentative="1">
      <w:start w:val="1"/>
      <w:numFmt w:val="decimal"/>
      <w:lvlText w:val="%4."/>
      <w:lvlJc w:val="left"/>
      <w:pPr>
        <w:ind w:left="5040" w:hanging="360"/>
      </w:pPr>
    </w:lvl>
    <w:lvl w:ilvl="4" w:tplc="140A0019" w:tentative="1">
      <w:start w:val="1"/>
      <w:numFmt w:val="lowerLetter"/>
      <w:lvlText w:val="%5."/>
      <w:lvlJc w:val="left"/>
      <w:pPr>
        <w:ind w:left="5760" w:hanging="360"/>
      </w:pPr>
    </w:lvl>
    <w:lvl w:ilvl="5" w:tplc="140A001B" w:tentative="1">
      <w:start w:val="1"/>
      <w:numFmt w:val="lowerRoman"/>
      <w:lvlText w:val="%6."/>
      <w:lvlJc w:val="right"/>
      <w:pPr>
        <w:ind w:left="6480" w:hanging="180"/>
      </w:pPr>
    </w:lvl>
    <w:lvl w:ilvl="6" w:tplc="140A000F" w:tentative="1">
      <w:start w:val="1"/>
      <w:numFmt w:val="decimal"/>
      <w:lvlText w:val="%7."/>
      <w:lvlJc w:val="left"/>
      <w:pPr>
        <w:ind w:left="7200" w:hanging="360"/>
      </w:pPr>
    </w:lvl>
    <w:lvl w:ilvl="7" w:tplc="140A0019" w:tentative="1">
      <w:start w:val="1"/>
      <w:numFmt w:val="lowerLetter"/>
      <w:lvlText w:val="%8."/>
      <w:lvlJc w:val="left"/>
      <w:pPr>
        <w:ind w:left="7920" w:hanging="360"/>
      </w:pPr>
    </w:lvl>
    <w:lvl w:ilvl="8" w:tplc="140A001B" w:tentative="1">
      <w:start w:val="1"/>
      <w:numFmt w:val="lowerRoman"/>
      <w:lvlText w:val="%9."/>
      <w:lvlJc w:val="right"/>
      <w:pPr>
        <w:ind w:left="8640" w:hanging="180"/>
      </w:pPr>
    </w:lvl>
  </w:abstractNum>
  <w:abstractNum w:abstractNumId="35" w15:restartNumberingAfterBreak="0">
    <w:nsid w:val="74E538BD"/>
    <w:multiLevelType w:val="hybridMultilevel"/>
    <w:tmpl w:val="79227236"/>
    <w:lvl w:ilvl="0" w:tplc="1640EA5E">
      <w:start w:val="1"/>
      <w:numFmt w:val="lowerRoman"/>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983635B"/>
    <w:multiLevelType w:val="hybridMultilevel"/>
    <w:tmpl w:val="1CF8DA9A"/>
    <w:lvl w:ilvl="0" w:tplc="AC1C5414">
      <w:start w:val="1"/>
      <w:numFmt w:val="decimal"/>
      <w:lvlText w:val="%1."/>
      <w:lvlJc w:val="left"/>
      <w:pPr>
        <w:ind w:left="360" w:hanging="360"/>
      </w:pPr>
      <w:rPr>
        <w:rFonts w:ascii="Verdana" w:hAnsi="Verdana" w:hint="default"/>
        <w:b w:val="0"/>
        <w:i w:val="0"/>
        <w:color w:val="auto"/>
        <w:sz w:val="20"/>
        <w:szCs w:val="20"/>
      </w:rPr>
    </w:lvl>
    <w:lvl w:ilvl="1" w:tplc="140A0019" w:tentative="1">
      <w:start w:val="1"/>
      <w:numFmt w:val="lowerLetter"/>
      <w:lvlText w:val="%2."/>
      <w:lvlJc w:val="left"/>
      <w:pPr>
        <w:ind w:left="-7916" w:hanging="360"/>
      </w:pPr>
    </w:lvl>
    <w:lvl w:ilvl="2" w:tplc="140A001B" w:tentative="1">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abstractNum w:abstractNumId="37" w15:restartNumberingAfterBreak="0">
    <w:nsid w:val="7A236CBB"/>
    <w:multiLevelType w:val="hybridMultilevel"/>
    <w:tmpl w:val="4C98C9C6"/>
    <w:lvl w:ilvl="0" w:tplc="31E20BDC">
      <w:start w:val="25"/>
      <w:numFmt w:val="decimal"/>
      <w:lvlText w:val="%1."/>
      <w:lvlJc w:val="left"/>
      <w:pPr>
        <w:tabs>
          <w:tab w:val="num" w:pos="1080"/>
        </w:tabs>
        <w:ind w:left="1080" w:hanging="360"/>
      </w:pPr>
      <w:rPr>
        <w:rFonts w:hint="default"/>
        <w:b w:val="0"/>
        <w:color w:val="auto"/>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7B1530DA"/>
    <w:multiLevelType w:val="hybridMultilevel"/>
    <w:tmpl w:val="2D4290A8"/>
    <w:lvl w:ilvl="0" w:tplc="1CA08BE6">
      <w:start w:val="8"/>
      <w:numFmt w:val="decimal"/>
      <w:lvlText w:val="%1."/>
      <w:lvlJc w:val="left"/>
      <w:pPr>
        <w:ind w:left="1440" w:hanging="720"/>
      </w:pPr>
      <w:rPr>
        <w:rFonts w:eastAsia="Times" w:cs="Times New Roman" w:hint="default"/>
        <w:b w:val="0"/>
        <w:i w:val="0"/>
        <w:color w:val="auto"/>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C0F1381"/>
    <w:multiLevelType w:val="hybridMultilevel"/>
    <w:tmpl w:val="B440A370"/>
    <w:lvl w:ilvl="0" w:tplc="F98AE65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9"/>
  </w:num>
  <w:num w:numId="2">
    <w:abstractNumId w:val="17"/>
  </w:num>
  <w:num w:numId="3">
    <w:abstractNumId w:val="24"/>
  </w:num>
  <w:num w:numId="4">
    <w:abstractNumId w:val="21"/>
  </w:num>
  <w:num w:numId="5">
    <w:abstractNumId w:val="6"/>
  </w:num>
  <w:num w:numId="6">
    <w:abstractNumId w:val="14"/>
  </w:num>
  <w:num w:numId="7">
    <w:abstractNumId w:val="16"/>
  </w:num>
  <w:num w:numId="8">
    <w:abstractNumId w:val="26"/>
  </w:num>
  <w:num w:numId="9">
    <w:abstractNumId w:val="7"/>
  </w:num>
  <w:num w:numId="10">
    <w:abstractNumId w:val="29"/>
  </w:num>
  <w:num w:numId="11">
    <w:abstractNumId w:val="27"/>
  </w:num>
  <w:num w:numId="12">
    <w:abstractNumId w:val="3"/>
  </w:num>
  <w:num w:numId="13">
    <w:abstractNumId w:val="11"/>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5"/>
  </w:num>
  <w:num w:numId="17">
    <w:abstractNumId w:val="22"/>
  </w:num>
  <w:num w:numId="18">
    <w:abstractNumId w:val="28"/>
  </w:num>
  <w:num w:numId="19">
    <w:abstractNumId w:val="33"/>
  </w:num>
  <w:num w:numId="20">
    <w:abstractNumId w:val="31"/>
  </w:num>
  <w:num w:numId="21">
    <w:abstractNumId w:val="38"/>
  </w:num>
  <w:num w:numId="22">
    <w:abstractNumId w:val="37"/>
  </w:num>
  <w:num w:numId="23">
    <w:abstractNumId w:val="23"/>
  </w:num>
  <w:num w:numId="24">
    <w:abstractNumId w:val="34"/>
  </w:num>
  <w:num w:numId="25">
    <w:abstractNumId w:val="12"/>
  </w:num>
  <w:num w:numId="26">
    <w:abstractNumId w:val="36"/>
  </w:num>
  <w:num w:numId="27">
    <w:abstractNumId w:val="2"/>
  </w:num>
  <w:num w:numId="28">
    <w:abstractNumId w:val="19"/>
  </w:num>
  <w:num w:numId="29">
    <w:abstractNumId w:val="30"/>
  </w:num>
  <w:num w:numId="30">
    <w:abstractNumId w:val="39"/>
  </w:num>
  <w:num w:numId="31">
    <w:abstractNumId w:val="18"/>
  </w:num>
  <w:num w:numId="32">
    <w:abstractNumId w:val="35"/>
  </w:num>
  <w:num w:numId="33">
    <w:abstractNumId w:val="15"/>
  </w:num>
  <w:num w:numId="34">
    <w:abstractNumId w:val="13"/>
  </w:num>
  <w:num w:numId="35">
    <w:abstractNumId w:val="20"/>
  </w:num>
  <w:num w:numId="36">
    <w:abstractNumId w:val="1"/>
  </w:num>
  <w:num w:numId="37">
    <w:abstractNumId w:val="10"/>
  </w:num>
  <w:num w:numId="38">
    <w:abstractNumId w:val="5"/>
  </w:num>
  <w:num w:numId="39">
    <w:abstractNumId w:val="8"/>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53"/>
    <w:rsid w:val="00001162"/>
    <w:rsid w:val="0000157B"/>
    <w:rsid w:val="0000169A"/>
    <w:rsid w:val="0000174D"/>
    <w:rsid w:val="0000186A"/>
    <w:rsid w:val="0000194D"/>
    <w:rsid w:val="0000398B"/>
    <w:rsid w:val="00005A87"/>
    <w:rsid w:val="00005BB7"/>
    <w:rsid w:val="00006D6D"/>
    <w:rsid w:val="00007AA4"/>
    <w:rsid w:val="000134C5"/>
    <w:rsid w:val="00013577"/>
    <w:rsid w:val="000151F7"/>
    <w:rsid w:val="0001674C"/>
    <w:rsid w:val="000178EF"/>
    <w:rsid w:val="0002014F"/>
    <w:rsid w:val="00021AD6"/>
    <w:rsid w:val="0002397E"/>
    <w:rsid w:val="0002704A"/>
    <w:rsid w:val="000312F8"/>
    <w:rsid w:val="00032226"/>
    <w:rsid w:val="00034393"/>
    <w:rsid w:val="00034715"/>
    <w:rsid w:val="0003564A"/>
    <w:rsid w:val="00037310"/>
    <w:rsid w:val="00045CD3"/>
    <w:rsid w:val="00050770"/>
    <w:rsid w:val="00051E9A"/>
    <w:rsid w:val="0005409A"/>
    <w:rsid w:val="00054FF0"/>
    <w:rsid w:val="0005525F"/>
    <w:rsid w:val="000561F6"/>
    <w:rsid w:val="000568D0"/>
    <w:rsid w:val="000605B8"/>
    <w:rsid w:val="00061B1C"/>
    <w:rsid w:val="00061B9C"/>
    <w:rsid w:val="00062EDB"/>
    <w:rsid w:val="00063CFD"/>
    <w:rsid w:val="00065C8B"/>
    <w:rsid w:val="000660F7"/>
    <w:rsid w:val="0007028F"/>
    <w:rsid w:val="0007036A"/>
    <w:rsid w:val="0007200A"/>
    <w:rsid w:val="00072457"/>
    <w:rsid w:val="000736E7"/>
    <w:rsid w:val="00073F7E"/>
    <w:rsid w:val="00075DCC"/>
    <w:rsid w:val="00076080"/>
    <w:rsid w:val="0007746A"/>
    <w:rsid w:val="0008059B"/>
    <w:rsid w:val="00081924"/>
    <w:rsid w:val="000820D0"/>
    <w:rsid w:val="00082618"/>
    <w:rsid w:val="000831BB"/>
    <w:rsid w:val="00083350"/>
    <w:rsid w:val="00086E58"/>
    <w:rsid w:val="0008738A"/>
    <w:rsid w:val="00090CAE"/>
    <w:rsid w:val="000919F7"/>
    <w:rsid w:val="00091B4A"/>
    <w:rsid w:val="0009269F"/>
    <w:rsid w:val="0009280E"/>
    <w:rsid w:val="000937F8"/>
    <w:rsid w:val="00094EBC"/>
    <w:rsid w:val="00097447"/>
    <w:rsid w:val="00097CB6"/>
    <w:rsid w:val="000A3591"/>
    <w:rsid w:val="000A390D"/>
    <w:rsid w:val="000A4981"/>
    <w:rsid w:val="000B150F"/>
    <w:rsid w:val="000B1D3B"/>
    <w:rsid w:val="000B1F71"/>
    <w:rsid w:val="000B217C"/>
    <w:rsid w:val="000B3531"/>
    <w:rsid w:val="000B4DDF"/>
    <w:rsid w:val="000B7181"/>
    <w:rsid w:val="000B7480"/>
    <w:rsid w:val="000B7663"/>
    <w:rsid w:val="000C4268"/>
    <w:rsid w:val="000C510A"/>
    <w:rsid w:val="000C555C"/>
    <w:rsid w:val="000C59F3"/>
    <w:rsid w:val="000C65AB"/>
    <w:rsid w:val="000C6B6C"/>
    <w:rsid w:val="000C70EB"/>
    <w:rsid w:val="000C7BD1"/>
    <w:rsid w:val="000D16EB"/>
    <w:rsid w:val="000D21BA"/>
    <w:rsid w:val="000D27BA"/>
    <w:rsid w:val="000D333F"/>
    <w:rsid w:val="000D3794"/>
    <w:rsid w:val="000D4495"/>
    <w:rsid w:val="000D45E6"/>
    <w:rsid w:val="000D4D1B"/>
    <w:rsid w:val="000D59BF"/>
    <w:rsid w:val="000D7248"/>
    <w:rsid w:val="000D7BFD"/>
    <w:rsid w:val="000E0550"/>
    <w:rsid w:val="000E1578"/>
    <w:rsid w:val="000E2BB1"/>
    <w:rsid w:val="000E2DCB"/>
    <w:rsid w:val="000E2FC6"/>
    <w:rsid w:val="000E36C7"/>
    <w:rsid w:val="000E3F8C"/>
    <w:rsid w:val="000E4266"/>
    <w:rsid w:val="000F0095"/>
    <w:rsid w:val="000F0DCC"/>
    <w:rsid w:val="000F4C66"/>
    <w:rsid w:val="000F5775"/>
    <w:rsid w:val="000F7739"/>
    <w:rsid w:val="00101990"/>
    <w:rsid w:val="00102C90"/>
    <w:rsid w:val="00102D4E"/>
    <w:rsid w:val="00103532"/>
    <w:rsid w:val="00103EC6"/>
    <w:rsid w:val="00106A57"/>
    <w:rsid w:val="00106FCB"/>
    <w:rsid w:val="00110167"/>
    <w:rsid w:val="0011062A"/>
    <w:rsid w:val="00110C36"/>
    <w:rsid w:val="0011175C"/>
    <w:rsid w:val="00111AC4"/>
    <w:rsid w:val="00112606"/>
    <w:rsid w:val="001139B4"/>
    <w:rsid w:val="0011559A"/>
    <w:rsid w:val="00115A67"/>
    <w:rsid w:val="00115CD6"/>
    <w:rsid w:val="00115E4A"/>
    <w:rsid w:val="00115E7F"/>
    <w:rsid w:val="00117F73"/>
    <w:rsid w:val="001204C3"/>
    <w:rsid w:val="0012059A"/>
    <w:rsid w:val="00120C39"/>
    <w:rsid w:val="00120EFD"/>
    <w:rsid w:val="00121038"/>
    <w:rsid w:val="0012110F"/>
    <w:rsid w:val="001219BE"/>
    <w:rsid w:val="001254E3"/>
    <w:rsid w:val="00125D19"/>
    <w:rsid w:val="001261F9"/>
    <w:rsid w:val="00131597"/>
    <w:rsid w:val="00133C67"/>
    <w:rsid w:val="00133F2E"/>
    <w:rsid w:val="0013400F"/>
    <w:rsid w:val="00135826"/>
    <w:rsid w:val="00136449"/>
    <w:rsid w:val="00141939"/>
    <w:rsid w:val="00141AD7"/>
    <w:rsid w:val="00141DE6"/>
    <w:rsid w:val="001433C8"/>
    <w:rsid w:val="00143D52"/>
    <w:rsid w:val="00146D87"/>
    <w:rsid w:val="0014751D"/>
    <w:rsid w:val="001514E2"/>
    <w:rsid w:val="00152FE7"/>
    <w:rsid w:val="00153B03"/>
    <w:rsid w:val="00153CF1"/>
    <w:rsid w:val="001542F2"/>
    <w:rsid w:val="00154860"/>
    <w:rsid w:val="0016044A"/>
    <w:rsid w:val="00161256"/>
    <w:rsid w:val="0016484B"/>
    <w:rsid w:val="00165064"/>
    <w:rsid w:val="001653B5"/>
    <w:rsid w:val="00165611"/>
    <w:rsid w:val="00171D48"/>
    <w:rsid w:val="001740A2"/>
    <w:rsid w:val="00174149"/>
    <w:rsid w:val="00174B32"/>
    <w:rsid w:val="00175861"/>
    <w:rsid w:val="0017748B"/>
    <w:rsid w:val="00180B81"/>
    <w:rsid w:val="001822CC"/>
    <w:rsid w:val="00182581"/>
    <w:rsid w:val="00182FA4"/>
    <w:rsid w:val="00185E9B"/>
    <w:rsid w:val="00186D27"/>
    <w:rsid w:val="00187761"/>
    <w:rsid w:val="00190B4A"/>
    <w:rsid w:val="00193C60"/>
    <w:rsid w:val="001943BC"/>
    <w:rsid w:val="00196D75"/>
    <w:rsid w:val="001A005C"/>
    <w:rsid w:val="001A010B"/>
    <w:rsid w:val="001A03DD"/>
    <w:rsid w:val="001A210C"/>
    <w:rsid w:val="001A2557"/>
    <w:rsid w:val="001A33A4"/>
    <w:rsid w:val="001A3F56"/>
    <w:rsid w:val="001A4464"/>
    <w:rsid w:val="001A675A"/>
    <w:rsid w:val="001A6B16"/>
    <w:rsid w:val="001A7B6C"/>
    <w:rsid w:val="001B007A"/>
    <w:rsid w:val="001B16E9"/>
    <w:rsid w:val="001B18F1"/>
    <w:rsid w:val="001B683A"/>
    <w:rsid w:val="001C0F9C"/>
    <w:rsid w:val="001C4272"/>
    <w:rsid w:val="001C43F8"/>
    <w:rsid w:val="001C5303"/>
    <w:rsid w:val="001C567F"/>
    <w:rsid w:val="001C788B"/>
    <w:rsid w:val="001D016C"/>
    <w:rsid w:val="001D1555"/>
    <w:rsid w:val="001D160C"/>
    <w:rsid w:val="001D34FC"/>
    <w:rsid w:val="001D3C95"/>
    <w:rsid w:val="001D60C7"/>
    <w:rsid w:val="001E5FBB"/>
    <w:rsid w:val="001E629D"/>
    <w:rsid w:val="001E63B2"/>
    <w:rsid w:val="001E648A"/>
    <w:rsid w:val="001E65F5"/>
    <w:rsid w:val="001E7240"/>
    <w:rsid w:val="001E7EA7"/>
    <w:rsid w:val="001F204C"/>
    <w:rsid w:val="001F22DF"/>
    <w:rsid w:val="001F24B7"/>
    <w:rsid w:val="001F32EB"/>
    <w:rsid w:val="001F5FD3"/>
    <w:rsid w:val="001F6969"/>
    <w:rsid w:val="002001D9"/>
    <w:rsid w:val="00203283"/>
    <w:rsid w:val="00204215"/>
    <w:rsid w:val="0020462B"/>
    <w:rsid w:val="00206DC3"/>
    <w:rsid w:val="002101AC"/>
    <w:rsid w:val="002101D4"/>
    <w:rsid w:val="00210B86"/>
    <w:rsid w:val="00211D4A"/>
    <w:rsid w:val="00212136"/>
    <w:rsid w:val="0021287B"/>
    <w:rsid w:val="00213002"/>
    <w:rsid w:val="002137EE"/>
    <w:rsid w:val="00213EEA"/>
    <w:rsid w:val="002144C6"/>
    <w:rsid w:val="0021527B"/>
    <w:rsid w:val="00215628"/>
    <w:rsid w:val="002161FE"/>
    <w:rsid w:val="002173B0"/>
    <w:rsid w:val="00217D00"/>
    <w:rsid w:val="00217E4D"/>
    <w:rsid w:val="00220CD1"/>
    <w:rsid w:val="002212E7"/>
    <w:rsid w:val="00222783"/>
    <w:rsid w:val="00222A7E"/>
    <w:rsid w:val="00222BCA"/>
    <w:rsid w:val="002230EF"/>
    <w:rsid w:val="00223C3E"/>
    <w:rsid w:val="002255A9"/>
    <w:rsid w:val="00225C37"/>
    <w:rsid w:val="002267DD"/>
    <w:rsid w:val="00226A61"/>
    <w:rsid w:val="00230CC3"/>
    <w:rsid w:val="00231A08"/>
    <w:rsid w:val="00231D1A"/>
    <w:rsid w:val="00233076"/>
    <w:rsid w:val="00235654"/>
    <w:rsid w:val="00235C78"/>
    <w:rsid w:val="00237473"/>
    <w:rsid w:val="002375C9"/>
    <w:rsid w:val="002376B4"/>
    <w:rsid w:val="002376FA"/>
    <w:rsid w:val="00241F33"/>
    <w:rsid w:val="00244E7E"/>
    <w:rsid w:val="00245110"/>
    <w:rsid w:val="002459A7"/>
    <w:rsid w:val="00245B02"/>
    <w:rsid w:val="0024611F"/>
    <w:rsid w:val="002462B7"/>
    <w:rsid w:val="00246397"/>
    <w:rsid w:val="002467D3"/>
    <w:rsid w:val="002473F4"/>
    <w:rsid w:val="002505A0"/>
    <w:rsid w:val="00251488"/>
    <w:rsid w:val="00252C08"/>
    <w:rsid w:val="00253414"/>
    <w:rsid w:val="002538AF"/>
    <w:rsid w:val="0025472E"/>
    <w:rsid w:val="00254E45"/>
    <w:rsid w:val="00255693"/>
    <w:rsid w:val="00256E1E"/>
    <w:rsid w:val="002573DE"/>
    <w:rsid w:val="00257F0F"/>
    <w:rsid w:val="00261586"/>
    <w:rsid w:val="002622D0"/>
    <w:rsid w:val="00262B32"/>
    <w:rsid w:val="0026338C"/>
    <w:rsid w:val="0026339D"/>
    <w:rsid w:val="0026561F"/>
    <w:rsid w:val="002668DC"/>
    <w:rsid w:val="002669C8"/>
    <w:rsid w:val="00271BA3"/>
    <w:rsid w:val="00271CB6"/>
    <w:rsid w:val="00271DC8"/>
    <w:rsid w:val="00273394"/>
    <w:rsid w:val="00273EFC"/>
    <w:rsid w:val="00274638"/>
    <w:rsid w:val="00274DDC"/>
    <w:rsid w:val="0027509D"/>
    <w:rsid w:val="00275EB3"/>
    <w:rsid w:val="00277D5C"/>
    <w:rsid w:val="002802C7"/>
    <w:rsid w:val="002805CF"/>
    <w:rsid w:val="00280FD6"/>
    <w:rsid w:val="0028139D"/>
    <w:rsid w:val="00281810"/>
    <w:rsid w:val="002818B0"/>
    <w:rsid w:val="00281C7F"/>
    <w:rsid w:val="00281D62"/>
    <w:rsid w:val="00282950"/>
    <w:rsid w:val="00283F20"/>
    <w:rsid w:val="00285408"/>
    <w:rsid w:val="00285ED6"/>
    <w:rsid w:val="00285FAE"/>
    <w:rsid w:val="00286D0E"/>
    <w:rsid w:val="00286FA9"/>
    <w:rsid w:val="00286FD1"/>
    <w:rsid w:val="002873A2"/>
    <w:rsid w:val="00287535"/>
    <w:rsid w:val="00287FFA"/>
    <w:rsid w:val="00290EC8"/>
    <w:rsid w:val="00291C43"/>
    <w:rsid w:val="00296700"/>
    <w:rsid w:val="00296E66"/>
    <w:rsid w:val="0029761E"/>
    <w:rsid w:val="002979B9"/>
    <w:rsid w:val="002A0627"/>
    <w:rsid w:val="002A358C"/>
    <w:rsid w:val="002A3594"/>
    <w:rsid w:val="002A3850"/>
    <w:rsid w:val="002A3A6F"/>
    <w:rsid w:val="002A4352"/>
    <w:rsid w:val="002A62F9"/>
    <w:rsid w:val="002B15A0"/>
    <w:rsid w:val="002B3245"/>
    <w:rsid w:val="002B3F2B"/>
    <w:rsid w:val="002B496F"/>
    <w:rsid w:val="002B4BB4"/>
    <w:rsid w:val="002B4BE0"/>
    <w:rsid w:val="002B5731"/>
    <w:rsid w:val="002B6AEB"/>
    <w:rsid w:val="002B6F64"/>
    <w:rsid w:val="002B785A"/>
    <w:rsid w:val="002C29EE"/>
    <w:rsid w:val="002C36C4"/>
    <w:rsid w:val="002C3CAD"/>
    <w:rsid w:val="002C3CB4"/>
    <w:rsid w:val="002C4DF6"/>
    <w:rsid w:val="002C50E3"/>
    <w:rsid w:val="002C5FC5"/>
    <w:rsid w:val="002C6635"/>
    <w:rsid w:val="002C7DF1"/>
    <w:rsid w:val="002D062E"/>
    <w:rsid w:val="002D0FCB"/>
    <w:rsid w:val="002D1B01"/>
    <w:rsid w:val="002D2DD0"/>
    <w:rsid w:val="002D436F"/>
    <w:rsid w:val="002D54CE"/>
    <w:rsid w:val="002D58CF"/>
    <w:rsid w:val="002D5EE9"/>
    <w:rsid w:val="002D62B0"/>
    <w:rsid w:val="002D64EA"/>
    <w:rsid w:val="002E0BCA"/>
    <w:rsid w:val="002E10AA"/>
    <w:rsid w:val="002E2228"/>
    <w:rsid w:val="002E24EE"/>
    <w:rsid w:val="002E2B10"/>
    <w:rsid w:val="002E3335"/>
    <w:rsid w:val="002E48EC"/>
    <w:rsid w:val="002E7DF4"/>
    <w:rsid w:val="002F005B"/>
    <w:rsid w:val="002F073B"/>
    <w:rsid w:val="002F18F8"/>
    <w:rsid w:val="002F2547"/>
    <w:rsid w:val="002F2878"/>
    <w:rsid w:val="002F296C"/>
    <w:rsid w:val="002F3C66"/>
    <w:rsid w:val="002F4888"/>
    <w:rsid w:val="002F5C1D"/>
    <w:rsid w:val="002F6097"/>
    <w:rsid w:val="002F6157"/>
    <w:rsid w:val="002F61F4"/>
    <w:rsid w:val="002F6247"/>
    <w:rsid w:val="002F7DFE"/>
    <w:rsid w:val="003008C0"/>
    <w:rsid w:val="00300B8F"/>
    <w:rsid w:val="00301978"/>
    <w:rsid w:val="00301C66"/>
    <w:rsid w:val="003020C6"/>
    <w:rsid w:val="0030293F"/>
    <w:rsid w:val="00304A4E"/>
    <w:rsid w:val="003053FB"/>
    <w:rsid w:val="0030575C"/>
    <w:rsid w:val="00307375"/>
    <w:rsid w:val="00307E97"/>
    <w:rsid w:val="0031057A"/>
    <w:rsid w:val="0031379E"/>
    <w:rsid w:val="00313DBC"/>
    <w:rsid w:val="00314184"/>
    <w:rsid w:val="00314CF7"/>
    <w:rsid w:val="003150F8"/>
    <w:rsid w:val="0031582A"/>
    <w:rsid w:val="00317531"/>
    <w:rsid w:val="0031799A"/>
    <w:rsid w:val="00321D4A"/>
    <w:rsid w:val="00323808"/>
    <w:rsid w:val="003251A5"/>
    <w:rsid w:val="0032585C"/>
    <w:rsid w:val="00326D38"/>
    <w:rsid w:val="0033386A"/>
    <w:rsid w:val="00333E08"/>
    <w:rsid w:val="00335B1B"/>
    <w:rsid w:val="00336C08"/>
    <w:rsid w:val="003377FC"/>
    <w:rsid w:val="00340E2B"/>
    <w:rsid w:val="00341227"/>
    <w:rsid w:val="00342065"/>
    <w:rsid w:val="00343330"/>
    <w:rsid w:val="00344CB6"/>
    <w:rsid w:val="00344F94"/>
    <w:rsid w:val="003465D0"/>
    <w:rsid w:val="0034698A"/>
    <w:rsid w:val="00347EA2"/>
    <w:rsid w:val="00350282"/>
    <w:rsid w:val="00350782"/>
    <w:rsid w:val="00350E3E"/>
    <w:rsid w:val="00351E7F"/>
    <w:rsid w:val="00354AF0"/>
    <w:rsid w:val="00354BCE"/>
    <w:rsid w:val="00354DD7"/>
    <w:rsid w:val="00354E4B"/>
    <w:rsid w:val="00354F29"/>
    <w:rsid w:val="00356871"/>
    <w:rsid w:val="00360D6B"/>
    <w:rsid w:val="003616AD"/>
    <w:rsid w:val="00361B42"/>
    <w:rsid w:val="0036313F"/>
    <w:rsid w:val="00364218"/>
    <w:rsid w:val="00364461"/>
    <w:rsid w:val="003647CC"/>
    <w:rsid w:val="00365F99"/>
    <w:rsid w:val="0037043D"/>
    <w:rsid w:val="00372B78"/>
    <w:rsid w:val="00372E50"/>
    <w:rsid w:val="003751B9"/>
    <w:rsid w:val="003761C1"/>
    <w:rsid w:val="00377101"/>
    <w:rsid w:val="003802AA"/>
    <w:rsid w:val="003828CA"/>
    <w:rsid w:val="0038434B"/>
    <w:rsid w:val="003844E1"/>
    <w:rsid w:val="0038591E"/>
    <w:rsid w:val="0038602E"/>
    <w:rsid w:val="003863E5"/>
    <w:rsid w:val="003867ED"/>
    <w:rsid w:val="003872B5"/>
    <w:rsid w:val="003872F1"/>
    <w:rsid w:val="0038789B"/>
    <w:rsid w:val="00390589"/>
    <w:rsid w:val="00390A06"/>
    <w:rsid w:val="00390A80"/>
    <w:rsid w:val="00391148"/>
    <w:rsid w:val="003916D7"/>
    <w:rsid w:val="00391B45"/>
    <w:rsid w:val="00392098"/>
    <w:rsid w:val="00392563"/>
    <w:rsid w:val="00394815"/>
    <w:rsid w:val="003950FD"/>
    <w:rsid w:val="003952F1"/>
    <w:rsid w:val="003956DE"/>
    <w:rsid w:val="00396A7F"/>
    <w:rsid w:val="00397604"/>
    <w:rsid w:val="00397613"/>
    <w:rsid w:val="003A1407"/>
    <w:rsid w:val="003A2271"/>
    <w:rsid w:val="003A3AA0"/>
    <w:rsid w:val="003A445B"/>
    <w:rsid w:val="003A4571"/>
    <w:rsid w:val="003A53D2"/>
    <w:rsid w:val="003A5A5B"/>
    <w:rsid w:val="003A5CB1"/>
    <w:rsid w:val="003A6267"/>
    <w:rsid w:val="003A6523"/>
    <w:rsid w:val="003B133E"/>
    <w:rsid w:val="003B1A3D"/>
    <w:rsid w:val="003B230A"/>
    <w:rsid w:val="003B4488"/>
    <w:rsid w:val="003B48FD"/>
    <w:rsid w:val="003B53BC"/>
    <w:rsid w:val="003B54B6"/>
    <w:rsid w:val="003B5B34"/>
    <w:rsid w:val="003B5E83"/>
    <w:rsid w:val="003B68FB"/>
    <w:rsid w:val="003B6DE0"/>
    <w:rsid w:val="003B6EC7"/>
    <w:rsid w:val="003C096F"/>
    <w:rsid w:val="003C22E3"/>
    <w:rsid w:val="003C32E9"/>
    <w:rsid w:val="003C3606"/>
    <w:rsid w:val="003C3CBC"/>
    <w:rsid w:val="003C4606"/>
    <w:rsid w:val="003C51FD"/>
    <w:rsid w:val="003C5EB6"/>
    <w:rsid w:val="003C689A"/>
    <w:rsid w:val="003C7491"/>
    <w:rsid w:val="003C7AEA"/>
    <w:rsid w:val="003C7D4B"/>
    <w:rsid w:val="003D143D"/>
    <w:rsid w:val="003D2C70"/>
    <w:rsid w:val="003D397B"/>
    <w:rsid w:val="003D3A1F"/>
    <w:rsid w:val="003D40C6"/>
    <w:rsid w:val="003D4C10"/>
    <w:rsid w:val="003D5803"/>
    <w:rsid w:val="003D64BA"/>
    <w:rsid w:val="003E0D2D"/>
    <w:rsid w:val="003E135D"/>
    <w:rsid w:val="003E2228"/>
    <w:rsid w:val="003E2717"/>
    <w:rsid w:val="003E2CCC"/>
    <w:rsid w:val="003E63AD"/>
    <w:rsid w:val="003E6E73"/>
    <w:rsid w:val="003E75D2"/>
    <w:rsid w:val="003E78E4"/>
    <w:rsid w:val="003E7C26"/>
    <w:rsid w:val="003F3270"/>
    <w:rsid w:val="003F32F4"/>
    <w:rsid w:val="003F4B1D"/>
    <w:rsid w:val="003F4FDD"/>
    <w:rsid w:val="003F5382"/>
    <w:rsid w:val="003F6A5C"/>
    <w:rsid w:val="003F6BD3"/>
    <w:rsid w:val="003F72E8"/>
    <w:rsid w:val="0040066D"/>
    <w:rsid w:val="00401945"/>
    <w:rsid w:val="00402B89"/>
    <w:rsid w:val="00403D37"/>
    <w:rsid w:val="00404C10"/>
    <w:rsid w:val="0040510F"/>
    <w:rsid w:val="00405130"/>
    <w:rsid w:val="00405532"/>
    <w:rsid w:val="00405756"/>
    <w:rsid w:val="00406B11"/>
    <w:rsid w:val="00406BEB"/>
    <w:rsid w:val="00407CDA"/>
    <w:rsid w:val="00407F4C"/>
    <w:rsid w:val="00412D37"/>
    <w:rsid w:val="00413BCA"/>
    <w:rsid w:val="00413DFD"/>
    <w:rsid w:val="00414A77"/>
    <w:rsid w:val="00414E24"/>
    <w:rsid w:val="00416340"/>
    <w:rsid w:val="00416496"/>
    <w:rsid w:val="00417E92"/>
    <w:rsid w:val="00417EF3"/>
    <w:rsid w:val="004208C8"/>
    <w:rsid w:val="00420AEC"/>
    <w:rsid w:val="004215E1"/>
    <w:rsid w:val="00423668"/>
    <w:rsid w:val="004242C4"/>
    <w:rsid w:val="00424A41"/>
    <w:rsid w:val="00424E82"/>
    <w:rsid w:val="0042546B"/>
    <w:rsid w:val="00426319"/>
    <w:rsid w:val="00426891"/>
    <w:rsid w:val="00427B1C"/>
    <w:rsid w:val="00427DC4"/>
    <w:rsid w:val="00430038"/>
    <w:rsid w:val="00431D63"/>
    <w:rsid w:val="00432199"/>
    <w:rsid w:val="0043292A"/>
    <w:rsid w:val="00432A65"/>
    <w:rsid w:val="004331F6"/>
    <w:rsid w:val="004333D4"/>
    <w:rsid w:val="00433766"/>
    <w:rsid w:val="00436D02"/>
    <w:rsid w:val="00440E07"/>
    <w:rsid w:val="00441435"/>
    <w:rsid w:val="0044207A"/>
    <w:rsid w:val="004425DE"/>
    <w:rsid w:val="00443799"/>
    <w:rsid w:val="004443B3"/>
    <w:rsid w:val="00444714"/>
    <w:rsid w:val="00447E85"/>
    <w:rsid w:val="00447FB6"/>
    <w:rsid w:val="004503A8"/>
    <w:rsid w:val="0045173A"/>
    <w:rsid w:val="00452E37"/>
    <w:rsid w:val="00453A32"/>
    <w:rsid w:val="0045462D"/>
    <w:rsid w:val="00454823"/>
    <w:rsid w:val="00454E13"/>
    <w:rsid w:val="00454EEC"/>
    <w:rsid w:val="00457892"/>
    <w:rsid w:val="0045797F"/>
    <w:rsid w:val="00460756"/>
    <w:rsid w:val="00461E15"/>
    <w:rsid w:val="0046204A"/>
    <w:rsid w:val="0046232F"/>
    <w:rsid w:val="004631F5"/>
    <w:rsid w:val="004639E3"/>
    <w:rsid w:val="00464F9D"/>
    <w:rsid w:val="00465D9B"/>
    <w:rsid w:val="00466B52"/>
    <w:rsid w:val="0046783C"/>
    <w:rsid w:val="00467928"/>
    <w:rsid w:val="004706D0"/>
    <w:rsid w:val="00471195"/>
    <w:rsid w:val="00472694"/>
    <w:rsid w:val="00472C3C"/>
    <w:rsid w:val="004731F9"/>
    <w:rsid w:val="00473746"/>
    <w:rsid w:val="00473878"/>
    <w:rsid w:val="004740CE"/>
    <w:rsid w:val="004749A4"/>
    <w:rsid w:val="00475497"/>
    <w:rsid w:val="00475E1F"/>
    <w:rsid w:val="004763FE"/>
    <w:rsid w:val="0048154F"/>
    <w:rsid w:val="004825BF"/>
    <w:rsid w:val="0048382C"/>
    <w:rsid w:val="004848C5"/>
    <w:rsid w:val="004863C9"/>
    <w:rsid w:val="0048684B"/>
    <w:rsid w:val="004871BC"/>
    <w:rsid w:val="004872D5"/>
    <w:rsid w:val="0048775D"/>
    <w:rsid w:val="00487A17"/>
    <w:rsid w:val="00491253"/>
    <w:rsid w:val="004916B6"/>
    <w:rsid w:val="00492007"/>
    <w:rsid w:val="004928DF"/>
    <w:rsid w:val="00492C18"/>
    <w:rsid w:val="00492FEA"/>
    <w:rsid w:val="00495986"/>
    <w:rsid w:val="00495F2F"/>
    <w:rsid w:val="00496029"/>
    <w:rsid w:val="004963B0"/>
    <w:rsid w:val="004965E3"/>
    <w:rsid w:val="00496861"/>
    <w:rsid w:val="004A2446"/>
    <w:rsid w:val="004A5AF3"/>
    <w:rsid w:val="004A5B43"/>
    <w:rsid w:val="004A5E9A"/>
    <w:rsid w:val="004A6618"/>
    <w:rsid w:val="004A702E"/>
    <w:rsid w:val="004A7753"/>
    <w:rsid w:val="004B0E94"/>
    <w:rsid w:val="004B2EC7"/>
    <w:rsid w:val="004B2F2B"/>
    <w:rsid w:val="004B3700"/>
    <w:rsid w:val="004B3C6C"/>
    <w:rsid w:val="004B4CF7"/>
    <w:rsid w:val="004B53AA"/>
    <w:rsid w:val="004B69E9"/>
    <w:rsid w:val="004C022B"/>
    <w:rsid w:val="004C0BAF"/>
    <w:rsid w:val="004C11A0"/>
    <w:rsid w:val="004C183E"/>
    <w:rsid w:val="004C1C71"/>
    <w:rsid w:val="004C268F"/>
    <w:rsid w:val="004C2E45"/>
    <w:rsid w:val="004C46A0"/>
    <w:rsid w:val="004C47EE"/>
    <w:rsid w:val="004C492E"/>
    <w:rsid w:val="004C6010"/>
    <w:rsid w:val="004C67C7"/>
    <w:rsid w:val="004C7BD9"/>
    <w:rsid w:val="004D053C"/>
    <w:rsid w:val="004D0CEF"/>
    <w:rsid w:val="004D1C36"/>
    <w:rsid w:val="004D2486"/>
    <w:rsid w:val="004D2988"/>
    <w:rsid w:val="004D362A"/>
    <w:rsid w:val="004D4EAC"/>
    <w:rsid w:val="004D6364"/>
    <w:rsid w:val="004E1A5D"/>
    <w:rsid w:val="004E1B2A"/>
    <w:rsid w:val="004E59A9"/>
    <w:rsid w:val="004E73CF"/>
    <w:rsid w:val="004E7DB6"/>
    <w:rsid w:val="004F300A"/>
    <w:rsid w:val="004F3339"/>
    <w:rsid w:val="004F43C4"/>
    <w:rsid w:val="004F47F1"/>
    <w:rsid w:val="004F4F69"/>
    <w:rsid w:val="004F650D"/>
    <w:rsid w:val="004F6600"/>
    <w:rsid w:val="004F6C74"/>
    <w:rsid w:val="004F6F29"/>
    <w:rsid w:val="004F72D5"/>
    <w:rsid w:val="00500483"/>
    <w:rsid w:val="00500541"/>
    <w:rsid w:val="00500D67"/>
    <w:rsid w:val="005028AB"/>
    <w:rsid w:val="00503825"/>
    <w:rsid w:val="00503C85"/>
    <w:rsid w:val="00503CD6"/>
    <w:rsid w:val="00507FDB"/>
    <w:rsid w:val="00510507"/>
    <w:rsid w:val="0051052C"/>
    <w:rsid w:val="00510F21"/>
    <w:rsid w:val="00511368"/>
    <w:rsid w:val="00511608"/>
    <w:rsid w:val="00514021"/>
    <w:rsid w:val="00514D03"/>
    <w:rsid w:val="00515E50"/>
    <w:rsid w:val="005166AA"/>
    <w:rsid w:val="0051675B"/>
    <w:rsid w:val="0051677D"/>
    <w:rsid w:val="0051761D"/>
    <w:rsid w:val="00517D75"/>
    <w:rsid w:val="00520EF7"/>
    <w:rsid w:val="0052235C"/>
    <w:rsid w:val="00522A89"/>
    <w:rsid w:val="00524AC2"/>
    <w:rsid w:val="00526B51"/>
    <w:rsid w:val="00526CF2"/>
    <w:rsid w:val="00527E88"/>
    <w:rsid w:val="00530298"/>
    <w:rsid w:val="005307B0"/>
    <w:rsid w:val="00532052"/>
    <w:rsid w:val="00532641"/>
    <w:rsid w:val="005345E0"/>
    <w:rsid w:val="00534DEB"/>
    <w:rsid w:val="00535D8C"/>
    <w:rsid w:val="00537D58"/>
    <w:rsid w:val="00541194"/>
    <w:rsid w:val="005415DE"/>
    <w:rsid w:val="00541CE9"/>
    <w:rsid w:val="0054268F"/>
    <w:rsid w:val="00550066"/>
    <w:rsid w:val="00550F1C"/>
    <w:rsid w:val="005513B8"/>
    <w:rsid w:val="005521C0"/>
    <w:rsid w:val="00552DA9"/>
    <w:rsid w:val="0055558C"/>
    <w:rsid w:val="0055614A"/>
    <w:rsid w:val="00556871"/>
    <w:rsid w:val="005569ED"/>
    <w:rsid w:val="00556DEC"/>
    <w:rsid w:val="0055753A"/>
    <w:rsid w:val="0055795B"/>
    <w:rsid w:val="0056012D"/>
    <w:rsid w:val="00562484"/>
    <w:rsid w:val="00562665"/>
    <w:rsid w:val="00563177"/>
    <w:rsid w:val="0056340F"/>
    <w:rsid w:val="005647FE"/>
    <w:rsid w:val="005658F5"/>
    <w:rsid w:val="00565E2A"/>
    <w:rsid w:val="00567327"/>
    <w:rsid w:val="00567A6F"/>
    <w:rsid w:val="00570037"/>
    <w:rsid w:val="00572500"/>
    <w:rsid w:val="00573277"/>
    <w:rsid w:val="005741B6"/>
    <w:rsid w:val="0057449F"/>
    <w:rsid w:val="00576554"/>
    <w:rsid w:val="0057684B"/>
    <w:rsid w:val="00576F60"/>
    <w:rsid w:val="00577272"/>
    <w:rsid w:val="00577700"/>
    <w:rsid w:val="0058079F"/>
    <w:rsid w:val="0058102D"/>
    <w:rsid w:val="00581C73"/>
    <w:rsid w:val="00582024"/>
    <w:rsid w:val="00582C9C"/>
    <w:rsid w:val="00584B9A"/>
    <w:rsid w:val="005850DB"/>
    <w:rsid w:val="00585415"/>
    <w:rsid w:val="00585913"/>
    <w:rsid w:val="005872F4"/>
    <w:rsid w:val="005920CC"/>
    <w:rsid w:val="00596143"/>
    <w:rsid w:val="00596735"/>
    <w:rsid w:val="00596BBF"/>
    <w:rsid w:val="00597785"/>
    <w:rsid w:val="005977C6"/>
    <w:rsid w:val="005A15CD"/>
    <w:rsid w:val="005A172C"/>
    <w:rsid w:val="005A241B"/>
    <w:rsid w:val="005A2747"/>
    <w:rsid w:val="005B075B"/>
    <w:rsid w:val="005B2C1F"/>
    <w:rsid w:val="005B30C3"/>
    <w:rsid w:val="005B335B"/>
    <w:rsid w:val="005B3397"/>
    <w:rsid w:val="005B384B"/>
    <w:rsid w:val="005B50A5"/>
    <w:rsid w:val="005B685D"/>
    <w:rsid w:val="005B6CE9"/>
    <w:rsid w:val="005B73A0"/>
    <w:rsid w:val="005B7BC5"/>
    <w:rsid w:val="005B7FDD"/>
    <w:rsid w:val="005C09D9"/>
    <w:rsid w:val="005C27C3"/>
    <w:rsid w:val="005C2D65"/>
    <w:rsid w:val="005C47A8"/>
    <w:rsid w:val="005C4FAB"/>
    <w:rsid w:val="005C58E8"/>
    <w:rsid w:val="005C5F47"/>
    <w:rsid w:val="005C6B56"/>
    <w:rsid w:val="005C7374"/>
    <w:rsid w:val="005D03B5"/>
    <w:rsid w:val="005D1539"/>
    <w:rsid w:val="005D16E7"/>
    <w:rsid w:val="005D2DB0"/>
    <w:rsid w:val="005D3A52"/>
    <w:rsid w:val="005D48FB"/>
    <w:rsid w:val="005D5010"/>
    <w:rsid w:val="005D597C"/>
    <w:rsid w:val="005D63FB"/>
    <w:rsid w:val="005D6406"/>
    <w:rsid w:val="005D7348"/>
    <w:rsid w:val="005D75F6"/>
    <w:rsid w:val="005E0510"/>
    <w:rsid w:val="005E052C"/>
    <w:rsid w:val="005E0C5E"/>
    <w:rsid w:val="005E2472"/>
    <w:rsid w:val="005E2612"/>
    <w:rsid w:val="005E309B"/>
    <w:rsid w:val="005E3838"/>
    <w:rsid w:val="005E412A"/>
    <w:rsid w:val="005E4B4B"/>
    <w:rsid w:val="005E51C7"/>
    <w:rsid w:val="005E5FAE"/>
    <w:rsid w:val="005F1359"/>
    <w:rsid w:val="005F15C4"/>
    <w:rsid w:val="005F3400"/>
    <w:rsid w:val="005F3FEE"/>
    <w:rsid w:val="005F5237"/>
    <w:rsid w:val="005F566E"/>
    <w:rsid w:val="005F5768"/>
    <w:rsid w:val="005F75D0"/>
    <w:rsid w:val="006002AC"/>
    <w:rsid w:val="0060083D"/>
    <w:rsid w:val="006017CE"/>
    <w:rsid w:val="0060246E"/>
    <w:rsid w:val="00602A6C"/>
    <w:rsid w:val="00604DA1"/>
    <w:rsid w:val="00604FB4"/>
    <w:rsid w:val="00607D28"/>
    <w:rsid w:val="00611199"/>
    <w:rsid w:val="006114C0"/>
    <w:rsid w:val="006115AE"/>
    <w:rsid w:val="0061193C"/>
    <w:rsid w:val="00612897"/>
    <w:rsid w:val="00613210"/>
    <w:rsid w:val="006141A6"/>
    <w:rsid w:val="00614313"/>
    <w:rsid w:val="00615147"/>
    <w:rsid w:val="00615415"/>
    <w:rsid w:val="006164E5"/>
    <w:rsid w:val="00620067"/>
    <w:rsid w:val="00620678"/>
    <w:rsid w:val="0062105B"/>
    <w:rsid w:val="00621E42"/>
    <w:rsid w:val="00622601"/>
    <w:rsid w:val="00622657"/>
    <w:rsid w:val="0062382C"/>
    <w:rsid w:val="006258C4"/>
    <w:rsid w:val="00626547"/>
    <w:rsid w:val="0062742B"/>
    <w:rsid w:val="006300BF"/>
    <w:rsid w:val="0063127C"/>
    <w:rsid w:val="00632525"/>
    <w:rsid w:val="00633209"/>
    <w:rsid w:val="006332C5"/>
    <w:rsid w:val="006336B5"/>
    <w:rsid w:val="00635B5E"/>
    <w:rsid w:val="006368D1"/>
    <w:rsid w:val="006370E7"/>
    <w:rsid w:val="006378F6"/>
    <w:rsid w:val="0064008B"/>
    <w:rsid w:val="00640E58"/>
    <w:rsid w:val="00640E84"/>
    <w:rsid w:val="00641884"/>
    <w:rsid w:val="00641ABC"/>
    <w:rsid w:val="00641F39"/>
    <w:rsid w:val="00642494"/>
    <w:rsid w:val="00644988"/>
    <w:rsid w:val="006455EF"/>
    <w:rsid w:val="006461EB"/>
    <w:rsid w:val="006466B8"/>
    <w:rsid w:val="006467F8"/>
    <w:rsid w:val="006475B5"/>
    <w:rsid w:val="006536F6"/>
    <w:rsid w:val="00653ADB"/>
    <w:rsid w:val="00653CDF"/>
    <w:rsid w:val="00656FCC"/>
    <w:rsid w:val="0066157D"/>
    <w:rsid w:val="00664D37"/>
    <w:rsid w:val="006664A2"/>
    <w:rsid w:val="00666E01"/>
    <w:rsid w:val="00666EB3"/>
    <w:rsid w:val="006676FB"/>
    <w:rsid w:val="00667C81"/>
    <w:rsid w:val="006732AB"/>
    <w:rsid w:val="0067478B"/>
    <w:rsid w:val="00674873"/>
    <w:rsid w:val="00676F60"/>
    <w:rsid w:val="00677F3A"/>
    <w:rsid w:val="0068093E"/>
    <w:rsid w:val="006813D1"/>
    <w:rsid w:val="00682069"/>
    <w:rsid w:val="00682A65"/>
    <w:rsid w:val="00682AE1"/>
    <w:rsid w:val="00684FA6"/>
    <w:rsid w:val="00685BFA"/>
    <w:rsid w:val="00685EB6"/>
    <w:rsid w:val="006865E5"/>
    <w:rsid w:val="00686DB4"/>
    <w:rsid w:val="0068782F"/>
    <w:rsid w:val="00687C33"/>
    <w:rsid w:val="00690B1D"/>
    <w:rsid w:val="00691FA1"/>
    <w:rsid w:val="006934C4"/>
    <w:rsid w:val="00694024"/>
    <w:rsid w:val="0069429D"/>
    <w:rsid w:val="00694302"/>
    <w:rsid w:val="00694828"/>
    <w:rsid w:val="00694BA5"/>
    <w:rsid w:val="00695027"/>
    <w:rsid w:val="0069647E"/>
    <w:rsid w:val="00696D63"/>
    <w:rsid w:val="00696E3A"/>
    <w:rsid w:val="006A0BEE"/>
    <w:rsid w:val="006A15A2"/>
    <w:rsid w:val="006A1DFE"/>
    <w:rsid w:val="006A22BF"/>
    <w:rsid w:val="006A2ADC"/>
    <w:rsid w:val="006A5505"/>
    <w:rsid w:val="006A5601"/>
    <w:rsid w:val="006A5E1A"/>
    <w:rsid w:val="006A743D"/>
    <w:rsid w:val="006B071B"/>
    <w:rsid w:val="006B091C"/>
    <w:rsid w:val="006B1FC3"/>
    <w:rsid w:val="006B294D"/>
    <w:rsid w:val="006B3CB6"/>
    <w:rsid w:val="006B5048"/>
    <w:rsid w:val="006C0D94"/>
    <w:rsid w:val="006C1133"/>
    <w:rsid w:val="006C294F"/>
    <w:rsid w:val="006C2DC1"/>
    <w:rsid w:val="006C388E"/>
    <w:rsid w:val="006C4217"/>
    <w:rsid w:val="006C4E47"/>
    <w:rsid w:val="006C707E"/>
    <w:rsid w:val="006C7CA1"/>
    <w:rsid w:val="006D129B"/>
    <w:rsid w:val="006D1BE7"/>
    <w:rsid w:val="006D3D2C"/>
    <w:rsid w:val="006D44CD"/>
    <w:rsid w:val="006D5985"/>
    <w:rsid w:val="006D670F"/>
    <w:rsid w:val="006E0410"/>
    <w:rsid w:val="006E143A"/>
    <w:rsid w:val="006E1A52"/>
    <w:rsid w:val="006E1CF5"/>
    <w:rsid w:val="006E21D7"/>
    <w:rsid w:val="006E2A48"/>
    <w:rsid w:val="006E2B83"/>
    <w:rsid w:val="006E2C5D"/>
    <w:rsid w:val="006E348A"/>
    <w:rsid w:val="006E53FB"/>
    <w:rsid w:val="006E6041"/>
    <w:rsid w:val="006E7362"/>
    <w:rsid w:val="006E7363"/>
    <w:rsid w:val="006F0235"/>
    <w:rsid w:val="006F2662"/>
    <w:rsid w:val="006F3945"/>
    <w:rsid w:val="006F4389"/>
    <w:rsid w:val="006F4A3A"/>
    <w:rsid w:val="006F4AD4"/>
    <w:rsid w:val="006F4C99"/>
    <w:rsid w:val="006F6F03"/>
    <w:rsid w:val="00703C0A"/>
    <w:rsid w:val="00703C44"/>
    <w:rsid w:val="00705AFF"/>
    <w:rsid w:val="0070648B"/>
    <w:rsid w:val="007076A1"/>
    <w:rsid w:val="0071028E"/>
    <w:rsid w:val="00711272"/>
    <w:rsid w:val="00711D05"/>
    <w:rsid w:val="007129FC"/>
    <w:rsid w:val="00712AE8"/>
    <w:rsid w:val="00712B71"/>
    <w:rsid w:val="007141A6"/>
    <w:rsid w:val="0071524B"/>
    <w:rsid w:val="00716475"/>
    <w:rsid w:val="007165F4"/>
    <w:rsid w:val="0072024A"/>
    <w:rsid w:val="00720984"/>
    <w:rsid w:val="0072108C"/>
    <w:rsid w:val="00722175"/>
    <w:rsid w:val="0073204F"/>
    <w:rsid w:val="0073333D"/>
    <w:rsid w:val="00733EB0"/>
    <w:rsid w:val="0073509F"/>
    <w:rsid w:val="007352DD"/>
    <w:rsid w:val="007355E2"/>
    <w:rsid w:val="007358C5"/>
    <w:rsid w:val="00735970"/>
    <w:rsid w:val="00736A42"/>
    <w:rsid w:val="007378F7"/>
    <w:rsid w:val="00741B6D"/>
    <w:rsid w:val="0074273C"/>
    <w:rsid w:val="00744BB2"/>
    <w:rsid w:val="007462AB"/>
    <w:rsid w:val="00751D14"/>
    <w:rsid w:val="00752258"/>
    <w:rsid w:val="00752B24"/>
    <w:rsid w:val="007541AC"/>
    <w:rsid w:val="00754452"/>
    <w:rsid w:val="00754A6A"/>
    <w:rsid w:val="00755C12"/>
    <w:rsid w:val="00756954"/>
    <w:rsid w:val="007611BA"/>
    <w:rsid w:val="00761678"/>
    <w:rsid w:val="0076301F"/>
    <w:rsid w:val="00764D27"/>
    <w:rsid w:val="00764F56"/>
    <w:rsid w:val="0076517F"/>
    <w:rsid w:val="00765344"/>
    <w:rsid w:val="00765CB3"/>
    <w:rsid w:val="00766BB9"/>
    <w:rsid w:val="00767085"/>
    <w:rsid w:val="00767411"/>
    <w:rsid w:val="007676AF"/>
    <w:rsid w:val="00770A6A"/>
    <w:rsid w:val="00770A7D"/>
    <w:rsid w:val="00770C6F"/>
    <w:rsid w:val="00771094"/>
    <w:rsid w:val="00771576"/>
    <w:rsid w:val="007732D4"/>
    <w:rsid w:val="00773AED"/>
    <w:rsid w:val="0077568F"/>
    <w:rsid w:val="00776ADC"/>
    <w:rsid w:val="0077731E"/>
    <w:rsid w:val="00777619"/>
    <w:rsid w:val="00780CCC"/>
    <w:rsid w:val="00781BC9"/>
    <w:rsid w:val="007832E8"/>
    <w:rsid w:val="00783672"/>
    <w:rsid w:val="007861F3"/>
    <w:rsid w:val="00787E8E"/>
    <w:rsid w:val="00790212"/>
    <w:rsid w:val="007935E7"/>
    <w:rsid w:val="007942CA"/>
    <w:rsid w:val="00794A6D"/>
    <w:rsid w:val="007969DB"/>
    <w:rsid w:val="00797007"/>
    <w:rsid w:val="00797393"/>
    <w:rsid w:val="007A0176"/>
    <w:rsid w:val="007A2F0B"/>
    <w:rsid w:val="007A34CF"/>
    <w:rsid w:val="007A3740"/>
    <w:rsid w:val="007A419C"/>
    <w:rsid w:val="007A4621"/>
    <w:rsid w:val="007A46E1"/>
    <w:rsid w:val="007A46E8"/>
    <w:rsid w:val="007A5491"/>
    <w:rsid w:val="007A54F7"/>
    <w:rsid w:val="007A576C"/>
    <w:rsid w:val="007B0739"/>
    <w:rsid w:val="007B09FF"/>
    <w:rsid w:val="007B0B20"/>
    <w:rsid w:val="007B0FEF"/>
    <w:rsid w:val="007B1921"/>
    <w:rsid w:val="007B2BF5"/>
    <w:rsid w:val="007B2EB7"/>
    <w:rsid w:val="007B333E"/>
    <w:rsid w:val="007B3A23"/>
    <w:rsid w:val="007B3AA7"/>
    <w:rsid w:val="007B64AA"/>
    <w:rsid w:val="007B7728"/>
    <w:rsid w:val="007B7814"/>
    <w:rsid w:val="007C0A83"/>
    <w:rsid w:val="007C125F"/>
    <w:rsid w:val="007C1327"/>
    <w:rsid w:val="007C1DFC"/>
    <w:rsid w:val="007C24E9"/>
    <w:rsid w:val="007D09EB"/>
    <w:rsid w:val="007D09F1"/>
    <w:rsid w:val="007D145D"/>
    <w:rsid w:val="007D23D8"/>
    <w:rsid w:val="007D6D17"/>
    <w:rsid w:val="007D78C9"/>
    <w:rsid w:val="007E0DBB"/>
    <w:rsid w:val="007E157E"/>
    <w:rsid w:val="007E1C61"/>
    <w:rsid w:val="007E5D97"/>
    <w:rsid w:val="007E68D2"/>
    <w:rsid w:val="007E7C1A"/>
    <w:rsid w:val="007F11C0"/>
    <w:rsid w:val="007F125F"/>
    <w:rsid w:val="007F2200"/>
    <w:rsid w:val="007F2639"/>
    <w:rsid w:val="007F2A1D"/>
    <w:rsid w:val="007F2F18"/>
    <w:rsid w:val="007F3230"/>
    <w:rsid w:val="007F51E4"/>
    <w:rsid w:val="007F58FF"/>
    <w:rsid w:val="007F5C5E"/>
    <w:rsid w:val="007F67C6"/>
    <w:rsid w:val="007F7514"/>
    <w:rsid w:val="0080089A"/>
    <w:rsid w:val="00800AF8"/>
    <w:rsid w:val="0080187A"/>
    <w:rsid w:val="00802559"/>
    <w:rsid w:val="00803D39"/>
    <w:rsid w:val="0080588B"/>
    <w:rsid w:val="00805B93"/>
    <w:rsid w:val="00806095"/>
    <w:rsid w:val="008122E4"/>
    <w:rsid w:val="008131DF"/>
    <w:rsid w:val="008139E1"/>
    <w:rsid w:val="00813A95"/>
    <w:rsid w:val="00814942"/>
    <w:rsid w:val="008159D8"/>
    <w:rsid w:val="008166BE"/>
    <w:rsid w:val="008206C9"/>
    <w:rsid w:val="00820A18"/>
    <w:rsid w:val="00820C33"/>
    <w:rsid w:val="0082117D"/>
    <w:rsid w:val="00821C1B"/>
    <w:rsid w:val="0082202F"/>
    <w:rsid w:val="00822235"/>
    <w:rsid w:val="00823BC0"/>
    <w:rsid w:val="00823DFC"/>
    <w:rsid w:val="008256F3"/>
    <w:rsid w:val="008269F2"/>
    <w:rsid w:val="008272CE"/>
    <w:rsid w:val="00827623"/>
    <w:rsid w:val="00827F12"/>
    <w:rsid w:val="008305CD"/>
    <w:rsid w:val="008315CE"/>
    <w:rsid w:val="00832256"/>
    <w:rsid w:val="00833032"/>
    <w:rsid w:val="0083305C"/>
    <w:rsid w:val="008343E2"/>
    <w:rsid w:val="008347D1"/>
    <w:rsid w:val="00834A58"/>
    <w:rsid w:val="00834EC6"/>
    <w:rsid w:val="00836106"/>
    <w:rsid w:val="00836C3D"/>
    <w:rsid w:val="00837D6C"/>
    <w:rsid w:val="00837E37"/>
    <w:rsid w:val="0084059B"/>
    <w:rsid w:val="0084140D"/>
    <w:rsid w:val="00841D3C"/>
    <w:rsid w:val="008429D4"/>
    <w:rsid w:val="00844CE5"/>
    <w:rsid w:val="008473AB"/>
    <w:rsid w:val="00851501"/>
    <w:rsid w:val="00851ADE"/>
    <w:rsid w:val="00852A2C"/>
    <w:rsid w:val="00852DB4"/>
    <w:rsid w:val="00853955"/>
    <w:rsid w:val="00854D82"/>
    <w:rsid w:val="008552D4"/>
    <w:rsid w:val="008556FD"/>
    <w:rsid w:val="00856530"/>
    <w:rsid w:val="00856ADB"/>
    <w:rsid w:val="00856BB2"/>
    <w:rsid w:val="00856BD0"/>
    <w:rsid w:val="00857A7A"/>
    <w:rsid w:val="00860E68"/>
    <w:rsid w:val="008626E5"/>
    <w:rsid w:val="008629C2"/>
    <w:rsid w:val="00862C6B"/>
    <w:rsid w:val="0086414F"/>
    <w:rsid w:val="0086722F"/>
    <w:rsid w:val="008701E9"/>
    <w:rsid w:val="008712A3"/>
    <w:rsid w:val="008715A8"/>
    <w:rsid w:val="00872C8C"/>
    <w:rsid w:val="00872ECF"/>
    <w:rsid w:val="0087767B"/>
    <w:rsid w:val="008805B4"/>
    <w:rsid w:val="008807EC"/>
    <w:rsid w:val="00881768"/>
    <w:rsid w:val="0088217B"/>
    <w:rsid w:val="00883718"/>
    <w:rsid w:val="00884B2E"/>
    <w:rsid w:val="00884F66"/>
    <w:rsid w:val="00885ACC"/>
    <w:rsid w:val="0088766A"/>
    <w:rsid w:val="008903A5"/>
    <w:rsid w:val="008907D4"/>
    <w:rsid w:val="0089085F"/>
    <w:rsid w:val="00891A56"/>
    <w:rsid w:val="008931DE"/>
    <w:rsid w:val="00893425"/>
    <w:rsid w:val="0089399D"/>
    <w:rsid w:val="00894939"/>
    <w:rsid w:val="0089620E"/>
    <w:rsid w:val="00896F6A"/>
    <w:rsid w:val="008A2D9F"/>
    <w:rsid w:val="008A33BD"/>
    <w:rsid w:val="008A4466"/>
    <w:rsid w:val="008A623A"/>
    <w:rsid w:val="008A704E"/>
    <w:rsid w:val="008B09E6"/>
    <w:rsid w:val="008B1A16"/>
    <w:rsid w:val="008B2AC5"/>
    <w:rsid w:val="008B2B67"/>
    <w:rsid w:val="008B2D36"/>
    <w:rsid w:val="008B3B55"/>
    <w:rsid w:val="008B65ED"/>
    <w:rsid w:val="008B6958"/>
    <w:rsid w:val="008B75FD"/>
    <w:rsid w:val="008B77F8"/>
    <w:rsid w:val="008C01B4"/>
    <w:rsid w:val="008C20AD"/>
    <w:rsid w:val="008C268A"/>
    <w:rsid w:val="008C31EB"/>
    <w:rsid w:val="008C471D"/>
    <w:rsid w:val="008C70D7"/>
    <w:rsid w:val="008D0A47"/>
    <w:rsid w:val="008D14E7"/>
    <w:rsid w:val="008D1898"/>
    <w:rsid w:val="008D3A0D"/>
    <w:rsid w:val="008D4DEF"/>
    <w:rsid w:val="008D798A"/>
    <w:rsid w:val="008D7C27"/>
    <w:rsid w:val="008D7FFD"/>
    <w:rsid w:val="008E044A"/>
    <w:rsid w:val="008E1188"/>
    <w:rsid w:val="008E13F7"/>
    <w:rsid w:val="008E2BC5"/>
    <w:rsid w:val="008E58A6"/>
    <w:rsid w:val="008E6A06"/>
    <w:rsid w:val="008E73B0"/>
    <w:rsid w:val="008F0ADF"/>
    <w:rsid w:val="008F15F8"/>
    <w:rsid w:val="008F1E0B"/>
    <w:rsid w:val="008F2C4B"/>
    <w:rsid w:val="008F36DE"/>
    <w:rsid w:val="008F3A5A"/>
    <w:rsid w:val="008F7260"/>
    <w:rsid w:val="009020E8"/>
    <w:rsid w:val="00906B6D"/>
    <w:rsid w:val="009109D2"/>
    <w:rsid w:val="00910AF7"/>
    <w:rsid w:val="00911614"/>
    <w:rsid w:val="00911744"/>
    <w:rsid w:val="009127C0"/>
    <w:rsid w:val="00913275"/>
    <w:rsid w:val="009142C3"/>
    <w:rsid w:val="009151D0"/>
    <w:rsid w:val="00916B09"/>
    <w:rsid w:val="009174CE"/>
    <w:rsid w:val="00917B71"/>
    <w:rsid w:val="00917CFD"/>
    <w:rsid w:val="00917D96"/>
    <w:rsid w:val="009200B5"/>
    <w:rsid w:val="00920D31"/>
    <w:rsid w:val="00921EFF"/>
    <w:rsid w:val="0092278C"/>
    <w:rsid w:val="00923185"/>
    <w:rsid w:val="00924557"/>
    <w:rsid w:val="009257B5"/>
    <w:rsid w:val="009260B7"/>
    <w:rsid w:val="009271CE"/>
    <w:rsid w:val="009300C6"/>
    <w:rsid w:val="00930780"/>
    <w:rsid w:val="00931EE4"/>
    <w:rsid w:val="0093377F"/>
    <w:rsid w:val="00935A01"/>
    <w:rsid w:val="009372CE"/>
    <w:rsid w:val="00937691"/>
    <w:rsid w:val="00937D55"/>
    <w:rsid w:val="009400FA"/>
    <w:rsid w:val="0094016D"/>
    <w:rsid w:val="00940640"/>
    <w:rsid w:val="00940D1B"/>
    <w:rsid w:val="0094149D"/>
    <w:rsid w:val="0094248D"/>
    <w:rsid w:val="00942886"/>
    <w:rsid w:val="00942AE7"/>
    <w:rsid w:val="00942C9F"/>
    <w:rsid w:val="009430DC"/>
    <w:rsid w:val="0094443D"/>
    <w:rsid w:val="00944AEA"/>
    <w:rsid w:val="00944EDF"/>
    <w:rsid w:val="00945125"/>
    <w:rsid w:val="00947BF3"/>
    <w:rsid w:val="009511B6"/>
    <w:rsid w:val="00951E68"/>
    <w:rsid w:val="00952AF7"/>
    <w:rsid w:val="00952DD5"/>
    <w:rsid w:val="00953213"/>
    <w:rsid w:val="009533A2"/>
    <w:rsid w:val="00954318"/>
    <w:rsid w:val="00955C0A"/>
    <w:rsid w:val="0095623E"/>
    <w:rsid w:val="0096023E"/>
    <w:rsid w:val="00960705"/>
    <w:rsid w:val="00960743"/>
    <w:rsid w:val="00961E12"/>
    <w:rsid w:val="00962867"/>
    <w:rsid w:val="0096355F"/>
    <w:rsid w:val="0096356D"/>
    <w:rsid w:val="009644AF"/>
    <w:rsid w:val="00964FA3"/>
    <w:rsid w:val="0096572F"/>
    <w:rsid w:val="0096731E"/>
    <w:rsid w:val="0096763B"/>
    <w:rsid w:val="00967761"/>
    <w:rsid w:val="00967FE6"/>
    <w:rsid w:val="009700EF"/>
    <w:rsid w:val="009701F1"/>
    <w:rsid w:val="00970A24"/>
    <w:rsid w:val="00972135"/>
    <w:rsid w:val="009725EC"/>
    <w:rsid w:val="00973F0C"/>
    <w:rsid w:val="009751A9"/>
    <w:rsid w:val="0097643E"/>
    <w:rsid w:val="00977825"/>
    <w:rsid w:val="009815C5"/>
    <w:rsid w:val="0098341A"/>
    <w:rsid w:val="00983D81"/>
    <w:rsid w:val="00987546"/>
    <w:rsid w:val="00987DFA"/>
    <w:rsid w:val="00990A95"/>
    <w:rsid w:val="009924B7"/>
    <w:rsid w:val="009931E8"/>
    <w:rsid w:val="009932D7"/>
    <w:rsid w:val="00993875"/>
    <w:rsid w:val="009944F0"/>
    <w:rsid w:val="009945C2"/>
    <w:rsid w:val="00995485"/>
    <w:rsid w:val="00996DB8"/>
    <w:rsid w:val="0099709C"/>
    <w:rsid w:val="0099717C"/>
    <w:rsid w:val="00997DAA"/>
    <w:rsid w:val="00997F58"/>
    <w:rsid w:val="009A04B4"/>
    <w:rsid w:val="009A0E2A"/>
    <w:rsid w:val="009A3D57"/>
    <w:rsid w:val="009A4C70"/>
    <w:rsid w:val="009A527C"/>
    <w:rsid w:val="009A5756"/>
    <w:rsid w:val="009A62BB"/>
    <w:rsid w:val="009A63F8"/>
    <w:rsid w:val="009A6C4D"/>
    <w:rsid w:val="009B056E"/>
    <w:rsid w:val="009B0F50"/>
    <w:rsid w:val="009B1B2B"/>
    <w:rsid w:val="009B1BAD"/>
    <w:rsid w:val="009B41E6"/>
    <w:rsid w:val="009B47A6"/>
    <w:rsid w:val="009B5154"/>
    <w:rsid w:val="009B5D72"/>
    <w:rsid w:val="009B6161"/>
    <w:rsid w:val="009B73C2"/>
    <w:rsid w:val="009C039C"/>
    <w:rsid w:val="009C1CB4"/>
    <w:rsid w:val="009C4B9E"/>
    <w:rsid w:val="009C55DC"/>
    <w:rsid w:val="009C5B72"/>
    <w:rsid w:val="009C5DAF"/>
    <w:rsid w:val="009C6016"/>
    <w:rsid w:val="009D0206"/>
    <w:rsid w:val="009D1CBA"/>
    <w:rsid w:val="009D33C3"/>
    <w:rsid w:val="009D4D83"/>
    <w:rsid w:val="009D6179"/>
    <w:rsid w:val="009D6A60"/>
    <w:rsid w:val="009D6E96"/>
    <w:rsid w:val="009E3113"/>
    <w:rsid w:val="009E55FE"/>
    <w:rsid w:val="009E5C01"/>
    <w:rsid w:val="009E64DC"/>
    <w:rsid w:val="009F0458"/>
    <w:rsid w:val="009F1386"/>
    <w:rsid w:val="009F262F"/>
    <w:rsid w:val="009F5404"/>
    <w:rsid w:val="009F5989"/>
    <w:rsid w:val="009F6957"/>
    <w:rsid w:val="009F6CF9"/>
    <w:rsid w:val="009F7CC4"/>
    <w:rsid w:val="00A005CA"/>
    <w:rsid w:val="00A01EC1"/>
    <w:rsid w:val="00A02103"/>
    <w:rsid w:val="00A02B4E"/>
    <w:rsid w:val="00A0353E"/>
    <w:rsid w:val="00A05C59"/>
    <w:rsid w:val="00A07DD4"/>
    <w:rsid w:val="00A120A5"/>
    <w:rsid w:val="00A13892"/>
    <w:rsid w:val="00A142A9"/>
    <w:rsid w:val="00A1692E"/>
    <w:rsid w:val="00A16BA5"/>
    <w:rsid w:val="00A2046C"/>
    <w:rsid w:val="00A23FAD"/>
    <w:rsid w:val="00A24D27"/>
    <w:rsid w:val="00A255D7"/>
    <w:rsid w:val="00A25FA3"/>
    <w:rsid w:val="00A275B5"/>
    <w:rsid w:val="00A31B91"/>
    <w:rsid w:val="00A334B0"/>
    <w:rsid w:val="00A33B78"/>
    <w:rsid w:val="00A3480E"/>
    <w:rsid w:val="00A34DCD"/>
    <w:rsid w:val="00A36403"/>
    <w:rsid w:val="00A370A4"/>
    <w:rsid w:val="00A37ADB"/>
    <w:rsid w:val="00A40D68"/>
    <w:rsid w:val="00A40DCF"/>
    <w:rsid w:val="00A40E2F"/>
    <w:rsid w:val="00A40F2B"/>
    <w:rsid w:val="00A41469"/>
    <w:rsid w:val="00A43AC5"/>
    <w:rsid w:val="00A43DE0"/>
    <w:rsid w:val="00A444C1"/>
    <w:rsid w:val="00A44E75"/>
    <w:rsid w:val="00A44E92"/>
    <w:rsid w:val="00A469F0"/>
    <w:rsid w:val="00A506FF"/>
    <w:rsid w:val="00A50CBE"/>
    <w:rsid w:val="00A50ECA"/>
    <w:rsid w:val="00A518EE"/>
    <w:rsid w:val="00A5382E"/>
    <w:rsid w:val="00A545E3"/>
    <w:rsid w:val="00A56D30"/>
    <w:rsid w:val="00A574F6"/>
    <w:rsid w:val="00A57661"/>
    <w:rsid w:val="00A634CC"/>
    <w:rsid w:val="00A64CF7"/>
    <w:rsid w:val="00A653F2"/>
    <w:rsid w:val="00A65405"/>
    <w:rsid w:val="00A67B17"/>
    <w:rsid w:val="00A70995"/>
    <w:rsid w:val="00A71200"/>
    <w:rsid w:val="00A715C0"/>
    <w:rsid w:val="00A715E5"/>
    <w:rsid w:val="00A723CC"/>
    <w:rsid w:val="00A725D0"/>
    <w:rsid w:val="00A72AA6"/>
    <w:rsid w:val="00A74FFC"/>
    <w:rsid w:val="00A762FD"/>
    <w:rsid w:val="00A77A44"/>
    <w:rsid w:val="00A80DDC"/>
    <w:rsid w:val="00A818DC"/>
    <w:rsid w:val="00A833F7"/>
    <w:rsid w:val="00A83474"/>
    <w:rsid w:val="00A83A55"/>
    <w:rsid w:val="00A85F00"/>
    <w:rsid w:val="00A904FF"/>
    <w:rsid w:val="00A90B0C"/>
    <w:rsid w:val="00A90F81"/>
    <w:rsid w:val="00A91192"/>
    <w:rsid w:val="00A92C92"/>
    <w:rsid w:val="00A947E8"/>
    <w:rsid w:val="00A96810"/>
    <w:rsid w:val="00A968DE"/>
    <w:rsid w:val="00A971E4"/>
    <w:rsid w:val="00AA0A75"/>
    <w:rsid w:val="00AA0CC4"/>
    <w:rsid w:val="00AA1C8D"/>
    <w:rsid w:val="00AA251B"/>
    <w:rsid w:val="00AA25A7"/>
    <w:rsid w:val="00AA398D"/>
    <w:rsid w:val="00AA454E"/>
    <w:rsid w:val="00AA5938"/>
    <w:rsid w:val="00AA69BA"/>
    <w:rsid w:val="00AA7C88"/>
    <w:rsid w:val="00AA7C89"/>
    <w:rsid w:val="00AB0B1E"/>
    <w:rsid w:val="00AB1853"/>
    <w:rsid w:val="00AB1CC1"/>
    <w:rsid w:val="00AB21FA"/>
    <w:rsid w:val="00AB2FD8"/>
    <w:rsid w:val="00AB3C87"/>
    <w:rsid w:val="00AB3F2C"/>
    <w:rsid w:val="00AB3FAA"/>
    <w:rsid w:val="00AB481C"/>
    <w:rsid w:val="00AB65B0"/>
    <w:rsid w:val="00AB6CC7"/>
    <w:rsid w:val="00AB7386"/>
    <w:rsid w:val="00AB754D"/>
    <w:rsid w:val="00AB7B3E"/>
    <w:rsid w:val="00AC0C06"/>
    <w:rsid w:val="00AC0C3D"/>
    <w:rsid w:val="00AC1A6B"/>
    <w:rsid w:val="00AC3E86"/>
    <w:rsid w:val="00AC4D36"/>
    <w:rsid w:val="00AC4DDC"/>
    <w:rsid w:val="00AD24E0"/>
    <w:rsid w:val="00AD29C4"/>
    <w:rsid w:val="00AD37DA"/>
    <w:rsid w:val="00AD4642"/>
    <w:rsid w:val="00AD5CEC"/>
    <w:rsid w:val="00AD64BD"/>
    <w:rsid w:val="00AD7E2F"/>
    <w:rsid w:val="00AE0426"/>
    <w:rsid w:val="00AE0F3E"/>
    <w:rsid w:val="00AE1015"/>
    <w:rsid w:val="00AE19BD"/>
    <w:rsid w:val="00AE3F99"/>
    <w:rsid w:val="00AE5581"/>
    <w:rsid w:val="00AE5F0C"/>
    <w:rsid w:val="00AF2A02"/>
    <w:rsid w:val="00AF2E08"/>
    <w:rsid w:val="00AF3792"/>
    <w:rsid w:val="00AF3AE1"/>
    <w:rsid w:val="00AF5AF4"/>
    <w:rsid w:val="00AF5C5D"/>
    <w:rsid w:val="00AF63C8"/>
    <w:rsid w:val="00AF6B10"/>
    <w:rsid w:val="00AF7348"/>
    <w:rsid w:val="00AF778F"/>
    <w:rsid w:val="00B002AC"/>
    <w:rsid w:val="00B0346E"/>
    <w:rsid w:val="00B04E39"/>
    <w:rsid w:val="00B05161"/>
    <w:rsid w:val="00B05628"/>
    <w:rsid w:val="00B05D6D"/>
    <w:rsid w:val="00B05E2F"/>
    <w:rsid w:val="00B073C7"/>
    <w:rsid w:val="00B10150"/>
    <w:rsid w:val="00B10DC1"/>
    <w:rsid w:val="00B119AB"/>
    <w:rsid w:val="00B11EA7"/>
    <w:rsid w:val="00B1351A"/>
    <w:rsid w:val="00B1459B"/>
    <w:rsid w:val="00B1487C"/>
    <w:rsid w:val="00B163F5"/>
    <w:rsid w:val="00B164E3"/>
    <w:rsid w:val="00B247FC"/>
    <w:rsid w:val="00B2727D"/>
    <w:rsid w:val="00B323AE"/>
    <w:rsid w:val="00B33F56"/>
    <w:rsid w:val="00B341C4"/>
    <w:rsid w:val="00B3479F"/>
    <w:rsid w:val="00B34A5F"/>
    <w:rsid w:val="00B34E9D"/>
    <w:rsid w:val="00B36852"/>
    <w:rsid w:val="00B37A36"/>
    <w:rsid w:val="00B400D7"/>
    <w:rsid w:val="00B40F4E"/>
    <w:rsid w:val="00B41392"/>
    <w:rsid w:val="00B415D7"/>
    <w:rsid w:val="00B432E5"/>
    <w:rsid w:val="00B43316"/>
    <w:rsid w:val="00B4360F"/>
    <w:rsid w:val="00B45C94"/>
    <w:rsid w:val="00B46F6C"/>
    <w:rsid w:val="00B47FD2"/>
    <w:rsid w:val="00B507F4"/>
    <w:rsid w:val="00B51A11"/>
    <w:rsid w:val="00B5255B"/>
    <w:rsid w:val="00B56A70"/>
    <w:rsid w:val="00B56D24"/>
    <w:rsid w:val="00B577E1"/>
    <w:rsid w:val="00B601A7"/>
    <w:rsid w:val="00B61750"/>
    <w:rsid w:val="00B61D1E"/>
    <w:rsid w:val="00B62EB5"/>
    <w:rsid w:val="00B634D9"/>
    <w:rsid w:val="00B63FE6"/>
    <w:rsid w:val="00B64985"/>
    <w:rsid w:val="00B65001"/>
    <w:rsid w:val="00B6550E"/>
    <w:rsid w:val="00B65607"/>
    <w:rsid w:val="00B669C3"/>
    <w:rsid w:val="00B66D2C"/>
    <w:rsid w:val="00B67523"/>
    <w:rsid w:val="00B72B51"/>
    <w:rsid w:val="00B72EF0"/>
    <w:rsid w:val="00B743A1"/>
    <w:rsid w:val="00B75195"/>
    <w:rsid w:val="00B75399"/>
    <w:rsid w:val="00B768BD"/>
    <w:rsid w:val="00B8058B"/>
    <w:rsid w:val="00B820DF"/>
    <w:rsid w:val="00B8247A"/>
    <w:rsid w:val="00B830AD"/>
    <w:rsid w:val="00B83376"/>
    <w:rsid w:val="00B834CD"/>
    <w:rsid w:val="00B84928"/>
    <w:rsid w:val="00B86207"/>
    <w:rsid w:val="00B87B1B"/>
    <w:rsid w:val="00B9012B"/>
    <w:rsid w:val="00B90F7E"/>
    <w:rsid w:val="00B941D7"/>
    <w:rsid w:val="00B96519"/>
    <w:rsid w:val="00BA0A8C"/>
    <w:rsid w:val="00BA1A8B"/>
    <w:rsid w:val="00BA32AE"/>
    <w:rsid w:val="00BA739E"/>
    <w:rsid w:val="00BA7619"/>
    <w:rsid w:val="00BB09DA"/>
    <w:rsid w:val="00BB1A69"/>
    <w:rsid w:val="00BB35CC"/>
    <w:rsid w:val="00BB3A99"/>
    <w:rsid w:val="00BB3F63"/>
    <w:rsid w:val="00BB4155"/>
    <w:rsid w:val="00BB571F"/>
    <w:rsid w:val="00BB573A"/>
    <w:rsid w:val="00BB5890"/>
    <w:rsid w:val="00BB618B"/>
    <w:rsid w:val="00BB6734"/>
    <w:rsid w:val="00BB6942"/>
    <w:rsid w:val="00BB6CC1"/>
    <w:rsid w:val="00BB6CC5"/>
    <w:rsid w:val="00BB6D80"/>
    <w:rsid w:val="00BC27EC"/>
    <w:rsid w:val="00BC2DDA"/>
    <w:rsid w:val="00BC43DA"/>
    <w:rsid w:val="00BC4AED"/>
    <w:rsid w:val="00BC5E53"/>
    <w:rsid w:val="00BC7231"/>
    <w:rsid w:val="00BD09E2"/>
    <w:rsid w:val="00BD209C"/>
    <w:rsid w:val="00BD3DE4"/>
    <w:rsid w:val="00BD3FC8"/>
    <w:rsid w:val="00BD4D65"/>
    <w:rsid w:val="00BD5462"/>
    <w:rsid w:val="00BD5D6E"/>
    <w:rsid w:val="00BE0AA5"/>
    <w:rsid w:val="00BE1364"/>
    <w:rsid w:val="00BE43F7"/>
    <w:rsid w:val="00BE45B5"/>
    <w:rsid w:val="00BE503A"/>
    <w:rsid w:val="00BE7755"/>
    <w:rsid w:val="00BF12CC"/>
    <w:rsid w:val="00BF30AF"/>
    <w:rsid w:val="00BF5BAE"/>
    <w:rsid w:val="00BF5DBD"/>
    <w:rsid w:val="00BF6426"/>
    <w:rsid w:val="00BF64D1"/>
    <w:rsid w:val="00BF6ECC"/>
    <w:rsid w:val="00C01C9B"/>
    <w:rsid w:val="00C02D0B"/>
    <w:rsid w:val="00C041FD"/>
    <w:rsid w:val="00C04333"/>
    <w:rsid w:val="00C04E73"/>
    <w:rsid w:val="00C06BF4"/>
    <w:rsid w:val="00C1156A"/>
    <w:rsid w:val="00C11622"/>
    <w:rsid w:val="00C12355"/>
    <w:rsid w:val="00C1427F"/>
    <w:rsid w:val="00C1577F"/>
    <w:rsid w:val="00C16471"/>
    <w:rsid w:val="00C16478"/>
    <w:rsid w:val="00C1757F"/>
    <w:rsid w:val="00C17A73"/>
    <w:rsid w:val="00C20CA5"/>
    <w:rsid w:val="00C23604"/>
    <w:rsid w:val="00C247BB"/>
    <w:rsid w:val="00C256DA"/>
    <w:rsid w:val="00C25B83"/>
    <w:rsid w:val="00C26199"/>
    <w:rsid w:val="00C26C13"/>
    <w:rsid w:val="00C272C7"/>
    <w:rsid w:val="00C2789A"/>
    <w:rsid w:val="00C279FF"/>
    <w:rsid w:val="00C27CED"/>
    <w:rsid w:val="00C30CF2"/>
    <w:rsid w:val="00C31632"/>
    <w:rsid w:val="00C31AC2"/>
    <w:rsid w:val="00C354EE"/>
    <w:rsid w:val="00C35A24"/>
    <w:rsid w:val="00C35E67"/>
    <w:rsid w:val="00C36D6F"/>
    <w:rsid w:val="00C40B61"/>
    <w:rsid w:val="00C41556"/>
    <w:rsid w:val="00C430E5"/>
    <w:rsid w:val="00C433ED"/>
    <w:rsid w:val="00C44B33"/>
    <w:rsid w:val="00C45E76"/>
    <w:rsid w:val="00C46351"/>
    <w:rsid w:val="00C464D4"/>
    <w:rsid w:val="00C478BD"/>
    <w:rsid w:val="00C5008A"/>
    <w:rsid w:val="00C5182E"/>
    <w:rsid w:val="00C53A15"/>
    <w:rsid w:val="00C5437D"/>
    <w:rsid w:val="00C550C9"/>
    <w:rsid w:val="00C55275"/>
    <w:rsid w:val="00C55A33"/>
    <w:rsid w:val="00C5666A"/>
    <w:rsid w:val="00C56EEF"/>
    <w:rsid w:val="00C575F3"/>
    <w:rsid w:val="00C6552D"/>
    <w:rsid w:val="00C655DB"/>
    <w:rsid w:val="00C65DCA"/>
    <w:rsid w:val="00C6682F"/>
    <w:rsid w:val="00C670BF"/>
    <w:rsid w:val="00C67F36"/>
    <w:rsid w:val="00C702BC"/>
    <w:rsid w:val="00C716A5"/>
    <w:rsid w:val="00C725CE"/>
    <w:rsid w:val="00C737A3"/>
    <w:rsid w:val="00C744CB"/>
    <w:rsid w:val="00C749F9"/>
    <w:rsid w:val="00C8263D"/>
    <w:rsid w:val="00C82F23"/>
    <w:rsid w:val="00C838A9"/>
    <w:rsid w:val="00C84857"/>
    <w:rsid w:val="00C8789C"/>
    <w:rsid w:val="00C9134F"/>
    <w:rsid w:val="00C932D8"/>
    <w:rsid w:val="00C940D1"/>
    <w:rsid w:val="00C94739"/>
    <w:rsid w:val="00C967B9"/>
    <w:rsid w:val="00CA1CCA"/>
    <w:rsid w:val="00CA4101"/>
    <w:rsid w:val="00CA46AA"/>
    <w:rsid w:val="00CA5B81"/>
    <w:rsid w:val="00CA5E1D"/>
    <w:rsid w:val="00CA672A"/>
    <w:rsid w:val="00CA6F50"/>
    <w:rsid w:val="00CA787F"/>
    <w:rsid w:val="00CA7B26"/>
    <w:rsid w:val="00CA7FBA"/>
    <w:rsid w:val="00CB0144"/>
    <w:rsid w:val="00CB04FC"/>
    <w:rsid w:val="00CB0DCE"/>
    <w:rsid w:val="00CB1705"/>
    <w:rsid w:val="00CB2BE8"/>
    <w:rsid w:val="00CB3457"/>
    <w:rsid w:val="00CB423D"/>
    <w:rsid w:val="00CB4341"/>
    <w:rsid w:val="00CB4836"/>
    <w:rsid w:val="00CB492D"/>
    <w:rsid w:val="00CB4E14"/>
    <w:rsid w:val="00CB5680"/>
    <w:rsid w:val="00CB6357"/>
    <w:rsid w:val="00CB762B"/>
    <w:rsid w:val="00CB7825"/>
    <w:rsid w:val="00CC2762"/>
    <w:rsid w:val="00CC33C6"/>
    <w:rsid w:val="00CC4819"/>
    <w:rsid w:val="00CC5BC0"/>
    <w:rsid w:val="00CC5C30"/>
    <w:rsid w:val="00CC6BB5"/>
    <w:rsid w:val="00CC71B5"/>
    <w:rsid w:val="00CC7E07"/>
    <w:rsid w:val="00CD1A40"/>
    <w:rsid w:val="00CD214C"/>
    <w:rsid w:val="00CD351E"/>
    <w:rsid w:val="00CD3FD7"/>
    <w:rsid w:val="00CD7665"/>
    <w:rsid w:val="00CD77D0"/>
    <w:rsid w:val="00CE058C"/>
    <w:rsid w:val="00CE1C3B"/>
    <w:rsid w:val="00CE2384"/>
    <w:rsid w:val="00CE322E"/>
    <w:rsid w:val="00CE336D"/>
    <w:rsid w:val="00CE46D4"/>
    <w:rsid w:val="00CE4AB3"/>
    <w:rsid w:val="00CE55B9"/>
    <w:rsid w:val="00CE7147"/>
    <w:rsid w:val="00CE7FEB"/>
    <w:rsid w:val="00CF05DB"/>
    <w:rsid w:val="00CF2030"/>
    <w:rsid w:val="00CF2B7F"/>
    <w:rsid w:val="00CF5726"/>
    <w:rsid w:val="00CF5E42"/>
    <w:rsid w:val="00CF61CE"/>
    <w:rsid w:val="00CF7131"/>
    <w:rsid w:val="00CF7EEE"/>
    <w:rsid w:val="00CF7F77"/>
    <w:rsid w:val="00D00EA0"/>
    <w:rsid w:val="00D0164D"/>
    <w:rsid w:val="00D01C97"/>
    <w:rsid w:val="00D0235E"/>
    <w:rsid w:val="00D03968"/>
    <w:rsid w:val="00D040D9"/>
    <w:rsid w:val="00D0451A"/>
    <w:rsid w:val="00D063C5"/>
    <w:rsid w:val="00D06DA3"/>
    <w:rsid w:val="00D11061"/>
    <w:rsid w:val="00D12D42"/>
    <w:rsid w:val="00D14B49"/>
    <w:rsid w:val="00D15D4A"/>
    <w:rsid w:val="00D15E07"/>
    <w:rsid w:val="00D16147"/>
    <w:rsid w:val="00D166A8"/>
    <w:rsid w:val="00D17600"/>
    <w:rsid w:val="00D17E62"/>
    <w:rsid w:val="00D20809"/>
    <w:rsid w:val="00D222FC"/>
    <w:rsid w:val="00D25234"/>
    <w:rsid w:val="00D25969"/>
    <w:rsid w:val="00D25AC0"/>
    <w:rsid w:val="00D261D4"/>
    <w:rsid w:val="00D26712"/>
    <w:rsid w:val="00D26784"/>
    <w:rsid w:val="00D2740B"/>
    <w:rsid w:val="00D3009D"/>
    <w:rsid w:val="00D30721"/>
    <w:rsid w:val="00D30814"/>
    <w:rsid w:val="00D31683"/>
    <w:rsid w:val="00D31A74"/>
    <w:rsid w:val="00D34821"/>
    <w:rsid w:val="00D35847"/>
    <w:rsid w:val="00D35887"/>
    <w:rsid w:val="00D35F5F"/>
    <w:rsid w:val="00D37C53"/>
    <w:rsid w:val="00D40670"/>
    <w:rsid w:val="00D407E2"/>
    <w:rsid w:val="00D4467F"/>
    <w:rsid w:val="00D44F11"/>
    <w:rsid w:val="00D46981"/>
    <w:rsid w:val="00D46C3E"/>
    <w:rsid w:val="00D477B8"/>
    <w:rsid w:val="00D50AB3"/>
    <w:rsid w:val="00D52452"/>
    <w:rsid w:val="00D55596"/>
    <w:rsid w:val="00D56D61"/>
    <w:rsid w:val="00D60FE4"/>
    <w:rsid w:val="00D62D8E"/>
    <w:rsid w:val="00D63D3F"/>
    <w:rsid w:val="00D64165"/>
    <w:rsid w:val="00D64695"/>
    <w:rsid w:val="00D64CD0"/>
    <w:rsid w:val="00D660CB"/>
    <w:rsid w:val="00D67B8C"/>
    <w:rsid w:val="00D70092"/>
    <w:rsid w:val="00D70915"/>
    <w:rsid w:val="00D71548"/>
    <w:rsid w:val="00D71B74"/>
    <w:rsid w:val="00D742F0"/>
    <w:rsid w:val="00D745CA"/>
    <w:rsid w:val="00D75A3B"/>
    <w:rsid w:val="00D80A86"/>
    <w:rsid w:val="00D82ED4"/>
    <w:rsid w:val="00D85A46"/>
    <w:rsid w:val="00D9046F"/>
    <w:rsid w:val="00D92CDB"/>
    <w:rsid w:val="00D96423"/>
    <w:rsid w:val="00D96F3A"/>
    <w:rsid w:val="00DA0896"/>
    <w:rsid w:val="00DA0A53"/>
    <w:rsid w:val="00DA14F1"/>
    <w:rsid w:val="00DA1C8B"/>
    <w:rsid w:val="00DA2296"/>
    <w:rsid w:val="00DA5881"/>
    <w:rsid w:val="00DA5D2B"/>
    <w:rsid w:val="00DA67D8"/>
    <w:rsid w:val="00DA6C45"/>
    <w:rsid w:val="00DA707B"/>
    <w:rsid w:val="00DA7128"/>
    <w:rsid w:val="00DB1116"/>
    <w:rsid w:val="00DB22C8"/>
    <w:rsid w:val="00DB32F1"/>
    <w:rsid w:val="00DB3D04"/>
    <w:rsid w:val="00DB40EA"/>
    <w:rsid w:val="00DB6EA9"/>
    <w:rsid w:val="00DB711C"/>
    <w:rsid w:val="00DB7D4F"/>
    <w:rsid w:val="00DB7F20"/>
    <w:rsid w:val="00DC2A72"/>
    <w:rsid w:val="00DC5918"/>
    <w:rsid w:val="00DC6FFB"/>
    <w:rsid w:val="00DC73B5"/>
    <w:rsid w:val="00DC795E"/>
    <w:rsid w:val="00DD1263"/>
    <w:rsid w:val="00DD3617"/>
    <w:rsid w:val="00DD4E0F"/>
    <w:rsid w:val="00DD6571"/>
    <w:rsid w:val="00DD6A27"/>
    <w:rsid w:val="00DD6E8C"/>
    <w:rsid w:val="00DD74A4"/>
    <w:rsid w:val="00DD74A6"/>
    <w:rsid w:val="00DD74D4"/>
    <w:rsid w:val="00DE17B3"/>
    <w:rsid w:val="00DE2555"/>
    <w:rsid w:val="00DE2A7F"/>
    <w:rsid w:val="00DE37CC"/>
    <w:rsid w:val="00DE3828"/>
    <w:rsid w:val="00DE4C6C"/>
    <w:rsid w:val="00DE4F69"/>
    <w:rsid w:val="00DE50FF"/>
    <w:rsid w:val="00DE5FEA"/>
    <w:rsid w:val="00DE741C"/>
    <w:rsid w:val="00DE752C"/>
    <w:rsid w:val="00DE7E2C"/>
    <w:rsid w:val="00DF157C"/>
    <w:rsid w:val="00DF1974"/>
    <w:rsid w:val="00DF30F9"/>
    <w:rsid w:val="00DF44E6"/>
    <w:rsid w:val="00DF4B7E"/>
    <w:rsid w:val="00DF4CFE"/>
    <w:rsid w:val="00DF6DEF"/>
    <w:rsid w:val="00DF6F78"/>
    <w:rsid w:val="00DF78E7"/>
    <w:rsid w:val="00E004F7"/>
    <w:rsid w:val="00E006A8"/>
    <w:rsid w:val="00E01576"/>
    <w:rsid w:val="00E018B8"/>
    <w:rsid w:val="00E053F6"/>
    <w:rsid w:val="00E06E43"/>
    <w:rsid w:val="00E0715F"/>
    <w:rsid w:val="00E0773F"/>
    <w:rsid w:val="00E10047"/>
    <w:rsid w:val="00E11809"/>
    <w:rsid w:val="00E16516"/>
    <w:rsid w:val="00E16831"/>
    <w:rsid w:val="00E21804"/>
    <w:rsid w:val="00E22609"/>
    <w:rsid w:val="00E24367"/>
    <w:rsid w:val="00E2436B"/>
    <w:rsid w:val="00E24E6B"/>
    <w:rsid w:val="00E25DAB"/>
    <w:rsid w:val="00E3094B"/>
    <w:rsid w:val="00E31731"/>
    <w:rsid w:val="00E329D7"/>
    <w:rsid w:val="00E32B53"/>
    <w:rsid w:val="00E3600C"/>
    <w:rsid w:val="00E36BCA"/>
    <w:rsid w:val="00E36EAF"/>
    <w:rsid w:val="00E37D7C"/>
    <w:rsid w:val="00E40910"/>
    <w:rsid w:val="00E414DE"/>
    <w:rsid w:val="00E41CA0"/>
    <w:rsid w:val="00E41E23"/>
    <w:rsid w:val="00E43EF6"/>
    <w:rsid w:val="00E44ED5"/>
    <w:rsid w:val="00E46599"/>
    <w:rsid w:val="00E509EE"/>
    <w:rsid w:val="00E51ACE"/>
    <w:rsid w:val="00E5399C"/>
    <w:rsid w:val="00E53A64"/>
    <w:rsid w:val="00E53C4B"/>
    <w:rsid w:val="00E54306"/>
    <w:rsid w:val="00E54639"/>
    <w:rsid w:val="00E54653"/>
    <w:rsid w:val="00E548F0"/>
    <w:rsid w:val="00E563A0"/>
    <w:rsid w:val="00E56623"/>
    <w:rsid w:val="00E56F92"/>
    <w:rsid w:val="00E60D4A"/>
    <w:rsid w:val="00E615F3"/>
    <w:rsid w:val="00E61C04"/>
    <w:rsid w:val="00E625CA"/>
    <w:rsid w:val="00E64D2A"/>
    <w:rsid w:val="00E64D2F"/>
    <w:rsid w:val="00E65107"/>
    <w:rsid w:val="00E67730"/>
    <w:rsid w:val="00E70075"/>
    <w:rsid w:val="00E70FE9"/>
    <w:rsid w:val="00E713CE"/>
    <w:rsid w:val="00E73E23"/>
    <w:rsid w:val="00E77241"/>
    <w:rsid w:val="00E80041"/>
    <w:rsid w:val="00E8094B"/>
    <w:rsid w:val="00E83B08"/>
    <w:rsid w:val="00E844F5"/>
    <w:rsid w:val="00E851FA"/>
    <w:rsid w:val="00E86838"/>
    <w:rsid w:val="00E90FE2"/>
    <w:rsid w:val="00E91B49"/>
    <w:rsid w:val="00E93F84"/>
    <w:rsid w:val="00E9501E"/>
    <w:rsid w:val="00EA0BE0"/>
    <w:rsid w:val="00EA14D3"/>
    <w:rsid w:val="00EA218B"/>
    <w:rsid w:val="00EA2F7E"/>
    <w:rsid w:val="00EA374B"/>
    <w:rsid w:val="00EA4D43"/>
    <w:rsid w:val="00EA548A"/>
    <w:rsid w:val="00EA5C68"/>
    <w:rsid w:val="00EA5C6D"/>
    <w:rsid w:val="00EA642A"/>
    <w:rsid w:val="00EA6DEA"/>
    <w:rsid w:val="00EA7D95"/>
    <w:rsid w:val="00EB36EF"/>
    <w:rsid w:val="00EB4156"/>
    <w:rsid w:val="00EB73D9"/>
    <w:rsid w:val="00EB78DE"/>
    <w:rsid w:val="00EC1D8A"/>
    <w:rsid w:val="00EC24FB"/>
    <w:rsid w:val="00EC30E1"/>
    <w:rsid w:val="00EC3221"/>
    <w:rsid w:val="00EC3633"/>
    <w:rsid w:val="00EC4C35"/>
    <w:rsid w:val="00EC6C88"/>
    <w:rsid w:val="00EC73F7"/>
    <w:rsid w:val="00EC7E87"/>
    <w:rsid w:val="00ED026F"/>
    <w:rsid w:val="00ED1553"/>
    <w:rsid w:val="00ED2197"/>
    <w:rsid w:val="00ED2FEB"/>
    <w:rsid w:val="00ED38E2"/>
    <w:rsid w:val="00ED5109"/>
    <w:rsid w:val="00ED5C6F"/>
    <w:rsid w:val="00ED6C25"/>
    <w:rsid w:val="00ED6E0B"/>
    <w:rsid w:val="00ED784C"/>
    <w:rsid w:val="00EE325B"/>
    <w:rsid w:val="00EE68E7"/>
    <w:rsid w:val="00EE6AE8"/>
    <w:rsid w:val="00EF0517"/>
    <w:rsid w:val="00EF1492"/>
    <w:rsid w:val="00EF1DBB"/>
    <w:rsid w:val="00EF1F30"/>
    <w:rsid w:val="00EF26D6"/>
    <w:rsid w:val="00EF34EB"/>
    <w:rsid w:val="00EF367D"/>
    <w:rsid w:val="00EF4A59"/>
    <w:rsid w:val="00EF5D56"/>
    <w:rsid w:val="00EF5EF2"/>
    <w:rsid w:val="00EF67CD"/>
    <w:rsid w:val="00EF70E8"/>
    <w:rsid w:val="00F0069C"/>
    <w:rsid w:val="00F01056"/>
    <w:rsid w:val="00F014A4"/>
    <w:rsid w:val="00F042FC"/>
    <w:rsid w:val="00F050C1"/>
    <w:rsid w:val="00F062E1"/>
    <w:rsid w:val="00F06F63"/>
    <w:rsid w:val="00F070F1"/>
    <w:rsid w:val="00F10A31"/>
    <w:rsid w:val="00F11592"/>
    <w:rsid w:val="00F116C3"/>
    <w:rsid w:val="00F119A5"/>
    <w:rsid w:val="00F12029"/>
    <w:rsid w:val="00F121C1"/>
    <w:rsid w:val="00F13DFD"/>
    <w:rsid w:val="00F1411B"/>
    <w:rsid w:val="00F1422D"/>
    <w:rsid w:val="00F144AA"/>
    <w:rsid w:val="00F15108"/>
    <w:rsid w:val="00F15DD7"/>
    <w:rsid w:val="00F20C2B"/>
    <w:rsid w:val="00F220C7"/>
    <w:rsid w:val="00F238F2"/>
    <w:rsid w:val="00F24D06"/>
    <w:rsid w:val="00F25FCE"/>
    <w:rsid w:val="00F2666B"/>
    <w:rsid w:val="00F268A9"/>
    <w:rsid w:val="00F26983"/>
    <w:rsid w:val="00F305D9"/>
    <w:rsid w:val="00F3376D"/>
    <w:rsid w:val="00F344C4"/>
    <w:rsid w:val="00F34975"/>
    <w:rsid w:val="00F3526F"/>
    <w:rsid w:val="00F37523"/>
    <w:rsid w:val="00F37592"/>
    <w:rsid w:val="00F40311"/>
    <w:rsid w:val="00F407AB"/>
    <w:rsid w:val="00F409FD"/>
    <w:rsid w:val="00F40BFF"/>
    <w:rsid w:val="00F4192D"/>
    <w:rsid w:val="00F4230D"/>
    <w:rsid w:val="00F42310"/>
    <w:rsid w:val="00F429D0"/>
    <w:rsid w:val="00F430B2"/>
    <w:rsid w:val="00F44CE2"/>
    <w:rsid w:val="00F46A99"/>
    <w:rsid w:val="00F4779E"/>
    <w:rsid w:val="00F47A11"/>
    <w:rsid w:val="00F514F7"/>
    <w:rsid w:val="00F51E34"/>
    <w:rsid w:val="00F54146"/>
    <w:rsid w:val="00F56006"/>
    <w:rsid w:val="00F57A50"/>
    <w:rsid w:val="00F6046D"/>
    <w:rsid w:val="00F604CD"/>
    <w:rsid w:val="00F60509"/>
    <w:rsid w:val="00F6090B"/>
    <w:rsid w:val="00F61171"/>
    <w:rsid w:val="00F615DE"/>
    <w:rsid w:val="00F62609"/>
    <w:rsid w:val="00F63B17"/>
    <w:rsid w:val="00F63E49"/>
    <w:rsid w:val="00F6443A"/>
    <w:rsid w:val="00F66399"/>
    <w:rsid w:val="00F664DF"/>
    <w:rsid w:val="00F66850"/>
    <w:rsid w:val="00F66B0F"/>
    <w:rsid w:val="00F70FE6"/>
    <w:rsid w:val="00F7173E"/>
    <w:rsid w:val="00F71785"/>
    <w:rsid w:val="00F7199F"/>
    <w:rsid w:val="00F762C7"/>
    <w:rsid w:val="00F766B8"/>
    <w:rsid w:val="00F76C2E"/>
    <w:rsid w:val="00F80AF2"/>
    <w:rsid w:val="00F80B11"/>
    <w:rsid w:val="00F81054"/>
    <w:rsid w:val="00F81946"/>
    <w:rsid w:val="00F81B71"/>
    <w:rsid w:val="00F825CC"/>
    <w:rsid w:val="00F83469"/>
    <w:rsid w:val="00F835B5"/>
    <w:rsid w:val="00F8450E"/>
    <w:rsid w:val="00F84997"/>
    <w:rsid w:val="00F85867"/>
    <w:rsid w:val="00F863E9"/>
    <w:rsid w:val="00F8749D"/>
    <w:rsid w:val="00F87AF0"/>
    <w:rsid w:val="00F87F27"/>
    <w:rsid w:val="00F90644"/>
    <w:rsid w:val="00F91042"/>
    <w:rsid w:val="00F916C5"/>
    <w:rsid w:val="00F91E95"/>
    <w:rsid w:val="00F92A92"/>
    <w:rsid w:val="00F9346D"/>
    <w:rsid w:val="00F949F6"/>
    <w:rsid w:val="00F96109"/>
    <w:rsid w:val="00FA157A"/>
    <w:rsid w:val="00FA1E4F"/>
    <w:rsid w:val="00FA4806"/>
    <w:rsid w:val="00FA518E"/>
    <w:rsid w:val="00FA5AA7"/>
    <w:rsid w:val="00FA5C01"/>
    <w:rsid w:val="00FA5D9E"/>
    <w:rsid w:val="00FA6318"/>
    <w:rsid w:val="00FA66FA"/>
    <w:rsid w:val="00FA6E61"/>
    <w:rsid w:val="00FA78C4"/>
    <w:rsid w:val="00FA7E49"/>
    <w:rsid w:val="00FB0EE1"/>
    <w:rsid w:val="00FB0EFF"/>
    <w:rsid w:val="00FB1260"/>
    <w:rsid w:val="00FB160B"/>
    <w:rsid w:val="00FB24C0"/>
    <w:rsid w:val="00FB3454"/>
    <w:rsid w:val="00FB4454"/>
    <w:rsid w:val="00FB59DC"/>
    <w:rsid w:val="00FB5FCD"/>
    <w:rsid w:val="00FB6231"/>
    <w:rsid w:val="00FB75EE"/>
    <w:rsid w:val="00FB7CF7"/>
    <w:rsid w:val="00FB7F65"/>
    <w:rsid w:val="00FC0F3F"/>
    <w:rsid w:val="00FC14F8"/>
    <w:rsid w:val="00FC1FEA"/>
    <w:rsid w:val="00FC3A3F"/>
    <w:rsid w:val="00FC3E6D"/>
    <w:rsid w:val="00FC4AD3"/>
    <w:rsid w:val="00FC6117"/>
    <w:rsid w:val="00FC6805"/>
    <w:rsid w:val="00FC7A92"/>
    <w:rsid w:val="00FD04AD"/>
    <w:rsid w:val="00FD078C"/>
    <w:rsid w:val="00FD142C"/>
    <w:rsid w:val="00FD258C"/>
    <w:rsid w:val="00FD27DA"/>
    <w:rsid w:val="00FD4091"/>
    <w:rsid w:val="00FD4B0D"/>
    <w:rsid w:val="00FD5188"/>
    <w:rsid w:val="00FD63D7"/>
    <w:rsid w:val="00FD6FD0"/>
    <w:rsid w:val="00FD73B9"/>
    <w:rsid w:val="00FE10AF"/>
    <w:rsid w:val="00FE15A8"/>
    <w:rsid w:val="00FE15E6"/>
    <w:rsid w:val="00FE3FD8"/>
    <w:rsid w:val="00FE554D"/>
    <w:rsid w:val="00FE6A91"/>
    <w:rsid w:val="00FE76FF"/>
    <w:rsid w:val="00FE7B10"/>
    <w:rsid w:val="00FF059F"/>
    <w:rsid w:val="00FF1CC6"/>
    <w:rsid w:val="00FF24F0"/>
    <w:rsid w:val="00FF2B04"/>
    <w:rsid w:val="00FF2EAF"/>
    <w:rsid w:val="00FF3133"/>
    <w:rsid w:val="00FF6CB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F46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0EB"/>
    <w:rPr>
      <w:rFonts w:ascii="Times" w:eastAsia="Times" w:hAnsi="Times"/>
      <w:sz w:val="24"/>
      <w:lang w:val="es-ES_tradnl" w:eastAsia="en-US"/>
    </w:rPr>
  </w:style>
  <w:style w:type="paragraph" w:styleId="Ttulo1">
    <w:name w:val="heading 1"/>
    <w:basedOn w:val="Normal"/>
    <w:next w:val="Normal"/>
    <w:qFormat/>
    <w:rsid w:val="00D37C53"/>
    <w:pPr>
      <w:keepNext/>
      <w:jc w:val="center"/>
      <w:outlineLvl w:val="0"/>
    </w:pPr>
    <w:rPr>
      <w:rFonts w:ascii="Garamond" w:hAnsi="Garamond"/>
      <w:b/>
      <w:smallCaps/>
    </w:rPr>
  </w:style>
  <w:style w:type="paragraph" w:styleId="Ttulo6">
    <w:name w:val="heading 6"/>
    <w:basedOn w:val="Normal"/>
    <w:next w:val="Normal"/>
    <w:link w:val="Ttulo6Car"/>
    <w:semiHidden/>
    <w:unhideWhenUsed/>
    <w:qFormat/>
    <w:rsid w:val="006E143A"/>
    <w:pPr>
      <w:keepNext/>
      <w:keepLines/>
      <w:spacing w:before="200"/>
      <w:outlineLvl w:val="5"/>
    </w:pPr>
    <w:rPr>
      <w:rFonts w:ascii="Cambria" w:eastAsia="MS Gothic"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D37C53"/>
    <w:pPr>
      <w:jc w:val="both"/>
    </w:pPr>
    <w:rPr>
      <w:rFonts w:ascii="Verdana" w:hAnsi="Verdana"/>
      <w:sz w:val="20"/>
    </w:rPr>
  </w:style>
  <w:style w:type="paragraph" w:styleId="Sangra2detindependiente">
    <w:name w:val="Body Text Indent 2"/>
    <w:basedOn w:val="Normal"/>
    <w:rsid w:val="00D37C53"/>
    <w:pPr>
      <w:ind w:left="720"/>
      <w:jc w:val="both"/>
    </w:pPr>
    <w:rPr>
      <w:rFonts w:ascii="Garamond" w:hAnsi="Garamond"/>
      <w:sz w:val="20"/>
    </w:rPr>
  </w:style>
  <w:style w:type="paragraph" w:customStyle="1" w:styleId="Lneadereferencia">
    <w:name w:val="Línea de referencia"/>
    <w:basedOn w:val="Textoindependiente2"/>
    <w:rsid w:val="00D37C53"/>
    <w:rPr>
      <w:rFonts w:ascii="Garamond" w:eastAsia="Times New Roman" w:hAnsi="Garamond"/>
      <w:sz w:val="24"/>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Texto nota pie Car,FA Fu?notentext,Ca"/>
    <w:basedOn w:val="Normal"/>
    <w:link w:val="TextonotapieCar1"/>
    <w:qFormat/>
    <w:rsid w:val="00D37C53"/>
    <w:rPr>
      <w:sz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D37C53"/>
    <w:rPr>
      <w:rFonts w:ascii="Times" w:eastAsia="Times" w:hAnsi="Times"/>
      <w:lang w:val="es-ES_tradnl" w:eastAsia="en-US" w:bidi="ar-SA"/>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qFormat/>
    <w:rsid w:val="00D37C53"/>
    <w:rPr>
      <w:vertAlign w:val="superscript"/>
    </w:rPr>
  </w:style>
  <w:style w:type="character" w:styleId="Hipervnculo">
    <w:name w:val="Hyperlink"/>
    <w:uiPriority w:val="99"/>
    <w:rsid w:val="00D37C53"/>
    <w:rPr>
      <w:color w:val="0000FF"/>
      <w:u w:val="single"/>
    </w:rPr>
  </w:style>
  <w:style w:type="paragraph" w:styleId="Encabezado">
    <w:name w:val="header"/>
    <w:basedOn w:val="Normal"/>
    <w:link w:val="EncabezadoCar"/>
    <w:uiPriority w:val="99"/>
    <w:rsid w:val="00D37C53"/>
    <w:pPr>
      <w:tabs>
        <w:tab w:val="center" w:pos="4320"/>
        <w:tab w:val="right" w:pos="8640"/>
      </w:tabs>
    </w:pPr>
  </w:style>
  <w:style w:type="character" w:styleId="Nmerodepgina">
    <w:name w:val="page number"/>
    <w:basedOn w:val="Fuentedeprrafopredeter"/>
    <w:rsid w:val="00D37C53"/>
  </w:style>
  <w:style w:type="paragraph" w:customStyle="1" w:styleId="Textoindependiente1">
    <w:name w:val="Texto independiente1"/>
    <w:basedOn w:val="Normal"/>
    <w:rsid w:val="00D37C53"/>
    <w:pPr>
      <w:widowControl w:val="0"/>
      <w:jc w:val="both"/>
    </w:pPr>
    <w:rPr>
      <w:rFonts w:ascii="New York" w:eastAsia="Times New Roman" w:hAnsi="New York"/>
    </w:rPr>
  </w:style>
  <w:style w:type="paragraph" w:styleId="Textoindependiente">
    <w:name w:val="Body Text"/>
    <w:basedOn w:val="Normal"/>
    <w:rsid w:val="00D37C53"/>
    <w:pPr>
      <w:ind w:right="-720"/>
      <w:jc w:val="both"/>
    </w:pPr>
    <w:rPr>
      <w:rFonts w:ascii="Palatino" w:eastAsia="Times New Roman" w:hAnsi="Palatino"/>
      <w:b/>
    </w:rPr>
  </w:style>
  <w:style w:type="paragraph" w:styleId="Sangradetextonormal">
    <w:name w:val="Body Text Indent"/>
    <w:basedOn w:val="Normal"/>
    <w:rsid w:val="00D37C53"/>
    <w:pPr>
      <w:spacing w:after="120"/>
      <w:ind w:left="360"/>
    </w:pPr>
  </w:style>
  <w:style w:type="character" w:styleId="Hipervnculovisitado">
    <w:name w:val="FollowedHyperlink"/>
    <w:rsid w:val="00D37C53"/>
    <w:rPr>
      <w:color w:val="800080"/>
      <w:u w:val="single"/>
    </w:rPr>
  </w:style>
  <w:style w:type="paragraph" w:styleId="Textoindependiente3">
    <w:name w:val="Body Text 3"/>
    <w:basedOn w:val="Normal"/>
    <w:rsid w:val="00D37C53"/>
    <w:pPr>
      <w:spacing w:after="120"/>
    </w:pPr>
    <w:rPr>
      <w:sz w:val="16"/>
      <w:szCs w:val="16"/>
    </w:rPr>
  </w:style>
  <w:style w:type="paragraph" w:customStyle="1" w:styleId="Sangra2detindependiente1">
    <w:name w:val="Sangría 2 de t. independiente1"/>
    <w:basedOn w:val="Normal"/>
    <w:rsid w:val="00D37C53"/>
    <w:pPr>
      <w:ind w:left="1440"/>
      <w:jc w:val="both"/>
    </w:pPr>
    <w:rPr>
      <w:rFonts w:ascii="Garamond" w:eastAsia="Times New Roman" w:hAnsi="Garamond"/>
      <w:u w:val="single"/>
    </w:rPr>
  </w:style>
  <w:style w:type="paragraph" w:styleId="Prrafodelista">
    <w:name w:val="List Paragraph"/>
    <w:aliases w:val="Footnote,Párrafo de lista1"/>
    <w:basedOn w:val="Normal"/>
    <w:link w:val="PrrafodelistaCar"/>
    <w:uiPriority w:val="34"/>
    <w:qFormat/>
    <w:rsid w:val="00314CF7"/>
    <w:pPr>
      <w:ind w:left="720"/>
    </w:pPr>
  </w:style>
  <w:style w:type="character" w:styleId="Refdecomentario">
    <w:name w:val="annotation reference"/>
    <w:rsid w:val="003C7491"/>
    <w:rPr>
      <w:sz w:val="16"/>
      <w:szCs w:val="16"/>
    </w:rPr>
  </w:style>
  <w:style w:type="paragraph" w:styleId="Textocomentario">
    <w:name w:val="annotation text"/>
    <w:basedOn w:val="Normal"/>
    <w:link w:val="TextocomentarioCar"/>
    <w:rsid w:val="003C7491"/>
    <w:rPr>
      <w:sz w:val="20"/>
    </w:rPr>
  </w:style>
  <w:style w:type="character" w:customStyle="1" w:styleId="TextocomentarioCar">
    <w:name w:val="Texto comentario Car"/>
    <w:link w:val="Textocomentario"/>
    <w:rsid w:val="003C7491"/>
    <w:rPr>
      <w:rFonts w:ascii="Times" w:eastAsia="Times" w:hAnsi="Times"/>
      <w:lang w:val="es-ES_tradnl"/>
    </w:rPr>
  </w:style>
  <w:style w:type="paragraph" w:styleId="Asuntodelcomentario">
    <w:name w:val="annotation subject"/>
    <w:basedOn w:val="Textocomentario"/>
    <w:next w:val="Textocomentario"/>
    <w:link w:val="AsuntodelcomentarioCar"/>
    <w:rsid w:val="003C7491"/>
    <w:rPr>
      <w:b/>
      <w:bCs/>
    </w:rPr>
  </w:style>
  <w:style w:type="character" w:customStyle="1" w:styleId="AsuntodelcomentarioCar">
    <w:name w:val="Asunto del comentario Car"/>
    <w:link w:val="Asuntodelcomentario"/>
    <w:rsid w:val="003C7491"/>
    <w:rPr>
      <w:rFonts w:ascii="Times" w:eastAsia="Times" w:hAnsi="Times"/>
      <w:b/>
      <w:bCs/>
      <w:lang w:val="es-ES_tradnl"/>
    </w:rPr>
  </w:style>
  <w:style w:type="paragraph" w:styleId="Textodeglobo">
    <w:name w:val="Balloon Text"/>
    <w:basedOn w:val="Normal"/>
    <w:link w:val="TextodegloboCar"/>
    <w:rsid w:val="003C7491"/>
    <w:rPr>
      <w:rFonts w:ascii="Tahoma" w:hAnsi="Tahoma" w:cs="Tahoma"/>
      <w:sz w:val="16"/>
      <w:szCs w:val="16"/>
    </w:rPr>
  </w:style>
  <w:style w:type="character" w:customStyle="1" w:styleId="TextodegloboCar">
    <w:name w:val="Texto de globo Car"/>
    <w:link w:val="Textodeglobo"/>
    <w:rsid w:val="003C7491"/>
    <w:rPr>
      <w:rFonts w:ascii="Tahoma" w:eastAsia="Times" w:hAnsi="Tahoma" w:cs="Tahoma"/>
      <w:sz w:val="16"/>
      <w:szCs w:val="16"/>
      <w:lang w:val="es-ES_tradnl"/>
    </w:rPr>
  </w:style>
  <w:style w:type="character" w:customStyle="1" w:styleId="Textoindependiente2Car">
    <w:name w:val="Texto independiente 2 Car"/>
    <w:link w:val="Textoindependiente2"/>
    <w:rsid w:val="002101AC"/>
    <w:rPr>
      <w:rFonts w:ascii="Verdana" w:eastAsia="Times" w:hAnsi="Verdana"/>
      <w:lang w:val="es-ES_tradnl"/>
    </w:rPr>
  </w:style>
  <w:style w:type="character" w:customStyle="1" w:styleId="Ttulo6Car">
    <w:name w:val="Título 6 Car"/>
    <w:link w:val="Ttulo6"/>
    <w:semiHidden/>
    <w:rsid w:val="006E143A"/>
    <w:rPr>
      <w:rFonts w:ascii="Cambria" w:eastAsia="MS Gothic" w:hAnsi="Cambria" w:cs="Times New Roman"/>
      <w:i/>
      <w:iCs/>
      <w:color w:val="243F60"/>
      <w:sz w:val="24"/>
      <w:lang w:val="es-ES_tradnl"/>
    </w:rPr>
  </w:style>
  <w:style w:type="paragraph" w:styleId="Textonotaalfinal">
    <w:name w:val="endnote text"/>
    <w:basedOn w:val="Normal"/>
    <w:link w:val="TextonotaalfinalCar"/>
    <w:rsid w:val="00712AE8"/>
    <w:rPr>
      <w:sz w:val="20"/>
    </w:rPr>
  </w:style>
  <w:style w:type="character" w:customStyle="1" w:styleId="TextonotaalfinalCar">
    <w:name w:val="Texto nota al final Car"/>
    <w:link w:val="Textonotaalfinal"/>
    <w:rsid w:val="00712AE8"/>
    <w:rPr>
      <w:rFonts w:ascii="Times" w:eastAsia="Times" w:hAnsi="Times"/>
      <w:lang w:val="es-ES_tradnl"/>
    </w:rPr>
  </w:style>
  <w:style w:type="character" w:styleId="Refdenotaalfinal">
    <w:name w:val="endnote reference"/>
    <w:rsid w:val="00712AE8"/>
    <w:rPr>
      <w:vertAlign w:val="superscript"/>
    </w:rPr>
  </w:style>
  <w:style w:type="paragraph" w:styleId="Revisin">
    <w:name w:val="Revision"/>
    <w:hidden/>
    <w:uiPriority w:val="99"/>
    <w:semiHidden/>
    <w:rsid w:val="00C82F23"/>
    <w:rPr>
      <w:rFonts w:ascii="Times" w:eastAsia="Times" w:hAnsi="Times"/>
      <w:sz w:val="24"/>
      <w:lang w:val="es-ES_tradnl" w:eastAsia="en-US"/>
    </w:rPr>
  </w:style>
  <w:style w:type="paragraph" w:styleId="Piedepgina">
    <w:name w:val="footer"/>
    <w:basedOn w:val="Normal"/>
    <w:link w:val="PiedepginaCar"/>
    <w:uiPriority w:val="99"/>
    <w:rsid w:val="003F4B1D"/>
    <w:pPr>
      <w:tabs>
        <w:tab w:val="center" w:pos="4419"/>
        <w:tab w:val="right" w:pos="8838"/>
      </w:tabs>
    </w:pPr>
  </w:style>
  <w:style w:type="character" w:customStyle="1" w:styleId="PiedepginaCar">
    <w:name w:val="Pie de página Car"/>
    <w:link w:val="Piedepgina"/>
    <w:uiPriority w:val="99"/>
    <w:rsid w:val="003F4B1D"/>
    <w:rPr>
      <w:rFonts w:ascii="Times" w:eastAsia="Times" w:hAnsi="Times"/>
      <w:sz w:val="24"/>
      <w:lang w:val="es-ES_tradnl" w:eastAsia="en-US"/>
    </w:rPr>
  </w:style>
  <w:style w:type="character" w:customStyle="1" w:styleId="EncabezadoCar">
    <w:name w:val="Encabezado Car"/>
    <w:link w:val="Encabezado"/>
    <w:uiPriority w:val="99"/>
    <w:rsid w:val="003F4B1D"/>
    <w:rPr>
      <w:rFonts w:ascii="Times" w:eastAsia="Times" w:hAnsi="Times"/>
      <w:sz w:val="24"/>
      <w:lang w:val="es-ES_tradnl" w:eastAsia="en-US"/>
    </w:rPr>
  </w:style>
  <w:style w:type="character" w:styleId="Textoennegrita">
    <w:name w:val="Strong"/>
    <w:uiPriority w:val="22"/>
    <w:qFormat/>
    <w:rsid w:val="007F2200"/>
    <w:rPr>
      <w:b/>
      <w:bCs/>
    </w:rPr>
  </w:style>
  <w:style w:type="character" w:customStyle="1" w:styleId="PrrafodelistaCar">
    <w:name w:val="Párrafo de lista Car"/>
    <w:aliases w:val="Footnote Car,Párrafo de lista1 Car"/>
    <w:link w:val="Prrafodelista"/>
    <w:uiPriority w:val="34"/>
    <w:rsid w:val="00667C81"/>
    <w:rPr>
      <w:rFonts w:ascii="Times" w:eastAsia="Times" w:hAnsi="Times"/>
      <w:sz w:val="24"/>
      <w:lang w:val="es-ES_tradnl" w:eastAsia="en-US"/>
    </w:rPr>
  </w:style>
  <w:style w:type="character" w:styleId="Nmerodelnea">
    <w:name w:val="line number"/>
    <w:rsid w:val="004C0BAF"/>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478BD"/>
    <w:pPr>
      <w:jc w:val="both"/>
    </w:pPr>
    <w:rPr>
      <w:rFonts w:ascii="Times New Roman" w:eastAsia="MS Mincho" w:hAnsi="Times New Roman"/>
      <w:sz w:val="20"/>
      <w:vertAlign w:val="superscript"/>
      <w:lang w:val="es-CR" w:eastAsia="es-CR"/>
    </w:rPr>
  </w:style>
  <w:style w:type="paragraph" w:styleId="TDC1">
    <w:name w:val="toc 1"/>
    <w:basedOn w:val="Normal"/>
    <w:next w:val="Normal"/>
    <w:autoRedefine/>
    <w:uiPriority w:val="39"/>
    <w:rsid w:val="00C1577F"/>
    <w:pPr>
      <w:tabs>
        <w:tab w:val="left" w:pos="440"/>
        <w:tab w:val="right" w:leader="dot" w:pos="9345"/>
      </w:tabs>
      <w:spacing w:before="80" w:after="80"/>
      <w:jc w:val="both"/>
    </w:pPr>
  </w:style>
  <w:style w:type="paragraph" w:styleId="TDC2">
    <w:name w:val="toc 2"/>
    <w:basedOn w:val="Normal"/>
    <w:next w:val="Normal"/>
    <w:autoRedefine/>
    <w:uiPriority w:val="39"/>
    <w:rsid w:val="001E63B2"/>
    <w:pPr>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4810">
      <w:bodyDiv w:val="1"/>
      <w:marLeft w:val="0"/>
      <w:marRight w:val="0"/>
      <w:marTop w:val="0"/>
      <w:marBottom w:val="0"/>
      <w:divBdr>
        <w:top w:val="none" w:sz="0" w:space="0" w:color="auto"/>
        <w:left w:val="none" w:sz="0" w:space="0" w:color="auto"/>
        <w:bottom w:val="none" w:sz="0" w:space="0" w:color="auto"/>
        <w:right w:val="none" w:sz="0" w:space="0" w:color="auto"/>
      </w:divBdr>
    </w:div>
    <w:div w:id="8692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corteidh.or.cr/docs/supervisiones/baena_30_10_08.pdf" TargetMode="External"/><Relationship Id="rId2" Type="http://schemas.openxmlformats.org/officeDocument/2006/relationships/hyperlink" Target="https://www.corteidh.or.cr/supervision_de_cumplimiento.cfm" TargetMode="External"/><Relationship Id="rId1" Type="http://schemas.openxmlformats.org/officeDocument/2006/relationships/hyperlink" Target="http://www.corteidh.or.cr/docs/casos/articulos/Seriec_7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A5789-CE12-4ADD-9224-29B4E2422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5731</Words>
  <Characters>31524</Characters>
  <Application>Microsoft Office Word</Application>
  <DocSecurity>2</DocSecurity>
  <Lines>262</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37181</CharactersWithSpaces>
  <SharedDoc>false</SharedDoc>
  <HLinks>
    <vt:vector size="54" baseType="variant">
      <vt:variant>
        <vt:i4>2031673</vt:i4>
      </vt:variant>
      <vt:variant>
        <vt:i4>32</vt:i4>
      </vt:variant>
      <vt:variant>
        <vt:i4>0</vt:i4>
      </vt:variant>
      <vt:variant>
        <vt:i4>5</vt:i4>
      </vt:variant>
      <vt:variant>
        <vt:lpwstr/>
      </vt:variant>
      <vt:variant>
        <vt:lpwstr>_Toc79418121</vt:lpwstr>
      </vt:variant>
      <vt:variant>
        <vt:i4>1966137</vt:i4>
      </vt:variant>
      <vt:variant>
        <vt:i4>26</vt:i4>
      </vt:variant>
      <vt:variant>
        <vt:i4>0</vt:i4>
      </vt:variant>
      <vt:variant>
        <vt:i4>5</vt:i4>
      </vt:variant>
      <vt:variant>
        <vt:lpwstr/>
      </vt:variant>
      <vt:variant>
        <vt:lpwstr>_Toc79418120</vt:lpwstr>
      </vt:variant>
      <vt:variant>
        <vt:i4>1507386</vt:i4>
      </vt:variant>
      <vt:variant>
        <vt:i4>20</vt:i4>
      </vt:variant>
      <vt:variant>
        <vt:i4>0</vt:i4>
      </vt:variant>
      <vt:variant>
        <vt:i4>5</vt:i4>
      </vt:variant>
      <vt:variant>
        <vt:lpwstr/>
      </vt:variant>
      <vt:variant>
        <vt:lpwstr>_Toc79418119</vt:lpwstr>
      </vt:variant>
      <vt:variant>
        <vt:i4>1441850</vt:i4>
      </vt:variant>
      <vt:variant>
        <vt:i4>14</vt:i4>
      </vt:variant>
      <vt:variant>
        <vt:i4>0</vt:i4>
      </vt:variant>
      <vt:variant>
        <vt:i4>5</vt:i4>
      </vt:variant>
      <vt:variant>
        <vt:lpwstr/>
      </vt:variant>
      <vt:variant>
        <vt:lpwstr>_Toc79418118</vt:lpwstr>
      </vt:variant>
      <vt:variant>
        <vt:i4>1638458</vt:i4>
      </vt:variant>
      <vt:variant>
        <vt:i4>8</vt:i4>
      </vt:variant>
      <vt:variant>
        <vt:i4>0</vt:i4>
      </vt:variant>
      <vt:variant>
        <vt:i4>5</vt:i4>
      </vt:variant>
      <vt:variant>
        <vt:lpwstr/>
      </vt:variant>
      <vt:variant>
        <vt:lpwstr>_Toc79418117</vt:lpwstr>
      </vt:variant>
      <vt:variant>
        <vt:i4>1572922</vt:i4>
      </vt:variant>
      <vt:variant>
        <vt:i4>2</vt:i4>
      </vt:variant>
      <vt:variant>
        <vt:i4>0</vt:i4>
      </vt:variant>
      <vt:variant>
        <vt:i4>5</vt:i4>
      </vt:variant>
      <vt:variant>
        <vt:lpwstr/>
      </vt:variant>
      <vt:variant>
        <vt:lpwstr>_Toc79418116</vt:lpwstr>
      </vt:variant>
      <vt:variant>
        <vt:i4>1769598</vt:i4>
      </vt:variant>
      <vt:variant>
        <vt:i4>6</vt:i4>
      </vt:variant>
      <vt:variant>
        <vt:i4>0</vt:i4>
      </vt:variant>
      <vt:variant>
        <vt:i4>5</vt:i4>
      </vt:variant>
      <vt:variant>
        <vt:lpwstr>http://corteidh.or.cr/docs/supervisiones/baena_30_10_08.pdf</vt:lpwstr>
      </vt:variant>
      <vt:variant>
        <vt:lpwstr/>
      </vt:variant>
      <vt:variant>
        <vt:i4>5177430</vt:i4>
      </vt:variant>
      <vt:variant>
        <vt:i4>3</vt:i4>
      </vt:variant>
      <vt:variant>
        <vt:i4>0</vt:i4>
      </vt:variant>
      <vt:variant>
        <vt:i4>5</vt:i4>
      </vt:variant>
      <vt:variant>
        <vt:lpwstr>https://www.corteidh.or.cr/supervision_de_cumplimiento.cfm</vt:lpwstr>
      </vt:variant>
      <vt:variant>
        <vt:lpwstr/>
      </vt:variant>
      <vt:variant>
        <vt:i4>3604576</vt:i4>
      </vt:variant>
      <vt:variant>
        <vt:i4>0</vt:i4>
      </vt:variant>
      <vt:variant>
        <vt:i4>0</vt:i4>
      </vt:variant>
      <vt:variant>
        <vt:i4>5</vt:i4>
      </vt:variant>
      <vt:variant>
        <vt:lpwstr>http://www.corteidh.or.cr/docs/casos/articulos/Seriec_72_esp.pdf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2010-06-23T17:16:00Z</cp:lastPrinted>
  <dcterms:created xsi:type="dcterms:W3CDTF">2021-10-22T18:59:00Z</dcterms:created>
  <dcterms:modified xsi:type="dcterms:W3CDTF">2021-10-22T18:59:00Z</dcterms:modified>
</cp:coreProperties>
</file>