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86AE8" w14:textId="114526A8" w:rsidR="00C449AB" w:rsidRDefault="00C449AB" w:rsidP="00690FE6">
      <w:pPr>
        <w:suppressLineNumbers/>
        <w:spacing w:after="0"/>
        <w:rPr>
          <w:rFonts w:ascii="Verdana" w:hAnsi="Verdana"/>
          <w:b/>
          <w:sz w:val="20"/>
          <w:lang w:val="es-MX"/>
        </w:rPr>
      </w:pPr>
    </w:p>
    <w:p w14:paraId="24E8BA6C" w14:textId="0443A909" w:rsidR="00F3264F" w:rsidRDefault="00F3264F" w:rsidP="00690FE6">
      <w:pPr>
        <w:suppressLineNumbers/>
        <w:spacing w:after="0"/>
        <w:rPr>
          <w:rFonts w:ascii="Verdana" w:hAnsi="Verdana"/>
          <w:b/>
          <w:sz w:val="20"/>
          <w:lang w:val="es-MX"/>
        </w:rPr>
      </w:pPr>
    </w:p>
    <w:p w14:paraId="32B85FB0" w14:textId="6032C47E" w:rsidR="00F3264F" w:rsidRDefault="00F3264F" w:rsidP="00690FE6">
      <w:pPr>
        <w:suppressLineNumbers/>
        <w:spacing w:after="0"/>
        <w:rPr>
          <w:rFonts w:ascii="Verdana" w:hAnsi="Verdana"/>
          <w:b/>
          <w:sz w:val="20"/>
          <w:lang w:val="es-MX"/>
        </w:rPr>
      </w:pPr>
    </w:p>
    <w:p w14:paraId="16A9112F" w14:textId="31D89979" w:rsidR="00F3264F" w:rsidRDefault="00F3264F" w:rsidP="00690FE6">
      <w:pPr>
        <w:suppressLineNumbers/>
        <w:spacing w:after="0"/>
        <w:rPr>
          <w:rFonts w:ascii="Verdana" w:hAnsi="Verdana"/>
          <w:b/>
          <w:sz w:val="20"/>
          <w:lang w:val="es-MX"/>
        </w:rPr>
      </w:pPr>
    </w:p>
    <w:p w14:paraId="5D847D8A" w14:textId="77777777" w:rsidR="004964DC" w:rsidRDefault="004964DC" w:rsidP="00690FE6">
      <w:pPr>
        <w:suppressLineNumbers/>
        <w:spacing w:after="0"/>
        <w:rPr>
          <w:rFonts w:ascii="Verdana" w:hAnsi="Verdana"/>
          <w:b/>
          <w:sz w:val="20"/>
          <w:lang w:val="es-MX"/>
        </w:rPr>
      </w:pPr>
    </w:p>
    <w:p w14:paraId="3FE9F2C0" w14:textId="031216FC" w:rsidR="004964DC" w:rsidRDefault="004964DC" w:rsidP="00690FE6">
      <w:pPr>
        <w:suppressLineNumbers/>
        <w:spacing w:after="0"/>
        <w:rPr>
          <w:rFonts w:ascii="Verdana" w:hAnsi="Verdana"/>
          <w:b/>
          <w:sz w:val="20"/>
          <w:lang w:val="es-MX"/>
        </w:rPr>
      </w:pPr>
    </w:p>
    <w:p w14:paraId="680883A2" w14:textId="77777777" w:rsidR="004964DC" w:rsidRDefault="004964DC" w:rsidP="00690FE6">
      <w:pPr>
        <w:suppressLineNumbers/>
        <w:spacing w:after="0"/>
        <w:rPr>
          <w:rFonts w:ascii="Verdana" w:hAnsi="Verdana"/>
          <w:b/>
          <w:sz w:val="20"/>
          <w:lang w:val="es-MX"/>
        </w:rPr>
      </w:pPr>
    </w:p>
    <w:p w14:paraId="00DFCA2F" w14:textId="51B754D4" w:rsidR="00F3264F" w:rsidRDefault="00F3264F" w:rsidP="00690FE6">
      <w:pPr>
        <w:suppressLineNumbers/>
        <w:spacing w:after="0"/>
        <w:rPr>
          <w:rFonts w:ascii="Verdana" w:hAnsi="Verdana"/>
          <w:b/>
          <w:sz w:val="20"/>
          <w:lang w:val="es-MX"/>
        </w:rPr>
      </w:pPr>
    </w:p>
    <w:p w14:paraId="013E2495" w14:textId="5CC52CDB" w:rsidR="00F3264F" w:rsidRDefault="00F3264F" w:rsidP="00690FE6">
      <w:pPr>
        <w:suppressLineNumbers/>
        <w:spacing w:after="0"/>
        <w:rPr>
          <w:rFonts w:ascii="Verdana" w:hAnsi="Verdana"/>
          <w:b/>
          <w:sz w:val="20"/>
          <w:lang w:val="es-MX"/>
        </w:rPr>
      </w:pPr>
    </w:p>
    <w:p w14:paraId="1356BE1B" w14:textId="77777777" w:rsidR="00F3264F" w:rsidRDefault="00F3264F" w:rsidP="00690FE6">
      <w:pPr>
        <w:suppressLineNumbers/>
        <w:spacing w:after="0"/>
        <w:rPr>
          <w:rFonts w:ascii="Verdana" w:hAnsi="Verdana"/>
          <w:b/>
          <w:sz w:val="20"/>
          <w:lang w:val="es-MX"/>
        </w:rPr>
      </w:pPr>
    </w:p>
    <w:p w14:paraId="5F4A39AC" w14:textId="77777777" w:rsidR="00C449AB" w:rsidRPr="00CA32B3" w:rsidRDefault="00861763" w:rsidP="00690FE6">
      <w:pPr>
        <w:suppressLineNumbers/>
        <w:spacing w:after="0"/>
        <w:jc w:val="center"/>
        <w:rPr>
          <w:rFonts w:ascii="Verdana" w:hAnsi="Verdana"/>
          <w:b/>
          <w:sz w:val="20"/>
          <w:lang w:val="es-MX"/>
        </w:rPr>
      </w:pPr>
      <w:r w:rsidRPr="00CA32B3">
        <w:rPr>
          <w:rFonts w:ascii="Verdana" w:hAnsi="Verdana"/>
          <w:b/>
          <w:sz w:val="20"/>
          <w:lang w:val="es-MX"/>
        </w:rPr>
        <w:t>RESOLUCIÓN DE LA</w:t>
      </w:r>
    </w:p>
    <w:p w14:paraId="3D9361D6" w14:textId="77777777" w:rsidR="00C449AB" w:rsidRPr="00CA32B3" w:rsidRDefault="00861763" w:rsidP="00690FE6">
      <w:pPr>
        <w:suppressLineNumbers/>
        <w:spacing w:after="0"/>
        <w:jc w:val="center"/>
        <w:rPr>
          <w:rFonts w:eastAsia="Calibri"/>
        </w:rPr>
      </w:pPr>
      <w:r w:rsidRPr="00CA32B3">
        <w:rPr>
          <w:rFonts w:ascii="Verdana" w:hAnsi="Verdana"/>
          <w:b/>
          <w:sz w:val="20"/>
          <w:lang w:val="es-MX"/>
        </w:rPr>
        <w:t>CORTE INTERAMERICANA DE DERECHOS HUMANOS</w:t>
      </w:r>
      <w:r w:rsidRPr="00CA32B3">
        <w:rPr>
          <w:rStyle w:val="Refdenotaalpie"/>
          <w:rFonts w:ascii="Verdana" w:hAnsi="Verdana"/>
          <w:b/>
          <w:smallCaps/>
          <w:sz w:val="20"/>
          <w:lang w:val="es-CO"/>
        </w:rPr>
        <w:footnoteReference w:customMarkFollows="1" w:id="1"/>
        <w:sym w:font="Symbol" w:char="F02A"/>
      </w:r>
      <w:r w:rsidRPr="00CA32B3">
        <w:rPr>
          <w:rFonts w:eastAsia="Calibri"/>
        </w:rPr>
        <w:t xml:space="preserve"> </w:t>
      </w:r>
    </w:p>
    <w:p w14:paraId="5A1D2D3A" w14:textId="77777777" w:rsidR="00C449AB" w:rsidRPr="00CA32B3" w:rsidRDefault="00C449AB" w:rsidP="00690FE6">
      <w:pPr>
        <w:suppressLineNumbers/>
        <w:spacing w:after="0"/>
        <w:jc w:val="center"/>
        <w:rPr>
          <w:rFonts w:ascii="Verdana" w:hAnsi="Verdana"/>
          <w:b/>
          <w:smallCaps/>
          <w:sz w:val="20"/>
        </w:rPr>
      </w:pPr>
    </w:p>
    <w:p w14:paraId="2C5CE5C9" w14:textId="56865786" w:rsidR="00C449AB" w:rsidRPr="00CA32B3" w:rsidRDefault="00861763" w:rsidP="00690FE6">
      <w:pPr>
        <w:suppressLineNumbers/>
        <w:spacing w:after="0"/>
        <w:jc w:val="center"/>
        <w:rPr>
          <w:rFonts w:ascii="Verdana" w:hAnsi="Verdana"/>
          <w:b/>
          <w:smallCaps/>
          <w:sz w:val="20"/>
        </w:rPr>
      </w:pPr>
      <w:r w:rsidRPr="00CA32B3">
        <w:rPr>
          <w:rFonts w:ascii="Verdana" w:hAnsi="Verdana"/>
          <w:b/>
          <w:smallCaps/>
          <w:sz w:val="20"/>
        </w:rPr>
        <w:t xml:space="preserve">DE </w:t>
      </w:r>
      <w:r w:rsidR="00E864F4" w:rsidRPr="00CA32B3">
        <w:rPr>
          <w:rFonts w:ascii="Verdana" w:hAnsi="Verdana"/>
          <w:b/>
          <w:smallCaps/>
          <w:sz w:val="20"/>
        </w:rPr>
        <w:t>21</w:t>
      </w:r>
      <w:r w:rsidRPr="00CA32B3">
        <w:rPr>
          <w:rFonts w:ascii="Verdana" w:hAnsi="Verdana"/>
          <w:b/>
          <w:smallCaps/>
          <w:sz w:val="20"/>
        </w:rPr>
        <w:t xml:space="preserve"> DE JUNIO DE 2021</w:t>
      </w:r>
    </w:p>
    <w:p w14:paraId="02E81016" w14:textId="77777777" w:rsidR="00C449AB" w:rsidRPr="00CA32B3" w:rsidRDefault="00C449AB" w:rsidP="00690FE6">
      <w:pPr>
        <w:suppressLineNumbers/>
        <w:spacing w:after="0"/>
        <w:jc w:val="center"/>
        <w:rPr>
          <w:rFonts w:ascii="Verdana" w:hAnsi="Verdana"/>
          <w:b/>
          <w:i/>
          <w:sz w:val="20"/>
          <w:szCs w:val="20"/>
        </w:rPr>
      </w:pPr>
    </w:p>
    <w:p w14:paraId="1BBDDB16" w14:textId="77777777" w:rsidR="00C449AB" w:rsidRPr="00CA32B3" w:rsidRDefault="00861763" w:rsidP="00690FE6">
      <w:pPr>
        <w:suppressLineNumbers/>
        <w:spacing w:after="0"/>
        <w:jc w:val="center"/>
        <w:rPr>
          <w:rFonts w:ascii="Verdana" w:hAnsi="Verdana"/>
          <w:b/>
          <w:sz w:val="20"/>
          <w:szCs w:val="20"/>
        </w:rPr>
      </w:pPr>
      <w:r w:rsidRPr="00CA32B3">
        <w:rPr>
          <w:rFonts w:ascii="Verdana" w:hAnsi="Verdana"/>
          <w:b/>
          <w:i/>
          <w:sz w:val="20"/>
          <w:szCs w:val="20"/>
        </w:rPr>
        <w:t>CASO COMUNIDAD CAMPESINA DE SANTA BÁRBARA VS. PERÚ</w:t>
      </w:r>
    </w:p>
    <w:p w14:paraId="5D8A8C39" w14:textId="77777777" w:rsidR="00C449AB" w:rsidRPr="00CA32B3" w:rsidRDefault="00C449AB" w:rsidP="00690FE6">
      <w:pPr>
        <w:suppressLineNumbers/>
        <w:spacing w:after="0"/>
        <w:jc w:val="center"/>
        <w:rPr>
          <w:rFonts w:ascii="Verdana" w:hAnsi="Verdana"/>
          <w:b/>
          <w:sz w:val="20"/>
          <w:szCs w:val="20"/>
        </w:rPr>
      </w:pPr>
    </w:p>
    <w:p w14:paraId="27323E26" w14:textId="77777777" w:rsidR="00C449AB" w:rsidRPr="00CA32B3" w:rsidRDefault="00861763" w:rsidP="00690FE6">
      <w:pPr>
        <w:suppressLineNumbers/>
        <w:spacing w:after="0"/>
        <w:jc w:val="center"/>
        <w:rPr>
          <w:rFonts w:ascii="Verdana" w:hAnsi="Verdana"/>
          <w:b/>
          <w:sz w:val="20"/>
          <w:szCs w:val="20"/>
        </w:rPr>
      </w:pPr>
      <w:r w:rsidRPr="00CA32B3">
        <w:rPr>
          <w:rFonts w:ascii="Verdana" w:hAnsi="Verdana"/>
          <w:b/>
          <w:sz w:val="20"/>
          <w:szCs w:val="20"/>
        </w:rPr>
        <w:t>SUPERVISIÓN DE CUMPLIMIENTO DE SENTENCIA</w:t>
      </w:r>
    </w:p>
    <w:p w14:paraId="4D8710AB" w14:textId="77777777" w:rsidR="00C449AB" w:rsidRPr="00CA32B3" w:rsidRDefault="00C449AB" w:rsidP="00690FE6">
      <w:pPr>
        <w:suppressLineNumbers/>
        <w:spacing w:after="0"/>
        <w:jc w:val="both"/>
        <w:rPr>
          <w:rFonts w:ascii="Verdana" w:hAnsi="Verdana"/>
          <w:sz w:val="20"/>
          <w:szCs w:val="20"/>
        </w:rPr>
      </w:pPr>
    </w:p>
    <w:p w14:paraId="51975A4B" w14:textId="77777777" w:rsidR="00C449AB" w:rsidRPr="00CA32B3" w:rsidRDefault="00861763" w:rsidP="00690FE6">
      <w:pPr>
        <w:suppressLineNumbers/>
        <w:spacing w:after="0"/>
        <w:rPr>
          <w:rFonts w:ascii="Verdana" w:hAnsi="Verdana"/>
          <w:b/>
          <w:sz w:val="20"/>
          <w:szCs w:val="20"/>
        </w:rPr>
      </w:pPr>
      <w:r w:rsidRPr="00CA32B3">
        <w:rPr>
          <w:rFonts w:ascii="Verdana" w:hAnsi="Verdana"/>
          <w:b/>
          <w:sz w:val="20"/>
          <w:szCs w:val="20"/>
        </w:rPr>
        <w:t>VISTO:</w:t>
      </w:r>
    </w:p>
    <w:p w14:paraId="366FD7D9" w14:textId="77777777" w:rsidR="00C449AB" w:rsidRPr="00CA32B3" w:rsidRDefault="00C449AB" w:rsidP="00690FE6">
      <w:pPr>
        <w:suppressLineNumbers/>
        <w:spacing w:after="0"/>
        <w:rPr>
          <w:rFonts w:ascii="Verdana" w:hAnsi="Verdana"/>
          <w:b/>
          <w:sz w:val="20"/>
          <w:szCs w:val="20"/>
        </w:rPr>
      </w:pPr>
    </w:p>
    <w:p w14:paraId="7BB8692F" w14:textId="29B57546" w:rsidR="00C449AB" w:rsidRPr="00CA32B3" w:rsidRDefault="00861763" w:rsidP="00690FE6">
      <w:pPr>
        <w:widowControl w:val="0"/>
        <w:suppressLineNumbers/>
        <w:spacing w:after="0" w:line="240" w:lineRule="auto"/>
        <w:jc w:val="both"/>
        <w:rPr>
          <w:rFonts w:ascii="Verdana" w:hAnsi="Verdana"/>
          <w:sz w:val="20"/>
          <w:szCs w:val="20"/>
        </w:rPr>
      </w:pPr>
      <w:r w:rsidRPr="00CA32B3">
        <w:rPr>
          <w:rFonts w:ascii="Verdana" w:eastAsia="Calibri" w:hAnsi="Verdana"/>
          <w:sz w:val="20"/>
          <w:szCs w:val="20"/>
          <w:lang w:eastAsia="en-US"/>
        </w:rPr>
        <w:t>1.</w:t>
      </w:r>
      <w:r w:rsidRPr="00CA32B3">
        <w:rPr>
          <w:rFonts w:ascii="Verdana" w:eastAsia="Calibri" w:hAnsi="Verdana"/>
          <w:sz w:val="20"/>
          <w:szCs w:val="20"/>
          <w:lang w:eastAsia="en-US"/>
        </w:rPr>
        <w:tab/>
        <w:t>La Sentencia de excepciones preliminares, fondo, reparaciones y costas dictada por la Corte Interamericana de Derechos Humanos (en adelante “la Corte”, “la Corte Interamericana” o “el Tribunal”) el 1 de septiembre de 2015</w:t>
      </w:r>
      <w:r w:rsidRPr="00CA32B3">
        <w:rPr>
          <w:rStyle w:val="Refdenotaalpie"/>
          <w:rFonts w:ascii="Verdana" w:eastAsia="Calibri" w:hAnsi="Verdana"/>
          <w:sz w:val="20"/>
          <w:szCs w:val="20"/>
          <w:lang w:eastAsia="en-US"/>
        </w:rPr>
        <w:footnoteReference w:id="2"/>
      </w:r>
      <w:r w:rsidRPr="00CA32B3">
        <w:rPr>
          <w:rFonts w:ascii="Verdana" w:eastAsia="Calibri" w:hAnsi="Verdana"/>
          <w:sz w:val="20"/>
          <w:szCs w:val="20"/>
          <w:lang w:eastAsia="en-US"/>
        </w:rPr>
        <w:t xml:space="preserve">. </w:t>
      </w:r>
      <w:bookmarkStart w:id="0" w:name="_Ref504383791"/>
      <w:r w:rsidRPr="00CA32B3">
        <w:rPr>
          <w:rFonts w:ascii="Verdana" w:eastAsia="Calibri" w:hAnsi="Verdana"/>
          <w:sz w:val="20"/>
          <w:szCs w:val="20"/>
          <w:lang w:eastAsia="en-US"/>
        </w:rPr>
        <w:t xml:space="preserve">La Corte, tomando en cuenta el reconocimiento parcial de responsabilidad internacional efectuado por la República del Perú (en adelante “el Estado” o “el Perú”), lo declaró responsable internacionalmente por </w:t>
      </w:r>
      <w:r w:rsidRPr="00CA32B3">
        <w:rPr>
          <w:rFonts w:ascii="Verdana" w:hAnsi="Verdana"/>
          <w:sz w:val="20"/>
          <w:szCs w:val="20"/>
        </w:rPr>
        <w:t>la desaparición forzada de 15 personas</w:t>
      </w:r>
      <w:r w:rsidRPr="00CA32B3">
        <w:rPr>
          <w:rStyle w:val="Refdenotaalpie"/>
          <w:rFonts w:ascii="Verdana" w:hAnsi="Verdana"/>
          <w:sz w:val="20"/>
          <w:szCs w:val="20"/>
        </w:rPr>
        <w:footnoteReference w:id="3"/>
      </w:r>
      <w:r w:rsidRPr="00CA32B3">
        <w:rPr>
          <w:rFonts w:ascii="Verdana" w:hAnsi="Verdana"/>
          <w:sz w:val="20"/>
          <w:szCs w:val="20"/>
        </w:rPr>
        <w:t xml:space="preserve"> ocurrida en el marco de un operativo militar efectuado el 2 y el 4 de julio de 1991. Los militares incursionaron en la localidad de Rodeopampa, comunidad de Santa Bárbara, con el fin de “capturar y/o destruir elementos terroristas que operaban en dicha zona” del Departamento de Huancavelica. Allí detuvieron a 14 pobladores, entre quienes se encontraban tres niñas y cuatro niños con edades de 8 meses a 6 años de edad, y una mujer en el sexto mes de embarazo. Prendieron fuego a sus viviendas y se apoderaron del ganado, entre otras pertenencias. En el camino, detuvieron también a</w:t>
      </w:r>
      <w:r w:rsidR="000D7081" w:rsidRPr="00CA32B3">
        <w:rPr>
          <w:rFonts w:ascii="Verdana" w:hAnsi="Verdana"/>
          <w:sz w:val="20"/>
          <w:szCs w:val="20"/>
        </w:rPr>
        <w:t xml:space="preserve"> otra persona</w:t>
      </w:r>
      <w:r w:rsidRPr="00CA32B3">
        <w:rPr>
          <w:rFonts w:ascii="Verdana" w:hAnsi="Verdana"/>
          <w:sz w:val="20"/>
          <w:szCs w:val="20"/>
        </w:rPr>
        <w:t xml:space="preserve">. </w:t>
      </w:r>
      <w:r w:rsidR="00E864F4" w:rsidRPr="00CA32B3">
        <w:rPr>
          <w:rFonts w:ascii="Verdana" w:hAnsi="Verdana"/>
          <w:sz w:val="20"/>
          <w:szCs w:val="20"/>
        </w:rPr>
        <w:t xml:space="preserve">Obligaron a las 15 personas a caminar varias horas, amarradas, sin alimentos ni agua, mientras eran sometidas a golpes, hasta llegar a una mina abandonada, en donde las acribillaron y, posteriormente, detonaron cargas de dinamita, lo que provocó el fraccionamiento de los cuerpos. </w:t>
      </w:r>
      <w:r w:rsidRPr="00CA32B3">
        <w:rPr>
          <w:rFonts w:ascii="Verdana" w:hAnsi="Verdana"/>
          <w:sz w:val="20"/>
          <w:szCs w:val="20"/>
        </w:rPr>
        <w:t>Dichos hechos se enmarcaron en el contexto del conflicto armado peruano y la práctica sistemática de violaciones de los derechos humanos, entre ellas, ejecuciones extrajudiciales y desapariciones forzadas de personas sospechosas de pertenecer a grupos armados al margen de la ley.</w:t>
      </w:r>
      <w:r w:rsidRPr="00CA32B3">
        <w:rPr>
          <w:rFonts w:ascii="Verdana" w:hAnsi="Verdana"/>
          <w:sz w:val="18"/>
          <w:szCs w:val="18"/>
        </w:rPr>
        <w:t xml:space="preserve"> </w:t>
      </w:r>
      <w:r w:rsidRPr="00CA32B3">
        <w:rPr>
          <w:rFonts w:ascii="Verdana" w:hAnsi="Verdana"/>
          <w:sz w:val="20"/>
          <w:szCs w:val="20"/>
        </w:rPr>
        <w:t xml:space="preserve">La Corte declaró la responsabilidad estatal por la </w:t>
      </w:r>
      <w:r w:rsidRPr="00CA32B3">
        <w:rPr>
          <w:rFonts w:ascii="Verdana" w:hAnsi="Verdana"/>
          <w:sz w:val="20"/>
          <w:szCs w:val="20"/>
        </w:rPr>
        <w:lastRenderedPageBreak/>
        <w:t>violación de los derechos a la libertad personal, integridad personal, vida, reconocimiento de la personalidad jurídica de las víctimas de desaparición forzada, así como a los derechos a las garantías judiciales, protección judicial e integridad personal en perjuicio de sus familiares</w:t>
      </w:r>
      <w:r w:rsidR="00726B73" w:rsidRPr="00CA32B3">
        <w:rPr>
          <w:rStyle w:val="Refdenotaalpie"/>
          <w:rFonts w:ascii="Verdana" w:hAnsi="Verdana"/>
          <w:sz w:val="20"/>
          <w:szCs w:val="20"/>
        </w:rPr>
        <w:footnoteReference w:id="4"/>
      </w:r>
      <w:r w:rsidRPr="00CA32B3">
        <w:rPr>
          <w:rFonts w:ascii="Verdana" w:hAnsi="Verdana"/>
          <w:sz w:val="20"/>
          <w:szCs w:val="20"/>
        </w:rPr>
        <w:t xml:space="preserve">, entre otras violaciones. </w:t>
      </w:r>
      <w:r w:rsidR="00E864F4" w:rsidRPr="00CA32B3">
        <w:rPr>
          <w:rFonts w:ascii="Verdana" w:hAnsi="Verdana"/>
          <w:sz w:val="20"/>
          <w:szCs w:val="20"/>
        </w:rPr>
        <w:t>En el Fallo, la Corte</w:t>
      </w:r>
      <w:r w:rsidRPr="00CA32B3">
        <w:rPr>
          <w:rFonts w:ascii="Verdana" w:hAnsi="Verdana"/>
          <w:sz w:val="20"/>
          <w:szCs w:val="20"/>
        </w:rPr>
        <w:t xml:space="preserve"> declaró que dichas violaciones ocurrieron también en relación con el derecho a la especial protección de dichas niñas y niños. </w:t>
      </w:r>
      <w:r w:rsidRPr="00CA32B3">
        <w:rPr>
          <w:rFonts w:ascii="Verdana" w:hAnsi="Verdana"/>
          <w:sz w:val="20"/>
        </w:rPr>
        <w:t xml:space="preserve">Por otro lado, la Corte </w:t>
      </w:r>
      <w:r w:rsidR="00E864F4" w:rsidRPr="00CA32B3">
        <w:rPr>
          <w:rFonts w:ascii="Verdana" w:hAnsi="Verdana"/>
          <w:sz w:val="20"/>
        </w:rPr>
        <w:t xml:space="preserve">también </w:t>
      </w:r>
      <w:r w:rsidRPr="00CA32B3">
        <w:rPr>
          <w:rFonts w:ascii="Verdana" w:hAnsi="Verdana"/>
          <w:sz w:val="20"/>
        </w:rPr>
        <w:t>de</w:t>
      </w:r>
      <w:r w:rsidR="00E864F4" w:rsidRPr="00CA32B3">
        <w:rPr>
          <w:rFonts w:ascii="Verdana" w:hAnsi="Verdana"/>
          <w:sz w:val="20"/>
        </w:rPr>
        <w:t>terminó</w:t>
      </w:r>
      <w:r w:rsidRPr="00CA32B3">
        <w:rPr>
          <w:rFonts w:ascii="Verdana" w:hAnsi="Verdana"/>
          <w:sz w:val="20"/>
        </w:rPr>
        <w:t xml:space="preserve"> la responsabilidad internacional del Perú por la violación de los derechos a la propiedad privada, </w:t>
      </w:r>
      <w:r w:rsidR="00E864F4" w:rsidRPr="00CA32B3">
        <w:rPr>
          <w:rFonts w:ascii="Verdana" w:hAnsi="Verdana"/>
          <w:sz w:val="20"/>
        </w:rPr>
        <w:t xml:space="preserve">y a la </w:t>
      </w:r>
      <w:r w:rsidRPr="00CA32B3">
        <w:rPr>
          <w:rFonts w:ascii="Verdana" w:hAnsi="Verdana"/>
          <w:sz w:val="20"/>
        </w:rPr>
        <w:t>vida priv</w:t>
      </w:r>
      <w:r w:rsidR="00EE2902" w:rsidRPr="00CA32B3">
        <w:rPr>
          <w:rFonts w:ascii="Verdana" w:hAnsi="Verdana"/>
          <w:sz w:val="20"/>
        </w:rPr>
        <w:t>ada y familiar, en perjuicio de</w:t>
      </w:r>
      <w:r w:rsidRPr="00CA32B3">
        <w:rPr>
          <w:rFonts w:ascii="Verdana" w:hAnsi="Verdana"/>
          <w:sz w:val="20"/>
        </w:rPr>
        <w:t xml:space="preserve"> 14 </w:t>
      </w:r>
      <w:r w:rsidR="001841C8" w:rsidRPr="00CA32B3">
        <w:rPr>
          <w:rFonts w:ascii="Verdana" w:hAnsi="Verdana"/>
          <w:sz w:val="20"/>
        </w:rPr>
        <w:t>de</w:t>
      </w:r>
      <w:r w:rsidR="008140F6" w:rsidRPr="00CA32B3">
        <w:rPr>
          <w:rFonts w:ascii="Verdana" w:hAnsi="Verdana"/>
          <w:sz w:val="20"/>
        </w:rPr>
        <w:t xml:space="preserve"> </w:t>
      </w:r>
      <w:r w:rsidR="001841C8" w:rsidRPr="00CA32B3">
        <w:rPr>
          <w:rFonts w:ascii="Verdana" w:hAnsi="Verdana"/>
          <w:sz w:val="20"/>
        </w:rPr>
        <w:t xml:space="preserve">las </w:t>
      </w:r>
      <w:r w:rsidRPr="00CA32B3">
        <w:rPr>
          <w:rFonts w:ascii="Verdana" w:hAnsi="Verdana"/>
          <w:sz w:val="20"/>
        </w:rPr>
        <w:t xml:space="preserve">víctimas de desaparición forzada, así como de sus familiares Zenón Cirilo Osnayo Tunque y Marcelo Hilario Quispe. </w:t>
      </w:r>
      <w:r w:rsidRPr="00CA32B3">
        <w:rPr>
          <w:rFonts w:ascii="Verdana" w:hAnsi="Verdana"/>
          <w:sz w:val="20"/>
          <w:szCs w:val="20"/>
        </w:rPr>
        <w:t>Al momento de emitir la Sentencia, no se había localizado el paradero de las 15 víctimas de desaparición forzada. El Tribunal estableció que su Sentencia constituye por sí misma una forma de reparación y ordenó al Estado la adopción de diversas medidas de reparación adicionales (</w:t>
      </w:r>
      <w:r w:rsidRPr="00CA32B3">
        <w:rPr>
          <w:rFonts w:ascii="Verdana" w:hAnsi="Verdana"/>
          <w:i/>
          <w:sz w:val="20"/>
          <w:szCs w:val="20"/>
        </w:rPr>
        <w:t>infra</w:t>
      </w:r>
      <w:r w:rsidRPr="00CA32B3">
        <w:rPr>
          <w:rFonts w:ascii="Verdana" w:hAnsi="Verdana"/>
          <w:sz w:val="20"/>
          <w:szCs w:val="20"/>
        </w:rPr>
        <w:t xml:space="preserve"> Considerandos 1 y 3) y el reintegro al Fondo de Asistencia Legal de Víctimas de la Corte (en adelante “el Fondo de Asistencia”).</w:t>
      </w:r>
      <w:bookmarkEnd w:id="0"/>
    </w:p>
    <w:p w14:paraId="6CA8299B" w14:textId="77777777" w:rsidR="00C449AB" w:rsidRPr="00CA32B3" w:rsidRDefault="00C449AB" w:rsidP="00690FE6">
      <w:pPr>
        <w:widowControl w:val="0"/>
        <w:suppressLineNumbers/>
        <w:spacing w:after="0" w:line="240" w:lineRule="auto"/>
        <w:jc w:val="both"/>
        <w:rPr>
          <w:rFonts w:ascii="Verdana" w:hAnsi="Verdana"/>
          <w:sz w:val="20"/>
          <w:szCs w:val="20"/>
        </w:rPr>
      </w:pPr>
    </w:p>
    <w:p w14:paraId="0A511121" w14:textId="3D3AF07A" w:rsidR="00C449AB" w:rsidRPr="00CA32B3" w:rsidRDefault="00861763" w:rsidP="00690FE6">
      <w:pPr>
        <w:widowControl w:val="0"/>
        <w:suppressLineNumbers/>
        <w:spacing w:line="240" w:lineRule="auto"/>
        <w:jc w:val="both"/>
        <w:rPr>
          <w:rFonts w:ascii="Verdana" w:hAnsi="Verdana"/>
          <w:sz w:val="20"/>
          <w:szCs w:val="20"/>
        </w:rPr>
      </w:pPr>
      <w:r w:rsidRPr="00CA32B3">
        <w:rPr>
          <w:rFonts w:ascii="Verdana" w:hAnsi="Verdana"/>
          <w:sz w:val="20"/>
          <w:szCs w:val="20"/>
        </w:rPr>
        <w:t xml:space="preserve">2. </w:t>
      </w:r>
      <w:r w:rsidRPr="00CA32B3">
        <w:rPr>
          <w:rFonts w:ascii="Verdana" w:hAnsi="Verdana"/>
          <w:sz w:val="20"/>
          <w:szCs w:val="20"/>
        </w:rPr>
        <w:tab/>
        <w:t>La Sentencia de Interpretación dictada por la Corte el 21 de noviembre de 2016</w:t>
      </w:r>
      <w:r w:rsidRPr="00CA32B3">
        <w:rPr>
          <w:rStyle w:val="Refdenotaalpie"/>
          <w:rFonts w:ascii="Verdana" w:hAnsi="Verdana"/>
          <w:sz w:val="20"/>
          <w:szCs w:val="20"/>
        </w:rPr>
        <w:footnoteReference w:id="5"/>
      </w:r>
      <w:r w:rsidR="00E9490C" w:rsidRPr="00CA32B3">
        <w:rPr>
          <w:rFonts w:ascii="Verdana" w:hAnsi="Verdana"/>
          <w:sz w:val="20"/>
          <w:szCs w:val="20"/>
        </w:rPr>
        <w:t xml:space="preserve">, en relación con el alcance del </w:t>
      </w:r>
      <w:r w:rsidR="001841C8" w:rsidRPr="00CA32B3">
        <w:rPr>
          <w:rFonts w:ascii="Verdana" w:hAnsi="Verdana"/>
          <w:sz w:val="20"/>
          <w:szCs w:val="20"/>
        </w:rPr>
        <w:t>p</w:t>
      </w:r>
      <w:r w:rsidR="00E9490C" w:rsidRPr="00CA32B3">
        <w:rPr>
          <w:rFonts w:ascii="Verdana" w:hAnsi="Verdana"/>
          <w:sz w:val="20"/>
          <w:szCs w:val="20"/>
        </w:rPr>
        <w:t xml:space="preserve">unto </w:t>
      </w:r>
      <w:r w:rsidR="001841C8" w:rsidRPr="00CA32B3">
        <w:rPr>
          <w:rFonts w:ascii="Verdana" w:hAnsi="Verdana"/>
          <w:sz w:val="20"/>
          <w:szCs w:val="20"/>
        </w:rPr>
        <w:t>r</w:t>
      </w:r>
      <w:r w:rsidR="00E9490C" w:rsidRPr="00CA32B3">
        <w:rPr>
          <w:rFonts w:ascii="Verdana" w:hAnsi="Verdana"/>
          <w:sz w:val="20"/>
          <w:szCs w:val="20"/>
        </w:rPr>
        <w:t>esolutivo décimo de la Sentencia</w:t>
      </w:r>
      <w:r w:rsidRPr="00CA32B3">
        <w:rPr>
          <w:rFonts w:ascii="Verdana" w:hAnsi="Verdana"/>
          <w:sz w:val="20"/>
          <w:szCs w:val="20"/>
        </w:rPr>
        <w:t xml:space="preserve">. </w:t>
      </w:r>
    </w:p>
    <w:p w14:paraId="630ACF2A" w14:textId="634BF4AA" w:rsidR="00C449AB" w:rsidRPr="00CA32B3" w:rsidRDefault="00861763" w:rsidP="00690FE6">
      <w:pPr>
        <w:widowControl w:val="0"/>
        <w:suppressLineNumbers/>
        <w:spacing w:line="240" w:lineRule="auto"/>
        <w:jc w:val="both"/>
        <w:rPr>
          <w:rFonts w:ascii="Verdana" w:hAnsi="Verdana"/>
          <w:sz w:val="20"/>
          <w:szCs w:val="20"/>
          <w:lang w:eastAsia="es-ES"/>
        </w:rPr>
      </w:pPr>
      <w:r w:rsidRPr="00CA32B3">
        <w:rPr>
          <w:rFonts w:ascii="Verdana" w:hAnsi="Verdana"/>
          <w:sz w:val="20"/>
          <w:szCs w:val="20"/>
        </w:rPr>
        <w:t xml:space="preserve">3. </w:t>
      </w:r>
      <w:r w:rsidRPr="00CA32B3">
        <w:rPr>
          <w:rFonts w:ascii="Verdana" w:hAnsi="Verdana"/>
          <w:sz w:val="20"/>
          <w:szCs w:val="20"/>
        </w:rPr>
        <w:tab/>
      </w:r>
      <w:r w:rsidR="00E864F4" w:rsidRPr="00CA32B3">
        <w:rPr>
          <w:rFonts w:ascii="Verdana" w:hAnsi="Verdana"/>
          <w:sz w:val="20"/>
          <w:szCs w:val="20"/>
          <w:lang w:eastAsia="es-ES"/>
        </w:rPr>
        <w:t xml:space="preserve">La Resolución emitida por la Corte en los casos </w:t>
      </w:r>
      <w:r w:rsidR="00E864F4" w:rsidRPr="00CA32B3">
        <w:rPr>
          <w:rFonts w:ascii="Verdana" w:hAnsi="Verdana"/>
          <w:i/>
          <w:sz w:val="20"/>
          <w:szCs w:val="20"/>
          <w:lang w:eastAsia="es-ES"/>
        </w:rPr>
        <w:t>Osorio Rivera y familiares</w:t>
      </w:r>
      <w:r w:rsidR="00E864F4" w:rsidRPr="00CA32B3">
        <w:rPr>
          <w:rFonts w:ascii="Verdana" w:hAnsi="Verdana"/>
          <w:sz w:val="20"/>
          <w:szCs w:val="20"/>
          <w:lang w:eastAsia="es-ES"/>
        </w:rPr>
        <w:t xml:space="preserve">, </w:t>
      </w:r>
      <w:r w:rsidR="00E864F4" w:rsidRPr="00CA32B3">
        <w:rPr>
          <w:rFonts w:ascii="Verdana" w:hAnsi="Verdana"/>
          <w:i/>
          <w:sz w:val="20"/>
          <w:szCs w:val="20"/>
          <w:lang w:eastAsia="es-ES"/>
        </w:rPr>
        <w:t>J.</w:t>
      </w:r>
      <w:r w:rsidR="00E864F4" w:rsidRPr="00CA32B3">
        <w:rPr>
          <w:rFonts w:ascii="Verdana" w:hAnsi="Verdana"/>
          <w:sz w:val="20"/>
          <w:szCs w:val="20"/>
          <w:lang w:eastAsia="es-ES"/>
        </w:rPr>
        <w:t xml:space="preserve">, </w:t>
      </w:r>
      <w:r w:rsidR="00E864F4" w:rsidRPr="00CA32B3">
        <w:rPr>
          <w:rFonts w:ascii="Verdana" w:hAnsi="Verdana"/>
          <w:i/>
          <w:sz w:val="20"/>
          <w:szCs w:val="20"/>
          <w:lang w:eastAsia="es-ES"/>
        </w:rPr>
        <w:t>Penal Miguel Castro Castro</w:t>
      </w:r>
      <w:r w:rsidR="00E864F4" w:rsidRPr="00CA32B3">
        <w:rPr>
          <w:rFonts w:ascii="Verdana" w:hAnsi="Verdana"/>
          <w:sz w:val="20"/>
          <w:szCs w:val="20"/>
          <w:lang w:eastAsia="es-ES"/>
        </w:rPr>
        <w:t xml:space="preserve">, </w:t>
      </w:r>
      <w:r w:rsidR="00E864F4" w:rsidRPr="00CA32B3">
        <w:rPr>
          <w:rFonts w:ascii="Verdana" w:hAnsi="Verdana"/>
          <w:i/>
          <w:sz w:val="20"/>
          <w:szCs w:val="20"/>
          <w:lang w:eastAsia="es-ES"/>
        </w:rPr>
        <w:t>Tarazona Arrieta y otros</w:t>
      </w:r>
      <w:r w:rsidR="00E864F4" w:rsidRPr="00CA32B3">
        <w:rPr>
          <w:rFonts w:ascii="Verdana" w:hAnsi="Verdana"/>
          <w:sz w:val="20"/>
          <w:szCs w:val="20"/>
          <w:lang w:eastAsia="es-ES"/>
        </w:rPr>
        <w:t xml:space="preserve">, </w:t>
      </w:r>
      <w:r w:rsidR="00E864F4" w:rsidRPr="00CA32B3">
        <w:rPr>
          <w:rFonts w:ascii="Verdana" w:hAnsi="Verdana"/>
          <w:i/>
          <w:sz w:val="20"/>
          <w:szCs w:val="20"/>
          <w:lang w:eastAsia="es-ES"/>
        </w:rPr>
        <w:t>Espinoza González</w:t>
      </w:r>
      <w:r w:rsidR="00E864F4" w:rsidRPr="00CA32B3">
        <w:rPr>
          <w:rFonts w:ascii="Verdana" w:hAnsi="Verdana"/>
          <w:sz w:val="20"/>
          <w:szCs w:val="20"/>
          <w:lang w:eastAsia="es-ES"/>
        </w:rPr>
        <w:t xml:space="preserve">, </w:t>
      </w:r>
      <w:r w:rsidR="00E864F4" w:rsidRPr="00CA32B3">
        <w:rPr>
          <w:rFonts w:ascii="Verdana" w:hAnsi="Verdana"/>
          <w:i/>
          <w:sz w:val="20"/>
          <w:szCs w:val="20"/>
          <w:lang w:eastAsia="es-ES"/>
        </w:rPr>
        <w:t>Cruz Sánchez y otros</w:t>
      </w:r>
      <w:r w:rsidR="00E864F4" w:rsidRPr="00CA32B3">
        <w:rPr>
          <w:rFonts w:ascii="Verdana" w:hAnsi="Verdana"/>
          <w:sz w:val="20"/>
          <w:szCs w:val="20"/>
          <w:lang w:eastAsia="es-ES"/>
        </w:rPr>
        <w:t xml:space="preserve">, </w:t>
      </w:r>
      <w:r w:rsidR="00E864F4" w:rsidRPr="00CA32B3">
        <w:rPr>
          <w:rFonts w:ascii="Verdana" w:hAnsi="Verdana"/>
          <w:i/>
          <w:sz w:val="20"/>
          <w:szCs w:val="20"/>
          <w:lang w:eastAsia="es-ES"/>
        </w:rPr>
        <w:t>Canales Huapaya y otros</w:t>
      </w:r>
      <w:r w:rsidR="00E864F4" w:rsidRPr="00CA32B3">
        <w:rPr>
          <w:rFonts w:ascii="Verdana" w:hAnsi="Verdana"/>
          <w:sz w:val="20"/>
          <w:szCs w:val="20"/>
          <w:lang w:eastAsia="es-ES"/>
        </w:rPr>
        <w:t xml:space="preserve">, </w:t>
      </w:r>
      <w:r w:rsidR="00E864F4" w:rsidRPr="00CA32B3">
        <w:rPr>
          <w:rFonts w:ascii="Verdana" w:hAnsi="Verdana"/>
          <w:i/>
          <w:sz w:val="20"/>
          <w:szCs w:val="20"/>
          <w:lang w:eastAsia="es-ES"/>
        </w:rPr>
        <w:t>Comunidad Campesina de Santa Bárbara</w:t>
      </w:r>
      <w:r w:rsidR="00E864F4" w:rsidRPr="00CA32B3">
        <w:rPr>
          <w:rFonts w:ascii="Verdana" w:hAnsi="Verdana"/>
          <w:sz w:val="20"/>
          <w:szCs w:val="20"/>
          <w:lang w:eastAsia="es-ES"/>
        </w:rPr>
        <w:t xml:space="preserve">, </w:t>
      </w:r>
      <w:r w:rsidR="00E864F4" w:rsidRPr="00CA32B3">
        <w:rPr>
          <w:rFonts w:ascii="Verdana" w:hAnsi="Verdana"/>
          <w:i/>
          <w:sz w:val="20"/>
          <w:szCs w:val="20"/>
          <w:lang w:eastAsia="es-ES"/>
        </w:rPr>
        <w:t>Quispialaya Vilcapoma</w:t>
      </w:r>
      <w:r w:rsidR="00E864F4" w:rsidRPr="00CA32B3">
        <w:rPr>
          <w:rFonts w:ascii="Verdana" w:hAnsi="Verdana"/>
          <w:sz w:val="20"/>
          <w:szCs w:val="20"/>
          <w:lang w:eastAsia="es-ES"/>
        </w:rPr>
        <w:t xml:space="preserve">, y </w:t>
      </w:r>
      <w:r w:rsidR="00E864F4" w:rsidRPr="00CA32B3">
        <w:rPr>
          <w:rFonts w:ascii="Verdana" w:hAnsi="Verdana"/>
          <w:i/>
          <w:sz w:val="20"/>
          <w:szCs w:val="20"/>
          <w:lang w:eastAsia="es-ES"/>
        </w:rPr>
        <w:t xml:space="preserve">Tenorio Roca y otros vs. Perú </w:t>
      </w:r>
      <w:r w:rsidR="00E864F4" w:rsidRPr="00CA32B3">
        <w:rPr>
          <w:rFonts w:ascii="Verdana" w:hAnsi="Verdana"/>
          <w:sz w:val="20"/>
          <w:szCs w:val="20"/>
          <w:lang w:eastAsia="es-ES"/>
        </w:rPr>
        <w:t>el 14 de noviembre de 2017 sobre el reintegro realizado por el Estado al Fondo de Asistencia</w:t>
      </w:r>
      <w:r w:rsidRPr="00CA32B3">
        <w:rPr>
          <w:rStyle w:val="Refdenotaalpie"/>
          <w:rFonts w:ascii="Verdana" w:hAnsi="Verdana"/>
          <w:sz w:val="20"/>
          <w:szCs w:val="20"/>
          <w:lang w:eastAsia="es-ES"/>
        </w:rPr>
        <w:footnoteReference w:id="6"/>
      </w:r>
      <w:r w:rsidRPr="00CA32B3">
        <w:rPr>
          <w:rFonts w:ascii="Verdana" w:hAnsi="Verdana"/>
          <w:sz w:val="20"/>
          <w:szCs w:val="20"/>
          <w:lang w:eastAsia="es-ES"/>
        </w:rPr>
        <w:t>.</w:t>
      </w:r>
    </w:p>
    <w:p w14:paraId="30BA7698" w14:textId="4BEA791C" w:rsidR="00C449AB" w:rsidRPr="00CA32B3" w:rsidRDefault="00861763" w:rsidP="00690FE6">
      <w:pPr>
        <w:widowControl w:val="0"/>
        <w:suppressLineNumbers/>
        <w:spacing w:line="240" w:lineRule="auto"/>
        <w:jc w:val="both"/>
        <w:rPr>
          <w:rFonts w:ascii="Verdana" w:hAnsi="Verdana"/>
          <w:b/>
          <w:sz w:val="20"/>
          <w:szCs w:val="20"/>
        </w:rPr>
      </w:pPr>
      <w:r w:rsidRPr="00CA32B3">
        <w:rPr>
          <w:rFonts w:ascii="Verdana" w:hAnsi="Verdana"/>
          <w:sz w:val="20"/>
          <w:szCs w:val="20"/>
          <w:lang w:eastAsia="es-ES"/>
        </w:rPr>
        <w:t xml:space="preserve">4. </w:t>
      </w:r>
      <w:r w:rsidRPr="00CA32B3">
        <w:rPr>
          <w:rFonts w:ascii="Verdana" w:hAnsi="Verdana"/>
          <w:sz w:val="20"/>
          <w:szCs w:val="20"/>
          <w:lang w:eastAsia="es-ES"/>
        </w:rPr>
        <w:tab/>
      </w:r>
      <w:r w:rsidRPr="00CA32B3">
        <w:rPr>
          <w:rFonts w:ascii="Verdana" w:hAnsi="Verdana"/>
          <w:sz w:val="20"/>
          <w:szCs w:val="20"/>
        </w:rPr>
        <w:t>Los informes presentados por el Estado entre julio de 2016 y octubre de 20</w:t>
      </w:r>
      <w:r w:rsidR="00E864F4" w:rsidRPr="00CA32B3">
        <w:rPr>
          <w:rFonts w:ascii="Verdana" w:hAnsi="Verdana"/>
          <w:sz w:val="20"/>
          <w:szCs w:val="20"/>
        </w:rPr>
        <w:t>19</w:t>
      </w:r>
      <w:r w:rsidRPr="00CA32B3">
        <w:rPr>
          <w:rFonts w:ascii="Verdana" w:hAnsi="Verdana"/>
          <w:sz w:val="20"/>
          <w:szCs w:val="20"/>
        </w:rPr>
        <w:t xml:space="preserve">. </w:t>
      </w:r>
    </w:p>
    <w:p w14:paraId="5400F5A6" w14:textId="30068D7B" w:rsidR="00E864F4" w:rsidRPr="00CA32B3" w:rsidRDefault="00861763" w:rsidP="00690FE6">
      <w:pPr>
        <w:widowControl w:val="0"/>
        <w:suppressLineNumbers/>
        <w:spacing w:line="240" w:lineRule="auto"/>
        <w:jc w:val="both"/>
        <w:rPr>
          <w:rFonts w:ascii="Verdana" w:hAnsi="Verdana"/>
          <w:sz w:val="20"/>
          <w:szCs w:val="20"/>
        </w:rPr>
      </w:pPr>
      <w:r w:rsidRPr="00CA32B3">
        <w:rPr>
          <w:rFonts w:ascii="Verdana" w:hAnsi="Verdana"/>
          <w:sz w:val="20"/>
          <w:szCs w:val="20"/>
        </w:rPr>
        <w:t xml:space="preserve">5. </w:t>
      </w:r>
      <w:r w:rsidRPr="00CA32B3">
        <w:rPr>
          <w:rFonts w:ascii="Verdana" w:hAnsi="Verdana"/>
          <w:sz w:val="20"/>
          <w:szCs w:val="20"/>
        </w:rPr>
        <w:tab/>
        <w:t>Los escritos de observaciones presentados por los representantes de las víctimas (en adelante “los representantes”)</w:t>
      </w:r>
      <w:r w:rsidRPr="00CA32B3">
        <w:rPr>
          <w:rStyle w:val="Refdenotaalpie"/>
          <w:rFonts w:ascii="Verdana" w:hAnsi="Verdana"/>
          <w:sz w:val="20"/>
        </w:rPr>
        <w:footnoteReference w:id="7"/>
      </w:r>
      <w:r w:rsidRPr="00CA32B3">
        <w:rPr>
          <w:rFonts w:ascii="Verdana" w:hAnsi="Verdana"/>
          <w:sz w:val="20"/>
          <w:szCs w:val="20"/>
        </w:rPr>
        <w:t xml:space="preserve"> entre mayo de 2016 y octubre de 2020. </w:t>
      </w:r>
    </w:p>
    <w:p w14:paraId="085BEC6D" w14:textId="537CCC44" w:rsidR="00E864F4" w:rsidRPr="00CA32B3" w:rsidRDefault="00E864F4" w:rsidP="00690FE6">
      <w:pPr>
        <w:widowControl w:val="0"/>
        <w:suppressLineNumbers/>
        <w:spacing w:line="240" w:lineRule="auto"/>
        <w:jc w:val="both"/>
        <w:rPr>
          <w:rFonts w:ascii="Verdana" w:hAnsi="Verdana"/>
          <w:sz w:val="20"/>
          <w:szCs w:val="20"/>
        </w:rPr>
      </w:pPr>
      <w:r w:rsidRPr="00CA32B3">
        <w:rPr>
          <w:rFonts w:ascii="Verdana" w:hAnsi="Verdana"/>
          <w:sz w:val="20"/>
          <w:szCs w:val="20"/>
        </w:rPr>
        <w:t xml:space="preserve">6. </w:t>
      </w:r>
      <w:r w:rsidRPr="00CA32B3">
        <w:rPr>
          <w:rFonts w:ascii="Verdana" w:hAnsi="Verdana"/>
          <w:sz w:val="20"/>
          <w:szCs w:val="20"/>
        </w:rPr>
        <w:tab/>
      </w:r>
      <w:r w:rsidR="00861763" w:rsidRPr="00CA32B3">
        <w:rPr>
          <w:rFonts w:ascii="Verdana" w:hAnsi="Verdana"/>
          <w:sz w:val="20"/>
          <w:szCs w:val="20"/>
        </w:rPr>
        <w:t xml:space="preserve">Los escritos de observaciones presentados por la Comisión Interamericana de Derechos Humanos (en adelante “la Comisión Interamericana” o “la Comisión”) entre febrero de 2017 y abril de 2020. </w:t>
      </w:r>
    </w:p>
    <w:p w14:paraId="533EB14A" w14:textId="309E2FFA" w:rsidR="00C449AB" w:rsidRPr="00CA32B3" w:rsidRDefault="00E864F4" w:rsidP="00690FE6">
      <w:pPr>
        <w:widowControl w:val="0"/>
        <w:suppressLineNumbers/>
        <w:spacing w:line="240" w:lineRule="auto"/>
        <w:jc w:val="both"/>
        <w:rPr>
          <w:rFonts w:ascii="Verdana" w:hAnsi="Verdana"/>
          <w:sz w:val="20"/>
          <w:szCs w:val="20"/>
        </w:rPr>
      </w:pPr>
      <w:r w:rsidRPr="00CA32B3">
        <w:rPr>
          <w:rFonts w:ascii="Verdana" w:hAnsi="Verdana"/>
          <w:sz w:val="20"/>
          <w:szCs w:val="20"/>
        </w:rPr>
        <w:t xml:space="preserve">7. </w:t>
      </w:r>
      <w:r w:rsidRPr="00CA32B3">
        <w:rPr>
          <w:rFonts w:ascii="Verdana" w:hAnsi="Verdana"/>
          <w:sz w:val="20"/>
          <w:szCs w:val="20"/>
        </w:rPr>
        <w:tab/>
      </w:r>
      <w:r w:rsidR="00861763" w:rsidRPr="00CA32B3">
        <w:rPr>
          <w:rFonts w:ascii="Verdana" w:hAnsi="Verdana"/>
          <w:sz w:val="20"/>
        </w:rPr>
        <w:t>La audiencia privada sobre supervisión de cumplimiento de la Sentencia, celebrada de manera virtual el 7 de octubre de 2020 durante el 137° Período Ordinario de Sesiones</w:t>
      </w:r>
      <w:r w:rsidR="00861763" w:rsidRPr="00CA32B3">
        <w:rPr>
          <w:rStyle w:val="Refdenotaalpie"/>
          <w:rFonts w:ascii="Verdana" w:hAnsi="Verdana"/>
          <w:sz w:val="20"/>
        </w:rPr>
        <w:footnoteReference w:id="8"/>
      </w:r>
      <w:r w:rsidR="00861763" w:rsidRPr="00CA32B3">
        <w:rPr>
          <w:rFonts w:ascii="Verdana" w:hAnsi="Verdana"/>
          <w:sz w:val="20"/>
        </w:rPr>
        <w:t xml:space="preserve">. </w:t>
      </w:r>
    </w:p>
    <w:p w14:paraId="7E3CB41A" w14:textId="01F5B3C4" w:rsidR="00273718" w:rsidRPr="00CA32B3" w:rsidRDefault="00273718" w:rsidP="00690FE6">
      <w:pPr>
        <w:pStyle w:val="Prrafodelista"/>
        <w:numPr>
          <w:ilvl w:val="0"/>
          <w:numId w:val="2"/>
        </w:numPr>
        <w:suppressLineNumbers/>
        <w:spacing w:after="0" w:line="240" w:lineRule="auto"/>
        <w:ind w:left="0" w:firstLine="0"/>
        <w:jc w:val="both"/>
        <w:rPr>
          <w:rFonts w:ascii="Verdana" w:hAnsi="Verdana"/>
          <w:sz w:val="20"/>
          <w:szCs w:val="20"/>
          <w:lang w:val="es-CR"/>
        </w:rPr>
      </w:pPr>
      <w:r w:rsidRPr="00CA32B3">
        <w:rPr>
          <w:rFonts w:ascii="Verdana" w:hAnsi="Verdana"/>
          <w:sz w:val="20"/>
          <w:szCs w:val="20"/>
          <w:lang w:val="es-CR"/>
        </w:rPr>
        <w:lastRenderedPageBreak/>
        <w:t>El informe presentado el 1 de febrero de 2021 por el Estado referido a la supervisión de cumplimiento conjunta respecto de la medida de reparación relativa a determinar el paradero de las víctimas o localizar, identificar y entregar sus restos mortales ordenada en la</w:t>
      </w:r>
      <w:r w:rsidR="00C605BC" w:rsidRPr="00CA32B3">
        <w:rPr>
          <w:rFonts w:ascii="Verdana" w:hAnsi="Verdana"/>
          <w:sz w:val="20"/>
          <w:szCs w:val="20"/>
          <w:lang w:val="es-CR"/>
        </w:rPr>
        <w:t>s</w:t>
      </w:r>
      <w:r w:rsidRPr="00CA32B3">
        <w:rPr>
          <w:rFonts w:ascii="Verdana" w:hAnsi="Verdana"/>
          <w:sz w:val="20"/>
          <w:szCs w:val="20"/>
          <w:lang w:val="es-CR"/>
        </w:rPr>
        <w:t xml:space="preserve"> Sentencia</w:t>
      </w:r>
      <w:r w:rsidR="00C605BC" w:rsidRPr="00CA32B3">
        <w:rPr>
          <w:rFonts w:ascii="Verdana" w:hAnsi="Verdana"/>
          <w:sz w:val="20"/>
          <w:szCs w:val="20"/>
          <w:lang w:val="es-CR"/>
        </w:rPr>
        <w:t>s</w:t>
      </w:r>
      <w:r w:rsidRPr="00CA32B3">
        <w:rPr>
          <w:rFonts w:ascii="Verdana" w:hAnsi="Verdana"/>
          <w:sz w:val="20"/>
          <w:szCs w:val="20"/>
          <w:lang w:val="es-CR"/>
        </w:rPr>
        <w:t xml:space="preserve"> de once casos peruanos,</w:t>
      </w:r>
      <w:r w:rsidRPr="00CA32B3">
        <w:rPr>
          <w:rFonts w:ascii="Verdana" w:hAnsi="Verdana"/>
          <w:b/>
          <w:sz w:val="20"/>
          <w:szCs w:val="20"/>
          <w:lang w:val="es-CR"/>
        </w:rPr>
        <w:t xml:space="preserve"> </w:t>
      </w:r>
      <w:r w:rsidRPr="00CA32B3">
        <w:rPr>
          <w:rFonts w:ascii="Verdana" w:hAnsi="Verdana"/>
          <w:sz w:val="20"/>
          <w:szCs w:val="20"/>
          <w:lang w:val="es-CR"/>
        </w:rPr>
        <w:t>y las observaciones presentadas por los representantes el 28 de mayo de 2021</w:t>
      </w:r>
      <w:r w:rsidRPr="00CA32B3">
        <w:rPr>
          <w:rStyle w:val="Refdenotaalpie"/>
          <w:rFonts w:ascii="Verdana" w:hAnsi="Verdana"/>
          <w:sz w:val="20"/>
          <w:szCs w:val="20"/>
          <w:lang w:val="es-CR"/>
        </w:rPr>
        <w:footnoteReference w:id="9"/>
      </w:r>
      <w:r w:rsidRPr="00CA32B3">
        <w:rPr>
          <w:rFonts w:ascii="Verdana" w:hAnsi="Verdana"/>
          <w:sz w:val="20"/>
          <w:szCs w:val="20"/>
          <w:lang w:val="es-CR"/>
        </w:rPr>
        <w:t xml:space="preserve">. La Comisión no presentó observaciones. </w:t>
      </w:r>
    </w:p>
    <w:p w14:paraId="30F39BDD" w14:textId="77777777" w:rsidR="00C449AB" w:rsidRPr="00CA32B3" w:rsidRDefault="00C449AB" w:rsidP="00690FE6">
      <w:pPr>
        <w:pStyle w:val="Prrafodelista"/>
        <w:suppressLineNumbers/>
        <w:spacing w:after="0" w:line="240" w:lineRule="auto"/>
        <w:rPr>
          <w:rFonts w:ascii="Verdana" w:hAnsi="Verdana"/>
          <w:b/>
          <w:sz w:val="20"/>
        </w:rPr>
      </w:pPr>
    </w:p>
    <w:p w14:paraId="0CAF4661" w14:textId="77777777" w:rsidR="00C449AB" w:rsidRPr="00CA32B3" w:rsidRDefault="00861763" w:rsidP="00690FE6">
      <w:pPr>
        <w:suppressLineNumbers/>
        <w:tabs>
          <w:tab w:val="left" w:pos="680"/>
        </w:tabs>
        <w:spacing w:after="0" w:line="240" w:lineRule="auto"/>
        <w:jc w:val="both"/>
        <w:rPr>
          <w:rFonts w:ascii="Verdana" w:hAnsi="Verdana"/>
          <w:b/>
          <w:sz w:val="20"/>
        </w:rPr>
      </w:pPr>
      <w:r w:rsidRPr="00CA32B3">
        <w:rPr>
          <w:rFonts w:ascii="Verdana" w:hAnsi="Verdana"/>
          <w:b/>
          <w:sz w:val="20"/>
        </w:rPr>
        <w:t>CONSIDERANDO QUE:</w:t>
      </w:r>
    </w:p>
    <w:p w14:paraId="3B2BA997" w14:textId="77777777" w:rsidR="00C449AB" w:rsidRPr="00CA32B3" w:rsidRDefault="00C449AB" w:rsidP="00690FE6">
      <w:pPr>
        <w:suppressLineNumbers/>
        <w:tabs>
          <w:tab w:val="left" w:pos="680"/>
        </w:tabs>
        <w:spacing w:after="0" w:line="240" w:lineRule="auto"/>
        <w:jc w:val="both"/>
        <w:rPr>
          <w:rFonts w:ascii="Verdana" w:hAnsi="Verdana"/>
          <w:sz w:val="20"/>
        </w:rPr>
      </w:pPr>
    </w:p>
    <w:p w14:paraId="1515E218" w14:textId="63D8E4D3" w:rsidR="00C449AB" w:rsidRPr="00CA32B3" w:rsidRDefault="00861763" w:rsidP="00690FE6">
      <w:pPr>
        <w:numPr>
          <w:ilvl w:val="0"/>
          <w:numId w:val="3"/>
        </w:numPr>
        <w:suppressLineNumbers/>
        <w:spacing w:after="0" w:line="240" w:lineRule="auto"/>
        <w:ind w:left="0" w:firstLine="0"/>
        <w:jc w:val="both"/>
        <w:rPr>
          <w:rFonts w:ascii="Verdana" w:hAnsi="Verdana" w:cs="Verdana"/>
          <w:sz w:val="20"/>
          <w:szCs w:val="20"/>
        </w:rPr>
      </w:pPr>
      <w:r w:rsidRPr="00CA32B3">
        <w:rPr>
          <w:rFonts w:ascii="Verdana" w:hAnsi="Verdana"/>
          <w:sz w:val="20"/>
          <w:szCs w:val="20"/>
        </w:rPr>
        <w:t>En el ejercicio de su función jurisdiccional de supervisar el cumplimiento de sus decisiones</w:t>
      </w:r>
      <w:r w:rsidRPr="00CA32B3">
        <w:rPr>
          <w:rStyle w:val="Refdenotaalpie"/>
          <w:rFonts w:ascii="Verdana" w:hAnsi="Verdana"/>
          <w:sz w:val="20"/>
        </w:rPr>
        <w:footnoteReference w:id="10"/>
      </w:r>
      <w:r w:rsidRPr="00CA32B3">
        <w:rPr>
          <w:rFonts w:ascii="Verdana" w:hAnsi="Verdana"/>
          <w:sz w:val="20"/>
          <w:szCs w:val="20"/>
        </w:rPr>
        <w:t>, la Corte ha venido supervisando la ejecución de la Sentencia emitida en el presente caso en el 2015 (</w:t>
      </w:r>
      <w:r w:rsidRPr="00CA32B3">
        <w:rPr>
          <w:rFonts w:ascii="Verdana" w:hAnsi="Verdana"/>
          <w:i/>
          <w:sz w:val="20"/>
          <w:szCs w:val="20"/>
        </w:rPr>
        <w:t>supra</w:t>
      </w:r>
      <w:r w:rsidRPr="00CA32B3">
        <w:rPr>
          <w:rFonts w:ascii="Verdana" w:hAnsi="Verdana"/>
          <w:sz w:val="20"/>
          <w:szCs w:val="20"/>
        </w:rPr>
        <w:t xml:space="preserve"> Visto 1). En la Sentencia, el Tribunal dispuso </w:t>
      </w:r>
      <w:r w:rsidR="009140AF" w:rsidRPr="00CA32B3">
        <w:rPr>
          <w:rFonts w:ascii="Verdana" w:hAnsi="Verdana"/>
          <w:sz w:val="20"/>
          <w:szCs w:val="20"/>
        </w:rPr>
        <w:t>ocho</w:t>
      </w:r>
      <w:r w:rsidRPr="00CA32B3">
        <w:rPr>
          <w:rFonts w:ascii="Verdana" w:hAnsi="Verdana"/>
          <w:sz w:val="20"/>
          <w:szCs w:val="20"/>
        </w:rPr>
        <w:t xml:space="preserve"> medidas de reparación (</w:t>
      </w:r>
      <w:r w:rsidRPr="00CA32B3">
        <w:rPr>
          <w:rFonts w:ascii="Verdana" w:hAnsi="Verdana"/>
          <w:i/>
          <w:sz w:val="20"/>
          <w:szCs w:val="20"/>
        </w:rPr>
        <w:t>infra</w:t>
      </w:r>
      <w:r w:rsidRPr="00CA32B3">
        <w:rPr>
          <w:rFonts w:ascii="Verdana" w:hAnsi="Verdana"/>
          <w:sz w:val="20"/>
          <w:szCs w:val="20"/>
        </w:rPr>
        <w:t xml:space="preserve"> Considerandos 4</w:t>
      </w:r>
      <w:r w:rsidR="00FF0F25" w:rsidRPr="00CA32B3">
        <w:rPr>
          <w:rFonts w:ascii="Verdana" w:hAnsi="Verdana"/>
          <w:sz w:val="20"/>
          <w:szCs w:val="20"/>
        </w:rPr>
        <w:t xml:space="preserve"> a 6</w:t>
      </w:r>
      <w:r w:rsidRPr="00CA32B3">
        <w:rPr>
          <w:rFonts w:ascii="Verdana" w:hAnsi="Verdana"/>
          <w:sz w:val="20"/>
          <w:szCs w:val="20"/>
        </w:rPr>
        <w:t xml:space="preserve">, </w:t>
      </w:r>
      <w:r w:rsidR="00540882" w:rsidRPr="00CA32B3">
        <w:rPr>
          <w:rFonts w:ascii="Verdana" w:hAnsi="Verdana"/>
          <w:sz w:val="20"/>
          <w:szCs w:val="20"/>
        </w:rPr>
        <w:t>23, 24, 35, 43, 50 y 57</w:t>
      </w:r>
      <w:r w:rsidRPr="00CA32B3">
        <w:rPr>
          <w:rFonts w:ascii="Verdana" w:hAnsi="Verdana"/>
          <w:sz w:val="20"/>
          <w:szCs w:val="20"/>
        </w:rPr>
        <w:t>) y el reintegro al Fondo de Asistencia</w:t>
      </w:r>
      <w:r w:rsidR="009620CA" w:rsidRPr="00CA32B3">
        <w:rPr>
          <w:rFonts w:ascii="Verdana" w:hAnsi="Verdana"/>
          <w:sz w:val="20"/>
          <w:szCs w:val="20"/>
        </w:rPr>
        <w:t>, el cual ya fue realizado (</w:t>
      </w:r>
      <w:r w:rsidR="009620CA" w:rsidRPr="00CA32B3">
        <w:rPr>
          <w:rFonts w:ascii="Verdana" w:hAnsi="Verdana"/>
          <w:i/>
          <w:sz w:val="20"/>
          <w:szCs w:val="20"/>
        </w:rPr>
        <w:t xml:space="preserve">supra </w:t>
      </w:r>
      <w:r w:rsidR="009620CA" w:rsidRPr="00CA32B3">
        <w:rPr>
          <w:rFonts w:ascii="Verdana" w:hAnsi="Verdana"/>
          <w:sz w:val="20"/>
          <w:szCs w:val="20"/>
        </w:rPr>
        <w:t>Visto 3)</w:t>
      </w:r>
      <w:r w:rsidRPr="00CA32B3">
        <w:rPr>
          <w:rFonts w:ascii="Verdana" w:hAnsi="Verdana"/>
          <w:sz w:val="20"/>
          <w:szCs w:val="20"/>
        </w:rPr>
        <w:t xml:space="preserve">. </w:t>
      </w:r>
    </w:p>
    <w:p w14:paraId="038F7D34" w14:textId="77777777" w:rsidR="00C449AB" w:rsidRPr="00CA32B3" w:rsidRDefault="00C449AB" w:rsidP="00690FE6">
      <w:pPr>
        <w:suppressLineNumbers/>
        <w:spacing w:after="0" w:line="240" w:lineRule="auto"/>
        <w:jc w:val="both"/>
        <w:rPr>
          <w:rFonts w:ascii="Verdana" w:hAnsi="Verdana" w:cs="Verdana"/>
          <w:sz w:val="20"/>
          <w:szCs w:val="20"/>
        </w:rPr>
      </w:pPr>
    </w:p>
    <w:p w14:paraId="32C2D622" w14:textId="77777777" w:rsidR="00C449AB" w:rsidRPr="00CA32B3" w:rsidRDefault="00861763" w:rsidP="00690FE6">
      <w:pPr>
        <w:numPr>
          <w:ilvl w:val="0"/>
          <w:numId w:val="3"/>
        </w:numPr>
        <w:suppressLineNumbers/>
        <w:spacing w:line="240" w:lineRule="auto"/>
        <w:ind w:left="0" w:firstLine="0"/>
        <w:jc w:val="both"/>
        <w:rPr>
          <w:rFonts w:ascii="Verdana" w:hAnsi="Verdana" w:cs="Verdana"/>
          <w:sz w:val="20"/>
          <w:szCs w:val="20"/>
        </w:rPr>
      </w:pPr>
      <w:r w:rsidRPr="00CA32B3">
        <w:rPr>
          <w:rFonts w:ascii="Verdana" w:hAnsi="Verdana" w:cs="Verdana"/>
          <w:sz w:val="20"/>
          <w:szCs w:val="20"/>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sidRPr="00CA32B3">
        <w:rPr>
          <w:rStyle w:val="Refdenotaalpie"/>
          <w:rFonts w:ascii="Verdana" w:hAnsi="Verdana" w:cs="Verdana"/>
          <w:sz w:val="20"/>
        </w:rPr>
        <w:footnoteReference w:id="11"/>
      </w:r>
      <w:r w:rsidRPr="00CA32B3">
        <w:rPr>
          <w:rFonts w:ascii="Verdana" w:hAnsi="Verdana" w:cs="Verdana"/>
          <w:sz w:val="20"/>
          <w:szCs w:val="20"/>
        </w:rPr>
        <w:t>. Los Estados Parte en la Convención deben garantizar el cumplimiento de las disposiciones convencionales y sus efectos propios (</w:t>
      </w:r>
      <w:r w:rsidRPr="00CA32B3">
        <w:rPr>
          <w:rFonts w:ascii="Verdana" w:hAnsi="Verdana" w:cs="Verdana"/>
          <w:i/>
          <w:sz w:val="20"/>
          <w:szCs w:val="20"/>
        </w:rPr>
        <w:t>effet utile</w:t>
      </w:r>
      <w:r w:rsidRPr="00CA32B3">
        <w:rPr>
          <w:rFonts w:ascii="Verdana" w:hAnsi="Verdana" w:cs="Verdana"/>
          <w:sz w:val="20"/>
          <w:szCs w:val="20"/>
        </w:rPr>
        <w:t>) en el plano de sus respectivos derechos internos. Estas obligaciones deben ser interpretadas y aplicadas de manera que la garantía protegida sea verdaderamente práctica y eficaz, teniendo presente la naturaleza especial de los tratados de derechos humanos</w:t>
      </w:r>
      <w:r w:rsidRPr="00CA32B3">
        <w:rPr>
          <w:rStyle w:val="Refdenotaalpie"/>
          <w:rFonts w:ascii="Verdana" w:hAnsi="Verdana" w:cs="Verdana"/>
          <w:sz w:val="20"/>
        </w:rPr>
        <w:footnoteReference w:id="12"/>
      </w:r>
      <w:r w:rsidRPr="00CA32B3">
        <w:rPr>
          <w:rFonts w:ascii="Verdana" w:hAnsi="Verdana" w:cs="Verdana"/>
          <w:sz w:val="20"/>
          <w:szCs w:val="20"/>
        </w:rPr>
        <w:t>.</w:t>
      </w:r>
    </w:p>
    <w:p w14:paraId="779DB090" w14:textId="77777777" w:rsidR="00C449AB" w:rsidRPr="00CA32B3" w:rsidRDefault="00861763" w:rsidP="00690FE6">
      <w:pPr>
        <w:numPr>
          <w:ilvl w:val="0"/>
          <w:numId w:val="3"/>
        </w:numPr>
        <w:suppressLineNumbers/>
        <w:spacing w:line="240" w:lineRule="auto"/>
        <w:ind w:left="0" w:firstLine="0"/>
        <w:jc w:val="both"/>
        <w:rPr>
          <w:rFonts w:ascii="Verdana" w:hAnsi="Verdana" w:cs="Verdana"/>
          <w:sz w:val="20"/>
          <w:szCs w:val="20"/>
          <w:lang w:val="es-ES"/>
        </w:rPr>
      </w:pPr>
      <w:r w:rsidRPr="00CA32B3">
        <w:rPr>
          <w:rFonts w:ascii="Verdana" w:hAnsi="Verdana" w:cs="Verdana"/>
          <w:sz w:val="20"/>
          <w:szCs w:val="20"/>
          <w:lang w:val="es-ES"/>
        </w:rPr>
        <w:t>Seguidamente, la Corte determinará el grado de cumplimiento por parte del Estado de todas las reparaciones ordenadas en la Sentencia. El Tribunal estructurará sus consideraciones en el siguiente orden</w:t>
      </w:r>
      <w:r w:rsidRPr="00CA32B3">
        <w:rPr>
          <w:rFonts w:ascii="Verdana" w:hAnsi="Verdana" w:cs="Verdana"/>
          <w:sz w:val="20"/>
          <w:szCs w:val="20"/>
        </w:rPr>
        <w:t>:</w:t>
      </w:r>
    </w:p>
    <w:sdt>
      <w:sdtPr>
        <w:rPr>
          <w:rFonts w:ascii="Verdana" w:hAnsi="Verdana" w:cs="Verdana"/>
          <w:b/>
          <w:i/>
          <w:sz w:val="16"/>
          <w:szCs w:val="16"/>
          <w:lang w:val="es-ES"/>
        </w:rPr>
        <w:id w:val="2057505141"/>
        <w:docPartObj>
          <w:docPartGallery w:val="Table of Contents"/>
          <w:docPartUnique/>
        </w:docPartObj>
      </w:sdtPr>
      <w:sdtEndPr>
        <w:rPr>
          <w:bCs/>
          <w:sz w:val="20"/>
          <w:szCs w:val="18"/>
        </w:rPr>
      </w:sdtEndPr>
      <w:sdtContent>
        <w:p w14:paraId="778B78D3" w14:textId="77777777" w:rsidR="00C449AB" w:rsidRPr="00CA32B3" w:rsidRDefault="00861763" w:rsidP="00690FE6">
          <w:pPr>
            <w:suppressLineNumbers/>
            <w:jc w:val="both"/>
            <w:rPr>
              <w:rFonts w:ascii="Verdana" w:hAnsi="Verdana"/>
              <w:noProof/>
              <w:sz w:val="20"/>
              <w:szCs w:val="20"/>
              <w:lang w:val="es-ES"/>
            </w:rPr>
          </w:pPr>
          <w:r w:rsidRPr="00CA32B3">
            <w:rPr>
              <w:rFonts w:eastAsiaTheme="majorEastAsia" w:cstheme="majorBidi"/>
              <w:color w:val="2E74B5" w:themeColor="accent1" w:themeShade="BF"/>
              <w:sz w:val="20"/>
              <w:szCs w:val="18"/>
            </w:rPr>
            <w:fldChar w:fldCharType="begin"/>
          </w:r>
          <w:r w:rsidRPr="00CA32B3">
            <w:rPr>
              <w:sz w:val="20"/>
              <w:szCs w:val="18"/>
            </w:rPr>
            <w:instrText xml:space="preserve"> TOC \o "1-3" \h \z \u </w:instrText>
          </w:r>
          <w:r w:rsidRPr="00CA32B3">
            <w:rPr>
              <w:rFonts w:eastAsiaTheme="majorEastAsia" w:cstheme="majorBidi"/>
              <w:color w:val="2E74B5" w:themeColor="accent1" w:themeShade="BF"/>
              <w:sz w:val="20"/>
              <w:szCs w:val="18"/>
            </w:rPr>
            <w:fldChar w:fldCharType="separate"/>
          </w:r>
        </w:p>
        <w:p w14:paraId="3CA721E0" w14:textId="73D0EA96" w:rsidR="00C449AB" w:rsidRPr="00CA32B3" w:rsidRDefault="00826BA5" w:rsidP="00690FE6">
          <w:pPr>
            <w:pStyle w:val="TDC1"/>
            <w:suppressLineNumbers/>
            <w:tabs>
              <w:tab w:val="clear" w:pos="660"/>
              <w:tab w:val="clear" w:pos="720"/>
              <w:tab w:val="clear" w:pos="9350"/>
              <w:tab w:val="right" w:leader="dot" w:pos="9360"/>
            </w:tabs>
            <w:jc w:val="both"/>
            <w:rPr>
              <w:b w:val="0"/>
              <w:noProof/>
              <w:sz w:val="20"/>
              <w:szCs w:val="20"/>
            </w:rPr>
          </w:pPr>
          <w:hyperlink w:anchor="_Toc18501" w:history="1">
            <w:r w:rsidR="00861763" w:rsidRPr="00CA32B3">
              <w:rPr>
                <w:b w:val="0"/>
                <w:noProof/>
                <w:sz w:val="20"/>
                <w:szCs w:val="20"/>
                <w:lang w:val="es-CR"/>
              </w:rPr>
              <w:t xml:space="preserve">A) </w:t>
            </w:r>
            <w:r w:rsidR="00861763" w:rsidRPr="00CA32B3">
              <w:rPr>
                <w:rFonts w:eastAsia="Calibri"/>
                <w:b w:val="0"/>
                <w:iCs/>
                <w:noProof/>
                <w:sz w:val="20"/>
                <w:szCs w:val="20"/>
              </w:rPr>
              <w:t xml:space="preserve">Obligación de investigar los hechos, identificar, juzgar y, en su caso, </w:t>
            </w:r>
            <w:r w:rsidR="00861763" w:rsidRPr="00CA32B3">
              <w:rPr>
                <w:rFonts w:eastAsia="Calibri"/>
                <w:b w:val="0"/>
                <w:iCs/>
                <w:noProof/>
                <w:sz w:val="20"/>
                <w:szCs w:val="20"/>
                <w:lang w:val="es-CR"/>
              </w:rPr>
              <w:t>sancionar a los responsables</w:t>
            </w:r>
            <w:r w:rsidR="00861763" w:rsidRPr="00CA32B3">
              <w:rPr>
                <w:b w:val="0"/>
                <w:noProof/>
                <w:sz w:val="20"/>
                <w:szCs w:val="20"/>
              </w:rPr>
              <w:tab/>
            </w:r>
            <w:r w:rsidR="00861763" w:rsidRPr="00CA32B3">
              <w:rPr>
                <w:b w:val="0"/>
                <w:noProof/>
                <w:sz w:val="20"/>
                <w:szCs w:val="20"/>
              </w:rPr>
              <w:fldChar w:fldCharType="begin"/>
            </w:r>
            <w:r w:rsidR="00861763" w:rsidRPr="00CA32B3">
              <w:rPr>
                <w:b w:val="0"/>
                <w:noProof/>
                <w:sz w:val="20"/>
                <w:szCs w:val="20"/>
              </w:rPr>
              <w:instrText xml:space="preserve"> PAGEREF _Toc18501 \h </w:instrText>
            </w:r>
            <w:r w:rsidR="00861763" w:rsidRPr="00CA32B3">
              <w:rPr>
                <w:b w:val="0"/>
                <w:noProof/>
                <w:sz w:val="20"/>
                <w:szCs w:val="20"/>
              </w:rPr>
            </w:r>
            <w:r w:rsidR="00861763" w:rsidRPr="00CA32B3">
              <w:rPr>
                <w:b w:val="0"/>
                <w:noProof/>
                <w:sz w:val="20"/>
                <w:szCs w:val="20"/>
              </w:rPr>
              <w:fldChar w:fldCharType="separate"/>
            </w:r>
            <w:r w:rsidR="00FB3CB6" w:rsidRPr="00CA32B3">
              <w:rPr>
                <w:b w:val="0"/>
                <w:noProof/>
                <w:sz w:val="20"/>
                <w:szCs w:val="20"/>
              </w:rPr>
              <w:t>4</w:t>
            </w:r>
            <w:r w:rsidR="00861763" w:rsidRPr="00CA32B3">
              <w:rPr>
                <w:b w:val="0"/>
                <w:noProof/>
                <w:sz w:val="20"/>
                <w:szCs w:val="20"/>
              </w:rPr>
              <w:fldChar w:fldCharType="end"/>
            </w:r>
          </w:hyperlink>
        </w:p>
        <w:p w14:paraId="72CB6584" w14:textId="7D5805C0" w:rsidR="00C449AB" w:rsidRPr="00CA32B3" w:rsidRDefault="00826BA5" w:rsidP="00690FE6">
          <w:pPr>
            <w:pStyle w:val="TDC1"/>
            <w:suppressLineNumbers/>
            <w:tabs>
              <w:tab w:val="clear" w:pos="660"/>
              <w:tab w:val="clear" w:pos="720"/>
              <w:tab w:val="clear" w:pos="9350"/>
              <w:tab w:val="right" w:pos="2400"/>
              <w:tab w:val="right" w:leader="dot" w:pos="9360"/>
            </w:tabs>
            <w:jc w:val="both"/>
            <w:rPr>
              <w:b w:val="0"/>
              <w:noProof/>
              <w:sz w:val="20"/>
              <w:szCs w:val="20"/>
            </w:rPr>
          </w:pPr>
          <w:hyperlink w:anchor="_Toc32234" w:history="1">
            <w:r w:rsidR="00861763" w:rsidRPr="00CA32B3">
              <w:rPr>
                <w:rFonts w:eastAsia="Calibri"/>
                <w:b w:val="0"/>
                <w:noProof/>
                <w:sz w:val="20"/>
                <w:szCs w:val="20"/>
              </w:rPr>
              <w:t xml:space="preserve">B) </w:t>
            </w:r>
            <w:r w:rsidR="00861763" w:rsidRPr="00CA32B3">
              <w:rPr>
                <w:rFonts w:eastAsia="Calibri"/>
                <w:b w:val="0"/>
                <w:noProof/>
                <w:sz w:val="20"/>
                <w:szCs w:val="20"/>
              </w:rPr>
              <w:tab/>
            </w:r>
            <w:r w:rsidR="00861763" w:rsidRPr="00CA32B3">
              <w:rPr>
                <w:rFonts w:eastAsiaTheme="minorHAnsi" w:cs="Arial"/>
                <w:b w:val="0"/>
                <w:noProof/>
                <w:sz w:val="20"/>
                <w:szCs w:val="20"/>
                <w:lang w:eastAsia="en-US"/>
              </w:rPr>
              <w:t xml:space="preserve">Buscar, exhumar e identificar los restos humanos localizados en </w:t>
            </w:r>
            <w:r w:rsidR="00861763" w:rsidRPr="00CA32B3">
              <w:rPr>
                <w:rFonts w:eastAsiaTheme="minorHAnsi" w:cs="ArialMT"/>
                <w:b w:val="0"/>
                <w:noProof/>
                <w:sz w:val="20"/>
                <w:szCs w:val="20"/>
                <w:lang w:eastAsia="en-US"/>
              </w:rPr>
              <w:t xml:space="preserve">la mina </w:t>
            </w:r>
            <w:r w:rsidR="00203265" w:rsidRPr="00CA32B3">
              <w:rPr>
                <w:rFonts w:eastAsiaTheme="minorHAnsi" w:cs="ArialMT"/>
                <w:b w:val="0"/>
                <w:noProof/>
                <w:sz w:val="20"/>
                <w:szCs w:val="20"/>
                <w:lang w:eastAsia="en-US"/>
              </w:rPr>
              <w:t>‘</w:t>
            </w:r>
            <w:r w:rsidR="00861763" w:rsidRPr="00CA32B3">
              <w:rPr>
                <w:rFonts w:eastAsiaTheme="minorHAnsi" w:cs="ArialMT"/>
                <w:b w:val="0"/>
                <w:noProof/>
                <w:sz w:val="20"/>
                <w:szCs w:val="20"/>
                <w:lang w:eastAsia="en-US"/>
              </w:rPr>
              <w:t>Misteriosa</w:t>
            </w:r>
            <w:r w:rsidR="00203265" w:rsidRPr="00CA32B3">
              <w:rPr>
                <w:rFonts w:eastAsiaTheme="minorHAnsi" w:cs="ArialMT"/>
                <w:b w:val="0"/>
                <w:noProof/>
                <w:sz w:val="20"/>
                <w:szCs w:val="20"/>
                <w:lang w:eastAsia="en-US"/>
              </w:rPr>
              <w:t>’ o ‘</w:t>
            </w:r>
            <w:r w:rsidR="00861763" w:rsidRPr="00CA32B3">
              <w:rPr>
                <w:rFonts w:eastAsiaTheme="minorHAnsi" w:cs="ArialMT"/>
                <w:b w:val="0"/>
                <w:noProof/>
                <w:sz w:val="20"/>
                <w:szCs w:val="20"/>
                <w:lang w:eastAsia="en-US"/>
              </w:rPr>
              <w:t>Vallarón</w:t>
            </w:r>
            <w:r w:rsidR="00203265" w:rsidRPr="00CA32B3">
              <w:rPr>
                <w:rFonts w:eastAsiaTheme="minorHAnsi" w:cs="ArialMT"/>
                <w:b w:val="0"/>
                <w:noProof/>
                <w:sz w:val="20"/>
                <w:szCs w:val="20"/>
                <w:lang w:eastAsia="en-US"/>
              </w:rPr>
              <w:t>’</w:t>
            </w:r>
            <w:r w:rsidR="00861763" w:rsidRPr="00CA32B3">
              <w:rPr>
                <w:b w:val="0"/>
                <w:noProof/>
                <w:sz w:val="20"/>
                <w:szCs w:val="20"/>
              </w:rPr>
              <w:tab/>
            </w:r>
            <w:r w:rsidR="003B0831" w:rsidRPr="00CA32B3">
              <w:rPr>
                <w:b w:val="0"/>
                <w:noProof/>
                <w:sz w:val="20"/>
                <w:szCs w:val="20"/>
              </w:rPr>
              <w:t>…………………………………………………………………………………………………………………………………..</w:t>
            </w:r>
            <w:r w:rsidR="00861763" w:rsidRPr="00CA32B3">
              <w:rPr>
                <w:b w:val="0"/>
                <w:noProof/>
                <w:sz w:val="20"/>
                <w:szCs w:val="20"/>
              </w:rPr>
              <w:fldChar w:fldCharType="begin"/>
            </w:r>
            <w:r w:rsidR="00861763" w:rsidRPr="00CA32B3">
              <w:rPr>
                <w:b w:val="0"/>
                <w:noProof/>
                <w:sz w:val="20"/>
                <w:szCs w:val="20"/>
              </w:rPr>
              <w:instrText xml:space="preserve"> PAGEREF _Toc32234 \h </w:instrText>
            </w:r>
            <w:r w:rsidR="00861763" w:rsidRPr="00CA32B3">
              <w:rPr>
                <w:b w:val="0"/>
                <w:noProof/>
                <w:sz w:val="20"/>
                <w:szCs w:val="20"/>
              </w:rPr>
            </w:r>
            <w:r w:rsidR="00861763" w:rsidRPr="00CA32B3">
              <w:rPr>
                <w:b w:val="0"/>
                <w:noProof/>
                <w:sz w:val="20"/>
                <w:szCs w:val="20"/>
              </w:rPr>
              <w:fldChar w:fldCharType="separate"/>
            </w:r>
            <w:r w:rsidR="00FB3CB6" w:rsidRPr="00CA32B3">
              <w:rPr>
                <w:b w:val="0"/>
                <w:noProof/>
                <w:sz w:val="20"/>
                <w:szCs w:val="20"/>
              </w:rPr>
              <w:t>11</w:t>
            </w:r>
            <w:r w:rsidR="00861763" w:rsidRPr="00CA32B3">
              <w:rPr>
                <w:b w:val="0"/>
                <w:noProof/>
                <w:sz w:val="20"/>
                <w:szCs w:val="20"/>
              </w:rPr>
              <w:fldChar w:fldCharType="end"/>
            </w:r>
          </w:hyperlink>
        </w:p>
        <w:p w14:paraId="00025C50" w14:textId="4F266C6B" w:rsidR="00C449AB" w:rsidRPr="00CA32B3" w:rsidRDefault="00826BA5" w:rsidP="00690FE6">
          <w:pPr>
            <w:pStyle w:val="TDC1"/>
            <w:suppressLineNumbers/>
            <w:tabs>
              <w:tab w:val="clear" w:pos="660"/>
              <w:tab w:val="clear" w:pos="720"/>
              <w:tab w:val="clear" w:pos="9350"/>
              <w:tab w:val="right" w:pos="2400"/>
              <w:tab w:val="right" w:leader="dot" w:pos="9360"/>
            </w:tabs>
            <w:jc w:val="both"/>
            <w:rPr>
              <w:b w:val="0"/>
              <w:noProof/>
              <w:sz w:val="20"/>
              <w:szCs w:val="20"/>
            </w:rPr>
          </w:pPr>
          <w:hyperlink w:anchor="_Toc28972" w:history="1">
            <w:r w:rsidR="00861763" w:rsidRPr="00CA32B3">
              <w:rPr>
                <w:rFonts w:eastAsia="Calibri"/>
                <w:b w:val="0"/>
                <w:noProof/>
                <w:sz w:val="20"/>
                <w:szCs w:val="20"/>
              </w:rPr>
              <w:t xml:space="preserve">C) </w:t>
            </w:r>
            <w:r w:rsidR="00861763" w:rsidRPr="00CA32B3">
              <w:rPr>
                <w:rFonts w:eastAsia="Calibri"/>
                <w:b w:val="0"/>
                <w:noProof/>
                <w:sz w:val="20"/>
                <w:szCs w:val="20"/>
              </w:rPr>
              <w:tab/>
              <w:t>Asistencia para ganadería y construcción de viviendas</w:t>
            </w:r>
            <w:r w:rsidR="00861763" w:rsidRPr="00CA32B3">
              <w:rPr>
                <w:b w:val="0"/>
                <w:noProof/>
                <w:sz w:val="20"/>
                <w:szCs w:val="20"/>
              </w:rPr>
              <w:tab/>
            </w:r>
            <w:r w:rsidR="00861763" w:rsidRPr="00CA32B3">
              <w:rPr>
                <w:b w:val="0"/>
                <w:noProof/>
                <w:sz w:val="20"/>
                <w:szCs w:val="20"/>
              </w:rPr>
              <w:fldChar w:fldCharType="begin"/>
            </w:r>
            <w:r w:rsidR="00861763" w:rsidRPr="00CA32B3">
              <w:rPr>
                <w:b w:val="0"/>
                <w:noProof/>
                <w:sz w:val="20"/>
                <w:szCs w:val="20"/>
              </w:rPr>
              <w:instrText xml:space="preserve"> PAGEREF _Toc28972 \h </w:instrText>
            </w:r>
            <w:r w:rsidR="00861763" w:rsidRPr="00CA32B3">
              <w:rPr>
                <w:b w:val="0"/>
                <w:noProof/>
                <w:sz w:val="20"/>
                <w:szCs w:val="20"/>
              </w:rPr>
            </w:r>
            <w:r w:rsidR="00861763" w:rsidRPr="00CA32B3">
              <w:rPr>
                <w:b w:val="0"/>
                <w:noProof/>
                <w:sz w:val="20"/>
                <w:szCs w:val="20"/>
              </w:rPr>
              <w:fldChar w:fldCharType="separate"/>
            </w:r>
            <w:r w:rsidR="00FB3CB6" w:rsidRPr="00CA32B3">
              <w:rPr>
                <w:b w:val="0"/>
                <w:noProof/>
                <w:sz w:val="20"/>
                <w:szCs w:val="20"/>
              </w:rPr>
              <w:t>18</w:t>
            </w:r>
            <w:r w:rsidR="00861763" w:rsidRPr="00CA32B3">
              <w:rPr>
                <w:b w:val="0"/>
                <w:noProof/>
                <w:sz w:val="20"/>
                <w:szCs w:val="20"/>
              </w:rPr>
              <w:fldChar w:fldCharType="end"/>
            </w:r>
          </w:hyperlink>
        </w:p>
        <w:p w14:paraId="759C1724" w14:textId="53613193" w:rsidR="00C449AB" w:rsidRPr="00CA32B3" w:rsidRDefault="00826BA5" w:rsidP="00690FE6">
          <w:pPr>
            <w:pStyle w:val="TDC1"/>
            <w:suppressLineNumbers/>
            <w:tabs>
              <w:tab w:val="clear" w:pos="660"/>
              <w:tab w:val="clear" w:pos="720"/>
              <w:tab w:val="clear" w:pos="9350"/>
              <w:tab w:val="right" w:leader="dot" w:pos="9360"/>
            </w:tabs>
            <w:jc w:val="both"/>
            <w:rPr>
              <w:b w:val="0"/>
              <w:noProof/>
              <w:sz w:val="20"/>
              <w:szCs w:val="20"/>
            </w:rPr>
          </w:pPr>
          <w:hyperlink w:anchor="_Toc17603" w:history="1">
            <w:r w:rsidR="00861763" w:rsidRPr="00CA32B3">
              <w:rPr>
                <w:b w:val="0"/>
                <w:noProof/>
                <w:sz w:val="20"/>
                <w:szCs w:val="20"/>
              </w:rPr>
              <w:t>D) Pago de indemnizaciones por daños materiales e inmateriales, y el reintegro de costas y gastos</w:t>
            </w:r>
            <w:r w:rsidR="00861763" w:rsidRPr="00CA32B3">
              <w:rPr>
                <w:b w:val="0"/>
                <w:noProof/>
                <w:sz w:val="20"/>
                <w:szCs w:val="20"/>
              </w:rPr>
              <w:tab/>
            </w:r>
            <w:r w:rsidR="00861763" w:rsidRPr="00CA32B3">
              <w:rPr>
                <w:b w:val="0"/>
                <w:noProof/>
                <w:sz w:val="20"/>
                <w:szCs w:val="20"/>
              </w:rPr>
              <w:fldChar w:fldCharType="begin"/>
            </w:r>
            <w:r w:rsidR="00861763" w:rsidRPr="00CA32B3">
              <w:rPr>
                <w:b w:val="0"/>
                <w:noProof/>
                <w:sz w:val="20"/>
                <w:szCs w:val="20"/>
              </w:rPr>
              <w:instrText xml:space="preserve"> PAGEREF _Toc17603 \h </w:instrText>
            </w:r>
            <w:r w:rsidR="00861763" w:rsidRPr="00CA32B3">
              <w:rPr>
                <w:b w:val="0"/>
                <w:noProof/>
                <w:sz w:val="20"/>
                <w:szCs w:val="20"/>
              </w:rPr>
            </w:r>
            <w:r w:rsidR="00861763" w:rsidRPr="00CA32B3">
              <w:rPr>
                <w:b w:val="0"/>
                <w:noProof/>
                <w:sz w:val="20"/>
                <w:szCs w:val="20"/>
              </w:rPr>
              <w:fldChar w:fldCharType="separate"/>
            </w:r>
            <w:r w:rsidR="00FB3CB6" w:rsidRPr="00CA32B3">
              <w:rPr>
                <w:b w:val="0"/>
                <w:noProof/>
                <w:sz w:val="20"/>
                <w:szCs w:val="20"/>
              </w:rPr>
              <w:t>20</w:t>
            </w:r>
            <w:r w:rsidR="00861763" w:rsidRPr="00CA32B3">
              <w:rPr>
                <w:b w:val="0"/>
                <w:noProof/>
                <w:sz w:val="20"/>
                <w:szCs w:val="20"/>
              </w:rPr>
              <w:fldChar w:fldCharType="end"/>
            </w:r>
          </w:hyperlink>
        </w:p>
        <w:p w14:paraId="0030B51F" w14:textId="6E141621" w:rsidR="00C449AB" w:rsidRPr="00CA32B3" w:rsidRDefault="00826BA5" w:rsidP="00690FE6">
          <w:pPr>
            <w:pStyle w:val="TDC1"/>
            <w:suppressLineNumbers/>
            <w:tabs>
              <w:tab w:val="clear" w:pos="660"/>
              <w:tab w:val="clear" w:pos="720"/>
              <w:tab w:val="clear" w:pos="9350"/>
              <w:tab w:val="right" w:leader="dot" w:pos="9360"/>
            </w:tabs>
            <w:jc w:val="both"/>
            <w:rPr>
              <w:b w:val="0"/>
              <w:noProof/>
              <w:sz w:val="20"/>
              <w:szCs w:val="20"/>
            </w:rPr>
          </w:pPr>
          <w:hyperlink w:anchor="_Toc17436" w:history="1">
            <w:r w:rsidR="00861763" w:rsidRPr="00CA32B3">
              <w:rPr>
                <w:b w:val="0"/>
                <w:noProof/>
                <w:sz w:val="20"/>
                <w:szCs w:val="20"/>
              </w:rPr>
              <w:t>E) Tratamiento médico y psicológico y/o psiquiátrico</w:t>
            </w:r>
            <w:r w:rsidR="00861763" w:rsidRPr="00CA32B3">
              <w:rPr>
                <w:b w:val="0"/>
                <w:noProof/>
                <w:sz w:val="20"/>
                <w:szCs w:val="20"/>
              </w:rPr>
              <w:tab/>
            </w:r>
            <w:r w:rsidR="00861763" w:rsidRPr="00CA32B3">
              <w:rPr>
                <w:b w:val="0"/>
                <w:noProof/>
                <w:sz w:val="20"/>
                <w:szCs w:val="20"/>
              </w:rPr>
              <w:fldChar w:fldCharType="begin"/>
            </w:r>
            <w:r w:rsidR="00861763" w:rsidRPr="00CA32B3">
              <w:rPr>
                <w:b w:val="0"/>
                <w:noProof/>
                <w:sz w:val="20"/>
                <w:szCs w:val="20"/>
              </w:rPr>
              <w:instrText xml:space="preserve"> PAGEREF _Toc17436 \h </w:instrText>
            </w:r>
            <w:r w:rsidR="00861763" w:rsidRPr="00CA32B3">
              <w:rPr>
                <w:b w:val="0"/>
                <w:noProof/>
                <w:sz w:val="20"/>
                <w:szCs w:val="20"/>
              </w:rPr>
            </w:r>
            <w:r w:rsidR="00861763" w:rsidRPr="00CA32B3">
              <w:rPr>
                <w:b w:val="0"/>
                <w:noProof/>
                <w:sz w:val="20"/>
                <w:szCs w:val="20"/>
              </w:rPr>
              <w:fldChar w:fldCharType="separate"/>
            </w:r>
            <w:r w:rsidR="00FB3CB6" w:rsidRPr="00CA32B3">
              <w:rPr>
                <w:b w:val="0"/>
                <w:noProof/>
                <w:sz w:val="20"/>
                <w:szCs w:val="20"/>
              </w:rPr>
              <w:t>21</w:t>
            </w:r>
            <w:r w:rsidR="00861763" w:rsidRPr="00CA32B3">
              <w:rPr>
                <w:b w:val="0"/>
                <w:noProof/>
                <w:sz w:val="20"/>
                <w:szCs w:val="20"/>
              </w:rPr>
              <w:fldChar w:fldCharType="end"/>
            </w:r>
          </w:hyperlink>
        </w:p>
        <w:p w14:paraId="67A11D08" w14:textId="44AE0EF6" w:rsidR="00C449AB" w:rsidRPr="00CA32B3" w:rsidRDefault="00826BA5" w:rsidP="00690FE6">
          <w:pPr>
            <w:pStyle w:val="TDC1"/>
            <w:suppressLineNumbers/>
            <w:tabs>
              <w:tab w:val="clear" w:pos="660"/>
              <w:tab w:val="clear" w:pos="720"/>
              <w:tab w:val="clear" w:pos="9350"/>
              <w:tab w:val="right" w:leader="dot" w:pos="9360"/>
            </w:tabs>
            <w:jc w:val="both"/>
            <w:rPr>
              <w:noProof/>
            </w:rPr>
          </w:pPr>
          <w:hyperlink w:anchor="_Toc4386" w:history="1">
            <w:r w:rsidR="00861763" w:rsidRPr="00CA32B3">
              <w:rPr>
                <w:b w:val="0"/>
                <w:noProof/>
                <w:sz w:val="20"/>
                <w:szCs w:val="20"/>
              </w:rPr>
              <w:t>F) Publicación y difusión de la Sentencia</w:t>
            </w:r>
            <w:r w:rsidR="00861763" w:rsidRPr="00CA32B3">
              <w:rPr>
                <w:b w:val="0"/>
                <w:noProof/>
                <w:sz w:val="20"/>
                <w:szCs w:val="20"/>
              </w:rPr>
              <w:tab/>
            </w:r>
            <w:r w:rsidR="00861763" w:rsidRPr="00CA32B3">
              <w:rPr>
                <w:b w:val="0"/>
                <w:noProof/>
                <w:sz w:val="20"/>
                <w:szCs w:val="20"/>
              </w:rPr>
              <w:fldChar w:fldCharType="begin"/>
            </w:r>
            <w:r w:rsidR="00861763" w:rsidRPr="00CA32B3">
              <w:rPr>
                <w:b w:val="0"/>
                <w:noProof/>
                <w:sz w:val="20"/>
                <w:szCs w:val="20"/>
              </w:rPr>
              <w:instrText xml:space="preserve"> PAGEREF _Toc4386 \h </w:instrText>
            </w:r>
            <w:r w:rsidR="00861763" w:rsidRPr="00CA32B3">
              <w:rPr>
                <w:b w:val="0"/>
                <w:noProof/>
                <w:sz w:val="20"/>
                <w:szCs w:val="20"/>
              </w:rPr>
            </w:r>
            <w:r w:rsidR="00861763" w:rsidRPr="00CA32B3">
              <w:rPr>
                <w:b w:val="0"/>
                <w:noProof/>
                <w:sz w:val="20"/>
                <w:szCs w:val="20"/>
              </w:rPr>
              <w:fldChar w:fldCharType="separate"/>
            </w:r>
            <w:r w:rsidR="00FB3CB6" w:rsidRPr="00CA32B3">
              <w:rPr>
                <w:b w:val="0"/>
                <w:noProof/>
                <w:sz w:val="20"/>
                <w:szCs w:val="20"/>
              </w:rPr>
              <w:t>24</w:t>
            </w:r>
            <w:r w:rsidR="00861763" w:rsidRPr="00CA32B3">
              <w:rPr>
                <w:b w:val="0"/>
                <w:noProof/>
                <w:sz w:val="20"/>
                <w:szCs w:val="20"/>
              </w:rPr>
              <w:fldChar w:fldCharType="end"/>
            </w:r>
          </w:hyperlink>
        </w:p>
        <w:p w14:paraId="2AE3B3A5" w14:textId="77777777" w:rsidR="00C449AB" w:rsidRPr="00CA32B3" w:rsidRDefault="00861763" w:rsidP="00690FE6">
          <w:pPr>
            <w:pStyle w:val="TDC1"/>
            <w:suppressLineNumbers/>
            <w:rPr>
              <w:sz w:val="20"/>
              <w:szCs w:val="18"/>
            </w:rPr>
          </w:pPr>
          <w:r w:rsidRPr="00CA32B3">
            <w:rPr>
              <w:bCs/>
              <w:sz w:val="20"/>
              <w:szCs w:val="18"/>
              <w:lang w:val="es-ES"/>
            </w:rPr>
            <w:fldChar w:fldCharType="end"/>
          </w:r>
        </w:p>
      </w:sdtContent>
    </w:sdt>
    <w:p w14:paraId="7C6F8CD7" w14:textId="77777777" w:rsidR="00C449AB" w:rsidRPr="00CA32B3" w:rsidRDefault="00861763" w:rsidP="00690FE6">
      <w:pPr>
        <w:pStyle w:val="Prrafodelista"/>
        <w:numPr>
          <w:ilvl w:val="0"/>
          <w:numId w:val="4"/>
        </w:numPr>
        <w:suppressLineNumbers/>
        <w:tabs>
          <w:tab w:val="left" w:pos="680"/>
        </w:tabs>
        <w:spacing w:after="0" w:line="240" w:lineRule="auto"/>
        <w:ind w:left="0" w:firstLine="0"/>
        <w:jc w:val="both"/>
        <w:outlineLvl w:val="0"/>
        <w:rPr>
          <w:rFonts w:ascii="Verdana" w:hAnsi="Verdana"/>
          <w:b/>
          <w:sz w:val="18"/>
          <w:lang w:val="es-CR"/>
        </w:rPr>
      </w:pPr>
      <w:bookmarkStart w:id="1" w:name="_Toc18501"/>
      <w:r w:rsidRPr="00CA32B3">
        <w:rPr>
          <w:rFonts w:ascii="Verdana" w:eastAsia="Calibri" w:hAnsi="Verdana" w:cs="Verdana"/>
          <w:b/>
          <w:bCs/>
          <w:iCs/>
          <w:sz w:val="20"/>
          <w:szCs w:val="20"/>
        </w:rPr>
        <w:t xml:space="preserve">Obligación de investigar los hechos, identificar, juzgar y, en su caso, </w:t>
      </w:r>
      <w:r w:rsidRPr="00CA32B3">
        <w:rPr>
          <w:rFonts w:ascii="Verdana" w:eastAsia="Calibri" w:hAnsi="Verdana" w:cs="Verdana"/>
          <w:b/>
          <w:bCs/>
          <w:iCs/>
          <w:sz w:val="20"/>
          <w:szCs w:val="20"/>
          <w:lang w:val="es-CR" w:eastAsia="es-CR"/>
        </w:rPr>
        <w:t>sancionar a los responsables</w:t>
      </w:r>
      <w:bookmarkEnd w:id="1"/>
    </w:p>
    <w:p w14:paraId="5E7B1462" w14:textId="77777777" w:rsidR="00C449AB" w:rsidRPr="00CA32B3" w:rsidRDefault="00C449AB" w:rsidP="00690FE6">
      <w:pPr>
        <w:suppressLineNumbers/>
        <w:tabs>
          <w:tab w:val="left" w:pos="680"/>
        </w:tabs>
        <w:spacing w:after="0" w:line="240" w:lineRule="auto"/>
        <w:jc w:val="both"/>
        <w:rPr>
          <w:rFonts w:ascii="Verdana" w:hAnsi="Verdana"/>
          <w:i/>
          <w:sz w:val="20"/>
        </w:rPr>
      </w:pPr>
    </w:p>
    <w:p w14:paraId="32C9CC3E" w14:textId="77777777" w:rsidR="00C449AB" w:rsidRPr="00CA32B3" w:rsidRDefault="00861763" w:rsidP="00690FE6">
      <w:pPr>
        <w:suppressLineNumbers/>
        <w:tabs>
          <w:tab w:val="left" w:pos="680"/>
        </w:tabs>
        <w:spacing w:after="0" w:line="240" w:lineRule="auto"/>
        <w:jc w:val="both"/>
        <w:rPr>
          <w:rFonts w:ascii="Verdana" w:hAnsi="Verdana"/>
          <w:i/>
          <w:sz w:val="20"/>
        </w:rPr>
      </w:pPr>
      <w:r w:rsidRPr="00CA32B3">
        <w:rPr>
          <w:rFonts w:ascii="Verdana" w:hAnsi="Verdana"/>
          <w:i/>
          <w:sz w:val="20"/>
        </w:rPr>
        <w:tab/>
        <w:t>A.1 Medida ordenada por la Corte</w:t>
      </w:r>
    </w:p>
    <w:p w14:paraId="02AD3BCC" w14:textId="77777777" w:rsidR="00C449AB" w:rsidRPr="00CA32B3" w:rsidRDefault="00C449AB" w:rsidP="00690FE6">
      <w:pPr>
        <w:suppressLineNumbers/>
        <w:tabs>
          <w:tab w:val="left" w:pos="680"/>
        </w:tabs>
        <w:spacing w:after="0" w:line="240" w:lineRule="auto"/>
        <w:jc w:val="both"/>
        <w:rPr>
          <w:rFonts w:ascii="Verdana" w:hAnsi="Verdana"/>
          <w:i/>
          <w:sz w:val="20"/>
        </w:rPr>
      </w:pPr>
    </w:p>
    <w:p w14:paraId="3798A91F" w14:textId="264E9391" w:rsidR="00C43D84" w:rsidRPr="00CA32B3" w:rsidRDefault="00861763" w:rsidP="00690FE6">
      <w:pPr>
        <w:pStyle w:val="Prrafodelista"/>
        <w:numPr>
          <w:ilvl w:val="0"/>
          <w:numId w:val="3"/>
        </w:numPr>
        <w:suppressLineNumbers/>
        <w:spacing w:after="0" w:line="240" w:lineRule="auto"/>
        <w:ind w:left="0" w:firstLine="0"/>
        <w:jc w:val="both"/>
        <w:rPr>
          <w:rFonts w:ascii="Verdana" w:hAnsi="Verdana"/>
          <w:sz w:val="16"/>
          <w:szCs w:val="20"/>
        </w:rPr>
      </w:pPr>
      <w:r w:rsidRPr="00CA32B3">
        <w:rPr>
          <w:rFonts w:ascii="Verdana" w:hAnsi="Verdana"/>
          <w:sz w:val="20"/>
          <w:szCs w:val="20"/>
        </w:rPr>
        <w:t>En la Sentencia</w:t>
      </w:r>
      <w:r w:rsidR="00FD408F" w:rsidRPr="00CA32B3">
        <w:rPr>
          <w:rFonts w:ascii="Verdana" w:hAnsi="Verdana"/>
          <w:sz w:val="20"/>
          <w:szCs w:val="20"/>
        </w:rPr>
        <w:t>,</w:t>
      </w:r>
      <w:r w:rsidRPr="00CA32B3">
        <w:rPr>
          <w:rFonts w:ascii="Verdana" w:hAnsi="Verdana"/>
          <w:sz w:val="20"/>
          <w:szCs w:val="20"/>
        </w:rPr>
        <w:t xml:space="preserve"> el Tribunal dio por acreditado que </w:t>
      </w:r>
      <w:r w:rsidR="00C43D84" w:rsidRPr="00CA32B3">
        <w:rPr>
          <w:rFonts w:ascii="Verdana" w:hAnsi="Verdana"/>
          <w:sz w:val="20"/>
          <w:szCs w:val="20"/>
        </w:rPr>
        <w:t>fueron iniciadas</w:t>
      </w:r>
      <w:r w:rsidRPr="00CA32B3">
        <w:rPr>
          <w:rFonts w:ascii="Verdana" w:hAnsi="Verdana"/>
          <w:sz w:val="20"/>
          <w:szCs w:val="20"/>
        </w:rPr>
        <w:t xml:space="preserve"> diversas investigaciones penales en el fuero militar y en el fuero ordinario respecto a los hechos del presente caso. Por un lado, valoró los esfuerzos desplegados por la Sala Penal Nacional de la Corte Superior de Justicia de Lima y la Sala Penal Transitoria de la Corte Suprema de Justicia de la República del Perú que, el 9 de febrero de 2012 y el 29 de mayo de 2013, respectivamente, resolvieron que los hechos constituyeron un delito de lesa humanidad y, por ende, determinaron que su acción penal es imprescriptible, en el marco del expediente penal No. 42-06 seguido contra Javier Bendezú Vargas, Duilio Chipana Tarqui, Fidel Ausebio Huaytalla, Oscar Alberto Carrera Gonzáles, Carlos Prado Chinchay y Dennis Pacheco Zambrano, integrantes de las patrullas militares que detuvieron a las quince personas desaparecidas. </w:t>
      </w:r>
      <w:r w:rsidR="00E468D8" w:rsidRPr="00CA32B3">
        <w:rPr>
          <w:rFonts w:ascii="Verdana" w:hAnsi="Verdana"/>
          <w:sz w:val="20"/>
          <w:szCs w:val="20"/>
        </w:rPr>
        <w:t>Mediante</w:t>
      </w:r>
      <w:r w:rsidRPr="00CA32B3">
        <w:rPr>
          <w:rFonts w:ascii="Verdana" w:hAnsi="Verdana"/>
          <w:sz w:val="20"/>
          <w:szCs w:val="20"/>
        </w:rPr>
        <w:t xml:space="preserve"> dichas decisiones judiciales, </w:t>
      </w:r>
      <w:r w:rsidR="00E468D8" w:rsidRPr="00CA32B3">
        <w:rPr>
          <w:rFonts w:ascii="Verdana" w:hAnsi="Verdana"/>
          <w:sz w:val="20"/>
          <w:szCs w:val="20"/>
        </w:rPr>
        <w:t xml:space="preserve">los tribunales nacionales </w:t>
      </w:r>
      <w:r w:rsidRPr="00CA32B3">
        <w:rPr>
          <w:rFonts w:ascii="Verdana" w:hAnsi="Verdana"/>
          <w:sz w:val="20"/>
          <w:szCs w:val="20"/>
        </w:rPr>
        <w:t>condenaron a Oscar Alberto Carrera Gonzales por el delito de homicidio calificado</w:t>
      </w:r>
      <w:r w:rsidRPr="00CA32B3">
        <w:rPr>
          <w:rStyle w:val="Refdenotaalpie"/>
          <w:rFonts w:ascii="Verdana" w:hAnsi="Verdana"/>
          <w:sz w:val="20"/>
          <w:szCs w:val="20"/>
        </w:rPr>
        <w:footnoteReference w:id="13"/>
      </w:r>
      <w:r w:rsidRPr="00CA32B3">
        <w:rPr>
          <w:rFonts w:ascii="Verdana" w:hAnsi="Verdana"/>
          <w:sz w:val="20"/>
          <w:szCs w:val="20"/>
        </w:rPr>
        <w:t>, ordenaron la captura de los</w:t>
      </w:r>
      <w:r w:rsidR="00E468D8" w:rsidRPr="00CA32B3">
        <w:rPr>
          <w:rFonts w:ascii="Verdana" w:hAnsi="Verdana"/>
          <w:sz w:val="20"/>
          <w:szCs w:val="20"/>
        </w:rPr>
        <w:t xml:space="preserve"> dos</w:t>
      </w:r>
      <w:r w:rsidRPr="00CA32B3">
        <w:rPr>
          <w:rFonts w:ascii="Verdana" w:hAnsi="Verdana"/>
          <w:sz w:val="20"/>
          <w:szCs w:val="20"/>
        </w:rPr>
        <w:t xml:space="preserve"> procesados ausentes Javier Bendezú </w:t>
      </w:r>
      <w:r w:rsidRPr="00CA32B3">
        <w:rPr>
          <w:rFonts w:ascii="Verdana" w:hAnsi="Verdana"/>
          <w:sz w:val="20"/>
          <w:szCs w:val="18"/>
        </w:rPr>
        <w:t>Vargas y Dennis Wilfredo Pacheco Zambrano, y dispusieron  “la remisión de copias certificadas de la causa al Ministerio Público para que se investigue a otras cinco personas” (</w:t>
      </w:r>
      <w:r w:rsidRPr="00CA32B3">
        <w:rPr>
          <w:rFonts w:ascii="Verdana" w:hAnsi="Verdana"/>
          <w:i/>
          <w:sz w:val="20"/>
          <w:szCs w:val="18"/>
        </w:rPr>
        <w:t>infra</w:t>
      </w:r>
      <w:r w:rsidRPr="00CA32B3">
        <w:rPr>
          <w:rFonts w:ascii="Verdana" w:hAnsi="Verdana"/>
          <w:sz w:val="20"/>
          <w:szCs w:val="18"/>
        </w:rPr>
        <w:t xml:space="preserve"> Considerandos</w:t>
      </w:r>
      <w:r w:rsidR="002463E0" w:rsidRPr="00CA32B3">
        <w:rPr>
          <w:rFonts w:ascii="Verdana" w:hAnsi="Verdana"/>
          <w:sz w:val="20"/>
          <w:szCs w:val="18"/>
        </w:rPr>
        <w:t xml:space="preserve"> 9 y 10</w:t>
      </w:r>
      <w:r w:rsidRPr="00CA32B3">
        <w:rPr>
          <w:rFonts w:ascii="Verdana" w:hAnsi="Verdana"/>
          <w:sz w:val="20"/>
          <w:szCs w:val="18"/>
        </w:rPr>
        <w:t>)</w:t>
      </w:r>
      <w:r w:rsidRPr="00CA32B3">
        <w:rPr>
          <w:rStyle w:val="Refdenotaalpie"/>
          <w:rFonts w:ascii="Verdana" w:hAnsi="Verdana"/>
          <w:sz w:val="20"/>
          <w:szCs w:val="18"/>
        </w:rPr>
        <w:footnoteReference w:id="14"/>
      </w:r>
      <w:r w:rsidRPr="00CA32B3">
        <w:rPr>
          <w:rFonts w:ascii="Verdana" w:hAnsi="Verdana"/>
          <w:sz w:val="20"/>
          <w:szCs w:val="18"/>
        </w:rPr>
        <w:t xml:space="preserve">. </w:t>
      </w:r>
    </w:p>
    <w:p w14:paraId="47E38DAC" w14:textId="59735D92" w:rsidR="00E468D8" w:rsidRPr="00CA32B3" w:rsidRDefault="00E468D8" w:rsidP="00690FE6">
      <w:pPr>
        <w:pStyle w:val="Prrafodelista"/>
        <w:suppressLineNumbers/>
        <w:spacing w:after="0" w:line="240" w:lineRule="auto"/>
        <w:ind w:left="0"/>
        <w:jc w:val="both"/>
        <w:rPr>
          <w:rFonts w:ascii="Verdana" w:hAnsi="Verdana"/>
          <w:sz w:val="16"/>
          <w:szCs w:val="20"/>
        </w:rPr>
      </w:pPr>
    </w:p>
    <w:p w14:paraId="78063ADA" w14:textId="23074ABD" w:rsidR="00E468D8" w:rsidRPr="00CA32B3" w:rsidRDefault="00861763" w:rsidP="00690FE6">
      <w:pPr>
        <w:pStyle w:val="Prrafodelista"/>
        <w:numPr>
          <w:ilvl w:val="0"/>
          <w:numId w:val="3"/>
        </w:numPr>
        <w:suppressLineNumbers/>
        <w:spacing w:after="0" w:line="240" w:lineRule="auto"/>
        <w:ind w:left="0" w:firstLine="0"/>
        <w:jc w:val="both"/>
        <w:rPr>
          <w:rFonts w:ascii="Verdana" w:hAnsi="Verdana"/>
          <w:sz w:val="16"/>
          <w:szCs w:val="20"/>
        </w:rPr>
      </w:pPr>
      <w:r w:rsidRPr="00CA32B3">
        <w:rPr>
          <w:rFonts w:ascii="Verdana" w:hAnsi="Verdana"/>
          <w:sz w:val="20"/>
          <w:szCs w:val="18"/>
        </w:rPr>
        <w:t xml:space="preserve">Por otro lado, el Tribunal verificó también que, en agosto de 2011, el Cuarto Juzgado Penal Supraprovincial de Lima abrió una investigación contra </w:t>
      </w:r>
      <w:r w:rsidR="00E12086" w:rsidRPr="00CA32B3">
        <w:rPr>
          <w:rFonts w:ascii="Verdana" w:hAnsi="Verdana"/>
          <w:sz w:val="20"/>
          <w:szCs w:val="18"/>
        </w:rPr>
        <w:t xml:space="preserve">el señor B.P., </w:t>
      </w:r>
      <w:r w:rsidR="003B0831" w:rsidRPr="00CA32B3">
        <w:rPr>
          <w:rFonts w:ascii="Verdana" w:hAnsi="Verdana"/>
          <w:sz w:val="20"/>
          <w:szCs w:val="18"/>
        </w:rPr>
        <w:t xml:space="preserve">un ex militar </w:t>
      </w:r>
      <w:r w:rsidRPr="00CA32B3">
        <w:rPr>
          <w:rFonts w:ascii="Verdana" w:hAnsi="Verdana"/>
          <w:sz w:val="20"/>
          <w:szCs w:val="18"/>
        </w:rPr>
        <w:t>acusado de disparar ráfagas de FAL contra las quince víctimas desaparecidas y de dinamitar sus cuerpos</w:t>
      </w:r>
      <w:r w:rsidR="003B0831" w:rsidRPr="00CA32B3">
        <w:rPr>
          <w:rFonts w:ascii="Verdana" w:hAnsi="Verdana"/>
          <w:sz w:val="20"/>
          <w:szCs w:val="18"/>
        </w:rPr>
        <w:t xml:space="preserve"> (Expediente No. 2011-0196-0). </w:t>
      </w:r>
      <w:r w:rsidRPr="00CA32B3">
        <w:rPr>
          <w:rFonts w:ascii="Verdana" w:hAnsi="Verdana"/>
          <w:sz w:val="20"/>
          <w:szCs w:val="18"/>
        </w:rPr>
        <w:t>Sin embargo, en 2013 fue declarado el archivo de dicha investigación por acreditarse su inimputabilidad al ser menor de edad al momento de los hechos. Posteriormente</w:t>
      </w:r>
      <w:r w:rsidR="00FD408F" w:rsidRPr="00CA32B3">
        <w:rPr>
          <w:rFonts w:ascii="Verdana" w:hAnsi="Verdana"/>
          <w:sz w:val="20"/>
          <w:szCs w:val="18"/>
        </w:rPr>
        <w:t>,</w:t>
      </w:r>
      <w:r w:rsidRPr="00CA32B3">
        <w:rPr>
          <w:rFonts w:ascii="Verdana" w:hAnsi="Verdana"/>
          <w:sz w:val="20"/>
          <w:szCs w:val="18"/>
        </w:rPr>
        <w:t xml:space="preserve"> se derivó a la Fiscalía Provincial Penal de Huancavelica una investigación pre</w:t>
      </w:r>
      <w:r w:rsidR="004F738B" w:rsidRPr="00CA32B3">
        <w:rPr>
          <w:rFonts w:ascii="Verdana" w:hAnsi="Verdana"/>
          <w:sz w:val="20"/>
          <w:szCs w:val="18"/>
        </w:rPr>
        <w:t>liminar sobre la validez de su acta de n</w:t>
      </w:r>
      <w:r w:rsidRPr="00CA32B3">
        <w:rPr>
          <w:rFonts w:ascii="Verdana" w:hAnsi="Verdana"/>
          <w:sz w:val="20"/>
          <w:szCs w:val="18"/>
        </w:rPr>
        <w:t>acimiento</w:t>
      </w:r>
      <w:r w:rsidRPr="00CA32B3">
        <w:rPr>
          <w:rStyle w:val="Refdenotaalpie"/>
          <w:rFonts w:ascii="Verdana" w:hAnsi="Verdana"/>
          <w:sz w:val="20"/>
          <w:szCs w:val="18"/>
        </w:rPr>
        <w:footnoteReference w:id="15"/>
      </w:r>
      <w:r w:rsidRPr="00CA32B3">
        <w:rPr>
          <w:rFonts w:ascii="Verdana" w:hAnsi="Verdana"/>
          <w:sz w:val="20"/>
          <w:szCs w:val="18"/>
        </w:rPr>
        <w:t xml:space="preserve"> (</w:t>
      </w:r>
      <w:r w:rsidRPr="00CA32B3">
        <w:rPr>
          <w:rFonts w:ascii="Verdana" w:hAnsi="Verdana"/>
          <w:i/>
          <w:sz w:val="20"/>
          <w:szCs w:val="18"/>
        </w:rPr>
        <w:t xml:space="preserve">infra </w:t>
      </w:r>
      <w:r w:rsidRPr="00CA32B3">
        <w:rPr>
          <w:rFonts w:ascii="Verdana" w:hAnsi="Verdana"/>
          <w:sz w:val="20"/>
          <w:szCs w:val="18"/>
        </w:rPr>
        <w:t xml:space="preserve">Considerando </w:t>
      </w:r>
      <w:r w:rsidR="002463E0" w:rsidRPr="00CA32B3">
        <w:rPr>
          <w:rFonts w:ascii="Verdana" w:hAnsi="Verdana"/>
          <w:sz w:val="20"/>
          <w:szCs w:val="18"/>
        </w:rPr>
        <w:t>11)</w:t>
      </w:r>
      <w:r w:rsidRPr="00CA32B3">
        <w:rPr>
          <w:rFonts w:ascii="Verdana" w:hAnsi="Verdana"/>
          <w:sz w:val="20"/>
          <w:szCs w:val="18"/>
        </w:rPr>
        <w:t>.</w:t>
      </w:r>
      <w:r w:rsidRPr="00CA32B3">
        <w:rPr>
          <w:sz w:val="24"/>
        </w:rPr>
        <w:t xml:space="preserve"> </w:t>
      </w:r>
    </w:p>
    <w:p w14:paraId="2B10D2FB" w14:textId="77777777" w:rsidR="00C43D84" w:rsidRPr="00CA32B3" w:rsidRDefault="00C43D84" w:rsidP="00690FE6">
      <w:pPr>
        <w:pStyle w:val="Prrafodelista"/>
        <w:suppressLineNumbers/>
        <w:spacing w:after="0" w:line="240" w:lineRule="auto"/>
        <w:ind w:left="0"/>
        <w:rPr>
          <w:rFonts w:ascii="Verdana" w:hAnsi="Verdana"/>
          <w:sz w:val="16"/>
          <w:szCs w:val="20"/>
          <w:lang w:val="es-CR"/>
        </w:rPr>
      </w:pPr>
    </w:p>
    <w:p w14:paraId="5AF56B84" w14:textId="7A10268A" w:rsidR="00C43D84" w:rsidRPr="00CA32B3" w:rsidRDefault="00FD408F" w:rsidP="00690FE6">
      <w:pPr>
        <w:pStyle w:val="Prrafodelista"/>
        <w:numPr>
          <w:ilvl w:val="0"/>
          <w:numId w:val="3"/>
        </w:numPr>
        <w:suppressLineNumbers/>
        <w:spacing w:after="0" w:line="240" w:lineRule="auto"/>
        <w:ind w:left="0" w:firstLine="0"/>
        <w:jc w:val="both"/>
        <w:rPr>
          <w:rFonts w:ascii="Verdana" w:hAnsi="Verdana"/>
          <w:sz w:val="20"/>
          <w:szCs w:val="20"/>
          <w:lang w:val="es-CR"/>
        </w:rPr>
      </w:pPr>
      <w:r w:rsidRPr="00CA32B3">
        <w:rPr>
          <w:rFonts w:ascii="Verdana" w:hAnsi="Verdana"/>
          <w:sz w:val="20"/>
        </w:rPr>
        <w:t xml:space="preserve">En suma, al momento de dictar Sentencia, </w:t>
      </w:r>
      <w:r w:rsidR="00B37B30" w:rsidRPr="00CA32B3">
        <w:rPr>
          <w:rFonts w:ascii="Verdana" w:hAnsi="Verdana"/>
          <w:sz w:val="20"/>
        </w:rPr>
        <w:t>habían</w:t>
      </w:r>
      <w:r w:rsidR="00B37B30" w:rsidRPr="00CA32B3">
        <w:rPr>
          <w:rFonts w:ascii="Verdana" w:hAnsi="Verdana"/>
          <w:sz w:val="20"/>
          <w:lang w:val="es-CR"/>
        </w:rPr>
        <w:t xml:space="preserve"> transcurrido 24 años desde que ocurrieron los hechos y</w:t>
      </w:r>
      <w:r w:rsidR="00B37B30" w:rsidRPr="00CA32B3">
        <w:rPr>
          <w:rFonts w:ascii="Verdana" w:hAnsi="Verdana"/>
          <w:sz w:val="20"/>
        </w:rPr>
        <w:t xml:space="preserve"> solo se había condenado a una persona y otras </w:t>
      </w:r>
      <w:r w:rsidR="00F21FD8" w:rsidRPr="00CA32B3">
        <w:rPr>
          <w:rFonts w:ascii="Verdana" w:hAnsi="Verdana"/>
          <w:sz w:val="20"/>
        </w:rPr>
        <w:t>dos</w:t>
      </w:r>
      <w:r w:rsidR="00B37B30" w:rsidRPr="00CA32B3">
        <w:rPr>
          <w:rFonts w:ascii="Verdana" w:hAnsi="Verdana"/>
          <w:sz w:val="20"/>
        </w:rPr>
        <w:t xml:space="preserve"> se encontraban prófugas</w:t>
      </w:r>
      <w:r w:rsidRPr="00CA32B3">
        <w:rPr>
          <w:rFonts w:ascii="Verdana" w:hAnsi="Verdana"/>
          <w:sz w:val="20"/>
          <w:lang w:val="es-CR"/>
        </w:rPr>
        <w:t xml:space="preserve">, sin que </w:t>
      </w:r>
      <w:r w:rsidR="003729DB" w:rsidRPr="00CA32B3">
        <w:rPr>
          <w:rFonts w:ascii="Verdana" w:hAnsi="Verdana"/>
          <w:sz w:val="20"/>
          <w:lang w:val="es-CR"/>
        </w:rPr>
        <w:t>se hubiera</w:t>
      </w:r>
      <w:r w:rsidRPr="00CA32B3">
        <w:rPr>
          <w:rFonts w:ascii="Verdana" w:hAnsi="Verdana"/>
          <w:sz w:val="20"/>
          <w:lang w:val="es-CR"/>
        </w:rPr>
        <w:t xml:space="preserve"> esclarecido completamente lo ocurrido ni determinado fehacientemente el paradero de las personas desaparecidas</w:t>
      </w:r>
      <w:r w:rsidR="00F21FD8" w:rsidRPr="00CA32B3">
        <w:rPr>
          <w:rStyle w:val="Refdenotaalpie"/>
          <w:rFonts w:ascii="Verdana" w:hAnsi="Verdana"/>
          <w:sz w:val="20"/>
          <w:lang w:val="es-CR"/>
        </w:rPr>
        <w:footnoteReference w:id="16"/>
      </w:r>
      <w:r w:rsidR="003729DB" w:rsidRPr="00CA32B3">
        <w:rPr>
          <w:rFonts w:ascii="Verdana" w:hAnsi="Verdana"/>
          <w:sz w:val="20"/>
          <w:lang w:val="es-CR"/>
        </w:rPr>
        <w:t xml:space="preserve">. </w:t>
      </w:r>
      <w:r w:rsidR="00861763" w:rsidRPr="00CA32B3">
        <w:rPr>
          <w:rFonts w:ascii="Verdana" w:hAnsi="Verdana"/>
          <w:sz w:val="20"/>
          <w:szCs w:val="20"/>
        </w:rPr>
        <w:t xml:space="preserve">Teniendo en cuenta lo anterior, la Corte consideró en su Sentencia que, en el marco de las investigaciones penales iniciadas en la justicia militar y en la justicia ordinaria, existió una falta de debida diligencia </w:t>
      </w:r>
      <w:r w:rsidR="00B37B30" w:rsidRPr="00CA32B3">
        <w:rPr>
          <w:rFonts w:ascii="Verdana" w:hAnsi="Verdana"/>
          <w:sz w:val="20"/>
          <w:szCs w:val="20"/>
        </w:rPr>
        <w:t xml:space="preserve">en la </w:t>
      </w:r>
      <w:r w:rsidR="00B37B30" w:rsidRPr="00CA32B3">
        <w:rPr>
          <w:rFonts w:ascii="Verdana" w:hAnsi="Verdana"/>
          <w:sz w:val="20"/>
          <w:szCs w:val="20"/>
          <w:lang w:val="es-CR"/>
        </w:rPr>
        <w:t>recaudación de</w:t>
      </w:r>
      <w:r w:rsidR="00C43D84" w:rsidRPr="00CA32B3">
        <w:rPr>
          <w:rFonts w:ascii="Verdana" w:hAnsi="Verdana"/>
          <w:sz w:val="20"/>
          <w:szCs w:val="20"/>
          <w:lang w:val="es-CR"/>
        </w:rPr>
        <w:t xml:space="preserve"> la</w:t>
      </w:r>
      <w:r w:rsidR="00B37B30" w:rsidRPr="00CA32B3">
        <w:rPr>
          <w:rFonts w:ascii="Verdana" w:hAnsi="Verdana"/>
          <w:sz w:val="20"/>
          <w:szCs w:val="20"/>
          <w:lang w:val="es-CR"/>
        </w:rPr>
        <w:t xml:space="preserve"> prueba y la ubicación y captura de reos prófugos, así como</w:t>
      </w:r>
      <w:r w:rsidR="00861763" w:rsidRPr="00CA32B3">
        <w:rPr>
          <w:rFonts w:ascii="Verdana" w:hAnsi="Verdana"/>
          <w:sz w:val="20"/>
          <w:szCs w:val="20"/>
        </w:rPr>
        <w:t xml:space="preserve"> </w:t>
      </w:r>
      <w:r w:rsidR="00C43D84" w:rsidRPr="00CA32B3">
        <w:rPr>
          <w:rFonts w:ascii="Verdana" w:hAnsi="Verdana"/>
          <w:sz w:val="20"/>
          <w:szCs w:val="20"/>
        </w:rPr>
        <w:t xml:space="preserve">que </w:t>
      </w:r>
      <w:r w:rsidR="00861763" w:rsidRPr="00CA32B3">
        <w:rPr>
          <w:rFonts w:ascii="Verdana" w:hAnsi="Verdana"/>
          <w:sz w:val="20"/>
          <w:szCs w:val="20"/>
        </w:rPr>
        <w:t xml:space="preserve">se cometieron una serie de obstaculizaciones por parte de agentes del Estado, lo que constituyó una violación a los derechos a las garantías judiciales y a la protección judicial en perjuicio de </w:t>
      </w:r>
      <w:r w:rsidR="00861763" w:rsidRPr="00CA32B3">
        <w:rPr>
          <w:rFonts w:ascii="Verdana" w:hAnsi="Verdana"/>
          <w:sz w:val="20"/>
          <w:szCs w:val="20"/>
        </w:rPr>
        <w:lastRenderedPageBreak/>
        <w:t>las quince personas desaparecidas forzosamente y de sus familiares</w:t>
      </w:r>
      <w:r w:rsidR="00861763" w:rsidRPr="00CA32B3">
        <w:rPr>
          <w:rStyle w:val="Refdenotaalpie"/>
          <w:rFonts w:ascii="Verdana" w:hAnsi="Verdana"/>
          <w:sz w:val="20"/>
          <w:szCs w:val="20"/>
        </w:rPr>
        <w:footnoteReference w:id="17"/>
      </w:r>
      <w:r w:rsidR="00861763" w:rsidRPr="00CA32B3">
        <w:rPr>
          <w:rFonts w:ascii="Verdana" w:hAnsi="Verdana"/>
          <w:sz w:val="20"/>
          <w:szCs w:val="20"/>
        </w:rPr>
        <w:t xml:space="preserve"> (</w:t>
      </w:r>
      <w:r w:rsidR="00861763" w:rsidRPr="00CA32B3">
        <w:rPr>
          <w:rFonts w:ascii="Verdana" w:hAnsi="Verdana"/>
          <w:i/>
          <w:sz w:val="20"/>
          <w:szCs w:val="20"/>
        </w:rPr>
        <w:t>supra</w:t>
      </w:r>
      <w:r w:rsidR="00861763" w:rsidRPr="00CA32B3">
        <w:rPr>
          <w:rFonts w:ascii="Verdana" w:hAnsi="Verdana"/>
          <w:sz w:val="20"/>
          <w:szCs w:val="20"/>
        </w:rPr>
        <w:t xml:space="preserve"> Visto 1). En consecuencia, en el punto </w:t>
      </w:r>
      <w:r w:rsidR="003D5DFA" w:rsidRPr="00CA32B3">
        <w:rPr>
          <w:rFonts w:ascii="Verdana" w:hAnsi="Verdana"/>
          <w:sz w:val="20"/>
          <w:szCs w:val="20"/>
        </w:rPr>
        <w:t>resolutivo</w:t>
      </w:r>
      <w:r w:rsidR="00861763" w:rsidRPr="00CA32B3">
        <w:rPr>
          <w:rFonts w:ascii="Verdana" w:hAnsi="Verdana"/>
          <w:sz w:val="20"/>
          <w:szCs w:val="20"/>
        </w:rPr>
        <w:t xml:space="preserve"> décimo de la Sentencia, el Tribunal dispuso que el Estado debía “llevar a cabo las investigaciones amplias, sistemáticas y minuciosas que sean necesarias para determinar, juzgar y, en su caso, sancionar a los responsables de las violaciones declaradas en </w:t>
      </w:r>
      <w:r w:rsidR="00B37B30" w:rsidRPr="00CA32B3">
        <w:rPr>
          <w:rFonts w:ascii="Verdana" w:hAnsi="Verdana"/>
          <w:sz w:val="20"/>
          <w:szCs w:val="20"/>
        </w:rPr>
        <w:t xml:space="preserve">[la] </w:t>
      </w:r>
      <w:r w:rsidR="00861763" w:rsidRPr="00CA32B3">
        <w:rPr>
          <w:rFonts w:ascii="Verdana" w:hAnsi="Verdana"/>
          <w:sz w:val="20"/>
          <w:szCs w:val="20"/>
        </w:rPr>
        <w:t xml:space="preserve">Sentencia, </w:t>
      </w:r>
      <w:r w:rsidR="00380A73" w:rsidRPr="00CA32B3">
        <w:rPr>
          <w:rFonts w:ascii="Verdana" w:hAnsi="Verdana"/>
          <w:sz w:val="20"/>
          <w:szCs w:val="20"/>
        </w:rPr>
        <w:t xml:space="preserve">“en un plazo razonable a través de los mecanismos existentes en el derecho interno”, </w:t>
      </w:r>
      <w:r w:rsidR="00861763" w:rsidRPr="00CA32B3">
        <w:rPr>
          <w:rFonts w:ascii="Verdana" w:hAnsi="Verdana"/>
          <w:sz w:val="20"/>
          <w:szCs w:val="20"/>
        </w:rPr>
        <w:t>en los términos de los párrafos 289 a 290 de la misma.</w:t>
      </w:r>
      <w:r w:rsidR="00C43D84" w:rsidRPr="00CA32B3">
        <w:rPr>
          <w:rFonts w:ascii="Verdana" w:hAnsi="Verdana"/>
          <w:sz w:val="20"/>
          <w:szCs w:val="20"/>
          <w:lang w:val="es-CR"/>
        </w:rPr>
        <w:t xml:space="preserve"> </w:t>
      </w:r>
    </w:p>
    <w:p w14:paraId="65EA6C69" w14:textId="77777777" w:rsidR="00C449AB" w:rsidRPr="00CA32B3" w:rsidRDefault="00C449AB" w:rsidP="00690FE6">
      <w:pPr>
        <w:pStyle w:val="Prrafodelista"/>
        <w:suppressLineNumbers/>
        <w:tabs>
          <w:tab w:val="left" w:pos="680"/>
        </w:tabs>
        <w:spacing w:after="0" w:line="240" w:lineRule="auto"/>
        <w:ind w:left="0"/>
        <w:jc w:val="both"/>
        <w:rPr>
          <w:rFonts w:ascii="Verdana" w:hAnsi="Verdana"/>
          <w:sz w:val="20"/>
          <w:szCs w:val="20"/>
        </w:rPr>
      </w:pPr>
    </w:p>
    <w:p w14:paraId="64953944" w14:textId="43961A4E" w:rsidR="00706E26" w:rsidRPr="00CA32B3" w:rsidRDefault="00CF7903" w:rsidP="00690FE6">
      <w:pPr>
        <w:suppressLineNumbers/>
        <w:tabs>
          <w:tab w:val="left" w:pos="680"/>
        </w:tabs>
        <w:spacing w:after="0" w:line="240" w:lineRule="auto"/>
        <w:jc w:val="both"/>
        <w:rPr>
          <w:rFonts w:ascii="Verdana" w:hAnsi="Verdana"/>
          <w:i/>
          <w:sz w:val="20"/>
        </w:rPr>
      </w:pPr>
      <w:r w:rsidRPr="00CA32B3">
        <w:rPr>
          <w:rFonts w:ascii="Verdana" w:hAnsi="Verdana"/>
          <w:i/>
          <w:sz w:val="20"/>
        </w:rPr>
        <w:tab/>
      </w:r>
      <w:r w:rsidR="00861763" w:rsidRPr="00CA32B3">
        <w:rPr>
          <w:rFonts w:ascii="Verdana" w:hAnsi="Verdana"/>
          <w:i/>
          <w:sz w:val="20"/>
        </w:rPr>
        <w:t>A.2.</w:t>
      </w:r>
      <w:r w:rsidR="00706E26" w:rsidRPr="00CA32B3">
        <w:rPr>
          <w:rFonts w:ascii="Verdana" w:hAnsi="Verdana"/>
          <w:i/>
          <w:sz w:val="20"/>
        </w:rPr>
        <w:t xml:space="preserve"> Información y observaciones de las partes</w:t>
      </w:r>
      <w:r w:rsidR="00A50C21" w:rsidRPr="00CA32B3">
        <w:rPr>
          <w:rFonts w:ascii="Verdana" w:hAnsi="Verdana"/>
          <w:i/>
          <w:sz w:val="20"/>
        </w:rPr>
        <w:t xml:space="preserve"> </w:t>
      </w:r>
    </w:p>
    <w:p w14:paraId="5AD0625B" w14:textId="37FCA5A4" w:rsidR="00DF5375" w:rsidRPr="00CA32B3" w:rsidRDefault="00861763" w:rsidP="00690FE6">
      <w:pPr>
        <w:suppressLineNumbers/>
        <w:tabs>
          <w:tab w:val="left" w:pos="680"/>
        </w:tabs>
        <w:spacing w:after="0" w:line="240" w:lineRule="auto"/>
        <w:jc w:val="both"/>
        <w:rPr>
          <w:rFonts w:ascii="Verdana" w:hAnsi="Verdana"/>
          <w:i/>
          <w:sz w:val="20"/>
        </w:rPr>
      </w:pPr>
      <w:r w:rsidRPr="00CA32B3">
        <w:rPr>
          <w:rFonts w:ascii="Verdana" w:hAnsi="Verdana"/>
          <w:i/>
          <w:sz w:val="20"/>
        </w:rPr>
        <w:t xml:space="preserve"> </w:t>
      </w:r>
    </w:p>
    <w:p w14:paraId="2CA93A15" w14:textId="34AD95A9" w:rsidR="00C449AB" w:rsidRPr="00CA32B3" w:rsidRDefault="00971BA1" w:rsidP="00690FE6">
      <w:pPr>
        <w:pStyle w:val="Prrafodelista"/>
        <w:numPr>
          <w:ilvl w:val="0"/>
          <w:numId w:val="3"/>
        </w:numPr>
        <w:suppressLineNumbers/>
        <w:spacing w:after="0" w:line="240" w:lineRule="auto"/>
        <w:ind w:left="0" w:firstLine="0"/>
        <w:jc w:val="both"/>
        <w:rPr>
          <w:rFonts w:ascii="Verdana" w:hAnsi="Verdana"/>
          <w:sz w:val="20"/>
          <w:szCs w:val="18"/>
        </w:rPr>
      </w:pPr>
      <w:r w:rsidRPr="00CA32B3">
        <w:rPr>
          <w:rFonts w:ascii="Verdana" w:hAnsi="Verdana"/>
          <w:sz w:val="20"/>
          <w:szCs w:val="18"/>
        </w:rPr>
        <w:t>Durante</w:t>
      </w:r>
      <w:r w:rsidR="00DF5375" w:rsidRPr="00CA32B3">
        <w:rPr>
          <w:rFonts w:ascii="Verdana" w:hAnsi="Verdana"/>
          <w:sz w:val="20"/>
          <w:szCs w:val="18"/>
        </w:rPr>
        <w:t xml:space="preserve"> la etapa de supervisión de cumplimiento, </w:t>
      </w:r>
      <w:r w:rsidR="00861763" w:rsidRPr="00CA32B3">
        <w:rPr>
          <w:rFonts w:ascii="Verdana" w:hAnsi="Verdana"/>
          <w:sz w:val="20"/>
          <w:szCs w:val="18"/>
        </w:rPr>
        <w:t xml:space="preserve">las partes han presentado información sobre el trámite de las dos causas penales seguidas, respectivamente, contra </w:t>
      </w:r>
      <w:r w:rsidR="00A50C21" w:rsidRPr="00CA32B3">
        <w:rPr>
          <w:rFonts w:ascii="Verdana" w:hAnsi="Verdana"/>
          <w:sz w:val="20"/>
          <w:szCs w:val="18"/>
        </w:rPr>
        <w:t xml:space="preserve">los integrantes de las patrullas militares </w:t>
      </w:r>
      <w:r w:rsidR="00861763" w:rsidRPr="00CA32B3">
        <w:rPr>
          <w:rFonts w:ascii="Verdana" w:hAnsi="Verdana"/>
          <w:sz w:val="20"/>
          <w:szCs w:val="18"/>
        </w:rPr>
        <w:t>como autores materiales de los hechos (</w:t>
      </w:r>
      <w:r w:rsidR="00861763" w:rsidRPr="00CA32B3">
        <w:rPr>
          <w:rFonts w:ascii="Verdana" w:hAnsi="Verdana"/>
          <w:i/>
          <w:sz w:val="20"/>
          <w:szCs w:val="18"/>
        </w:rPr>
        <w:t>supra</w:t>
      </w:r>
      <w:r w:rsidR="00861763" w:rsidRPr="00CA32B3">
        <w:rPr>
          <w:rFonts w:ascii="Verdana" w:hAnsi="Verdana"/>
          <w:sz w:val="20"/>
          <w:szCs w:val="18"/>
        </w:rPr>
        <w:t xml:space="preserve"> Considerando</w:t>
      </w:r>
      <w:r w:rsidR="00D36F19" w:rsidRPr="00CA32B3">
        <w:rPr>
          <w:rFonts w:ascii="Verdana" w:hAnsi="Verdana"/>
          <w:sz w:val="20"/>
          <w:szCs w:val="18"/>
        </w:rPr>
        <w:t>s 4 y 5</w:t>
      </w:r>
      <w:r w:rsidR="00861763" w:rsidRPr="00CA32B3">
        <w:rPr>
          <w:rFonts w:ascii="Verdana" w:hAnsi="Verdana"/>
          <w:sz w:val="20"/>
          <w:szCs w:val="18"/>
        </w:rPr>
        <w:t>)</w:t>
      </w:r>
      <w:r w:rsidR="00861763" w:rsidRPr="00CA32B3">
        <w:rPr>
          <w:rStyle w:val="Refdenotaalpie"/>
          <w:rFonts w:ascii="Verdana" w:hAnsi="Verdana"/>
          <w:sz w:val="20"/>
          <w:szCs w:val="18"/>
        </w:rPr>
        <w:footnoteReference w:id="18"/>
      </w:r>
      <w:r w:rsidR="00861763" w:rsidRPr="00CA32B3">
        <w:rPr>
          <w:rFonts w:ascii="Verdana" w:hAnsi="Verdana"/>
          <w:sz w:val="20"/>
          <w:szCs w:val="18"/>
        </w:rPr>
        <w:t xml:space="preserve">. </w:t>
      </w:r>
      <w:r w:rsidR="00693BA5" w:rsidRPr="00CA32B3">
        <w:rPr>
          <w:rFonts w:ascii="Verdana" w:hAnsi="Verdana"/>
          <w:sz w:val="20"/>
          <w:szCs w:val="18"/>
        </w:rPr>
        <w:t>Después de</w:t>
      </w:r>
      <w:r w:rsidR="004C0D33" w:rsidRPr="00CA32B3">
        <w:rPr>
          <w:rFonts w:ascii="Verdana" w:hAnsi="Verdana"/>
          <w:sz w:val="20"/>
          <w:szCs w:val="18"/>
        </w:rPr>
        <w:t xml:space="preserve"> </w:t>
      </w:r>
      <w:r w:rsidR="00693BA5" w:rsidRPr="00CA32B3">
        <w:rPr>
          <w:rFonts w:ascii="Verdana" w:hAnsi="Verdana"/>
          <w:sz w:val="20"/>
          <w:szCs w:val="18"/>
        </w:rPr>
        <w:t>l</w:t>
      </w:r>
      <w:r w:rsidR="004C0D33" w:rsidRPr="00CA32B3">
        <w:rPr>
          <w:rFonts w:ascii="Verdana" w:hAnsi="Verdana"/>
          <w:sz w:val="20"/>
          <w:szCs w:val="18"/>
        </w:rPr>
        <w:t xml:space="preserve">a emisión </w:t>
      </w:r>
      <w:r w:rsidR="00693BA5" w:rsidRPr="00CA32B3">
        <w:rPr>
          <w:rFonts w:ascii="Verdana" w:hAnsi="Verdana"/>
          <w:sz w:val="20"/>
          <w:szCs w:val="18"/>
        </w:rPr>
        <w:t>de la Sentencia, e</w:t>
      </w:r>
      <w:r w:rsidR="00861763" w:rsidRPr="00CA32B3">
        <w:rPr>
          <w:rFonts w:ascii="Verdana" w:hAnsi="Verdana"/>
          <w:sz w:val="20"/>
          <w:szCs w:val="18"/>
        </w:rPr>
        <w:t>n el expediente No. 42-06 se dictaron dos sentencias condenatorias, una de las cuales se encuentra firme desde</w:t>
      </w:r>
      <w:r w:rsidR="00A50C21" w:rsidRPr="00CA32B3">
        <w:rPr>
          <w:rFonts w:ascii="Verdana" w:hAnsi="Verdana"/>
          <w:sz w:val="20"/>
          <w:szCs w:val="18"/>
        </w:rPr>
        <w:t xml:space="preserve"> el</w:t>
      </w:r>
      <w:r w:rsidR="00861763" w:rsidRPr="00CA32B3">
        <w:rPr>
          <w:rFonts w:ascii="Verdana" w:hAnsi="Verdana"/>
          <w:sz w:val="20"/>
          <w:szCs w:val="18"/>
        </w:rPr>
        <w:t xml:space="preserve"> 2017 (</w:t>
      </w:r>
      <w:r w:rsidR="00861763" w:rsidRPr="00CA32B3">
        <w:rPr>
          <w:rFonts w:ascii="Verdana" w:hAnsi="Verdana"/>
          <w:i/>
          <w:sz w:val="20"/>
          <w:szCs w:val="18"/>
        </w:rPr>
        <w:t>infra</w:t>
      </w:r>
      <w:r w:rsidR="00861763" w:rsidRPr="00CA32B3">
        <w:rPr>
          <w:rFonts w:ascii="Verdana" w:hAnsi="Verdana"/>
          <w:sz w:val="20"/>
          <w:szCs w:val="18"/>
        </w:rPr>
        <w:t xml:space="preserve"> Considerando </w:t>
      </w:r>
      <w:r w:rsidR="006232EA" w:rsidRPr="00CA32B3">
        <w:rPr>
          <w:rFonts w:ascii="Verdana" w:hAnsi="Verdana"/>
          <w:sz w:val="20"/>
          <w:szCs w:val="18"/>
        </w:rPr>
        <w:t>8</w:t>
      </w:r>
      <w:r w:rsidR="00861763" w:rsidRPr="00CA32B3">
        <w:rPr>
          <w:rFonts w:ascii="Verdana" w:hAnsi="Verdana"/>
          <w:sz w:val="20"/>
          <w:szCs w:val="18"/>
        </w:rPr>
        <w:t xml:space="preserve">). Por este motivo, el </w:t>
      </w:r>
      <w:r w:rsidR="00861763" w:rsidRPr="00CA32B3">
        <w:rPr>
          <w:rFonts w:ascii="Verdana" w:hAnsi="Verdana"/>
          <w:i/>
          <w:sz w:val="20"/>
          <w:szCs w:val="18"/>
        </w:rPr>
        <w:t xml:space="preserve">Estado </w:t>
      </w:r>
      <w:r w:rsidR="00861763" w:rsidRPr="00CA32B3">
        <w:rPr>
          <w:rFonts w:ascii="Verdana" w:hAnsi="Verdana"/>
          <w:sz w:val="20"/>
          <w:szCs w:val="18"/>
        </w:rPr>
        <w:t xml:space="preserve">solicitó a la Corte que declare el cumplimiento parcial del punto resolutivo </w:t>
      </w:r>
      <w:r w:rsidR="00A50C21" w:rsidRPr="00CA32B3">
        <w:rPr>
          <w:rFonts w:ascii="Verdana" w:hAnsi="Verdana"/>
          <w:sz w:val="20"/>
          <w:szCs w:val="18"/>
        </w:rPr>
        <w:t>décimo</w:t>
      </w:r>
      <w:r w:rsidR="00861763" w:rsidRPr="00CA32B3">
        <w:rPr>
          <w:rFonts w:ascii="Verdana" w:hAnsi="Verdana"/>
          <w:sz w:val="20"/>
          <w:szCs w:val="18"/>
        </w:rPr>
        <w:t xml:space="preserve"> de la Sentencia en tanto “</w:t>
      </w:r>
      <w:r w:rsidR="00861763" w:rsidRPr="00CA32B3">
        <w:rPr>
          <w:rFonts w:ascii="Verdana" w:hAnsi="Verdana" w:cs="Arial"/>
          <w:sz w:val="20"/>
          <w:szCs w:val="18"/>
        </w:rPr>
        <w:t xml:space="preserve">existen avances concretos y objetivos en la obligación de investigar y sancionar a los funcionarios responsables […] de las violaciones a los </w:t>
      </w:r>
      <w:r w:rsidR="00A50C21" w:rsidRPr="00CA32B3">
        <w:rPr>
          <w:rFonts w:ascii="Verdana" w:hAnsi="Verdana" w:cs="Arial"/>
          <w:sz w:val="20"/>
          <w:szCs w:val="18"/>
        </w:rPr>
        <w:t>D</w:t>
      </w:r>
      <w:r w:rsidR="00861763" w:rsidRPr="00CA32B3">
        <w:rPr>
          <w:rFonts w:ascii="Verdana" w:hAnsi="Verdana" w:cs="Arial"/>
          <w:sz w:val="20"/>
          <w:szCs w:val="18"/>
        </w:rPr>
        <w:t xml:space="preserve">erechos </w:t>
      </w:r>
      <w:r w:rsidR="00A50C21" w:rsidRPr="00CA32B3">
        <w:rPr>
          <w:rFonts w:ascii="Verdana" w:hAnsi="Verdana" w:cs="Arial"/>
          <w:sz w:val="20"/>
          <w:szCs w:val="18"/>
        </w:rPr>
        <w:t>H</w:t>
      </w:r>
      <w:r w:rsidR="00861763" w:rsidRPr="00CA32B3">
        <w:rPr>
          <w:rFonts w:ascii="Verdana" w:hAnsi="Verdana" w:cs="Arial"/>
          <w:sz w:val="20"/>
          <w:szCs w:val="18"/>
        </w:rPr>
        <w:t>umanos declarad[a]s” y “se ha logrado la condena efectiva de uno de los principales implicados en los hechos”. Además, l</w:t>
      </w:r>
      <w:r w:rsidR="00861763" w:rsidRPr="00CA32B3">
        <w:rPr>
          <w:rFonts w:ascii="Verdana" w:hAnsi="Verdana"/>
          <w:sz w:val="20"/>
          <w:szCs w:val="18"/>
        </w:rPr>
        <w:t>as partes han hecho referencia a nuevas investigaciones penales, derivadas del expediente No. 42-06, en las que estarían siendo investigados los presuntos autores intelectuales de la masacre de Santa Bárbara (</w:t>
      </w:r>
      <w:r w:rsidR="00861763" w:rsidRPr="00CA32B3">
        <w:rPr>
          <w:rFonts w:ascii="Verdana" w:hAnsi="Verdana"/>
          <w:i/>
          <w:sz w:val="20"/>
          <w:szCs w:val="18"/>
        </w:rPr>
        <w:t>infra</w:t>
      </w:r>
      <w:r w:rsidR="00861763" w:rsidRPr="00CA32B3">
        <w:rPr>
          <w:rFonts w:ascii="Verdana" w:hAnsi="Verdana"/>
          <w:sz w:val="20"/>
          <w:szCs w:val="18"/>
        </w:rPr>
        <w:t xml:space="preserve"> Considerandos</w:t>
      </w:r>
      <w:r w:rsidR="002463E0" w:rsidRPr="00CA32B3">
        <w:rPr>
          <w:rFonts w:ascii="Verdana" w:hAnsi="Verdana"/>
          <w:sz w:val="20"/>
          <w:szCs w:val="18"/>
        </w:rPr>
        <w:t xml:space="preserve"> 9 y 10).</w:t>
      </w:r>
    </w:p>
    <w:p w14:paraId="73261164" w14:textId="77777777" w:rsidR="00C449AB" w:rsidRPr="00CA32B3" w:rsidRDefault="00C449AB" w:rsidP="00690FE6">
      <w:pPr>
        <w:pStyle w:val="Prrafodelista"/>
        <w:suppressLineNumbers/>
        <w:spacing w:after="0" w:line="240" w:lineRule="auto"/>
        <w:ind w:left="0"/>
        <w:jc w:val="both"/>
        <w:rPr>
          <w:rFonts w:ascii="Verdana" w:hAnsi="Verdana"/>
          <w:sz w:val="20"/>
          <w:szCs w:val="18"/>
        </w:rPr>
      </w:pPr>
    </w:p>
    <w:p w14:paraId="7EE44E64" w14:textId="77777777" w:rsidR="00C449AB" w:rsidRPr="00CA32B3" w:rsidRDefault="00861763" w:rsidP="00690FE6">
      <w:pPr>
        <w:pStyle w:val="Prrafodelista"/>
        <w:numPr>
          <w:ilvl w:val="0"/>
          <w:numId w:val="5"/>
        </w:numPr>
        <w:suppressLineNumbers/>
        <w:spacing w:after="0" w:line="240" w:lineRule="auto"/>
        <w:jc w:val="both"/>
        <w:rPr>
          <w:rFonts w:ascii="Verdana" w:hAnsi="Verdana"/>
          <w:i/>
          <w:sz w:val="20"/>
          <w:szCs w:val="18"/>
        </w:rPr>
      </w:pPr>
      <w:r w:rsidRPr="00CA32B3">
        <w:rPr>
          <w:rFonts w:ascii="Verdana" w:hAnsi="Verdana"/>
          <w:i/>
          <w:sz w:val="20"/>
          <w:szCs w:val="18"/>
        </w:rPr>
        <w:t>Expediente No. 42-06, Sala Penal Nacional de la Corte Superior de Justicia de Lima</w:t>
      </w:r>
    </w:p>
    <w:p w14:paraId="17A0542F" w14:textId="77777777" w:rsidR="00C449AB" w:rsidRPr="00CA32B3" w:rsidRDefault="00C449AB" w:rsidP="00690FE6">
      <w:pPr>
        <w:pStyle w:val="Prrafodelista"/>
        <w:suppressLineNumbers/>
        <w:rPr>
          <w:rFonts w:ascii="Verdana" w:hAnsi="Verdana"/>
          <w:sz w:val="20"/>
          <w:szCs w:val="18"/>
        </w:rPr>
      </w:pPr>
    </w:p>
    <w:p w14:paraId="7CCA3A4E" w14:textId="4C0F777D" w:rsidR="00C449AB" w:rsidRPr="00CA32B3" w:rsidRDefault="00861763" w:rsidP="00690FE6">
      <w:pPr>
        <w:pStyle w:val="Prrafodelista"/>
        <w:numPr>
          <w:ilvl w:val="0"/>
          <w:numId w:val="3"/>
        </w:numPr>
        <w:suppressLineNumbers/>
        <w:autoSpaceDE w:val="0"/>
        <w:autoSpaceDN w:val="0"/>
        <w:adjustRightInd w:val="0"/>
        <w:spacing w:after="0" w:line="240" w:lineRule="auto"/>
        <w:ind w:left="0" w:firstLine="0"/>
        <w:jc w:val="both"/>
        <w:rPr>
          <w:rFonts w:ascii="Verdana" w:hAnsi="Verdana"/>
          <w:sz w:val="20"/>
          <w:szCs w:val="20"/>
        </w:rPr>
      </w:pPr>
      <w:r w:rsidRPr="00CA32B3">
        <w:rPr>
          <w:rFonts w:ascii="Verdana" w:hAnsi="Verdana"/>
          <w:sz w:val="20"/>
          <w:szCs w:val="20"/>
        </w:rPr>
        <w:t>E</w:t>
      </w:r>
      <w:r w:rsidR="00503A7B" w:rsidRPr="00CA32B3">
        <w:rPr>
          <w:rFonts w:ascii="Verdana" w:hAnsi="Verdana"/>
          <w:sz w:val="20"/>
          <w:szCs w:val="20"/>
        </w:rPr>
        <w:t xml:space="preserve">l </w:t>
      </w:r>
      <w:r w:rsidR="00503A7B" w:rsidRPr="00CA32B3">
        <w:rPr>
          <w:rFonts w:ascii="Verdana" w:hAnsi="Verdana"/>
          <w:i/>
          <w:sz w:val="20"/>
          <w:szCs w:val="20"/>
        </w:rPr>
        <w:t>Estado</w:t>
      </w:r>
      <w:r w:rsidR="00503A7B" w:rsidRPr="00CA32B3">
        <w:rPr>
          <w:rFonts w:ascii="Verdana" w:hAnsi="Verdana"/>
          <w:sz w:val="20"/>
          <w:szCs w:val="20"/>
        </w:rPr>
        <w:t xml:space="preserve"> informó que e</w:t>
      </w:r>
      <w:r w:rsidRPr="00CA32B3">
        <w:rPr>
          <w:rFonts w:ascii="Verdana" w:hAnsi="Verdana"/>
          <w:sz w:val="20"/>
          <w:szCs w:val="20"/>
        </w:rPr>
        <w:t>n abril de 2016 fue capturado Javier Bendezú Vargas</w:t>
      </w:r>
      <w:r w:rsidR="00B510B0" w:rsidRPr="00CA32B3">
        <w:rPr>
          <w:rFonts w:ascii="Verdana" w:hAnsi="Verdana"/>
          <w:sz w:val="20"/>
          <w:szCs w:val="20"/>
        </w:rPr>
        <w:t>, una de las personas que se encontraba prófuga,</w:t>
      </w:r>
      <w:r w:rsidRPr="00CA32B3">
        <w:rPr>
          <w:rFonts w:ascii="Verdana" w:hAnsi="Verdana"/>
          <w:sz w:val="20"/>
          <w:szCs w:val="20"/>
        </w:rPr>
        <w:t xml:space="preserve"> </w:t>
      </w:r>
      <w:r w:rsidR="002845E4" w:rsidRPr="00CA32B3">
        <w:rPr>
          <w:rFonts w:ascii="Verdana" w:hAnsi="Verdana"/>
          <w:sz w:val="20"/>
          <w:szCs w:val="20"/>
        </w:rPr>
        <w:t>y,</w:t>
      </w:r>
      <w:r w:rsidRPr="00CA32B3">
        <w:rPr>
          <w:rFonts w:ascii="Verdana" w:hAnsi="Verdana"/>
          <w:sz w:val="20"/>
          <w:szCs w:val="20"/>
        </w:rPr>
        <w:t xml:space="preserve"> posteriormente,</w:t>
      </w:r>
      <w:r w:rsidRPr="00CA32B3">
        <w:rPr>
          <w:rFonts w:ascii="Verdana" w:hAnsi="Verdana"/>
          <w:b/>
          <w:sz w:val="20"/>
          <w:szCs w:val="20"/>
        </w:rPr>
        <w:t xml:space="preserve"> </w:t>
      </w:r>
      <w:r w:rsidRPr="00CA32B3">
        <w:rPr>
          <w:rFonts w:ascii="Verdana" w:hAnsi="Verdana"/>
          <w:sz w:val="20"/>
          <w:szCs w:val="20"/>
        </w:rPr>
        <w:t xml:space="preserve">en </w:t>
      </w:r>
      <w:r w:rsidR="00503A7B" w:rsidRPr="00CA32B3">
        <w:rPr>
          <w:rFonts w:ascii="Verdana" w:hAnsi="Verdana"/>
          <w:sz w:val="20"/>
          <w:szCs w:val="20"/>
        </w:rPr>
        <w:t>el mes de mayo del mismo año se inició el juicio oral. Habiendo concluido el trámite del proceso</w:t>
      </w:r>
      <w:r w:rsidR="002845E4" w:rsidRPr="00CA32B3">
        <w:rPr>
          <w:rFonts w:ascii="Verdana" w:hAnsi="Verdana"/>
          <w:sz w:val="20"/>
          <w:szCs w:val="20"/>
        </w:rPr>
        <w:t xml:space="preserve"> penal</w:t>
      </w:r>
      <w:r w:rsidR="00503A7B" w:rsidRPr="00CA32B3">
        <w:rPr>
          <w:rFonts w:ascii="Verdana" w:hAnsi="Verdana"/>
          <w:sz w:val="20"/>
          <w:szCs w:val="20"/>
        </w:rPr>
        <w:t xml:space="preserve">, el 5 </w:t>
      </w:r>
      <w:r w:rsidRPr="00CA32B3">
        <w:rPr>
          <w:rFonts w:ascii="Verdana" w:hAnsi="Verdana"/>
          <w:sz w:val="20"/>
          <w:szCs w:val="20"/>
        </w:rPr>
        <w:t xml:space="preserve">octubre de 2017 la Sala Penal Nacional de la Corte Superior de Justicia de Lima </w:t>
      </w:r>
      <w:r w:rsidR="000D306B" w:rsidRPr="00CA32B3">
        <w:rPr>
          <w:rFonts w:ascii="Verdana" w:hAnsi="Verdana"/>
          <w:sz w:val="20"/>
          <w:szCs w:val="20"/>
        </w:rPr>
        <w:t xml:space="preserve">emitió sentencia, en la cual </w:t>
      </w:r>
      <w:r w:rsidR="002845E4" w:rsidRPr="00CA32B3">
        <w:rPr>
          <w:rFonts w:ascii="Verdana" w:hAnsi="Verdana"/>
          <w:sz w:val="20"/>
          <w:szCs w:val="20"/>
        </w:rPr>
        <w:t xml:space="preserve">dio por probado que el señor Bendezú Vargas se encontraba al mando de la patrulla militar “Escorpio” </w:t>
      </w:r>
      <w:r w:rsidR="00B22463" w:rsidRPr="00CA32B3">
        <w:rPr>
          <w:rFonts w:ascii="Verdana" w:hAnsi="Verdana"/>
          <w:sz w:val="20"/>
          <w:szCs w:val="20"/>
        </w:rPr>
        <w:t xml:space="preserve">y </w:t>
      </w:r>
      <w:r w:rsidR="002845E4" w:rsidRPr="00CA32B3">
        <w:rPr>
          <w:rFonts w:ascii="Verdana" w:hAnsi="Verdana"/>
          <w:sz w:val="20"/>
          <w:szCs w:val="20"/>
        </w:rPr>
        <w:t>que el 4 de julio de 1991 condujo a las quince víctimas a la Mina Vallerón donde ordenó su ejecución (</w:t>
      </w:r>
      <w:r w:rsidR="002845E4" w:rsidRPr="00CA32B3">
        <w:rPr>
          <w:rFonts w:ascii="Verdana" w:hAnsi="Verdana"/>
          <w:i/>
          <w:sz w:val="20"/>
          <w:szCs w:val="20"/>
        </w:rPr>
        <w:t>supra</w:t>
      </w:r>
      <w:r w:rsidR="002845E4" w:rsidRPr="00CA32B3">
        <w:rPr>
          <w:rFonts w:ascii="Verdana" w:hAnsi="Verdana"/>
          <w:sz w:val="20"/>
          <w:szCs w:val="20"/>
        </w:rPr>
        <w:t xml:space="preserve"> Visto 1)</w:t>
      </w:r>
      <w:r w:rsidR="00B22463" w:rsidRPr="00CA32B3">
        <w:rPr>
          <w:rFonts w:ascii="Verdana" w:hAnsi="Verdana"/>
          <w:sz w:val="20"/>
          <w:szCs w:val="20"/>
        </w:rPr>
        <w:t>. P</w:t>
      </w:r>
      <w:r w:rsidR="002845E4" w:rsidRPr="00CA32B3">
        <w:rPr>
          <w:rFonts w:ascii="Verdana" w:hAnsi="Verdana"/>
          <w:sz w:val="20"/>
          <w:szCs w:val="20"/>
        </w:rPr>
        <w:t>or tanto, lo condenó</w:t>
      </w:r>
      <w:r w:rsidR="00AF004C" w:rsidRPr="00CA32B3">
        <w:rPr>
          <w:rFonts w:ascii="Verdana" w:hAnsi="Verdana"/>
          <w:sz w:val="20"/>
          <w:szCs w:val="20"/>
        </w:rPr>
        <w:t xml:space="preserve"> a una pena privativa de la libertad de veinte años en su calidad de</w:t>
      </w:r>
      <w:r w:rsidRPr="00CA32B3">
        <w:rPr>
          <w:rFonts w:ascii="Verdana" w:hAnsi="Verdana"/>
          <w:sz w:val="20"/>
          <w:szCs w:val="20"/>
        </w:rPr>
        <w:t xml:space="preserve"> autor “del </w:t>
      </w:r>
      <w:r w:rsidR="00B22463" w:rsidRPr="00CA32B3">
        <w:rPr>
          <w:rFonts w:ascii="Verdana" w:hAnsi="Verdana"/>
          <w:sz w:val="20"/>
          <w:szCs w:val="20"/>
        </w:rPr>
        <w:t>D</w:t>
      </w:r>
      <w:r w:rsidRPr="00CA32B3">
        <w:rPr>
          <w:rFonts w:ascii="Verdana" w:hAnsi="Verdana"/>
          <w:sz w:val="20"/>
          <w:szCs w:val="20"/>
        </w:rPr>
        <w:t xml:space="preserve">elito </w:t>
      </w:r>
      <w:r w:rsidR="00B22463" w:rsidRPr="00CA32B3">
        <w:rPr>
          <w:rFonts w:ascii="Verdana" w:hAnsi="Verdana"/>
          <w:sz w:val="20"/>
          <w:szCs w:val="20"/>
        </w:rPr>
        <w:t>C</w:t>
      </w:r>
      <w:r w:rsidRPr="00CA32B3">
        <w:rPr>
          <w:rFonts w:ascii="Verdana" w:hAnsi="Verdana"/>
          <w:sz w:val="20"/>
          <w:szCs w:val="20"/>
        </w:rPr>
        <w:t xml:space="preserve">ontra la </w:t>
      </w:r>
      <w:r w:rsidR="00B22463" w:rsidRPr="00CA32B3">
        <w:rPr>
          <w:rFonts w:ascii="Verdana" w:hAnsi="Verdana"/>
          <w:sz w:val="20"/>
          <w:szCs w:val="20"/>
        </w:rPr>
        <w:t>V</w:t>
      </w:r>
      <w:r w:rsidRPr="00CA32B3">
        <w:rPr>
          <w:rFonts w:ascii="Verdana" w:hAnsi="Verdana"/>
          <w:sz w:val="20"/>
          <w:szCs w:val="20"/>
        </w:rPr>
        <w:t xml:space="preserve">ida, el </w:t>
      </w:r>
      <w:r w:rsidR="00B22463" w:rsidRPr="00CA32B3">
        <w:rPr>
          <w:rFonts w:ascii="Verdana" w:hAnsi="Verdana"/>
          <w:sz w:val="20"/>
          <w:szCs w:val="20"/>
        </w:rPr>
        <w:t>C</w:t>
      </w:r>
      <w:r w:rsidRPr="00CA32B3">
        <w:rPr>
          <w:rFonts w:ascii="Verdana" w:hAnsi="Verdana"/>
          <w:sz w:val="20"/>
          <w:szCs w:val="20"/>
        </w:rPr>
        <w:t xml:space="preserve">uerpo y la </w:t>
      </w:r>
      <w:r w:rsidR="00B22463" w:rsidRPr="00CA32B3">
        <w:rPr>
          <w:rFonts w:ascii="Verdana" w:hAnsi="Verdana"/>
          <w:sz w:val="20"/>
          <w:szCs w:val="20"/>
        </w:rPr>
        <w:t>S</w:t>
      </w:r>
      <w:r w:rsidRPr="00CA32B3">
        <w:rPr>
          <w:rFonts w:ascii="Verdana" w:hAnsi="Verdana"/>
          <w:sz w:val="20"/>
          <w:szCs w:val="20"/>
        </w:rPr>
        <w:t>alud - Homicidio Calificado”, con los agravantes de “gran crueldad, ferocidad y alevosía”</w:t>
      </w:r>
      <w:r w:rsidRPr="00CA32B3">
        <w:rPr>
          <w:rStyle w:val="Refdenotaalpie"/>
          <w:rFonts w:ascii="Verdana" w:hAnsi="Verdana"/>
          <w:sz w:val="20"/>
          <w:szCs w:val="20"/>
        </w:rPr>
        <w:footnoteReference w:id="19"/>
      </w:r>
      <w:r w:rsidRPr="00CA32B3">
        <w:rPr>
          <w:rFonts w:ascii="Verdana" w:hAnsi="Verdana"/>
          <w:sz w:val="20"/>
          <w:szCs w:val="20"/>
        </w:rPr>
        <w:t xml:space="preserve">. </w:t>
      </w:r>
      <w:r w:rsidR="00796D6C" w:rsidRPr="00CA32B3">
        <w:rPr>
          <w:rFonts w:ascii="Verdana" w:hAnsi="Verdana"/>
          <w:sz w:val="20"/>
          <w:szCs w:val="20"/>
        </w:rPr>
        <w:t xml:space="preserve">El </w:t>
      </w:r>
      <w:r w:rsidR="00796D6C" w:rsidRPr="00CA32B3">
        <w:rPr>
          <w:rFonts w:ascii="Verdana" w:hAnsi="Verdana"/>
          <w:i/>
          <w:sz w:val="20"/>
          <w:szCs w:val="20"/>
        </w:rPr>
        <w:t>Estado</w:t>
      </w:r>
      <w:r w:rsidR="00796D6C" w:rsidRPr="00CA32B3">
        <w:rPr>
          <w:rFonts w:ascii="Verdana" w:hAnsi="Verdana"/>
          <w:sz w:val="20"/>
          <w:szCs w:val="20"/>
        </w:rPr>
        <w:t xml:space="preserve"> precisó que</w:t>
      </w:r>
      <w:r w:rsidRPr="00CA32B3">
        <w:rPr>
          <w:rFonts w:ascii="Verdana" w:hAnsi="Verdana"/>
          <w:sz w:val="20"/>
          <w:szCs w:val="20"/>
        </w:rPr>
        <w:t xml:space="preserve"> dicha decisión judicial adquirió “la autoridad de cosa juzgada constitucional” en diciembre de 2017</w:t>
      </w:r>
      <w:r w:rsidRPr="00CA32B3">
        <w:rPr>
          <w:rStyle w:val="Refdenotaalpie"/>
          <w:rFonts w:ascii="Verdana" w:hAnsi="Verdana"/>
          <w:sz w:val="20"/>
          <w:szCs w:val="20"/>
        </w:rPr>
        <w:footnoteReference w:id="20"/>
      </w:r>
      <w:r w:rsidRPr="00CA32B3">
        <w:rPr>
          <w:rFonts w:ascii="Verdana" w:hAnsi="Verdana"/>
          <w:sz w:val="20"/>
          <w:szCs w:val="20"/>
        </w:rPr>
        <w:t xml:space="preserve">. </w:t>
      </w:r>
      <w:r w:rsidR="00E84E8D" w:rsidRPr="00CA32B3">
        <w:rPr>
          <w:rFonts w:ascii="Verdana" w:hAnsi="Verdana"/>
          <w:sz w:val="20"/>
          <w:szCs w:val="20"/>
        </w:rPr>
        <w:t xml:space="preserve">El </w:t>
      </w:r>
      <w:r w:rsidR="00E84E8D" w:rsidRPr="00CA32B3">
        <w:rPr>
          <w:rFonts w:ascii="Verdana" w:hAnsi="Verdana"/>
          <w:i/>
          <w:sz w:val="20"/>
          <w:szCs w:val="20"/>
        </w:rPr>
        <w:t>Estado</w:t>
      </w:r>
      <w:r w:rsidR="00E84E8D" w:rsidRPr="00CA32B3">
        <w:rPr>
          <w:rFonts w:ascii="Verdana" w:hAnsi="Verdana"/>
          <w:sz w:val="20"/>
          <w:szCs w:val="20"/>
        </w:rPr>
        <w:t xml:space="preserve"> cont</w:t>
      </w:r>
      <w:r w:rsidR="00796D6C" w:rsidRPr="00CA32B3">
        <w:rPr>
          <w:rFonts w:ascii="Verdana" w:hAnsi="Verdana"/>
          <w:sz w:val="20"/>
          <w:szCs w:val="20"/>
        </w:rPr>
        <w:t>inu</w:t>
      </w:r>
      <w:r w:rsidR="00E84E8D" w:rsidRPr="00CA32B3">
        <w:rPr>
          <w:rFonts w:ascii="Verdana" w:hAnsi="Verdana"/>
          <w:sz w:val="20"/>
          <w:szCs w:val="20"/>
        </w:rPr>
        <w:t xml:space="preserve">ó </w:t>
      </w:r>
      <w:r w:rsidR="00796D6C" w:rsidRPr="00CA32B3">
        <w:rPr>
          <w:rFonts w:ascii="Verdana" w:hAnsi="Verdana"/>
          <w:sz w:val="20"/>
          <w:szCs w:val="20"/>
        </w:rPr>
        <w:t xml:space="preserve">refiriéndose </w:t>
      </w:r>
      <w:r w:rsidRPr="00CA32B3">
        <w:rPr>
          <w:rFonts w:ascii="Verdana" w:hAnsi="Verdana"/>
          <w:sz w:val="20"/>
          <w:szCs w:val="20"/>
        </w:rPr>
        <w:t>a dos procesos de extradición que fueron tramitados de forma sucesiva para capturar a</w:t>
      </w:r>
      <w:r w:rsidR="00993C4B" w:rsidRPr="00CA32B3">
        <w:rPr>
          <w:rFonts w:ascii="Verdana" w:hAnsi="Verdana"/>
          <w:sz w:val="20"/>
          <w:szCs w:val="20"/>
        </w:rPr>
        <w:t>l señor P.Z., quien había sido declarado</w:t>
      </w:r>
      <w:r w:rsidRPr="00CA32B3">
        <w:rPr>
          <w:rFonts w:ascii="Verdana" w:hAnsi="Verdana"/>
          <w:sz w:val="20"/>
          <w:szCs w:val="20"/>
        </w:rPr>
        <w:t xml:space="preserve"> “reo ausente”</w:t>
      </w:r>
      <w:r w:rsidR="00993C4B" w:rsidRPr="00CA32B3">
        <w:rPr>
          <w:rFonts w:ascii="Verdana" w:hAnsi="Verdana"/>
          <w:sz w:val="20"/>
          <w:szCs w:val="20"/>
        </w:rPr>
        <w:t xml:space="preserve">, </w:t>
      </w:r>
      <w:r w:rsidR="00E84E8D" w:rsidRPr="00CA32B3">
        <w:rPr>
          <w:rFonts w:ascii="Verdana" w:hAnsi="Verdana"/>
          <w:sz w:val="20"/>
          <w:szCs w:val="20"/>
        </w:rPr>
        <w:t xml:space="preserve">entonces </w:t>
      </w:r>
      <w:r w:rsidR="00796D6C" w:rsidRPr="00CA32B3">
        <w:rPr>
          <w:rFonts w:ascii="Verdana" w:hAnsi="Verdana"/>
          <w:sz w:val="20"/>
          <w:szCs w:val="20"/>
        </w:rPr>
        <w:t>prófugo en los Estados Unidos de América</w:t>
      </w:r>
      <w:r w:rsidRPr="00CA32B3">
        <w:rPr>
          <w:rFonts w:ascii="Verdana" w:hAnsi="Verdana"/>
          <w:sz w:val="20"/>
          <w:szCs w:val="20"/>
        </w:rPr>
        <w:t xml:space="preserve"> (</w:t>
      </w:r>
      <w:r w:rsidRPr="00CA32B3">
        <w:rPr>
          <w:rFonts w:ascii="Verdana" w:hAnsi="Verdana"/>
          <w:i/>
          <w:sz w:val="20"/>
          <w:szCs w:val="20"/>
        </w:rPr>
        <w:t>supra</w:t>
      </w:r>
      <w:r w:rsidRPr="00CA32B3">
        <w:rPr>
          <w:rFonts w:ascii="Verdana" w:hAnsi="Verdana"/>
          <w:sz w:val="20"/>
          <w:szCs w:val="20"/>
        </w:rPr>
        <w:t xml:space="preserve"> Considerando</w:t>
      </w:r>
      <w:r w:rsidR="006232EA" w:rsidRPr="00CA32B3">
        <w:rPr>
          <w:rFonts w:ascii="Verdana" w:hAnsi="Verdana"/>
          <w:sz w:val="20"/>
          <w:szCs w:val="20"/>
        </w:rPr>
        <w:t xml:space="preserve"> 4</w:t>
      </w:r>
      <w:r w:rsidRPr="00CA32B3">
        <w:rPr>
          <w:rFonts w:ascii="Verdana" w:hAnsi="Verdana"/>
          <w:sz w:val="20"/>
          <w:szCs w:val="20"/>
        </w:rPr>
        <w:t>)</w:t>
      </w:r>
      <w:r w:rsidR="00993C4B" w:rsidRPr="00CA32B3">
        <w:rPr>
          <w:rFonts w:ascii="Verdana" w:hAnsi="Verdana"/>
          <w:sz w:val="20"/>
          <w:szCs w:val="20"/>
        </w:rPr>
        <w:t xml:space="preserve">. El </w:t>
      </w:r>
      <w:r w:rsidR="00993C4B" w:rsidRPr="00CA32B3">
        <w:rPr>
          <w:rFonts w:ascii="Verdana" w:hAnsi="Verdana"/>
          <w:i/>
          <w:sz w:val="20"/>
          <w:szCs w:val="20"/>
        </w:rPr>
        <w:t>Estado</w:t>
      </w:r>
      <w:r w:rsidR="00993C4B" w:rsidRPr="00CA32B3">
        <w:rPr>
          <w:rFonts w:ascii="Verdana" w:hAnsi="Verdana"/>
          <w:sz w:val="20"/>
          <w:szCs w:val="20"/>
        </w:rPr>
        <w:t xml:space="preserve"> indicó que su captura </w:t>
      </w:r>
      <w:r w:rsidR="00796D6C" w:rsidRPr="00CA32B3">
        <w:rPr>
          <w:rFonts w:ascii="Verdana" w:hAnsi="Verdana"/>
          <w:sz w:val="20"/>
          <w:szCs w:val="20"/>
        </w:rPr>
        <w:t>se efectivizó</w:t>
      </w:r>
      <w:r w:rsidRPr="00CA32B3">
        <w:rPr>
          <w:rFonts w:ascii="Verdana" w:hAnsi="Verdana"/>
          <w:sz w:val="20"/>
          <w:szCs w:val="20"/>
        </w:rPr>
        <w:t xml:space="preserve"> en</w:t>
      </w:r>
      <w:r w:rsidR="00796D6C" w:rsidRPr="00CA32B3">
        <w:rPr>
          <w:rFonts w:ascii="Verdana" w:hAnsi="Verdana"/>
          <w:sz w:val="20"/>
          <w:szCs w:val="20"/>
        </w:rPr>
        <w:t xml:space="preserve"> noviembre de 2018</w:t>
      </w:r>
      <w:r w:rsidRPr="00CA32B3">
        <w:rPr>
          <w:rFonts w:ascii="Verdana" w:hAnsi="Verdana"/>
          <w:sz w:val="20"/>
          <w:szCs w:val="20"/>
        </w:rPr>
        <w:t xml:space="preserve">. De acuerdo a la información remitida por </w:t>
      </w:r>
      <w:r w:rsidRPr="00CA32B3">
        <w:rPr>
          <w:rFonts w:ascii="Verdana" w:hAnsi="Verdana"/>
          <w:i/>
          <w:sz w:val="20"/>
          <w:szCs w:val="20"/>
        </w:rPr>
        <w:t>los</w:t>
      </w:r>
      <w:r w:rsidRPr="00CA32B3">
        <w:rPr>
          <w:rFonts w:ascii="Verdana" w:hAnsi="Verdana"/>
          <w:sz w:val="20"/>
          <w:szCs w:val="20"/>
        </w:rPr>
        <w:t xml:space="preserve"> </w:t>
      </w:r>
      <w:r w:rsidRPr="00CA32B3">
        <w:rPr>
          <w:rFonts w:ascii="Verdana" w:hAnsi="Verdana"/>
          <w:i/>
          <w:sz w:val="20"/>
          <w:szCs w:val="20"/>
        </w:rPr>
        <w:t>representantes</w:t>
      </w:r>
      <w:r w:rsidRPr="00CA32B3">
        <w:rPr>
          <w:rFonts w:ascii="Verdana" w:hAnsi="Verdana"/>
          <w:sz w:val="20"/>
          <w:szCs w:val="20"/>
        </w:rPr>
        <w:t xml:space="preserve">, </w:t>
      </w:r>
      <w:r w:rsidRPr="00CA32B3">
        <w:rPr>
          <w:rFonts w:ascii="Verdana" w:hAnsi="Verdana" w:cs="Arial"/>
          <w:iCs/>
          <w:sz w:val="20"/>
          <w:szCs w:val="20"/>
        </w:rPr>
        <w:t xml:space="preserve">el 16 de diciembre de 2019 la Cuarta Sala Penal Superior Transitoria Especializada en Crimen Organizado “lo condenó a 5 años de </w:t>
      </w:r>
      <w:r w:rsidRPr="00CA32B3">
        <w:rPr>
          <w:rFonts w:ascii="Verdana" w:hAnsi="Verdana" w:cs="Arial"/>
          <w:iCs/>
          <w:sz w:val="20"/>
          <w:szCs w:val="20"/>
        </w:rPr>
        <w:lastRenderedPageBreak/>
        <w:t>pena privativa de libertad por haberse acreditado su condición de cómplice secundario” del delito de homicidio simple</w:t>
      </w:r>
      <w:r w:rsidRPr="00CA32B3">
        <w:rPr>
          <w:rStyle w:val="Refdenotaalpie"/>
          <w:rFonts w:ascii="Verdana" w:hAnsi="Verdana" w:cs="Arial"/>
          <w:iCs/>
          <w:sz w:val="20"/>
          <w:szCs w:val="20"/>
        </w:rPr>
        <w:footnoteReference w:id="21"/>
      </w:r>
      <w:r w:rsidR="00E84E8D" w:rsidRPr="00CA32B3">
        <w:rPr>
          <w:rFonts w:ascii="Verdana" w:hAnsi="Verdana" w:cs="Arial"/>
          <w:iCs/>
          <w:sz w:val="20"/>
          <w:szCs w:val="20"/>
        </w:rPr>
        <w:t>, lo cual no fue controvertido por el Estado</w:t>
      </w:r>
      <w:r w:rsidRPr="00CA32B3">
        <w:rPr>
          <w:rFonts w:ascii="Verdana" w:hAnsi="Verdana" w:cs="Arial"/>
          <w:iCs/>
          <w:sz w:val="20"/>
          <w:szCs w:val="20"/>
        </w:rPr>
        <w:t>. Durante la audiencia privada de supervisión de cumplimiento</w:t>
      </w:r>
      <w:r w:rsidR="00B22463" w:rsidRPr="00CA32B3">
        <w:rPr>
          <w:rFonts w:ascii="Verdana" w:hAnsi="Verdana" w:cs="Arial"/>
          <w:iCs/>
          <w:sz w:val="20"/>
          <w:szCs w:val="20"/>
        </w:rPr>
        <w:t xml:space="preserve"> de 2020</w:t>
      </w:r>
      <w:r w:rsidRPr="00CA32B3">
        <w:rPr>
          <w:rFonts w:ascii="Verdana" w:hAnsi="Verdana" w:cs="Arial"/>
          <w:iCs/>
          <w:sz w:val="20"/>
          <w:szCs w:val="20"/>
        </w:rPr>
        <w:t xml:space="preserve">, el </w:t>
      </w:r>
      <w:r w:rsidRPr="00CA32B3">
        <w:rPr>
          <w:rFonts w:ascii="Verdana" w:hAnsi="Verdana" w:cs="Arial"/>
          <w:i/>
          <w:iCs/>
          <w:sz w:val="20"/>
          <w:szCs w:val="20"/>
        </w:rPr>
        <w:t>Estado</w:t>
      </w:r>
      <w:r w:rsidRPr="00CA32B3">
        <w:rPr>
          <w:rFonts w:ascii="Verdana" w:hAnsi="Verdana" w:cs="Arial"/>
          <w:iCs/>
          <w:sz w:val="20"/>
          <w:szCs w:val="20"/>
        </w:rPr>
        <w:t xml:space="preserve"> </w:t>
      </w:r>
      <w:r w:rsidR="004C0D33" w:rsidRPr="00CA32B3">
        <w:rPr>
          <w:rFonts w:ascii="Verdana" w:hAnsi="Verdana" w:cs="Arial"/>
          <w:iCs/>
          <w:sz w:val="20"/>
          <w:szCs w:val="20"/>
        </w:rPr>
        <w:t>alegó</w:t>
      </w:r>
      <w:r w:rsidRPr="00CA32B3">
        <w:rPr>
          <w:rFonts w:ascii="Verdana" w:hAnsi="Verdana" w:cs="Arial"/>
          <w:iCs/>
          <w:sz w:val="20"/>
          <w:szCs w:val="20"/>
        </w:rPr>
        <w:t xml:space="preserve"> que el Ministerio Público interpuso un recurso de nulidad para recurrir el monto de la pena </w:t>
      </w:r>
      <w:r w:rsidR="00993C4B" w:rsidRPr="00CA32B3">
        <w:rPr>
          <w:rFonts w:ascii="Verdana" w:hAnsi="Verdana" w:cs="Arial"/>
          <w:iCs/>
          <w:sz w:val="20"/>
          <w:szCs w:val="20"/>
        </w:rPr>
        <w:t>impuesta</w:t>
      </w:r>
      <w:r w:rsidRPr="00CA32B3">
        <w:rPr>
          <w:rFonts w:ascii="Verdana" w:hAnsi="Verdana" w:cs="Arial"/>
          <w:iCs/>
          <w:sz w:val="20"/>
          <w:szCs w:val="20"/>
        </w:rPr>
        <w:t>, el cual se encuentra, desde el 21 de enero de 2020, bajo estudio de la Corte Suprema de Justicia de la República del Perú</w:t>
      </w:r>
      <w:r w:rsidRPr="00CA32B3">
        <w:rPr>
          <w:rStyle w:val="Refdenotaalpie"/>
          <w:rFonts w:ascii="Verdana" w:hAnsi="Verdana" w:cs="Arial"/>
          <w:iCs/>
          <w:sz w:val="20"/>
          <w:szCs w:val="20"/>
        </w:rPr>
        <w:footnoteReference w:id="22"/>
      </w:r>
      <w:r w:rsidRPr="00CA32B3">
        <w:rPr>
          <w:rFonts w:ascii="Verdana" w:hAnsi="Verdana" w:cs="Arial"/>
          <w:iCs/>
          <w:sz w:val="20"/>
          <w:szCs w:val="20"/>
        </w:rPr>
        <w:t xml:space="preserve">. </w:t>
      </w:r>
    </w:p>
    <w:p w14:paraId="752BBB1E" w14:textId="77777777" w:rsidR="00C449AB" w:rsidRPr="00CA32B3" w:rsidRDefault="00C449AB" w:rsidP="00690FE6">
      <w:pPr>
        <w:pStyle w:val="Prrafodelista"/>
        <w:suppressLineNumbers/>
        <w:autoSpaceDE w:val="0"/>
        <w:autoSpaceDN w:val="0"/>
        <w:adjustRightInd w:val="0"/>
        <w:spacing w:after="0" w:line="240" w:lineRule="auto"/>
        <w:ind w:left="0"/>
        <w:jc w:val="both"/>
        <w:rPr>
          <w:rFonts w:ascii="Verdana" w:hAnsi="Verdana" w:cs="Calibri"/>
          <w:sz w:val="20"/>
          <w:szCs w:val="20"/>
        </w:rPr>
      </w:pPr>
    </w:p>
    <w:p w14:paraId="29B6669C" w14:textId="77777777" w:rsidR="00C449AB" w:rsidRPr="00CA32B3" w:rsidRDefault="00861763" w:rsidP="00690FE6">
      <w:pPr>
        <w:pStyle w:val="Prrafodelista"/>
        <w:suppressLineNumbers/>
        <w:autoSpaceDE w:val="0"/>
        <w:autoSpaceDN w:val="0"/>
        <w:adjustRightInd w:val="0"/>
        <w:spacing w:after="0" w:line="240" w:lineRule="auto"/>
        <w:ind w:left="0"/>
        <w:jc w:val="both"/>
        <w:rPr>
          <w:rFonts w:ascii="Verdana" w:hAnsi="Verdana" w:cs="Calibri"/>
          <w:i/>
          <w:sz w:val="20"/>
          <w:szCs w:val="20"/>
        </w:rPr>
      </w:pPr>
      <w:r w:rsidRPr="00CA32B3">
        <w:rPr>
          <w:rFonts w:ascii="Verdana" w:hAnsi="Verdana" w:cs="Calibri"/>
          <w:i/>
          <w:sz w:val="20"/>
          <w:szCs w:val="20"/>
        </w:rPr>
        <w:t>ii)</w:t>
      </w:r>
      <w:r w:rsidRPr="00CA32B3">
        <w:rPr>
          <w:rFonts w:ascii="Verdana" w:hAnsi="Verdana" w:cs="Calibri"/>
          <w:sz w:val="20"/>
          <w:szCs w:val="20"/>
        </w:rPr>
        <w:t xml:space="preserve"> </w:t>
      </w:r>
      <w:r w:rsidRPr="00CA32B3">
        <w:rPr>
          <w:rFonts w:ascii="Verdana" w:hAnsi="Verdana" w:cs="Calibri"/>
          <w:sz w:val="20"/>
          <w:szCs w:val="20"/>
        </w:rPr>
        <w:tab/>
      </w:r>
      <w:r w:rsidRPr="00CA32B3">
        <w:rPr>
          <w:rFonts w:ascii="Verdana" w:hAnsi="Verdana" w:cs="Calibri"/>
          <w:i/>
          <w:sz w:val="20"/>
          <w:szCs w:val="20"/>
        </w:rPr>
        <w:t>Investigación fiscal 01-16, Cuarta Fiscalía Penal Supraprovincial de Lima</w:t>
      </w:r>
    </w:p>
    <w:p w14:paraId="558B3A20" w14:textId="77777777" w:rsidR="00C449AB" w:rsidRPr="00CA32B3" w:rsidRDefault="00C449AB" w:rsidP="00690FE6">
      <w:pPr>
        <w:pStyle w:val="Prrafodelista"/>
        <w:suppressLineNumbers/>
        <w:rPr>
          <w:rFonts w:ascii="Verdana" w:hAnsi="Verdana"/>
          <w:sz w:val="20"/>
          <w:szCs w:val="18"/>
        </w:rPr>
      </w:pPr>
    </w:p>
    <w:p w14:paraId="5941B417" w14:textId="2397C709" w:rsidR="00C449AB" w:rsidRPr="00CA32B3" w:rsidRDefault="006232EA" w:rsidP="00690FE6">
      <w:pPr>
        <w:pStyle w:val="Prrafodelista"/>
        <w:numPr>
          <w:ilvl w:val="0"/>
          <w:numId w:val="3"/>
        </w:numPr>
        <w:suppressLineNumbers/>
        <w:autoSpaceDE w:val="0"/>
        <w:autoSpaceDN w:val="0"/>
        <w:adjustRightInd w:val="0"/>
        <w:spacing w:after="0" w:line="240" w:lineRule="auto"/>
        <w:ind w:left="0" w:firstLine="0"/>
        <w:jc w:val="both"/>
        <w:rPr>
          <w:rFonts w:ascii="Verdana" w:hAnsi="Verdana"/>
          <w:sz w:val="20"/>
          <w:szCs w:val="20"/>
        </w:rPr>
      </w:pPr>
      <w:r w:rsidRPr="00CA32B3">
        <w:rPr>
          <w:rFonts w:ascii="Verdana" w:hAnsi="Verdana"/>
          <w:sz w:val="20"/>
          <w:szCs w:val="18"/>
          <w:lang w:val="es-CR"/>
        </w:rPr>
        <w:t xml:space="preserve">El </w:t>
      </w:r>
      <w:r w:rsidRPr="00CA32B3">
        <w:rPr>
          <w:rFonts w:ascii="Verdana" w:hAnsi="Verdana"/>
          <w:i/>
          <w:sz w:val="20"/>
          <w:szCs w:val="18"/>
          <w:lang w:val="es-CR"/>
        </w:rPr>
        <w:t>Estado</w:t>
      </w:r>
      <w:r w:rsidRPr="00CA32B3">
        <w:rPr>
          <w:rFonts w:ascii="Verdana" w:hAnsi="Verdana"/>
          <w:sz w:val="20"/>
          <w:szCs w:val="18"/>
          <w:lang w:val="es-CR"/>
        </w:rPr>
        <w:t xml:space="preserve"> sostuvo que, paralelamente, en marzo de 2016, la Cuarta Fiscalía Penal Supraprovincial de Lima “dispuso abrir [una] investigación preliminar a nivel fiscal […] contra los que resulten responsables por la presunta comisión [de…] Homicidio Calificado”, con la finalidad de </w:t>
      </w:r>
      <w:r w:rsidRPr="00CA32B3">
        <w:rPr>
          <w:rFonts w:ascii="Verdana" w:hAnsi="Verdana" w:cs="Arial"/>
          <w:sz w:val="20"/>
          <w:szCs w:val="18"/>
          <w:lang w:val="es-CR"/>
        </w:rPr>
        <w:t>indagar en la cadena de mando y en los autores mediatos de los hechos</w:t>
      </w:r>
      <w:r w:rsidRPr="00CA32B3">
        <w:rPr>
          <w:rFonts w:ascii="Verdana" w:hAnsi="Verdana"/>
          <w:sz w:val="20"/>
          <w:szCs w:val="18"/>
          <w:lang w:val="es-CR"/>
        </w:rPr>
        <w:t>, y de ubicar los restos mortales de las víctimas</w:t>
      </w:r>
      <w:r w:rsidRPr="00CA32B3">
        <w:rPr>
          <w:rStyle w:val="Refdenotaalpie"/>
          <w:rFonts w:ascii="Verdana" w:hAnsi="Verdana"/>
          <w:sz w:val="20"/>
          <w:szCs w:val="18"/>
          <w:lang w:val="es-CR"/>
        </w:rPr>
        <w:footnoteReference w:id="23"/>
      </w:r>
      <w:r w:rsidRPr="00CA32B3">
        <w:rPr>
          <w:rFonts w:ascii="Verdana" w:hAnsi="Verdana"/>
          <w:sz w:val="20"/>
          <w:szCs w:val="18"/>
          <w:lang w:val="es-CR"/>
        </w:rPr>
        <w:t xml:space="preserve">, en el marco de lo cual ordenó diversas </w:t>
      </w:r>
      <w:r w:rsidR="00861763" w:rsidRPr="00CA32B3">
        <w:rPr>
          <w:rFonts w:ascii="Verdana" w:hAnsi="Verdana"/>
          <w:sz w:val="20"/>
          <w:szCs w:val="18"/>
        </w:rPr>
        <w:t>diligencias</w:t>
      </w:r>
      <w:r w:rsidRPr="00CA32B3">
        <w:rPr>
          <w:rStyle w:val="Refdenotaalpie"/>
          <w:rFonts w:ascii="Verdana" w:hAnsi="Verdana"/>
          <w:sz w:val="20"/>
          <w:szCs w:val="18"/>
          <w:lang w:val="es-CR"/>
        </w:rPr>
        <w:footnoteReference w:id="24"/>
      </w:r>
      <w:r w:rsidR="00861763" w:rsidRPr="00CA32B3">
        <w:rPr>
          <w:rFonts w:ascii="Verdana" w:hAnsi="Verdana"/>
          <w:sz w:val="20"/>
          <w:szCs w:val="18"/>
        </w:rPr>
        <w:t xml:space="preserve">. </w:t>
      </w:r>
      <w:r w:rsidR="00861763" w:rsidRPr="00CA32B3">
        <w:rPr>
          <w:rFonts w:ascii="Verdana" w:hAnsi="Verdana" w:cs="Arial"/>
          <w:sz w:val="20"/>
          <w:szCs w:val="18"/>
        </w:rPr>
        <w:t xml:space="preserve">En marzo de 2018, el </w:t>
      </w:r>
      <w:r w:rsidR="00861763" w:rsidRPr="00CA32B3">
        <w:rPr>
          <w:rFonts w:ascii="Verdana" w:hAnsi="Verdana" w:cs="Arial"/>
          <w:i/>
          <w:sz w:val="20"/>
          <w:szCs w:val="18"/>
        </w:rPr>
        <w:t>Estado</w:t>
      </w:r>
      <w:r w:rsidR="00861763" w:rsidRPr="00CA32B3">
        <w:rPr>
          <w:rFonts w:ascii="Verdana" w:hAnsi="Verdana" w:cs="Arial"/>
          <w:sz w:val="20"/>
          <w:szCs w:val="18"/>
        </w:rPr>
        <w:t xml:space="preserve"> reconoció que la investigación fiscal 01-16 “aún continua[ba] con inculpados anónimos”, pero que “esto no es producto de una eventual pasividad de las autoridades peruanas, sino más bien se debe a la complejidad y sensibilidad del caso, pues [la…] investigación [,] iniciada en el año 2015[, abarca…] hechos ocurridos hace más de 20 años[</w:t>
      </w:r>
      <w:r w:rsidR="009A5F76" w:rsidRPr="00CA32B3">
        <w:rPr>
          <w:rFonts w:ascii="Verdana" w:hAnsi="Verdana" w:cs="Arial"/>
          <w:sz w:val="20"/>
          <w:szCs w:val="18"/>
        </w:rPr>
        <w:t xml:space="preserve">, </w:t>
      </w:r>
      <w:r w:rsidR="00861763" w:rsidRPr="00CA32B3">
        <w:rPr>
          <w:rFonts w:ascii="Verdana" w:hAnsi="Verdana" w:cs="Arial"/>
          <w:sz w:val="20"/>
          <w:szCs w:val="18"/>
        </w:rPr>
        <w:t>lo cual…] dificulta la investigación instaurada”.</w:t>
      </w:r>
      <w:r w:rsidR="00861763" w:rsidRPr="00CA32B3">
        <w:rPr>
          <w:rFonts w:ascii="Verdana" w:hAnsi="Verdana" w:cs="Arial"/>
          <w:b/>
          <w:sz w:val="20"/>
          <w:szCs w:val="18"/>
        </w:rPr>
        <w:t xml:space="preserve"> </w:t>
      </w:r>
    </w:p>
    <w:p w14:paraId="48A6C7B9" w14:textId="77777777" w:rsidR="00C449AB" w:rsidRPr="00CA32B3" w:rsidRDefault="00C449AB" w:rsidP="00690FE6">
      <w:pPr>
        <w:pStyle w:val="Prrafodelista"/>
        <w:suppressLineNumbers/>
        <w:rPr>
          <w:rFonts w:ascii="Verdana" w:hAnsi="Verdana"/>
          <w:sz w:val="20"/>
          <w:szCs w:val="20"/>
        </w:rPr>
      </w:pPr>
    </w:p>
    <w:p w14:paraId="4148D73A" w14:textId="364A9F53" w:rsidR="00C449AB" w:rsidRPr="00CA32B3" w:rsidRDefault="00861763" w:rsidP="00690FE6">
      <w:pPr>
        <w:pStyle w:val="Prrafodelista"/>
        <w:numPr>
          <w:ilvl w:val="0"/>
          <w:numId w:val="3"/>
        </w:numPr>
        <w:suppressLineNumbers/>
        <w:autoSpaceDE w:val="0"/>
        <w:autoSpaceDN w:val="0"/>
        <w:adjustRightInd w:val="0"/>
        <w:spacing w:after="0" w:line="240" w:lineRule="auto"/>
        <w:ind w:left="0" w:firstLine="0"/>
        <w:jc w:val="both"/>
        <w:rPr>
          <w:rFonts w:ascii="Verdana" w:hAnsi="Verdana"/>
          <w:i/>
          <w:sz w:val="20"/>
          <w:szCs w:val="20"/>
        </w:rPr>
      </w:pPr>
      <w:r w:rsidRPr="00CA32B3">
        <w:rPr>
          <w:rFonts w:ascii="Verdana" w:hAnsi="Verdana"/>
          <w:sz w:val="20"/>
          <w:szCs w:val="20"/>
        </w:rPr>
        <w:t xml:space="preserve">Durante la audiencia privada de supervisión y en su informe de febrero de 2021, el </w:t>
      </w:r>
      <w:r w:rsidRPr="00CA32B3">
        <w:rPr>
          <w:rFonts w:ascii="Verdana" w:hAnsi="Verdana"/>
          <w:i/>
          <w:sz w:val="20"/>
          <w:szCs w:val="20"/>
        </w:rPr>
        <w:t>Estado</w:t>
      </w:r>
      <w:r w:rsidRPr="00CA32B3">
        <w:rPr>
          <w:rFonts w:ascii="Verdana" w:hAnsi="Verdana"/>
          <w:sz w:val="20"/>
          <w:szCs w:val="20"/>
        </w:rPr>
        <w:t xml:space="preserve"> mencionó que en la actualidad es la Segunda Fiscalía Supraprovincial de Lima la que se encuentra encargada de la carpeta fiscal No. 01-16, la cual continuaría en la etapa de investigación preliminar. Además </w:t>
      </w:r>
      <w:r w:rsidR="002463E0" w:rsidRPr="00CA32B3">
        <w:rPr>
          <w:rFonts w:ascii="Verdana" w:hAnsi="Verdana"/>
          <w:sz w:val="20"/>
          <w:szCs w:val="20"/>
        </w:rPr>
        <w:t>aportó</w:t>
      </w:r>
      <w:r w:rsidRPr="00CA32B3">
        <w:rPr>
          <w:rFonts w:ascii="Verdana" w:hAnsi="Verdana"/>
          <w:sz w:val="20"/>
          <w:szCs w:val="20"/>
        </w:rPr>
        <w:t xml:space="preserve"> un informe </w:t>
      </w:r>
      <w:r w:rsidR="002463E0" w:rsidRPr="00CA32B3">
        <w:rPr>
          <w:rFonts w:ascii="Verdana" w:hAnsi="Verdana"/>
          <w:sz w:val="20"/>
          <w:szCs w:val="20"/>
        </w:rPr>
        <w:t>suscrito</w:t>
      </w:r>
      <w:r w:rsidRPr="00CA32B3">
        <w:rPr>
          <w:rFonts w:ascii="Verdana" w:hAnsi="Verdana"/>
          <w:sz w:val="20"/>
          <w:szCs w:val="20"/>
        </w:rPr>
        <w:t xml:space="preserve"> por la referida fiscalía, </w:t>
      </w:r>
      <w:r w:rsidR="002463E0" w:rsidRPr="00CA32B3">
        <w:rPr>
          <w:rFonts w:ascii="Verdana" w:hAnsi="Verdana"/>
          <w:sz w:val="20"/>
          <w:szCs w:val="20"/>
        </w:rPr>
        <w:t xml:space="preserve">en el que se indica que la misma </w:t>
      </w:r>
      <w:r w:rsidRPr="00CA32B3">
        <w:rPr>
          <w:rFonts w:ascii="Verdana" w:hAnsi="Verdana"/>
          <w:sz w:val="20"/>
          <w:szCs w:val="20"/>
        </w:rPr>
        <w:t xml:space="preserve">abrió el 6 de febrero de 2020 una “investigación preliminar” contra cinco militares que habrían tenido cargos de jefatura, en diversos niveles de la jerarquía militar, en torno a la planificación y ejecución del Operativo </w:t>
      </w:r>
      <w:r w:rsidR="00203265" w:rsidRPr="00CA32B3">
        <w:rPr>
          <w:rFonts w:ascii="Verdana" w:hAnsi="Verdana"/>
          <w:sz w:val="20"/>
          <w:szCs w:val="20"/>
        </w:rPr>
        <w:t>‘</w:t>
      </w:r>
      <w:r w:rsidRPr="00CA32B3">
        <w:rPr>
          <w:rFonts w:ascii="Verdana" w:hAnsi="Verdana"/>
          <w:sz w:val="20"/>
          <w:szCs w:val="20"/>
        </w:rPr>
        <w:t>Apolonia</w:t>
      </w:r>
      <w:r w:rsidR="00203265" w:rsidRPr="00CA32B3">
        <w:rPr>
          <w:rFonts w:ascii="Verdana" w:hAnsi="Verdana"/>
          <w:sz w:val="20"/>
          <w:szCs w:val="20"/>
        </w:rPr>
        <w:t>’</w:t>
      </w:r>
      <w:r w:rsidRPr="00CA32B3">
        <w:rPr>
          <w:rFonts w:ascii="Verdana" w:hAnsi="Verdana"/>
          <w:sz w:val="20"/>
          <w:szCs w:val="20"/>
        </w:rPr>
        <w:t xml:space="preserve">, “por la presunta </w:t>
      </w:r>
      <w:r w:rsidRPr="00CA32B3">
        <w:rPr>
          <w:rFonts w:ascii="Verdana" w:hAnsi="Verdana"/>
          <w:sz w:val="20"/>
          <w:szCs w:val="20"/>
        </w:rPr>
        <w:lastRenderedPageBreak/>
        <w:t xml:space="preserve">comisión del delito de </w:t>
      </w:r>
      <w:r w:rsidR="002463E0" w:rsidRPr="00CA32B3">
        <w:rPr>
          <w:rFonts w:ascii="Verdana" w:hAnsi="Verdana"/>
          <w:sz w:val="20"/>
          <w:szCs w:val="20"/>
        </w:rPr>
        <w:t>H</w:t>
      </w:r>
      <w:r w:rsidRPr="00CA32B3">
        <w:rPr>
          <w:rFonts w:ascii="Verdana" w:hAnsi="Verdana"/>
          <w:sz w:val="20"/>
          <w:szCs w:val="20"/>
        </w:rPr>
        <w:t xml:space="preserve">omicidio </w:t>
      </w:r>
      <w:r w:rsidR="002463E0" w:rsidRPr="00CA32B3">
        <w:rPr>
          <w:rFonts w:ascii="Verdana" w:hAnsi="Verdana"/>
          <w:sz w:val="20"/>
          <w:szCs w:val="20"/>
        </w:rPr>
        <w:t>C</w:t>
      </w:r>
      <w:r w:rsidRPr="00CA32B3">
        <w:rPr>
          <w:rFonts w:ascii="Verdana" w:hAnsi="Verdana"/>
          <w:sz w:val="20"/>
          <w:szCs w:val="20"/>
        </w:rPr>
        <w:t>alificado”</w:t>
      </w:r>
      <w:r w:rsidRPr="00CA32B3">
        <w:rPr>
          <w:rStyle w:val="Refdenotaalpie"/>
          <w:rFonts w:ascii="Verdana" w:hAnsi="Verdana"/>
          <w:sz w:val="20"/>
          <w:szCs w:val="20"/>
        </w:rPr>
        <w:footnoteReference w:id="25"/>
      </w:r>
      <w:r w:rsidRPr="00CA32B3">
        <w:rPr>
          <w:rFonts w:ascii="Verdana" w:hAnsi="Verdana"/>
          <w:sz w:val="20"/>
          <w:szCs w:val="20"/>
        </w:rPr>
        <w:t xml:space="preserve">. </w:t>
      </w:r>
      <w:r w:rsidR="002463E0" w:rsidRPr="00CA32B3">
        <w:rPr>
          <w:rFonts w:ascii="Verdana" w:hAnsi="Verdana"/>
          <w:sz w:val="20"/>
          <w:szCs w:val="20"/>
        </w:rPr>
        <w:t xml:space="preserve">Dicho informe </w:t>
      </w:r>
      <w:r w:rsidR="003B0831" w:rsidRPr="00CA32B3">
        <w:rPr>
          <w:rFonts w:ascii="Verdana" w:hAnsi="Verdana"/>
          <w:sz w:val="20"/>
          <w:szCs w:val="20"/>
        </w:rPr>
        <w:t>estatal y el referido informe de l</w:t>
      </w:r>
      <w:r w:rsidR="002463E0" w:rsidRPr="00CA32B3">
        <w:rPr>
          <w:rFonts w:ascii="Verdana" w:hAnsi="Verdana"/>
          <w:sz w:val="20"/>
          <w:szCs w:val="20"/>
        </w:rPr>
        <w:t xml:space="preserve">a </w:t>
      </w:r>
      <w:r w:rsidRPr="00CA32B3">
        <w:rPr>
          <w:rFonts w:ascii="Verdana" w:hAnsi="Verdana"/>
          <w:sz w:val="20"/>
          <w:szCs w:val="20"/>
        </w:rPr>
        <w:t xml:space="preserve">fiscalía </w:t>
      </w:r>
      <w:r w:rsidR="00854C01" w:rsidRPr="00CA32B3">
        <w:rPr>
          <w:rFonts w:ascii="Verdana" w:hAnsi="Verdana"/>
          <w:sz w:val="20"/>
          <w:szCs w:val="20"/>
        </w:rPr>
        <w:t xml:space="preserve">de junio de 2020 </w:t>
      </w:r>
      <w:r w:rsidR="002463E0" w:rsidRPr="00CA32B3">
        <w:rPr>
          <w:rFonts w:ascii="Verdana" w:hAnsi="Verdana"/>
          <w:sz w:val="20"/>
          <w:szCs w:val="20"/>
        </w:rPr>
        <w:t>también indica</w:t>
      </w:r>
      <w:r w:rsidR="003B0831" w:rsidRPr="00CA32B3">
        <w:rPr>
          <w:rFonts w:ascii="Verdana" w:hAnsi="Verdana"/>
          <w:sz w:val="20"/>
          <w:szCs w:val="20"/>
        </w:rPr>
        <w:t>n</w:t>
      </w:r>
      <w:r w:rsidR="002463E0" w:rsidRPr="00CA32B3">
        <w:rPr>
          <w:rFonts w:ascii="Verdana" w:hAnsi="Verdana"/>
          <w:sz w:val="20"/>
          <w:szCs w:val="20"/>
        </w:rPr>
        <w:t xml:space="preserve"> que </w:t>
      </w:r>
      <w:r w:rsidR="003B0831" w:rsidRPr="00CA32B3">
        <w:rPr>
          <w:rFonts w:ascii="Verdana" w:hAnsi="Verdana"/>
          <w:sz w:val="20"/>
          <w:szCs w:val="20"/>
        </w:rPr>
        <w:t>se ordenó</w:t>
      </w:r>
      <w:r w:rsidR="002463E0" w:rsidRPr="00CA32B3">
        <w:rPr>
          <w:rFonts w:ascii="Verdana" w:hAnsi="Verdana"/>
          <w:sz w:val="20"/>
          <w:szCs w:val="20"/>
        </w:rPr>
        <w:t xml:space="preserve"> un conjunto de diligencias, </w:t>
      </w:r>
      <w:r w:rsidR="003B0831" w:rsidRPr="00CA32B3">
        <w:rPr>
          <w:rFonts w:ascii="Verdana" w:hAnsi="Verdana"/>
          <w:sz w:val="20"/>
          <w:szCs w:val="20"/>
        </w:rPr>
        <w:t>las cuales</w:t>
      </w:r>
      <w:r w:rsidR="008C5FBC" w:rsidRPr="00CA32B3">
        <w:rPr>
          <w:rFonts w:ascii="Verdana" w:hAnsi="Verdana"/>
          <w:sz w:val="20"/>
          <w:szCs w:val="20"/>
        </w:rPr>
        <w:t xml:space="preserve"> </w:t>
      </w:r>
      <w:r w:rsidRPr="00CA32B3">
        <w:rPr>
          <w:rFonts w:ascii="Verdana" w:hAnsi="Verdana"/>
          <w:sz w:val="20"/>
          <w:szCs w:val="20"/>
        </w:rPr>
        <w:t xml:space="preserve">no se concretaron debido al “estado de emergencia […] decretado […] por la pandemia”. El </w:t>
      </w:r>
      <w:r w:rsidRPr="00CA32B3">
        <w:rPr>
          <w:rFonts w:ascii="Verdana" w:hAnsi="Verdana"/>
          <w:i/>
          <w:sz w:val="20"/>
          <w:szCs w:val="20"/>
        </w:rPr>
        <w:t>Estado</w:t>
      </w:r>
      <w:r w:rsidRPr="00CA32B3">
        <w:rPr>
          <w:rFonts w:ascii="Verdana" w:hAnsi="Verdana"/>
          <w:sz w:val="20"/>
          <w:szCs w:val="20"/>
        </w:rPr>
        <w:t xml:space="preserve"> no ha aportado información adicional respecto a si las diligencias han sido posteriormente reanudadas o reprogramadas.    </w:t>
      </w:r>
    </w:p>
    <w:p w14:paraId="5F254D34" w14:textId="77777777" w:rsidR="00F41727" w:rsidRPr="00CA32B3" w:rsidRDefault="00F41727" w:rsidP="00690FE6">
      <w:pPr>
        <w:pStyle w:val="Prrafodelista"/>
        <w:suppressLineNumbers/>
        <w:rPr>
          <w:rFonts w:ascii="Verdana" w:hAnsi="Verdana"/>
          <w:i/>
          <w:sz w:val="20"/>
          <w:szCs w:val="20"/>
        </w:rPr>
      </w:pPr>
    </w:p>
    <w:p w14:paraId="42B9D52C" w14:textId="77777777" w:rsidR="00F41727" w:rsidRPr="00CA32B3" w:rsidRDefault="00F41727" w:rsidP="00690FE6">
      <w:pPr>
        <w:pStyle w:val="Prrafodelista"/>
        <w:numPr>
          <w:ilvl w:val="0"/>
          <w:numId w:val="5"/>
        </w:numPr>
        <w:suppressLineNumbers/>
        <w:rPr>
          <w:rFonts w:ascii="Verdana" w:hAnsi="Verdana"/>
          <w:i/>
          <w:sz w:val="20"/>
          <w:szCs w:val="18"/>
        </w:rPr>
      </w:pPr>
      <w:r w:rsidRPr="00CA32B3">
        <w:rPr>
          <w:rFonts w:ascii="Verdana" w:hAnsi="Verdana"/>
          <w:i/>
          <w:sz w:val="20"/>
          <w:szCs w:val="18"/>
        </w:rPr>
        <w:t>Expediente No. 2011-0196-0</w:t>
      </w:r>
    </w:p>
    <w:p w14:paraId="6E33D166" w14:textId="77777777" w:rsidR="00F41727" w:rsidRPr="00CA32B3" w:rsidRDefault="00F41727" w:rsidP="00690FE6">
      <w:pPr>
        <w:pStyle w:val="Prrafodelista"/>
        <w:suppressLineNumbers/>
        <w:ind w:left="1440"/>
        <w:rPr>
          <w:rFonts w:ascii="Verdana" w:hAnsi="Verdana"/>
          <w:i/>
          <w:sz w:val="20"/>
          <w:szCs w:val="18"/>
        </w:rPr>
      </w:pPr>
    </w:p>
    <w:p w14:paraId="2275AFCD" w14:textId="19B1A5F7" w:rsidR="00C449AB" w:rsidRPr="00CA32B3" w:rsidRDefault="00F41727" w:rsidP="00690FE6">
      <w:pPr>
        <w:pStyle w:val="Prrafodelista"/>
        <w:numPr>
          <w:ilvl w:val="0"/>
          <w:numId w:val="3"/>
        </w:numPr>
        <w:suppressLineNumbers/>
        <w:autoSpaceDE w:val="0"/>
        <w:autoSpaceDN w:val="0"/>
        <w:adjustRightInd w:val="0"/>
        <w:spacing w:after="0" w:line="240" w:lineRule="auto"/>
        <w:ind w:left="0" w:firstLine="0"/>
        <w:jc w:val="both"/>
        <w:rPr>
          <w:rFonts w:ascii="Verdana" w:hAnsi="Verdana"/>
          <w:sz w:val="20"/>
          <w:szCs w:val="20"/>
        </w:rPr>
      </w:pPr>
      <w:r w:rsidRPr="00CA32B3">
        <w:rPr>
          <w:rFonts w:ascii="Verdana" w:hAnsi="Verdana"/>
          <w:sz w:val="20"/>
          <w:szCs w:val="20"/>
        </w:rPr>
        <w:t xml:space="preserve">El </w:t>
      </w:r>
      <w:r w:rsidRPr="00CA32B3">
        <w:rPr>
          <w:rFonts w:ascii="Verdana" w:hAnsi="Verdana"/>
          <w:i/>
          <w:sz w:val="20"/>
          <w:szCs w:val="20"/>
        </w:rPr>
        <w:t>Estado</w:t>
      </w:r>
      <w:r w:rsidRPr="00CA32B3">
        <w:rPr>
          <w:rFonts w:ascii="Verdana" w:hAnsi="Verdana"/>
          <w:sz w:val="20"/>
          <w:szCs w:val="20"/>
        </w:rPr>
        <w:t xml:space="preserve"> alegó que el proceso judicial seguido contra</w:t>
      </w:r>
      <w:r w:rsidR="003B0831" w:rsidRPr="00CA32B3">
        <w:rPr>
          <w:rFonts w:ascii="Verdana" w:hAnsi="Verdana"/>
          <w:sz w:val="20"/>
          <w:szCs w:val="20"/>
        </w:rPr>
        <w:t xml:space="preserve"> el</w:t>
      </w:r>
      <w:r w:rsidR="003B0831" w:rsidRPr="00CA32B3">
        <w:rPr>
          <w:rFonts w:ascii="Verdana" w:hAnsi="Verdana"/>
          <w:sz w:val="20"/>
          <w:szCs w:val="18"/>
        </w:rPr>
        <w:t xml:space="preserve"> ex militar acusado de disparar ráfagas de FAL contra las quince víctimas desaparecidas y de dinamitar sus cuerpos </w:t>
      </w:r>
      <w:r w:rsidRPr="00CA32B3">
        <w:rPr>
          <w:rFonts w:ascii="Verdana" w:hAnsi="Verdana"/>
          <w:sz w:val="20"/>
          <w:szCs w:val="20"/>
        </w:rPr>
        <w:t>(</w:t>
      </w:r>
      <w:r w:rsidRPr="00CA32B3">
        <w:rPr>
          <w:rFonts w:ascii="Verdana" w:hAnsi="Verdana"/>
          <w:i/>
          <w:sz w:val="20"/>
          <w:szCs w:val="20"/>
        </w:rPr>
        <w:t xml:space="preserve">supra </w:t>
      </w:r>
      <w:r w:rsidRPr="00CA32B3">
        <w:rPr>
          <w:rFonts w:ascii="Verdana" w:hAnsi="Verdana"/>
          <w:sz w:val="20"/>
          <w:szCs w:val="20"/>
        </w:rPr>
        <w:t xml:space="preserve">Considerando </w:t>
      </w:r>
      <w:r w:rsidR="00971BA1" w:rsidRPr="00CA32B3">
        <w:rPr>
          <w:rFonts w:ascii="Verdana" w:hAnsi="Verdana"/>
          <w:sz w:val="20"/>
          <w:szCs w:val="20"/>
        </w:rPr>
        <w:t>5</w:t>
      </w:r>
      <w:r w:rsidRPr="00CA32B3">
        <w:rPr>
          <w:rFonts w:ascii="Verdana" w:hAnsi="Verdana"/>
          <w:sz w:val="20"/>
          <w:szCs w:val="20"/>
        </w:rPr>
        <w:t>), fue archivado debido a que “se comprobó judicialmente que dicho imputado era menor de edad al momento que ocurrieron los hechos”</w:t>
      </w:r>
      <w:r w:rsidRPr="00CA32B3">
        <w:rPr>
          <w:rStyle w:val="Refdenotaalpie"/>
          <w:rFonts w:ascii="Verdana" w:hAnsi="Verdana"/>
          <w:sz w:val="20"/>
          <w:szCs w:val="20"/>
        </w:rPr>
        <w:footnoteReference w:id="26"/>
      </w:r>
      <w:r w:rsidRPr="00CA32B3">
        <w:rPr>
          <w:rFonts w:ascii="Verdana" w:hAnsi="Verdana"/>
          <w:sz w:val="20"/>
          <w:szCs w:val="20"/>
        </w:rPr>
        <w:t xml:space="preserve">. </w:t>
      </w:r>
    </w:p>
    <w:p w14:paraId="431D1E61" w14:textId="77777777" w:rsidR="00651E27" w:rsidRPr="00CA32B3" w:rsidRDefault="00651E27" w:rsidP="00690FE6">
      <w:pPr>
        <w:pStyle w:val="Prrafodelista"/>
        <w:suppressLineNumbers/>
        <w:autoSpaceDE w:val="0"/>
        <w:autoSpaceDN w:val="0"/>
        <w:adjustRightInd w:val="0"/>
        <w:spacing w:after="0" w:line="240" w:lineRule="auto"/>
        <w:ind w:left="0"/>
        <w:jc w:val="both"/>
        <w:rPr>
          <w:rFonts w:ascii="Verdana" w:hAnsi="Verdana"/>
          <w:sz w:val="20"/>
          <w:szCs w:val="20"/>
        </w:rPr>
      </w:pPr>
    </w:p>
    <w:p w14:paraId="6F28A889" w14:textId="0F230AB2" w:rsidR="002463E0" w:rsidRPr="00CA32B3" w:rsidRDefault="00861763" w:rsidP="00690FE6">
      <w:pPr>
        <w:pStyle w:val="Prrafodelista"/>
        <w:numPr>
          <w:ilvl w:val="0"/>
          <w:numId w:val="3"/>
        </w:numPr>
        <w:suppressLineNumbers/>
        <w:autoSpaceDE w:val="0"/>
        <w:autoSpaceDN w:val="0"/>
        <w:adjustRightInd w:val="0"/>
        <w:spacing w:after="0" w:line="240" w:lineRule="auto"/>
        <w:ind w:left="0" w:firstLine="0"/>
        <w:jc w:val="both"/>
        <w:rPr>
          <w:rFonts w:ascii="Verdana" w:hAnsi="Verdana"/>
          <w:sz w:val="20"/>
          <w:szCs w:val="20"/>
          <w:lang w:val="es-CR"/>
        </w:rPr>
      </w:pPr>
      <w:r w:rsidRPr="00CA32B3">
        <w:rPr>
          <w:rFonts w:ascii="Verdana" w:hAnsi="Verdana" w:cs="Arial"/>
          <w:i/>
          <w:iCs/>
          <w:sz w:val="20"/>
          <w:szCs w:val="18"/>
        </w:rPr>
        <w:t>Los representantes de las víctimas</w:t>
      </w:r>
      <w:r w:rsidRPr="00CA32B3">
        <w:rPr>
          <w:rFonts w:ascii="Verdana" w:hAnsi="Verdana" w:cs="Arial"/>
          <w:iCs/>
          <w:sz w:val="20"/>
          <w:szCs w:val="18"/>
        </w:rPr>
        <w:t xml:space="preserve"> </w:t>
      </w:r>
      <w:r w:rsidR="00540882" w:rsidRPr="00CA32B3">
        <w:rPr>
          <w:rFonts w:ascii="Verdana" w:hAnsi="Verdana" w:cs="Arial"/>
          <w:iCs/>
          <w:sz w:val="20"/>
          <w:szCs w:val="18"/>
        </w:rPr>
        <w:t xml:space="preserve">y la </w:t>
      </w:r>
      <w:r w:rsidR="00540882" w:rsidRPr="00CA32B3">
        <w:rPr>
          <w:rFonts w:ascii="Verdana" w:hAnsi="Verdana" w:cs="Arial"/>
          <w:i/>
          <w:iCs/>
          <w:sz w:val="20"/>
          <w:szCs w:val="18"/>
        </w:rPr>
        <w:t>Comisión Interamericana</w:t>
      </w:r>
      <w:r w:rsidR="00540882" w:rsidRPr="00CA32B3">
        <w:rPr>
          <w:rFonts w:ascii="Verdana" w:hAnsi="Verdana" w:cs="Arial"/>
          <w:iCs/>
          <w:sz w:val="20"/>
          <w:szCs w:val="18"/>
        </w:rPr>
        <w:t xml:space="preserve"> </w:t>
      </w:r>
      <w:r w:rsidRPr="00CA32B3">
        <w:rPr>
          <w:rFonts w:ascii="Verdana" w:hAnsi="Verdana" w:cs="Arial"/>
          <w:iCs/>
          <w:sz w:val="20"/>
          <w:szCs w:val="18"/>
        </w:rPr>
        <w:t>valoraron positivamente la reapertura de las investigaciones penales y las condenas efectuadas a Javier Bend</w:t>
      </w:r>
      <w:r w:rsidR="002122D7" w:rsidRPr="00CA32B3">
        <w:rPr>
          <w:rFonts w:ascii="Verdana" w:hAnsi="Verdana" w:cs="Arial"/>
          <w:iCs/>
          <w:sz w:val="20"/>
          <w:szCs w:val="18"/>
        </w:rPr>
        <w:t>e</w:t>
      </w:r>
      <w:r w:rsidRPr="00CA32B3">
        <w:rPr>
          <w:rFonts w:ascii="Verdana" w:hAnsi="Verdana" w:cs="Arial"/>
          <w:iCs/>
          <w:sz w:val="20"/>
          <w:szCs w:val="18"/>
        </w:rPr>
        <w:t xml:space="preserve">zú Vargas y </w:t>
      </w:r>
      <w:r w:rsidR="00993C4B" w:rsidRPr="00CA32B3">
        <w:rPr>
          <w:rFonts w:ascii="Verdana" w:hAnsi="Verdana" w:cs="Arial"/>
          <w:iCs/>
          <w:sz w:val="20"/>
          <w:szCs w:val="18"/>
        </w:rPr>
        <w:t>al señor P.Z.</w:t>
      </w:r>
      <w:r w:rsidR="008C5FBC" w:rsidRPr="00CA32B3">
        <w:rPr>
          <w:rFonts w:ascii="Verdana" w:hAnsi="Verdana" w:cs="Arial"/>
          <w:iCs/>
          <w:sz w:val="20"/>
          <w:szCs w:val="18"/>
        </w:rPr>
        <w:t xml:space="preserve"> (</w:t>
      </w:r>
      <w:r w:rsidR="008C5FBC" w:rsidRPr="00CA32B3">
        <w:rPr>
          <w:rFonts w:ascii="Verdana" w:hAnsi="Verdana" w:cs="Arial"/>
          <w:i/>
          <w:iCs/>
          <w:sz w:val="20"/>
          <w:szCs w:val="18"/>
        </w:rPr>
        <w:t>supra</w:t>
      </w:r>
      <w:r w:rsidR="008C5FBC" w:rsidRPr="00CA32B3">
        <w:rPr>
          <w:rFonts w:ascii="Verdana" w:hAnsi="Verdana" w:cs="Arial"/>
          <w:iCs/>
          <w:sz w:val="20"/>
          <w:szCs w:val="18"/>
        </w:rPr>
        <w:t xml:space="preserve"> Considerando</w:t>
      </w:r>
      <w:r w:rsidR="006D48E7" w:rsidRPr="00CA32B3">
        <w:rPr>
          <w:rFonts w:ascii="Verdana" w:hAnsi="Verdana" w:cs="Arial"/>
          <w:iCs/>
          <w:sz w:val="20"/>
          <w:szCs w:val="18"/>
        </w:rPr>
        <w:t>s 8, 9 y 10)</w:t>
      </w:r>
      <w:r w:rsidRPr="00CA32B3">
        <w:rPr>
          <w:rFonts w:ascii="Verdana" w:hAnsi="Verdana" w:cs="Arial"/>
          <w:iCs/>
          <w:sz w:val="20"/>
          <w:szCs w:val="18"/>
        </w:rPr>
        <w:t>. Sin embargo, sostuvieron que debe tenerse por “incumplida esta reparación” en tanto, a 30 años de ocurridos los hechos, “la justicia no se ha alcanzado ni parece alcanzarse en un corto plazo por una clara falta de debida diligencia estatal”</w:t>
      </w:r>
      <w:r w:rsidR="002463E0" w:rsidRPr="00CA32B3">
        <w:rPr>
          <w:rStyle w:val="Refdenotaalpie"/>
          <w:rFonts w:ascii="Verdana" w:hAnsi="Verdana" w:cs="Arial"/>
          <w:iCs/>
          <w:sz w:val="20"/>
          <w:szCs w:val="18"/>
          <w:lang w:val="es-CR"/>
        </w:rPr>
        <w:footnoteReference w:id="27"/>
      </w:r>
      <w:r w:rsidR="002463E0" w:rsidRPr="00CA32B3">
        <w:rPr>
          <w:rFonts w:ascii="Verdana" w:hAnsi="Verdana" w:cs="Arial"/>
          <w:iCs/>
          <w:sz w:val="20"/>
          <w:szCs w:val="18"/>
          <w:lang w:val="es-CR"/>
        </w:rPr>
        <w:t xml:space="preserve">. </w:t>
      </w:r>
      <w:r w:rsidRPr="00CA32B3">
        <w:rPr>
          <w:rFonts w:ascii="Verdana" w:hAnsi="Verdana" w:cs="Arial"/>
          <w:iCs/>
          <w:sz w:val="20"/>
          <w:szCs w:val="18"/>
        </w:rPr>
        <w:t xml:space="preserve">Al respecto, en sentido coincidente con el vertido por la </w:t>
      </w:r>
      <w:r w:rsidRPr="00CA32B3">
        <w:rPr>
          <w:rFonts w:ascii="Verdana" w:hAnsi="Verdana" w:cs="Arial"/>
          <w:i/>
          <w:iCs/>
          <w:sz w:val="20"/>
          <w:szCs w:val="18"/>
        </w:rPr>
        <w:t>Comisión Interamericana</w:t>
      </w:r>
      <w:r w:rsidRPr="00CA32B3">
        <w:rPr>
          <w:rFonts w:ascii="Verdana" w:hAnsi="Verdana" w:cs="Arial"/>
          <w:iCs/>
          <w:sz w:val="20"/>
          <w:szCs w:val="18"/>
        </w:rPr>
        <w:t xml:space="preserve">, expresaron preocupación por el hecho de que la calificación legal del delito perseguido en las investigaciones penales internas sea por homicidio en lugar del delito de desaparición forzada. Sostuvieron que ello constituye una violación de lo ordenado en la Sentencia, que estableció que “el Perú incurrió en responsabilidad internacional por la desaparición forzada de las 15 víctimas”. </w:t>
      </w:r>
      <w:r w:rsidR="002463E0" w:rsidRPr="00CA32B3">
        <w:rPr>
          <w:rFonts w:ascii="Verdana" w:hAnsi="Verdana" w:cs="Arial"/>
          <w:iCs/>
          <w:sz w:val="20"/>
          <w:szCs w:val="18"/>
        </w:rPr>
        <w:t>A</w:t>
      </w:r>
      <w:r w:rsidR="0047183B" w:rsidRPr="00CA32B3">
        <w:rPr>
          <w:rFonts w:ascii="Verdana" w:hAnsi="Verdana" w:cs="Arial"/>
          <w:iCs/>
          <w:sz w:val="20"/>
          <w:szCs w:val="20"/>
        </w:rPr>
        <w:t>unado a ello, los representantes han alegado que la investigación</w:t>
      </w:r>
      <w:r w:rsidR="0047183B" w:rsidRPr="00CA32B3">
        <w:rPr>
          <w:rFonts w:ascii="Verdana" w:eastAsiaTheme="minorHAnsi" w:hAnsi="Verdana" w:cs="Arial"/>
          <w:sz w:val="20"/>
          <w:szCs w:val="20"/>
          <w:lang w:eastAsia="en-US"/>
        </w:rPr>
        <w:t xml:space="preserve"> fiscal 01-16 ha estado caracterizada por múltiples deficiencias, tales como: i) la falta de determinación de inculpados, los que se mantienen “en carácter anónimo, […</w:t>
      </w:r>
      <w:r w:rsidR="000232D1" w:rsidRPr="00CA32B3">
        <w:rPr>
          <w:rFonts w:ascii="Verdana" w:eastAsiaTheme="minorHAnsi" w:hAnsi="Verdana" w:cs="Arial"/>
          <w:sz w:val="20"/>
          <w:szCs w:val="20"/>
          <w:lang w:eastAsia="en-US"/>
        </w:rPr>
        <w:t xml:space="preserve"> </w:t>
      </w:r>
      <w:r w:rsidR="0047183B" w:rsidRPr="00CA32B3">
        <w:rPr>
          <w:rFonts w:ascii="Verdana" w:eastAsiaTheme="minorHAnsi" w:hAnsi="Verdana" w:cs="Arial"/>
          <w:sz w:val="20"/>
          <w:szCs w:val="20"/>
          <w:lang w:eastAsia="en-US"/>
        </w:rPr>
        <w:t xml:space="preserve">aunque] se conoce ampliamente la identidad de algunos de los militares que integraron la patrulla, así como la de algunos altos oficiales que participaron directa e indirectamente en estos hechos” y siendo que “la </w:t>
      </w:r>
      <w:r w:rsidR="000232D1" w:rsidRPr="00CA32B3">
        <w:rPr>
          <w:rFonts w:ascii="Verdana" w:eastAsiaTheme="minorHAnsi" w:hAnsi="Verdana" w:cs="Arial"/>
          <w:sz w:val="20"/>
          <w:szCs w:val="20"/>
          <w:lang w:eastAsia="en-US"/>
        </w:rPr>
        <w:t>s</w:t>
      </w:r>
      <w:r w:rsidR="0047183B" w:rsidRPr="00CA32B3">
        <w:rPr>
          <w:rFonts w:ascii="Verdana" w:eastAsiaTheme="minorHAnsi" w:hAnsi="Verdana" w:cs="Arial"/>
          <w:sz w:val="20"/>
          <w:szCs w:val="20"/>
          <w:lang w:eastAsia="en-US"/>
        </w:rPr>
        <w:t>entencia de [la] Corte [Interamericana fue] el primer documento aportado [a la carpeta fiscal], en cuyo contenido se da cuenta de varios nombres de los integrantes de las Patrullas”; ii) las diligencias informadas por el Estado son “en su gran mayoría del año 2016 y se trata de simples actuaciones administrativas, […] solicitudes de copias del expedient</w:t>
      </w:r>
      <w:r w:rsidR="002463E0" w:rsidRPr="00CA32B3">
        <w:rPr>
          <w:rFonts w:ascii="Verdana" w:eastAsiaTheme="minorHAnsi" w:hAnsi="Verdana" w:cs="Arial"/>
          <w:sz w:val="20"/>
          <w:szCs w:val="20"/>
          <w:lang w:eastAsia="en-US"/>
        </w:rPr>
        <w:t>e, y remisiones de información”,</w:t>
      </w:r>
      <w:r w:rsidR="0047183B" w:rsidRPr="00CA32B3">
        <w:rPr>
          <w:rFonts w:ascii="Verdana" w:eastAsiaTheme="minorHAnsi" w:hAnsi="Verdana" w:cs="Arial"/>
          <w:sz w:val="20"/>
          <w:szCs w:val="20"/>
          <w:lang w:eastAsia="en-US"/>
        </w:rPr>
        <w:t xml:space="preserve"> </w:t>
      </w:r>
      <w:r w:rsidR="002463E0" w:rsidRPr="00CA32B3">
        <w:rPr>
          <w:rFonts w:ascii="Verdana" w:eastAsiaTheme="minorHAnsi" w:hAnsi="Verdana" w:cs="Arial"/>
          <w:sz w:val="20"/>
          <w:szCs w:val="20"/>
          <w:lang w:val="es-CR" w:eastAsia="en-US"/>
        </w:rPr>
        <w:t>y iii) la existencia de “numerosas diligencias que están pendientes”, entre ellas “que varios de los militares convocados vayan a brindar su testimonio de esclarecimiento de los hechos”,</w:t>
      </w:r>
      <w:r w:rsidR="002463E0" w:rsidRPr="00CA32B3">
        <w:rPr>
          <w:rFonts w:ascii="Verdana" w:eastAsiaTheme="minorHAnsi" w:hAnsi="Verdana" w:cs="Arial"/>
          <w:b/>
          <w:sz w:val="20"/>
          <w:szCs w:val="20"/>
          <w:lang w:val="es-CR" w:eastAsia="en-US"/>
        </w:rPr>
        <w:t xml:space="preserve"> </w:t>
      </w:r>
      <w:r w:rsidR="002463E0" w:rsidRPr="00CA32B3">
        <w:rPr>
          <w:rFonts w:ascii="Verdana" w:eastAsiaTheme="minorHAnsi" w:hAnsi="Verdana" w:cs="Arial"/>
          <w:sz w:val="20"/>
          <w:szCs w:val="20"/>
          <w:lang w:val="es-CR" w:eastAsia="en-US"/>
        </w:rPr>
        <w:t>la solicitud a “la Sala Penal Nacional [de] la remisión del contenido de las declaraciones de los militares implicados, las cuales se encuentran en los expedientes militares que tiene como anexos el [expediente] 42-2006 y el expediente 2011-0196”</w:t>
      </w:r>
      <w:r w:rsidR="002463E0" w:rsidRPr="00CA32B3">
        <w:rPr>
          <w:rStyle w:val="Refdenotaalpie"/>
          <w:rFonts w:ascii="Verdana" w:hAnsi="Verdana" w:cs="Arial"/>
          <w:sz w:val="20"/>
          <w:szCs w:val="18"/>
          <w:lang w:val="es-CR"/>
        </w:rPr>
        <w:footnoteReference w:id="28"/>
      </w:r>
      <w:r w:rsidR="002463E0" w:rsidRPr="00CA32B3">
        <w:rPr>
          <w:rFonts w:ascii="Verdana" w:eastAsiaTheme="minorHAnsi" w:hAnsi="Verdana" w:cs="Arial"/>
          <w:sz w:val="20"/>
          <w:szCs w:val="20"/>
          <w:lang w:val="es-CR" w:eastAsia="en-US"/>
        </w:rPr>
        <w:t xml:space="preserve">, la convocatoria a declarar a “los 30 militares identificados [por los representantes] con nombre completo, documento nacional de identidad y cargo que fungían al momento de los hechos”, y que el Ministerio de Defensa informe “las identidades de todos los militares que integraron las patrullas </w:t>
      </w:r>
      <w:r w:rsidR="00203265" w:rsidRPr="00CA32B3">
        <w:rPr>
          <w:rFonts w:ascii="Verdana" w:eastAsiaTheme="minorHAnsi" w:hAnsi="Verdana" w:cs="ArialMT"/>
          <w:sz w:val="20"/>
          <w:szCs w:val="20"/>
          <w:lang w:val="es-CR" w:eastAsia="en-US"/>
        </w:rPr>
        <w:t>‘Escorpio’ y ‘</w:t>
      </w:r>
      <w:r w:rsidR="002463E0" w:rsidRPr="00CA32B3">
        <w:rPr>
          <w:rFonts w:ascii="Verdana" w:eastAsiaTheme="minorHAnsi" w:hAnsi="Verdana" w:cs="ArialMT"/>
          <w:sz w:val="20"/>
          <w:szCs w:val="20"/>
          <w:lang w:val="es-CR" w:eastAsia="en-US"/>
        </w:rPr>
        <w:t>Ángel</w:t>
      </w:r>
      <w:r w:rsidR="00203265" w:rsidRPr="00CA32B3">
        <w:rPr>
          <w:rFonts w:ascii="Verdana" w:eastAsiaTheme="minorHAnsi" w:hAnsi="Verdana" w:cs="ArialMT"/>
          <w:sz w:val="20"/>
          <w:szCs w:val="20"/>
          <w:lang w:val="es-CR" w:eastAsia="en-US"/>
        </w:rPr>
        <w:t>’</w:t>
      </w:r>
      <w:r w:rsidR="002463E0" w:rsidRPr="00CA32B3">
        <w:rPr>
          <w:rFonts w:ascii="Verdana" w:eastAsiaTheme="minorHAnsi" w:hAnsi="Verdana" w:cs="ArialMT"/>
          <w:sz w:val="20"/>
          <w:szCs w:val="20"/>
          <w:lang w:val="es-CR" w:eastAsia="en-US"/>
        </w:rPr>
        <w:t xml:space="preserve"> </w:t>
      </w:r>
      <w:r w:rsidR="002463E0" w:rsidRPr="00CA32B3">
        <w:rPr>
          <w:rFonts w:ascii="Verdana" w:eastAsiaTheme="minorHAnsi" w:hAnsi="Verdana" w:cs="Arial"/>
          <w:sz w:val="20"/>
          <w:szCs w:val="20"/>
          <w:lang w:val="es-CR" w:eastAsia="en-US"/>
        </w:rPr>
        <w:t xml:space="preserve">que </w:t>
      </w:r>
      <w:r w:rsidR="002463E0" w:rsidRPr="00CA32B3">
        <w:rPr>
          <w:rFonts w:ascii="Verdana" w:eastAsiaTheme="minorHAnsi" w:hAnsi="Verdana" w:cs="ArialMT"/>
          <w:sz w:val="20"/>
          <w:szCs w:val="20"/>
          <w:lang w:val="es-CR" w:eastAsia="en-US"/>
        </w:rPr>
        <w:t>participaron en el Operativ</w:t>
      </w:r>
      <w:r w:rsidR="00203265" w:rsidRPr="00CA32B3">
        <w:rPr>
          <w:rFonts w:ascii="Verdana" w:eastAsiaTheme="minorHAnsi" w:hAnsi="Verdana" w:cs="ArialMT"/>
          <w:sz w:val="20"/>
          <w:szCs w:val="20"/>
          <w:lang w:val="es-CR" w:eastAsia="en-US"/>
        </w:rPr>
        <w:t>o Militar ‘</w:t>
      </w:r>
      <w:r w:rsidR="002463E0" w:rsidRPr="00CA32B3">
        <w:rPr>
          <w:rFonts w:ascii="Verdana" w:eastAsiaTheme="minorHAnsi" w:hAnsi="Verdana" w:cs="ArialMT"/>
          <w:sz w:val="20"/>
          <w:szCs w:val="20"/>
          <w:lang w:val="es-CR" w:eastAsia="en-US"/>
        </w:rPr>
        <w:t>Apolonia</w:t>
      </w:r>
      <w:r w:rsidR="00203265" w:rsidRPr="00CA32B3">
        <w:rPr>
          <w:rFonts w:ascii="Verdana" w:eastAsiaTheme="minorHAnsi" w:hAnsi="Verdana" w:cs="ArialMT"/>
          <w:sz w:val="20"/>
          <w:szCs w:val="20"/>
          <w:lang w:val="es-CR" w:eastAsia="en-US"/>
        </w:rPr>
        <w:t>’</w:t>
      </w:r>
      <w:r w:rsidR="002463E0" w:rsidRPr="00CA32B3">
        <w:rPr>
          <w:rFonts w:ascii="Verdana" w:eastAsiaTheme="minorHAnsi" w:hAnsi="Verdana" w:cs="ArialMT"/>
          <w:sz w:val="20"/>
          <w:szCs w:val="20"/>
          <w:lang w:val="es-CR" w:eastAsia="en-US"/>
        </w:rPr>
        <w:t xml:space="preserve"> el 4 de julio de </w:t>
      </w:r>
      <w:r w:rsidR="002463E0" w:rsidRPr="00CA32B3">
        <w:rPr>
          <w:rFonts w:ascii="Verdana" w:eastAsiaTheme="minorHAnsi" w:hAnsi="Verdana" w:cs="Arial"/>
          <w:sz w:val="20"/>
          <w:szCs w:val="20"/>
          <w:lang w:val="es-CR" w:eastAsia="en-US"/>
        </w:rPr>
        <w:t xml:space="preserve">1991, los oficiales que formaron parte del Estado Mayor del </w:t>
      </w:r>
      <w:r w:rsidR="002463E0" w:rsidRPr="00CA32B3">
        <w:rPr>
          <w:rFonts w:ascii="Verdana" w:eastAsiaTheme="minorHAnsi" w:hAnsi="Verdana" w:cs="Arial"/>
          <w:sz w:val="20"/>
          <w:szCs w:val="20"/>
          <w:lang w:val="es-CR" w:eastAsia="en-US"/>
        </w:rPr>
        <w:lastRenderedPageBreak/>
        <w:t xml:space="preserve">Batallón Contrasubversivo de Huancavelica y todos los mandos militares que participaron en el proyecto, </w:t>
      </w:r>
      <w:r w:rsidR="00203265" w:rsidRPr="00CA32B3">
        <w:rPr>
          <w:rFonts w:ascii="Verdana" w:eastAsiaTheme="minorHAnsi" w:hAnsi="Verdana" w:cs="ArialMT"/>
          <w:sz w:val="20"/>
          <w:szCs w:val="20"/>
          <w:lang w:val="es-CR" w:eastAsia="en-US"/>
        </w:rPr>
        <w:t>elaboración y redacción del ‘</w:t>
      </w:r>
      <w:r w:rsidR="002463E0" w:rsidRPr="00CA32B3">
        <w:rPr>
          <w:rFonts w:ascii="Verdana" w:eastAsiaTheme="minorHAnsi" w:hAnsi="Verdana" w:cs="ArialMT"/>
          <w:sz w:val="20"/>
          <w:szCs w:val="20"/>
          <w:lang w:val="es-CR" w:eastAsia="en-US"/>
        </w:rPr>
        <w:t>Plan Apolonia</w:t>
      </w:r>
      <w:r w:rsidR="00203265" w:rsidRPr="00CA32B3">
        <w:rPr>
          <w:rFonts w:ascii="Verdana" w:eastAsiaTheme="minorHAnsi" w:hAnsi="Verdana" w:cs="ArialMT"/>
          <w:sz w:val="20"/>
          <w:szCs w:val="20"/>
          <w:lang w:val="es-CR" w:eastAsia="en-US"/>
        </w:rPr>
        <w:t>’</w:t>
      </w:r>
      <w:r w:rsidR="002463E0" w:rsidRPr="00CA32B3">
        <w:rPr>
          <w:rFonts w:ascii="Verdana" w:eastAsiaTheme="minorHAnsi" w:hAnsi="Verdana" w:cs="ArialMT"/>
          <w:sz w:val="20"/>
          <w:szCs w:val="20"/>
          <w:lang w:val="es-CR" w:eastAsia="en-US"/>
        </w:rPr>
        <w:t>”</w:t>
      </w:r>
      <w:r w:rsidR="002463E0" w:rsidRPr="00CA32B3">
        <w:rPr>
          <w:rStyle w:val="Refdenotaalpie"/>
          <w:rFonts w:ascii="Verdana" w:eastAsiaTheme="minorHAnsi" w:hAnsi="Verdana" w:cs="ArialMT"/>
          <w:sz w:val="20"/>
          <w:szCs w:val="20"/>
          <w:lang w:val="es-CR" w:eastAsia="en-US"/>
        </w:rPr>
        <w:footnoteReference w:id="29"/>
      </w:r>
      <w:r w:rsidR="002463E0" w:rsidRPr="00CA32B3">
        <w:rPr>
          <w:rFonts w:ascii="Verdana" w:eastAsiaTheme="minorHAnsi" w:hAnsi="Verdana" w:cs="Arial"/>
          <w:sz w:val="20"/>
          <w:szCs w:val="20"/>
          <w:lang w:val="es-CR" w:eastAsia="en-US"/>
        </w:rPr>
        <w:t xml:space="preserve">. En razón de lo anterior, argumentaron que </w:t>
      </w:r>
      <w:r w:rsidR="002463E0" w:rsidRPr="00CA32B3">
        <w:rPr>
          <w:rFonts w:ascii="Verdana" w:hAnsi="Verdana" w:cs="Arial"/>
          <w:iCs/>
          <w:sz w:val="20"/>
          <w:szCs w:val="20"/>
          <w:lang w:val="es-CR"/>
        </w:rPr>
        <w:t>“persiste […</w:t>
      </w:r>
      <w:r w:rsidR="00203265" w:rsidRPr="00CA32B3">
        <w:rPr>
          <w:rFonts w:ascii="Verdana" w:hAnsi="Verdana" w:cs="Arial"/>
          <w:iCs/>
          <w:sz w:val="20"/>
          <w:szCs w:val="20"/>
          <w:lang w:val="es-CR"/>
        </w:rPr>
        <w:t xml:space="preserve"> </w:t>
      </w:r>
      <w:r w:rsidR="002463E0" w:rsidRPr="00CA32B3">
        <w:rPr>
          <w:rFonts w:ascii="Verdana" w:hAnsi="Verdana" w:cs="Arial"/>
          <w:iCs/>
          <w:sz w:val="20"/>
          <w:szCs w:val="20"/>
          <w:lang w:val="es-CR"/>
        </w:rPr>
        <w:t xml:space="preserve">la] impunidad” en el caso. </w:t>
      </w:r>
      <w:r w:rsidR="002463E0" w:rsidRPr="00CA32B3">
        <w:rPr>
          <w:rFonts w:ascii="Verdana" w:eastAsiaTheme="minorHAnsi" w:hAnsi="Verdana" w:cs="Arial"/>
          <w:b/>
          <w:sz w:val="20"/>
          <w:szCs w:val="20"/>
          <w:lang w:val="es-CR" w:eastAsia="en-US"/>
        </w:rPr>
        <w:t xml:space="preserve"> </w:t>
      </w:r>
    </w:p>
    <w:p w14:paraId="421B9A0B" w14:textId="77777777" w:rsidR="002463E0" w:rsidRPr="00CA32B3" w:rsidRDefault="002463E0" w:rsidP="00690FE6">
      <w:pPr>
        <w:pStyle w:val="Prrafodelista"/>
        <w:suppressLineNumbers/>
        <w:autoSpaceDE w:val="0"/>
        <w:autoSpaceDN w:val="0"/>
        <w:adjustRightInd w:val="0"/>
        <w:spacing w:after="0" w:line="240" w:lineRule="auto"/>
        <w:ind w:left="0"/>
        <w:jc w:val="both"/>
        <w:rPr>
          <w:rFonts w:ascii="Verdana" w:hAnsi="Verdana"/>
          <w:i/>
          <w:sz w:val="20"/>
          <w:szCs w:val="20"/>
        </w:rPr>
      </w:pPr>
    </w:p>
    <w:p w14:paraId="0C3AB5CC" w14:textId="01125189" w:rsidR="00111335" w:rsidRPr="00CA32B3" w:rsidRDefault="00111335" w:rsidP="00690FE6">
      <w:pPr>
        <w:pStyle w:val="Prrafodelista"/>
        <w:suppressLineNumbers/>
        <w:rPr>
          <w:rFonts w:ascii="Verdana" w:hAnsi="Verdana" w:cs="Arial"/>
          <w:i/>
          <w:iCs/>
          <w:sz w:val="20"/>
          <w:szCs w:val="18"/>
        </w:rPr>
      </w:pPr>
      <w:r w:rsidRPr="00CA32B3">
        <w:rPr>
          <w:rFonts w:ascii="Verdana" w:hAnsi="Verdana" w:cs="Arial"/>
          <w:i/>
          <w:iCs/>
          <w:sz w:val="20"/>
          <w:szCs w:val="18"/>
        </w:rPr>
        <w:t>A.3. Consideraciones de la Corte</w:t>
      </w:r>
    </w:p>
    <w:p w14:paraId="36CEAEB1" w14:textId="77777777" w:rsidR="00111335" w:rsidRPr="00CA32B3" w:rsidRDefault="00111335" w:rsidP="00690FE6">
      <w:pPr>
        <w:pStyle w:val="Prrafodelista"/>
        <w:suppressLineNumbers/>
        <w:rPr>
          <w:rFonts w:ascii="Verdana" w:hAnsi="Verdana" w:cs="Arial"/>
          <w:b/>
          <w:iCs/>
          <w:sz w:val="20"/>
          <w:szCs w:val="18"/>
        </w:rPr>
      </w:pPr>
    </w:p>
    <w:p w14:paraId="571F419C" w14:textId="7683BDDF" w:rsidR="00F3366B" w:rsidRPr="00CA32B3" w:rsidRDefault="00F3366B" w:rsidP="00690FE6">
      <w:pPr>
        <w:pStyle w:val="Prrafodelista"/>
        <w:numPr>
          <w:ilvl w:val="0"/>
          <w:numId w:val="3"/>
        </w:numPr>
        <w:suppressLineNumbers/>
        <w:spacing w:after="0" w:line="240" w:lineRule="auto"/>
        <w:ind w:left="0" w:firstLine="0"/>
        <w:jc w:val="both"/>
        <w:rPr>
          <w:rFonts w:ascii="Verdana" w:hAnsi="Verdana"/>
          <w:sz w:val="20"/>
          <w:szCs w:val="18"/>
        </w:rPr>
      </w:pPr>
      <w:r w:rsidRPr="00CA32B3">
        <w:rPr>
          <w:rFonts w:ascii="Verdana" w:hAnsi="Verdana"/>
          <w:sz w:val="20"/>
          <w:szCs w:val="18"/>
        </w:rPr>
        <w:t xml:space="preserve">La Corte </w:t>
      </w:r>
      <w:r w:rsidR="00353DF0" w:rsidRPr="00CA32B3">
        <w:rPr>
          <w:rFonts w:ascii="Verdana" w:hAnsi="Verdana"/>
          <w:sz w:val="20"/>
          <w:szCs w:val="18"/>
        </w:rPr>
        <w:t xml:space="preserve">recuerda </w:t>
      </w:r>
      <w:r w:rsidRPr="00CA32B3">
        <w:rPr>
          <w:rFonts w:ascii="Verdana" w:hAnsi="Verdana"/>
          <w:sz w:val="20"/>
          <w:szCs w:val="18"/>
        </w:rPr>
        <w:t xml:space="preserve">que antes de la emisión de la Sentencia en el presente caso, una persona había sido condenada por la desaparición forzada de </w:t>
      </w:r>
      <w:r w:rsidR="00353DF0" w:rsidRPr="00CA32B3">
        <w:rPr>
          <w:rFonts w:ascii="Verdana" w:hAnsi="Verdana"/>
          <w:sz w:val="20"/>
          <w:szCs w:val="18"/>
        </w:rPr>
        <w:t xml:space="preserve">las </w:t>
      </w:r>
      <w:r w:rsidRPr="00CA32B3">
        <w:rPr>
          <w:rFonts w:ascii="Verdana" w:hAnsi="Verdana"/>
          <w:sz w:val="20"/>
          <w:szCs w:val="18"/>
        </w:rPr>
        <w:t>quince víctimas</w:t>
      </w:r>
      <w:r w:rsidR="00353DF0" w:rsidRPr="00CA32B3">
        <w:rPr>
          <w:rFonts w:ascii="Verdana" w:hAnsi="Verdana"/>
          <w:sz w:val="20"/>
          <w:szCs w:val="18"/>
        </w:rPr>
        <w:t xml:space="preserve"> (entre ellas niñas y niños y una mujer embarazada), </w:t>
      </w:r>
      <w:r w:rsidRPr="00CA32B3">
        <w:rPr>
          <w:rFonts w:ascii="Verdana" w:hAnsi="Verdana"/>
          <w:sz w:val="20"/>
          <w:szCs w:val="18"/>
        </w:rPr>
        <w:t>por el delito de homicidio calificado en un contexto de lesa humanidad</w:t>
      </w:r>
      <w:r w:rsidR="00353DF0" w:rsidRPr="00CA32B3">
        <w:rPr>
          <w:rFonts w:ascii="Verdana" w:hAnsi="Verdana"/>
          <w:sz w:val="20"/>
          <w:szCs w:val="18"/>
        </w:rPr>
        <w:t>. Se le condenó a la</w:t>
      </w:r>
      <w:r w:rsidR="00203265" w:rsidRPr="00CA32B3">
        <w:rPr>
          <w:rFonts w:ascii="Verdana" w:hAnsi="Verdana"/>
          <w:sz w:val="20"/>
          <w:szCs w:val="18"/>
        </w:rPr>
        <w:t xml:space="preserve"> pena privativa de</w:t>
      </w:r>
      <w:r w:rsidRPr="00CA32B3">
        <w:rPr>
          <w:rFonts w:ascii="Verdana" w:hAnsi="Verdana"/>
          <w:sz w:val="20"/>
          <w:szCs w:val="18"/>
        </w:rPr>
        <w:t xml:space="preserve"> libertad de veinte año</w:t>
      </w:r>
      <w:r w:rsidR="00353DF0" w:rsidRPr="00CA32B3">
        <w:rPr>
          <w:rFonts w:ascii="Verdana" w:hAnsi="Verdana"/>
          <w:sz w:val="20"/>
          <w:szCs w:val="18"/>
        </w:rPr>
        <w:t>s</w:t>
      </w:r>
      <w:r w:rsidRPr="00CA32B3">
        <w:rPr>
          <w:rFonts w:ascii="Verdana" w:hAnsi="Verdana"/>
          <w:sz w:val="20"/>
          <w:szCs w:val="18"/>
        </w:rPr>
        <w:t xml:space="preserve"> y </w:t>
      </w:r>
      <w:r w:rsidR="00353DF0" w:rsidRPr="00CA32B3">
        <w:rPr>
          <w:rFonts w:ascii="Verdana" w:hAnsi="Verdana"/>
          <w:sz w:val="20"/>
          <w:szCs w:val="18"/>
        </w:rPr>
        <w:t xml:space="preserve">a </w:t>
      </w:r>
      <w:r w:rsidRPr="00CA32B3">
        <w:rPr>
          <w:rFonts w:ascii="Verdana" w:hAnsi="Verdana"/>
          <w:sz w:val="20"/>
          <w:szCs w:val="18"/>
        </w:rPr>
        <w:t>penas accesorias (</w:t>
      </w:r>
      <w:r w:rsidRPr="00CA32B3">
        <w:rPr>
          <w:rFonts w:ascii="Verdana" w:hAnsi="Verdana"/>
          <w:i/>
          <w:sz w:val="20"/>
          <w:szCs w:val="18"/>
        </w:rPr>
        <w:t xml:space="preserve">supra </w:t>
      </w:r>
      <w:r w:rsidRPr="00CA32B3">
        <w:rPr>
          <w:rFonts w:ascii="Verdana" w:hAnsi="Verdana"/>
          <w:sz w:val="20"/>
          <w:szCs w:val="18"/>
        </w:rPr>
        <w:t xml:space="preserve">Considerando 4). </w:t>
      </w:r>
    </w:p>
    <w:p w14:paraId="53C785E1" w14:textId="77777777" w:rsidR="00724805" w:rsidRPr="00CA32B3" w:rsidRDefault="00724805" w:rsidP="00690FE6">
      <w:pPr>
        <w:pStyle w:val="Prrafodelista"/>
        <w:suppressLineNumbers/>
        <w:spacing w:after="0" w:line="240" w:lineRule="auto"/>
        <w:ind w:left="0"/>
        <w:jc w:val="both"/>
        <w:rPr>
          <w:rFonts w:ascii="Verdana" w:hAnsi="Verdana"/>
          <w:sz w:val="20"/>
          <w:szCs w:val="18"/>
          <w:lang w:val="es-CR"/>
        </w:rPr>
      </w:pPr>
    </w:p>
    <w:p w14:paraId="2CE1810F" w14:textId="20E640EE" w:rsidR="003B75D3" w:rsidRPr="00CA32B3" w:rsidRDefault="00353DF0" w:rsidP="00690FE6">
      <w:pPr>
        <w:pStyle w:val="Prrafodelista"/>
        <w:numPr>
          <w:ilvl w:val="0"/>
          <w:numId w:val="3"/>
        </w:numPr>
        <w:suppressLineNumbers/>
        <w:spacing w:after="0" w:line="240" w:lineRule="auto"/>
        <w:ind w:left="0" w:firstLine="0"/>
        <w:jc w:val="both"/>
        <w:rPr>
          <w:rFonts w:ascii="Verdana" w:hAnsi="Verdana"/>
          <w:sz w:val="20"/>
          <w:szCs w:val="18"/>
        </w:rPr>
      </w:pPr>
      <w:r w:rsidRPr="00CA32B3">
        <w:rPr>
          <w:rFonts w:ascii="Verdana" w:hAnsi="Verdana"/>
          <w:sz w:val="20"/>
          <w:szCs w:val="18"/>
        </w:rPr>
        <w:t xml:space="preserve">Con posterioridad a la Sentencia de esta Corte, en el Perú </w:t>
      </w:r>
      <w:r w:rsidR="00724805" w:rsidRPr="00CA32B3">
        <w:rPr>
          <w:rFonts w:ascii="Verdana" w:hAnsi="Verdana"/>
          <w:sz w:val="20"/>
          <w:szCs w:val="18"/>
        </w:rPr>
        <w:t>se han dictado dos s</w:t>
      </w:r>
      <w:r w:rsidRPr="00CA32B3">
        <w:rPr>
          <w:rFonts w:ascii="Verdana" w:hAnsi="Verdana"/>
          <w:sz w:val="20"/>
          <w:szCs w:val="18"/>
        </w:rPr>
        <w:t>entencias</w:t>
      </w:r>
      <w:r w:rsidR="00433CF5" w:rsidRPr="00CA32B3">
        <w:rPr>
          <w:rFonts w:ascii="Verdana" w:hAnsi="Verdana"/>
          <w:sz w:val="20"/>
          <w:szCs w:val="18"/>
        </w:rPr>
        <w:t xml:space="preserve"> penales</w:t>
      </w:r>
      <w:r w:rsidR="00F50162" w:rsidRPr="00CA32B3">
        <w:rPr>
          <w:rFonts w:ascii="Verdana" w:hAnsi="Verdana"/>
          <w:sz w:val="20"/>
          <w:szCs w:val="18"/>
        </w:rPr>
        <w:t xml:space="preserve"> condenatorias</w:t>
      </w:r>
      <w:r w:rsidRPr="00CA32B3">
        <w:rPr>
          <w:rFonts w:ascii="Verdana" w:hAnsi="Verdana"/>
          <w:sz w:val="20"/>
          <w:szCs w:val="18"/>
        </w:rPr>
        <w:t xml:space="preserve"> </w:t>
      </w:r>
      <w:r w:rsidR="00F50162" w:rsidRPr="00CA32B3">
        <w:rPr>
          <w:rFonts w:ascii="Verdana" w:hAnsi="Verdana"/>
          <w:sz w:val="20"/>
          <w:szCs w:val="18"/>
        </w:rPr>
        <w:t>(</w:t>
      </w:r>
      <w:r w:rsidR="002A399A" w:rsidRPr="00CA32B3">
        <w:rPr>
          <w:rFonts w:ascii="Verdana" w:hAnsi="Verdana"/>
          <w:sz w:val="20"/>
          <w:szCs w:val="18"/>
        </w:rPr>
        <w:t>una de ellas firme</w:t>
      </w:r>
      <w:r w:rsidR="00F50162" w:rsidRPr="00CA32B3">
        <w:rPr>
          <w:rFonts w:ascii="Verdana" w:hAnsi="Verdana"/>
          <w:sz w:val="20"/>
          <w:szCs w:val="18"/>
        </w:rPr>
        <w:t>)</w:t>
      </w:r>
      <w:r w:rsidR="002A399A" w:rsidRPr="00CA32B3">
        <w:rPr>
          <w:rFonts w:ascii="Verdana" w:hAnsi="Verdana"/>
          <w:sz w:val="20"/>
          <w:szCs w:val="18"/>
        </w:rPr>
        <w:t xml:space="preserve">, </w:t>
      </w:r>
      <w:r w:rsidRPr="00CA32B3">
        <w:rPr>
          <w:rFonts w:ascii="Verdana" w:hAnsi="Verdana"/>
          <w:sz w:val="20"/>
          <w:szCs w:val="18"/>
        </w:rPr>
        <w:t xml:space="preserve">y se </w:t>
      </w:r>
      <w:r w:rsidR="002A399A" w:rsidRPr="00CA32B3">
        <w:rPr>
          <w:rFonts w:ascii="Verdana" w:hAnsi="Verdana"/>
          <w:sz w:val="20"/>
          <w:szCs w:val="18"/>
        </w:rPr>
        <w:t xml:space="preserve">encuentra abierta una </w:t>
      </w:r>
      <w:r w:rsidR="00724805" w:rsidRPr="00CA32B3">
        <w:rPr>
          <w:rFonts w:ascii="Verdana" w:hAnsi="Verdana"/>
          <w:sz w:val="20"/>
          <w:szCs w:val="18"/>
        </w:rPr>
        <w:t>investigación fiscal</w:t>
      </w:r>
      <w:r w:rsidR="003B75D3" w:rsidRPr="00CA32B3">
        <w:rPr>
          <w:rFonts w:ascii="Verdana" w:hAnsi="Verdana"/>
          <w:sz w:val="20"/>
          <w:szCs w:val="18"/>
        </w:rPr>
        <w:t>, a saber:</w:t>
      </w:r>
    </w:p>
    <w:p w14:paraId="7E1950F7" w14:textId="77777777" w:rsidR="003B75D3" w:rsidRPr="00CA32B3" w:rsidRDefault="003B75D3" w:rsidP="00690FE6">
      <w:pPr>
        <w:pStyle w:val="Prrafodelista"/>
        <w:suppressLineNumbers/>
        <w:rPr>
          <w:rFonts w:ascii="Verdana" w:hAnsi="Verdana"/>
          <w:sz w:val="20"/>
          <w:szCs w:val="18"/>
        </w:rPr>
      </w:pPr>
    </w:p>
    <w:p w14:paraId="374933C6" w14:textId="4089FF5F" w:rsidR="003B75D3" w:rsidRPr="00CA32B3" w:rsidRDefault="003B75D3" w:rsidP="00690FE6">
      <w:pPr>
        <w:pStyle w:val="Prrafodelista"/>
        <w:numPr>
          <w:ilvl w:val="0"/>
          <w:numId w:val="13"/>
        </w:numPr>
        <w:suppressLineNumbers/>
        <w:spacing w:after="0" w:line="240" w:lineRule="auto"/>
        <w:jc w:val="both"/>
        <w:rPr>
          <w:rFonts w:ascii="Verdana" w:hAnsi="Verdana"/>
          <w:sz w:val="20"/>
          <w:szCs w:val="18"/>
        </w:rPr>
      </w:pPr>
      <w:r w:rsidRPr="00CA32B3">
        <w:rPr>
          <w:rFonts w:ascii="Verdana" w:hAnsi="Verdana"/>
          <w:sz w:val="20"/>
          <w:szCs w:val="20"/>
        </w:rPr>
        <w:t>Mediante sentencia de 18 de diciembre de 2017 (</w:t>
      </w:r>
      <w:r w:rsidRPr="00CA32B3">
        <w:rPr>
          <w:rFonts w:ascii="Verdana" w:hAnsi="Verdana"/>
          <w:i/>
          <w:sz w:val="20"/>
          <w:szCs w:val="20"/>
        </w:rPr>
        <w:t>supra</w:t>
      </w:r>
      <w:r w:rsidRPr="00CA32B3">
        <w:rPr>
          <w:rFonts w:ascii="Verdana" w:hAnsi="Verdana"/>
          <w:sz w:val="20"/>
          <w:szCs w:val="20"/>
        </w:rPr>
        <w:t xml:space="preserve"> </w:t>
      </w:r>
      <w:r w:rsidR="006D48E7" w:rsidRPr="00CA32B3">
        <w:rPr>
          <w:rFonts w:ascii="Verdana" w:hAnsi="Verdana"/>
          <w:sz w:val="20"/>
          <w:szCs w:val="20"/>
        </w:rPr>
        <w:t>Considerando 8</w:t>
      </w:r>
      <w:r w:rsidRPr="00CA32B3">
        <w:rPr>
          <w:rFonts w:ascii="Verdana" w:hAnsi="Verdana"/>
          <w:sz w:val="20"/>
          <w:szCs w:val="20"/>
        </w:rPr>
        <w:t xml:space="preserve">) quedó firme la condena a Javier Bendezú Vargas </w:t>
      </w:r>
      <w:r w:rsidR="002A399A" w:rsidRPr="00CA32B3">
        <w:rPr>
          <w:rFonts w:ascii="Verdana" w:hAnsi="Verdana"/>
          <w:sz w:val="20"/>
          <w:szCs w:val="20"/>
        </w:rPr>
        <w:t>a</w:t>
      </w:r>
      <w:r w:rsidRPr="00CA32B3">
        <w:rPr>
          <w:rFonts w:ascii="Verdana" w:hAnsi="Verdana"/>
          <w:sz w:val="20"/>
          <w:szCs w:val="20"/>
        </w:rPr>
        <w:t xml:space="preserve"> veinte años </w:t>
      </w:r>
      <w:r w:rsidR="002A399A" w:rsidRPr="00CA32B3">
        <w:rPr>
          <w:rFonts w:ascii="Verdana" w:hAnsi="Verdana"/>
          <w:sz w:val="20"/>
          <w:szCs w:val="20"/>
        </w:rPr>
        <w:t xml:space="preserve">de pena privativa de libertad, </w:t>
      </w:r>
      <w:r w:rsidRPr="00CA32B3">
        <w:rPr>
          <w:rFonts w:ascii="Verdana" w:hAnsi="Verdana"/>
          <w:sz w:val="20"/>
          <w:szCs w:val="20"/>
        </w:rPr>
        <w:t xml:space="preserve">en su calidad de autor “del </w:t>
      </w:r>
      <w:r w:rsidR="006D48E7" w:rsidRPr="00CA32B3">
        <w:rPr>
          <w:rFonts w:ascii="Verdana" w:hAnsi="Verdana"/>
          <w:sz w:val="20"/>
          <w:szCs w:val="20"/>
        </w:rPr>
        <w:t>D</w:t>
      </w:r>
      <w:r w:rsidRPr="00CA32B3">
        <w:rPr>
          <w:rFonts w:ascii="Verdana" w:hAnsi="Verdana"/>
          <w:sz w:val="20"/>
          <w:szCs w:val="20"/>
        </w:rPr>
        <w:t xml:space="preserve">elito </w:t>
      </w:r>
      <w:r w:rsidR="006D48E7" w:rsidRPr="00CA32B3">
        <w:rPr>
          <w:rFonts w:ascii="Verdana" w:hAnsi="Verdana"/>
          <w:sz w:val="20"/>
          <w:szCs w:val="20"/>
        </w:rPr>
        <w:t>C</w:t>
      </w:r>
      <w:r w:rsidRPr="00CA32B3">
        <w:rPr>
          <w:rFonts w:ascii="Verdana" w:hAnsi="Verdana"/>
          <w:sz w:val="20"/>
          <w:szCs w:val="20"/>
        </w:rPr>
        <w:t xml:space="preserve">ontra la </w:t>
      </w:r>
      <w:r w:rsidR="006D48E7" w:rsidRPr="00CA32B3">
        <w:rPr>
          <w:rFonts w:ascii="Verdana" w:hAnsi="Verdana"/>
          <w:sz w:val="20"/>
          <w:szCs w:val="20"/>
        </w:rPr>
        <w:t>V</w:t>
      </w:r>
      <w:r w:rsidRPr="00CA32B3">
        <w:rPr>
          <w:rFonts w:ascii="Verdana" w:hAnsi="Verdana"/>
          <w:sz w:val="20"/>
          <w:szCs w:val="20"/>
        </w:rPr>
        <w:t xml:space="preserve">ida, el </w:t>
      </w:r>
      <w:r w:rsidR="006D48E7" w:rsidRPr="00CA32B3">
        <w:rPr>
          <w:rFonts w:ascii="Verdana" w:hAnsi="Verdana"/>
          <w:sz w:val="20"/>
          <w:szCs w:val="20"/>
        </w:rPr>
        <w:t>C</w:t>
      </w:r>
      <w:r w:rsidRPr="00CA32B3">
        <w:rPr>
          <w:rFonts w:ascii="Verdana" w:hAnsi="Verdana"/>
          <w:sz w:val="20"/>
          <w:szCs w:val="20"/>
        </w:rPr>
        <w:t xml:space="preserve">uerpo y la </w:t>
      </w:r>
      <w:r w:rsidR="006D48E7" w:rsidRPr="00CA32B3">
        <w:rPr>
          <w:rFonts w:ascii="Verdana" w:hAnsi="Verdana"/>
          <w:sz w:val="20"/>
          <w:szCs w:val="20"/>
        </w:rPr>
        <w:t>S</w:t>
      </w:r>
      <w:r w:rsidRPr="00CA32B3">
        <w:rPr>
          <w:rFonts w:ascii="Verdana" w:hAnsi="Verdana"/>
          <w:sz w:val="20"/>
          <w:szCs w:val="20"/>
        </w:rPr>
        <w:t>alud - Homicidio Calificado”, con los agravantes de “gran crueldad, ferocidad y alevosía”.</w:t>
      </w:r>
      <w:r w:rsidR="00724805" w:rsidRPr="00CA32B3">
        <w:rPr>
          <w:rFonts w:ascii="Verdana" w:hAnsi="Verdana"/>
          <w:sz w:val="20"/>
          <w:szCs w:val="18"/>
        </w:rPr>
        <w:t xml:space="preserve"> </w:t>
      </w:r>
    </w:p>
    <w:p w14:paraId="536AD753" w14:textId="3BAD2EAE" w:rsidR="003B75D3" w:rsidRPr="00CA32B3" w:rsidRDefault="002A399A" w:rsidP="00690FE6">
      <w:pPr>
        <w:pStyle w:val="Prrafodelista"/>
        <w:numPr>
          <w:ilvl w:val="0"/>
          <w:numId w:val="13"/>
        </w:numPr>
        <w:suppressLineNumbers/>
        <w:spacing w:after="0" w:line="240" w:lineRule="auto"/>
        <w:jc w:val="both"/>
        <w:rPr>
          <w:rFonts w:ascii="Verdana" w:hAnsi="Verdana"/>
          <w:sz w:val="20"/>
          <w:szCs w:val="18"/>
        </w:rPr>
      </w:pPr>
      <w:r w:rsidRPr="00CA32B3">
        <w:rPr>
          <w:rFonts w:ascii="Verdana" w:hAnsi="Verdana" w:cs="Arial"/>
          <w:iCs/>
          <w:sz w:val="20"/>
          <w:szCs w:val="20"/>
        </w:rPr>
        <w:t xml:space="preserve">Mediante sentencia de 16 de diciembre de 2019 </w:t>
      </w:r>
      <w:r w:rsidR="00993C4B" w:rsidRPr="00CA32B3">
        <w:rPr>
          <w:rFonts w:ascii="Verdana" w:hAnsi="Verdana"/>
          <w:sz w:val="20"/>
          <w:szCs w:val="20"/>
        </w:rPr>
        <w:t>(</w:t>
      </w:r>
      <w:r w:rsidR="00993C4B" w:rsidRPr="00CA32B3">
        <w:rPr>
          <w:rFonts w:ascii="Verdana" w:hAnsi="Verdana"/>
          <w:i/>
          <w:sz w:val="20"/>
          <w:szCs w:val="20"/>
        </w:rPr>
        <w:t>supra</w:t>
      </w:r>
      <w:r w:rsidR="00993C4B" w:rsidRPr="00CA32B3">
        <w:rPr>
          <w:rFonts w:ascii="Verdana" w:hAnsi="Verdana"/>
          <w:sz w:val="20"/>
          <w:szCs w:val="20"/>
        </w:rPr>
        <w:t xml:space="preserve"> Considerando 8) </w:t>
      </w:r>
      <w:r w:rsidRPr="00CA32B3">
        <w:rPr>
          <w:rFonts w:ascii="Verdana" w:hAnsi="Verdana" w:cs="Arial"/>
          <w:iCs/>
          <w:sz w:val="20"/>
          <w:szCs w:val="20"/>
        </w:rPr>
        <w:t xml:space="preserve">se condenó a otra persona a “5 años de pena privativa de libertad por haberse acreditado su condición de cómplice secundario” del delito de homicidio simple. </w:t>
      </w:r>
      <w:r w:rsidR="002B525F" w:rsidRPr="00CA32B3">
        <w:rPr>
          <w:rFonts w:ascii="Verdana" w:hAnsi="Verdana" w:cs="Arial"/>
          <w:iCs/>
          <w:sz w:val="20"/>
          <w:szCs w:val="20"/>
        </w:rPr>
        <w:t>No fue aportada a la Corte copia de esta sentencia y</w:t>
      </w:r>
      <w:r w:rsidR="002707C3" w:rsidRPr="00CA32B3">
        <w:rPr>
          <w:rFonts w:ascii="Verdana" w:hAnsi="Verdana" w:cs="Arial"/>
          <w:iCs/>
          <w:sz w:val="20"/>
          <w:szCs w:val="20"/>
        </w:rPr>
        <w:t>,</w:t>
      </w:r>
      <w:r w:rsidR="002B525F" w:rsidRPr="00CA32B3">
        <w:rPr>
          <w:rFonts w:ascii="Verdana" w:hAnsi="Verdana" w:cs="Arial"/>
          <w:iCs/>
          <w:sz w:val="20"/>
          <w:szCs w:val="20"/>
        </w:rPr>
        <w:t xml:space="preserve"> según lo indicado por </w:t>
      </w:r>
      <w:r w:rsidR="002707C3" w:rsidRPr="00CA32B3">
        <w:rPr>
          <w:rFonts w:ascii="Verdana" w:hAnsi="Verdana" w:cs="Arial"/>
          <w:iCs/>
          <w:sz w:val="20"/>
          <w:szCs w:val="20"/>
        </w:rPr>
        <w:t xml:space="preserve">el Perú en la audiencia de supervisión de octubre de 2020, la misma </w:t>
      </w:r>
      <w:r w:rsidRPr="00CA32B3">
        <w:rPr>
          <w:rFonts w:ascii="Verdana" w:hAnsi="Verdana" w:cs="Arial"/>
          <w:iCs/>
          <w:sz w:val="20"/>
          <w:szCs w:val="20"/>
        </w:rPr>
        <w:t>no está firme.</w:t>
      </w:r>
      <w:r w:rsidR="002B525F" w:rsidRPr="00CA32B3">
        <w:rPr>
          <w:rFonts w:ascii="Verdana" w:hAnsi="Verdana" w:cs="Arial"/>
          <w:iCs/>
          <w:sz w:val="20"/>
          <w:szCs w:val="20"/>
        </w:rPr>
        <w:t xml:space="preserve"> </w:t>
      </w:r>
    </w:p>
    <w:p w14:paraId="18C336C0" w14:textId="106AC3B1" w:rsidR="002A399A" w:rsidRPr="00CA32B3" w:rsidRDefault="002A399A" w:rsidP="00690FE6">
      <w:pPr>
        <w:pStyle w:val="Prrafodelista"/>
        <w:numPr>
          <w:ilvl w:val="0"/>
          <w:numId w:val="13"/>
        </w:numPr>
        <w:suppressLineNumbers/>
        <w:spacing w:after="0" w:line="240" w:lineRule="auto"/>
        <w:jc w:val="both"/>
        <w:rPr>
          <w:rFonts w:ascii="Verdana" w:hAnsi="Verdana"/>
          <w:sz w:val="20"/>
          <w:szCs w:val="18"/>
        </w:rPr>
      </w:pPr>
      <w:r w:rsidRPr="00CA32B3">
        <w:rPr>
          <w:rFonts w:ascii="Verdana" w:hAnsi="Verdana"/>
          <w:sz w:val="20"/>
          <w:szCs w:val="18"/>
        </w:rPr>
        <w:t>Se encuentra abierta una investigación preliminar contra cinco personas pertenecientes a los mandos superiores del Ejército por la presunta comisión del delito de homicidio calificado (</w:t>
      </w:r>
      <w:r w:rsidRPr="00CA32B3">
        <w:rPr>
          <w:rFonts w:ascii="Verdana" w:hAnsi="Verdana"/>
          <w:i/>
          <w:sz w:val="20"/>
          <w:szCs w:val="18"/>
        </w:rPr>
        <w:t>supra</w:t>
      </w:r>
      <w:r w:rsidRPr="00CA32B3">
        <w:rPr>
          <w:rFonts w:ascii="Verdana" w:hAnsi="Verdana"/>
          <w:sz w:val="20"/>
          <w:szCs w:val="18"/>
        </w:rPr>
        <w:t xml:space="preserve"> </w:t>
      </w:r>
      <w:r w:rsidR="006D48E7" w:rsidRPr="00CA32B3">
        <w:rPr>
          <w:rFonts w:ascii="Verdana" w:hAnsi="Verdana"/>
          <w:sz w:val="20"/>
          <w:szCs w:val="18"/>
        </w:rPr>
        <w:t>Considerandos 9 y 10</w:t>
      </w:r>
      <w:r w:rsidRPr="00CA32B3">
        <w:rPr>
          <w:rFonts w:ascii="Verdana" w:hAnsi="Verdana"/>
          <w:sz w:val="20"/>
          <w:szCs w:val="18"/>
        </w:rPr>
        <w:t>).</w:t>
      </w:r>
    </w:p>
    <w:p w14:paraId="350F8F3B" w14:textId="694320AD" w:rsidR="002A399A" w:rsidRPr="00CA32B3" w:rsidRDefault="002A399A" w:rsidP="00690FE6">
      <w:pPr>
        <w:pStyle w:val="Prrafodelista"/>
        <w:suppressLineNumbers/>
        <w:spacing w:after="0" w:line="240" w:lineRule="auto"/>
        <w:ind w:left="1068"/>
        <w:jc w:val="both"/>
        <w:rPr>
          <w:rFonts w:ascii="Verdana" w:hAnsi="Verdana"/>
          <w:sz w:val="20"/>
          <w:szCs w:val="18"/>
        </w:rPr>
      </w:pPr>
    </w:p>
    <w:p w14:paraId="726E59B5" w14:textId="2AA67F4A" w:rsidR="00433CF5" w:rsidRPr="00CA32B3" w:rsidRDefault="00D26DCF" w:rsidP="00690FE6">
      <w:pPr>
        <w:pStyle w:val="Prrafodelista"/>
        <w:numPr>
          <w:ilvl w:val="0"/>
          <w:numId w:val="3"/>
        </w:numPr>
        <w:suppressLineNumbers/>
        <w:spacing w:after="0" w:line="240" w:lineRule="auto"/>
        <w:ind w:left="0" w:firstLine="0"/>
        <w:jc w:val="both"/>
        <w:rPr>
          <w:rFonts w:ascii="Verdana" w:hAnsi="Verdana"/>
          <w:sz w:val="20"/>
          <w:szCs w:val="18"/>
        </w:rPr>
      </w:pPr>
      <w:r w:rsidRPr="00CA32B3">
        <w:rPr>
          <w:rFonts w:ascii="Verdana" w:hAnsi="Verdana"/>
          <w:sz w:val="20"/>
        </w:rPr>
        <w:t xml:space="preserve">La Corte valora positivamente que el Estado haya avanzado en la determinación de la responsabilidad penal y </w:t>
      </w:r>
      <w:r w:rsidRPr="00CA32B3">
        <w:rPr>
          <w:rFonts w:ascii="Verdana" w:hAnsi="Verdana"/>
          <w:sz w:val="20"/>
          <w:szCs w:val="20"/>
        </w:rPr>
        <w:t xml:space="preserve">condena de dos militares y en investigaciones dirigidas a esclarecer </w:t>
      </w:r>
      <w:r w:rsidR="00F50162" w:rsidRPr="00CA32B3">
        <w:rPr>
          <w:rFonts w:ascii="Verdana" w:hAnsi="Verdana"/>
          <w:sz w:val="20"/>
          <w:szCs w:val="20"/>
        </w:rPr>
        <w:t xml:space="preserve">otros posibles responsables de </w:t>
      </w:r>
      <w:r w:rsidRPr="00CA32B3">
        <w:rPr>
          <w:rFonts w:ascii="Verdana" w:hAnsi="Verdana"/>
          <w:sz w:val="20"/>
          <w:szCs w:val="20"/>
        </w:rPr>
        <w:t>la autoría material e intelectual de las violaciones perpetradas en perjuicio de las 15 víctimas (</w:t>
      </w:r>
      <w:r w:rsidRPr="00CA32B3">
        <w:rPr>
          <w:rFonts w:ascii="Verdana" w:hAnsi="Verdana"/>
          <w:i/>
          <w:sz w:val="20"/>
          <w:szCs w:val="20"/>
        </w:rPr>
        <w:t>supra</w:t>
      </w:r>
      <w:r w:rsidRPr="00CA32B3">
        <w:rPr>
          <w:rFonts w:ascii="Verdana" w:hAnsi="Verdana"/>
          <w:sz w:val="20"/>
          <w:szCs w:val="20"/>
        </w:rPr>
        <w:t xml:space="preserve"> Considerandos </w:t>
      </w:r>
      <w:r w:rsidR="006D1B72" w:rsidRPr="00CA32B3">
        <w:rPr>
          <w:rFonts w:ascii="Verdana" w:hAnsi="Verdana"/>
          <w:sz w:val="20"/>
          <w:szCs w:val="20"/>
        </w:rPr>
        <w:t xml:space="preserve">8, </w:t>
      </w:r>
      <w:r w:rsidR="00971BA1" w:rsidRPr="00CA32B3">
        <w:rPr>
          <w:rFonts w:ascii="Verdana" w:hAnsi="Verdana"/>
          <w:sz w:val="20"/>
          <w:szCs w:val="20"/>
        </w:rPr>
        <w:t>9 y 10</w:t>
      </w:r>
      <w:r w:rsidRPr="00CA32B3">
        <w:rPr>
          <w:rFonts w:ascii="Verdana" w:hAnsi="Verdana"/>
          <w:sz w:val="20"/>
          <w:szCs w:val="20"/>
        </w:rPr>
        <w:t>). A</w:t>
      </w:r>
      <w:r w:rsidR="00F247F3" w:rsidRPr="00CA32B3">
        <w:rPr>
          <w:rFonts w:ascii="Verdana" w:hAnsi="Verdana"/>
          <w:sz w:val="20"/>
          <w:szCs w:val="20"/>
        </w:rPr>
        <w:t>unado a ello</w:t>
      </w:r>
      <w:r w:rsidRPr="00CA32B3">
        <w:rPr>
          <w:rFonts w:ascii="Verdana" w:hAnsi="Verdana" w:cs="Verdana"/>
          <w:sz w:val="20"/>
          <w:szCs w:val="20"/>
        </w:rPr>
        <w:t>, en el marco de la</w:t>
      </w:r>
      <w:r w:rsidRPr="00CA32B3">
        <w:rPr>
          <w:rFonts w:ascii="Verdana" w:hAnsi="Verdana" w:cs="Verdana"/>
          <w:sz w:val="20"/>
          <w:szCs w:val="20"/>
          <w:lang w:val="es-ES"/>
        </w:rPr>
        <w:t>s</w:t>
      </w:r>
      <w:r w:rsidRPr="00CA32B3">
        <w:rPr>
          <w:rFonts w:ascii="Verdana" w:hAnsi="Verdana" w:cs="Verdana"/>
          <w:sz w:val="20"/>
          <w:szCs w:val="20"/>
        </w:rPr>
        <w:t xml:space="preserve"> investigaci</w:t>
      </w:r>
      <w:r w:rsidRPr="00CA32B3">
        <w:rPr>
          <w:rFonts w:ascii="Verdana" w:hAnsi="Verdana" w:cs="Verdana"/>
          <w:sz w:val="20"/>
          <w:szCs w:val="20"/>
          <w:lang w:val="es-ES"/>
        </w:rPr>
        <w:t>ones</w:t>
      </w:r>
      <w:r w:rsidRPr="00CA32B3">
        <w:rPr>
          <w:rFonts w:ascii="Verdana" w:hAnsi="Verdana" w:cs="Verdana"/>
          <w:sz w:val="20"/>
          <w:szCs w:val="20"/>
        </w:rPr>
        <w:t xml:space="preserve"> penal</w:t>
      </w:r>
      <w:r w:rsidRPr="00CA32B3">
        <w:rPr>
          <w:rFonts w:ascii="Verdana" w:hAnsi="Verdana" w:cs="Verdana"/>
          <w:sz w:val="20"/>
          <w:szCs w:val="20"/>
          <w:lang w:val="es-ES"/>
        </w:rPr>
        <w:t>es desarrolladas en el expediente 42-06</w:t>
      </w:r>
      <w:r w:rsidR="0047183B" w:rsidRPr="00CA32B3">
        <w:rPr>
          <w:rFonts w:ascii="Verdana" w:hAnsi="Verdana" w:cs="Verdana"/>
          <w:sz w:val="20"/>
          <w:szCs w:val="20"/>
          <w:lang w:val="es-ES"/>
        </w:rPr>
        <w:t xml:space="preserve"> y en la carpeta fiscal 01-16</w:t>
      </w:r>
      <w:r w:rsidRPr="00CA32B3">
        <w:rPr>
          <w:rFonts w:ascii="Verdana" w:hAnsi="Verdana" w:cs="Verdana"/>
          <w:sz w:val="20"/>
          <w:szCs w:val="20"/>
        </w:rPr>
        <w:t xml:space="preserve">, se han realizado actuaciones tendientes a develar la </w:t>
      </w:r>
      <w:r w:rsidR="00F247F3" w:rsidRPr="00CA32B3">
        <w:rPr>
          <w:rFonts w:ascii="Verdana" w:hAnsi="Verdana" w:cs="Verdana"/>
          <w:sz w:val="20"/>
          <w:szCs w:val="20"/>
        </w:rPr>
        <w:t xml:space="preserve">posible </w:t>
      </w:r>
      <w:r w:rsidRPr="00CA32B3">
        <w:rPr>
          <w:rFonts w:ascii="Verdana" w:hAnsi="Verdana" w:cs="Verdana"/>
          <w:sz w:val="20"/>
          <w:szCs w:val="20"/>
        </w:rPr>
        <w:t xml:space="preserve">participación de </w:t>
      </w:r>
      <w:r w:rsidR="00F247F3" w:rsidRPr="00CA32B3">
        <w:rPr>
          <w:rFonts w:ascii="Verdana" w:hAnsi="Verdana" w:cs="Verdana"/>
          <w:sz w:val="20"/>
          <w:szCs w:val="20"/>
        </w:rPr>
        <w:t xml:space="preserve">otros </w:t>
      </w:r>
      <w:r w:rsidRPr="00CA32B3">
        <w:rPr>
          <w:rFonts w:ascii="Verdana" w:hAnsi="Verdana" w:cs="Verdana"/>
          <w:sz w:val="20"/>
          <w:szCs w:val="20"/>
        </w:rPr>
        <w:t xml:space="preserve">agentes estatales en estos hechos, así como a </w:t>
      </w:r>
      <w:r w:rsidRPr="00CA32B3">
        <w:rPr>
          <w:rFonts w:ascii="Verdana" w:hAnsi="Verdana" w:cs="Verdana"/>
          <w:sz w:val="20"/>
          <w:szCs w:val="20"/>
          <w:lang w:val="es-ES"/>
        </w:rPr>
        <w:t>la localización e identificación de los restos mortales de las víctimas</w:t>
      </w:r>
      <w:r w:rsidRPr="00CA32B3">
        <w:rPr>
          <w:rFonts w:ascii="Verdana" w:hAnsi="Verdana" w:cs="Verdana"/>
          <w:sz w:val="20"/>
          <w:szCs w:val="20"/>
        </w:rPr>
        <w:t>.</w:t>
      </w:r>
      <w:r w:rsidR="007C1753" w:rsidRPr="00CA32B3">
        <w:rPr>
          <w:rFonts w:ascii="Verdana" w:hAnsi="Verdana" w:cs="Verdana"/>
          <w:sz w:val="20"/>
          <w:szCs w:val="20"/>
        </w:rPr>
        <w:t xml:space="preserve"> </w:t>
      </w:r>
    </w:p>
    <w:p w14:paraId="62DF567B" w14:textId="77777777" w:rsidR="00433CF5" w:rsidRPr="00CA32B3" w:rsidRDefault="00433CF5" w:rsidP="00690FE6">
      <w:pPr>
        <w:pStyle w:val="Prrafodelista"/>
        <w:suppressLineNumbers/>
        <w:rPr>
          <w:rFonts w:ascii="Verdana" w:hAnsi="Verdana"/>
          <w:sz w:val="20"/>
          <w:lang w:val="es-ES"/>
        </w:rPr>
      </w:pPr>
    </w:p>
    <w:p w14:paraId="4C3C704C" w14:textId="05DA1F2C" w:rsidR="007C1753" w:rsidRPr="00CA32B3" w:rsidRDefault="007C1753" w:rsidP="00690FE6">
      <w:pPr>
        <w:pStyle w:val="Prrafodelista"/>
        <w:numPr>
          <w:ilvl w:val="0"/>
          <w:numId w:val="3"/>
        </w:numPr>
        <w:suppressLineNumbers/>
        <w:spacing w:after="0" w:line="240" w:lineRule="auto"/>
        <w:ind w:left="0" w:firstLine="0"/>
        <w:jc w:val="both"/>
        <w:rPr>
          <w:rFonts w:ascii="Verdana" w:hAnsi="Verdana"/>
          <w:sz w:val="20"/>
          <w:szCs w:val="18"/>
        </w:rPr>
      </w:pPr>
      <w:r w:rsidRPr="00CA32B3">
        <w:rPr>
          <w:rFonts w:ascii="Verdana" w:hAnsi="Verdana"/>
          <w:sz w:val="20"/>
          <w:lang w:val="es-ES"/>
        </w:rPr>
        <w:t>Sin perjuicio de lo anterior</w:t>
      </w:r>
      <w:r w:rsidRPr="00CA32B3">
        <w:rPr>
          <w:rFonts w:ascii="Verdana" w:hAnsi="Verdana"/>
          <w:sz w:val="20"/>
        </w:rPr>
        <w:t xml:space="preserve">, en relación </w:t>
      </w:r>
      <w:r w:rsidRPr="00CA32B3">
        <w:rPr>
          <w:rFonts w:ascii="Verdana" w:hAnsi="Verdana"/>
          <w:sz w:val="20"/>
          <w:lang w:val="es-ES"/>
        </w:rPr>
        <w:t>a</w:t>
      </w:r>
      <w:r w:rsidRPr="00CA32B3">
        <w:rPr>
          <w:rFonts w:ascii="Verdana" w:hAnsi="Verdana"/>
          <w:sz w:val="20"/>
        </w:rPr>
        <w:t xml:space="preserve"> la proporcionalidad </w:t>
      </w:r>
      <w:r w:rsidRPr="00CA32B3">
        <w:rPr>
          <w:rFonts w:ascii="Verdana" w:hAnsi="Verdana"/>
          <w:sz w:val="20"/>
          <w:lang w:val="es-ES"/>
        </w:rPr>
        <w:t xml:space="preserve">y la ejecución </w:t>
      </w:r>
      <w:r w:rsidRPr="00CA32B3">
        <w:rPr>
          <w:rFonts w:ascii="Verdana" w:hAnsi="Verdana"/>
          <w:sz w:val="20"/>
        </w:rPr>
        <w:t xml:space="preserve">de la pena, </w:t>
      </w:r>
      <w:r w:rsidR="002707C3" w:rsidRPr="00CA32B3">
        <w:rPr>
          <w:rFonts w:ascii="Verdana" w:hAnsi="Verdana"/>
          <w:sz w:val="20"/>
        </w:rPr>
        <w:t xml:space="preserve">se encuentra pendiente de resolver el recurso de nulidad </w:t>
      </w:r>
      <w:r w:rsidR="002707C3" w:rsidRPr="00CA32B3">
        <w:rPr>
          <w:rFonts w:ascii="Verdana" w:hAnsi="Verdana" w:cs="Arial"/>
          <w:iCs/>
          <w:sz w:val="20"/>
          <w:szCs w:val="20"/>
        </w:rPr>
        <w:t>interpuesto por el Ministerio Público respecto de la pena de cinco años de prisión impuesta</w:t>
      </w:r>
      <w:r w:rsidR="002707C3" w:rsidRPr="00CA32B3">
        <w:rPr>
          <w:rFonts w:ascii="Verdana" w:hAnsi="Verdana"/>
          <w:sz w:val="20"/>
        </w:rPr>
        <w:t xml:space="preserve"> al supuesto cómplice (</w:t>
      </w:r>
      <w:r w:rsidR="002707C3" w:rsidRPr="00CA32B3">
        <w:rPr>
          <w:rFonts w:ascii="Verdana" w:hAnsi="Verdana"/>
          <w:i/>
          <w:sz w:val="20"/>
        </w:rPr>
        <w:t>supra</w:t>
      </w:r>
      <w:r w:rsidR="00EF1623" w:rsidRPr="00CA32B3">
        <w:rPr>
          <w:rFonts w:ascii="Verdana" w:hAnsi="Verdana"/>
          <w:sz w:val="20"/>
        </w:rPr>
        <w:t xml:space="preserve"> Considerandos 8</w:t>
      </w:r>
      <w:r w:rsidR="0083587F" w:rsidRPr="00CA32B3">
        <w:rPr>
          <w:rFonts w:ascii="Verdana" w:hAnsi="Verdana"/>
          <w:sz w:val="20"/>
        </w:rPr>
        <w:t xml:space="preserve"> y 14.b</w:t>
      </w:r>
      <w:r w:rsidR="002707C3" w:rsidRPr="00CA32B3">
        <w:rPr>
          <w:rFonts w:ascii="Verdana" w:hAnsi="Verdana"/>
          <w:sz w:val="20"/>
        </w:rPr>
        <w:t>)</w:t>
      </w:r>
      <w:r w:rsidRPr="00CA32B3">
        <w:rPr>
          <w:rFonts w:ascii="Verdana" w:hAnsi="Verdana"/>
          <w:sz w:val="20"/>
        </w:rPr>
        <w:t>, así como que e</w:t>
      </w:r>
      <w:r w:rsidRPr="00CA32B3">
        <w:rPr>
          <w:rFonts w:ascii="Verdana" w:hAnsi="Verdana" w:cs="Arial"/>
          <w:iCs/>
          <w:sz w:val="20"/>
          <w:szCs w:val="20"/>
        </w:rPr>
        <w:t>l condenado Carrera Gon</w:t>
      </w:r>
      <w:r w:rsidR="007A68B6" w:rsidRPr="00CA32B3">
        <w:rPr>
          <w:rFonts w:ascii="Verdana" w:hAnsi="Verdana" w:cs="Arial"/>
          <w:iCs/>
          <w:sz w:val="20"/>
          <w:szCs w:val="20"/>
        </w:rPr>
        <w:t>zález, cuya pena privativa de</w:t>
      </w:r>
      <w:r w:rsidRPr="00CA32B3">
        <w:rPr>
          <w:rFonts w:ascii="Verdana" w:hAnsi="Verdana" w:cs="Arial"/>
          <w:iCs/>
          <w:sz w:val="20"/>
          <w:szCs w:val="20"/>
        </w:rPr>
        <w:t xml:space="preserve"> libertad debía extenderse hasta el año 2029</w:t>
      </w:r>
      <w:r w:rsidRPr="00CA32B3">
        <w:rPr>
          <w:rStyle w:val="Refdenotaalpie"/>
          <w:rFonts w:ascii="Verdana" w:hAnsi="Verdana" w:cs="Arial"/>
          <w:iCs/>
          <w:sz w:val="20"/>
          <w:szCs w:val="20"/>
        </w:rPr>
        <w:footnoteReference w:id="30"/>
      </w:r>
      <w:r w:rsidRPr="00CA32B3">
        <w:rPr>
          <w:rFonts w:ascii="Verdana" w:hAnsi="Verdana" w:cs="Arial"/>
          <w:iCs/>
          <w:sz w:val="20"/>
          <w:szCs w:val="20"/>
        </w:rPr>
        <w:t>,</w:t>
      </w:r>
      <w:r w:rsidRPr="00CA32B3">
        <w:rPr>
          <w:rFonts w:ascii="Verdana" w:hAnsi="Verdana" w:cs="Arial"/>
          <w:b/>
          <w:iCs/>
          <w:sz w:val="20"/>
          <w:szCs w:val="20"/>
        </w:rPr>
        <w:t xml:space="preserve"> </w:t>
      </w:r>
      <w:r w:rsidR="00847ABF" w:rsidRPr="00CA32B3">
        <w:rPr>
          <w:rFonts w:ascii="Verdana" w:hAnsi="Verdana" w:cs="Arial"/>
          <w:iCs/>
          <w:sz w:val="20"/>
          <w:szCs w:val="20"/>
        </w:rPr>
        <w:t>habría sido</w:t>
      </w:r>
      <w:r w:rsidRPr="00CA32B3">
        <w:rPr>
          <w:rFonts w:ascii="Verdana" w:hAnsi="Verdana" w:cs="Arial"/>
          <w:iCs/>
          <w:sz w:val="20"/>
          <w:szCs w:val="20"/>
        </w:rPr>
        <w:t xml:space="preserve"> liberado</w:t>
      </w:r>
      <w:r w:rsidRPr="00CA32B3">
        <w:rPr>
          <w:rFonts w:ascii="Verdana" w:hAnsi="Verdana" w:cs="Arial"/>
          <w:sz w:val="20"/>
          <w:szCs w:val="20"/>
          <w:lang w:eastAsia="es-CR"/>
        </w:rPr>
        <w:t xml:space="preserve"> en virtud del otorgamiento de un beneficio “de </w:t>
      </w:r>
      <w:r w:rsidRPr="00CA32B3">
        <w:rPr>
          <w:rFonts w:ascii="Verdana" w:eastAsia="Verdana" w:hAnsi="Verdana" w:cs="Verdana"/>
          <w:sz w:val="20"/>
          <w:szCs w:val="20"/>
        </w:rPr>
        <w:t xml:space="preserve">semilibertad de liberación condicional”. </w:t>
      </w:r>
      <w:r w:rsidRPr="00CA32B3">
        <w:rPr>
          <w:rFonts w:ascii="Verdana" w:eastAsia="Verdana" w:hAnsi="Verdana" w:cs="Verdana"/>
          <w:sz w:val="20"/>
          <w:szCs w:val="24"/>
        </w:rPr>
        <w:t xml:space="preserve">Debido a que la Corte no tiene certeza sobre si se encuentran actualmente en firme la condena </w:t>
      </w:r>
      <w:r w:rsidR="00203265" w:rsidRPr="00CA32B3">
        <w:rPr>
          <w:rFonts w:ascii="Verdana" w:eastAsia="Verdana" w:hAnsi="Verdana" w:cs="Verdana"/>
          <w:sz w:val="20"/>
          <w:szCs w:val="24"/>
        </w:rPr>
        <w:t xml:space="preserve">dictada el 16 de diciembre de 2019 </w:t>
      </w:r>
      <w:r w:rsidRPr="00CA32B3">
        <w:rPr>
          <w:rFonts w:ascii="Verdana" w:eastAsia="Verdana" w:hAnsi="Verdana" w:cs="Verdana"/>
          <w:sz w:val="20"/>
          <w:szCs w:val="24"/>
        </w:rPr>
        <w:t xml:space="preserve">así como la ejecución de la condena de Carrera González bajo un beneficio excarcelatorio y sus fundamentos legales, ni sobre la efectiva ejecución de la </w:t>
      </w:r>
      <w:r w:rsidRPr="00CA32B3">
        <w:rPr>
          <w:rFonts w:ascii="Verdana" w:eastAsia="Verdana" w:hAnsi="Verdana" w:cs="Verdana"/>
          <w:sz w:val="20"/>
          <w:szCs w:val="24"/>
        </w:rPr>
        <w:lastRenderedPageBreak/>
        <w:t xml:space="preserve">condena y de las penas accesorias por parte de Javier Bendezú Vargas, se solicita al Perú que remita información actualizada. </w:t>
      </w:r>
    </w:p>
    <w:p w14:paraId="15EF82FC" w14:textId="77777777" w:rsidR="0010510A" w:rsidRPr="00CA32B3" w:rsidRDefault="0010510A" w:rsidP="00690FE6">
      <w:pPr>
        <w:pStyle w:val="Prrafodelista"/>
        <w:suppressLineNumbers/>
        <w:autoSpaceDE w:val="0"/>
        <w:autoSpaceDN w:val="0"/>
        <w:adjustRightInd w:val="0"/>
        <w:spacing w:after="0" w:line="240" w:lineRule="auto"/>
        <w:ind w:left="0"/>
        <w:jc w:val="both"/>
        <w:rPr>
          <w:rFonts w:ascii="Verdana" w:hAnsi="Verdana" w:cs="Arial"/>
          <w:iCs/>
          <w:sz w:val="20"/>
          <w:szCs w:val="20"/>
          <w:lang w:val="es-CR"/>
        </w:rPr>
      </w:pPr>
    </w:p>
    <w:p w14:paraId="76317B88" w14:textId="0BC28E2B" w:rsidR="00EF1623" w:rsidRPr="00CA32B3" w:rsidRDefault="00EF1623" w:rsidP="00690FE6">
      <w:pPr>
        <w:pStyle w:val="Prrafodelista"/>
        <w:numPr>
          <w:ilvl w:val="0"/>
          <w:numId w:val="3"/>
        </w:numPr>
        <w:suppressLineNumbers/>
        <w:autoSpaceDE w:val="0"/>
        <w:autoSpaceDN w:val="0"/>
        <w:adjustRightInd w:val="0"/>
        <w:spacing w:after="0" w:line="240" w:lineRule="auto"/>
        <w:ind w:left="0" w:firstLine="0"/>
        <w:jc w:val="both"/>
        <w:rPr>
          <w:rFonts w:ascii="Verdana" w:hAnsi="Verdana" w:cs="Arial"/>
          <w:iCs/>
          <w:sz w:val="20"/>
          <w:szCs w:val="20"/>
          <w:lang w:val="es-CR"/>
        </w:rPr>
      </w:pPr>
      <w:r w:rsidRPr="00CA32B3">
        <w:rPr>
          <w:rFonts w:ascii="Verdana" w:hAnsi="Verdana"/>
          <w:sz w:val="20"/>
          <w:lang w:val="es-CR"/>
        </w:rPr>
        <w:t xml:space="preserve">Adicionalmente, el Tribunal advierte que la información expuesta por el Estado respecto de la situación procesal del señor </w:t>
      </w:r>
      <w:r w:rsidR="00571E94" w:rsidRPr="00CA32B3">
        <w:rPr>
          <w:rFonts w:ascii="Verdana" w:hAnsi="Verdana"/>
          <w:sz w:val="20"/>
          <w:lang w:val="es-CR"/>
        </w:rPr>
        <w:t xml:space="preserve">B.P. </w:t>
      </w:r>
      <w:r w:rsidRPr="00CA32B3">
        <w:rPr>
          <w:rFonts w:ascii="Verdana" w:hAnsi="Verdana"/>
          <w:sz w:val="20"/>
          <w:lang w:val="es-CR"/>
        </w:rPr>
        <w:t xml:space="preserve">no permite conocer con claridad si el alegado archivo se produjo únicamente respecto del expediente penal No. 2011-0196 o también respecto de la investigación preliminar iniciada por la </w:t>
      </w:r>
      <w:r w:rsidRPr="00CA32B3">
        <w:rPr>
          <w:rFonts w:ascii="Verdana" w:hAnsi="Verdana"/>
          <w:sz w:val="20"/>
          <w:szCs w:val="18"/>
          <w:lang w:val="es-CR"/>
        </w:rPr>
        <w:t>Fiscalía Provincial Penal de Huancavelica sobre la validez de su Acta de Nacimiento (</w:t>
      </w:r>
      <w:r w:rsidRPr="00CA32B3">
        <w:rPr>
          <w:rFonts w:ascii="Verdana" w:hAnsi="Verdana"/>
          <w:i/>
          <w:sz w:val="20"/>
          <w:szCs w:val="18"/>
          <w:lang w:val="es-CR"/>
        </w:rPr>
        <w:t>supra</w:t>
      </w:r>
      <w:r w:rsidRPr="00CA32B3">
        <w:rPr>
          <w:rFonts w:ascii="Verdana" w:hAnsi="Verdana"/>
          <w:sz w:val="20"/>
          <w:szCs w:val="18"/>
          <w:lang w:val="es-CR"/>
        </w:rPr>
        <w:t xml:space="preserve"> Considerando 5), así como también se desconoce si la información examinada en dichas causas </w:t>
      </w:r>
      <w:r w:rsidR="00571E94" w:rsidRPr="00CA32B3">
        <w:rPr>
          <w:rFonts w:ascii="Verdana" w:hAnsi="Verdana"/>
          <w:sz w:val="20"/>
          <w:szCs w:val="18"/>
          <w:lang w:val="es-CR"/>
        </w:rPr>
        <w:t>se ha incorporado a</w:t>
      </w:r>
      <w:r w:rsidRPr="00CA32B3">
        <w:rPr>
          <w:rFonts w:ascii="Verdana" w:hAnsi="Verdana"/>
          <w:sz w:val="20"/>
          <w:szCs w:val="18"/>
          <w:lang w:val="es-CR"/>
        </w:rPr>
        <w:t xml:space="preserve">l material probatorio de los otros procesos penales abiertos.  </w:t>
      </w:r>
    </w:p>
    <w:p w14:paraId="4F08D27E" w14:textId="77777777" w:rsidR="004E1CED" w:rsidRPr="00CA32B3" w:rsidRDefault="004E1CED" w:rsidP="00690FE6">
      <w:pPr>
        <w:pStyle w:val="Prrafodelista"/>
        <w:suppressLineNumbers/>
        <w:rPr>
          <w:rFonts w:ascii="Verdana" w:hAnsi="Verdana"/>
          <w:sz w:val="20"/>
          <w:lang w:val="es-CR"/>
        </w:rPr>
      </w:pPr>
    </w:p>
    <w:p w14:paraId="0C5E4AA0" w14:textId="0703F2F9" w:rsidR="007B2934" w:rsidRPr="00CA32B3" w:rsidRDefault="007A68B6" w:rsidP="00690FE6">
      <w:pPr>
        <w:pStyle w:val="Prrafodelista"/>
        <w:numPr>
          <w:ilvl w:val="0"/>
          <w:numId w:val="3"/>
        </w:numPr>
        <w:suppressLineNumbers/>
        <w:autoSpaceDE w:val="0"/>
        <w:autoSpaceDN w:val="0"/>
        <w:adjustRightInd w:val="0"/>
        <w:spacing w:after="0" w:line="240" w:lineRule="auto"/>
        <w:ind w:left="0" w:firstLine="0"/>
        <w:jc w:val="both"/>
        <w:rPr>
          <w:rFonts w:ascii="Verdana" w:hAnsi="Verdana"/>
          <w:i/>
          <w:sz w:val="20"/>
          <w:szCs w:val="20"/>
        </w:rPr>
      </w:pPr>
      <w:r w:rsidRPr="00CA32B3">
        <w:rPr>
          <w:rFonts w:ascii="Verdana" w:hAnsi="Verdana"/>
          <w:sz w:val="20"/>
          <w:lang w:val="es-ES"/>
        </w:rPr>
        <w:t xml:space="preserve">A </w:t>
      </w:r>
      <w:r w:rsidR="007C1753" w:rsidRPr="00CA32B3">
        <w:rPr>
          <w:rFonts w:ascii="Verdana" w:hAnsi="Verdana"/>
          <w:sz w:val="20"/>
        </w:rPr>
        <w:t xml:space="preserve">casi </w:t>
      </w:r>
      <w:r w:rsidR="00E26323" w:rsidRPr="00CA32B3">
        <w:rPr>
          <w:rFonts w:ascii="Verdana" w:hAnsi="Verdana"/>
          <w:sz w:val="20"/>
          <w:lang w:val="es-ES"/>
        </w:rPr>
        <w:t>siete</w:t>
      </w:r>
      <w:r w:rsidR="007C1753" w:rsidRPr="00CA32B3">
        <w:rPr>
          <w:rFonts w:ascii="Verdana" w:hAnsi="Verdana"/>
          <w:sz w:val="20"/>
          <w:lang w:val="es-ES"/>
        </w:rPr>
        <w:t xml:space="preserve"> años desde la emisión de la Sentencia</w:t>
      </w:r>
      <w:r w:rsidR="007C1753" w:rsidRPr="00CA32B3">
        <w:rPr>
          <w:rFonts w:ascii="Verdana" w:hAnsi="Verdana"/>
          <w:sz w:val="20"/>
        </w:rPr>
        <w:t xml:space="preserve">, más allá de las referidas dos condenas </w:t>
      </w:r>
      <w:r w:rsidR="007C1753" w:rsidRPr="00CA32B3">
        <w:rPr>
          <w:rFonts w:ascii="Verdana" w:hAnsi="Verdana"/>
          <w:sz w:val="20"/>
          <w:lang w:val="es-ES"/>
        </w:rPr>
        <w:t>penales</w:t>
      </w:r>
      <w:r w:rsidR="00E26323" w:rsidRPr="00CA32B3">
        <w:rPr>
          <w:rFonts w:ascii="Verdana" w:hAnsi="Verdana"/>
          <w:sz w:val="20"/>
          <w:lang w:val="es-ES"/>
        </w:rPr>
        <w:t xml:space="preserve"> </w:t>
      </w:r>
      <w:r w:rsidR="00E26323" w:rsidRPr="00CA32B3">
        <w:rPr>
          <w:rFonts w:ascii="Verdana" w:hAnsi="Verdana"/>
          <w:sz w:val="20"/>
        </w:rPr>
        <w:t>(</w:t>
      </w:r>
      <w:r w:rsidR="00E26323" w:rsidRPr="00CA32B3">
        <w:rPr>
          <w:rFonts w:ascii="Verdana" w:hAnsi="Verdana"/>
          <w:i/>
          <w:sz w:val="20"/>
        </w:rPr>
        <w:t>supra</w:t>
      </w:r>
      <w:r w:rsidR="00E26323" w:rsidRPr="00CA32B3">
        <w:rPr>
          <w:rFonts w:ascii="Verdana" w:hAnsi="Verdana"/>
          <w:sz w:val="20"/>
        </w:rPr>
        <w:t xml:space="preserve"> Considerando </w:t>
      </w:r>
      <w:r w:rsidR="00EF1623" w:rsidRPr="00CA32B3">
        <w:rPr>
          <w:rFonts w:ascii="Verdana" w:hAnsi="Verdana"/>
          <w:sz w:val="20"/>
        </w:rPr>
        <w:t>8</w:t>
      </w:r>
      <w:r w:rsidR="00E26323" w:rsidRPr="00CA32B3">
        <w:rPr>
          <w:rFonts w:ascii="Verdana" w:hAnsi="Verdana"/>
          <w:sz w:val="20"/>
        </w:rPr>
        <w:t>)</w:t>
      </w:r>
      <w:r w:rsidR="007C1753" w:rsidRPr="00CA32B3">
        <w:rPr>
          <w:rFonts w:ascii="Verdana" w:hAnsi="Verdana"/>
          <w:sz w:val="20"/>
          <w:lang w:val="es-ES"/>
        </w:rPr>
        <w:t>,</w:t>
      </w:r>
      <w:r w:rsidR="007C1753" w:rsidRPr="00CA32B3">
        <w:rPr>
          <w:rFonts w:ascii="Verdana" w:hAnsi="Verdana"/>
          <w:sz w:val="20"/>
        </w:rPr>
        <w:t xml:space="preserve"> no se </w:t>
      </w:r>
      <w:r w:rsidRPr="00CA32B3">
        <w:rPr>
          <w:rFonts w:ascii="Verdana" w:hAnsi="Verdana"/>
          <w:sz w:val="20"/>
        </w:rPr>
        <w:t>ha</w:t>
      </w:r>
      <w:r w:rsidR="00EF1623" w:rsidRPr="00CA32B3">
        <w:rPr>
          <w:rFonts w:ascii="Verdana" w:hAnsi="Verdana"/>
          <w:sz w:val="20"/>
        </w:rPr>
        <w:t>n</w:t>
      </w:r>
      <w:r w:rsidRPr="00CA32B3">
        <w:rPr>
          <w:rFonts w:ascii="Verdana" w:hAnsi="Verdana"/>
          <w:sz w:val="20"/>
        </w:rPr>
        <w:t xml:space="preserve"> logrado</w:t>
      </w:r>
      <w:r w:rsidR="007C1753" w:rsidRPr="00CA32B3">
        <w:rPr>
          <w:rFonts w:ascii="Verdana" w:hAnsi="Verdana"/>
          <w:sz w:val="20"/>
        </w:rPr>
        <w:t xml:space="preserve"> determinar aun las circunstancias específicas ni la totalidad de quiénes fueron los autores materiales e intelectuales de la desaparición forzada de las quince víctimas</w:t>
      </w:r>
      <w:r w:rsidR="007C1753" w:rsidRPr="00CA32B3">
        <w:rPr>
          <w:rFonts w:ascii="Verdana" w:hAnsi="Verdana"/>
          <w:sz w:val="20"/>
          <w:lang w:val="es-ES"/>
        </w:rPr>
        <w:t xml:space="preserve">. Ello </w:t>
      </w:r>
      <w:r w:rsidR="007C1753" w:rsidRPr="00CA32B3">
        <w:rPr>
          <w:rFonts w:ascii="Verdana" w:hAnsi="Verdana"/>
          <w:sz w:val="20"/>
        </w:rPr>
        <w:t xml:space="preserve">a pesar de que se conoce que los hechos se dieron en el marco de un operativo militar en el que participaron más personas y para cuyo planeamiento y ejecución existiría una cadena de mando. </w:t>
      </w:r>
    </w:p>
    <w:p w14:paraId="15C4786B" w14:textId="77777777" w:rsidR="007B2934" w:rsidRPr="00CA32B3" w:rsidRDefault="007B2934" w:rsidP="00690FE6">
      <w:pPr>
        <w:pStyle w:val="Prrafodelista"/>
        <w:suppressLineNumbers/>
        <w:rPr>
          <w:rFonts w:ascii="Verdana" w:hAnsi="Verdana"/>
          <w:sz w:val="20"/>
          <w:lang w:val="es-CR"/>
        </w:rPr>
      </w:pPr>
    </w:p>
    <w:p w14:paraId="06C5AC28" w14:textId="671D5C69" w:rsidR="00D26DCF" w:rsidRPr="00CA32B3" w:rsidRDefault="007A68B6" w:rsidP="00690FE6">
      <w:pPr>
        <w:pStyle w:val="Prrafodelista"/>
        <w:numPr>
          <w:ilvl w:val="0"/>
          <w:numId w:val="3"/>
        </w:numPr>
        <w:suppressLineNumbers/>
        <w:autoSpaceDE w:val="0"/>
        <w:autoSpaceDN w:val="0"/>
        <w:adjustRightInd w:val="0"/>
        <w:spacing w:after="0" w:line="240" w:lineRule="auto"/>
        <w:ind w:left="0" w:firstLine="0"/>
        <w:jc w:val="both"/>
        <w:rPr>
          <w:rFonts w:ascii="Verdana" w:hAnsi="Verdana"/>
          <w:i/>
          <w:sz w:val="20"/>
          <w:szCs w:val="20"/>
        </w:rPr>
      </w:pPr>
      <w:r w:rsidRPr="00CA32B3">
        <w:rPr>
          <w:rFonts w:ascii="Verdana" w:hAnsi="Verdana"/>
          <w:sz w:val="20"/>
        </w:rPr>
        <w:t xml:space="preserve">Esta Corte ya ha referido que </w:t>
      </w:r>
      <w:r w:rsidR="007B2934" w:rsidRPr="00CA32B3">
        <w:rPr>
          <w:rFonts w:ascii="Verdana" w:hAnsi="Verdana"/>
          <w:sz w:val="20"/>
        </w:rPr>
        <w:t>una demora excesiva en la investigación puede “redund[ar] en una mayor dificultad para obtener evidencia, favoreciendo así la impunidad”</w:t>
      </w:r>
      <w:r w:rsidR="00EF1623" w:rsidRPr="00CA32B3">
        <w:rPr>
          <w:rStyle w:val="Refdenotaalpie"/>
          <w:rFonts w:ascii="Verdana" w:hAnsi="Verdana"/>
          <w:sz w:val="20"/>
        </w:rPr>
        <w:footnoteReference w:id="31"/>
      </w:r>
      <w:r w:rsidR="007B2934" w:rsidRPr="00CA32B3">
        <w:rPr>
          <w:rFonts w:ascii="Verdana" w:hAnsi="Verdana"/>
          <w:sz w:val="20"/>
        </w:rPr>
        <w:t>. En la Sentencia de este caso, al ordenar la medida de reparación bajo análisis, este Tribunal especificó que el Perú debía conducir la investigación “en un plazo razonable” (</w:t>
      </w:r>
      <w:r w:rsidR="007B2934" w:rsidRPr="00CA32B3">
        <w:rPr>
          <w:rFonts w:ascii="Verdana" w:hAnsi="Verdana"/>
          <w:i/>
          <w:sz w:val="20"/>
        </w:rPr>
        <w:t xml:space="preserve">supra </w:t>
      </w:r>
      <w:r w:rsidR="007B2934" w:rsidRPr="00CA32B3">
        <w:rPr>
          <w:rFonts w:ascii="Verdana" w:hAnsi="Verdana"/>
          <w:sz w:val="20"/>
        </w:rPr>
        <w:t>Considerando</w:t>
      </w:r>
      <w:r w:rsidR="00971BA1" w:rsidRPr="00CA32B3">
        <w:rPr>
          <w:rFonts w:ascii="Verdana" w:hAnsi="Verdana"/>
          <w:sz w:val="20"/>
        </w:rPr>
        <w:t xml:space="preserve"> </w:t>
      </w:r>
      <w:r w:rsidR="000B39BF" w:rsidRPr="00CA32B3">
        <w:rPr>
          <w:rFonts w:ascii="Verdana" w:hAnsi="Verdana"/>
          <w:sz w:val="20"/>
        </w:rPr>
        <w:t>6</w:t>
      </w:r>
      <w:r w:rsidR="007B2934" w:rsidRPr="00CA32B3">
        <w:rPr>
          <w:rFonts w:ascii="Verdana" w:hAnsi="Verdana"/>
          <w:sz w:val="20"/>
        </w:rPr>
        <w:t>)</w:t>
      </w:r>
      <w:r w:rsidR="007B2934" w:rsidRPr="00CA32B3">
        <w:rPr>
          <w:rStyle w:val="Refdenotaalpie"/>
          <w:rFonts w:ascii="Verdana" w:hAnsi="Verdana"/>
          <w:sz w:val="20"/>
        </w:rPr>
        <w:footnoteReference w:id="32"/>
      </w:r>
      <w:r w:rsidR="007B2934" w:rsidRPr="00CA32B3">
        <w:rPr>
          <w:rFonts w:ascii="Verdana" w:hAnsi="Verdana"/>
          <w:sz w:val="20"/>
        </w:rPr>
        <w:t xml:space="preserve">. </w:t>
      </w:r>
      <w:r w:rsidR="007C1753" w:rsidRPr="00CA32B3">
        <w:rPr>
          <w:rFonts w:ascii="Verdana" w:hAnsi="Verdana"/>
          <w:sz w:val="20"/>
        </w:rPr>
        <w:t>A ello s</w:t>
      </w:r>
      <w:r w:rsidR="007C1753" w:rsidRPr="00CA32B3">
        <w:rPr>
          <w:rFonts w:ascii="Verdana" w:hAnsi="Verdana"/>
          <w:sz w:val="20"/>
          <w:lang w:val="es-ES"/>
        </w:rPr>
        <w:t>e debe agregar que</w:t>
      </w:r>
      <w:r w:rsidR="008979B6" w:rsidRPr="00CA32B3">
        <w:rPr>
          <w:rFonts w:ascii="Verdana" w:hAnsi="Verdana"/>
          <w:sz w:val="20"/>
          <w:szCs w:val="20"/>
        </w:rPr>
        <w:t>, nueve años después de que la Sala Penal Nacional de la Corte Superior de Justicia de Lima dispusiera la investigación de los militares que habían sido identificados como eventualmente involucrados en la cadena de mando de los hechos (</w:t>
      </w:r>
      <w:r w:rsidR="008979B6" w:rsidRPr="00CA32B3">
        <w:rPr>
          <w:rFonts w:ascii="Verdana" w:hAnsi="Verdana"/>
          <w:i/>
          <w:sz w:val="20"/>
          <w:szCs w:val="20"/>
        </w:rPr>
        <w:t>supra</w:t>
      </w:r>
      <w:r w:rsidR="008979B6" w:rsidRPr="00CA32B3">
        <w:rPr>
          <w:rFonts w:ascii="Verdana" w:hAnsi="Verdana"/>
          <w:sz w:val="20"/>
          <w:szCs w:val="20"/>
        </w:rPr>
        <w:t xml:space="preserve"> Considerando </w:t>
      </w:r>
      <w:r w:rsidR="00971BA1" w:rsidRPr="00CA32B3">
        <w:rPr>
          <w:rFonts w:ascii="Verdana" w:hAnsi="Verdana"/>
          <w:sz w:val="20"/>
          <w:szCs w:val="20"/>
        </w:rPr>
        <w:t>4</w:t>
      </w:r>
      <w:r w:rsidR="008979B6" w:rsidRPr="00CA32B3">
        <w:rPr>
          <w:rFonts w:ascii="Verdana" w:hAnsi="Verdana"/>
          <w:sz w:val="20"/>
          <w:szCs w:val="20"/>
        </w:rPr>
        <w:t>)</w:t>
      </w:r>
      <w:r w:rsidR="008979B6" w:rsidRPr="00CA32B3">
        <w:rPr>
          <w:rFonts w:ascii="Verdana" w:hAnsi="Verdana"/>
          <w:sz w:val="20"/>
          <w:lang w:val="es-ES"/>
        </w:rPr>
        <w:t xml:space="preserve"> y</w:t>
      </w:r>
      <w:r w:rsidR="008979B6" w:rsidRPr="00CA32B3">
        <w:rPr>
          <w:rFonts w:ascii="Verdana" w:hAnsi="Verdana" w:cs="Verdana"/>
          <w:sz w:val="20"/>
          <w:szCs w:val="20"/>
          <w:lang w:val="es-ES"/>
        </w:rPr>
        <w:t xml:space="preserve"> </w:t>
      </w:r>
      <w:r w:rsidR="008979B6" w:rsidRPr="00CA32B3">
        <w:rPr>
          <w:rFonts w:ascii="Verdana" w:hAnsi="Verdana"/>
          <w:sz w:val="20"/>
        </w:rPr>
        <w:t>luego de</w:t>
      </w:r>
      <w:r w:rsidR="008979B6" w:rsidRPr="00CA32B3">
        <w:rPr>
          <w:rFonts w:ascii="Verdana" w:hAnsi="Verdana"/>
          <w:sz w:val="20"/>
          <w:lang w:val="es-ES"/>
        </w:rPr>
        <w:t>l transcurso de</w:t>
      </w:r>
      <w:r w:rsidR="008979B6" w:rsidRPr="00CA32B3">
        <w:rPr>
          <w:rFonts w:ascii="Verdana" w:hAnsi="Verdana"/>
          <w:sz w:val="20"/>
        </w:rPr>
        <w:t xml:space="preserve"> cinco años de</w:t>
      </w:r>
      <w:r w:rsidR="008979B6" w:rsidRPr="00CA32B3">
        <w:rPr>
          <w:rFonts w:ascii="Verdana" w:hAnsi="Verdana"/>
          <w:sz w:val="20"/>
          <w:lang w:val="es-ES"/>
        </w:rPr>
        <w:t>sde</w:t>
      </w:r>
      <w:r w:rsidR="008979B6" w:rsidRPr="00CA32B3">
        <w:rPr>
          <w:rFonts w:ascii="Verdana" w:hAnsi="Verdana"/>
          <w:sz w:val="20"/>
        </w:rPr>
        <w:t xml:space="preserve"> que fuera iniciada la investigación fiscal No. 01-2016</w:t>
      </w:r>
      <w:r w:rsidR="008979B6" w:rsidRPr="00CA32B3">
        <w:rPr>
          <w:rFonts w:ascii="Verdana" w:hAnsi="Verdana"/>
          <w:sz w:val="20"/>
          <w:szCs w:val="20"/>
        </w:rPr>
        <w:t xml:space="preserve">, </w:t>
      </w:r>
      <w:r w:rsidR="007C1753" w:rsidRPr="00CA32B3">
        <w:rPr>
          <w:rFonts w:ascii="Verdana" w:hAnsi="Verdana"/>
          <w:sz w:val="20"/>
        </w:rPr>
        <w:t xml:space="preserve">pareciera ser que ésta continúa en su etapa inicial sin que se hayan presentado avances significativos. </w:t>
      </w:r>
      <w:r w:rsidR="007C1753" w:rsidRPr="00CA32B3">
        <w:rPr>
          <w:rFonts w:ascii="Verdana" w:hAnsi="Verdana"/>
          <w:sz w:val="20"/>
          <w:szCs w:val="20"/>
        </w:rPr>
        <w:t xml:space="preserve"> </w:t>
      </w:r>
      <w:r w:rsidR="00203265" w:rsidRPr="00CA32B3">
        <w:rPr>
          <w:rFonts w:ascii="Verdana" w:hAnsi="Verdana"/>
          <w:sz w:val="20"/>
          <w:szCs w:val="20"/>
        </w:rPr>
        <w:t>Más aún</w:t>
      </w:r>
      <w:r w:rsidR="00BC34D4" w:rsidRPr="00CA32B3">
        <w:rPr>
          <w:rFonts w:ascii="Verdana" w:hAnsi="Verdana"/>
          <w:sz w:val="20"/>
          <w:szCs w:val="20"/>
        </w:rPr>
        <w:t xml:space="preserve">, </w:t>
      </w:r>
      <w:r w:rsidR="00BC34D4" w:rsidRPr="00CA32B3">
        <w:rPr>
          <w:rFonts w:ascii="Verdana" w:eastAsiaTheme="minorHAnsi" w:hAnsi="Verdana" w:cs="Arial"/>
          <w:sz w:val="20"/>
          <w:szCs w:val="20"/>
          <w:lang w:eastAsia="en-US"/>
        </w:rPr>
        <w:t xml:space="preserve">a la fecha no se habrían </w:t>
      </w:r>
      <w:r w:rsidR="00203265" w:rsidRPr="00CA32B3">
        <w:rPr>
          <w:rFonts w:ascii="Verdana" w:eastAsiaTheme="minorHAnsi" w:hAnsi="Verdana" w:cs="Arial"/>
          <w:sz w:val="20"/>
          <w:szCs w:val="20"/>
          <w:lang w:eastAsia="en-US"/>
        </w:rPr>
        <w:t>recibido</w:t>
      </w:r>
      <w:r w:rsidR="00BC34D4" w:rsidRPr="00CA32B3">
        <w:rPr>
          <w:rFonts w:ascii="Verdana" w:eastAsiaTheme="minorHAnsi" w:hAnsi="Verdana" w:cs="Arial"/>
          <w:sz w:val="20"/>
          <w:szCs w:val="20"/>
          <w:lang w:eastAsia="en-US"/>
        </w:rPr>
        <w:t xml:space="preserve"> las declaraciones indagatorias de los imputados como </w:t>
      </w:r>
      <w:r w:rsidR="00C225AF" w:rsidRPr="00CA32B3">
        <w:rPr>
          <w:rFonts w:ascii="Verdana" w:eastAsiaTheme="minorHAnsi" w:hAnsi="Verdana" w:cs="Arial"/>
          <w:sz w:val="20"/>
          <w:szCs w:val="20"/>
          <w:lang w:eastAsia="en-US"/>
        </w:rPr>
        <w:t xml:space="preserve">presuntos </w:t>
      </w:r>
      <w:r w:rsidR="00BC34D4" w:rsidRPr="00CA32B3">
        <w:rPr>
          <w:rFonts w:ascii="Verdana" w:eastAsiaTheme="minorHAnsi" w:hAnsi="Verdana" w:cs="Arial"/>
          <w:sz w:val="20"/>
          <w:szCs w:val="20"/>
          <w:lang w:eastAsia="en-US"/>
        </w:rPr>
        <w:t xml:space="preserve">autores intelectuales de </w:t>
      </w:r>
      <w:r w:rsidR="00C225AF" w:rsidRPr="00CA32B3">
        <w:rPr>
          <w:rFonts w:ascii="Verdana" w:eastAsiaTheme="minorHAnsi" w:hAnsi="Verdana" w:cs="Arial"/>
          <w:sz w:val="20"/>
          <w:szCs w:val="20"/>
          <w:lang w:eastAsia="en-US"/>
        </w:rPr>
        <w:t>los hechos</w:t>
      </w:r>
      <w:r w:rsidR="00BC34D4" w:rsidRPr="00CA32B3">
        <w:rPr>
          <w:rFonts w:ascii="Verdana" w:eastAsiaTheme="minorHAnsi" w:hAnsi="Verdana" w:cs="Arial"/>
          <w:sz w:val="20"/>
          <w:szCs w:val="20"/>
          <w:lang w:eastAsia="en-US"/>
        </w:rPr>
        <w:t xml:space="preserve">. </w:t>
      </w:r>
      <w:r w:rsidR="008979B6" w:rsidRPr="00CA32B3">
        <w:rPr>
          <w:rFonts w:ascii="Verdana" w:hAnsi="Verdana"/>
          <w:sz w:val="20"/>
          <w:szCs w:val="20"/>
          <w:lang w:val="es-ES"/>
        </w:rPr>
        <w:t xml:space="preserve">Por tanto, es necesario que el Perú </w:t>
      </w:r>
      <w:r w:rsidR="008979B6" w:rsidRPr="00CA32B3">
        <w:rPr>
          <w:rFonts w:ascii="Verdana" w:hAnsi="Verdana"/>
          <w:sz w:val="20"/>
          <w:szCs w:val="20"/>
        </w:rPr>
        <w:t>se refiera de manera actualizada y detallada al estado en el que se encuentra actualmente la investigación fiscal N° 01-16, las diligencias que se han llevado a cabo, el plan de trabajo fiscal y el cronograma de las diligencias planificadas.</w:t>
      </w:r>
      <w:r w:rsidR="008979B6" w:rsidRPr="00CA32B3">
        <w:rPr>
          <w:rFonts w:ascii="Verdana" w:hAnsi="Verdana"/>
          <w:sz w:val="20"/>
          <w:szCs w:val="20"/>
          <w:lang w:val="es-ES"/>
        </w:rPr>
        <w:t xml:space="preserve"> </w:t>
      </w:r>
      <w:r w:rsidR="008979B6" w:rsidRPr="00CA32B3">
        <w:rPr>
          <w:rFonts w:ascii="Verdana" w:hAnsi="Verdana"/>
          <w:sz w:val="20"/>
          <w:szCs w:val="20"/>
        </w:rPr>
        <w:t>Resulta imprescindible que el Estado intensifique sus esfuerzos y adopte medidas concretas para avanzar, con la debida diligencia y celeridad, en el trámite de esta investigación, así como que remita información actualizada y detallada al respecto.</w:t>
      </w:r>
    </w:p>
    <w:p w14:paraId="007C5365" w14:textId="77777777" w:rsidR="00D26DCF" w:rsidRPr="00CA32B3" w:rsidRDefault="00D26DCF" w:rsidP="00690FE6">
      <w:pPr>
        <w:pStyle w:val="Prrafodelista"/>
        <w:suppressLineNumbers/>
        <w:autoSpaceDE w:val="0"/>
        <w:autoSpaceDN w:val="0"/>
        <w:adjustRightInd w:val="0"/>
        <w:spacing w:after="0" w:line="240" w:lineRule="auto"/>
        <w:ind w:left="0"/>
        <w:jc w:val="both"/>
        <w:rPr>
          <w:rFonts w:ascii="Verdana" w:hAnsi="Verdana"/>
          <w:i/>
          <w:sz w:val="20"/>
          <w:szCs w:val="20"/>
          <w:lang w:val="es-CR"/>
        </w:rPr>
      </w:pPr>
    </w:p>
    <w:p w14:paraId="758A5AA3" w14:textId="7D2EEF13" w:rsidR="007C1753" w:rsidRPr="00CA32B3" w:rsidRDefault="00E853D7" w:rsidP="00690FE6">
      <w:pPr>
        <w:pStyle w:val="Prrafodelista"/>
        <w:numPr>
          <w:ilvl w:val="0"/>
          <w:numId w:val="3"/>
        </w:numPr>
        <w:suppressLineNumbers/>
        <w:autoSpaceDE w:val="0"/>
        <w:autoSpaceDN w:val="0"/>
        <w:adjustRightInd w:val="0"/>
        <w:spacing w:after="0" w:line="240" w:lineRule="auto"/>
        <w:ind w:left="0" w:firstLine="0"/>
        <w:jc w:val="both"/>
        <w:rPr>
          <w:rFonts w:ascii="Verdana" w:hAnsi="Verdana"/>
          <w:sz w:val="20"/>
          <w:szCs w:val="20"/>
        </w:rPr>
      </w:pPr>
      <w:r w:rsidRPr="00CA32B3">
        <w:rPr>
          <w:rFonts w:ascii="Verdana" w:hAnsi="Verdana"/>
          <w:sz w:val="20"/>
          <w:szCs w:val="20"/>
        </w:rPr>
        <w:t>En lo que respecta a la objeción de los representantes sobre el tipo penal aplicable en los procesos penales internos</w:t>
      </w:r>
      <w:r w:rsidR="00A56188" w:rsidRPr="00CA32B3">
        <w:rPr>
          <w:rStyle w:val="Refdenotaalpie"/>
          <w:rFonts w:ascii="Verdana" w:hAnsi="Verdana"/>
          <w:sz w:val="20"/>
        </w:rPr>
        <w:footnoteReference w:id="33"/>
      </w:r>
      <w:r w:rsidR="008979B6" w:rsidRPr="00CA32B3">
        <w:rPr>
          <w:rFonts w:ascii="Verdana" w:hAnsi="Verdana"/>
          <w:sz w:val="20"/>
          <w:szCs w:val="20"/>
        </w:rPr>
        <w:t xml:space="preserve"> (</w:t>
      </w:r>
      <w:r w:rsidR="008979B6" w:rsidRPr="00CA32B3">
        <w:rPr>
          <w:rFonts w:ascii="Verdana" w:hAnsi="Verdana"/>
          <w:i/>
          <w:sz w:val="20"/>
          <w:szCs w:val="20"/>
        </w:rPr>
        <w:t xml:space="preserve">supra </w:t>
      </w:r>
      <w:r w:rsidR="008979B6" w:rsidRPr="00CA32B3">
        <w:rPr>
          <w:rFonts w:ascii="Verdana" w:hAnsi="Verdana"/>
          <w:sz w:val="20"/>
          <w:szCs w:val="20"/>
        </w:rPr>
        <w:t xml:space="preserve">Considerando </w:t>
      </w:r>
      <w:r w:rsidR="00E87D8F" w:rsidRPr="00CA32B3">
        <w:rPr>
          <w:rFonts w:ascii="Verdana" w:hAnsi="Verdana"/>
          <w:sz w:val="20"/>
          <w:szCs w:val="20"/>
        </w:rPr>
        <w:t>12</w:t>
      </w:r>
      <w:r w:rsidR="008979B6" w:rsidRPr="00CA32B3">
        <w:rPr>
          <w:rFonts w:ascii="Verdana" w:hAnsi="Verdana"/>
          <w:sz w:val="20"/>
          <w:szCs w:val="20"/>
        </w:rPr>
        <w:t>)</w:t>
      </w:r>
      <w:r w:rsidRPr="00CA32B3">
        <w:rPr>
          <w:rFonts w:ascii="Verdana" w:hAnsi="Verdana"/>
          <w:sz w:val="20"/>
          <w:szCs w:val="20"/>
        </w:rPr>
        <w:t xml:space="preserve">, </w:t>
      </w:r>
      <w:r w:rsidR="00E87D8F" w:rsidRPr="00CA32B3">
        <w:rPr>
          <w:rFonts w:ascii="Verdana" w:hAnsi="Verdana"/>
          <w:sz w:val="20"/>
          <w:szCs w:val="20"/>
        </w:rPr>
        <w:t xml:space="preserve">la Corte recuerda que </w:t>
      </w:r>
      <w:r w:rsidR="00C225AF" w:rsidRPr="00CA32B3">
        <w:rPr>
          <w:rFonts w:ascii="Verdana" w:hAnsi="Verdana"/>
          <w:sz w:val="20"/>
          <w:szCs w:val="20"/>
        </w:rPr>
        <w:t xml:space="preserve">en la </w:t>
      </w:r>
      <w:r w:rsidR="00C225AF" w:rsidRPr="00CA32B3">
        <w:rPr>
          <w:rFonts w:ascii="Verdana" w:hAnsi="Verdana"/>
          <w:sz w:val="20"/>
          <w:szCs w:val="20"/>
        </w:rPr>
        <w:lastRenderedPageBreak/>
        <w:t xml:space="preserve">Sentencia de interpretación </w:t>
      </w:r>
      <w:r w:rsidR="00E95F0A" w:rsidRPr="00CA32B3">
        <w:rPr>
          <w:rFonts w:ascii="Verdana" w:hAnsi="Verdana"/>
          <w:sz w:val="20"/>
          <w:szCs w:val="20"/>
        </w:rPr>
        <w:t>s</w:t>
      </w:r>
      <w:r w:rsidR="00C225AF" w:rsidRPr="00CA32B3">
        <w:rPr>
          <w:rFonts w:ascii="Verdana" w:hAnsi="Verdana"/>
          <w:sz w:val="20"/>
          <w:szCs w:val="20"/>
        </w:rPr>
        <w:t xml:space="preserve">e refirió a la solicitud del Estado respecto a </w:t>
      </w:r>
      <w:r w:rsidR="00861763" w:rsidRPr="00CA32B3">
        <w:rPr>
          <w:rFonts w:ascii="Verdana" w:hAnsi="Verdana"/>
          <w:sz w:val="20"/>
          <w:szCs w:val="17"/>
        </w:rPr>
        <w:t xml:space="preserve">si la decisión de continuar las investigaciones internas </w:t>
      </w:r>
      <w:r w:rsidR="00325430" w:rsidRPr="00CA32B3">
        <w:rPr>
          <w:rFonts w:ascii="Verdana" w:hAnsi="Verdana"/>
          <w:sz w:val="20"/>
          <w:szCs w:val="17"/>
        </w:rPr>
        <w:t xml:space="preserve">bajo la figura penal </w:t>
      </w:r>
      <w:r w:rsidR="00861763" w:rsidRPr="00CA32B3">
        <w:rPr>
          <w:rFonts w:ascii="Verdana" w:hAnsi="Verdana"/>
          <w:sz w:val="20"/>
          <w:szCs w:val="17"/>
        </w:rPr>
        <w:t xml:space="preserve">del delito de homicidio calificado contravendría lo dispuesto </w:t>
      </w:r>
      <w:r w:rsidR="00861763" w:rsidRPr="00CA32B3">
        <w:rPr>
          <w:rFonts w:ascii="Verdana" w:hAnsi="Verdana"/>
          <w:sz w:val="20"/>
          <w:szCs w:val="20"/>
        </w:rPr>
        <w:t>en el punto resolutivo décimo de la Sentencia</w:t>
      </w:r>
      <w:r w:rsidR="00861763" w:rsidRPr="00CA32B3">
        <w:rPr>
          <w:rFonts w:ascii="Verdana" w:hAnsi="Verdana"/>
          <w:sz w:val="20"/>
          <w:szCs w:val="20"/>
          <w:lang w:val="es-ES"/>
        </w:rPr>
        <w:t xml:space="preserve"> </w:t>
      </w:r>
      <w:r w:rsidR="00861763" w:rsidRPr="00CA32B3">
        <w:rPr>
          <w:rFonts w:ascii="Verdana" w:hAnsi="Verdana"/>
          <w:sz w:val="20"/>
          <w:szCs w:val="17"/>
        </w:rPr>
        <w:t>(</w:t>
      </w:r>
      <w:r w:rsidR="00861763" w:rsidRPr="00CA32B3">
        <w:rPr>
          <w:rFonts w:ascii="Verdana" w:hAnsi="Verdana"/>
          <w:i/>
          <w:sz w:val="20"/>
          <w:szCs w:val="17"/>
        </w:rPr>
        <w:t>supra</w:t>
      </w:r>
      <w:r w:rsidR="00861763" w:rsidRPr="00CA32B3">
        <w:rPr>
          <w:rFonts w:ascii="Verdana" w:hAnsi="Verdana"/>
          <w:sz w:val="20"/>
          <w:szCs w:val="17"/>
        </w:rPr>
        <w:t xml:space="preserve"> Visto </w:t>
      </w:r>
      <w:r w:rsidR="00861763" w:rsidRPr="00CA32B3">
        <w:rPr>
          <w:rFonts w:ascii="Verdana" w:hAnsi="Verdana"/>
          <w:sz w:val="20"/>
          <w:szCs w:val="17"/>
          <w:lang w:val="es-ES"/>
        </w:rPr>
        <w:t>2</w:t>
      </w:r>
      <w:r w:rsidR="00861763" w:rsidRPr="00CA32B3">
        <w:rPr>
          <w:rFonts w:ascii="Verdana" w:hAnsi="Verdana"/>
          <w:sz w:val="20"/>
          <w:szCs w:val="17"/>
        </w:rPr>
        <w:t>)</w:t>
      </w:r>
      <w:r w:rsidR="00C225AF" w:rsidRPr="00CA32B3">
        <w:rPr>
          <w:rFonts w:ascii="Verdana" w:hAnsi="Verdana"/>
          <w:sz w:val="20"/>
          <w:szCs w:val="20"/>
        </w:rPr>
        <w:t>. E</w:t>
      </w:r>
      <w:r w:rsidR="00861763" w:rsidRPr="00CA32B3">
        <w:rPr>
          <w:rFonts w:ascii="Verdana" w:hAnsi="Verdana"/>
          <w:sz w:val="20"/>
          <w:szCs w:val="20"/>
        </w:rPr>
        <w:t xml:space="preserve">l Tribunal </w:t>
      </w:r>
      <w:r w:rsidR="00861763" w:rsidRPr="00CA32B3">
        <w:rPr>
          <w:rFonts w:ascii="Verdana" w:hAnsi="Verdana"/>
          <w:sz w:val="20"/>
          <w:szCs w:val="17"/>
        </w:rPr>
        <w:t>indicó que, “dado que la figura delictiva a utilizarse dependerá de los hechos específicos de cada causa concreta bajo estudio, el efectivo desarrollo de la investigación y eventual sanción de los responsables es materia del procedimiento de supervisión de cumplimiento de la Sentencia”</w:t>
      </w:r>
      <w:r w:rsidR="00861763" w:rsidRPr="00CA32B3">
        <w:rPr>
          <w:rStyle w:val="Refdenotaalpie"/>
          <w:rFonts w:ascii="Verdana" w:hAnsi="Verdana"/>
          <w:sz w:val="20"/>
          <w:szCs w:val="17"/>
        </w:rPr>
        <w:footnoteReference w:id="34"/>
      </w:r>
      <w:r w:rsidR="00861763" w:rsidRPr="00CA32B3">
        <w:rPr>
          <w:rFonts w:ascii="Verdana" w:hAnsi="Verdana"/>
          <w:sz w:val="20"/>
          <w:szCs w:val="17"/>
        </w:rPr>
        <w:t>.</w:t>
      </w:r>
      <w:r w:rsidRPr="00CA32B3">
        <w:rPr>
          <w:rFonts w:ascii="Verdana" w:hAnsi="Verdana"/>
          <w:sz w:val="20"/>
          <w:szCs w:val="17"/>
        </w:rPr>
        <w:t xml:space="preserve"> </w:t>
      </w:r>
      <w:r w:rsidR="00C225AF" w:rsidRPr="00CA32B3">
        <w:rPr>
          <w:rFonts w:ascii="Verdana" w:hAnsi="Verdana"/>
          <w:sz w:val="20"/>
          <w:szCs w:val="17"/>
        </w:rPr>
        <w:t xml:space="preserve">En la etapa de supervisión de cumplimiento de sentencia, el Perú </w:t>
      </w:r>
      <w:r w:rsidR="0047183B" w:rsidRPr="00CA32B3">
        <w:rPr>
          <w:rFonts w:ascii="Verdana" w:hAnsi="Verdana" w:cs="Arial"/>
          <w:iCs/>
          <w:sz w:val="20"/>
          <w:szCs w:val="18"/>
        </w:rPr>
        <w:t xml:space="preserve">no explicó </w:t>
      </w:r>
      <w:r w:rsidR="00BC34D4" w:rsidRPr="00CA32B3">
        <w:rPr>
          <w:rFonts w:ascii="Verdana" w:hAnsi="Verdana" w:cs="Arial"/>
          <w:iCs/>
          <w:sz w:val="20"/>
          <w:szCs w:val="18"/>
        </w:rPr>
        <w:t>los motivos por los cuales</w:t>
      </w:r>
      <w:r w:rsidR="0047183B" w:rsidRPr="00CA32B3">
        <w:rPr>
          <w:rFonts w:ascii="Verdana" w:hAnsi="Verdana" w:cs="Arial"/>
          <w:iCs/>
          <w:sz w:val="20"/>
          <w:szCs w:val="18"/>
        </w:rPr>
        <w:t xml:space="preserve"> la Sala Penal Nacional y la Cuarta Fiscalía Supraprovincial han omitido encuadrar los hechos bajo </w:t>
      </w:r>
      <w:r w:rsidR="002B525F" w:rsidRPr="00CA32B3">
        <w:rPr>
          <w:rFonts w:ascii="Verdana" w:hAnsi="Verdana" w:cs="Arial"/>
          <w:iCs/>
          <w:sz w:val="20"/>
          <w:szCs w:val="18"/>
        </w:rPr>
        <w:t xml:space="preserve">el tipo penal de </w:t>
      </w:r>
      <w:r w:rsidR="0047183B" w:rsidRPr="00CA32B3">
        <w:rPr>
          <w:rFonts w:ascii="Verdana" w:hAnsi="Verdana" w:cs="Arial"/>
          <w:iCs/>
          <w:sz w:val="20"/>
          <w:szCs w:val="18"/>
        </w:rPr>
        <w:t xml:space="preserve">desaparición forzada, </w:t>
      </w:r>
      <w:r w:rsidR="00EF4D0C" w:rsidRPr="00CA32B3">
        <w:rPr>
          <w:rFonts w:ascii="Verdana" w:hAnsi="Verdana"/>
          <w:sz w:val="20"/>
          <w:szCs w:val="18"/>
        </w:rPr>
        <w:t xml:space="preserve">lo cual </w:t>
      </w:r>
      <w:r w:rsidR="002B525F" w:rsidRPr="00CA32B3">
        <w:rPr>
          <w:rFonts w:ascii="Verdana" w:hAnsi="Verdana"/>
          <w:sz w:val="20"/>
          <w:szCs w:val="18"/>
        </w:rPr>
        <w:t>tampoco consta en la sentencia penal aportada</w:t>
      </w:r>
      <w:r w:rsidR="00EF4D0C" w:rsidRPr="00CA32B3">
        <w:rPr>
          <w:rFonts w:ascii="Verdana" w:hAnsi="Verdana"/>
          <w:sz w:val="20"/>
          <w:szCs w:val="18"/>
        </w:rPr>
        <w:t>,</w:t>
      </w:r>
      <w:r w:rsidR="00EF4D0C" w:rsidRPr="00CA32B3">
        <w:rPr>
          <w:rFonts w:ascii="Verdana" w:hAnsi="Verdana"/>
          <w:b/>
          <w:sz w:val="20"/>
          <w:szCs w:val="18"/>
        </w:rPr>
        <w:t xml:space="preserve"> </w:t>
      </w:r>
      <w:r w:rsidR="0047183B" w:rsidRPr="00CA32B3">
        <w:rPr>
          <w:rFonts w:ascii="Verdana" w:hAnsi="Verdana" w:cs="Arial"/>
          <w:iCs/>
          <w:sz w:val="20"/>
          <w:szCs w:val="18"/>
        </w:rPr>
        <w:t xml:space="preserve">a pesar de </w:t>
      </w:r>
      <w:r w:rsidR="0047183B" w:rsidRPr="00CA32B3">
        <w:rPr>
          <w:rFonts w:ascii="Verdana" w:hAnsi="Verdana" w:cs="Arial"/>
          <w:iCs/>
          <w:sz w:val="20"/>
          <w:szCs w:val="18"/>
          <w:lang w:val="es-ES"/>
        </w:rPr>
        <w:t xml:space="preserve">que </w:t>
      </w:r>
      <w:r w:rsidR="00EF4D0C" w:rsidRPr="00CA32B3">
        <w:rPr>
          <w:rFonts w:ascii="Verdana" w:hAnsi="Verdana" w:cs="Arial"/>
          <w:iCs/>
          <w:sz w:val="20"/>
          <w:szCs w:val="18"/>
          <w:lang w:val="es-ES"/>
        </w:rPr>
        <w:t xml:space="preserve">se trata de un delito de ejecución permanente y </w:t>
      </w:r>
      <w:r w:rsidR="002B525F" w:rsidRPr="00CA32B3">
        <w:rPr>
          <w:rFonts w:ascii="Verdana" w:hAnsi="Verdana" w:cs="Arial"/>
          <w:iCs/>
          <w:sz w:val="20"/>
          <w:szCs w:val="18"/>
          <w:lang w:val="es-ES"/>
        </w:rPr>
        <w:t>que estaba tipificado</w:t>
      </w:r>
      <w:r w:rsidR="00E1545A" w:rsidRPr="00CA32B3">
        <w:rPr>
          <w:rFonts w:ascii="Verdana" w:hAnsi="Verdana" w:cs="Arial"/>
          <w:iCs/>
          <w:sz w:val="20"/>
          <w:szCs w:val="18"/>
          <w:lang w:val="es-ES"/>
        </w:rPr>
        <w:t xml:space="preserve"> </w:t>
      </w:r>
      <w:r w:rsidR="00EF4D0C" w:rsidRPr="00CA32B3">
        <w:rPr>
          <w:rFonts w:ascii="Verdana" w:hAnsi="Verdana" w:cs="Arial"/>
          <w:iCs/>
          <w:sz w:val="20"/>
          <w:szCs w:val="18"/>
          <w:lang w:val="es-ES"/>
        </w:rPr>
        <w:t xml:space="preserve">al momento de </w:t>
      </w:r>
      <w:r w:rsidR="00E87D8F" w:rsidRPr="00CA32B3">
        <w:rPr>
          <w:rFonts w:ascii="Verdana" w:hAnsi="Verdana" w:cs="Arial"/>
          <w:iCs/>
          <w:sz w:val="20"/>
          <w:szCs w:val="18"/>
          <w:lang w:val="es-ES"/>
        </w:rPr>
        <w:t xml:space="preserve">la </w:t>
      </w:r>
      <w:r w:rsidR="00EF4D0C" w:rsidRPr="00CA32B3">
        <w:rPr>
          <w:rFonts w:ascii="Verdana" w:hAnsi="Verdana" w:cs="Arial"/>
          <w:iCs/>
          <w:sz w:val="20"/>
          <w:szCs w:val="18"/>
          <w:lang w:val="es-ES"/>
        </w:rPr>
        <w:t>ap</w:t>
      </w:r>
      <w:r w:rsidR="002B525F" w:rsidRPr="00CA32B3">
        <w:rPr>
          <w:rFonts w:ascii="Verdana" w:hAnsi="Verdana" w:cs="Arial"/>
          <w:iCs/>
          <w:sz w:val="20"/>
          <w:szCs w:val="18"/>
          <w:lang w:val="es-ES"/>
        </w:rPr>
        <w:t>ertura de las investigaciones</w:t>
      </w:r>
      <w:r w:rsidR="00593A0D" w:rsidRPr="00CA32B3">
        <w:rPr>
          <w:rFonts w:ascii="Verdana" w:hAnsi="Verdana" w:cs="Arial"/>
          <w:iCs/>
          <w:sz w:val="20"/>
          <w:szCs w:val="18"/>
          <w:lang w:val="es-ES"/>
        </w:rPr>
        <w:t>.</w:t>
      </w:r>
      <w:r w:rsidR="00C225AF" w:rsidRPr="00CA32B3">
        <w:rPr>
          <w:rFonts w:ascii="Verdana" w:hAnsi="Verdana" w:cs="Arial"/>
          <w:iCs/>
          <w:sz w:val="20"/>
          <w:szCs w:val="18"/>
          <w:lang w:val="es-ES"/>
        </w:rPr>
        <w:t xml:space="preserve"> </w:t>
      </w:r>
      <w:r w:rsidR="00C225AF" w:rsidRPr="00CA32B3">
        <w:rPr>
          <w:rFonts w:ascii="Verdana" w:hAnsi="Verdana"/>
          <w:sz w:val="20"/>
          <w:szCs w:val="17"/>
        </w:rPr>
        <w:t>Sin embargo</w:t>
      </w:r>
      <w:r w:rsidRPr="00CA32B3">
        <w:rPr>
          <w:rFonts w:ascii="Verdana" w:hAnsi="Verdana"/>
          <w:sz w:val="20"/>
          <w:szCs w:val="17"/>
        </w:rPr>
        <w:t>, la Corte observa que, independi</w:t>
      </w:r>
      <w:r w:rsidR="00861763" w:rsidRPr="00CA32B3">
        <w:rPr>
          <w:rFonts w:ascii="Verdana" w:hAnsi="Verdana" w:cs="Verdana"/>
          <w:sz w:val="20"/>
          <w:szCs w:val="20"/>
        </w:rPr>
        <w:t>ente</w:t>
      </w:r>
      <w:r w:rsidR="00861763" w:rsidRPr="00CA32B3">
        <w:rPr>
          <w:rFonts w:ascii="Verdana" w:hAnsi="Verdana" w:cs="Verdana"/>
          <w:sz w:val="20"/>
          <w:szCs w:val="20"/>
          <w:lang w:val="es-ES"/>
        </w:rPr>
        <w:t>mente</w:t>
      </w:r>
      <w:r w:rsidR="00861763" w:rsidRPr="00CA32B3">
        <w:rPr>
          <w:rFonts w:ascii="Verdana" w:hAnsi="Verdana" w:cs="Verdana"/>
          <w:sz w:val="20"/>
          <w:szCs w:val="20"/>
        </w:rPr>
        <w:t xml:space="preserve"> del </w:t>
      </w:r>
      <w:r w:rsidR="00861763" w:rsidRPr="00CA32B3">
        <w:rPr>
          <w:rFonts w:ascii="Verdana" w:hAnsi="Verdana" w:cs="Verdana"/>
          <w:i/>
          <w:iCs/>
          <w:sz w:val="20"/>
          <w:szCs w:val="20"/>
        </w:rPr>
        <w:t xml:space="preserve">nomen iuris </w:t>
      </w:r>
      <w:r w:rsidR="00861763" w:rsidRPr="00CA32B3">
        <w:rPr>
          <w:rFonts w:ascii="Verdana" w:hAnsi="Verdana" w:cs="Verdana"/>
          <w:sz w:val="20"/>
          <w:szCs w:val="20"/>
        </w:rPr>
        <w:t xml:space="preserve">imputado, </w:t>
      </w:r>
      <w:r w:rsidR="00E1545A" w:rsidRPr="00CA32B3">
        <w:rPr>
          <w:rFonts w:ascii="Verdana" w:hAnsi="Verdana" w:cs="Verdana"/>
          <w:sz w:val="20"/>
          <w:szCs w:val="20"/>
        </w:rPr>
        <w:t xml:space="preserve">en los procesos penales que culminaron en sentencias firmes se han investigado </w:t>
      </w:r>
      <w:r w:rsidR="00861763" w:rsidRPr="00CA32B3">
        <w:rPr>
          <w:rFonts w:ascii="Verdana" w:hAnsi="Verdana" w:cs="Verdana"/>
          <w:sz w:val="20"/>
          <w:szCs w:val="20"/>
        </w:rPr>
        <w:t xml:space="preserve">circunstancias fácticas </w:t>
      </w:r>
      <w:r w:rsidR="00E1545A" w:rsidRPr="00CA32B3">
        <w:rPr>
          <w:rFonts w:ascii="Verdana" w:hAnsi="Verdana" w:cs="Verdana"/>
          <w:sz w:val="20"/>
          <w:szCs w:val="20"/>
        </w:rPr>
        <w:t xml:space="preserve">que toman en cuenta los </w:t>
      </w:r>
      <w:r w:rsidR="00861763" w:rsidRPr="00CA32B3">
        <w:rPr>
          <w:rFonts w:ascii="Verdana" w:hAnsi="Verdana" w:cs="Verdana"/>
          <w:sz w:val="20"/>
          <w:szCs w:val="20"/>
        </w:rPr>
        <w:t>elementos propios de la desaparición forzada</w:t>
      </w:r>
      <w:r w:rsidR="00861763" w:rsidRPr="00CA32B3">
        <w:rPr>
          <w:rStyle w:val="Refdenotaalpie"/>
          <w:rFonts w:ascii="Verdana" w:hAnsi="Verdana" w:cs="Verdana"/>
          <w:sz w:val="20"/>
          <w:szCs w:val="20"/>
        </w:rPr>
        <w:footnoteReference w:id="35"/>
      </w:r>
      <w:r w:rsidR="00E87D8F" w:rsidRPr="00CA32B3">
        <w:rPr>
          <w:rFonts w:ascii="Verdana" w:hAnsi="Verdana" w:cs="Verdana"/>
          <w:sz w:val="20"/>
          <w:szCs w:val="20"/>
        </w:rPr>
        <w:t>. Aunado a lo anterior, también advierte que,</w:t>
      </w:r>
      <w:r w:rsidR="00E1545A" w:rsidRPr="00CA32B3">
        <w:rPr>
          <w:rFonts w:ascii="Verdana" w:hAnsi="Verdana" w:cs="Verdana"/>
          <w:sz w:val="20"/>
          <w:szCs w:val="20"/>
        </w:rPr>
        <w:t xml:space="preserve"> aun cuando </w:t>
      </w:r>
      <w:r w:rsidR="00861763" w:rsidRPr="00CA32B3">
        <w:rPr>
          <w:rFonts w:ascii="Verdana" w:hAnsi="Verdana" w:cs="Arial"/>
          <w:sz w:val="20"/>
          <w:szCs w:val="20"/>
          <w:lang w:val="es-CR" w:eastAsia="es-CR"/>
        </w:rPr>
        <w:t>no se condenó a</w:t>
      </w:r>
      <w:r w:rsidR="0066221A" w:rsidRPr="00CA32B3">
        <w:rPr>
          <w:rFonts w:ascii="Verdana" w:hAnsi="Verdana"/>
          <w:sz w:val="20"/>
          <w:szCs w:val="20"/>
        </w:rPr>
        <w:t xml:space="preserve"> los señores Carrera Gonzáles y Bendezú Vargas </w:t>
      </w:r>
      <w:r w:rsidR="00861763" w:rsidRPr="00CA32B3">
        <w:rPr>
          <w:rFonts w:ascii="Verdana" w:hAnsi="Verdana" w:cs="Arial"/>
          <w:sz w:val="20"/>
          <w:szCs w:val="20"/>
          <w:lang w:val="es-CR" w:eastAsia="es-CR"/>
        </w:rPr>
        <w:t xml:space="preserve">por el </w:t>
      </w:r>
      <w:r w:rsidR="0066221A" w:rsidRPr="00CA32B3">
        <w:rPr>
          <w:rFonts w:ascii="Verdana" w:hAnsi="Verdana" w:cs="Arial"/>
          <w:sz w:val="20"/>
          <w:szCs w:val="20"/>
          <w:lang w:val="es-CR" w:eastAsia="es-CR"/>
        </w:rPr>
        <w:t>delito de desaparición forzada,</w:t>
      </w:r>
      <w:r w:rsidR="00861763" w:rsidRPr="00CA32B3">
        <w:rPr>
          <w:rFonts w:ascii="Verdana" w:hAnsi="Verdana"/>
          <w:sz w:val="20"/>
          <w:szCs w:val="20"/>
        </w:rPr>
        <w:t xml:space="preserve"> </w:t>
      </w:r>
      <w:r w:rsidR="00E87D8F" w:rsidRPr="00CA32B3">
        <w:rPr>
          <w:rFonts w:ascii="Verdana" w:hAnsi="Verdana"/>
          <w:sz w:val="20"/>
          <w:szCs w:val="20"/>
        </w:rPr>
        <w:t xml:space="preserve">sí </w:t>
      </w:r>
      <w:r w:rsidR="007522D2" w:rsidRPr="00CA32B3">
        <w:rPr>
          <w:rFonts w:ascii="Verdana" w:hAnsi="Verdana"/>
          <w:sz w:val="20"/>
          <w:szCs w:val="20"/>
        </w:rPr>
        <w:t>se les condenó</w:t>
      </w:r>
      <w:r w:rsidR="009870F1" w:rsidRPr="00CA32B3">
        <w:rPr>
          <w:rFonts w:ascii="Verdana" w:hAnsi="Verdana"/>
          <w:sz w:val="20"/>
          <w:szCs w:val="20"/>
        </w:rPr>
        <w:t xml:space="preserve"> como autores m</w:t>
      </w:r>
      <w:r w:rsidR="00E87D8F" w:rsidRPr="00CA32B3">
        <w:rPr>
          <w:rFonts w:ascii="Verdana" w:hAnsi="Verdana"/>
          <w:sz w:val="20"/>
          <w:szCs w:val="20"/>
        </w:rPr>
        <w:t>ateriales de homicidio agravado,</w:t>
      </w:r>
      <w:r w:rsidR="009870F1" w:rsidRPr="00CA32B3">
        <w:rPr>
          <w:rFonts w:ascii="Verdana" w:hAnsi="Verdana"/>
          <w:sz w:val="20"/>
          <w:szCs w:val="20"/>
        </w:rPr>
        <w:t xml:space="preserve"> </w:t>
      </w:r>
      <w:r w:rsidR="00861763" w:rsidRPr="00CA32B3">
        <w:rPr>
          <w:rFonts w:ascii="Verdana" w:hAnsi="Verdana"/>
          <w:sz w:val="20"/>
          <w:szCs w:val="20"/>
        </w:rPr>
        <w:t xml:space="preserve">la Sala Penal Nacional calificó los hechos del Operativo </w:t>
      </w:r>
      <w:r w:rsidR="00203265" w:rsidRPr="00CA32B3">
        <w:rPr>
          <w:rFonts w:ascii="Verdana" w:hAnsi="Verdana"/>
          <w:sz w:val="20"/>
          <w:szCs w:val="20"/>
        </w:rPr>
        <w:t>‘Apolonia’</w:t>
      </w:r>
      <w:r w:rsidR="00861763" w:rsidRPr="00CA32B3">
        <w:rPr>
          <w:rFonts w:ascii="Verdana" w:hAnsi="Verdana"/>
          <w:sz w:val="20"/>
          <w:szCs w:val="20"/>
        </w:rPr>
        <w:t xml:space="preserve"> como “delitos de lesa humanidad” y determinó que, por ende, son imprescriptibles. </w:t>
      </w:r>
      <w:r w:rsidR="007522D2" w:rsidRPr="00CA32B3">
        <w:rPr>
          <w:rFonts w:ascii="Verdana" w:hAnsi="Verdana"/>
          <w:sz w:val="20"/>
          <w:szCs w:val="18"/>
        </w:rPr>
        <w:t>En consecuencia</w:t>
      </w:r>
      <w:r w:rsidR="00861763" w:rsidRPr="00CA32B3">
        <w:rPr>
          <w:rFonts w:ascii="Verdana" w:hAnsi="Verdana" w:cs="Verdana"/>
          <w:sz w:val="20"/>
          <w:szCs w:val="20"/>
        </w:rPr>
        <w:t xml:space="preserve">, </w:t>
      </w:r>
      <w:r w:rsidR="007522D2" w:rsidRPr="00CA32B3">
        <w:rPr>
          <w:rFonts w:ascii="Verdana" w:hAnsi="Verdana" w:cs="Verdana"/>
          <w:sz w:val="20"/>
          <w:szCs w:val="20"/>
        </w:rPr>
        <w:t>las graves violaciones perpetradas contra</w:t>
      </w:r>
      <w:r w:rsidR="00861763" w:rsidRPr="00CA32B3">
        <w:rPr>
          <w:rFonts w:ascii="Verdana" w:hAnsi="Verdana" w:cs="Verdana"/>
          <w:sz w:val="20"/>
          <w:szCs w:val="20"/>
        </w:rPr>
        <w:t xml:space="preserve"> </w:t>
      </w:r>
      <w:r w:rsidR="00861763" w:rsidRPr="00CA32B3">
        <w:rPr>
          <w:rFonts w:ascii="Verdana" w:hAnsi="Verdana" w:cs="Verdana"/>
          <w:sz w:val="20"/>
          <w:szCs w:val="20"/>
          <w:lang w:val="es-ES"/>
        </w:rPr>
        <w:t xml:space="preserve">las víctimas </w:t>
      </w:r>
      <w:r w:rsidR="00861763" w:rsidRPr="00CA32B3">
        <w:rPr>
          <w:rFonts w:ascii="Verdana" w:hAnsi="Verdana" w:cs="Verdana"/>
          <w:sz w:val="20"/>
          <w:szCs w:val="20"/>
        </w:rPr>
        <w:t xml:space="preserve">no han quedado en impunidad </w:t>
      </w:r>
      <w:r w:rsidR="00C225AF" w:rsidRPr="00CA32B3">
        <w:rPr>
          <w:rFonts w:ascii="Verdana" w:hAnsi="Verdana" w:cs="Verdana"/>
          <w:sz w:val="20"/>
          <w:szCs w:val="20"/>
        </w:rPr>
        <w:t xml:space="preserve">puesto que se ha aplicado el tipo penal de </w:t>
      </w:r>
      <w:r w:rsidR="00861763" w:rsidRPr="00CA32B3">
        <w:rPr>
          <w:rFonts w:ascii="Verdana" w:hAnsi="Verdana" w:cs="Verdana"/>
          <w:sz w:val="20"/>
          <w:szCs w:val="20"/>
        </w:rPr>
        <w:t>homicidio especialmente agravado</w:t>
      </w:r>
      <w:r w:rsidR="007522D2" w:rsidRPr="00CA32B3">
        <w:rPr>
          <w:rFonts w:ascii="Verdana" w:hAnsi="Verdana" w:cs="Verdana"/>
          <w:sz w:val="20"/>
          <w:szCs w:val="20"/>
        </w:rPr>
        <w:t xml:space="preserve"> </w:t>
      </w:r>
      <w:r w:rsidR="000677A1" w:rsidRPr="00CA32B3">
        <w:rPr>
          <w:rFonts w:ascii="Verdana" w:hAnsi="Verdana" w:cs="Verdana"/>
          <w:sz w:val="20"/>
          <w:szCs w:val="20"/>
        </w:rPr>
        <w:t>y se han</w:t>
      </w:r>
      <w:r w:rsidR="007522D2" w:rsidRPr="00CA32B3">
        <w:rPr>
          <w:rFonts w:ascii="Verdana" w:hAnsi="Verdana" w:cs="Verdana"/>
          <w:sz w:val="20"/>
          <w:szCs w:val="20"/>
        </w:rPr>
        <w:t xml:space="preserve"> impuesto penas privativas de libertad de veinte años</w:t>
      </w:r>
      <w:r w:rsidR="00861763" w:rsidRPr="00CA32B3">
        <w:rPr>
          <w:rFonts w:ascii="Verdana" w:hAnsi="Verdana" w:cs="Verdana"/>
          <w:sz w:val="20"/>
          <w:szCs w:val="20"/>
        </w:rPr>
        <w:t xml:space="preserve">. </w:t>
      </w:r>
    </w:p>
    <w:p w14:paraId="4CEFD28E" w14:textId="77777777" w:rsidR="007C1753" w:rsidRPr="00CA32B3" w:rsidRDefault="007C1753" w:rsidP="00690FE6">
      <w:pPr>
        <w:pStyle w:val="Prrafodelista"/>
        <w:suppressLineNumbers/>
        <w:autoSpaceDE w:val="0"/>
        <w:autoSpaceDN w:val="0"/>
        <w:adjustRightInd w:val="0"/>
        <w:spacing w:after="0" w:line="240" w:lineRule="auto"/>
        <w:ind w:left="0"/>
        <w:jc w:val="both"/>
        <w:rPr>
          <w:rFonts w:ascii="Verdana" w:hAnsi="Verdana"/>
          <w:sz w:val="20"/>
          <w:szCs w:val="20"/>
        </w:rPr>
      </w:pPr>
    </w:p>
    <w:p w14:paraId="285A673A" w14:textId="4621E196" w:rsidR="0066221A" w:rsidRPr="00CA32B3" w:rsidRDefault="001B4766" w:rsidP="00690FE6">
      <w:pPr>
        <w:pStyle w:val="Prrafodelista"/>
        <w:numPr>
          <w:ilvl w:val="0"/>
          <w:numId w:val="3"/>
        </w:numPr>
        <w:suppressLineNumbers/>
        <w:autoSpaceDE w:val="0"/>
        <w:autoSpaceDN w:val="0"/>
        <w:adjustRightInd w:val="0"/>
        <w:spacing w:after="0" w:line="240" w:lineRule="auto"/>
        <w:ind w:left="0" w:firstLine="0"/>
        <w:jc w:val="both"/>
        <w:rPr>
          <w:rFonts w:ascii="Verdana" w:hAnsi="Verdana"/>
          <w:sz w:val="20"/>
          <w:szCs w:val="20"/>
        </w:rPr>
      </w:pPr>
      <w:r w:rsidRPr="00CA32B3">
        <w:rPr>
          <w:rFonts w:ascii="Verdana" w:hAnsi="Verdana" w:cs="Arial"/>
          <w:sz w:val="20"/>
          <w:szCs w:val="20"/>
          <w:lang w:val="es-CR" w:eastAsia="es-CR"/>
        </w:rPr>
        <w:t xml:space="preserve">Dicho lo anterior, en cuanto a las investigaciones penales en trámite, </w:t>
      </w:r>
      <w:r w:rsidR="00C225AF" w:rsidRPr="00CA32B3">
        <w:rPr>
          <w:rFonts w:ascii="Verdana" w:hAnsi="Verdana"/>
          <w:sz w:val="20"/>
          <w:szCs w:val="20"/>
        </w:rPr>
        <w:t xml:space="preserve">la Corte </w:t>
      </w:r>
      <w:r w:rsidR="00C225AF" w:rsidRPr="00CA32B3">
        <w:rPr>
          <w:rFonts w:ascii="Verdana" w:hAnsi="Verdana" w:cs="Arial"/>
          <w:sz w:val="20"/>
          <w:szCs w:val="20"/>
          <w:lang w:val="es-CR" w:eastAsia="es-CR"/>
        </w:rPr>
        <w:t>reitera su</w:t>
      </w:r>
      <w:r w:rsidR="0066221A" w:rsidRPr="00CA32B3">
        <w:rPr>
          <w:rFonts w:ascii="Verdana" w:hAnsi="Verdana" w:cs="Arial"/>
          <w:sz w:val="20"/>
          <w:szCs w:val="20"/>
          <w:lang w:val="es-CR" w:eastAsia="es-CR"/>
        </w:rPr>
        <w:t xml:space="preserve"> jurisprudencia constante respecto a que </w:t>
      </w:r>
      <w:r w:rsidR="0066221A" w:rsidRPr="00CA32B3">
        <w:rPr>
          <w:rFonts w:ascii="Verdana" w:hAnsi="Verdana"/>
          <w:sz w:val="20"/>
          <w:szCs w:val="18"/>
        </w:rPr>
        <w:t>los actos constitutivos de desaparición forzada tienen carácter permanente mientras no se conozca el paradero de la víctima o se identifiquen con certeza sus restos</w:t>
      </w:r>
      <w:r w:rsidR="0066221A" w:rsidRPr="00CA32B3">
        <w:rPr>
          <w:rStyle w:val="Refdenotaalpie"/>
          <w:rFonts w:ascii="Verdana" w:hAnsi="Verdana"/>
          <w:sz w:val="20"/>
          <w:szCs w:val="18"/>
        </w:rPr>
        <w:footnoteReference w:id="36"/>
      </w:r>
      <w:r w:rsidR="00175EC7" w:rsidRPr="00CA32B3">
        <w:rPr>
          <w:rFonts w:ascii="Verdana" w:hAnsi="Verdana"/>
          <w:sz w:val="20"/>
          <w:szCs w:val="18"/>
        </w:rPr>
        <w:t xml:space="preserve"> </w:t>
      </w:r>
      <w:r w:rsidR="00175EC7" w:rsidRPr="00CA32B3">
        <w:rPr>
          <w:rFonts w:ascii="Verdana" w:hAnsi="Verdana"/>
          <w:sz w:val="20"/>
          <w:szCs w:val="20"/>
        </w:rPr>
        <w:t>y su incidencia respecto del principio de irretroactividad</w:t>
      </w:r>
      <w:r w:rsidR="00175EC7" w:rsidRPr="00CA32B3">
        <w:rPr>
          <w:rStyle w:val="Refdenotaalpie"/>
          <w:rFonts w:ascii="Verdana" w:hAnsi="Verdana"/>
          <w:sz w:val="20"/>
          <w:szCs w:val="20"/>
        </w:rPr>
        <w:footnoteReference w:id="37"/>
      </w:r>
      <w:r w:rsidR="0066221A" w:rsidRPr="00CA32B3">
        <w:rPr>
          <w:rFonts w:ascii="Verdana" w:hAnsi="Verdana"/>
          <w:sz w:val="20"/>
          <w:szCs w:val="20"/>
        </w:rPr>
        <w:t>.</w:t>
      </w:r>
      <w:r w:rsidRPr="00CA32B3">
        <w:rPr>
          <w:rFonts w:ascii="Verdana" w:hAnsi="Verdana"/>
          <w:sz w:val="20"/>
          <w:szCs w:val="20"/>
        </w:rPr>
        <w:t xml:space="preserve"> </w:t>
      </w:r>
    </w:p>
    <w:p w14:paraId="64C8012D" w14:textId="45CCC15E" w:rsidR="00C449AB" w:rsidRPr="00CA32B3" w:rsidRDefault="00C449AB" w:rsidP="00690FE6">
      <w:pPr>
        <w:pStyle w:val="Prrafodelista"/>
        <w:suppressLineNumbers/>
        <w:autoSpaceDE w:val="0"/>
        <w:autoSpaceDN w:val="0"/>
        <w:adjustRightInd w:val="0"/>
        <w:spacing w:after="0" w:line="240" w:lineRule="auto"/>
        <w:ind w:left="0"/>
        <w:jc w:val="both"/>
        <w:rPr>
          <w:rFonts w:ascii="Verdana" w:hAnsi="Verdana"/>
          <w:sz w:val="20"/>
          <w:szCs w:val="20"/>
          <w:lang w:val="es-CR"/>
        </w:rPr>
      </w:pPr>
    </w:p>
    <w:p w14:paraId="1ECB217A" w14:textId="050B174F" w:rsidR="00C449AB" w:rsidRPr="00CA32B3" w:rsidRDefault="00EC4F48" w:rsidP="00690FE6">
      <w:pPr>
        <w:pStyle w:val="Prrafodelista"/>
        <w:numPr>
          <w:ilvl w:val="0"/>
          <w:numId w:val="3"/>
        </w:numPr>
        <w:suppressLineNumbers/>
        <w:autoSpaceDE w:val="0"/>
        <w:autoSpaceDN w:val="0"/>
        <w:adjustRightInd w:val="0"/>
        <w:spacing w:after="0" w:line="240" w:lineRule="auto"/>
        <w:ind w:left="0" w:firstLine="0"/>
        <w:jc w:val="both"/>
        <w:rPr>
          <w:rFonts w:ascii="Verdana" w:hAnsi="Verdana"/>
          <w:b/>
        </w:rPr>
      </w:pPr>
      <w:r w:rsidRPr="00CA32B3">
        <w:rPr>
          <w:rFonts w:ascii="Verdana" w:hAnsi="Verdana" w:cs="Verdana"/>
          <w:iCs/>
          <w:sz w:val="20"/>
          <w:szCs w:val="20"/>
          <w:lang w:val="es-ES"/>
        </w:rPr>
        <w:t>En conclusión, t</w:t>
      </w:r>
      <w:r w:rsidR="00861763" w:rsidRPr="00CA32B3">
        <w:rPr>
          <w:rFonts w:ascii="Verdana" w:hAnsi="Verdana" w:cs="Verdana"/>
          <w:iCs/>
          <w:sz w:val="20"/>
          <w:szCs w:val="20"/>
          <w:lang w:val="es-ES"/>
        </w:rPr>
        <w:t xml:space="preserve">eniendo en cuenta que han sido </w:t>
      </w:r>
      <w:r w:rsidR="00DA671A" w:rsidRPr="00CA32B3">
        <w:rPr>
          <w:rFonts w:ascii="Verdana" w:hAnsi="Verdana" w:cs="Verdana"/>
          <w:iCs/>
          <w:sz w:val="20"/>
          <w:szCs w:val="20"/>
          <w:lang w:val="es-ES"/>
        </w:rPr>
        <w:t>emitid</w:t>
      </w:r>
      <w:r w:rsidR="00CE21A9" w:rsidRPr="00CA32B3">
        <w:rPr>
          <w:rFonts w:ascii="Verdana" w:hAnsi="Verdana" w:cs="Verdana"/>
          <w:iCs/>
          <w:sz w:val="20"/>
          <w:szCs w:val="20"/>
          <w:lang w:val="es-ES"/>
        </w:rPr>
        <w:t>as</w:t>
      </w:r>
      <w:r w:rsidR="00DA671A" w:rsidRPr="00CA32B3">
        <w:rPr>
          <w:rFonts w:ascii="Verdana" w:hAnsi="Verdana" w:cs="Verdana"/>
          <w:iCs/>
          <w:sz w:val="20"/>
          <w:szCs w:val="20"/>
          <w:lang w:val="es-ES"/>
        </w:rPr>
        <w:t xml:space="preserve"> sentencias que determinan la responsabilidad penal de </w:t>
      </w:r>
      <w:r w:rsidR="00861763" w:rsidRPr="00CA32B3">
        <w:rPr>
          <w:rFonts w:ascii="Verdana" w:hAnsi="Verdana" w:cs="Verdana"/>
          <w:iCs/>
          <w:sz w:val="20"/>
          <w:szCs w:val="20"/>
          <w:lang w:val="es-ES"/>
        </w:rPr>
        <w:t>dos militares que participaron en la comisión de la masacre</w:t>
      </w:r>
      <w:r w:rsidR="00DA671A" w:rsidRPr="00CA32B3">
        <w:rPr>
          <w:rFonts w:ascii="Verdana" w:hAnsi="Verdana" w:cs="Verdana"/>
          <w:iCs/>
          <w:sz w:val="20"/>
          <w:szCs w:val="20"/>
          <w:lang w:val="es-ES"/>
        </w:rPr>
        <w:t xml:space="preserve"> y que la de uno de ellos (quien estaba al mando de la patrulla militar) se encuentra firme</w:t>
      </w:r>
      <w:r w:rsidR="00861763" w:rsidRPr="00CA32B3">
        <w:rPr>
          <w:rFonts w:ascii="Verdana" w:hAnsi="Verdana" w:cs="Verdana"/>
          <w:iCs/>
          <w:sz w:val="20"/>
          <w:szCs w:val="20"/>
          <w:lang w:val="es-ES"/>
        </w:rPr>
        <w:t xml:space="preserve">, </w:t>
      </w:r>
      <w:r w:rsidR="00DA671A" w:rsidRPr="00CA32B3">
        <w:rPr>
          <w:rFonts w:ascii="Verdana" w:hAnsi="Verdana" w:cs="Verdana"/>
          <w:iCs/>
          <w:sz w:val="20"/>
          <w:szCs w:val="20"/>
          <w:lang w:val="es-ES"/>
        </w:rPr>
        <w:t xml:space="preserve">así como que se encuentra abierta una </w:t>
      </w:r>
      <w:r w:rsidR="00861763" w:rsidRPr="00CA32B3">
        <w:rPr>
          <w:rFonts w:ascii="Verdana" w:hAnsi="Verdana" w:cs="Verdana"/>
          <w:iCs/>
          <w:sz w:val="20"/>
          <w:szCs w:val="20"/>
          <w:lang w:val="es-ES"/>
        </w:rPr>
        <w:t xml:space="preserve">investigación penal respecto a otros posibles responsables de los hechos, la Corte </w:t>
      </w:r>
      <w:r w:rsidR="00DA671A" w:rsidRPr="00CA32B3">
        <w:rPr>
          <w:rFonts w:ascii="Verdana" w:hAnsi="Verdana" w:cs="Verdana"/>
          <w:iCs/>
          <w:sz w:val="20"/>
          <w:szCs w:val="20"/>
          <w:lang w:val="es-ES"/>
        </w:rPr>
        <w:t xml:space="preserve">considera </w:t>
      </w:r>
      <w:r w:rsidR="00861763" w:rsidRPr="00CA32B3">
        <w:rPr>
          <w:rFonts w:ascii="Verdana" w:hAnsi="Verdana" w:cs="Verdana"/>
          <w:iCs/>
          <w:sz w:val="20"/>
          <w:szCs w:val="20"/>
          <w:lang w:val="es-ES"/>
        </w:rPr>
        <w:t xml:space="preserve">que el Estado </w:t>
      </w:r>
      <w:r w:rsidR="00107533" w:rsidRPr="00CA32B3">
        <w:rPr>
          <w:rFonts w:ascii="Verdana" w:hAnsi="Verdana" w:cs="Verdana"/>
          <w:iCs/>
          <w:sz w:val="20"/>
          <w:szCs w:val="20"/>
          <w:lang w:val="es-ES"/>
        </w:rPr>
        <w:t>h</w:t>
      </w:r>
      <w:r w:rsidR="00861763" w:rsidRPr="00CA32B3">
        <w:rPr>
          <w:rFonts w:ascii="Verdana" w:hAnsi="Verdana" w:cs="Verdana"/>
          <w:iCs/>
          <w:sz w:val="20"/>
          <w:szCs w:val="20"/>
          <w:lang w:val="es-ES"/>
        </w:rPr>
        <w:t xml:space="preserve">a dado cumplimiento parcial a la medida de reparación relativa a </w:t>
      </w:r>
      <w:r w:rsidR="00861763" w:rsidRPr="00CA32B3">
        <w:rPr>
          <w:rFonts w:ascii="Verdana" w:hAnsi="Verdana" w:cs="Verdana"/>
          <w:iCs/>
          <w:sz w:val="20"/>
          <w:szCs w:val="20"/>
        </w:rPr>
        <w:t xml:space="preserve">llevar a cabo las investigaciones amplias, sistemáticas y minuciosas que sean necesarias para determinar, juzgar y, en su caso, sancionar a los responsables de las </w:t>
      </w:r>
      <w:r w:rsidR="00861763" w:rsidRPr="00CA32B3">
        <w:rPr>
          <w:rFonts w:ascii="Verdana" w:hAnsi="Verdana" w:cs="Verdana"/>
          <w:iCs/>
          <w:sz w:val="20"/>
          <w:szCs w:val="20"/>
        </w:rPr>
        <w:lastRenderedPageBreak/>
        <w:t xml:space="preserve">violaciones declaradas en </w:t>
      </w:r>
      <w:r w:rsidR="00861763" w:rsidRPr="00CA32B3">
        <w:rPr>
          <w:rFonts w:ascii="Verdana" w:hAnsi="Verdana" w:cs="Verdana"/>
          <w:iCs/>
          <w:sz w:val="20"/>
          <w:szCs w:val="20"/>
          <w:lang w:val="es-ES"/>
        </w:rPr>
        <w:t>la</w:t>
      </w:r>
      <w:r w:rsidR="00861763" w:rsidRPr="00CA32B3">
        <w:rPr>
          <w:rFonts w:ascii="Verdana" w:hAnsi="Verdana" w:cs="Verdana"/>
          <w:iCs/>
          <w:sz w:val="20"/>
          <w:szCs w:val="20"/>
        </w:rPr>
        <w:t xml:space="preserve"> Sentencia</w:t>
      </w:r>
      <w:r w:rsidR="00861763" w:rsidRPr="00CA32B3">
        <w:rPr>
          <w:rFonts w:ascii="Verdana" w:hAnsi="Verdana" w:cs="Verdana"/>
          <w:iCs/>
          <w:sz w:val="20"/>
          <w:szCs w:val="20"/>
          <w:lang w:val="es-ES"/>
        </w:rPr>
        <w:t xml:space="preserve">. </w:t>
      </w:r>
      <w:r w:rsidR="00DA671A" w:rsidRPr="00CA32B3">
        <w:rPr>
          <w:rFonts w:ascii="Verdana" w:hAnsi="Verdana" w:cs="Verdana"/>
          <w:iCs/>
          <w:sz w:val="20"/>
          <w:szCs w:val="20"/>
          <w:lang w:val="es-ES"/>
        </w:rPr>
        <w:t>El Estado debe continuar dando cumplimiento a dicha obligación de investigar, juzgar y, en su caso, sancionar</w:t>
      </w:r>
      <w:r w:rsidR="00966752" w:rsidRPr="00CA32B3">
        <w:rPr>
          <w:rFonts w:ascii="Verdana" w:hAnsi="Verdana" w:cs="Verdana"/>
          <w:iCs/>
          <w:sz w:val="20"/>
          <w:szCs w:val="20"/>
          <w:lang w:val="es-ES"/>
        </w:rPr>
        <w:t xml:space="preserve"> </w:t>
      </w:r>
      <w:r w:rsidR="00175EC7" w:rsidRPr="00CA32B3">
        <w:rPr>
          <w:rFonts w:ascii="Verdana" w:hAnsi="Verdana" w:cs="Verdana"/>
          <w:iCs/>
          <w:sz w:val="20"/>
          <w:szCs w:val="20"/>
          <w:lang w:val="es-ES"/>
        </w:rPr>
        <w:t xml:space="preserve">observando </w:t>
      </w:r>
      <w:r w:rsidR="00966752" w:rsidRPr="00CA32B3">
        <w:rPr>
          <w:rFonts w:ascii="Verdana" w:hAnsi="Verdana" w:cs="Verdana"/>
          <w:iCs/>
          <w:sz w:val="20"/>
          <w:szCs w:val="20"/>
          <w:lang w:val="es-ES"/>
        </w:rPr>
        <w:t>todos los parámetros de debida diligencia</w:t>
      </w:r>
      <w:r w:rsidR="00DA671A" w:rsidRPr="00CA32B3">
        <w:rPr>
          <w:rFonts w:ascii="Verdana" w:hAnsi="Verdana" w:cs="Verdana"/>
          <w:iCs/>
          <w:sz w:val="20"/>
          <w:szCs w:val="20"/>
          <w:lang w:val="es-ES"/>
        </w:rPr>
        <w:t xml:space="preserve">, respecto a lo cual este Tribunal destaca que </w:t>
      </w:r>
      <w:r w:rsidR="00966752" w:rsidRPr="00CA32B3">
        <w:rPr>
          <w:rFonts w:ascii="Verdana" w:hAnsi="Verdana" w:cs="Verdana"/>
          <w:iCs/>
          <w:sz w:val="20"/>
          <w:szCs w:val="20"/>
          <w:lang w:val="es-ES"/>
        </w:rPr>
        <w:t xml:space="preserve">en su Sentencia se tuvo por probado que fue un alto número de militares los que participaron en el operativo relacionado con la masacre y que las violaciones se perpetraron en </w:t>
      </w:r>
      <w:r w:rsidR="00FE43AE" w:rsidRPr="00CA32B3">
        <w:rPr>
          <w:rFonts w:ascii="Verdana" w:hAnsi="Verdana" w:cs="Verdana"/>
          <w:iCs/>
          <w:sz w:val="20"/>
          <w:szCs w:val="20"/>
          <w:lang w:val="es-ES"/>
        </w:rPr>
        <w:t>perjuicio</w:t>
      </w:r>
      <w:r w:rsidR="00966752" w:rsidRPr="00CA32B3">
        <w:rPr>
          <w:rFonts w:ascii="Verdana" w:hAnsi="Verdana" w:cs="Verdana"/>
          <w:iCs/>
          <w:sz w:val="20"/>
          <w:szCs w:val="20"/>
          <w:lang w:val="es-ES"/>
        </w:rPr>
        <w:t xml:space="preserve"> de 15 víctimas, entre ellas niños, niñas y una mujer embarazada. </w:t>
      </w:r>
      <w:r w:rsidR="00FE43AE" w:rsidRPr="00CA32B3">
        <w:rPr>
          <w:rFonts w:ascii="Verdana" w:hAnsi="Verdana" w:cs="Verdana"/>
          <w:iCs/>
          <w:sz w:val="20"/>
          <w:szCs w:val="20"/>
          <w:lang w:val="es-ES"/>
        </w:rPr>
        <w:t xml:space="preserve">Asimismo, debe aportar la información actualizada requerida en los Considerandos </w:t>
      </w:r>
      <w:r w:rsidR="000677A1" w:rsidRPr="00CA32B3">
        <w:rPr>
          <w:rFonts w:ascii="Verdana" w:hAnsi="Verdana" w:cs="Verdana"/>
          <w:iCs/>
          <w:sz w:val="20"/>
          <w:szCs w:val="20"/>
          <w:lang w:val="es-ES"/>
        </w:rPr>
        <w:t>14.b, 16, 17 y 19</w:t>
      </w:r>
      <w:r w:rsidR="00FE43AE" w:rsidRPr="00CA32B3">
        <w:rPr>
          <w:rFonts w:ascii="Verdana" w:hAnsi="Verdana" w:cs="Verdana"/>
          <w:iCs/>
          <w:sz w:val="20"/>
          <w:szCs w:val="20"/>
          <w:lang w:val="es-ES"/>
        </w:rPr>
        <w:t>.</w:t>
      </w:r>
    </w:p>
    <w:p w14:paraId="3B21846D" w14:textId="585DFC25" w:rsidR="009A76F7" w:rsidRPr="00CA32B3" w:rsidRDefault="009A76F7" w:rsidP="00690FE6">
      <w:pPr>
        <w:pStyle w:val="Prrafodelista"/>
        <w:suppressLineNumbers/>
        <w:autoSpaceDE w:val="0"/>
        <w:autoSpaceDN w:val="0"/>
        <w:adjustRightInd w:val="0"/>
        <w:spacing w:after="0" w:line="240" w:lineRule="auto"/>
        <w:ind w:left="0"/>
        <w:jc w:val="both"/>
        <w:rPr>
          <w:rFonts w:ascii="Verdana" w:hAnsi="Verdana"/>
          <w:b/>
        </w:rPr>
      </w:pPr>
    </w:p>
    <w:p w14:paraId="549C43DB" w14:textId="2EB4E1BF" w:rsidR="00C449AB" w:rsidRPr="00CA32B3" w:rsidRDefault="00861763" w:rsidP="00690FE6">
      <w:pPr>
        <w:pStyle w:val="Ttulo1"/>
        <w:suppressLineNumbers/>
        <w:spacing w:before="0" w:after="0" w:line="240" w:lineRule="auto"/>
        <w:jc w:val="both"/>
        <w:rPr>
          <w:rFonts w:ascii="Verdana" w:eastAsia="Calibri" w:hAnsi="Verdana" w:cs="Verdana"/>
          <w:sz w:val="20"/>
          <w:szCs w:val="20"/>
        </w:rPr>
      </w:pPr>
      <w:bookmarkStart w:id="2" w:name="_Toc32234"/>
      <w:r w:rsidRPr="00CA32B3">
        <w:rPr>
          <w:rFonts w:ascii="Verdana" w:eastAsia="Calibri" w:hAnsi="Verdana" w:cs="Verdana"/>
          <w:sz w:val="20"/>
          <w:szCs w:val="20"/>
        </w:rPr>
        <w:t xml:space="preserve">B) </w:t>
      </w:r>
      <w:r w:rsidRPr="00CA32B3">
        <w:rPr>
          <w:rFonts w:ascii="Verdana" w:eastAsia="Calibri" w:hAnsi="Verdana" w:cs="Verdana"/>
          <w:sz w:val="20"/>
          <w:szCs w:val="20"/>
        </w:rPr>
        <w:tab/>
      </w:r>
      <w:r w:rsidRPr="00CA32B3">
        <w:rPr>
          <w:rFonts w:ascii="Verdana" w:eastAsiaTheme="minorHAnsi" w:hAnsi="Verdana" w:cs="Arial"/>
          <w:sz w:val="20"/>
          <w:szCs w:val="20"/>
          <w:lang w:eastAsia="en-US"/>
        </w:rPr>
        <w:t xml:space="preserve">Buscar, exhumar e identificar los restos humanos localizados en </w:t>
      </w:r>
      <w:r w:rsidRPr="00CA32B3">
        <w:rPr>
          <w:rFonts w:ascii="Verdana" w:eastAsiaTheme="minorHAnsi" w:hAnsi="Verdana" w:cs="ArialMT"/>
          <w:sz w:val="20"/>
          <w:szCs w:val="20"/>
          <w:lang w:eastAsia="en-US"/>
        </w:rPr>
        <w:t xml:space="preserve">la mina </w:t>
      </w:r>
      <w:r w:rsidR="00203265" w:rsidRPr="00CA32B3">
        <w:rPr>
          <w:rFonts w:ascii="Verdana" w:eastAsiaTheme="minorHAnsi" w:hAnsi="Verdana" w:cs="ArialMT"/>
          <w:sz w:val="20"/>
          <w:szCs w:val="20"/>
          <w:lang w:eastAsia="en-US"/>
        </w:rPr>
        <w:t>‘</w:t>
      </w:r>
      <w:r w:rsidRPr="00CA32B3">
        <w:rPr>
          <w:rFonts w:ascii="Verdana" w:eastAsiaTheme="minorHAnsi" w:hAnsi="Verdana" w:cs="ArialMT"/>
          <w:sz w:val="20"/>
          <w:szCs w:val="20"/>
          <w:lang w:eastAsia="en-US"/>
        </w:rPr>
        <w:t>Misteriosa</w:t>
      </w:r>
      <w:r w:rsidR="00203265" w:rsidRPr="00CA32B3">
        <w:rPr>
          <w:rFonts w:ascii="Verdana" w:eastAsiaTheme="minorHAnsi" w:hAnsi="Verdana" w:cs="ArialMT"/>
          <w:sz w:val="20"/>
          <w:szCs w:val="20"/>
          <w:lang w:eastAsia="en-US"/>
        </w:rPr>
        <w:t>’</w:t>
      </w:r>
      <w:r w:rsidRPr="00CA32B3">
        <w:rPr>
          <w:rFonts w:ascii="Verdana" w:eastAsiaTheme="minorHAnsi" w:hAnsi="Verdana" w:cs="ArialMT"/>
          <w:sz w:val="20"/>
          <w:szCs w:val="20"/>
          <w:lang w:eastAsia="en-US"/>
        </w:rPr>
        <w:t xml:space="preserve"> o </w:t>
      </w:r>
      <w:r w:rsidR="00203265" w:rsidRPr="00CA32B3">
        <w:rPr>
          <w:rFonts w:ascii="Verdana" w:eastAsiaTheme="minorHAnsi" w:hAnsi="Verdana" w:cs="ArialMT"/>
          <w:sz w:val="20"/>
          <w:szCs w:val="20"/>
          <w:lang w:eastAsia="en-US"/>
        </w:rPr>
        <w:t>‘</w:t>
      </w:r>
      <w:r w:rsidRPr="00CA32B3">
        <w:rPr>
          <w:rFonts w:ascii="Verdana" w:eastAsiaTheme="minorHAnsi" w:hAnsi="Verdana" w:cs="ArialMT"/>
          <w:sz w:val="20"/>
          <w:szCs w:val="20"/>
          <w:lang w:eastAsia="en-US"/>
        </w:rPr>
        <w:t>Vallarón</w:t>
      </w:r>
      <w:r w:rsidR="00203265" w:rsidRPr="00CA32B3">
        <w:rPr>
          <w:rFonts w:ascii="Verdana" w:eastAsiaTheme="minorHAnsi" w:hAnsi="Verdana" w:cs="ArialMT"/>
          <w:sz w:val="20"/>
          <w:szCs w:val="20"/>
          <w:lang w:eastAsia="en-US"/>
        </w:rPr>
        <w:t>’</w:t>
      </w:r>
      <w:bookmarkEnd w:id="2"/>
    </w:p>
    <w:p w14:paraId="09E406E6" w14:textId="77777777" w:rsidR="00C449AB" w:rsidRPr="00CA32B3" w:rsidRDefault="00C449AB" w:rsidP="00690FE6">
      <w:pPr>
        <w:pStyle w:val="Ttulo1"/>
        <w:suppressLineNumbers/>
        <w:spacing w:before="0" w:after="0" w:line="240" w:lineRule="auto"/>
        <w:jc w:val="both"/>
        <w:rPr>
          <w:rFonts w:ascii="Verdana" w:eastAsia="Calibri" w:hAnsi="Verdana"/>
          <w:sz w:val="20"/>
          <w:szCs w:val="20"/>
        </w:rPr>
      </w:pPr>
    </w:p>
    <w:p w14:paraId="103A8E67" w14:textId="48E5F8FD" w:rsidR="00C449AB" w:rsidRPr="00CA32B3" w:rsidRDefault="00861763" w:rsidP="00690FE6">
      <w:pPr>
        <w:suppressLineNumbers/>
        <w:spacing w:after="0" w:line="240" w:lineRule="auto"/>
        <w:ind w:firstLine="708"/>
        <w:jc w:val="both"/>
        <w:rPr>
          <w:rFonts w:ascii="Verdana" w:eastAsia="Calibri" w:hAnsi="Verdana"/>
          <w:i/>
          <w:sz w:val="20"/>
          <w:szCs w:val="20"/>
        </w:rPr>
      </w:pPr>
      <w:r w:rsidRPr="00CA32B3">
        <w:rPr>
          <w:rFonts w:ascii="Verdana" w:eastAsia="Calibri" w:hAnsi="Verdana"/>
          <w:i/>
          <w:sz w:val="20"/>
          <w:szCs w:val="20"/>
        </w:rPr>
        <w:t>B.1. Medida ordenada por la Corte</w:t>
      </w:r>
    </w:p>
    <w:p w14:paraId="398DD502" w14:textId="77777777" w:rsidR="006D03EC" w:rsidRPr="00CA32B3" w:rsidRDefault="006D03EC" w:rsidP="00690FE6">
      <w:pPr>
        <w:suppressLineNumbers/>
        <w:spacing w:after="0" w:line="240" w:lineRule="auto"/>
        <w:ind w:firstLine="708"/>
        <w:jc w:val="both"/>
        <w:rPr>
          <w:rFonts w:ascii="Verdana" w:eastAsia="Calibri" w:hAnsi="Verdana"/>
          <w:i/>
          <w:sz w:val="20"/>
          <w:szCs w:val="20"/>
        </w:rPr>
      </w:pPr>
    </w:p>
    <w:p w14:paraId="428A575A" w14:textId="6894EF6F" w:rsidR="002666C8" w:rsidRPr="00CA32B3" w:rsidRDefault="002666C8" w:rsidP="00690FE6">
      <w:pPr>
        <w:pStyle w:val="Prrafodelista"/>
        <w:numPr>
          <w:ilvl w:val="0"/>
          <w:numId w:val="3"/>
        </w:numPr>
        <w:suppressLineNumbers/>
        <w:autoSpaceDE w:val="0"/>
        <w:autoSpaceDN w:val="0"/>
        <w:adjustRightInd w:val="0"/>
        <w:spacing w:after="0" w:line="240" w:lineRule="auto"/>
        <w:ind w:left="0" w:firstLine="0"/>
        <w:jc w:val="both"/>
        <w:rPr>
          <w:rFonts w:ascii="Verdana" w:hAnsi="Verdana"/>
          <w:spacing w:val="-2"/>
          <w:sz w:val="20"/>
          <w:szCs w:val="20"/>
        </w:rPr>
      </w:pPr>
      <w:r w:rsidRPr="00CA32B3">
        <w:rPr>
          <w:rFonts w:ascii="Verdana" w:hAnsi="Verdana"/>
          <w:sz w:val="20"/>
          <w:szCs w:val="20"/>
        </w:rPr>
        <w:t xml:space="preserve">En el punto </w:t>
      </w:r>
      <w:r w:rsidR="003D5DFA" w:rsidRPr="00CA32B3">
        <w:rPr>
          <w:rFonts w:ascii="Verdana" w:hAnsi="Verdana"/>
          <w:sz w:val="20"/>
          <w:szCs w:val="20"/>
        </w:rPr>
        <w:t xml:space="preserve">resolutivo </w:t>
      </w:r>
      <w:r w:rsidRPr="00CA32B3">
        <w:rPr>
          <w:rFonts w:ascii="Verdana" w:hAnsi="Verdana"/>
          <w:sz w:val="20"/>
          <w:szCs w:val="20"/>
        </w:rPr>
        <w:t xml:space="preserve">décimo primero y </w:t>
      </w:r>
      <w:r w:rsidR="000677A1" w:rsidRPr="00CA32B3">
        <w:rPr>
          <w:rFonts w:ascii="Verdana" w:hAnsi="Verdana"/>
          <w:sz w:val="20"/>
          <w:szCs w:val="20"/>
        </w:rPr>
        <w:t xml:space="preserve">en </w:t>
      </w:r>
      <w:r w:rsidRPr="00CA32B3">
        <w:rPr>
          <w:rFonts w:ascii="Verdana" w:hAnsi="Verdana"/>
          <w:sz w:val="20"/>
          <w:szCs w:val="20"/>
        </w:rPr>
        <w:t xml:space="preserve">los párrafos 294 a 299 de la Sentencia, el Tribunal dispuso que el Estado “deb[ía] iniciar, de manera sistemática, rigurosa y seria, con los recursos humanos y económicos adecuados, las acciones que resulten necesarias tanto para la exhumación como la identificación de los restos </w:t>
      </w:r>
      <w:r w:rsidR="00203265" w:rsidRPr="00CA32B3">
        <w:rPr>
          <w:rFonts w:ascii="Verdana" w:hAnsi="Verdana"/>
          <w:sz w:val="20"/>
          <w:szCs w:val="20"/>
        </w:rPr>
        <w:t>humanos localizados en la mina ‘</w:t>
      </w:r>
      <w:r w:rsidRPr="00CA32B3">
        <w:rPr>
          <w:rFonts w:ascii="Verdana" w:hAnsi="Verdana"/>
          <w:sz w:val="20"/>
          <w:szCs w:val="20"/>
        </w:rPr>
        <w:t>Misteriosa</w:t>
      </w:r>
      <w:r w:rsidR="00203265" w:rsidRPr="00CA32B3">
        <w:rPr>
          <w:rFonts w:ascii="Verdana" w:hAnsi="Verdana"/>
          <w:sz w:val="20"/>
          <w:szCs w:val="20"/>
        </w:rPr>
        <w:t>’, o ‘</w:t>
      </w:r>
      <w:r w:rsidRPr="00CA32B3">
        <w:rPr>
          <w:rFonts w:ascii="Verdana" w:hAnsi="Verdana"/>
          <w:sz w:val="20"/>
          <w:szCs w:val="20"/>
        </w:rPr>
        <w:t>Vallarón</w:t>
      </w:r>
      <w:r w:rsidR="00203265" w:rsidRPr="00CA32B3">
        <w:rPr>
          <w:rFonts w:ascii="Verdana" w:hAnsi="Verdana"/>
          <w:sz w:val="20"/>
          <w:szCs w:val="20"/>
        </w:rPr>
        <w:t>’</w:t>
      </w:r>
      <w:r w:rsidRPr="00CA32B3">
        <w:rPr>
          <w:rFonts w:ascii="Verdana" w:hAnsi="Verdana"/>
          <w:sz w:val="20"/>
          <w:szCs w:val="20"/>
        </w:rPr>
        <w:t xml:space="preserve">, sitio que deberá proteger para su preservación”. </w:t>
      </w:r>
      <w:r w:rsidR="008D4A26" w:rsidRPr="00CA32B3">
        <w:rPr>
          <w:rFonts w:ascii="Verdana" w:hAnsi="Verdana"/>
          <w:sz w:val="20"/>
          <w:szCs w:val="20"/>
        </w:rPr>
        <w:t>Asimismo, indicó que</w:t>
      </w:r>
      <w:r w:rsidR="008D4A26" w:rsidRPr="00CA32B3">
        <w:rPr>
          <w:rFonts w:ascii="Verdana" w:hAnsi="Verdana"/>
          <w:spacing w:val="-2"/>
          <w:sz w:val="20"/>
          <w:szCs w:val="20"/>
        </w:rPr>
        <w:t xml:space="preserve"> “[p]ara ello, el Estado deberá emplear todos los medios técnicos y científicos necesarios, tomando en cuenta las normas nacionales o internacionales pertinentes en la materia y procurar concluir con el total de las exhumaciones que sean necesarias en un plazo de un año, contado a partir de la notificación de la presente Sentencia”. </w:t>
      </w:r>
      <w:r w:rsidR="00370468" w:rsidRPr="00CA32B3">
        <w:rPr>
          <w:rFonts w:ascii="Verdana" w:hAnsi="Verdana"/>
          <w:spacing w:val="-2"/>
          <w:sz w:val="20"/>
          <w:szCs w:val="20"/>
        </w:rPr>
        <w:t>Adicionalmente</w:t>
      </w:r>
      <w:r w:rsidR="008D4A26" w:rsidRPr="00CA32B3">
        <w:rPr>
          <w:rFonts w:ascii="Verdana" w:hAnsi="Verdana"/>
          <w:spacing w:val="-2"/>
          <w:sz w:val="20"/>
          <w:szCs w:val="20"/>
        </w:rPr>
        <w:t>, dispuso que “[p]</w:t>
      </w:r>
      <w:r w:rsidR="008D4A26" w:rsidRPr="00CA32B3">
        <w:rPr>
          <w:rFonts w:ascii="Verdana" w:hAnsi="Verdana" w:cs="Verdana-Italic"/>
          <w:iCs/>
          <w:spacing w:val="-2"/>
          <w:sz w:val="20"/>
          <w:szCs w:val="20"/>
          <w:lang w:bidi="en-US"/>
        </w:rPr>
        <w:t xml:space="preserve">ara las </w:t>
      </w:r>
      <w:r w:rsidR="008D4A26" w:rsidRPr="00CA32B3">
        <w:rPr>
          <w:rFonts w:ascii="Verdana" w:hAnsi="Verdana" w:cs="Cambria"/>
          <w:spacing w:val="-2"/>
          <w:sz w:val="20"/>
          <w:szCs w:val="20"/>
        </w:rPr>
        <w:t>referidas</w:t>
      </w:r>
      <w:r w:rsidR="008D4A26" w:rsidRPr="00CA32B3">
        <w:rPr>
          <w:rFonts w:ascii="Verdana" w:hAnsi="Verdana" w:cs="Verdana-Italic"/>
          <w:iCs/>
          <w:spacing w:val="-2"/>
          <w:sz w:val="20"/>
          <w:szCs w:val="20"/>
          <w:lang w:bidi="en-US"/>
        </w:rPr>
        <w:t xml:space="preserve"> diligencias se debe establecer una estrategia de comunicación con los familiares y acordar un marco de acción coordinada, para procurar su participación, conocimiento y presencia”. También </w:t>
      </w:r>
      <w:r w:rsidR="00370468" w:rsidRPr="00CA32B3">
        <w:rPr>
          <w:rFonts w:ascii="Verdana" w:hAnsi="Verdana" w:cs="Verdana-Italic"/>
          <w:iCs/>
          <w:spacing w:val="-2"/>
          <w:sz w:val="20"/>
          <w:szCs w:val="20"/>
          <w:lang w:bidi="en-US"/>
        </w:rPr>
        <w:t>determinó</w:t>
      </w:r>
      <w:r w:rsidR="008D4A26" w:rsidRPr="00CA32B3">
        <w:rPr>
          <w:rFonts w:ascii="Verdana" w:hAnsi="Verdana" w:cs="Verdana-Italic"/>
          <w:iCs/>
          <w:spacing w:val="-2"/>
          <w:sz w:val="20"/>
          <w:szCs w:val="20"/>
          <w:lang w:bidi="en-US"/>
        </w:rPr>
        <w:t xml:space="preserve"> que</w:t>
      </w:r>
      <w:r w:rsidR="00370468" w:rsidRPr="00CA32B3">
        <w:rPr>
          <w:rFonts w:ascii="Verdana" w:hAnsi="Verdana" w:cs="Verdana-Italic"/>
          <w:iCs/>
          <w:spacing w:val="-2"/>
          <w:sz w:val="20"/>
          <w:szCs w:val="20"/>
          <w:lang w:bidi="en-US"/>
        </w:rPr>
        <w:t>,</w:t>
      </w:r>
      <w:r w:rsidR="008D4A26" w:rsidRPr="00CA32B3">
        <w:rPr>
          <w:rFonts w:ascii="Verdana" w:hAnsi="Verdana" w:cs="Verdana-Italic"/>
          <w:iCs/>
          <w:spacing w:val="-2"/>
          <w:sz w:val="20"/>
          <w:szCs w:val="20"/>
          <w:lang w:bidi="en-US"/>
        </w:rPr>
        <w:t xml:space="preserve"> “[e]</w:t>
      </w:r>
      <w:r w:rsidR="008D4A26" w:rsidRPr="00CA32B3">
        <w:rPr>
          <w:rFonts w:ascii="Verdana" w:hAnsi="Verdana"/>
          <w:spacing w:val="-2"/>
          <w:sz w:val="20"/>
          <w:szCs w:val="20"/>
        </w:rPr>
        <w:t xml:space="preserve">n caso de identificar los restos, estos deberán ser entregados a sus familiares, previa comprobación genética de filiación o reconocimiento por los medios adecuados e idóneos, según sea el caso, a la mayor brevedad y sin costo alguno para dichos familiares. </w:t>
      </w:r>
      <w:r w:rsidR="008D4A26" w:rsidRPr="00CA32B3">
        <w:rPr>
          <w:rFonts w:ascii="Verdana" w:hAnsi="Verdana" w:cs="Verdana-Italic"/>
          <w:iCs/>
          <w:spacing w:val="-2"/>
          <w:sz w:val="20"/>
          <w:szCs w:val="20"/>
          <w:lang w:bidi="en-US"/>
        </w:rPr>
        <w:t>Además, el Estado deberá cubrir los gastos fúnebres, en su caso, de común acuerdo con los familiares</w:t>
      </w:r>
      <w:r w:rsidR="008D4A26" w:rsidRPr="00CA32B3">
        <w:rPr>
          <w:rFonts w:ascii="Verdana" w:eastAsia="Calibri" w:hAnsi="Verdana" w:cs="Verdana-Italic"/>
          <w:spacing w:val="-2"/>
          <w:sz w:val="20"/>
          <w:szCs w:val="20"/>
        </w:rPr>
        <w:t>”</w:t>
      </w:r>
      <w:r w:rsidR="008D4A26" w:rsidRPr="00CA32B3">
        <w:rPr>
          <w:rFonts w:ascii="Verdana" w:hAnsi="Verdana" w:cs="Verdana-Italic"/>
          <w:iCs/>
          <w:spacing w:val="-2"/>
          <w:sz w:val="20"/>
          <w:szCs w:val="20"/>
          <w:lang w:bidi="en-US"/>
        </w:rPr>
        <w:t>.</w:t>
      </w:r>
    </w:p>
    <w:p w14:paraId="2722892B" w14:textId="77777777" w:rsidR="008D4A26" w:rsidRPr="00CA32B3" w:rsidRDefault="008D4A26" w:rsidP="00690FE6">
      <w:pPr>
        <w:pStyle w:val="Prrafodelista"/>
        <w:suppressLineNumbers/>
        <w:autoSpaceDE w:val="0"/>
        <w:autoSpaceDN w:val="0"/>
        <w:adjustRightInd w:val="0"/>
        <w:spacing w:after="0" w:line="240" w:lineRule="auto"/>
        <w:ind w:left="0"/>
        <w:jc w:val="both"/>
        <w:rPr>
          <w:rFonts w:ascii="Verdana" w:hAnsi="Verdana"/>
          <w:spacing w:val="-2"/>
          <w:sz w:val="20"/>
          <w:szCs w:val="20"/>
          <w:lang w:val="es-CR"/>
        </w:rPr>
      </w:pPr>
    </w:p>
    <w:p w14:paraId="25747D30" w14:textId="6235B160" w:rsidR="0084162D" w:rsidRPr="00CA32B3" w:rsidRDefault="002666C8" w:rsidP="00690FE6">
      <w:pPr>
        <w:pStyle w:val="Prrafodelista"/>
        <w:numPr>
          <w:ilvl w:val="0"/>
          <w:numId w:val="3"/>
        </w:numPr>
        <w:suppressLineNumbers/>
        <w:autoSpaceDE w:val="0"/>
        <w:autoSpaceDN w:val="0"/>
        <w:adjustRightInd w:val="0"/>
        <w:spacing w:after="0" w:line="240" w:lineRule="auto"/>
        <w:ind w:left="0" w:firstLine="0"/>
        <w:jc w:val="both"/>
        <w:rPr>
          <w:rFonts w:ascii="Verdana" w:hAnsi="Verdana"/>
          <w:spacing w:val="-2"/>
          <w:sz w:val="18"/>
          <w:szCs w:val="20"/>
        </w:rPr>
      </w:pPr>
      <w:r w:rsidRPr="00CA32B3">
        <w:rPr>
          <w:rFonts w:ascii="Verdana" w:hAnsi="Verdana"/>
          <w:sz w:val="20"/>
        </w:rPr>
        <w:t>Al respecto, la Corte recuerda que e</w:t>
      </w:r>
      <w:r w:rsidR="00CA1E81" w:rsidRPr="00CA32B3">
        <w:rPr>
          <w:rFonts w:ascii="Verdana" w:hAnsi="Verdana"/>
          <w:sz w:val="20"/>
        </w:rPr>
        <w:t>n la S</w:t>
      </w:r>
      <w:r w:rsidRPr="00CA32B3">
        <w:rPr>
          <w:rFonts w:ascii="Verdana" w:hAnsi="Verdana"/>
          <w:sz w:val="20"/>
        </w:rPr>
        <w:t xml:space="preserve">entencia </w:t>
      </w:r>
      <w:r w:rsidR="00CA1E81" w:rsidRPr="00CA32B3">
        <w:rPr>
          <w:rFonts w:ascii="Verdana" w:hAnsi="Verdana"/>
          <w:sz w:val="20"/>
        </w:rPr>
        <w:t xml:space="preserve">tuvo por probado </w:t>
      </w:r>
      <w:r w:rsidR="0084162D" w:rsidRPr="00CA32B3">
        <w:rPr>
          <w:rFonts w:ascii="Verdana" w:hAnsi="Verdana"/>
          <w:sz w:val="20"/>
        </w:rPr>
        <w:t xml:space="preserve">que, el 4 de julio de 1991, las 15 víctimas del presente caso fueron </w:t>
      </w:r>
      <w:r w:rsidR="00203265" w:rsidRPr="00CA32B3">
        <w:rPr>
          <w:rFonts w:ascii="Verdana" w:hAnsi="Verdana"/>
          <w:sz w:val="20"/>
        </w:rPr>
        <w:t>acribilladas en la mina llamada ‘</w:t>
      </w:r>
      <w:r w:rsidR="0084162D" w:rsidRPr="00CA32B3">
        <w:rPr>
          <w:rFonts w:ascii="Verdana" w:hAnsi="Verdana"/>
          <w:sz w:val="20"/>
        </w:rPr>
        <w:t>Misteriosa</w:t>
      </w:r>
      <w:r w:rsidR="00203265" w:rsidRPr="00CA32B3">
        <w:rPr>
          <w:rFonts w:ascii="Verdana" w:hAnsi="Verdana"/>
          <w:sz w:val="20"/>
        </w:rPr>
        <w:t>’</w:t>
      </w:r>
      <w:r w:rsidR="0084162D" w:rsidRPr="00CA32B3">
        <w:rPr>
          <w:rFonts w:ascii="Verdana" w:hAnsi="Verdana"/>
          <w:sz w:val="20"/>
        </w:rPr>
        <w:t xml:space="preserve"> o </w:t>
      </w:r>
      <w:r w:rsidR="00203265" w:rsidRPr="00CA32B3">
        <w:rPr>
          <w:rFonts w:ascii="Verdana" w:hAnsi="Verdana"/>
          <w:sz w:val="20"/>
        </w:rPr>
        <w:t>‘</w:t>
      </w:r>
      <w:r w:rsidR="0084162D" w:rsidRPr="00CA32B3">
        <w:rPr>
          <w:rFonts w:ascii="Verdana" w:hAnsi="Verdana"/>
          <w:sz w:val="20"/>
        </w:rPr>
        <w:t>Vallarón</w:t>
      </w:r>
      <w:r w:rsidR="00203265" w:rsidRPr="00CA32B3">
        <w:rPr>
          <w:rFonts w:ascii="Verdana" w:hAnsi="Verdana"/>
          <w:sz w:val="20"/>
        </w:rPr>
        <w:t>’</w:t>
      </w:r>
      <w:r w:rsidR="0084162D" w:rsidRPr="00CA32B3">
        <w:rPr>
          <w:rFonts w:ascii="Verdana" w:hAnsi="Verdana"/>
          <w:sz w:val="20"/>
        </w:rPr>
        <w:t xml:space="preserve"> y sus cuerpos fueron dinamitados, lo que provocó su fraccionamiento</w:t>
      </w:r>
      <w:r w:rsidR="005A053E" w:rsidRPr="00CA32B3">
        <w:rPr>
          <w:rFonts w:ascii="Verdana" w:hAnsi="Verdana"/>
          <w:sz w:val="20"/>
        </w:rPr>
        <w:t xml:space="preserve"> (</w:t>
      </w:r>
      <w:r w:rsidR="005A053E" w:rsidRPr="00CA32B3">
        <w:rPr>
          <w:rFonts w:ascii="Verdana" w:hAnsi="Verdana"/>
          <w:i/>
          <w:sz w:val="20"/>
        </w:rPr>
        <w:t>supra</w:t>
      </w:r>
      <w:r w:rsidR="005A053E" w:rsidRPr="00CA32B3">
        <w:rPr>
          <w:rFonts w:ascii="Verdana" w:hAnsi="Verdana"/>
          <w:sz w:val="20"/>
        </w:rPr>
        <w:t xml:space="preserve"> Visto 1)</w:t>
      </w:r>
      <w:r w:rsidR="0084162D" w:rsidRPr="00CA32B3">
        <w:rPr>
          <w:rFonts w:ascii="Verdana" w:hAnsi="Verdana"/>
          <w:sz w:val="20"/>
        </w:rPr>
        <w:t xml:space="preserve">. </w:t>
      </w:r>
      <w:r w:rsidR="0057177B" w:rsidRPr="00CA32B3">
        <w:rPr>
          <w:rFonts w:ascii="Verdana" w:hAnsi="Verdana"/>
          <w:sz w:val="20"/>
          <w:szCs w:val="20"/>
        </w:rPr>
        <w:t>E</w:t>
      </w:r>
      <w:r w:rsidR="0084162D" w:rsidRPr="00CA32B3">
        <w:rPr>
          <w:rFonts w:ascii="Verdana" w:hAnsi="Verdana"/>
          <w:sz w:val="20"/>
          <w:szCs w:val="20"/>
        </w:rPr>
        <w:t xml:space="preserve">l 18 de julio de 1991 se realizaron </w:t>
      </w:r>
      <w:r w:rsidR="0057177B" w:rsidRPr="00CA32B3">
        <w:rPr>
          <w:rFonts w:ascii="Verdana" w:hAnsi="Verdana"/>
          <w:sz w:val="20"/>
          <w:szCs w:val="20"/>
        </w:rPr>
        <w:t xml:space="preserve">diligencias de exhumación en dicha mina, </w:t>
      </w:r>
      <w:r w:rsidR="0084162D" w:rsidRPr="00CA32B3">
        <w:rPr>
          <w:rFonts w:ascii="Verdana" w:hAnsi="Verdana"/>
          <w:sz w:val="20"/>
          <w:szCs w:val="20"/>
        </w:rPr>
        <w:t>en la cual se hallaron restos humanos</w:t>
      </w:r>
      <w:r w:rsidR="005A053E" w:rsidRPr="00CA32B3">
        <w:rPr>
          <w:rFonts w:ascii="Verdana" w:hAnsi="Verdana"/>
          <w:sz w:val="20"/>
          <w:szCs w:val="20"/>
        </w:rPr>
        <w:t xml:space="preserve">. </w:t>
      </w:r>
      <w:r w:rsidR="0057177B" w:rsidRPr="00CA32B3">
        <w:rPr>
          <w:rFonts w:ascii="Verdana" w:hAnsi="Verdana"/>
          <w:sz w:val="20"/>
          <w:szCs w:val="20"/>
        </w:rPr>
        <w:t xml:space="preserve">Sin embargo, no se aportó </w:t>
      </w:r>
      <w:r w:rsidR="0084162D" w:rsidRPr="00CA32B3">
        <w:rPr>
          <w:rFonts w:ascii="Verdana" w:hAnsi="Verdana"/>
          <w:sz w:val="20"/>
          <w:szCs w:val="20"/>
        </w:rPr>
        <w:t xml:space="preserve">información sobre lo que había ocurrido con la evidencia recolectada </w:t>
      </w:r>
      <w:r w:rsidR="00C20541" w:rsidRPr="00CA32B3">
        <w:rPr>
          <w:rFonts w:ascii="Verdana" w:hAnsi="Verdana"/>
          <w:sz w:val="20"/>
          <w:szCs w:val="20"/>
        </w:rPr>
        <w:t>y t</w:t>
      </w:r>
      <w:r w:rsidR="0084162D" w:rsidRPr="00CA32B3">
        <w:rPr>
          <w:rFonts w:ascii="Verdana" w:hAnsi="Verdana"/>
          <w:sz w:val="20"/>
          <w:szCs w:val="20"/>
        </w:rPr>
        <w:t xml:space="preserve">ampoco se tuvo conocimiento </w:t>
      </w:r>
      <w:r w:rsidR="001B4F59" w:rsidRPr="00CA32B3">
        <w:rPr>
          <w:rFonts w:ascii="Verdana" w:hAnsi="Verdana"/>
          <w:sz w:val="20"/>
          <w:szCs w:val="20"/>
        </w:rPr>
        <w:t xml:space="preserve">de </w:t>
      </w:r>
      <w:r w:rsidR="0084162D" w:rsidRPr="00CA32B3">
        <w:rPr>
          <w:rFonts w:ascii="Verdana" w:hAnsi="Verdana"/>
          <w:sz w:val="20"/>
          <w:szCs w:val="20"/>
        </w:rPr>
        <w:t xml:space="preserve">que el sitio de la mina hubiera sido custodiado a fin de evitar alteraciones. </w:t>
      </w:r>
      <w:r w:rsidR="0057177B" w:rsidRPr="00CA32B3">
        <w:rPr>
          <w:rFonts w:ascii="Verdana" w:hAnsi="Verdana"/>
          <w:sz w:val="20"/>
          <w:szCs w:val="20"/>
        </w:rPr>
        <w:t xml:space="preserve">La Corte estableció que, durante los primeros 18 años de la ocurrencia de los hechos, hubo una omisión absoluta por parte del Estado de realizar actividad investigativa a fin de buscar, recuperar y eventualmente identificar a las 15 víctimas de este caso. </w:t>
      </w:r>
      <w:r w:rsidR="0084162D" w:rsidRPr="00CA32B3">
        <w:rPr>
          <w:rFonts w:ascii="Verdana" w:hAnsi="Verdana"/>
          <w:sz w:val="20"/>
          <w:szCs w:val="20"/>
        </w:rPr>
        <w:t>Posteriormente, entre los años 2009 y 2011, se practi</w:t>
      </w:r>
      <w:r w:rsidR="0057177B" w:rsidRPr="00CA32B3">
        <w:rPr>
          <w:rFonts w:ascii="Verdana" w:hAnsi="Verdana"/>
          <w:sz w:val="20"/>
          <w:szCs w:val="20"/>
        </w:rPr>
        <w:t>caron nuevas diligencias en la m</w:t>
      </w:r>
      <w:r w:rsidR="0084162D" w:rsidRPr="00CA32B3">
        <w:rPr>
          <w:rFonts w:ascii="Verdana" w:hAnsi="Verdana"/>
          <w:sz w:val="20"/>
          <w:szCs w:val="20"/>
        </w:rPr>
        <w:t xml:space="preserve">ina, sin que se siguieran las recomendaciones realizadas por los expertos respecto a la intervención del sitio. En el año 2010 se realizaron análisis biomoleculares a nivel genético (ADN) de los restos óseos recuperados en la mina en diligencias de exhumación llevadas a cabo ese mismo año, sin </w:t>
      </w:r>
      <w:r w:rsidR="00C26BFC" w:rsidRPr="00CA32B3">
        <w:rPr>
          <w:rFonts w:ascii="Verdana" w:hAnsi="Verdana"/>
          <w:sz w:val="20"/>
          <w:szCs w:val="20"/>
        </w:rPr>
        <w:t>resultados concretos y ciertos sobre la eventual identificación de las víctimas</w:t>
      </w:r>
      <w:r w:rsidR="00E623F2" w:rsidRPr="00CA32B3">
        <w:rPr>
          <w:rFonts w:ascii="Verdana" w:hAnsi="Verdana"/>
          <w:sz w:val="20"/>
          <w:szCs w:val="20"/>
        </w:rPr>
        <w:t xml:space="preserve"> “debido a la falta de muestra de familiares con quién comparar los </w:t>
      </w:r>
      <w:r w:rsidR="00E623F2" w:rsidRPr="00CA32B3">
        <w:rPr>
          <w:rFonts w:ascii="Verdana" w:hAnsi="Verdana" w:cs="Calibri"/>
          <w:sz w:val="20"/>
          <w:szCs w:val="20"/>
        </w:rPr>
        <w:t xml:space="preserve">[…] </w:t>
      </w:r>
      <w:r w:rsidR="00E623F2" w:rsidRPr="00CA32B3">
        <w:rPr>
          <w:rFonts w:ascii="Verdana" w:hAnsi="Verdana"/>
          <w:sz w:val="20"/>
          <w:szCs w:val="20"/>
        </w:rPr>
        <w:t>perfiles de ADN obtenidos de los restos óseos, la escasa muestra de restos óseos obtenida en el lugar de los hechos y el mal estado de conservación en que estos se encontraban”</w:t>
      </w:r>
      <w:r w:rsidR="005A053E" w:rsidRPr="00CA32B3">
        <w:rPr>
          <w:rStyle w:val="Refdenotaalpie"/>
          <w:rFonts w:ascii="Verdana" w:hAnsi="Verdana"/>
          <w:sz w:val="20"/>
          <w:szCs w:val="20"/>
        </w:rPr>
        <w:footnoteReference w:id="38"/>
      </w:r>
      <w:r w:rsidR="00E623F2" w:rsidRPr="00CA32B3">
        <w:rPr>
          <w:rFonts w:ascii="Verdana" w:hAnsi="Verdana"/>
          <w:sz w:val="20"/>
          <w:szCs w:val="20"/>
        </w:rPr>
        <w:t>.</w:t>
      </w:r>
      <w:r w:rsidR="005A053E" w:rsidRPr="00CA32B3">
        <w:rPr>
          <w:rFonts w:ascii="Verdana" w:hAnsi="Verdana"/>
          <w:sz w:val="20"/>
          <w:szCs w:val="20"/>
        </w:rPr>
        <w:t xml:space="preserve"> </w:t>
      </w:r>
      <w:r w:rsidR="00E623F2" w:rsidRPr="00CA32B3">
        <w:rPr>
          <w:rFonts w:ascii="Verdana" w:hAnsi="Verdana"/>
          <w:sz w:val="20"/>
          <w:szCs w:val="20"/>
        </w:rPr>
        <w:t>En consecuencia, la Corte afirmó que la investigación forense se caracterizó por una clara falta de seriedad y debida diligencia</w:t>
      </w:r>
      <w:r w:rsidR="00C20541" w:rsidRPr="00CA32B3">
        <w:rPr>
          <w:rFonts w:ascii="Verdana" w:hAnsi="Verdana"/>
          <w:sz w:val="20"/>
          <w:szCs w:val="20"/>
        </w:rPr>
        <w:t xml:space="preserve">, y </w:t>
      </w:r>
      <w:r w:rsidR="00E623F2" w:rsidRPr="00CA32B3">
        <w:rPr>
          <w:rFonts w:ascii="Verdana" w:hAnsi="Verdana"/>
          <w:sz w:val="20"/>
          <w:szCs w:val="20"/>
        </w:rPr>
        <w:t xml:space="preserve">concluyó que permanecía la falta de un esclarecimiento definitivo del paradero de las 15 víctimas desaparecidas forzadamente </w:t>
      </w:r>
      <w:r w:rsidR="001B4F59" w:rsidRPr="00CA32B3">
        <w:rPr>
          <w:rFonts w:ascii="Verdana" w:hAnsi="Verdana"/>
          <w:sz w:val="20"/>
          <w:szCs w:val="20"/>
        </w:rPr>
        <w:t>así como</w:t>
      </w:r>
      <w:r w:rsidR="00E623F2" w:rsidRPr="00CA32B3">
        <w:rPr>
          <w:rFonts w:ascii="Verdana" w:hAnsi="Verdana"/>
          <w:sz w:val="20"/>
          <w:szCs w:val="20"/>
        </w:rPr>
        <w:t xml:space="preserve"> la incertidumbre sobre si los restos encontrados y recuperados en los </w:t>
      </w:r>
      <w:r w:rsidR="00E623F2" w:rsidRPr="00CA32B3">
        <w:rPr>
          <w:rFonts w:ascii="Verdana" w:hAnsi="Verdana"/>
          <w:sz w:val="20"/>
          <w:szCs w:val="20"/>
        </w:rPr>
        <w:lastRenderedPageBreak/>
        <w:t>año</w:t>
      </w:r>
      <w:r w:rsidR="00203265" w:rsidRPr="00CA32B3">
        <w:rPr>
          <w:rFonts w:ascii="Verdana" w:hAnsi="Verdana"/>
          <w:sz w:val="20"/>
          <w:szCs w:val="20"/>
        </w:rPr>
        <w:t>s 2009, 2010 y 2011 en la mina ‘</w:t>
      </w:r>
      <w:r w:rsidR="00E623F2" w:rsidRPr="00CA32B3">
        <w:rPr>
          <w:rFonts w:ascii="Verdana" w:hAnsi="Verdana"/>
          <w:sz w:val="20"/>
          <w:szCs w:val="20"/>
        </w:rPr>
        <w:t>Misteri</w:t>
      </w:r>
      <w:r w:rsidR="001B4F59" w:rsidRPr="00CA32B3">
        <w:rPr>
          <w:rFonts w:ascii="Verdana" w:hAnsi="Verdana"/>
          <w:sz w:val="20"/>
          <w:szCs w:val="20"/>
        </w:rPr>
        <w:t>osa</w:t>
      </w:r>
      <w:r w:rsidR="00203265" w:rsidRPr="00CA32B3">
        <w:rPr>
          <w:rFonts w:ascii="Verdana" w:hAnsi="Verdana"/>
          <w:sz w:val="20"/>
          <w:szCs w:val="20"/>
        </w:rPr>
        <w:t>’</w:t>
      </w:r>
      <w:r w:rsidR="001B4F59" w:rsidRPr="00CA32B3">
        <w:rPr>
          <w:rFonts w:ascii="Verdana" w:hAnsi="Verdana"/>
          <w:sz w:val="20"/>
          <w:szCs w:val="20"/>
        </w:rPr>
        <w:t xml:space="preserve"> o </w:t>
      </w:r>
      <w:r w:rsidR="00203265" w:rsidRPr="00CA32B3">
        <w:rPr>
          <w:rFonts w:ascii="Verdana" w:hAnsi="Verdana"/>
          <w:sz w:val="20"/>
          <w:szCs w:val="20"/>
        </w:rPr>
        <w:t>‘</w:t>
      </w:r>
      <w:r w:rsidR="001B4F59" w:rsidRPr="00CA32B3">
        <w:rPr>
          <w:rFonts w:ascii="Verdana" w:hAnsi="Verdana"/>
          <w:sz w:val="20"/>
          <w:szCs w:val="20"/>
        </w:rPr>
        <w:t>Vallarón</w:t>
      </w:r>
      <w:r w:rsidR="00203265" w:rsidRPr="00CA32B3">
        <w:rPr>
          <w:rFonts w:ascii="Verdana" w:hAnsi="Verdana"/>
          <w:sz w:val="20"/>
          <w:szCs w:val="20"/>
        </w:rPr>
        <w:t>’</w:t>
      </w:r>
      <w:r w:rsidR="001B4F59" w:rsidRPr="00CA32B3">
        <w:rPr>
          <w:rFonts w:ascii="Verdana" w:hAnsi="Verdana"/>
          <w:sz w:val="20"/>
          <w:szCs w:val="20"/>
        </w:rPr>
        <w:t xml:space="preserve"> les pertenecen</w:t>
      </w:r>
      <w:r w:rsidR="00E623F2" w:rsidRPr="00CA32B3">
        <w:rPr>
          <w:rFonts w:ascii="Verdana" w:hAnsi="Verdana"/>
          <w:sz w:val="20"/>
          <w:szCs w:val="20"/>
        </w:rPr>
        <w:t xml:space="preserve">. Además, sostuvo </w:t>
      </w:r>
      <w:r w:rsidR="00B55A2F" w:rsidRPr="00CA32B3">
        <w:rPr>
          <w:rFonts w:ascii="Verdana" w:hAnsi="Verdana"/>
          <w:sz w:val="20"/>
          <w:szCs w:val="20"/>
        </w:rPr>
        <w:t xml:space="preserve">que </w:t>
      </w:r>
      <w:r w:rsidR="00E623F2" w:rsidRPr="00CA32B3">
        <w:rPr>
          <w:rFonts w:ascii="Verdana" w:hAnsi="Verdana"/>
          <w:sz w:val="20"/>
          <w:szCs w:val="20"/>
        </w:rPr>
        <w:t>no es posible descartar que en el sitio pudieran aún encontrars</w:t>
      </w:r>
      <w:r w:rsidR="0057177B" w:rsidRPr="00CA32B3">
        <w:rPr>
          <w:rFonts w:ascii="Verdana" w:hAnsi="Verdana"/>
          <w:sz w:val="20"/>
          <w:szCs w:val="20"/>
        </w:rPr>
        <w:t>e restos óseos, pues no se tenía</w:t>
      </w:r>
      <w:r w:rsidR="00E623F2" w:rsidRPr="00CA32B3">
        <w:rPr>
          <w:rFonts w:ascii="Verdana" w:hAnsi="Verdana"/>
          <w:sz w:val="20"/>
          <w:szCs w:val="20"/>
        </w:rPr>
        <w:t xml:space="preserve"> certeza sobre si el sitio fue excavado en su totalidad.</w:t>
      </w:r>
    </w:p>
    <w:p w14:paraId="47EFCFDB" w14:textId="396D848D" w:rsidR="00801185" w:rsidRPr="00CA32B3" w:rsidRDefault="00801185" w:rsidP="00690FE6">
      <w:pPr>
        <w:widowControl w:val="0"/>
        <w:suppressLineNumbers/>
        <w:spacing w:after="0" w:line="240" w:lineRule="auto"/>
        <w:jc w:val="both"/>
        <w:rPr>
          <w:rFonts w:ascii="Verdana" w:hAnsi="Verdana"/>
          <w:i/>
          <w:sz w:val="20"/>
          <w:szCs w:val="20"/>
        </w:rPr>
      </w:pPr>
    </w:p>
    <w:p w14:paraId="3982F2CF" w14:textId="77777777" w:rsidR="006D03EC" w:rsidRPr="00CA32B3" w:rsidRDefault="006D03EC" w:rsidP="00690FE6">
      <w:pPr>
        <w:widowControl w:val="0"/>
        <w:suppressLineNumbers/>
        <w:spacing w:after="0" w:line="240" w:lineRule="auto"/>
        <w:jc w:val="both"/>
        <w:rPr>
          <w:rFonts w:ascii="Verdana" w:hAnsi="Verdana"/>
          <w:i/>
          <w:sz w:val="20"/>
          <w:szCs w:val="20"/>
        </w:rPr>
      </w:pPr>
    </w:p>
    <w:p w14:paraId="67C1B56F" w14:textId="41A7F080" w:rsidR="009D1D1E" w:rsidRPr="00CA32B3" w:rsidRDefault="00801185" w:rsidP="00690FE6">
      <w:pPr>
        <w:widowControl w:val="0"/>
        <w:suppressLineNumbers/>
        <w:spacing w:after="0" w:line="240" w:lineRule="auto"/>
        <w:ind w:firstLine="708"/>
        <w:jc w:val="both"/>
        <w:rPr>
          <w:rFonts w:ascii="Verdana" w:hAnsi="Verdana"/>
          <w:i/>
          <w:sz w:val="20"/>
          <w:szCs w:val="20"/>
        </w:rPr>
      </w:pPr>
      <w:r w:rsidRPr="00CA32B3">
        <w:rPr>
          <w:rFonts w:ascii="Verdana" w:hAnsi="Verdana"/>
          <w:i/>
          <w:sz w:val="20"/>
          <w:szCs w:val="20"/>
        </w:rPr>
        <w:t>B.2</w:t>
      </w:r>
      <w:r w:rsidR="009D1D1E" w:rsidRPr="00CA32B3">
        <w:rPr>
          <w:rFonts w:ascii="Verdana" w:hAnsi="Verdana"/>
          <w:i/>
          <w:sz w:val="20"/>
          <w:szCs w:val="20"/>
        </w:rPr>
        <w:t xml:space="preserve">. </w:t>
      </w:r>
      <w:r w:rsidR="009D1D1E" w:rsidRPr="00CA32B3">
        <w:rPr>
          <w:rFonts w:ascii="Verdana" w:hAnsi="Verdana"/>
          <w:i/>
          <w:sz w:val="20"/>
          <w:szCs w:val="20"/>
        </w:rPr>
        <w:tab/>
        <w:t>Consideraciones de la Corte</w:t>
      </w:r>
    </w:p>
    <w:p w14:paraId="0D5A4B54" w14:textId="77777777" w:rsidR="009D1D1E" w:rsidRPr="00CA32B3" w:rsidRDefault="009D1D1E" w:rsidP="00690FE6">
      <w:pPr>
        <w:widowControl w:val="0"/>
        <w:suppressLineNumbers/>
        <w:spacing w:after="0" w:line="240" w:lineRule="auto"/>
        <w:jc w:val="both"/>
        <w:rPr>
          <w:rFonts w:ascii="Verdana" w:hAnsi="Verdana"/>
          <w:b/>
          <w:i/>
          <w:sz w:val="19"/>
          <w:szCs w:val="19"/>
        </w:rPr>
      </w:pPr>
    </w:p>
    <w:p w14:paraId="431045F2" w14:textId="14A3ADCF" w:rsidR="00F04B4C" w:rsidRPr="00CA32B3" w:rsidRDefault="00801185" w:rsidP="00690FE6">
      <w:pPr>
        <w:pStyle w:val="Prrafodelista"/>
        <w:numPr>
          <w:ilvl w:val="0"/>
          <w:numId w:val="3"/>
        </w:numPr>
        <w:suppressLineNumbers/>
        <w:autoSpaceDE w:val="0"/>
        <w:autoSpaceDN w:val="0"/>
        <w:adjustRightInd w:val="0"/>
        <w:spacing w:after="0" w:line="240" w:lineRule="auto"/>
        <w:ind w:left="0" w:firstLine="0"/>
        <w:jc w:val="both"/>
        <w:rPr>
          <w:rFonts w:ascii="Verdana" w:hAnsi="Verdana"/>
          <w:sz w:val="20"/>
          <w:szCs w:val="20"/>
        </w:rPr>
      </w:pPr>
      <w:r w:rsidRPr="00CA32B3">
        <w:rPr>
          <w:rFonts w:ascii="Verdana" w:hAnsi="Verdana"/>
          <w:sz w:val="20"/>
          <w:szCs w:val="20"/>
        </w:rPr>
        <w:t xml:space="preserve">El Tribunal </w:t>
      </w:r>
      <w:r w:rsidR="00F04B4C" w:rsidRPr="00CA32B3">
        <w:rPr>
          <w:rFonts w:ascii="Verdana" w:hAnsi="Verdana"/>
          <w:sz w:val="20"/>
          <w:szCs w:val="20"/>
        </w:rPr>
        <w:t>recuerda que la medida ordenada</w:t>
      </w:r>
      <w:r w:rsidR="001B4F59" w:rsidRPr="00CA32B3">
        <w:rPr>
          <w:rFonts w:ascii="Verdana" w:hAnsi="Verdana"/>
          <w:sz w:val="20"/>
          <w:szCs w:val="20"/>
        </w:rPr>
        <w:t xml:space="preserve"> en la Sentencia emitida en</w:t>
      </w:r>
      <w:r w:rsidR="00F04B4C" w:rsidRPr="00CA32B3">
        <w:rPr>
          <w:rFonts w:ascii="Verdana" w:hAnsi="Verdana"/>
          <w:sz w:val="20"/>
          <w:szCs w:val="20"/>
        </w:rPr>
        <w:t xml:space="preserve"> 2015 estaba dirigida a que </w:t>
      </w:r>
      <w:r w:rsidR="00526F07" w:rsidRPr="00CA32B3">
        <w:rPr>
          <w:rFonts w:ascii="Verdana" w:hAnsi="Verdana"/>
          <w:sz w:val="20"/>
          <w:szCs w:val="20"/>
        </w:rPr>
        <w:t xml:space="preserve">se </w:t>
      </w:r>
      <w:r w:rsidR="00B97130" w:rsidRPr="00CA32B3">
        <w:rPr>
          <w:rFonts w:ascii="Verdana" w:hAnsi="Verdana"/>
          <w:sz w:val="20"/>
          <w:szCs w:val="20"/>
        </w:rPr>
        <w:t xml:space="preserve">recuperaran </w:t>
      </w:r>
      <w:r w:rsidR="00526F07" w:rsidRPr="00CA32B3">
        <w:rPr>
          <w:rFonts w:ascii="Verdana" w:hAnsi="Verdana"/>
          <w:sz w:val="20"/>
          <w:szCs w:val="20"/>
        </w:rPr>
        <w:t xml:space="preserve">en su totalidad los restos óseos que pudieran estar localizados en la mina en la cual </w:t>
      </w:r>
      <w:r w:rsidR="00FA1C70" w:rsidRPr="00CA32B3">
        <w:rPr>
          <w:rFonts w:ascii="Verdana" w:hAnsi="Verdana"/>
          <w:sz w:val="20"/>
          <w:szCs w:val="20"/>
        </w:rPr>
        <w:t xml:space="preserve">mataron a las </w:t>
      </w:r>
      <w:r w:rsidR="00E039D2" w:rsidRPr="00CA32B3">
        <w:rPr>
          <w:rFonts w:ascii="Verdana" w:hAnsi="Verdana"/>
          <w:sz w:val="20"/>
          <w:szCs w:val="20"/>
        </w:rPr>
        <w:t xml:space="preserve">15 </w:t>
      </w:r>
      <w:r w:rsidR="00526F07" w:rsidRPr="00CA32B3">
        <w:rPr>
          <w:rFonts w:ascii="Verdana" w:hAnsi="Verdana"/>
          <w:sz w:val="20"/>
          <w:szCs w:val="20"/>
        </w:rPr>
        <w:t xml:space="preserve">víctimas </w:t>
      </w:r>
      <w:r w:rsidR="00FA1C70" w:rsidRPr="00CA32B3">
        <w:rPr>
          <w:rFonts w:ascii="Verdana" w:hAnsi="Verdana"/>
          <w:sz w:val="20"/>
          <w:szCs w:val="20"/>
        </w:rPr>
        <w:t>en 1991 (</w:t>
      </w:r>
      <w:r w:rsidR="00FA1C70" w:rsidRPr="00CA32B3">
        <w:rPr>
          <w:rFonts w:ascii="Verdana" w:hAnsi="Verdana"/>
          <w:i/>
          <w:sz w:val="20"/>
          <w:szCs w:val="20"/>
        </w:rPr>
        <w:t xml:space="preserve">supra </w:t>
      </w:r>
      <w:r w:rsidR="002131DC" w:rsidRPr="00CA32B3">
        <w:rPr>
          <w:rFonts w:ascii="Verdana" w:hAnsi="Verdana"/>
          <w:sz w:val="20"/>
          <w:szCs w:val="20"/>
        </w:rPr>
        <w:t>Considerando 23</w:t>
      </w:r>
      <w:r w:rsidR="00FA1C70" w:rsidRPr="00CA32B3">
        <w:rPr>
          <w:rFonts w:ascii="Verdana" w:hAnsi="Verdana"/>
          <w:sz w:val="20"/>
          <w:szCs w:val="20"/>
        </w:rPr>
        <w:t xml:space="preserve">), así como que se realizaran todas las diligencias posibles para </w:t>
      </w:r>
      <w:r w:rsidR="00B97130" w:rsidRPr="00CA32B3">
        <w:rPr>
          <w:rFonts w:ascii="Verdana" w:hAnsi="Verdana"/>
          <w:sz w:val="20"/>
          <w:szCs w:val="20"/>
        </w:rPr>
        <w:t xml:space="preserve">examinar y, de ser posible, </w:t>
      </w:r>
      <w:r w:rsidR="00FA1C70" w:rsidRPr="00CA32B3">
        <w:rPr>
          <w:rFonts w:ascii="Verdana" w:hAnsi="Verdana"/>
          <w:sz w:val="20"/>
          <w:szCs w:val="20"/>
        </w:rPr>
        <w:t xml:space="preserve">identificar los restos recuperados antes de la Sentencia </w:t>
      </w:r>
      <w:r w:rsidR="002131DC" w:rsidRPr="00CA32B3">
        <w:rPr>
          <w:rFonts w:ascii="Verdana" w:hAnsi="Verdana"/>
          <w:sz w:val="20"/>
          <w:szCs w:val="20"/>
        </w:rPr>
        <w:t>(</w:t>
      </w:r>
      <w:r w:rsidR="002131DC" w:rsidRPr="00CA32B3">
        <w:rPr>
          <w:rFonts w:ascii="Verdana" w:hAnsi="Verdana"/>
          <w:i/>
          <w:sz w:val="20"/>
          <w:szCs w:val="20"/>
        </w:rPr>
        <w:t>supra</w:t>
      </w:r>
      <w:r w:rsidR="002131DC" w:rsidRPr="00CA32B3">
        <w:rPr>
          <w:rFonts w:ascii="Verdana" w:hAnsi="Verdana"/>
          <w:sz w:val="20"/>
          <w:szCs w:val="20"/>
        </w:rPr>
        <w:t xml:space="preserve"> Considerando 24) </w:t>
      </w:r>
      <w:r w:rsidR="00FA1C70" w:rsidRPr="00CA32B3">
        <w:rPr>
          <w:rFonts w:ascii="Verdana" w:hAnsi="Verdana"/>
          <w:sz w:val="20"/>
          <w:szCs w:val="20"/>
        </w:rPr>
        <w:t xml:space="preserve">y con posterioridad. Asimismo, </w:t>
      </w:r>
      <w:r w:rsidR="00F04B4C" w:rsidRPr="00CA32B3">
        <w:rPr>
          <w:rFonts w:ascii="Verdana" w:hAnsi="Verdana"/>
          <w:sz w:val="20"/>
          <w:szCs w:val="20"/>
        </w:rPr>
        <w:t>“</w:t>
      </w:r>
      <w:r w:rsidR="00F04B4C" w:rsidRPr="00CA32B3">
        <w:rPr>
          <w:rFonts w:ascii="Verdana" w:hAnsi="Verdana" w:cs="Calibri"/>
          <w:sz w:val="20"/>
          <w:szCs w:val="20"/>
        </w:rPr>
        <w:t>[</w:t>
      </w:r>
      <w:r w:rsidR="00F04B4C" w:rsidRPr="00CA32B3">
        <w:rPr>
          <w:rFonts w:ascii="Verdana" w:hAnsi="Verdana"/>
          <w:sz w:val="20"/>
          <w:szCs w:val="20"/>
        </w:rPr>
        <w:t>e</w:t>
      </w:r>
      <w:r w:rsidR="00F04B4C" w:rsidRPr="00CA32B3">
        <w:rPr>
          <w:rFonts w:ascii="Verdana" w:hAnsi="Verdana" w:cs="Calibri"/>
          <w:sz w:val="20"/>
          <w:szCs w:val="20"/>
        </w:rPr>
        <w:t>]</w:t>
      </w:r>
      <w:r w:rsidR="00F04B4C" w:rsidRPr="00CA32B3">
        <w:rPr>
          <w:rFonts w:ascii="Verdana" w:hAnsi="Verdana"/>
          <w:spacing w:val="-2"/>
          <w:sz w:val="20"/>
          <w:szCs w:val="20"/>
        </w:rPr>
        <w:t>n caso de identificar</w:t>
      </w:r>
      <w:r w:rsidR="00FA1C70" w:rsidRPr="00CA32B3">
        <w:rPr>
          <w:rFonts w:ascii="Verdana" w:hAnsi="Verdana"/>
          <w:spacing w:val="-2"/>
          <w:sz w:val="20"/>
          <w:szCs w:val="20"/>
        </w:rPr>
        <w:t>[se]</w:t>
      </w:r>
      <w:r w:rsidR="00F04B4C" w:rsidRPr="00CA32B3">
        <w:rPr>
          <w:rFonts w:ascii="Verdana" w:hAnsi="Verdana"/>
          <w:spacing w:val="-2"/>
          <w:sz w:val="20"/>
          <w:szCs w:val="20"/>
        </w:rPr>
        <w:t xml:space="preserve"> los restos</w:t>
      </w:r>
      <w:r w:rsidR="00FA1C70" w:rsidRPr="00CA32B3">
        <w:rPr>
          <w:rFonts w:ascii="Verdana" w:hAnsi="Verdana"/>
          <w:spacing w:val="-2"/>
          <w:sz w:val="20"/>
          <w:szCs w:val="20"/>
        </w:rPr>
        <w:t>”</w:t>
      </w:r>
      <w:r w:rsidR="00F04B4C" w:rsidRPr="00CA32B3">
        <w:rPr>
          <w:rFonts w:ascii="Verdana" w:hAnsi="Verdana"/>
          <w:spacing w:val="-2"/>
          <w:sz w:val="20"/>
          <w:szCs w:val="20"/>
        </w:rPr>
        <w:t>,</w:t>
      </w:r>
      <w:r w:rsidR="00FA1C70" w:rsidRPr="00CA32B3">
        <w:rPr>
          <w:rFonts w:ascii="Verdana" w:hAnsi="Verdana"/>
          <w:spacing w:val="-2"/>
          <w:sz w:val="20"/>
          <w:szCs w:val="20"/>
        </w:rPr>
        <w:t xml:space="preserve"> debían entregarse a sus familiares. </w:t>
      </w:r>
    </w:p>
    <w:p w14:paraId="45A8BEF2" w14:textId="77777777" w:rsidR="00FA1C70" w:rsidRPr="00CA32B3" w:rsidRDefault="00FA1C70" w:rsidP="00690FE6">
      <w:pPr>
        <w:pStyle w:val="Prrafodelista"/>
        <w:suppressLineNumbers/>
        <w:autoSpaceDE w:val="0"/>
        <w:autoSpaceDN w:val="0"/>
        <w:adjustRightInd w:val="0"/>
        <w:spacing w:after="0" w:line="240" w:lineRule="auto"/>
        <w:ind w:left="0"/>
        <w:jc w:val="both"/>
        <w:rPr>
          <w:rFonts w:ascii="Verdana" w:hAnsi="Verdana"/>
          <w:sz w:val="20"/>
          <w:szCs w:val="20"/>
        </w:rPr>
      </w:pPr>
    </w:p>
    <w:p w14:paraId="77D92D80" w14:textId="70494039" w:rsidR="00495D01" w:rsidRPr="00CA32B3" w:rsidRDefault="004D402E" w:rsidP="00690FE6">
      <w:pPr>
        <w:pStyle w:val="Prrafodelista"/>
        <w:numPr>
          <w:ilvl w:val="0"/>
          <w:numId w:val="3"/>
        </w:numPr>
        <w:suppressLineNumbers/>
        <w:autoSpaceDE w:val="0"/>
        <w:autoSpaceDN w:val="0"/>
        <w:adjustRightInd w:val="0"/>
        <w:spacing w:after="0" w:line="240" w:lineRule="auto"/>
        <w:ind w:left="0" w:firstLine="0"/>
        <w:jc w:val="both"/>
        <w:rPr>
          <w:rFonts w:ascii="Verdana" w:hAnsi="Verdana"/>
          <w:sz w:val="20"/>
          <w:szCs w:val="20"/>
        </w:rPr>
      </w:pPr>
      <w:r w:rsidRPr="00CA32B3">
        <w:rPr>
          <w:rFonts w:ascii="Verdana" w:hAnsi="Verdana"/>
          <w:sz w:val="20"/>
          <w:szCs w:val="20"/>
        </w:rPr>
        <w:t xml:space="preserve">El hecho de que </w:t>
      </w:r>
      <w:r w:rsidR="00E139ED" w:rsidRPr="00CA32B3">
        <w:rPr>
          <w:rFonts w:ascii="Verdana" w:hAnsi="Verdana"/>
          <w:sz w:val="20"/>
          <w:szCs w:val="20"/>
        </w:rPr>
        <w:t xml:space="preserve">se hubiere dinamitado la mina donde estaban los cuerpos </w:t>
      </w:r>
      <w:r w:rsidRPr="00CA32B3">
        <w:rPr>
          <w:rFonts w:ascii="Verdana" w:hAnsi="Verdana"/>
          <w:sz w:val="20"/>
          <w:szCs w:val="20"/>
        </w:rPr>
        <w:t>(</w:t>
      </w:r>
      <w:r w:rsidRPr="00CA32B3">
        <w:rPr>
          <w:rFonts w:ascii="Verdana" w:hAnsi="Verdana"/>
          <w:i/>
          <w:sz w:val="20"/>
          <w:szCs w:val="20"/>
        </w:rPr>
        <w:t>supra</w:t>
      </w:r>
      <w:r w:rsidRPr="00CA32B3">
        <w:rPr>
          <w:rFonts w:ascii="Verdana" w:hAnsi="Verdana"/>
          <w:sz w:val="20"/>
          <w:szCs w:val="20"/>
        </w:rPr>
        <w:t xml:space="preserve"> </w:t>
      </w:r>
      <w:r w:rsidR="001B4F59" w:rsidRPr="00CA32B3">
        <w:rPr>
          <w:rFonts w:ascii="Verdana" w:hAnsi="Verdana"/>
          <w:sz w:val="20"/>
          <w:szCs w:val="20"/>
        </w:rPr>
        <w:t xml:space="preserve">Visto 1 y </w:t>
      </w:r>
      <w:r w:rsidRPr="00CA32B3">
        <w:rPr>
          <w:rFonts w:ascii="Verdana" w:hAnsi="Verdana"/>
          <w:sz w:val="20"/>
          <w:szCs w:val="20"/>
        </w:rPr>
        <w:t xml:space="preserve">Considerando </w:t>
      </w:r>
      <w:r w:rsidR="001B4F59" w:rsidRPr="00CA32B3">
        <w:rPr>
          <w:rFonts w:ascii="Verdana" w:hAnsi="Verdana"/>
          <w:sz w:val="20"/>
          <w:szCs w:val="20"/>
        </w:rPr>
        <w:t>24)</w:t>
      </w:r>
      <w:r w:rsidRPr="00CA32B3">
        <w:rPr>
          <w:rFonts w:ascii="Verdana" w:hAnsi="Verdana"/>
          <w:sz w:val="20"/>
          <w:szCs w:val="20"/>
        </w:rPr>
        <w:t>, así como el transcurso de más de 24 años entre la muerte de las víctimas y la Sentencia de la Corte, y la falta de debida diligencia y omision</w:t>
      </w:r>
      <w:r w:rsidR="00B97130" w:rsidRPr="00CA32B3">
        <w:rPr>
          <w:rFonts w:ascii="Verdana" w:hAnsi="Verdana"/>
          <w:sz w:val="20"/>
          <w:szCs w:val="20"/>
        </w:rPr>
        <w:t>es en la recuperación, conservación</w:t>
      </w:r>
      <w:r w:rsidRPr="00CA32B3">
        <w:rPr>
          <w:rFonts w:ascii="Verdana" w:hAnsi="Verdana"/>
          <w:sz w:val="20"/>
          <w:szCs w:val="20"/>
        </w:rPr>
        <w:t xml:space="preserve"> y análisis de restos </w:t>
      </w:r>
      <w:r w:rsidR="00B97130" w:rsidRPr="00CA32B3">
        <w:rPr>
          <w:rFonts w:ascii="Verdana" w:hAnsi="Verdana"/>
          <w:sz w:val="20"/>
          <w:szCs w:val="20"/>
        </w:rPr>
        <w:t xml:space="preserve">óseos </w:t>
      </w:r>
      <w:r w:rsidR="002631E2" w:rsidRPr="00CA32B3">
        <w:rPr>
          <w:rFonts w:ascii="Verdana" w:hAnsi="Verdana"/>
          <w:sz w:val="20"/>
          <w:szCs w:val="20"/>
        </w:rPr>
        <w:t xml:space="preserve">y otros elementos </w:t>
      </w:r>
      <w:r w:rsidRPr="00CA32B3">
        <w:rPr>
          <w:rFonts w:ascii="Verdana" w:hAnsi="Verdana"/>
          <w:sz w:val="20"/>
          <w:szCs w:val="20"/>
        </w:rPr>
        <w:t>durante todo ese tiempo (</w:t>
      </w:r>
      <w:r w:rsidRPr="00CA32B3">
        <w:rPr>
          <w:rFonts w:ascii="Verdana" w:hAnsi="Verdana"/>
          <w:i/>
          <w:sz w:val="20"/>
          <w:szCs w:val="20"/>
        </w:rPr>
        <w:t>supra</w:t>
      </w:r>
      <w:r w:rsidR="001B4F59" w:rsidRPr="00CA32B3">
        <w:rPr>
          <w:rFonts w:ascii="Verdana" w:hAnsi="Verdana"/>
          <w:sz w:val="20"/>
          <w:szCs w:val="20"/>
        </w:rPr>
        <w:t xml:space="preserve"> Considerando 24</w:t>
      </w:r>
      <w:r w:rsidRPr="00CA32B3">
        <w:rPr>
          <w:rFonts w:ascii="Verdana" w:hAnsi="Verdana"/>
          <w:sz w:val="20"/>
          <w:szCs w:val="20"/>
        </w:rPr>
        <w:t xml:space="preserve">) son factores que </w:t>
      </w:r>
      <w:r w:rsidR="00E039D2" w:rsidRPr="00CA32B3">
        <w:rPr>
          <w:rFonts w:ascii="Verdana" w:hAnsi="Verdana"/>
          <w:sz w:val="20"/>
          <w:szCs w:val="20"/>
        </w:rPr>
        <w:t>pueden tener</w:t>
      </w:r>
      <w:r w:rsidRPr="00CA32B3">
        <w:rPr>
          <w:rFonts w:ascii="Verdana" w:hAnsi="Verdana"/>
          <w:sz w:val="20"/>
          <w:szCs w:val="20"/>
        </w:rPr>
        <w:t xml:space="preserve"> un impacto </w:t>
      </w:r>
      <w:r w:rsidR="00495D01" w:rsidRPr="00CA32B3">
        <w:rPr>
          <w:rFonts w:ascii="Verdana" w:hAnsi="Verdana"/>
          <w:sz w:val="20"/>
          <w:szCs w:val="20"/>
        </w:rPr>
        <w:t xml:space="preserve">negativo </w:t>
      </w:r>
      <w:r w:rsidRPr="00CA32B3">
        <w:rPr>
          <w:rFonts w:ascii="Verdana" w:hAnsi="Verdana"/>
          <w:sz w:val="20"/>
          <w:szCs w:val="20"/>
        </w:rPr>
        <w:t xml:space="preserve">en la eficacia de los métodos de identificación. </w:t>
      </w:r>
      <w:r w:rsidR="00495D01" w:rsidRPr="00CA32B3">
        <w:rPr>
          <w:rFonts w:ascii="Verdana" w:hAnsi="Verdana"/>
          <w:sz w:val="20"/>
          <w:szCs w:val="20"/>
        </w:rPr>
        <w:t xml:space="preserve">No obstante, la medida implica que el Estado efectúe todas las diligencias </w:t>
      </w:r>
      <w:r w:rsidRPr="00CA32B3">
        <w:rPr>
          <w:rFonts w:ascii="Verdana" w:hAnsi="Verdana"/>
          <w:sz w:val="20"/>
          <w:szCs w:val="20"/>
        </w:rPr>
        <w:t xml:space="preserve">y acciones </w:t>
      </w:r>
      <w:r w:rsidR="00495D01" w:rsidRPr="00CA32B3">
        <w:rPr>
          <w:rFonts w:ascii="Verdana" w:hAnsi="Verdana"/>
          <w:sz w:val="20"/>
          <w:szCs w:val="20"/>
        </w:rPr>
        <w:t xml:space="preserve">posibles, </w:t>
      </w:r>
      <w:r w:rsidRPr="00CA32B3">
        <w:rPr>
          <w:rFonts w:ascii="Verdana" w:hAnsi="Verdana"/>
          <w:sz w:val="20"/>
          <w:szCs w:val="20"/>
        </w:rPr>
        <w:t xml:space="preserve">de forma rigurosa y seria, </w:t>
      </w:r>
      <w:r w:rsidR="00495D01" w:rsidRPr="00CA32B3">
        <w:rPr>
          <w:rFonts w:ascii="Verdana" w:hAnsi="Verdana"/>
          <w:sz w:val="20"/>
          <w:szCs w:val="20"/>
        </w:rPr>
        <w:t xml:space="preserve">dedicando los recursos </w:t>
      </w:r>
      <w:r w:rsidRPr="00CA32B3">
        <w:rPr>
          <w:rFonts w:ascii="Verdana" w:hAnsi="Verdana"/>
          <w:sz w:val="20"/>
          <w:szCs w:val="20"/>
        </w:rPr>
        <w:t>humanos</w:t>
      </w:r>
      <w:r w:rsidR="00495D01" w:rsidRPr="00CA32B3">
        <w:rPr>
          <w:rFonts w:ascii="Verdana" w:hAnsi="Verdana"/>
          <w:sz w:val="20"/>
          <w:szCs w:val="20"/>
        </w:rPr>
        <w:t xml:space="preserve">, técnicos y científicos </w:t>
      </w:r>
      <w:r w:rsidRPr="00CA32B3">
        <w:rPr>
          <w:rFonts w:ascii="Verdana" w:hAnsi="Verdana"/>
          <w:sz w:val="20"/>
          <w:szCs w:val="20"/>
        </w:rPr>
        <w:t>adecuados</w:t>
      </w:r>
      <w:r w:rsidR="00495D01" w:rsidRPr="00CA32B3">
        <w:rPr>
          <w:rFonts w:ascii="Verdana" w:hAnsi="Verdana"/>
          <w:sz w:val="20"/>
          <w:szCs w:val="20"/>
        </w:rPr>
        <w:t xml:space="preserve"> e idóneos</w:t>
      </w:r>
      <w:r w:rsidRPr="00CA32B3">
        <w:rPr>
          <w:rFonts w:ascii="Verdana" w:hAnsi="Verdana"/>
          <w:sz w:val="20"/>
          <w:szCs w:val="20"/>
        </w:rPr>
        <w:t>.</w:t>
      </w:r>
    </w:p>
    <w:p w14:paraId="3F227426" w14:textId="77777777" w:rsidR="00D97B45" w:rsidRPr="00CA32B3" w:rsidRDefault="00D97B45" w:rsidP="00690FE6">
      <w:pPr>
        <w:pStyle w:val="Prrafodelista"/>
        <w:suppressLineNumbers/>
        <w:spacing w:after="0" w:line="240" w:lineRule="auto"/>
        <w:ind w:left="0"/>
        <w:rPr>
          <w:rFonts w:ascii="Verdana" w:hAnsi="Verdana"/>
          <w:sz w:val="20"/>
          <w:szCs w:val="20"/>
        </w:rPr>
      </w:pPr>
    </w:p>
    <w:p w14:paraId="6D1E3CDD" w14:textId="00F8002B" w:rsidR="00532636" w:rsidRPr="00CA32B3" w:rsidRDefault="00D97B45" w:rsidP="00690FE6">
      <w:pPr>
        <w:pStyle w:val="Prrafodelista"/>
        <w:numPr>
          <w:ilvl w:val="0"/>
          <w:numId w:val="3"/>
        </w:numPr>
        <w:suppressLineNumbers/>
        <w:autoSpaceDE w:val="0"/>
        <w:autoSpaceDN w:val="0"/>
        <w:adjustRightInd w:val="0"/>
        <w:spacing w:after="0" w:line="240" w:lineRule="auto"/>
        <w:ind w:left="0" w:firstLine="0"/>
        <w:jc w:val="both"/>
        <w:rPr>
          <w:rFonts w:ascii="Verdana" w:hAnsi="Verdana"/>
          <w:sz w:val="20"/>
          <w:szCs w:val="20"/>
        </w:rPr>
      </w:pPr>
      <w:r w:rsidRPr="00CA32B3">
        <w:rPr>
          <w:rFonts w:ascii="Verdana" w:hAnsi="Verdana"/>
          <w:sz w:val="20"/>
          <w:szCs w:val="20"/>
        </w:rPr>
        <w:t>La Corte reitera que es de suma importancia para los familiares de las víctimas desaparecidas el esclarecimiento de</w:t>
      </w:r>
      <w:r w:rsidR="000E3769" w:rsidRPr="00CA32B3">
        <w:rPr>
          <w:rFonts w:ascii="Verdana" w:hAnsi="Verdana"/>
          <w:sz w:val="20"/>
          <w:szCs w:val="20"/>
        </w:rPr>
        <w:t xml:space="preserve"> su destino final</w:t>
      </w:r>
      <w:r w:rsidRPr="00CA32B3">
        <w:rPr>
          <w:rFonts w:ascii="Verdana" w:hAnsi="Verdana"/>
          <w:sz w:val="20"/>
          <w:szCs w:val="20"/>
        </w:rPr>
        <w:t>, ya que esto les permite aliviar la angustia y sufrimiento causados por la incert</w:t>
      </w:r>
      <w:r w:rsidR="00E306DE" w:rsidRPr="00CA32B3">
        <w:rPr>
          <w:rFonts w:ascii="Verdana" w:hAnsi="Verdana"/>
          <w:sz w:val="20"/>
          <w:szCs w:val="20"/>
        </w:rPr>
        <w:t>idumbre respecto de su paradero</w:t>
      </w:r>
      <w:r w:rsidRPr="00CA32B3">
        <w:rPr>
          <w:rStyle w:val="Refdenotaalpie"/>
          <w:rFonts w:ascii="Verdana" w:hAnsi="Verdana"/>
          <w:sz w:val="20"/>
          <w:szCs w:val="20"/>
        </w:rPr>
        <w:footnoteReference w:id="39"/>
      </w:r>
      <w:r w:rsidRPr="00CA32B3">
        <w:rPr>
          <w:rFonts w:ascii="Verdana" w:hAnsi="Verdana"/>
          <w:sz w:val="20"/>
          <w:szCs w:val="20"/>
        </w:rPr>
        <w:t>. No obstante, el Tribunal reconoce que en algunos casos las acciones desplegadas para el esclarecimiento y la identificación individual de las víctimas pueden no conllevar a resultados positivos. Al respecto, el Grupo de Trabajo sobre las Desapariciones Forzadas o Involuntarias ha indicado que, respecto a la “obligación de investigar hasta que se esclarezca la suerte y el paradero de la persona”, “[e]xiste una obligación absoluta de tomar todas las medidas necesarias para encontrar a la persona, pero no existe una obligación absoluta de obtener resultados. De hecho, en determinados casos, el esclarecimiento es difícil</w:t>
      </w:r>
      <w:r w:rsidR="00E306DE" w:rsidRPr="00CA32B3">
        <w:rPr>
          <w:rFonts w:ascii="Verdana" w:hAnsi="Verdana"/>
          <w:sz w:val="20"/>
          <w:szCs w:val="20"/>
        </w:rPr>
        <w:t>”</w:t>
      </w:r>
      <w:r w:rsidR="00412B63" w:rsidRPr="00CA32B3">
        <w:rPr>
          <w:rFonts w:ascii="Verdana" w:hAnsi="Verdana"/>
          <w:sz w:val="20"/>
          <w:szCs w:val="20"/>
        </w:rPr>
        <w:t>.</w:t>
      </w:r>
      <w:r w:rsidRPr="00CA32B3">
        <w:rPr>
          <w:rFonts w:ascii="Verdana" w:hAnsi="Verdana"/>
          <w:sz w:val="20"/>
          <w:szCs w:val="20"/>
        </w:rPr>
        <w:t xml:space="preserve"> Al respecto, ha indicado que “el Estado tiene la obligación de investigar hasta que pueda determinar, por presunción, la suerte o el paradero de la persona</w:t>
      </w:r>
      <w:r w:rsidRPr="00CA32B3">
        <w:rPr>
          <w:rStyle w:val="Refdenotaalpie"/>
          <w:rFonts w:ascii="Verdana" w:hAnsi="Verdana"/>
          <w:sz w:val="20"/>
          <w:szCs w:val="20"/>
        </w:rPr>
        <w:footnoteReference w:id="40"/>
      </w:r>
      <w:r w:rsidRPr="00CA32B3">
        <w:rPr>
          <w:rFonts w:ascii="Verdana" w:hAnsi="Verdana"/>
          <w:sz w:val="20"/>
          <w:szCs w:val="20"/>
        </w:rPr>
        <w:t xml:space="preserve">. Por consiguiente, </w:t>
      </w:r>
      <w:r w:rsidRPr="00CA32B3">
        <w:rPr>
          <w:rFonts w:ascii="Verdana" w:hAnsi="Verdana"/>
          <w:sz w:val="20"/>
          <w:szCs w:val="20"/>
          <w:lang w:val="es-ES"/>
        </w:rPr>
        <w:t>en el supuesto de que los diversos métodos de identific</w:t>
      </w:r>
      <w:r w:rsidR="00412B63" w:rsidRPr="00CA32B3">
        <w:rPr>
          <w:rFonts w:ascii="Verdana" w:hAnsi="Verdana"/>
          <w:sz w:val="20"/>
          <w:szCs w:val="20"/>
          <w:lang w:val="es-ES"/>
        </w:rPr>
        <w:t xml:space="preserve">ación implementados en un caso </w:t>
      </w:r>
      <w:r w:rsidRPr="00CA32B3">
        <w:rPr>
          <w:rFonts w:ascii="Verdana" w:hAnsi="Verdana"/>
          <w:sz w:val="20"/>
          <w:szCs w:val="20"/>
          <w:lang w:val="es-ES"/>
        </w:rPr>
        <w:t>concreto no permitieran efectuar una identificación fehaciente de todas las víctimas, ello no quiere decir necesariamente que un Estado no cumpla con la medida de reparación ordenada. E</w:t>
      </w:r>
      <w:r w:rsidRPr="00CA32B3">
        <w:rPr>
          <w:rFonts w:ascii="Verdana" w:hAnsi="Verdana"/>
          <w:sz w:val="20"/>
          <w:szCs w:val="20"/>
        </w:rPr>
        <w:t xml:space="preserve">l Estado deberá demostrar que ha desplegado todas las acciones posibles para que pueda ser evaluado su cumplimiento en cada caso en específico. </w:t>
      </w:r>
    </w:p>
    <w:p w14:paraId="1B5C451C" w14:textId="77777777" w:rsidR="00D97B45" w:rsidRPr="00CA32B3" w:rsidRDefault="00D97B45" w:rsidP="00690FE6">
      <w:pPr>
        <w:pStyle w:val="Prrafodelista"/>
        <w:suppressLineNumbers/>
        <w:autoSpaceDE w:val="0"/>
        <w:autoSpaceDN w:val="0"/>
        <w:adjustRightInd w:val="0"/>
        <w:spacing w:after="0" w:line="240" w:lineRule="auto"/>
        <w:ind w:left="0"/>
        <w:jc w:val="both"/>
        <w:rPr>
          <w:rFonts w:ascii="Verdana" w:hAnsi="Verdana"/>
          <w:sz w:val="20"/>
          <w:szCs w:val="20"/>
        </w:rPr>
      </w:pPr>
    </w:p>
    <w:p w14:paraId="733BCFC1" w14:textId="115FFDF0" w:rsidR="002131DC" w:rsidRPr="00CA32B3" w:rsidRDefault="00AF0730" w:rsidP="00690FE6">
      <w:pPr>
        <w:pStyle w:val="Prrafodelista"/>
        <w:numPr>
          <w:ilvl w:val="0"/>
          <w:numId w:val="3"/>
        </w:numPr>
        <w:suppressLineNumbers/>
        <w:autoSpaceDE w:val="0"/>
        <w:autoSpaceDN w:val="0"/>
        <w:adjustRightInd w:val="0"/>
        <w:spacing w:after="0" w:line="240" w:lineRule="auto"/>
        <w:ind w:left="0" w:firstLine="0"/>
        <w:jc w:val="both"/>
        <w:rPr>
          <w:rFonts w:ascii="Verdana" w:hAnsi="Verdana"/>
          <w:sz w:val="20"/>
          <w:szCs w:val="20"/>
        </w:rPr>
      </w:pPr>
      <w:r w:rsidRPr="00CA32B3">
        <w:rPr>
          <w:rFonts w:ascii="Verdana" w:hAnsi="Verdana"/>
          <w:sz w:val="20"/>
          <w:szCs w:val="20"/>
        </w:rPr>
        <w:t>Según lo informado por</w:t>
      </w:r>
      <w:r w:rsidR="00532636" w:rsidRPr="00CA32B3">
        <w:rPr>
          <w:rFonts w:ascii="Verdana" w:hAnsi="Verdana"/>
          <w:sz w:val="20"/>
          <w:szCs w:val="20"/>
        </w:rPr>
        <w:t xml:space="preserve"> las partes</w:t>
      </w:r>
      <w:r w:rsidRPr="00CA32B3">
        <w:rPr>
          <w:rFonts w:ascii="Verdana" w:hAnsi="Verdana"/>
          <w:sz w:val="20"/>
          <w:szCs w:val="20"/>
        </w:rPr>
        <w:t xml:space="preserve">, </w:t>
      </w:r>
      <w:r w:rsidR="00532636" w:rsidRPr="00CA32B3">
        <w:rPr>
          <w:rFonts w:ascii="Verdana" w:hAnsi="Verdana"/>
          <w:sz w:val="20"/>
          <w:szCs w:val="20"/>
        </w:rPr>
        <w:t xml:space="preserve">se han realizado las siguientes </w:t>
      </w:r>
      <w:r w:rsidR="006E2C2F" w:rsidRPr="00CA32B3">
        <w:rPr>
          <w:rFonts w:ascii="Verdana" w:hAnsi="Verdana"/>
          <w:sz w:val="20"/>
          <w:szCs w:val="20"/>
        </w:rPr>
        <w:t>diligenc</w:t>
      </w:r>
      <w:r w:rsidR="002131DC" w:rsidRPr="00CA32B3">
        <w:rPr>
          <w:rFonts w:ascii="Verdana" w:hAnsi="Verdana"/>
          <w:sz w:val="20"/>
          <w:szCs w:val="20"/>
        </w:rPr>
        <w:t xml:space="preserve">ias </w:t>
      </w:r>
      <w:r w:rsidR="00A60D5C" w:rsidRPr="00CA32B3">
        <w:rPr>
          <w:rFonts w:ascii="Verdana" w:hAnsi="Verdana"/>
          <w:sz w:val="20"/>
          <w:szCs w:val="20"/>
        </w:rPr>
        <w:t>y acciones</w:t>
      </w:r>
      <w:r w:rsidR="00532636" w:rsidRPr="00CA32B3">
        <w:rPr>
          <w:rFonts w:ascii="Verdana" w:hAnsi="Verdana"/>
          <w:sz w:val="20"/>
          <w:szCs w:val="20"/>
        </w:rPr>
        <w:t xml:space="preserve"> con posterioridad a la Sentencia</w:t>
      </w:r>
      <w:r w:rsidR="002131DC" w:rsidRPr="00CA32B3">
        <w:rPr>
          <w:rFonts w:ascii="Verdana" w:hAnsi="Verdana"/>
          <w:sz w:val="20"/>
          <w:szCs w:val="20"/>
        </w:rPr>
        <w:t xml:space="preserve">: </w:t>
      </w:r>
    </w:p>
    <w:p w14:paraId="050FA388" w14:textId="77777777" w:rsidR="00DE330E" w:rsidRPr="00CA32B3" w:rsidRDefault="00DE330E" w:rsidP="00690FE6">
      <w:pPr>
        <w:pStyle w:val="Prrafodelista"/>
        <w:suppressLineNumbers/>
        <w:rPr>
          <w:rFonts w:ascii="Verdana" w:hAnsi="Verdana"/>
          <w:sz w:val="20"/>
          <w:szCs w:val="20"/>
        </w:rPr>
      </w:pPr>
    </w:p>
    <w:p w14:paraId="20DCE224" w14:textId="473BD716" w:rsidR="00967153" w:rsidRPr="00CA32B3" w:rsidRDefault="004A1C12" w:rsidP="00690FE6">
      <w:pPr>
        <w:pStyle w:val="Prrafodelista"/>
        <w:numPr>
          <w:ilvl w:val="0"/>
          <w:numId w:val="14"/>
        </w:numPr>
        <w:suppressLineNumbers/>
        <w:autoSpaceDE w:val="0"/>
        <w:autoSpaceDN w:val="0"/>
        <w:adjustRightInd w:val="0"/>
        <w:spacing w:after="0" w:line="240" w:lineRule="auto"/>
        <w:jc w:val="both"/>
        <w:rPr>
          <w:rFonts w:ascii="Verdana" w:hAnsi="Verdana"/>
          <w:sz w:val="20"/>
          <w:szCs w:val="20"/>
        </w:rPr>
      </w:pPr>
      <w:r w:rsidRPr="00CA32B3">
        <w:rPr>
          <w:rFonts w:ascii="Verdana" w:hAnsi="Verdana"/>
          <w:sz w:val="20"/>
          <w:szCs w:val="20"/>
        </w:rPr>
        <w:lastRenderedPageBreak/>
        <w:t xml:space="preserve">En el </w:t>
      </w:r>
      <w:r w:rsidR="00DE330E" w:rsidRPr="00CA32B3">
        <w:rPr>
          <w:rFonts w:ascii="Verdana" w:hAnsi="Verdana"/>
          <w:sz w:val="20"/>
          <w:szCs w:val="20"/>
        </w:rPr>
        <w:t xml:space="preserve">año </w:t>
      </w:r>
      <w:r w:rsidRPr="00CA32B3">
        <w:rPr>
          <w:rFonts w:ascii="Verdana" w:hAnsi="Verdana"/>
          <w:sz w:val="20"/>
          <w:szCs w:val="20"/>
        </w:rPr>
        <w:t xml:space="preserve">2016 se efectuaron </w:t>
      </w:r>
      <w:r w:rsidR="001C1FA6" w:rsidRPr="00CA32B3">
        <w:rPr>
          <w:rFonts w:ascii="Verdana" w:hAnsi="Verdana"/>
          <w:sz w:val="20"/>
          <w:szCs w:val="20"/>
        </w:rPr>
        <w:t>la</w:t>
      </w:r>
      <w:r w:rsidR="002131DC" w:rsidRPr="00CA32B3">
        <w:rPr>
          <w:rFonts w:ascii="Verdana" w:hAnsi="Verdana"/>
          <w:sz w:val="20"/>
          <w:szCs w:val="20"/>
        </w:rPr>
        <w:t>bores de</w:t>
      </w:r>
      <w:r w:rsidR="001C1FA6" w:rsidRPr="00CA32B3">
        <w:rPr>
          <w:rFonts w:ascii="Verdana" w:hAnsi="Verdana"/>
          <w:sz w:val="20"/>
          <w:szCs w:val="20"/>
        </w:rPr>
        <w:t xml:space="preserve"> inspección</w:t>
      </w:r>
      <w:r w:rsidR="00967153" w:rsidRPr="00CA32B3">
        <w:rPr>
          <w:rFonts w:ascii="Verdana" w:hAnsi="Verdana"/>
          <w:sz w:val="20"/>
          <w:szCs w:val="20"/>
        </w:rPr>
        <w:t xml:space="preserve">, </w:t>
      </w:r>
      <w:r w:rsidR="001C1FA6" w:rsidRPr="00CA32B3">
        <w:rPr>
          <w:rFonts w:ascii="Verdana" w:hAnsi="Verdana"/>
          <w:sz w:val="20"/>
          <w:szCs w:val="20"/>
        </w:rPr>
        <w:t>reconocimiento</w:t>
      </w:r>
      <w:r w:rsidR="002131DC" w:rsidRPr="00CA32B3">
        <w:rPr>
          <w:rFonts w:ascii="Verdana" w:hAnsi="Verdana"/>
          <w:sz w:val="20"/>
          <w:szCs w:val="20"/>
        </w:rPr>
        <w:t xml:space="preserve"> </w:t>
      </w:r>
      <w:r w:rsidR="00967153" w:rsidRPr="00CA32B3">
        <w:rPr>
          <w:rFonts w:ascii="Verdana" w:hAnsi="Verdana"/>
          <w:sz w:val="20"/>
          <w:szCs w:val="20"/>
        </w:rPr>
        <w:t xml:space="preserve">y recuperación de restos óseos, prendas y otros elementos </w:t>
      </w:r>
      <w:r w:rsidR="002131DC" w:rsidRPr="00CA32B3">
        <w:rPr>
          <w:rFonts w:ascii="Verdana" w:hAnsi="Verdana"/>
          <w:sz w:val="20"/>
          <w:szCs w:val="20"/>
        </w:rPr>
        <w:t xml:space="preserve">en la </w:t>
      </w:r>
      <w:r w:rsidR="00665ECF" w:rsidRPr="00CA32B3">
        <w:rPr>
          <w:rFonts w:ascii="Verdana" w:hAnsi="Verdana"/>
          <w:sz w:val="20"/>
          <w:szCs w:val="20"/>
        </w:rPr>
        <w:t>M</w:t>
      </w:r>
      <w:r w:rsidR="002131DC" w:rsidRPr="00CA32B3">
        <w:rPr>
          <w:rFonts w:ascii="Verdana" w:hAnsi="Verdana"/>
          <w:sz w:val="20"/>
          <w:szCs w:val="20"/>
        </w:rPr>
        <w:t xml:space="preserve">ina </w:t>
      </w:r>
      <w:r w:rsidR="00203265" w:rsidRPr="00CA32B3">
        <w:rPr>
          <w:rFonts w:ascii="Verdana" w:hAnsi="Verdana"/>
          <w:sz w:val="20"/>
          <w:szCs w:val="20"/>
        </w:rPr>
        <w:t>‘</w:t>
      </w:r>
      <w:r w:rsidR="00665ECF" w:rsidRPr="00CA32B3">
        <w:rPr>
          <w:rFonts w:ascii="Verdana" w:hAnsi="Verdana"/>
          <w:sz w:val="20"/>
          <w:szCs w:val="20"/>
        </w:rPr>
        <w:t>Misteriosa</w:t>
      </w:r>
      <w:r w:rsidR="00203265" w:rsidRPr="00CA32B3">
        <w:rPr>
          <w:rFonts w:ascii="Verdana" w:hAnsi="Verdana"/>
          <w:sz w:val="20"/>
          <w:szCs w:val="20"/>
        </w:rPr>
        <w:t>’</w:t>
      </w:r>
      <w:r w:rsidR="00967153" w:rsidRPr="00CA32B3">
        <w:rPr>
          <w:rFonts w:ascii="Verdana" w:hAnsi="Verdana"/>
          <w:sz w:val="20"/>
          <w:szCs w:val="20"/>
        </w:rPr>
        <w:t>, por la Fiscalía y personal del Equipo Forense Especializado del Instituto de Medicina Legal y Ciencias Forenses del Ministerio Público (en adelante “Equipo Forense Especializado”)</w:t>
      </w:r>
      <w:r w:rsidR="00967153" w:rsidRPr="00CA32B3">
        <w:rPr>
          <w:rStyle w:val="Refdenotaalpie"/>
          <w:rFonts w:ascii="Verdana" w:hAnsi="Verdana"/>
          <w:sz w:val="20"/>
          <w:szCs w:val="20"/>
        </w:rPr>
        <w:footnoteReference w:id="41"/>
      </w:r>
      <w:r w:rsidR="00DE330E" w:rsidRPr="00CA32B3">
        <w:rPr>
          <w:rFonts w:ascii="Verdana" w:hAnsi="Verdana"/>
          <w:sz w:val="20"/>
          <w:szCs w:val="20"/>
        </w:rPr>
        <w:t>.</w:t>
      </w:r>
    </w:p>
    <w:p w14:paraId="5C42295C" w14:textId="77777777" w:rsidR="00F17FC4" w:rsidRPr="00CA32B3" w:rsidRDefault="00F17FC4" w:rsidP="00690FE6">
      <w:pPr>
        <w:pStyle w:val="Prrafodelista"/>
        <w:suppressLineNumbers/>
        <w:autoSpaceDE w:val="0"/>
        <w:autoSpaceDN w:val="0"/>
        <w:adjustRightInd w:val="0"/>
        <w:spacing w:after="0" w:line="240" w:lineRule="auto"/>
        <w:jc w:val="both"/>
        <w:rPr>
          <w:rStyle w:val="Refdenotaalpie"/>
          <w:rFonts w:ascii="Verdana" w:hAnsi="Verdana"/>
          <w:sz w:val="20"/>
          <w:szCs w:val="20"/>
          <w:vertAlign w:val="baseline"/>
        </w:rPr>
      </w:pPr>
    </w:p>
    <w:p w14:paraId="25808C65" w14:textId="64037642" w:rsidR="004A1AC3" w:rsidRPr="00CA32B3" w:rsidRDefault="004A1C12" w:rsidP="00690FE6">
      <w:pPr>
        <w:pStyle w:val="Prrafodelista"/>
        <w:numPr>
          <w:ilvl w:val="0"/>
          <w:numId w:val="14"/>
        </w:numPr>
        <w:suppressLineNumbers/>
        <w:autoSpaceDE w:val="0"/>
        <w:autoSpaceDN w:val="0"/>
        <w:adjustRightInd w:val="0"/>
        <w:spacing w:after="0" w:line="240" w:lineRule="auto"/>
        <w:jc w:val="both"/>
        <w:rPr>
          <w:rFonts w:ascii="Verdana" w:hAnsi="Verdana"/>
          <w:sz w:val="20"/>
          <w:szCs w:val="20"/>
        </w:rPr>
      </w:pPr>
      <w:r w:rsidRPr="00CA32B3">
        <w:rPr>
          <w:rFonts w:ascii="Verdana" w:hAnsi="Verdana"/>
          <w:sz w:val="20"/>
          <w:szCs w:val="20"/>
        </w:rPr>
        <w:t xml:space="preserve">En </w:t>
      </w:r>
      <w:r w:rsidR="00DE330E" w:rsidRPr="00CA32B3">
        <w:rPr>
          <w:rFonts w:ascii="Verdana" w:hAnsi="Verdana"/>
          <w:sz w:val="20"/>
          <w:szCs w:val="20"/>
        </w:rPr>
        <w:t>los años</w:t>
      </w:r>
      <w:r w:rsidRPr="00CA32B3">
        <w:rPr>
          <w:rFonts w:ascii="Verdana" w:hAnsi="Verdana"/>
          <w:sz w:val="20"/>
          <w:szCs w:val="20"/>
        </w:rPr>
        <w:t xml:space="preserve"> 2016 </w:t>
      </w:r>
      <w:r w:rsidR="00907ADD" w:rsidRPr="00CA32B3">
        <w:rPr>
          <w:rFonts w:ascii="Verdana" w:hAnsi="Verdana"/>
          <w:sz w:val="20"/>
          <w:szCs w:val="20"/>
        </w:rPr>
        <w:t xml:space="preserve">y 2019 </w:t>
      </w:r>
      <w:r w:rsidRPr="00CA32B3">
        <w:rPr>
          <w:rFonts w:ascii="Verdana" w:hAnsi="Verdana"/>
          <w:sz w:val="20"/>
          <w:szCs w:val="20"/>
        </w:rPr>
        <w:t xml:space="preserve">se efectuaron </w:t>
      </w:r>
      <w:r w:rsidR="00967153" w:rsidRPr="00CA32B3">
        <w:rPr>
          <w:rFonts w:ascii="Verdana" w:hAnsi="Verdana"/>
          <w:sz w:val="20"/>
          <w:szCs w:val="20"/>
        </w:rPr>
        <w:t xml:space="preserve">labores de inspección y reconocimiento en </w:t>
      </w:r>
      <w:r w:rsidR="002131DC" w:rsidRPr="00CA32B3">
        <w:rPr>
          <w:rFonts w:ascii="Verdana" w:hAnsi="Verdana"/>
          <w:sz w:val="20"/>
          <w:szCs w:val="20"/>
        </w:rPr>
        <w:t>otros dos sitios</w:t>
      </w:r>
      <w:r w:rsidR="00967153" w:rsidRPr="00CA32B3">
        <w:rPr>
          <w:rFonts w:ascii="Verdana" w:hAnsi="Verdana"/>
          <w:sz w:val="20"/>
          <w:szCs w:val="20"/>
        </w:rPr>
        <w:t xml:space="preserve"> distintos a la referida mina:</w:t>
      </w:r>
      <w:r w:rsidR="00AF0730" w:rsidRPr="00CA32B3">
        <w:rPr>
          <w:rFonts w:ascii="Verdana" w:hAnsi="Verdana"/>
          <w:sz w:val="20"/>
          <w:szCs w:val="20"/>
        </w:rPr>
        <w:t xml:space="preserve"> </w:t>
      </w:r>
    </w:p>
    <w:p w14:paraId="1E8F6433" w14:textId="48B9CABD" w:rsidR="004A1AC3" w:rsidRPr="00CA32B3" w:rsidRDefault="00AF0730" w:rsidP="00690FE6">
      <w:pPr>
        <w:pStyle w:val="Prrafodelista"/>
        <w:numPr>
          <w:ilvl w:val="0"/>
          <w:numId w:val="16"/>
        </w:numPr>
        <w:suppressLineNumbers/>
        <w:autoSpaceDE w:val="0"/>
        <w:autoSpaceDN w:val="0"/>
        <w:adjustRightInd w:val="0"/>
        <w:spacing w:after="0" w:line="240" w:lineRule="auto"/>
        <w:jc w:val="both"/>
        <w:rPr>
          <w:rFonts w:ascii="Verdana" w:hAnsi="Verdana"/>
          <w:b/>
          <w:sz w:val="20"/>
          <w:szCs w:val="20"/>
        </w:rPr>
      </w:pPr>
      <w:r w:rsidRPr="00CA32B3">
        <w:rPr>
          <w:rFonts w:ascii="Verdana" w:hAnsi="Verdana"/>
          <w:sz w:val="20"/>
          <w:szCs w:val="20"/>
        </w:rPr>
        <w:t xml:space="preserve">en el 2016 </w:t>
      </w:r>
      <w:r w:rsidR="00967153" w:rsidRPr="00CA32B3">
        <w:rPr>
          <w:rFonts w:ascii="Verdana" w:hAnsi="Verdana"/>
          <w:sz w:val="20"/>
          <w:szCs w:val="20"/>
        </w:rPr>
        <w:t>la Fiscalía y personal del Equipo Forense Especializado realizaron una diligencia de reconocimiento en la represa Ajohuarma de Huancavelica</w:t>
      </w:r>
      <w:r w:rsidR="00967153" w:rsidRPr="00CA32B3">
        <w:rPr>
          <w:rStyle w:val="Refdenotaalpie"/>
          <w:rFonts w:ascii="Verdana" w:hAnsi="Verdana"/>
          <w:sz w:val="20"/>
          <w:szCs w:val="20"/>
        </w:rPr>
        <w:footnoteReference w:id="42"/>
      </w:r>
      <w:r w:rsidR="00DE330E" w:rsidRPr="00CA32B3">
        <w:rPr>
          <w:rFonts w:ascii="Verdana" w:hAnsi="Verdana"/>
          <w:sz w:val="20"/>
          <w:szCs w:val="20"/>
        </w:rPr>
        <w:t>;</w:t>
      </w:r>
    </w:p>
    <w:p w14:paraId="1E999450" w14:textId="62825C04" w:rsidR="00967153" w:rsidRPr="00CA32B3" w:rsidRDefault="00907ADD" w:rsidP="00690FE6">
      <w:pPr>
        <w:pStyle w:val="Prrafodelista"/>
        <w:numPr>
          <w:ilvl w:val="0"/>
          <w:numId w:val="16"/>
        </w:numPr>
        <w:suppressLineNumbers/>
        <w:autoSpaceDE w:val="0"/>
        <w:autoSpaceDN w:val="0"/>
        <w:adjustRightInd w:val="0"/>
        <w:spacing w:after="0" w:line="240" w:lineRule="auto"/>
        <w:jc w:val="both"/>
        <w:rPr>
          <w:rFonts w:ascii="Verdana" w:hAnsi="Verdana"/>
          <w:sz w:val="20"/>
          <w:szCs w:val="20"/>
        </w:rPr>
      </w:pPr>
      <w:r w:rsidRPr="00CA32B3">
        <w:rPr>
          <w:rFonts w:ascii="Verdana" w:hAnsi="Verdana"/>
          <w:sz w:val="20"/>
          <w:szCs w:val="18"/>
        </w:rPr>
        <w:t>en septiembre de 2019 la Dirección General de Búsqueda de Personas Desaparecidas</w:t>
      </w:r>
      <w:r w:rsidRPr="00CA32B3">
        <w:rPr>
          <w:rFonts w:ascii="Verdana" w:hAnsi="Verdana"/>
          <w:sz w:val="20"/>
          <w:szCs w:val="18"/>
          <w:lang w:val="es-ES"/>
        </w:rPr>
        <w:t xml:space="preserve"> </w:t>
      </w:r>
      <w:r w:rsidRPr="00CA32B3">
        <w:rPr>
          <w:rFonts w:ascii="Verdana" w:hAnsi="Verdana"/>
          <w:sz w:val="20"/>
          <w:szCs w:val="18"/>
        </w:rPr>
        <w:t>y la organización no gubernamental Equipo Peruano de Antropología Forense, junto con las víctimas Zenón Osnayo y Gregorio Hilario, realizaron la verificación “de un sitio probable de entierro ubicado en el campo de tiro del Batallón Contrasubversivo N° 43, distrito de Pampas, […] en el departamento de Huancavelica”, sin que se hallaran restos óseos</w:t>
      </w:r>
      <w:r w:rsidRPr="00CA32B3">
        <w:rPr>
          <w:rStyle w:val="Refdenotaalpie"/>
          <w:rFonts w:ascii="Verdana" w:hAnsi="Verdana"/>
          <w:sz w:val="20"/>
          <w:szCs w:val="18"/>
        </w:rPr>
        <w:footnoteReference w:id="43"/>
      </w:r>
      <w:r w:rsidRPr="00CA32B3">
        <w:rPr>
          <w:rFonts w:ascii="Verdana" w:hAnsi="Verdana"/>
          <w:sz w:val="20"/>
          <w:szCs w:val="18"/>
        </w:rPr>
        <w:t>.</w:t>
      </w:r>
    </w:p>
    <w:p w14:paraId="3E10F386" w14:textId="77777777" w:rsidR="00F17FC4" w:rsidRPr="00CA32B3" w:rsidRDefault="00F17FC4" w:rsidP="00690FE6">
      <w:pPr>
        <w:pStyle w:val="Prrafodelista"/>
        <w:suppressLineNumbers/>
        <w:autoSpaceDE w:val="0"/>
        <w:autoSpaceDN w:val="0"/>
        <w:adjustRightInd w:val="0"/>
        <w:spacing w:after="0" w:line="240" w:lineRule="auto"/>
        <w:ind w:left="1440"/>
        <w:jc w:val="both"/>
        <w:rPr>
          <w:rFonts w:ascii="Verdana" w:hAnsi="Verdana"/>
          <w:sz w:val="20"/>
          <w:szCs w:val="20"/>
        </w:rPr>
      </w:pPr>
    </w:p>
    <w:p w14:paraId="3721FA7E" w14:textId="4D4F933F" w:rsidR="005E36A1" w:rsidRPr="00CA32B3" w:rsidRDefault="00A60D5C" w:rsidP="00690FE6">
      <w:pPr>
        <w:pStyle w:val="Prrafodelista"/>
        <w:numPr>
          <w:ilvl w:val="0"/>
          <w:numId w:val="14"/>
        </w:numPr>
        <w:suppressLineNumbers/>
        <w:autoSpaceDE w:val="0"/>
        <w:autoSpaceDN w:val="0"/>
        <w:adjustRightInd w:val="0"/>
        <w:spacing w:after="0" w:line="240" w:lineRule="auto"/>
        <w:jc w:val="both"/>
        <w:rPr>
          <w:rFonts w:ascii="Verdana" w:hAnsi="Verdana"/>
          <w:sz w:val="20"/>
          <w:szCs w:val="20"/>
        </w:rPr>
      </w:pPr>
      <w:r w:rsidRPr="00CA32B3">
        <w:rPr>
          <w:rFonts w:ascii="Verdana" w:hAnsi="Verdana"/>
          <w:sz w:val="20"/>
          <w:szCs w:val="20"/>
        </w:rPr>
        <w:t xml:space="preserve">en </w:t>
      </w:r>
      <w:r w:rsidR="00AF54A4" w:rsidRPr="00CA32B3">
        <w:rPr>
          <w:rFonts w:ascii="Verdana" w:hAnsi="Verdana"/>
          <w:sz w:val="20"/>
          <w:szCs w:val="20"/>
        </w:rPr>
        <w:t>febrero</w:t>
      </w:r>
      <w:r w:rsidRPr="00CA32B3">
        <w:rPr>
          <w:rFonts w:ascii="Verdana" w:hAnsi="Verdana"/>
          <w:sz w:val="20"/>
          <w:szCs w:val="20"/>
        </w:rPr>
        <w:t xml:space="preserve"> de 2017 </w:t>
      </w:r>
      <w:r w:rsidR="00AF54A4" w:rsidRPr="00CA32B3">
        <w:rPr>
          <w:rFonts w:ascii="Verdana" w:hAnsi="Verdana"/>
          <w:sz w:val="20"/>
          <w:szCs w:val="20"/>
        </w:rPr>
        <w:t>funcionarios d</w:t>
      </w:r>
      <w:r w:rsidRPr="00CA32B3">
        <w:rPr>
          <w:rFonts w:ascii="Verdana" w:hAnsi="Verdana"/>
          <w:sz w:val="20"/>
          <w:szCs w:val="20"/>
        </w:rPr>
        <w:t>el Equipo Forense Especializado elabor</w:t>
      </w:r>
      <w:r w:rsidR="00AF54A4" w:rsidRPr="00CA32B3">
        <w:rPr>
          <w:rFonts w:ascii="Verdana" w:hAnsi="Verdana"/>
          <w:sz w:val="20"/>
          <w:szCs w:val="20"/>
        </w:rPr>
        <w:t>aron</w:t>
      </w:r>
      <w:r w:rsidRPr="00CA32B3">
        <w:rPr>
          <w:rFonts w:ascii="Verdana" w:hAnsi="Verdana"/>
          <w:sz w:val="20"/>
          <w:szCs w:val="20"/>
        </w:rPr>
        <w:t xml:space="preserve"> </w:t>
      </w:r>
      <w:r w:rsidR="002131DC" w:rsidRPr="00CA32B3">
        <w:rPr>
          <w:rFonts w:ascii="Verdana" w:hAnsi="Verdana"/>
          <w:sz w:val="20"/>
          <w:szCs w:val="20"/>
        </w:rPr>
        <w:t xml:space="preserve">un </w:t>
      </w:r>
      <w:r w:rsidR="005608D1" w:rsidRPr="00CA32B3">
        <w:rPr>
          <w:rFonts w:ascii="Verdana" w:hAnsi="Verdana"/>
          <w:sz w:val="20"/>
          <w:szCs w:val="20"/>
        </w:rPr>
        <w:t>“</w:t>
      </w:r>
      <w:r w:rsidR="002131DC" w:rsidRPr="00CA32B3">
        <w:rPr>
          <w:rFonts w:ascii="Verdana" w:hAnsi="Verdana"/>
          <w:sz w:val="20"/>
          <w:szCs w:val="20"/>
        </w:rPr>
        <w:t xml:space="preserve">peritaje </w:t>
      </w:r>
      <w:r w:rsidR="00AF54A4" w:rsidRPr="00CA32B3">
        <w:rPr>
          <w:rFonts w:ascii="Verdana" w:hAnsi="Verdana"/>
          <w:sz w:val="20"/>
          <w:szCs w:val="20"/>
        </w:rPr>
        <w:t>conjunto</w:t>
      </w:r>
      <w:r w:rsidR="005608D1" w:rsidRPr="00CA32B3">
        <w:rPr>
          <w:rFonts w:ascii="Verdana" w:hAnsi="Verdana"/>
          <w:sz w:val="20"/>
          <w:szCs w:val="20"/>
        </w:rPr>
        <w:t>”</w:t>
      </w:r>
      <w:r w:rsidR="00AF54A4" w:rsidRPr="00CA32B3">
        <w:rPr>
          <w:rStyle w:val="Refdenotaalpie"/>
          <w:rFonts w:ascii="Verdana" w:hAnsi="Verdana"/>
          <w:sz w:val="20"/>
          <w:szCs w:val="20"/>
        </w:rPr>
        <w:footnoteReference w:id="44"/>
      </w:r>
      <w:r w:rsidR="00665ECF" w:rsidRPr="00CA32B3">
        <w:rPr>
          <w:rFonts w:ascii="Verdana" w:hAnsi="Verdana"/>
          <w:sz w:val="20"/>
          <w:szCs w:val="20"/>
        </w:rPr>
        <w:t xml:space="preserve">, el cual </w:t>
      </w:r>
      <w:r w:rsidR="004001D2" w:rsidRPr="00CA32B3">
        <w:rPr>
          <w:rFonts w:ascii="Verdana" w:hAnsi="Verdana"/>
          <w:sz w:val="20"/>
          <w:szCs w:val="20"/>
        </w:rPr>
        <w:t xml:space="preserve">tenía como objetivo </w:t>
      </w:r>
      <w:r w:rsidR="005608D1" w:rsidRPr="00CA32B3">
        <w:rPr>
          <w:rFonts w:ascii="Verdana" w:hAnsi="Verdana"/>
          <w:sz w:val="20"/>
          <w:szCs w:val="20"/>
        </w:rPr>
        <w:t xml:space="preserve">el “análisis e identificación de restos humanos (óseos) y elementos asociados encontrados entre los años 2009-2010 y 2016 en la Mina </w:t>
      </w:r>
      <w:r w:rsidR="00203265" w:rsidRPr="00CA32B3">
        <w:rPr>
          <w:rFonts w:ascii="Verdana" w:hAnsi="Verdana"/>
          <w:sz w:val="20"/>
          <w:szCs w:val="20"/>
        </w:rPr>
        <w:t>‘</w:t>
      </w:r>
      <w:r w:rsidR="005608D1" w:rsidRPr="00CA32B3">
        <w:rPr>
          <w:rFonts w:ascii="Verdana" w:hAnsi="Verdana"/>
          <w:sz w:val="20"/>
          <w:szCs w:val="20"/>
        </w:rPr>
        <w:t>Misteriosa</w:t>
      </w:r>
      <w:r w:rsidR="00203265" w:rsidRPr="00CA32B3">
        <w:rPr>
          <w:rFonts w:ascii="Verdana" w:hAnsi="Verdana"/>
          <w:sz w:val="20"/>
          <w:szCs w:val="20"/>
        </w:rPr>
        <w:t>’</w:t>
      </w:r>
      <w:r w:rsidR="005608D1" w:rsidRPr="00CA32B3">
        <w:rPr>
          <w:rFonts w:ascii="Verdana" w:hAnsi="Verdana"/>
          <w:sz w:val="20"/>
          <w:szCs w:val="20"/>
        </w:rPr>
        <w:t>”</w:t>
      </w:r>
      <w:r w:rsidR="00C15915" w:rsidRPr="00CA32B3">
        <w:rPr>
          <w:rFonts w:ascii="Verdana" w:hAnsi="Verdana"/>
          <w:sz w:val="20"/>
          <w:szCs w:val="20"/>
        </w:rPr>
        <w:t>.</w:t>
      </w:r>
      <w:r w:rsidR="005608D1" w:rsidRPr="00CA32B3">
        <w:rPr>
          <w:rFonts w:ascii="Verdana" w:hAnsi="Verdana"/>
          <w:b/>
          <w:sz w:val="20"/>
          <w:szCs w:val="20"/>
        </w:rPr>
        <w:t xml:space="preserve"> </w:t>
      </w:r>
      <w:r w:rsidR="005E36A1" w:rsidRPr="00CA32B3">
        <w:rPr>
          <w:rFonts w:ascii="Verdana" w:hAnsi="Verdana"/>
          <w:sz w:val="20"/>
          <w:szCs w:val="20"/>
        </w:rPr>
        <w:t xml:space="preserve">Entre las “conclusiones” </w:t>
      </w:r>
      <w:r w:rsidR="00AC7887" w:rsidRPr="00CA32B3">
        <w:rPr>
          <w:rFonts w:ascii="Verdana" w:hAnsi="Verdana"/>
          <w:sz w:val="20"/>
          <w:szCs w:val="20"/>
        </w:rPr>
        <w:t xml:space="preserve">y “recomendaciones” </w:t>
      </w:r>
      <w:r w:rsidR="005E36A1" w:rsidRPr="00CA32B3">
        <w:rPr>
          <w:rFonts w:ascii="Verdana" w:hAnsi="Verdana"/>
          <w:sz w:val="20"/>
          <w:szCs w:val="20"/>
        </w:rPr>
        <w:t>del informe</w:t>
      </w:r>
      <w:r w:rsidR="005608D1" w:rsidRPr="00CA32B3">
        <w:rPr>
          <w:rFonts w:ascii="Verdana" w:hAnsi="Verdana"/>
          <w:b/>
          <w:sz w:val="20"/>
          <w:szCs w:val="20"/>
        </w:rPr>
        <w:t xml:space="preserve"> </w:t>
      </w:r>
      <w:r w:rsidR="005E36A1" w:rsidRPr="00CA32B3">
        <w:rPr>
          <w:rFonts w:ascii="Verdana" w:hAnsi="Verdana"/>
          <w:sz w:val="20"/>
          <w:szCs w:val="20"/>
        </w:rPr>
        <w:t>se indica que:</w:t>
      </w:r>
      <w:r w:rsidR="00830BE1" w:rsidRPr="00CA32B3">
        <w:rPr>
          <w:rFonts w:ascii="Verdana" w:hAnsi="Verdana"/>
          <w:sz w:val="20"/>
          <w:szCs w:val="20"/>
        </w:rPr>
        <w:t xml:space="preserve"> </w:t>
      </w:r>
    </w:p>
    <w:p w14:paraId="160DB02A" w14:textId="2BD7890A" w:rsidR="005E36A1" w:rsidRPr="00CA32B3" w:rsidRDefault="005E36A1" w:rsidP="00690FE6">
      <w:pPr>
        <w:pStyle w:val="Prrafodelista"/>
        <w:suppressLineNumbers/>
        <w:autoSpaceDE w:val="0"/>
        <w:autoSpaceDN w:val="0"/>
        <w:adjustRightInd w:val="0"/>
        <w:spacing w:after="0" w:line="240" w:lineRule="auto"/>
        <w:jc w:val="both"/>
        <w:rPr>
          <w:rFonts w:ascii="Verdana" w:hAnsi="Verdana"/>
          <w:sz w:val="20"/>
          <w:szCs w:val="20"/>
        </w:rPr>
      </w:pPr>
      <w:r w:rsidRPr="00CA32B3">
        <w:rPr>
          <w:rFonts w:ascii="Verdana" w:hAnsi="Verdana"/>
          <w:sz w:val="20"/>
          <w:szCs w:val="20"/>
        </w:rPr>
        <w:t>i)</w:t>
      </w:r>
      <w:r w:rsidRPr="00CA32B3">
        <w:rPr>
          <w:rFonts w:ascii="Verdana" w:hAnsi="Verdana"/>
          <w:sz w:val="20"/>
          <w:szCs w:val="20"/>
        </w:rPr>
        <w:tab/>
        <w:t>se registraron 152 restos óseos dentales y 4717 fragmentos óseos</w:t>
      </w:r>
      <w:r w:rsidR="005835CE" w:rsidRPr="00CA32B3">
        <w:rPr>
          <w:rFonts w:ascii="Verdana" w:hAnsi="Verdana"/>
          <w:sz w:val="20"/>
          <w:szCs w:val="20"/>
        </w:rPr>
        <w:t>;</w:t>
      </w:r>
    </w:p>
    <w:p w14:paraId="5B5F0402" w14:textId="5759AC2D" w:rsidR="005E36A1" w:rsidRPr="00CA32B3" w:rsidRDefault="005E36A1" w:rsidP="00690FE6">
      <w:pPr>
        <w:pStyle w:val="Prrafodelista"/>
        <w:suppressLineNumbers/>
        <w:autoSpaceDE w:val="0"/>
        <w:autoSpaceDN w:val="0"/>
        <w:adjustRightInd w:val="0"/>
        <w:spacing w:after="0" w:line="240" w:lineRule="auto"/>
        <w:jc w:val="both"/>
        <w:rPr>
          <w:rFonts w:ascii="Verdana" w:hAnsi="Verdana"/>
          <w:b/>
          <w:sz w:val="20"/>
          <w:szCs w:val="20"/>
        </w:rPr>
      </w:pPr>
      <w:r w:rsidRPr="00CA32B3">
        <w:rPr>
          <w:rFonts w:ascii="Verdana" w:hAnsi="Verdana"/>
          <w:sz w:val="20"/>
          <w:szCs w:val="20"/>
        </w:rPr>
        <w:t>ii)</w:t>
      </w:r>
      <w:r w:rsidRPr="00CA32B3">
        <w:rPr>
          <w:rFonts w:ascii="Verdana" w:hAnsi="Verdana"/>
          <w:sz w:val="20"/>
          <w:szCs w:val="20"/>
        </w:rPr>
        <w:tab/>
      </w:r>
      <w:r w:rsidR="005608D1" w:rsidRPr="00CA32B3">
        <w:rPr>
          <w:rFonts w:ascii="Verdana" w:hAnsi="Verdana"/>
          <w:sz w:val="20"/>
          <w:szCs w:val="20"/>
        </w:rPr>
        <w:t>“</w:t>
      </w:r>
      <w:r w:rsidRPr="00CA32B3">
        <w:rPr>
          <w:rFonts w:ascii="Verdana" w:hAnsi="Verdana"/>
          <w:sz w:val="20"/>
          <w:szCs w:val="20"/>
        </w:rPr>
        <w:t>[</w:t>
      </w:r>
      <w:r w:rsidR="005608D1" w:rsidRPr="00CA32B3">
        <w:rPr>
          <w:rFonts w:ascii="Verdana" w:hAnsi="Verdana"/>
          <w:sz w:val="20"/>
          <w:szCs w:val="20"/>
        </w:rPr>
        <w:t>s</w:t>
      </w:r>
      <w:r w:rsidRPr="00CA32B3">
        <w:rPr>
          <w:rFonts w:ascii="Verdana" w:hAnsi="Verdana"/>
          <w:sz w:val="20"/>
          <w:szCs w:val="20"/>
        </w:rPr>
        <w:t>]</w:t>
      </w:r>
      <w:r w:rsidR="005608D1" w:rsidRPr="00CA32B3">
        <w:rPr>
          <w:rFonts w:ascii="Verdana" w:hAnsi="Verdana"/>
          <w:sz w:val="20"/>
          <w:szCs w:val="20"/>
        </w:rPr>
        <w:t xml:space="preserve">e identificaron los restos óseos de </w:t>
      </w:r>
      <w:r w:rsidRPr="00CA32B3">
        <w:rPr>
          <w:rFonts w:ascii="Verdana" w:hAnsi="Verdana"/>
          <w:sz w:val="20"/>
          <w:szCs w:val="20"/>
        </w:rPr>
        <w:t>dos individuos: Magdalena Hilario Quispe</w:t>
      </w:r>
      <w:r w:rsidR="00606580" w:rsidRPr="00CA32B3">
        <w:rPr>
          <w:rFonts w:ascii="Verdana" w:hAnsi="Verdana"/>
          <w:sz w:val="20"/>
          <w:szCs w:val="20"/>
        </w:rPr>
        <w:t xml:space="preserve"> </w:t>
      </w:r>
      <w:r w:rsidRPr="00CA32B3">
        <w:rPr>
          <w:rFonts w:ascii="Verdana" w:hAnsi="Verdana"/>
          <w:sz w:val="20"/>
          <w:szCs w:val="20"/>
        </w:rPr>
        <w:t xml:space="preserve">[…] y </w:t>
      </w:r>
      <w:r w:rsidR="005608D1" w:rsidRPr="00CA32B3">
        <w:rPr>
          <w:rFonts w:ascii="Verdana" w:hAnsi="Verdana"/>
          <w:sz w:val="20"/>
          <w:szCs w:val="20"/>
        </w:rPr>
        <w:t>un individuo de edad intrauterina como hijo de Mercedes Carhuapoma de la Cruz”</w:t>
      </w:r>
      <w:r w:rsidR="00606580" w:rsidRPr="00CA32B3">
        <w:rPr>
          <w:rFonts w:ascii="Verdana" w:hAnsi="Verdana"/>
          <w:sz w:val="20"/>
          <w:szCs w:val="20"/>
        </w:rPr>
        <w:t>;</w:t>
      </w:r>
      <w:r w:rsidR="005608D1" w:rsidRPr="00CA32B3">
        <w:rPr>
          <w:rFonts w:ascii="Verdana" w:hAnsi="Verdana"/>
          <w:sz w:val="20"/>
          <w:szCs w:val="20"/>
        </w:rPr>
        <w:t xml:space="preserve"> </w:t>
      </w:r>
    </w:p>
    <w:p w14:paraId="19F8F7AB" w14:textId="7C033B4A" w:rsidR="00830BE1" w:rsidRPr="00CA32B3" w:rsidRDefault="005835CE" w:rsidP="00690FE6">
      <w:pPr>
        <w:pStyle w:val="Prrafodelista"/>
        <w:numPr>
          <w:ilvl w:val="0"/>
          <w:numId w:val="16"/>
        </w:numPr>
        <w:suppressLineNumbers/>
        <w:autoSpaceDE w:val="0"/>
        <w:autoSpaceDN w:val="0"/>
        <w:adjustRightInd w:val="0"/>
        <w:spacing w:after="0" w:line="240" w:lineRule="auto"/>
        <w:ind w:left="709" w:firstLine="11"/>
        <w:jc w:val="both"/>
        <w:rPr>
          <w:rFonts w:ascii="Verdana" w:hAnsi="Verdana"/>
          <w:sz w:val="20"/>
          <w:szCs w:val="20"/>
        </w:rPr>
      </w:pPr>
      <w:r w:rsidRPr="00CA32B3">
        <w:rPr>
          <w:rFonts w:ascii="Verdana" w:hAnsi="Verdana"/>
          <w:sz w:val="20"/>
          <w:szCs w:val="20"/>
        </w:rPr>
        <w:lastRenderedPageBreak/>
        <w:t>se plantearon</w:t>
      </w:r>
      <w:r w:rsidR="005E36A1" w:rsidRPr="00CA32B3">
        <w:rPr>
          <w:rFonts w:ascii="Verdana" w:hAnsi="Verdana"/>
          <w:sz w:val="20"/>
          <w:szCs w:val="20"/>
        </w:rPr>
        <w:t xml:space="preserve"> “hipótesis de identificación” respecto de </w:t>
      </w:r>
      <w:r w:rsidR="00830BE1" w:rsidRPr="00CA32B3">
        <w:rPr>
          <w:rFonts w:ascii="Verdana" w:hAnsi="Verdana"/>
          <w:sz w:val="20"/>
          <w:szCs w:val="20"/>
        </w:rPr>
        <w:t>dos víctimas “</w:t>
      </w:r>
      <w:r w:rsidRPr="00CA32B3">
        <w:rPr>
          <w:rFonts w:ascii="Verdana" w:hAnsi="Verdana"/>
          <w:sz w:val="20"/>
          <w:szCs w:val="20"/>
        </w:rPr>
        <w:t xml:space="preserve">que tuvieron </w:t>
      </w:r>
      <w:r w:rsidR="00830BE1" w:rsidRPr="00CA32B3">
        <w:rPr>
          <w:rFonts w:ascii="Verdana" w:hAnsi="Verdana"/>
          <w:sz w:val="20"/>
          <w:szCs w:val="20"/>
        </w:rPr>
        <w:t xml:space="preserve">al momento del evento 8 meses” y respecto de cinco </w:t>
      </w:r>
      <w:r w:rsidR="005608D1" w:rsidRPr="00CA32B3">
        <w:rPr>
          <w:rFonts w:ascii="Verdana" w:hAnsi="Verdana"/>
          <w:sz w:val="20"/>
          <w:szCs w:val="20"/>
        </w:rPr>
        <w:t>víctimas</w:t>
      </w:r>
      <w:r w:rsidR="00830BE1" w:rsidRPr="00CA32B3">
        <w:rPr>
          <w:rFonts w:ascii="Verdana" w:hAnsi="Verdana"/>
          <w:sz w:val="20"/>
          <w:szCs w:val="20"/>
        </w:rPr>
        <w:t xml:space="preserve"> “que se reportaron con edades entre 3 a 6 años”</w:t>
      </w:r>
      <w:r w:rsidRPr="00CA32B3">
        <w:rPr>
          <w:rFonts w:ascii="Verdana" w:hAnsi="Verdana"/>
          <w:sz w:val="20"/>
          <w:szCs w:val="20"/>
        </w:rPr>
        <w:t>;</w:t>
      </w:r>
    </w:p>
    <w:p w14:paraId="108C80DA" w14:textId="36803707" w:rsidR="00AC7887" w:rsidRPr="00CA32B3" w:rsidRDefault="00441922" w:rsidP="00690FE6">
      <w:pPr>
        <w:pStyle w:val="Prrafodelista"/>
        <w:numPr>
          <w:ilvl w:val="0"/>
          <w:numId w:val="16"/>
        </w:numPr>
        <w:suppressLineNumbers/>
        <w:autoSpaceDE w:val="0"/>
        <w:autoSpaceDN w:val="0"/>
        <w:adjustRightInd w:val="0"/>
        <w:spacing w:after="0" w:line="240" w:lineRule="auto"/>
        <w:jc w:val="both"/>
        <w:rPr>
          <w:rFonts w:ascii="Verdana" w:hAnsi="Verdana"/>
          <w:sz w:val="20"/>
          <w:szCs w:val="20"/>
        </w:rPr>
      </w:pPr>
      <w:r w:rsidRPr="00CA32B3">
        <w:rPr>
          <w:rFonts w:ascii="Verdana" w:hAnsi="Verdana"/>
          <w:sz w:val="20"/>
          <w:szCs w:val="20"/>
        </w:rPr>
        <w:t xml:space="preserve"> </w:t>
      </w:r>
      <w:r w:rsidR="00CA30E6" w:rsidRPr="00CA32B3">
        <w:rPr>
          <w:rFonts w:ascii="Verdana" w:hAnsi="Verdana"/>
          <w:sz w:val="20"/>
          <w:szCs w:val="20"/>
        </w:rPr>
        <w:t>“se seleccionaron [9] huesos diagnósticos y a nivel dental, que podrían ser parte de</w:t>
      </w:r>
      <w:r w:rsidR="00606580" w:rsidRPr="00CA32B3">
        <w:rPr>
          <w:rFonts w:ascii="Verdana" w:hAnsi="Verdana"/>
          <w:sz w:val="20"/>
          <w:szCs w:val="20"/>
        </w:rPr>
        <w:t>[l]</w:t>
      </w:r>
      <w:r w:rsidR="00CA30E6" w:rsidRPr="00CA32B3">
        <w:rPr>
          <w:rFonts w:ascii="Verdana" w:hAnsi="Verdana"/>
          <w:sz w:val="20"/>
          <w:szCs w:val="20"/>
        </w:rPr>
        <w:t xml:space="preserve"> proceso de toma de muestras de hueso para procesos bio-moleculares de ADN […]”</w:t>
      </w:r>
      <w:r w:rsidRPr="00CA32B3">
        <w:rPr>
          <w:rFonts w:ascii="Verdana" w:hAnsi="Verdana"/>
          <w:sz w:val="20"/>
          <w:szCs w:val="20"/>
        </w:rPr>
        <w:t>;</w:t>
      </w:r>
    </w:p>
    <w:p w14:paraId="33D0E818" w14:textId="36784558" w:rsidR="00441922" w:rsidRPr="00CA32B3" w:rsidRDefault="00441922" w:rsidP="00690FE6">
      <w:pPr>
        <w:pStyle w:val="Prrafodelista"/>
        <w:numPr>
          <w:ilvl w:val="0"/>
          <w:numId w:val="16"/>
        </w:numPr>
        <w:suppressLineNumbers/>
        <w:autoSpaceDE w:val="0"/>
        <w:autoSpaceDN w:val="0"/>
        <w:adjustRightInd w:val="0"/>
        <w:spacing w:after="0" w:line="240" w:lineRule="auto"/>
        <w:jc w:val="both"/>
        <w:rPr>
          <w:rFonts w:ascii="Verdana" w:hAnsi="Verdana"/>
          <w:sz w:val="20"/>
          <w:szCs w:val="20"/>
        </w:rPr>
      </w:pPr>
      <w:r w:rsidRPr="00CA32B3">
        <w:rPr>
          <w:rFonts w:ascii="Verdana" w:hAnsi="Verdana"/>
          <w:sz w:val="20"/>
          <w:szCs w:val="20"/>
        </w:rPr>
        <w:t>“para las demás personas reportadas como víctimas se sugieren hipótesis de identificación […] que necesitarán […] procedimientos bio-moleculares”;</w:t>
      </w:r>
    </w:p>
    <w:p w14:paraId="1273672B" w14:textId="01819FE1" w:rsidR="00AC7887" w:rsidRPr="00CA32B3" w:rsidRDefault="00AC7887" w:rsidP="00690FE6">
      <w:pPr>
        <w:pStyle w:val="Prrafodelista"/>
        <w:numPr>
          <w:ilvl w:val="0"/>
          <w:numId w:val="16"/>
        </w:numPr>
        <w:suppressLineNumbers/>
        <w:autoSpaceDE w:val="0"/>
        <w:autoSpaceDN w:val="0"/>
        <w:adjustRightInd w:val="0"/>
        <w:spacing w:after="0" w:line="240" w:lineRule="auto"/>
        <w:jc w:val="both"/>
        <w:rPr>
          <w:rFonts w:ascii="Verdana" w:hAnsi="Verdana"/>
          <w:sz w:val="20"/>
          <w:szCs w:val="20"/>
        </w:rPr>
      </w:pPr>
      <w:r w:rsidRPr="00CA32B3">
        <w:rPr>
          <w:rFonts w:ascii="Verdana" w:hAnsi="Verdana"/>
          <w:sz w:val="20"/>
          <w:szCs w:val="20"/>
        </w:rPr>
        <w:t>“se realizó una sesión de exhibición de prendas</w:t>
      </w:r>
      <w:r w:rsidR="00441922" w:rsidRPr="00CA32B3">
        <w:rPr>
          <w:rFonts w:ascii="Verdana" w:hAnsi="Verdana"/>
          <w:sz w:val="20"/>
          <w:szCs w:val="20"/>
        </w:rPr>
        <w:t>”</w:t>
      </w:r>
      <w:r w:rsidRPr="00CA32B3">
        <w:rPr>
          <w:rFonts w:ascii="Verdana" w:hAnsi="Verdana"/>
          <w:sz w:val="20"/>
          <w:szCs w:val="20"/>
        </w:rPr>
        <w:t xml:space="preserve"> en la que familiares de las víctimas </w:t>
      </w:r>
      <w:r w:rsidR="00441922" w:rsidRPr="00CA32B3">
        <w:rPr>
          <w:rFonts w:ascii="Verdana" w:hAnsi="Verdana"/>
          <w:sz w:val="20"/>
          <w:szCs w:val="20"/>
        </w:rPr>
        <w:t>reconocieron prendas</w:t>
      </w:r>
      <w:r w:rsidR="00367678" w:rsidRPr="00CA32B3">
        <w:rPr>
          <w:rFonts w:ascii="Verdana" w:hAnsi="Verdana"/>
          <w:sz w:val="20"/>
          <w:szCs w:val="20"/>
        </w:rPr>
        <w:t>.</w:t>
      </w:r>
      <w:r w:rsidR="00441922" w:rsidRPr="00CA32B3">
        <w:rPr>
          <w:rFonts w:ascii="Verdana" w:hAnsi="Verdana"/>
          <w:sz w:val="20"/>
          <w:szCs w:val="20"/>
        </w:rPr>
        <w:t xml:space="preserve"> </w:t>
      </w:r>
      <w:r w:rsidR="00367678" w:rsidRPr="00CA32B3">
        <w:rPr>
          <w:rFonts w:ascii="Verdana" w:hAnsi="Verdana"/>
          <w:sz w:val="20"/>
          <w:szCs w:val="20"/>
        </w:rPr>
        <w:t>L</w:t>
      </w:r>
      <w:r w:rsidR="00441922" w:rsidRPr="00CA32B3">
        <w:rPr>
          <w:rFonts w:ascii="Verdana" w:hAnsi="Verdana"/>
          <w:sz w:val="20"/>
          <w:szCs w:val="20"/>
        </w:rPr>
        <w:t>as prendas “asociadas a restos óseos […] son incluidas en las hipótesis de identificación”;</w:t>
      </w:r>
    </w:p>
    <w:p w14:paraId="7A1C536C" w14:textId="635138BB" w:rsidR="00441922" w:rsidRPr="00CA32B3" w:rsidRDefault="00AC7887" w:rsidP="00690FE6">
      <w:pPr>
        <w:pStyle w:val="Prrafodelista"/>
        <w:numPr>
          <w:ilvl w:val="0"/>
          <w:numId w:val="16"/>
        </w:numPr>
        <w:suppressLineNumbers/>
        <w:autoSpaceDE w:val="0"/>
        <w:autoSpaceDN w:val="0"/>
        <w:adjustRightInd w:val="0"/>
        <w:spacing w:after="0" w:line="240" w:lineRule="auto"/>
        <w:jc w:val="both"/>
        <w:rPr>
          <w:rFonts w:ascii="Verdana" w:hAnsi="Verdana"/>
          <w:sz w:val="20"/>
          <w:szCs w:val="20"/>
        </w:rPr>
      </w:pPr>
      <w:r w:rsidRPr="00CA32B3">
        <w:rPr>
          <w:rFonts w:ascii="Verdana" w:hAnsi="Verdana"/>
          <w:sz w:val="20"/>
          <w:szCs w:val="20"/>
        </w:rPr>
        <w:t>“se recomienda plantear una reunión para explicar [a</w:t>
      </w:r>
      <w:r w:rsidR="005608D1" w:rsidRPr="00CA32B3">
        <w:rPr>
          <w:rFonts w:ascii="Verdana" w:hAnsi="Verdana"/>
          <w:sz w:val="20"/>
          <w:szCs w:val="20"/>
        </w:rPr>
        <w:t xml:space="preserve"> los familiares</w:t>
      </w:r>
      <w:r w:rsidRPr="00CA32B3">
        <w:rPr>
          <w:rFonts w:ascii="Verdana" w:hAnsi="Verdana"/>
          <w:sz w:val="20"/>
          <w:szCs w:val="20"/>
        </w:rPr>
        <w:t>]</w:t>
      </w:r>
      <w:r w:rsidR="005608D1" w:rsidRPr="00CA32B3">
        <w:rPr>
          <w:rFonts w:ascii="Verdana" w:hAnsi="Verdana"/>
          <w:sz w:val="20"/>
          <w:szCs w:val="20"/>
        </w:rPr>
        <w:t xml:space="preserve"> los resultados del análisis, las pos</w:t>
      </w:r>
      <w:r w:rsidRPr="00CA32B3">
        <w:rPr>
          <w:rFonts w:ascii="Verdana" w:hAnsi="Verdana"/>
          <w:sz w:val="20"/>
          <w:szCs w:val="20"/>
        </w:rPr>
        <w:t>ibilidades de identificación</w:t>
      </w:r>
      <w:r w:rsidR="00606580" w:rsidRPr="00CA32B3">
        <w:rPr>
          <w:rFonts w:ascii="Verdana" w:hAnsi="Verdana"/>
          <w:sz w:val="20"/>
          <w:szCs w:val="20"/>
        </w:rPr>
        <w:t xml:space="preserve"> […]</w:t>
      </w:r>
      <w:r w:rsidR="005608D1" w:rsidRPr="00CA32B3">
        <w:rPr>
          <w:rFonts w:ascii="Verdana" w:hAnsi="Verdana"/>
          <w:sz w:val="20"/>
          <w:szCs w:val="20"/>
        </w:rPr>
        <w:t>, así como las pr</w:t>
      </w:r>
      <w:r w:rsidRPr="00CA32B3">
        <w:rPr>
          <w:rFonts w:ascii="Verdana" w:hAnsi="Verdana"/>
          <w:sz w:val="20"/>
          <w:szCs w:val="20"/>
        </w:rPr>
        <w:t>endas que fueron reconocidas y plantearles la</w:t>
      </w:r>
      <w:r w:rsidR="005608D1" w:rsidRPr="00CA32B3">
        <w:rPr>
          <w:rFonts w:ascii="Verdana" w:hAnsi="Verdana"/>
          <w:sz w:val="20"/>
          <w:szCs w:val="20"/>
        </w:rPr>
        <w:t xml:space="preserve"> consulta</w:t>
      </w:r>
      <w:r w:rsidRPr="00CA32B3">
        <w:rPr>
          <w:rFonts w:ascii="Verdana" w:hAnsi="Verdana"/>
          <w:sz w:val="20"/>
          <w:szCs w:val="20"/>
        </w:rPr>
        <w:t xml:space="preserve"> si desea</w:t>
      </w:r>
      <w:r w:rsidR="005608D1" w:rsidRPr="00CA32B3">
        <w:rPr>
          <w:rFonts w:ascii="Verdana" w:hAnsi="Verdana"/>
          <w:sz w:val="20"/>
          <w:szCs w:val="20"/>
        </w:rPr>
        <w:t xml:space="preserve">n en algunos casos continuar con los procedimientos biomoleculares y sus implicancias y coordinar con ellos la forma en que quisieran se retornen los fragmentos de los cuerpos </w:t>
      </w:r>
      <w:r w:rsidRPr="00CA32B3">
        <w:rPr>
          <w:rFonts w:ascii="Verdana" w:hAnsi="Verdana" w:cs="Calibri"/>
          <w:sz w:val="20"/>
          <w:szCs w:val="20"/>
        </w:rPr>
        <w:t>que están</w:t>
      </w:r>
      <w:r w:rsidRPr="00CA32B3">
        <w:rPr>
          <w:rFonts w:ascii="Verdana" w:hAnsi="Verdana"/>
          <w:sz w:val="20"/>
          <w:szCs w:val="20"/>
        </w:rPr>
        <w:t xml:space="preserve"> identificados en esta</w:t>
      </w:r>
      <w:r w:rsidR="005608D1" w:rsidRPr="00CA32B3">
        <w:rPr>
          <w:rFonts w:ascii="Verdana" w:hAnsi="Verdana"/>
          <w:sz w:val="20"/>
          <w:szCs w:val="20"/>
        </w:rPr>
        <w:t xml:space="preserve"> etapa de</w:t>
      </w:r>
      <w:r w:rsidRPr="00CA32B3">
        <w:rPr>
          <w:rFonts w:ascii="Verdana" w:hAnsi="Verdana"/>
          <w:sz w:val="20"/>
          <w:szCs w:val="20"/>
        </w:rPr>
        <w:t xml:space="preserve"> análisis y cuando se cuenten</w:t>
      </w:r>
      <w:r w:rsidR="005608D1" w:rsidRPr="00CA32B3">
        <w:rPr>
          <w:rFonts w:ascii="Verdana" w:hAnsi="Verdana"/>
          <w:sz w:val="20"/>
          <w:szCs w:val="20"/>
        </w:rPr>
        <w:t xml:space="preserve"> con los</w:t>
      </w:r>
      <w:r w:rsidRPr="00CA32B3">
        <w:rPr>
          <w:rFonts w:ascii="Verdana" w:hAnsi="Verdana"/>
          <w:sz w:val="20"/>
          <w:szCs w:val="20"/>
        </w:rPr>
        <w:t xml:space="preserve"> resultados de</w:t>
      </w:r>
      <w:r w:rsidR="005608D1" w:rsidRPr="00CA32B3">
        <w:rPr>
          <w:rFonts w:ascii="Verdana" w:hAnsi="Verdana"/>
          <w:sz w:val="20"/>
          <w:szCs w:val="20"/>
        </w:rPr>
        <w:t xml:space="preserve"> procedimientos biomoleculares”</w:t>
      </w:r>
      <w:r w:rsidR="005608D1" w:rsidRPr="00CA32B3">
        <w:rPr>
          <w:rStyle w:val="Refdenotaalpie"/>
          <w:rFonts w:ascii="Verdana" w:hAnsi="Verdana"/>
          <w:sz w:val="20"/>
          <w:szCs w:val="20"/>
        </w:rPr>
        <w:footnoteReference w:id="45"/>
      </w:r>
      <w:r w:rsidR="00EF3A31" w:rsidRPr="00CA32B3">
        <w:rPr>
          <w:rFonts w:ascii="Verdana" w:hAnsi="Verdana"/>
          <w:sz w:val="20"/>
          <w:szCs w:val="20"/>
        </w:rPr>
        <w:t>, y</w:t>
      </w:r>
    </w:p>
    <w:p w14:paraId="1C1D30CE" w14:textId="4D4303D9" w:rsidR="005608D1" w:rsidRPr="00CA32B3" w:rsidRDefault="00441922" w:rsidP="00690FE6">
      <w:pPr>
        <w:pStyle w:val="Prrafodelista"/>
        <w:numPr>
          <w:ilvl w:val="0"/>
          <w:numId w:val="16"/>
        </w:numPr>
        <w:suppressLineNumbers/>
        <w:autoSpaceDE w:val="0"/>
        <w:autoSpaceDN w:val="0"/>
        <w:adjustRightInd w:val="0"/>
        <w:spacing w:after="0" w:line="240" w:lineRule="auto"/>
        <w:jc w:val="both"/>
        <w:rPr>
          <w:rFonts w:ascii="Verdana" w:hAnsi="Verdana"/>
          <w:sz w:val="20"/>
          <w:szCs w:val="20"/>
        </w:rPr>
      </w:pPr>
      <w:r w:rsidRPr="00CA32B3">
        <w:rPr>
          <w:rFonts w:ascii="Verdana" w:hAnsi="Verdana"/>
          <w:sz w:val="20"/>
          <w:szCs w:val="20"/>
        </w:rPr>
        <w:t xml:space="preserve">“se recomienda </w:t>
      </w:r>
      <w:r w:rsidR="005608D1" w:rsidRPr="00CA32B3">
        <w:rPr>
          <w:rFonts w:ascii="Verdana" w:hAnsi="Verdana"/>
          <w:sz w:val="20"/>
          <w:szCs w:val="20"/>
        </w:rPr>
        <w:t xml:space="preserve">considerar a los restos de prendas reconocidas por los familiares […] como un criterio de inclusión de las víctimas en la </w:t>
      </w:r>
      <w:r w:rsidRPr="00CA32B3">
        <w:rPr>
          <w:rFonts w:ascii="Verdana" w:hAnsi="Verdana"/>
          <w:sz w:val="20"/>
          <w:szCs w:val="20"/>
        </w:rPr>
        <w:t>muestra analizada y que sean</w:t>
      </w:r>
      <w:r w:rsidR="005608D1" w:rsidRPr="00CA32B3">
        <w:rPr>
          <w:rFonts w:ascii="Verdana" w:hAnsi="Verdana"/>
          <w:sz w:val="20"/>
          <w:szCs w:val="20"/>
        </w:rPr>
        <w:t xml:space="preserve"> restituidas de acuerdo al nombre de las víctimas</w:t>
      </w:r>
      <w:r w:rsidRPr="00CA32B3">
        <w:rPr>
          <w:rFonts w:ascii="Verdana" w:hAnsi="Verdana"/>
          <w:sz w:val="20"/>
          <w:szCs w:val="20"/>
        </w:rPr>
        <w:t xml:space="preserve"> a las que se las atribuyen”.</w:t>
      </w:r>
    </w:p>
    <w:p w14:paraId="1EF7778C" w14:textId="77777777" w:rsidR="00F17FC4" w:rsidRPr="00CA32B3" w:rsidRDefault="00F17FC4" w:rsidP="00690FE6">
      <w:pPr>
        <w:pStyle w:val="Prrafodelista"/>
        <w:suppressLineNumbers/>
        <w:autoSpaceDE w:val="0"/>
        <w:autoSpaceDN w:val="0"/>
        <w:adjustRightInd w:val="0"/>
        <w:spacing w:after="0" w:line="240" w:lineRule="auto"/>
        <w:ind w:left="1440"/>
        <w:jc w:val="both"/>
        <w:rPr>
          <w:rFonts w:ascii="Verdana" w:hAnsi="Verdana"/>
          <w:sz w:val="20"/>
          <w:szCs w:val="20"/>
        </w:rPr>
      </w:pPr>
    </w:p>
    <w:p w14:paraId="65D201BC" w14:textId="1F96C2C2" w:rsidR="00A60D5C" w:rsidRPr="00CA32B3" w:rsidRDefault="00EE3E46" w:rsidP="00690FE6">
      <w:pPr>
        <w:pStyle w:val="Prrafodelista"/>
        <w:numPr>
          <w:ilvl w:val="0"/>
          <w:numId w:val="14"/>
        </w:numPr>
        <w:suppressLineNumbers/>
        <w:autoSpaceDE w:val="0"/>
        <w:autoSpaceDN w:val="0"/>
        <w:adjustRightInd w:val="0"/>
        <w:spacing w:after="0" w:line="240" w:lineRule="auto"/>
        <w:jc w:val="both"/>
        <w:rPr>
          <w:rFonts w:ascii="Verdana" w:hAnsi="Verdana"/>
          <w:sz w:val="20"/>
          <w:szCs w:val="20"/>
        </w:rPr>
      </w:pPr>
      <w:r w:rsidRPr="00CA32B3">
        <w:rPr>
          <w:rFonts w:ascii="Verdana" w:hAnsi="Verdana"/>
          <w:sz w:val="20"/>
          <w:szCs w:val="20"/>
        </w:rPr>
        <w:t>En junio de 2017</w:t>
      </w:r>
      <w:r w:rsidR="00A60D5C" w:rsidRPr="00CA32B3">
        <w:rPr>
          <w:rFonts w:ascii="Verdana" w:hAnsi="Verdana"/>
          <w:sz w:val="20"/>
          <w:szCs w:val="20"/>
        </w:rPr>
        <w:t>, s</w:t>
      </w:r>
      <w:r w:rsidR="00665ECF" w:rsidRPr="00CA32B3">
        <w:rPr>
          <w:rFonts w:ascii="Verdana" w:hAnsi="Verdana"/>
          <w:sz w:val="20"/>
          <w:szCs w:val="20"/>
        </w:rPr>
        <w:t xml:space="preserve">iguiendo las recomendaciones de dicho informe del Equipo Forense Especializado, se efectuó una reunión con familiares </w:t>
      </w:r>
      <w:r w:rsidR="00A60D5C" w:rsidRPr="00CA32B3">
        <w:rPr>
          <w:rFonts w:ascii="Verdana" w:hAnsi="Verdana"/>
          <w:sz w:val="20"/>
          <w:szCs w:val="20"/>
        </w:rPr>
        <w:t xml:space="preserve">de las víctimas y </w:t>
      </w:r>
      <w:r w:rsidRPr="00CA32B3">
        <w:rPr>
          <w:rFonts w:ascii="Verdana" w:hAnsi="Verdana"/>
          <w:sz w:val="20"/>
          <w:szCs w:val="20"/>
        </w:rPr>
        <w:t>un representante</w:t>
      </w:r>
      <w:r w:rsidR="00A60D5C" w:rsidRPr="00CA32B3">
        <w:rPr>
          <w:rFonts w:ascii="Verdana" w:hAnsi="Verdana"/>
          <w:b/>
          <w:sz w:val="20"/>
          <w:szCs w:val="20"/>
        </w:rPr>
        <w:t xml:space="preserve"> </w:t>
      </w:r>
      <w:r w:rsidR="002131DC" w:rsidRPr="00CA32B3">
        <w:rPr>
          <w:rFonts w:ascii="Verdana" w:hAnsi="Verdana"/>
          <w:sz w:val="20"/>
          <w:szCs w:val="20"/>
        </w:rPr>
        <w:t>par</w:t>
      </w:r>
      <w:r w:rsidR="00A60D5C" w:rsidRPr="00CA32B3">
        <w:rPr>
          <w:rFonts w:ascii="Verdana" w:hAnsi="Verdana"/>
          <w:sz w:val="20"/>
          <w:szCs w:val="20"/>
        </w:rPr>
        <w:t>a explicarles los resultados de dicho análisis</w:t>
      </w:r>
      <w:r w:rsidR="002131DC" w:rsidRPr="00CA32B3">
        <w:rPr>
          <w:rFonts w:ascii="Verdana" w:hAnsi="Verdana"/>
          <w:sz w:val="20"/>
          <w:szCs w:val="20"/>
        </w:rPr>
        <w:t xml:space="preserve"> </w:t>
      </w:r>
      <w:r w:rsidR="00A60D5C" w:rsidRPr="00CA32B3">
        <w:rPr>
          <w:rFonts w:ascii="Verdana" w:hAnsi="Verdana"/>
          <w:sz w:val="20"/>
          <w:szCs w:val="20"/>
        </w:rPr>
        <w:t>y sus recomendaciones, así como efectu</w:t>
      </w:r>
      <w:r w:rsidRPr="00CA32B3">
        <w:rPr>
          <w:rFonts w:ascii="Verdana" w:hAnsi="Verdana"/>
          <w:sz w:val="20"/>
          <w:szCs w:val="20"/>
        </w:rPr>
        <w:t>arles las consultas necesarias</w:t>
      </w:r>
      <w:r w:rsidRPr="00CA32B3">
        <w:rPr>
          <w:rStyle w:val="Refdenotaalpie"/>
          <w:rFonts w:ascii="Verdana" w:hAnsi="Verdana"/>
          <w:sz w:val="20"/>
          <w:szCs w:val="20"/>
        </w:rPr>
        <w:footnoteReference w:id="46"/>
      </w:r>
      <w:r w:rsidRPr="00CA32B3">
        <w:rPr>
          <w:rFonts w:ascii="Verdana" w:hAnsi="Verdana"/>
          <w:sz w:val="20"/>
          <w:szCs w:val="20"/>
        </w:rPr>
        <w:t>. Los familiares propusieron que “los restos óseos y prendas identificados y los no identificados” fueran entregados en “un acto simbólico humanitario”. Asimismo, autorizaron que “</w:t>
      </w:r>
      <w:r w:rsidRPr="00CA32B3">
        <w:rPr>
          <w:rFonts w:ascii="Verdana" w:eastAsiaTheme="minorHAnsi" w:hAnsi="Verdana" w:cs="Arial"/>
          <w:sz w:val="20"/>
          <w:szCs w:val="20"/>
          <w:lang w:eastAsia="en-US"/>
        </w:rPr>
        <w:t xml:space="preserve">se llev[aran] adelante los análisis [de ADN] de restos óseos […] factibles sin […] riesgo de pérdida de las muestras”. </w:t>
      </w:r>
    </w:p>
    <w:p w14:paraId="75BA57ED" w14:textId="77777777" w:rsidR="00F17FC4" w:rsidRPr="00CA32B3" w:rsidRDefault="00F17FC4" w:rsidP="00690FE6">
      <w:pPr>
        <w:pStyle w:val="Prrafodelista"/>
        <w:suppressLineNumbers/>
        <w:autoSpaceDE w:val="0"/>
        <w:autoSpaceDN w:val="0"/>
        <w:adjustRightInd w:val="0"/>
        <w:spacing w:after="0" w:line="240" w:lineRule="auto"/>
        <w:jc w:val="both"/>
        <w:rPr>
          <w:rFonts w:ascii="Verdana" w:hAnsi="Verdana"/>
          <w:sz w:val="20"/>
          <w:szCs w:val="20"/>
        </w:rPr>
      </w:pPr>
    </w:p>
    <w:p w14:paraId="69A733C4" w14:textId="22DFA1B7" w:rsidR="00AF0730" w:rsidRPr="00CA32B3" w:rsidRDefault="00EE3E46" w:rsidP="00690FE6">
      <w:pPr>
        <w:pStyle w:val="Prrafodelista"/>
        <w:numPr>
          <w:ilvl w:val="0"/>
          <w:numId w:val="14"/>
        </w:numPr>
        <w:suppressLineNumbers/>
        <w:autoSpaceDE w:val="0"/>
        <w:autoSpaceDN w:val="0"/>
        <w:adjustRightInd w:val="0"/>
        <w:spacing w:after="0" w:line="240" w:lineRule="auto"/>
        <w:jc w:val="both"/>
        <w:rPr>
          <w:rFonts w:ascii="Verdana" w:hAnsi="Verdana"/>
          <w:sz w:val="20"/>
          <w:szCs w:val="20"/>
        </w:rPr>
      </w:pPr>
      <w:r w:rsidRPr="00CA32B3">
        <w:rPr>
          <w:rFonts w:ascii="Verdana" w:hAnsi="Verdana"/>
          <w:sz w:val="20"/>
          <w:szCs w:val="20"/>
        </w:rPr>
        <w:t>El 18 de</w:t>
      </w:r>
      <w:r w:rsidR="00AF0730" w:rsidRPr="00CA32B3">
        <w:rPr>
          <w:rFonts w:ascii="Verdana" w:hAnsi="Verdana"/>
          <w:sz w:val="20"/>
          <w:szCs w:val="20"/>
        </w:rPr>
        <w:t xml:space="preserve"> agosto de 2017, tomando en cuenta lo expresado por los familiares de las víctimas</w:t>
      </w:r>
      <w:r w:rsidR="00665ECF" w:rsidRPr="00CA32B3">
        <w:rPr>
          <w:rFonts w:ascii="Verdana" w:hAnsi="Verdana" w:cs="Arial"/>
          <w:sz w:val="20"/>
          <w:szCs w:val="20"/>
        </w:rPr>
        <w:t xml:space="preserve"> y con base en las recom</w:t>
      </w:r>
      <w:r w:rsidR="00AF0730" w:rsidRPr="00CA32B3">
        <w:rPr>
          <w:rFonts w:ascii="Verdana" w:hAnsi="Verdana" w:cs="Arial"/>
          <w:sz w:val="20"/>
          <w:szCs w:val="20"/>
        </w:rPr>
        <w:t xml:space="preserve">endaciones del informe pericial, </w:t>
      </w:r>
      <w:r w:rsidR="00F17FC4" w:rsidRPr="00CA32B3">
        <w:rPr>
          <w:rFonts w:ascii="Verdana" w:hAnsi="Verdana" w:cs="Arial"/>
          <w:sz w:val="20"/>
          <w:szCs w:val="20"/>
          <w:lang w:val="es-CR"/>
        </w:rPr>
        <w:t xml:space="preserve">se llevó a cabo una ceremonia pública en la ciudad de Huancavelica, con la participación de los familiares, </w:t>
      </w:r>
      <w:r w:rsidR="00F17FC4" w:rsidRPr="00CA32B3">
        <w:rPr>
          <w:rFonts w:ascii="Verdana" w:eastAsiaTheme="minorHAnsi" w:hAnsi="Verdana" w:cs="Arial"/>
          <w:sz w:val="20"/>
          <w:szCs w:val="20"/>
          <w:lang w:val="es-CR" w:eastAsia="en-US"/>
        </w:rPr>
        <w:t>la Comisión Multisectorial de Alto Nivel del Ministerio de Justicia y Derechos Humanos y autoridades locales,</w:t>
      </w:r>
      <w:r w:rsidR="00F17FC4" w:rsidRPr="00CA32B3">
        <w:rPr>
          <w:rFonts w:ascii="Verdana" w:hAnsi="Verdana" w:cs="Arial"/>
          <w:sz w:val="20"/>
          <w:szCs w:val="20"/>
          <w:lang w:val="es-CR"/>
        </w:rPr>
        <w:t xml:space="preserve"> en</w:t>
      </w:r>
      <w:r w:rsidR="00F17FC4" w:rsidRPr="00CA32B3">
        <w:rPr>
          <w:rFonts w:ascii="Verdana" w:hAnsi="Verdana" w:cs="Arial"/>
          <w:sz w:val="20"/>
          <w:szCs w:val="18"/>
          <w:lang w:val="es-CR"/>
        </w:rPr>
        <w:t xml:space="preserve"> la cual se realizó </w:t>
      </w:r>
      <w:r w:rsidR="00F17FC4" w:rsidRPr="00CA32B3">
        <w:rPr>
          <w:rFonts w:ascii="Verdana" w:hAnsi="Verdana"/>
          <w:sz w:val="20"/>
          <w:szCs w:val="18"/>
          <w:lang w:val="es-CR"/>
        </w:rPr>
        <w:t>“</w:t>
      </w:r>
      <w:r w:rsidR="00F17FC4" w:rsidRPr="00CA32B3">
        <w:rPr>
          <w:rFonts w:ascii="Verdana" w:hAnsi="Verdana" w:cs="Arial"/>
          <w:sz w:val="20"/>
          <w:szCs w:val="18"/>
          <w:lang w:val="es-CR"/>
        </w:rPr>
        <w:t xml:space="preserve">la entrega </w:t>
      </w:r>
      <w:r w:rsidR="00F17FC4" w:rsidRPr="00CA32B3">
        <w:rPr>
          <w:rFonts w:ascii="Verdana" w:hAnsi="Verdana"/>
          <w:sz w:val="20"/>
          <w:szCs w:val="18"/>
          <w:lang w:val="es-CR"/>
        </w:rPr>
        <w:t xml:space="preserve">simbólica </w:t>
      </w:r>
      <w:r w:rsidR="00F17FC4" w:rsidRPr="00CA32B3">
        <w:rPr>
          <w:rFonts w:ascii="Verdana" w:hAnsi="Verdana" w:cs="Arial"/>
          <w:sz w:val="20"/>
          <w:szCs w:val="18"/>
          <w:lang w:val="es-CR"/>
        </w:rPr>
        <w:t>de los restos</w:t>
      </w:r>
      <w:r w:rsidR="00F17FC4" w:rsidRPr="00CA32B3">
        <w:rPr>
          <w:rFonts w:ascii="Verdana" w:hAnsi="Verdana"/>
          <w:sz w:val="20"/>
          <w:szCs w:val="18"/>
          <w:lang w:val="es-CR"/>
        </w:rPr>
        <w:t xml:space="preserve"> óseos</w:t>
      </w:r>
      <w:r w:rsidR="00F17FC4" w:rsidRPr="00CA32B3">
        <w:rPr>
          <w:rFonts w:ascii="Verdana" w:hAnsi="Verdana" w:cs="Arial"/>
          <w:sz w:val="20"/>
          <w:szCs w:val="18"/>
          <w:lang w:val="es-CR"/>
        </w:rPr>
        <w:t xml:space="preserve"> </w:t>
      </w:r>
      <w:r w:rsidR="00F17FC4" w:rsidRPr="00CA32B3">
        <w:rPr>
          <w:rFonts w:ascii="Verdana" w:hAnsi="Verdana"/>
          <w:sz w:val="20"/>
          <w:szCs w:val="18"/>
          <w:lang w:val="es-CR"/>
        </w:rPr>
        <w:t>[…</w:t>
      </w:r>
      <w:r w:rsidR="00F17FC4" w:rsidRPr="00CA32B3">
        <w:rPr>
          <w:rFonts w:ascii="Verdana" w:hAnsi="Verdana" w:cs="Arial"/>
          <w:sz w:val="20"/>
          <w:szCs w:val="18"/>
          <w:lang w:val="es-CR"/>
        </w:rPr>
        <w:t>y de</w:t>
      </w:r>
      <w:r w:rsidR="00F17FC4" w:rsidRPr="00CA32B3">
        <w:rPr>
          <w:rFonts w:ascii="Verdana" w:hAnsi="Verdana"/>
          <w:sz w:val="20"/>
          <w:szCs w:val="18"/>
          <w:lang w:val="es-CR"/>
        </w:rPr>
        <w:t>]</w:t>
      </w:r>
      <w:r w:rsidR="00F17FC4" w:rsidRPr="00CA32B3">
        <w:rPr>
          <w:rFonts w:ascii="Verdana" w:hAnsi="Verdana" w:cs="Arial"/>
          <w:sz w:val="20"/>
          <w:szCs w:val="18"/>
          <w:lang w:val="es-CR"/>
        </w:rPr>
        <w:t xml:space="preserve"> prendas de vestir </w:t>
      </w:r>
      <w:r w:rsidR="00F17FC4" w:rsidRPr="00CA32B3">
        <w:rPr>
          <w:rFonts w:ascii="Verdana" w:hAnsi="Verdana"/>
          <w:sz w:val="20"/>
          <w:szCs w:val="18"/>
          <w:lang w:val="es-CR"/>
        </w:rPr>
        <w:t>encontrados en el lugar de la ejecución de las víctimas</w:t>
      </w:r>
      <w:r w:rsidR="00F17FC4" w:rsidRPr="00CA32B3">
        <w:rPr>
          <w:rStyle w:val="Refdenotaalpie"/>
          <w:rFonts w:ascii="Verdana" w:hAnsi="Verdana" w:cs="Arial"/>
          <w:sz w:val="20"/>
          <w:szCs w:val="18"/>
          <w:lang w:val="es-CR"/>
        </w:rPr>
        <w:footnoteReference w:id="47"/>
      </w:r>
      <w:r w:rsidR="00F17FC4" w:rsidRPr="00CA32B3">
        <w:rPr>
          <w:rFonts w:ascii="Verdana" w:hAnsi="Verdana"/>
          <w:sz w:val="20"/>
          <w:szCs w:val="18"/>
          <w:lang w:val="es-CR"/>
        </w:rPr>
        <w:t>.</w:t>
      </w:r>
    </w:p>
    <w:p w14:paraId="127B354E" w14:textId="7860DAC6" w:rsidR="00D50977" w:rsidRPr="00CA32B3" w:rsidRDefault="00D50977" w:rsidP="00690FE6">
      <w:pPr>
        <w:pStyle w:val="Prrafodelista"/>
        <w:numPr>
          <w:ilvl w:val="0"/>
          <w:numId w:val="14"/>
        </w:numPr>
        <w:suppressLineNumbers/>
        <w:autoSpaceDE w:val="0"/>
        <w:autoSpaceDN w:val="0"/>
        <w:adjustRightInd w:val="0"/>
        <w:spacing w:after="0" w:line="240" w:lineRule="auto"/>
        <w:jc w:val="both"/>
        <w:rPr>
          <w:rFonts w:ascii="Verdana" w:hAnsi="Verdana" w:cs="Arial"/>
          <w:sz w:val="20"/>
          <w:szCs w:val="20"/>
        </w:rPr>
      </w:pPr>
      <w:r w:rsidRPr="00CA32B3">
        <w:rPr>
          <w:rFonts w:ascii="Verdana" w:eastAsiaTheme="minorHAnsi" w:hAnsi="Verdana" w:cs="Arial"/>
          <w:sz w:val="20"/>
          <w:szCs w:val="20"/>
          <w:lang w:eastAsia="en-US"/>
        </w:rPr>
        <w:lastRenderedPageBreak/>
        <w:t xml:space="preserve">en agosto de 2020 </w:t>
      </w:r>
      <w:r w:rsidRPr="00CA32B3">
        <w:rPr>
          <w:rFonts w:ascii="Verdana" w:hAnsi="Verdana"/>
          <w:sz w:val="20"/>
          <w:szCs w:val="20"/>
        </w:rPr>
        <w:t xml:space="preserve">la </w:t>
      </w:r>
      <w:r w:rsidR="00727B31" w:rsidRPr="00CA32B3">
        <w:rPr>
          <w:rFonts w:ascii="Verdana" w:hAnsi="Verdana"/>
          <w:sz w:val="20"/>
          <w:szCs w:val="20"/>
        </w:rPr>
        <w:t>“Unidad de Biología Molecular y Genética” de la “</w:t>
      </w:r>
      <w:r w:rsidRPr="00CA32B3">
        <w:rPr>
          <w:rFonts w:ascii="Verdana" w:hAnsi="Verdana"/>
          <w:sz w:val="20"/>
          <w:szCs w:val="20"/>
        </w:rPr>
        <w:t>Unidad Médico Legal II de Ayacucho</w:t>
      </w:r>
      <w:r w:rsidR="00727B31" w:rsidRPr="00CA32B3">
        <w:rPr>
          <w:rFonts w:ascii="Verdana" w:hAnsi="Verdana"/>
          <w:sz w:val="20"/>
          <w:szCs w:val="20"/>
        </w:rPr>
        <w:t>”</w:t>
      </w:r>
      <w:r w:rsidR="001D3A90" w:rsidRPr="00CA32B3">
        <w:rPr>
          <w:rFonts w:ascii="Verdana" w:hAnsi="Verdana"/>
          <w:sz w:val="20"/>
          <w:szCs w:val="20"/>
        </w:rPr>
        <w:t xml:space="preserve"> del Ministerio Público</w:t>
      </w:r>
      <w:r w:rsidRPr="00CA32B3">
        <w:rPr>
          <w:rFonts w:ascii="Verdana" w:hAnsi="Verdana"/>
          <w:sz w:val="20"/>
          <w:szCs w:val="20"/>
        </w:rPr>
        <w:t xml:space="preserve"> </w:t>
      </w:r>
      <w:r w:rsidR="000E09EA" w:rsidRPr="00CA32B3">
        <w:rPr>
          <w:rFonts w:ascii="Verdana" w:hAnsi="Verdana"/>
          <w:sz w:val="20"/>
          <w:szCs w:val="20"/>
        </w:rPr>
        <w:t xml:space="preserve">Fiscal de la Nación </w:t>
      </w:r>
      <w:r w:rsidRPr="00CA32B3">
        <w:rPr>
          <w:rFonts w:ascii="Verdana" w:hAnsi="Verdana"/>
          <w:sz w:val="20"/>
          <w:szCs w:val="20"/>
        </w:rPr>
        <w:t xml:space="preserve">efectuó un </w:t>
      </w:r>
      <w:r w:rsidR="00727B31" w:rsidRPr="00CA32B3">
        <w:rPr>
          <w:rFonts w:ascii="Verdana" w:hAnsi="Verdana"/>
          <w:sz w:val="20"/>
          <w:szCs w:val="20"/>
        </w:rPr>
        <w:t>“</w:t>
      </w:r>
      <w:r w:rsidRPr="00CA32B3">
        <w:rPr>
          <w:rFonts w:ascii="Verdana" w:hAnsi="Verdana"/>
          <w:sz w:val="20"/>
          <w:szCs w:val="20"/>
        </w:rPr>
        <w:t>informe</w:t>
      </w:r>
      <w:r w:rsidR="00727B31" w:rsidRPr="00CA32B3">
        <w:rPr>
          <w:rFonts w:ascii="Verdana" w:hAnsi="Verdana"/>
          <w:sz w:val="20"/>
          <w:szCs w:val="20"/>
        </w:rPr>
        <w:t xml:space="preserve"> de los resultados finales de la identificación genética de los desaparecidos de la investigación 01-2016 Caso Santa Bárbara” </w:t>
      </w:r>
      <w:r w:rsidRPr="00CA32B3">
        <w:rPr>
          <w:rFonts w:ascii="Verdana" w:hAnsi="Verdana"/>
          <w:sz w:val="20"/>
          <w:szCs w:val="20"/>
        </w:rPr>
        <w:t xml:space="preserve">relativo al </w:t>
      </w:r>
      <w:r w:rsidR="002A45AD" w:rsidRPr="00CA32B3">
        <w:rPr>
          <w:rFonts w:ascii="Verdana" w:hAnsi="Verdana"/>
          <w:sz w:val="20"/>
          <w:szCs w:val="20"/>
        </w:rPr>
        <w:t xml:space="preserve">análisis </w:t>
      </w:r>
      <w:r w:rsidRPr="00CA32B3">
        <w:rPr>
          <w:rFonts w:ascii="Verdana" w:hAnsi="Verdana"/>
          <w:sz w:val="20"/>
          <w:szCs w:val="20"/>
        </w:rPr>
        <w:t xml:space="preserve">de ADN de </w:t>
      </w:r>
      <w:r w:rsidR="00116634" w:rsidRPr="00CA32B3">
        <w:rPr>
          <w:rFonts w:ascii="Verdana" w:hAnsi="Verdana"/>
          <w:sz w:val="20"/>
          <w:szCs w:val="20"/>
        </w:rPr>
        <w:t>“26 Muestras de R</w:t>
      </w:r>
      <w:r w:rsidRPr="00CA32B3">
        <w:rPr>
          <w:rFonts w:ascii="Verdana" w:hAnsi="Verdana"/>
          <w:sz w:val="20"/>
          <w:szCs w:val="20"/>
        </w:rPr>
        <w:t>estos óseos</w:t>
      </w:r>
      <w:r w:rsidR="00116634" w:rsidRPr="00CA32B3">
        <w:rPr>
          <w:rFonts w:ascii="Verdana" w:hAnsi="Verdana"/>
          <w:sz w:val="20"/>
          <w:szCs w:val="20"/>
        </w:rPr>
        <w:t>”</w:t>
      </w:r>
      <w:r w:rsidR="00116634" w:rsidRPr="00CA32B3">
        <w:rPr>
          <w:rStyle w:val="Refdenotaalpie"/>
          <w:rFonts w:ascii="Verdana" w:hAnsi="Verdana"/>
          <w:sz w:val="20"/>
          <w:szCs w:val="20"/>
        </w:rPr>
        <w:footnoteReference w:id="48"/>
      </w:r>
      <w:r w:rsidR="000E09EA" w:rsidRPr="00CA32B3">
        <w:rPr>
          <w:rFonts w:ascii="Verdana" w:hAnsi="Verdana"/>
          <w:sz w:val="20"/>
          <w:szCs w:val="20"/>
        </w:rPr>
        <w:t xml:space="preserve"> recuperado</w:t>
      </w:r>
      <w:r w:rsidR="002A45AD" w:rsidRPr="00CA32B3">
        <w:rPr>
          <w:rFonts w:ascii="Verdana" w:hAnsi="Verdana"/>
          <w:sz w:val="20"/>
          <w:szCs w:val="20"/>
        </w:rPr>
        <w:t>s</w:t>
      </w:r>
      <w:r w:rsidR="001D3A90" w:rsidRPr="00CA32B3">
        <w:rPr>
          <w:rFonts w:ascii="Verdana" w:hAnsi="Verdana"/>
          <w:sz w:val="20"/>
          <w:szCs w:val="20"/>
        </w:rPr>
        <w:t xml:space="preserve">. Entre los </w:t>
      </w:r>
      <w:r w:rsidR="00727B31" w:rsidRPr="00CA32B3">
        <w:rPr>
          <w:rFonts w:ascii="Verdana" w:hAnsi="Verdana"/>
          <w:sz w:val="20"/>
          <w:szCs w:val="20"/>
        </w:rPr>
        <w:t xml:space="preserve">“resultados” </w:t>
      </w:r>
      <w:r w:rsidR="001D3A90" w:rsidRPr="00CA32B3">
        <w:rPr>
          <w:rFonts w:ascii="Verdana" w:hAnsi="Verdana"/>
          <w:sz w:val="20"/>
          <w:szCs w:val="20"/>
        </w:rPr>
        <w:t xml:space="preserve">de dicho informe se indica </w:t>
      </w:r>
      <w:r w:rsidR="00727B31" w:rsidRPr="00CA32B3">
        <w:rPr>
          <w:rFonts w:ascii="Verdana" w:hAnsi="Verdana"/>
          <w:sz w:val="20"/>
          <w:szCs w:val="20"/>
        </w:rPr>
        <w:t>“</w:t>
      </w:r>
      <w:r w:rsidRPr="00CA32B3">
        <w:rPr>
          <w:rFonts w:ascii="Verdana" w:hAnsi="Verdana"/>
          <w:sz w:val="20"/>
          <w:szCs w:val="20"/>
        </w:rPr>
        <w:t xml:space="preserve">la identificación de las 15 </w:t>
      </w:r>
      <w:r w:rsidR="00727B31" w:rsidRPr="00CA32B3">
        <w:rPr>
          <w:rFonts w:ascii="Verdana" w:hAnsi="Verdana"/>
          <w:sz w:val="20"/>
          <w:szCs w:val="20"/>
        </w:rPr>
        <w:t>personas desaparecidas”</w:t>
      </w:r>
      <w:r w:rsidRPr="00CA32B3">
        <w:rPr>
          <w:rFonts w:ascii="Verdana" w:hAnsi="Verdana"/>
          <w:sz w:val="20"/>
          <w:szCs w:val="20"/>
        </w:rPr>
        <w:t xml:space="preserve"> </w:t>
      </w:r>
      <w:r w:rsidRPr="00CA32B3">
        <w:rPr>
          <w:rFonts w:ascii="Verdana" w:eastAsiaTheme="minorHAnsi" w:hAnsi="Verdana" w:cs="Arial"/>
          <w:sz w:val="20"/>
          <w:szCs w:val="20"/>
          <w:lang w:eastAsia="en-US"/>
        </w:rPr>
        <w:t>(</w:t>
      </w:r>
      <w:r w:rsidR="000E09EA" w:rsidRPr="00CA32B3">
        <w:rPr>
          <w:rFonts w:ascii="Verdana" w:eastAsiaTheme="minorHAnsi" w:hAnsi="Verdana" w:cs="Arial"/>
          <w:i/>
          <w:sz w:val="20"/>
          <w:szCs w:val="20"/>
          <w:lang w:eastAsia="en-US"/>
        </w:rPr>
        <w:t>infra</w:t>
      </w:r>
      <w:r w:rsidRPr="00CA32B3">
        <w:rPr>
          <w:rFonts w:ascii="Verdana" w:eastAsiaTheme="minorHAnsi" w:hAnsi="Verdana" w:cs="Arial"/>
          <w:i/>
          <w:sz w:val="20"/>
          <w:szCs w:val="20"/>
          <w:lang w:eastAsia="en-US"/>
        </w:rPr>
        <w:t xml:space="preserve"> </w:t>
      </w:r>
      <w:r w:rsidRPr="00CA32B3">
        <w:rPr>
          <w:rFonts w:ascii="Verdana" w:eastAsiaTheme="minorHAnsi" w:hAnsi="Verdana" w:cs="Arial"/>
          <w:sz w:val="20"/>
          <w:szCs w:val="20"/>
          <w:lang w:eastAsia="en-US"/>
        </w:rPr>
        <w:t>Considerando 29)</w:t>
      </w:r>
      <w:r w:rsidRPr="00CA32B3">
        <w:rPr>
          <w:rFonts w:ascii="Verdana" w:hAnsi="Verdana"/>
          <w:sz w:val="20"/>
          <w:szCs w:val="20"/>
        </w:rPr>
        <w:t>.</w:t>
      </w:r>
      <w:r w:rsidR="00727B31" w:rsidRPr="00CA32B3">
        <w:rPr>
          <w:rFonts w:ascii="Verdana" w:hAnsi="Verdana"/>
          <w:sz w:val="20"/>
          <w:szCs w:val="20"/>
        </w:rPr>
        <w:t xml:space="preserve"> </w:t>
      </w:r>
      <w:r w:rsidR="000E09EA" w:rsidRPr="00CA32B3">
        <w:rPr>
          <w:rFonts w:ascii="Verdana" w:hAnsi="Verdana"/>
          <w:sz w:val="20"/>
          <w:szCs w:val="20"/>
        </w:rPr>
        <w:t>No obstante</w:t>
      </w:r>
      <w:r w:rsidR="00FA666C" w:rsidRPr="00CA32B3">
        <w:rPr>
          <w:rFonts w:ascii="Verdana" w:hAnsi="Verdana"/>
          <w:sz w:val="20"/>
          <w:szCs w:val="20"/>
        </w:rPr>
        <w:t xml:space="preserve">, </w:t>
      </w:r>
      <w:r w:rsidR="00FA666C" w:rsidRPr="00CA32B3">
        <w:rPr>
          <w:rFonts w:ascii="Verdana" w:hAnsi="Verdana"/>
          <w:i/>
          <w:sz w:val="20"/>
          <w:szCs w:val="20"/>
        </w:rPr>
        <w:t>l</w:t>
      </w:r>
      <w:r w:rsidR="00931C4F" w:rsidRPr="00CA32B3">
        <w:rPr>
          <w:rFonts w:ascii="Verdana" w:hAnsi="Verdana"/>
          <w:i/>
          <w:sz w:val="20"/>
          <w:szCs w:val="20"/>
        </w:rPr>
        <w:t>o</w:t>
      </w:r>
      <w:r w:rsidR="00FA666C" w:rsidRPr="00CA32B3">
        <w:rPr>
          <w:rFonts w:ascii="Verdana" w:hAnsi="Verdana"/>
          <w:i/>
          <w:sz w:val="20"/>
          <w:szCs w:val="20"/>
        </w:rPr>
        <w:t>s representantes de las v</w:t>
      </w:r>
      <w:r w:rsidR="00BB5BDB" w:rsidRPr="00CA32B3">
        <w:rPr>
          <w:rFonts w:ascii="Verdana" w:hAnsi="Verdana"/>
          <w:i/>
          <w:sz w:val="20"/>
          <w:szCs w:val="20"/>
        </w:rPr>
        <w:t>íctimas</w:t>
      </w:r>
      <w:r w:rsidR="00BB5BDB" w:rsidRPr="00CA32B3">
        <w:rPr>
          <w:rFonts w:ascii="Verdana" w:hAnsi="Verdana"/>
          <w:sz w:val="20"/>
          <w:szCs w:val="20"/>
        </w:rPr>
        <w:t xml:space="preserve"> han cuestionado que </w:t>
      </w:r>
      <w:r w:rsidR="000E09EA" w:rsidRPr="00CA32B3">
        <w:rPr>
          <w:rFonts w:ascii="Verdana" w:hAnsi="Verdana"/>
          <w:sz w:val="20"/>
          <w:szCs w:val="20"/>
        </w:rPr>
        <w:t>este informe</w:t>
      </w:r>
      <w:r w:rsidR="00BB5BDB" w:rsidRPr="00CA32B3">
        <w:rPr>
          <w:rFonts w:ascii="Verdana" w:hAnsi="Verdana"/>
          <w:sz w:val="20"/>
          <w:szCs w:val="20"/>
        </w:rPr>
        <w:t xml:space="preserve"> presenta</w:t>
      </w:r>
      <w:r w:rsidR="000E09EA" w:rsidRPr="00CA32B3">
        <w:rPr>
          <w:rFonts w:ascii="Verdana" w:hAnsi="Verdana"/>
          <w:sz w:val="20"/>
          <w:szCs w:val="20"/>
        </w:rPr>
        <w:t>ría</w:t>
      </w:r>
      <w:r w:rsidR="00BB5BDB" w:rsidRPr="00CA32B3">
        <w:rPr>
          <w:rFonts w:ascii="Verdana" w:hAnsi="Verdana"/>
          <w:sz w:val="20"/>
          <w:szCs w:val="20"/>
        </w:rPr>
        <w:t xml:space="preserve"> “inconsistencias”</w:t>
      </w:r>
      <w:r w:rsidR="00367678" w:rsidRPr="00CA32B3">
        <w:rPr>
          <w:rFonts w:ascii="Verdana" w:hAnsi="Verdana"/>
          <w:sz w:val="20"/>
          <w:szCs w:val="20"/>
        </w:rPr>
        <w:t xml:space="preserve"> con base </w:t>
      </w:r>
      <w:r w:rsidR="00BB5BDB" w:rsidRPr="00CA32B3">
        <w:rPr>
          <w:rFonts w:ascii="Verdana" w:hAnsi="Verdana"/>
          <w:sz w:val="20"/>
          <w:szCs w:val="20"/>
        </w:rPr>
        <w:t>en la “opinión pericial” que le solicitaron a la organización no gubernamental Equipo Peruano de Antropología Forense (</w:t>
      </w:r>
      <w:r w:rsidR="00441922" w:rsidRPr="00CA32B3">
        <w:rPr>
          <w:rFonts w:ascii="Verdana" w:hAnsi="Verdana"/>
          <w:i/>
          <w:sz w:val="20"/>
          <w:szCs w:val="20"/>
        </w:rPr>
        <w:t>infra</w:t>
      </w:r>
      <w:r w:rsidR="00441922" w:rsidRPr="00CA32B3">
        <w:rPr>
          <w:rFonts w:ascii="Verdana" w:hAnsi="Verdana"/>
          <w:sz w:val="20"/>
          <w:szCs w:val="20"/>
        </w:rPr>
        <w:t xml:space="preserve"> Considerando </w:t>
      </w:r>
      <w:r w:rsidR="000E09EA" w:rsidRPr="00CA32B3">
        <w:rPr>
          <w:rFonts w:ascii="Verdana" w:hAnsi="Verdana"/>
          <w:sz w:val="20"/>
          <w:szCs w:val="20"/>
        </w:rPr>
        <w:t>29</w:t>
      </w:r>
      <w:r w:rsidR="00BB5BDB" w:rsidRPr="00CA32B3">
        <w:rPr>
          <w:rFonts w:ascii="Verdana" w:hAnsi="Verdana"/>
          <w:sz w:val="20"/>
          <w:szCs w:val="20"/>
        </w:rPr>
        <w:t xml:space="preserve">).  </w:t>
      </w:r>
    </w:p>
    <w:p w14:paraId="0B50F514" w14:textId="77777777" w:rsidR="00EE3E46" w:rsidRPr="00CA32B3" w:rsidRDefault="00EE3E46" w:rsidP="00690FE6">
      <w:pPr>
        <w:pStyle w:val="Prrafodelista"/>
        <w:suppressLineNumbers/>
        <w:autoSpaceDE w:val="0"/>
        <w:autoSpaceDN w:val="0"/>
        <w:adjustRightInd w:val="0"/>
        <w:spacing w:after="0" w:line="240" w:lineRule="auto"/>
        <w:jc w:val="both"/>
        <w:rPr>
          <w:rFonts w:ascii="Verdana" w:hAnsi="Verdana" w:cs="Arial"/>
          <w:sz w:val="20"/>
          <w:szCs w:val="20"/>
        </w:rPr>
      </w:pPr>
    </w:p>
    <w:p w14:paraId="39EC6E74" w14:textId="6151A251" w:rsidR="00FD5A0E" w:rsidRPr="00CA32B3" w:rsidRDefault="000B5967" w:rsidP="00690FE6">
      <w:pPr>
        <w:pStyle w:val="Prrafodelista"/>
        <w:numPr>
          <w:ilvl w:val="0"/>
          <w:numId w:val="3"/>
        </w:numPr>
        <w:suppressLineNumbers/>
        <w:kinsoku w:val="0"/>
        <w:overflowPunct w:val="0"/>
        <w:autoSpaceDE w:val="0"/>
        <w:autoSpaceDN w:val="0"/>
        <w:adjustRightInd w:val="0"/>
        <w:spacing w:after="0" w:line="240" w:lineRule="auto"/>
        <w:ind w:left="0" w:firstLine="0"/>
        <w:jc w:val="both"/>
        <w:rPr>
          <w:rFonts w:ascii="Verdana" w:hAnsi="Verdana"/>
          <w:sz w:val="20"/>
          <w:szCs w:val="18"/>
        </w:rPr>
      </w:pPr>
      <w:r w:rsidRPr="00CA32B3">
        <w:rPr>
          <w:rFonts w:ascii="Verdana" w:hAnsi="Verdana"/>
          <w:sz w:val="20"/>
          <w:szCs w:val="18"/>
          <w:lang w:val="es-ES"/>
        </w:rPr>
        <w:t xml:space="preserve">Previo a la audiencia de supervisión de cumplimiento de </w:t>
      </w:r>
      <w:r w:rsidR="00EE3E46" w:rsidRPr="00CA32B3">
        <w:rPr>
          <w:rFonts w:ascii="Verdana" w:hAnsi="Verdana"/>
          <w:sz w:val="20"/>
          <w:szCs w:val="18"/>
          <w:lang w:val="es-ES"/>
        </w:rPr>
        <w:t xml:space="preserve">octubre de </w:t>
      </w:r>
      <w:r w:rsidRPr="00CA32B3">
        <w:rPr>
          <w:rFonts w:ascii="Verdana" w:hAnsi="Verdana"/>
          <w:sz w:val="20"/>
          <w:szCs w:val="18"/>
          <w:lang w:val="es-ES"/>
        </w:rPr>
        <w:t xml:space="preserve">2020, el </w:t>
      </w:r>
      <w:r w:rsidR="00E139ED" w:rsidRPr="00CA32B3">
        <w:rPr>
          <w:rFonts w:ascii="Verdana" w:hAnsi="Verdana"/>
          <w:i/>
          <w:sz w:val="20"/>
          <w:szCs w:val="18"/>
          <w:lang w:val="es-ES"/>
        </w:rPr>
        <w:t xml:space="preserve">Estado </w:t>
      </w:r>
      <w:r w:rsidRPr="00CA32B3">
        <w:rPr>
          <w:rFonts w:ascii="Verdana" w:hAnsi="Verdana"/>
          <w:sz w:val="20"/>
          <w:szCs w:val="18"/>
          <w:lang w:val="es-ES"/>
        </w:rPr>
        <w:t xml:space="preserve">solicitó a la Corte que </w:t>
      </w:r>
      <w:r w:rsidR="00E139ED" w:rsidRPr="00CA32B3">
        <w:rPr>
          <w:rFonts w:ascii="Verdana" w:hAnsi="Verdana"/>
          <w:sz w:val="20"/>
          <w:szCs w:val="18"/>
          <w:lang w:val="es-ES"/>
        </w:rPr>
        <w:t xml:space="preserve">declare el </w:t>
      </w:r>
      <w:r w:rsidR="00AC3D1D" w:rsidRPr="00CA32B3">
        <w:rPr>
          <w:rFonts w:ascii="Verdana" w:hAnsi="Verdana"/>
          <w:sz w:val="20"/>
          <w:szCs w:val="18"/>
          <w:lang w:val="es-ES"/>
        </w:rPr>
        <w:t>cumplimiento</w:t>
      </w:r>
      <w:r w:rsidR="00E139ED" w:rsidRPr="00CA32B3">
        <w:rPr>
          <w:rFonts w:ascii="Verdana" w:hAnsi="Verdana"/>
          <w:sz w:val="20"/>
          <w:szCs w:val="18"/>
          <w:lang w:val="es-ES"/>
        </w:rPr>
        <w:t xml:space="preserve"> de esta medida</w:t>
      </w:r>
      <w:r w:rsidR="003B5B36" w:rsidRPr="00CA32B3">
        <w:rPr>
          <w:rFonts w:ascii="Verdana" w:hAnsi="Verdana"/>
          <w:sz w:val="20"/>
          <w:szCs w:val="18"/>
          <w:lang w:val="es-ES"/>
        </w:rPr>
        <w:t xml:space="preserve"> de reparación</w:t>
      </w:r>
      <w:r w:rsidR="00B619B8" w:rsidRPr="00CA32B3">
        <w:rPr>
          <w:rStyle w:val="Refdenotaalpie"/>
          <w:rFonts w:ascii="Verdana" w:hAnsi="Verdana"/>
          <w:sz w:val="20"/>
          <w:szCs w:val="18"/>
          <w:lang w:val="es-ES"/>
        </w:rPr>
        <w:footnoteReference w:id="49"/>
      </w:r>
      <w:r w:rsidRPr="00CA32B3">
        <w:rPr>
          <w:rFonts w:ascii="Verdana" w:hAnsi="Verdana"/>
          <w:sz w:val="20"/>
          <w:szCs w:val="18"/>
          <w:lang w:val="es-ES"/>
        </w:rPr>
        <w:t xml:space="preserve">. Sin embargo, </w:t>
      </w:r>
      <w:r w:rsidR="00D24522" w:rsidRPr="00CA32B3">
        <w:rPr>
          <w:rFonts w:ascii="Verdana" w:hAnsi="Verdana"/>
          <w:sz w:val="20"/>
          <w:szCs w:val="18"/>
          <w:lang w:val="es-ES"/>
        </w:rPr>
        <w:t>lo</w:t>
      </w:r>
      <w:r w:rsidRPr="00CA32B3">
        <w:rPr>
          <w:rFonts w:ascii="Verdana" w:hAnsi="Verdana"/>
          <w:sz w:val="20"/>
          <w:szCs w:val="18"/>
          <w:lang w:val="es-ES"/>
        </w:rPr>
        <w:t xml:space="preserve">s </w:t>
      </w:r>
      <w:r w:rsidR="00E139ED" w:rsidRPr="00CA32B3">
        <w:rPr>
          <w:rFonts w:ascii="Verdana" w:hAnsi="Verdana"/>
          <w:i/>
          <w:sz w:val="20"/>
          <w:szCs w:val="18"/>
          <w:lang w:val="es-ES"/>
        </w:rPr>
        <w:t xml:space="preserve">representantes de las </w:t>
      </w:r>
      <w:r w:rsidR="00AC3D1D" w:rsidRPr="00CA32B3">
        <w:rPr>
          <w:rFonts w:ascii="Verdana" w:hAnsi="Verdana"/>
          <w:i/>
          <w:sz w:val="20"/>
          <w:szCs w:val="18"/>
          <w:lang w:val="es-ES"/>
        </w:rPr>
        <w:t>víctimas</w:t>
      </w:r>
      <w:r w:rsidR="00E139ED" w:rsidRPr="00CA32B3">
        <w:rPr>
          <w:rFonts w:ascii="Verdana" w:hAnsi="Verdana"/>
          <w:sz w:val="20"/>
          <w:szCs w:val="18"/>
          <w:lang w:val="es-ES"/>
        </w:rPr>
        <w:t xml:space="preserve"> </w:t>
      </w:r>
      <w:r w:rsidRPr="00CA32B3">
        <w:rPr>
          <w:rFonts w:ascii="Verdana" w:hAnsi="Verdana"/>
          <w:sz w:val="20"/>
          <w:szCs w:val="18"/>
          <w:lang w:val="es-ES"/>
        </w:rPr>
        <w:t xml:space="preserve">han solicitado que no se declare tal cumplimiento. Sus objeciones se </w:t>
      </w:r>
      <w:r w:rsidR="00E75916" w:rsidRPr="00CA32B3">
        <w:rPr>
          <w:rFonts w:ascii="Verdana" w:hAnsi="Verdana"/>
          <w:sz w:val="20"/>
          <w:szCs w:val="18"/>
          <w:lang w:val="es-ES"/>
        </w:rPr>
        <w:t>refieren</w:t>
      </w:r>
      <w:r w:rsidRPr="00CA32B3">
        <w:rPr>
          <w:rFonts w:ascii="Verdana" w:hAnsi="Verdana"/>
          <w:sz w:val="20"/>
          <w:szCs w:val="18"/>
          <w:lang w:val="es-ES"/>
        </w:rPr>
        <w:t>,</w:t>
      </w:r>
      <w:r w:rsidR="00E75916" w:rsidRPr="00CA32B3">
        <w:rPr>
          <w:rFonts w:ascii="Verdana" w:hAnsi="Verdana"/>
          <w:sz w:val="20"/>
          <w:szCs w:val="18"/>
          <w:lang w:val="es-ES"/>
        </w:rPr>
        <w:t xml:space="preserve"> </w:t>
      </w:r>
      <w:r w:rsidRPr="00CA32B3">
        <w:rPr>
          <w:rFonts w:ascii="Verdana" w:hAnsi="Verdana"/>
          <w:sz w:val="20"/>
          <w:szCs w:val="18"/>
          <w:lang w:val="es-ES"/>
        </w:rPr>
        <w:t xml:space="preserve">por un lado, a que </w:t>
      </w:r>
      <w:r w:rsidR="00923354" w:rsidRPr="00CA32B3">
        <w:rPr>
          <w:rFonts w:ascii="Verdana" w:hAnsi="Verdana"/>
          <w:sz w:val="20"/>
          <w:szCs w:val="18"/>
          <w:lang w:val="es-ES"/>
        </w:rPr>
        <w:t xml:space="preserve">consideran que el </w:t>
      </w:r>
      <w:r w:rsidR="00923354" w:rsidRPr="00CA32B3">
        <w:rPr>
          <w:rFonts w:ascii="Verdana" w:hAnsi="Verdana" w:cs="Arial"/>
          <w:sz w:val="20"/>
          <w:szCs w:val="20"/>
        </w:rPr>
        <w:t xml:space="preserve">acto de agosto de 2017 “fue simbólico y humanitario” pero “no cumple con lo ordenado por la Corte [… de]” identificar a todas las víctimas”. </w:t>
      </w:r>
      <w:r w:rsidR="00923354" w:rsidRPr="00CA32B3">
        <w:rPr>
          <w:rFonts w:ascii="Verdana" w:hAnsi="Verdana"/>
          <w:sz w:val="20"/>
          <w:szCs w:val="24"/>
        </w:rPr>
        <w:t>Alegaron que</w:t>
      </w:r>
      <w:r w:rsidR="00923354" w:rsidRPr="00CA32B3">
        <w:rPr>
          <w:rFonts w:ascii="Verdana" w:hAnsi="Verdana"/>
          <w:b/>
          <w:sz w:val="20"/>
          <w:szCs w:val="24"/>
        </w:rPr>
        <w:t xml:space="preserve"> </w:t>
      </w:r>
      <w:r w:rsidRPr="00CA32B3">
        <w:rPr>
          <w:rFonts w:ascii="Verdana" w:hAnsi="Verdana"/>
          <w:sz w:val="20"/>
          <w:szCs w:val="18"/>
          <w:lang w:val="es-ES"/>
        </w:rPr>
        <w:t xml:space="preserve">hay inconsistencias en </w:t>
      </w:r>
      <w:r w:rsidR="005A03DF" w:rsidRPr="00CA32B3">
        <w:rPr>
          <w:rFonts w:ascii="Verdana" w:hAnsi="Verdana"/>
          <w:sz w:val="20"/>
          <w:szCs w:val="18"/>
        </w:rPr>
        <w:t xml:space="preserve">el </w:t>
      </w:r>
      <w:r w:rsidR="00670973" w:rsidRPr="00CA32B3">
        <w:rPr>
          <w:rFonts w:ascii="Verdana" w:hAnsi="Verdana"/>
          <w:sz w:val="20"/>
          <w:szCs w:val="18"/>
        </w:rPr>
        <w:t xml:space="preserve">informe elaborado </w:t>
      </w:r>
      <w:r w:rsidR="00AC3D1D" w:rsidRPr="00CA32B3">
        <w:rPr>
          <w:rFonts w:ascii="Verdana" w:hAnsi="Verdana"/>
          <w:sz w:val="20"/>
          <w:szCs w:val="18"/>
        </w:rPr>
        <w:t xml:space="preserve">en </w:t>
      </w:r>
      <w:r w:rsidR="00AC3D1D" w:rsidRPr="00CA32B3">
        <w:rPr>
          <w:rFonts w:ascii="Verdana" w:hAnsi="Verdana"/>
          <w:sz w:val="20"/>
          <w:szCs w:val="20"/>
        </w:rPr>
        <w:t xml:space="preserve">el 2020 </w:t>
      </w:r>
      <w:r w:rsidR="00670973" w:rsidRPr="00CA32B3">
        <w:rPr>
          <w:rFonts w:ascii="Verdana" w:hAnsi="Verdana"/>
          <w:sz w:val="20"/>
          <w:szCs w:val="20"/>
        </w:rPr>
        <w:t>por</w:t>
      </w:r>
      <w:r w:rsidR="00AC3D1D" w:rsidRPr="00CA32B3">
        <w:rPr>
          <w:rFonts w:ascii="Verdana" w:hAnsi="Verdana"/>
          <w:sz w:val="20"/>
          <w:szCs w:val="20"/>
        </w:rPr>
        <w:t xml:space="preserve"> la Unidad Médico Legal II de Ayacucho</w:t>
      </w:r>
      <w:r w:rsidR="00670973" w:rsidRPr="00CA32B3">
        <w:rPr>
          <w:rFonts w:ascii="Verdana" w:hAnsi="Verdana"/>
          <w:sz w:val="20"/>
          <w:szCs w:val="20"/>
        </w:rPr>
        <w:t xml:space="preserve"> </w:t>
      </w:r>
      <w:r w:rsidR="00AC3D1D" w:rsidRPr="00CA32B3">
        <w:rPr>
          <w:rFonts w:ascii="Verdana" w:hAnsi="Verdana"/>
          <w:sz w:val="20"/>
          <w:szCs w:val="20"/>
        </w:rPr>
        <w:t>d</w:t>
      </w:r>
      <w:r w:rsidR="00670973" w:rsidRPr="00CA32B3">
        <w:rPr>
          <w:rFonts w:ascii="Verdana" w:hAnsi="Verdana"/>
          <w:sz w:val="20"/>
          <w:szCs w:val="20"/>
        </w:rPr>
        <w:t>el Ministerio Público Fiscal</w:t>
      </w:r>
      <w:r w:rsidRPr="00CA32B3">
        <w:rPr>
          <w:rFonts w:ascii="Verdana" w:hAnsi="Verdana"/>
          <w:sz w:val="20"/>
          <w:szCs w:val="20"/>
        </w:rPr>
        <w:t>, que les impiden confiar en la conclusión de identificación de las 15 víctimas</w:t>
      </w:r>
      <w:r w:rsidR="00402402" w:rsidRPr="00CA32B3">
        <w:rPr>
          <w:rFonts w:ascii="Verdana" w:hAnsi="Verdana"/>
          <w:sz w:val="20"/>
          <w:szCs w:val="18"/>
        </w:rPr>
        <w:t>.</w:t>
      </w:r>
      <w:r w:rsidR="00402402" w:rsidRPr="00CA32B3">
        <w:rPr>
          <w:rFonts w:ascii="Verdana" w:hAnsi="Verdana"/>
          <w:sz w:val="20"/>
          <w:szCs w:val="20"/>
        </w:rPr>
        <w:t xml:space="preserve"> Al respecto, aportaron “la opinión pericial” elaborada por la organización no gubernamental Equipo Peruano de Antropología Forense, en la cual se solicitan aclaraciones sobr</w:t>
      </w:r>
      <w:r w:rsidR="006A70CE" w:rsidRPr="00CA32B3">
        <w:rPr>
          <w:rFonts w:ascii="Verdana" w:hAnsi="Verdana"/>
          <w:sz w:val="20"/>
          <w:szCs w:val="20"/>
        </w:rPr>
        <w:t xml:space="preserve">e diversos aspectos técnicos y </w:t>
      </w:r>
      <w:r w:rsidR="00402402" w:rsidRPr="00CA32B3">
        <w:rPr>
          <w:rFonts w:ascii="Verdana" w:hAnsi="Verdana"/>
          <w:sz w:val="20"/>
          <w:szCs w:val="20"/>
        </w:rPr>
        <w:t xml:space="preserve">se señalan </w:t>
      </w:r>
      <w:r w:rsidR="006A70CE" w:rsidRPr="00CA32B3">
        <w:rPr>
          <w:rFonts w:ascii="Verdana" w:hAnsi="Verdana"/>
          <w:sz w:val="20"/>
          <w:szCs w:val="20"/>
        </w:rPr>
        <w:t>“</w:t>
      </w:r>
      <w:r w:rsidR="00402402" w:rsidRPr="00CA32B3">
        <w:rPr>
          <w:rFonts w:ascii="Verdana" w:hAnsi="Verdana"/>
          <w:sz w:val="20"/>
          <w:szCs w:val="20"/>
        </w:rPr>
        <w:t>inconsistencias”</w:t>
      </w:r>
      <w:r w:rsidR="00402402" w:rsidRPr="00CA32B3">
        <w:rPr>
          <w:rStyle w:val="Refdenotaalpie"/>
          <w:rFonts w:ascii="Verdana" w:hAnsi="Verdana"/>
          <w:sz w:val="20"/>
          <w:szCs w:val="20"/>
        </w:rPr>
        <w:footnoteReference w:id="50"/>
      </w:r>
      <w:r w:rsidR="00402402" w:rsidRPr="00CA32B3">
        <w:rPr>
          <w:rFonts w:ascii="Verdana" w:hAnsi="Verdana"/>
          <w:sz w:val="20"/>
          <w:szCs w:val="20"/>
        </w:rPr>
        <w:t xml:space="preserve">. </w:t>
      </w:r>
      <w:r w:rsidR="00402402" w:rsidRPr="00CA32B3">
        <w:rPr>
          <w:rFonts w:ascii="Verdana" w:hAnsi="Verdana"/>
          <w:sz w:val="20"/>
          <w:szCs w:val="18"/>
        </w:rPr>
        <w:t>L</w:t>
      </w:r>
      <w:r w:rsidR="00FC0A45" w:rsidRPr="00CA32B3">
        <w:rPr>
          <w:rFonts w:ascii="Verdana" w:hAnsi="Verdana"/>
          <w:sz w:val="20"/>
          <w:szCs w:val="18"/>
        </w:rPr>
        <w:t>o</w:t>
      </w:r>
      <w:r w:rsidR="00402402" w:rsidRPr="00CA32B3">
        <w:rPr>
          <w:rFonts w:ascii="Verdana" w:hAnsi="Verdana"/>
          <w:sz w:val="20"/>
          <w:szCs w:val="18"/>
        </w:rPr>
        <w:t xml:space="preserve">s </w:t>
      </w:r>
      <w:r w:rsidR="00402402" w:rsidRPr="00CA32B3">
        <w:rPr>
          <w:rFonts w:ascii="Verdana" w:hAnsi="Verdana"/>
          <w:i/>
          <w:sz w:val="20"/>
          <w:szCs w:val="18"/>
        </w:rPr>
        <w:t>representantes</w:t>
      </w:r>
      <w:r w:rsidR="00402402" w:rsidRPr="00CA32B3">
        <w:rPr>
          <w:rFonts w:ascii="Verdana" w:hAnsi="Verdana"/>
          <w:sz w:val="20"/>
          <w:szCs w:val="18"/>
        </w:rPr>
        <w:t xml:space="preserve"> t</w:t>
      </w:r>
      <w:r w:rsidR="00923354" w:rsidRPr="00CA32B3">
        <w:rPr>
          <w:rFonts w:ascii="Verdana" w:hAnsi="Verdana"/>
          <w:sz w:val="20"/>
          <w:szCs w:val="18"/>
        </w:rPr>
        <w:t xml:space="preserve">ambién sostuvieron </w:t>
      </w:r>
      <w:r w:rsidR="00923354" w:rsidRPr="00CA32B3">
        <w:rPr>
          <w:rFonts w:ascii="Verdana" w:hAnsi="Verdana"/>
          <w:sz w:val="20"/>
          <w:szCs w:val="18"/>
          <w:lang w:val="es-ES"/>
        </w:rPr>
        <w:t>que el Estado debe brindar el apoyo para que se realicen diligencias en otros sitios distintos a la referida mina, con base en la información obtenida en los procesos penales y lo ordenado judicialmente en uno de esos procesos</w:t>
      </w:r>
      <w:r w:rsidR="00923354" w:rsidRPr="00CA32B3">
        <w:rPr>
          <w:rStyle w:val="Refdenotaalpie"/>
          <w:rFonts w:ascii="Verdana" w:hAnsi="Verdana"/>
          <w:sz w:val="20"/>
          <w:szCs w:val="18"/>
          <w:lang w:val="es-ES"/>
        </w:rPr>
        <w:footnoteReference w:id="51"/>
      </w:r>
      <w:r w:rsidR="00923354" w:rsidRPr="00CA32B3">
        <w:rPr>
          <w:rFonts w:ascii="Verdana" w:hAnsi="Verdana"/>
          <w:sz w:val="20"/>
          <w:szCs w:val="18"/>
          <w:lang w:val="es-ES"/>
        </w:rPr>
        <w:t>. Por otra parte,</w:t>
      </w:r>
      <w:r w:rsidR="00923354" w:rsidRPr="00CA32B3">
        <w:rPr>
          <w:rFonts w:ascii="Verdana" w:hAnsi="Verdana"/>
          <w:sz w:val="20"/>
          <w:szCs w:val="24"/>
        </w:rPr>
        <w:t xml:space="preserve"> </w:t>
      </w:r>
      <w:r w:rsidR="00FC0A45" w:rsidRPr="00CA32B3">
        <w:rPr>
          <w:rFonts w:ascii="Verdana" w:hAnsi="Verdana"/>
          <w:sz w:val="20"/>
          <w:szCs w:val="24"/>
        </w:rPr>
        <w:t>hicieron notar</w:t>
      </w:r>
      <w:r w:rsidR="00923354" w:rsidRPr="00CA32B3">
        <w:rPr>
          <w:rFonts w:ascii="Verdana" w:hAnsi="Verdana"/>
          <w:sz w:val="20"/>
          <w:szCs w:val="24"/>
        </w:rPr>
        <w:t xml:space="preserve"> que ninguna de las quince víctimas cuenta “con un </w:t>
      </w:r>
      <w:r w:rsidR="00923354" w:rsidRPr="00CA32B3">
        <w:rPr>
          <w:rFonts w:ascii="Verdana" w:hAnsi="Verdana"/>
          <w:sz w:val="20"/>
          <w:szCs w:val="24"/>
        </w:rPr>
        <w:lastRenderedPageBreak/>
        <w:t>certificado de defunción o de ausencia por desaparición forzada”, lo cual incide negativamente en el trámite para recibir una reparación</w:t>
      </w:r>
      <w:r w:rsidR="00923354" w:rsidRPr="00CA32B3">
        <w:rPr>
          <w:rStyle w:val="Refdenotaalpie"/>
          <w:rFonts w:ascii="Verdana" w:hAnsi="Verdana"/>
          <w:sz w:val="20"/>
          <w:szCs w:val="24"/>
        </w:rPr>
        <w:footnoteReference w:id="52"/>
      </w:r>
      <w:r w:rsidR="00923354" w:rsidRPr="00CA32B3">
        <w:rPr>
          <w:rFonts w:ascii="Verdana" w:hAnsi="Verdana"/>
          <w:sz w:val="20"/>
          <w:szCs w:val="24"/>
        </w:rPr>
        <w:t xml:space="preserve">. </w:t>
      </w:r>
      <w:r w:rsidR="00801185" w:rsidRPr="00CA32B3">
        <w:rPr>
          <w:rFonts w:ascii="Verdana" w:hAnsi="Verdana"/>
          <w:sz w:val="20"/>
          <w:szCs w:val="20"/>
        </w:rPr>
        <w:t xml:space="preserve">Finalmente, resaltaron reiteradamente la existencia de obstáculos para garantizar la plena participación de familiares en el proceso y demoras </w:t>
      </w:r>
      <w:r w:rsidR="006A70CE" w:rsidRPr="00CA32B3">
        <w:rPr>
          <w:rFonts w:ascii="Verdana" w:hAnsi="Verdana"/>
          <w:sz w:val="20"/>
          <w:szCs w:val="20"/>
        </w:rPr>
        <w:t xml:space="preserve">en </w:t>
      </w:r>
      <w:r w:rsidR="006A70CE" w:rsidRPr="00CA32B3">
        <w:rPr>
          <w:rFonts w:ascii="Verdana" w:hAnsi="Verdana"/>
          <w:sz w:val="20"/>
          <w:szCs w:val="24"/>
        </w:rPr>
        <w:t xml:space="preserve">la comunicación respecto </w:t>
      </w:r>
      <w:r w:rsidR="00801185" w:rsidRPr="00CA32B3">
        <w:rPr>
          <w:rFonts w:ascii="Verdana" w:hAnsi="Verdana"/>
          <w:sz w:val="20"/>
          <w:szCs w:val="24"/>
        </w:rPr>
        <w:t xml:space="preserve">de las diligencias practicadas </w:t>
      </w:r>
      <w:r w:rsidR="006A70CE" w:rsidRPr="00CA32B3">
        <w:rPr>
          <w:rFonts w:ascii="Verdana" w:hAnsi="Verdana"/>
          <w:sz w:val="20"/>
          <w:szCs w:val="24"/>
        </w:rPr>
        <w:t>y las siguientes etapas del proceso de identificación</w:t>
      </w:r>
      <w:r w:rsidR="00801185" w:rsidRPr="00CA32B3">
        <w:rPr>
          <w:rStyle w:val="Refdenotaalpie"/>
          <w:rFonts w:ascii="Verdana" w:hAnsi="Verdana"/>
          <w:sz w:val="20"/>
          <w:szCs w:val="24"/>
        </w:rPr>
        <w:footnoteReference w:id="53"/>
      </w:r>
      <w:r w:rsidR="00801185" w:rsidRPr="00CA32B3">
        <w:rPr>
          <w:rFonts w:ascii="Verdana" w:hAnsi="Verdana"/>
          <w:sz w:val="20"/>
          <w:szCs w:val="24"/>
        </w:rPr>
        <w:t xml:space="preserve">. </w:t>
      </w:r>
    </w:p>
    <w:p w14:paraId="4B308CF3" w14:textId="77777777" w:rsidR="00857C3E" w:rsidRPr="00CA32B3" w:rsidRDefault="00857C3E" w:rsidP="00690FE6">
      <w:pPr>
        <w:pStyle w:val="Prrafodelista"/>
        <w:suppressLineNumbers/>
        <w:kinsoku w:val="0"/>
        <w:overflowPunct w:val="0"/>
        <w:autoSpaceDE w:val="0"/>
        <w:autoSpaceDN w:val="0"/>
        <w:adjustRightInd w:val="0"/>
        <w:spacing w:after="0" w:line="240" w:lineRule="auto"/>
        <w:ind w:left="0"/>
        <w:jc w:val="both"/>
        <w:rPr>
          <w:rFonts w:ascii="Verdana" w:hAnsi="Verdana"/>
          <w:sz w:val="20"/>
          <w:szCs w:val="18"/>
        </w:rPr>
      </w:pPr>
    </w:p>
    <w:p w14:paraId="1C69C5F3" w14:textId="2E04CE91" w:rsidR="00D95CA3" w:rsidRPr="00CA32B3" w:rsidRDefault="00D97B45" w:rsidP="00690FE6">
      <w:pPr>
        <w:pStyle w:val="Prrafodelista"/>
        <w:numPr>
          <w:ilvl w:val="0"/>
          <w:numId w:val="3"/>
        </w:numPr>
        <w:suppressLineNumbers/>
        <w:kinsoku w:val="0"/>
        <w:overflowPunct w:val="0"/>
        <w:autoSpaceDE w:val="0"/>
        <w:autoSpaceDN w:val="0"/>
        <w:adjustRightInd w:val="0"/>
        <w:spacing w:after="0" w:line="240" w:lineRule="auto"/>
        <w:ind w:left="0" w:firstLine="0"/>
        <w:jc w:val="both"/>
        <w:rPr>
          <w:rFonts w:ascii="Verdana" w:hAnsi="Verdana"/>
          <w:sz w:val="20"/>
          <w:szCs w:val="18"/>
        </w:rPr>
      </w:pPr>
      <w:r w:rsidRPr="00CA32B3">
        <w:rPr>
          <w:rFonts w:ascii="Verdana" w:hAnsi="Verdana"/>
          <w:sz w:val="20"/>
          <w:szCs w:val="18"/>
        </w:rPr>
        <w:t xml:space="preserve">Respecto a la objeción </w:t>
      </w:r>
      <w:r w:rsidR="00F357EF" w:rsidRPr="00CA32B3">
        <w:rPr>
          <w:rFonts w:ascii="Verdana" w:hAnsi="Verdana"/>
          <w:sz w:val="20"/>
          <w:szCs w:val="18"/>
        </w:rPr>
        <w:t>de lo</w:t>
      </w:r>
      <w:r w:rsidR="000A33A7" w:rsidRPr="00CA32B3">
        <w:rPr>
          <w:rFonts w:ascii="Verdana" w:hAnsi="Verdana"/>
          <w:sz w:val="20"/>
          <w:szCs w:val="18"/>
        </w:rPr>
        <w:t xml:space="preserve">s </w:t>
      </w:r>
      <w:r w:rsidR="000A33A7" w:rsidRPr="00CA32B3">
        <w:rPr>
          <w:rFonts w:ascii="Verdana" w:hAnsi="Verdana"/>
          <w:i/>
          <w:sz w:val="20"/>
          <w:szCs w:val="18"/>
        </w:rPr>
        <w:t>representantes</w:t>
      </w:r>
      <w:r w:rsidR="000A33A7" w:rsidRPr="00CA32B3">
        <w:rPr>
          <w:rFonts w:ascii="Verdana" w:hAnsi="Verdana"/>
          <w:sz w:val="20"/>
          <w:szCs w:val="18"/>
        </w:rPr>
        <w:t xml:space="preserve"> relativa a </w:t>
      </w:r>
      <w:r w:rsidR="00402402" w:rsidRPr="00CA32B3">
        <w:rPr>
          <w:rFonts w:ascii="Verdana" w:hAnsi="Verdana"/>
          <w:sz w:val="20"/>
          <w:szCs w:val="18"/>
        </w:rPr>
        <w:t xml:space="preserve">las alegadas inconsistencias en el peritaje </w:t>
      </w:r>
      <w:r w:rsidR="008C7F2C" w:rsidRPr="00CA32B3">
        <w:rPr>
          <w:rFonts w:ascii="Verdana" w:hAnsi="Verdana"/>
          <w:sz w:val="20"/>
          <w:szCs w:val="18"/>
        </w:rPr>
        <w:t xml:space="preserve">elaborado en el </w:t>
      </w:r>
      <w:r w:rsidR="00402402" w:rsidRPr="00CA32B3">
        <w:rPr>
          <w:rFonts w:ascii="Verdana" w:hAnsi="Verdana"/>
          <w:sz w:val="20"/>
          <w:szCs w:val="20"/>
        </w:rPr>
        <w:t>2020 por la Unidad Médico Legal II de Ayacucho</w:t>
      </w:r>
      <w:r w:rsidR="00CA5204" w:rsidRPr="00CA32B3">
        <w:rPr>
          <w:rFonts w:ascii="Verdana" w:hAnsi="Verdana"/>
          <w:sz w:val="20"/>
          <w:szCs w:val="20"/>
        </w:rPr>
        <w:t xml:space="preserve"> (</w:t>
      </w:r>
      <w:r w:rsidR="00CA5204" w:rsidRPr="00CA32B3">
        <w:rPr>
          <w:rFonts w:ascii="Verdana" w:hAnsi="Verdana"/>
          <w:i/>
          <w:sz w:val="20"/>
          <w:szCs w:val="20"/>
        </w:rPr>
        <w:t>supra</w:t>
      </w:r>
      <w:r w:rsidR="00CA5204" w:rsidRPr="00CA32B3">
        <w:rPr>
          <w:rFonts w:ascii="Verdana" w:hAnsi="Verdana"/>
          <w:sz w:val="20"/>
          <w:szCs w:val="20"/>
        </w:rPr>
        <w:t xml:space="preserve"> Considerandos 28.f y 29)</w:t>
      </w:r>
      <w:r w:rsidR="00402402" w:rsidRPr="00CA32B3">
        <w:rPr>
          <w:rFonts w:ascii="Verdana" w:hAnsi="Verdana"/>
          <w:sz w:val="20"/>
          <w:szCs w:val="20"/>
        </w:rPr>
        <w:t xml:space="preserve">, </w:t>
      </w:r>
      <w:r w:rsidRPr="00CA32B3">
        <w:rPr>
          <w:rFonts w:ascii="Verdana" w:hAnsi="Verdana"/>
          <w:sz w:val="20"/>
          <w:szCs w:val="20"/>
        </w:rPr>
        <w:t>la Corte destaca que</w:t>
      </w:r>
      <w:r w:rsidR="000A33A7" w:rsidRPr="00CA32B3">
        <w:rPr>
          <w:rFonts w:ascii="Verdana" w:hAnsi="Verdana"/>
          <w:sz w:val="20"/>
          <w:szCs w:val="20"/>
        </w:rPr>
        <w:t>, durante la audiencia de supervisión de octubre de 2020,</w:t>
      </w:r>
      <w:r w:rsidRPr="00CA32B3">
        <w:rPr>
          <w:rFonts w:ascii="Verdana" w:hAnsi="Verdana"/>
          <w:sz w:val="20"/>
          <w:szCs w:val="20"/>
        </w:rPr>
        <w:t xml:space="preserve"> </w:t>
      </w:r>
      <w:r w:rsidR="00402402" w:rsidRPr="00CA32B3">
        <w:rPr>
          <w:rFonts w:ascii="Verdana" w:hAnsi="Verdana"/>
          <w:i/>
          <w:sz w:val="20"/>
          <w:szCs w:val="20"/>
        </w:rPr>
        <w:t>el Estado</w:t>
      </w:r>
      <w:r w:rsidR="00801185" w:rsidRPr="00CA32B3">
        <w:rPr>
          <w:rFonts w:ascii="Verdana" w:hAnsi="Verdana"/>
          <w:sz w:val="20"/>
          <w:szCs w:val="20"/>
        </w:rPr>
        <w:t xml:space="preserve"> manifestó</w:t>
      </w:r>
      <w:r w:rsidR="00402402" w:rsidRPr="00CA32B3">
        <w:rPr>
          <w:rFonts w:ascii="Verdana" w:hAnsi="Verdana"/>
          <w:sz w:val="20"/>
          <w:szCs w:val="20"/>
        </w:rPr>
        <w:t xml:space="preserve"> su disposición para </w:t>
      </w:r>
      <w:r w:rsidR="00801185" w:rsidRPr="00CA32B3">
        <w:rPr>
          <w:rFonts w:ascii="Verdana" w:hAnsi="Verdana"/>
          <w:sz w:val="20"/>
          <w:szCs w:val="18"/>
        </w:rPr>
        <w:t xml:space="preserve">clarificar </w:t>
      </w:r>
      <w:r w:rsidR="000A33A7" w:rsidRPr="00CA32B3">
        <w:rPr>
          <w:rFonts w:ascii="Verdana" w:hAnsi="Verdana"/>
          <w:sz w:val="20"/>
          <w:szCs w:val="18"/>
        </w:rPr>
        <w:t xml:space="preserve">los aspectos controvertidos de ese peritaje </w:t>
      </w:r>
      <w:r w:rsidR="00402402" w:rsidRPr="00CA32B3">
        <w:rPr>
          <w:rFonts w:ascii="Verdana" w:hAnsi="Verdana"/>
          <w:sz w:val="20"/>
          <w:szCs w:val="20"/>
        </w:rPr>
        <w:t xml:space="preserve">y realizar una reunión virtual con las víctimas, sus representantes y </w:t>
      </w:r>
      <w:r w:rsidR="00F357EF" w:rsidRPr="00CA32B3">
        <w:rPr>
          <w:rFonts w:ascii="Verdana" w:hAnsi="Verdana"/>
          <w:sz w:val="20"/>
          <w:szCs w:val="20"/>
        </w:rPr>
        <w:t xml:space="preserve">la organización no gubernamental </w:t>
      </w:r>
      <w:r w:rsidR="00402402" w:rsidRPr="00CA32B3">
        <w:rPr>
          <w:rFonts w:ascii="Verdana" w:hAnsi="Verdana"/>
          <w:sz w:val="20"/>
          <w:szCs w:val="20"/>
        </w:rPr>
        <w:t xml:space="preserve">Equipo Peruano de Antropología Forense. </w:t>
      </w:r>
      <w:r w:rsidR="00801185" w:rsidRPr="00CA32B3">
        <w:rPr>
          <w:rFonts w:ascii="Verdana" w:hAnsi="Verdana"/>
          <w:sz w:val="20"/>
          <w:szCs w:val="20"/>
        </w:rPr>
        <w:t xml:space="preserve">Sin embargo, según el último escrito presentado por los representantes en </w:t>
      </w:r>
      <w:r w:rsidR="00402402" w:rsidRPr="00CA32B3">
        <w:rPr>
          <w:rFonts w:ascii="Verdana" w:hAnsi="Verdana"/>
          <w:sz w:val="20"/>
          <w:szCs w:val="20"/>
        </w:rPr>
        <w:t xml:space="preserve">mayo de 2021, </w:t>
      </w:r>
      <w:r w:rsidR="00801185" w:rsidRPr="00CA32B3">
        <w:rPr>
          <w:rFonts w:ascii="Verdana" w:hAnsi="Verdana"/>
          <w:sz w:val="20"/>
          <w:szCs w:val="20"/>
        </w:rPr>
        <w:t xml:space="preserve">tal reunión no se habría concretado. </w:t>
      </w:r>
      <w:r w:rsidR="000A33A7" w:rsidRPr="00CA32B3">
        <w:rPr>
          <w:rFonts w:ascii="Verdana" w:hAnsi="Verdana"/>
          <w:sz w:val="20"/>
          <w:szCs w:val="20"/>
        </w:rPr>
        <w:t>La Corte considera preocupante que haya</w:t>
      </w:r>
      <w:r w:rsidR="004349F3" w:rsidRPr="00CA32B3">
        <w:rPr>
          <w:rFonts w:ascii="Verdana" w:hAnsi="Verdana"/>
          <w:sz w:val="20"/>
          <w:szCs w:val="20"/>
        </w:rPr>
        <w:t>n</w:t>
      </w:r>
      <w:r w:rsidR="000A33A7" w:rsidRPr="00CA32B3">
        <w:rPr>
          <w:rFonts w:ascii="Verdana" w:hAnsi="Verdana"/>
          <w:sz w:val="20"/>
          <w:szCs w:val="20"/>
        </w:rPr>
        <w:t xml:space="preserve"> transcurrido </w:t>
      </w:r>
      <w:r w:rsidR="004349F3" w:rsidRPr="00CA32B3">
        <w:rPr>
          <w:rFonts w:ascii="Verdana" w:hAnsi="Verdana"/>
          <w:sz w:val="20"/>
          <w:szCs w:val="20"/>
        </w:rPr>
        <w:t>ocho meses</w:t>
      </w:r>
      <w:r w:rsidR="000A33A7" w:rsidRPr="00CA32B3">
        <w:rPr>
          <w:rFonts w:ascii="Verdana" w:hAnsi="Verdana"/>
          <w:sz w:val="20"/>
          <w:szCs w:val="20"/>
        </w:rPr>
        <w:t xml:space="preserve"> sin que el </w:t>
      </w:r>
      <w:r w:rsidR="00111BD5" w:rsidRPr="00CA32B3">
        <w:rPr>
          <w:rFonts w:ascii="Verdana" w:hAnsi="Verdana"/>
          <w:sz w:val="20"/>
          <w:szCs w:val="20"/>
        </w:rPr>
        <w:t>Perú</w:t>
      </w:r>
      <w:r w:rsidR="000A33A7" w:rsidRPr="00CA32B3">
        <w:rPr>
          <w:rFonts w:ascii="Verdana" w:hAnsi="Verdana"/>
          <w:sz w:val="20"/>
          <w:szCs w:val="20"/>
        </w:rPr>
        <w:t xml:space="preserve"> haya atendido tal compromiso en un asunto tan importante como lo es la posible identificación de las víctimas, con el impacto que tal espera </w:t>
      </w:r>
      <w:r w:rsidR="008C7F2C" w:rsidRPr="00CA32B3">
        <w:rPr>
          <w:rFonts w:ascii="Verdana" w:hAnsi="Verdana"/>
          <w:sz w:val="20"/>
          <w:szCs w:val="20"/>
        </w:rPr>
        <w:t xml:space="preserve">e incertidumbre </w:t>
      </w:r>
      <w:r w:rsidR="000A33A7" w:rsidRPr="00CA32B3">
        <w:rPr>
          <w:rFonts w:ascii="Verdana" w:hAnsi="Verdana"/>
          <w:sz w:val="20"/>
          <w:szCs w:val="20"/>
        </w:rPr>
        <w:t xml:space="preserve">puede generar en sus familiares. </w:t>
      </w:r>
      <w:r w:rsidR="008C7F2C" w:rsidRPr="00CA32B3">
        <w:rPr>
          <w:rFonts w:ascii="Verdana" w:hAnsi="Verdana"/>
          <w:sz w:val="20"/>
          <w:szCs w:val="20"/>
        </w:rPr>
        <w:t>Dicho peritaje efectúa un análisis de ADN de restos óseos recuperados entre los años 2009 a</w:t>
      </w:r>
      <w:r w:rsidR="000A33A7" w:rsidRPr="00CA32B3">
        <w:rPr>
          <w:rFonts w:ascii="Verdana" w:hAnsi="Verdana"/>
          <w:sz w:val="20"/>
          <w:szCs w:val="20"/>
        </w:rPr>
        <w:t xml:space="preserve"> 2016</w:t>
      </w:r>
      <w:r w:rsidR="008C7F2C" w:rsidRPr="00CA32B3">
        <w:rPr>
          <w:rFonts w:ascii="Verdana" w:hAnsi="Verdana"/>
          <w:sz w:val="20"/>
          <w:szCs w:val="20"/>
        </w:rPr>
        <w:t>, de forma tal que los familiares de las víctimas han pasado por un prolongado proceso de identificación</w:t>
      </w:r>
      <w:r w:rsidR="00111BD5" w:rsidRPr="00CA32B3">
        <w:rPr>
          <w:rFonts w:ascii="Verdana" w:hAnsi="Verdana"/>
          <w:sz w:val="20"/>
          <w:szCs w:val="20"/>
        </w:rPr>
        <w:t>.</w:t>
      </w:r>
      <w:r w:rsidR="000A33A7" w:rsidRPr="00CA32B3">
        <w:rPr>
          <w:rFonts w:ascii="Verdana" w:hAnsi="Verdana"/>
          <w:sz w:val="20"/>
          <w:szCs w:val="20"/>
        </w:rPr>
        <w:t xml:space="preserve"> </w:t>
      </w:r>
      <w:r w:rsidR="000A33A7" w:rsidRPr="00CA32B3">
        <w:rPr>
          <w:rFonts w:ascii="Verdana" w:hAnsi="Verdana"/>
          <w:sz w:val="20"/>
          <w:szCs w:val="18"/>
        </w:rPr>
        <w:t>E</w:t>
      </w:r>
      <w:r w:rsidR="00733B66" w:rsidRPr="00CA32B3">
        <w:rPr>
          <w:rFonts w:ascii="Verdana" w:hAnsi="Verdana"/>
          <w:sz w:val="20"/>
          <w:szCs w:val="18"/>
        </w:rPr>
        <w:t xml:space="preserve">s urgente que el Estado fije como una prioridad </w:t>
      </w:r>
      <w:r w:rsidR="00111BD5" w:rsidRPr="00CA32B3">
        <w:rPr>
          <w:rFonts w:ascii="Verdana" w:hAnsi="Verdana"/>
          <w:sz w:val="20"/>
          <w:szCs w:val="18"/>
        </w:rPr>
        <w:t xml:space="preserve">inmediata </w:t>
      </w:r>
      <w:r w:rsidR="00733B66" w:rsidRPr="00CA32B3">
        <w:rPr>
          <w:rFonts w:ascii="Verdana" w:hAnsi="Verdana"/>
          <w:sz w:val="20"/>
          <w:szCs w:val="18"/>
        </w:rPr>
        <w:t xml:space="preserve">la </w:t>
      </w:r>
      <w:r w:rsidR="00111BD5" w:rsidRPr="00CA32B3">
        <w:rPr>
          <w:rFonts w:ascii="Verdana" w:hAnsi="Verdana"/>
          <w:sz w:val="20"/>
          <w:szCs w:val="18"/>
        </w:rPr>
        <w:t>conclusión del proceso de identificación de tales restos, lo cual incluye garantizar la calidad de</w:t>
      </w:r>
      <w:r w:rsidR="00A37DDF" w:rsidRPr="00CA32B3">
        <w:rPr>
          <w:rFonts w:ascii="Verdana" w:hAnsi="Verdana"/>
          <w:sz w:val="20"/>
          <w:szCs w:val="18"/>
        </w:rPr>
        <w:t xml:space="preserve">l </w:t>
      </w:r>
      <w:r w:rsidR="00111BD5" w:rsidRPr="00CA32B3">
        <w:rPr>
          <w:rFonts w:ascii="Verdana" w:hAnsi="Verdana"/>
          <w:sz w:val="20"/>
          <w:szCs w:val="18"/>
        </w:rPr>
        <w:t xml:space="preserve">análisis </w:t>
      </w:r>
      <w:r w:rsidR="00A37DDF" w:rsidRPr="00CA32B3">
        <w:rPr>
          <w:rFonts w:ascii="Verdana" w:hAnsi="Verdana"/>
          <w:sz w:val="20"/>
          <w:szCs w:val="18"/>
        </w:rPr>
        <w:t>genético y determinar si es posible o no una identificación fehaciente</w:t>
      </w:r>
      <w:r w:rsidR="00733B66" w:rsidRPr="00CA32B3">
        <w:rPr>
          <w:rFonts w:ascii="Verdana" w:hAnsi="Verdana"/>
          <w:sz w:val="20"/>
          <w:szCs w:val="18"/>
        </w:rPr>
        <w:t xml:space="preserve">. </w:t>
      </w:r>
      <w:r w:rsidR="00C32362" w:rsidRPr="00CA32B3">
        <w:rPr>
          <w:rFonts w:ascii="Verdana" w:hAnsi="Verdana"/>
          <w:sz w:val="20"/>
          <w:szCs w:val="18"/>
        </w:rPr>
        <w:t xml:space="preserve">Por consiguiente, se requiere al Estado que, en el plazo </w:t>
      </w:r>
      <w:r w:rsidR="00094664" w:rsidRPr="00CA32B3">
        <w:rPr>
          <w:rFonts w:ascii="Verdana" w:hAnsi="Verdana"/>
          <w:sz w:val="20"/>
          <w:szCs w:val="18"/>
        </w:rPr>
        <w:t>de dos meses</w:t>
      </w:r>
      <w:r w:rsidR="00C32362" w:rsidRPr="00CA32B3">
        <w:rPr>
          <w:rFonts w:ascii="Verdana" w:hAnsi="Verdana"/>
          <w:sz w:val="20"/>
          <w:szCs w:val="18"/>
        </w:rPr>
        <w:t>, contado</w:t>
      </w:r>
      <w:r w:rsidR="00094664" w:rsidRPr="00CA32B3">
        <w:rPr>
          <w:rFonts w:ascii="Verdana" w:hAnsi="Verdana"/>
          <w:sz w:val="20"/>
          <w:szCs w:val="18"/>
        </w:rPr>
        <w:t>s</w:t>
      </w:r>
      <w:r w:rsidR="00C32362" w:rsidRPr="00CA32B3">
        <w:rPr>
          <w:rFonts w:ascii="Verdana" w:hAnsi="Verdana"/>
          <w:sz w:val="20"/>
          <w:szCs w:val="18"/>
        </w:rPr>
        <w:t xml:space="preserve"> a partir de la notificación de esta Resolución, efectúe la referida reunión virtual. </w:t>
      </w:r>
    </w:p>
    <w:p w14:paraId="0F91B52E" w14:textId="77777777" w:rsidR="00D95CA3" w:rsidRPr="00CA32B3" w:rsidRDefault="00D95CA3" w:rsidP="00690FE6">
      <w:pPr>
        <w:pStyle w:val="Prrafodelista"/>
        <w:suppressLineNumbers/>
        <w:kinsoku w:val="0"/>
        <w:overflowPunct w:val="0"/>
        <w:autoSpaceDE w:val="0"/>
        <w:autoSpaceDN w:val="0"/>
        <w:adjustRightInd w:val="0"/>
        <w:spacing w:after="0" w:line="240" w:lineRule="auto"/>
        <w:ind w:left="0"/>
        <w:jc w:val="both"/>
        <w:rPr>
          <w:rFonts w:ascii="Verdana" w:hAnsi="Verdana"/>
          <w:sz w:val="20"/>
          <w:szCs w:val="18"/>
        </w:rPr>
      </w:pPr>
    </w:p>
    <w:p w14:paraId="1B99A82A" w14:textId="63997CC7" w:rsidR="00D95CA3" w:rsidRPr="00CA32B3" w:rsidRDefault="00926FAB" w:rsidP="00690FE6">
      <w:pPr>
        <w:pStyle w:val="Prrafodelista"/>
        <w:numPr>
          <w:ilvl w:val="0"/>
          <w:numId w:val="3"/>
        </w:numPr>
        <w:suppressLineNumbers/>
        <w:kinsoku w:val="0"/>
        <w:overflowPunct w:val="0"/>
        <w:autoSpaceDE w:val="0"/>
        <w:autoSpaceDN w:val="0"/>
        <w:adjustRightInd w:val="0"/>
        <w:spacing w:after="0" w:line="240" w:lineRule="auto"/>
        <w:ind w:left="0" w:firstLine="0"/>
        <w:jc w:val="both"/>
        <w:rPr>
          <w:rFonts w:ascii="Verdana" w:hAnsi="Verdana"/>
          <w:sz w:val="20"/>
          <w:szCs w:val="18"/>
        </w:rPr>
      </w:pPr>
      <w:r w:rsidRPr="00CA32B3">
        <w:rPr>
          <w:rFonts w:ascii="Verdana" w:hAnsi="Verdana"/>
          <w:sz w:val="20"/>
          <w:szCs w:val="18"/>
        </w:rPr>
        <w:t>En cuanto</w:t>
      </w:r>
      <w:r w:rsidR="00A4626A" w:rsidRPr="00CA32B3">
        <w:rPr>
          <w:rFonts w:ascii="Verdana" w:hAnsi="Verdana"/>
          <w:sz w:val="20"/>
          <w:szCs w:val="18"/>
        </w:rPr>
        <w:t xml:space="preserve"> a lo</w:t>
      </w:r>
      <w:r w:rsidR="00D95CA3" w:rsidRPr="00CA32B3">
        <w:rPr>
          <w:rFonts w:ascii="Verdana" w:hAnsi="Verdana"/>
          <w:sz w:val="20"/>
          <w:szCs w:val="18"/>
        </w:rPr>
        <w:t>s obstáculos</w:t>
      </w:r>
      <w:r w:rsidR="000E6E32" w:rsidRPr="00CA32B3">
        <w:rPr>
          <w:rFonts w:ascii="Verdana" w:hAnsi="Verdana"/>
          <w:sz w:val="20"/>
          <w:szCs w:val="18"/>
        </w:rPr>
        <w:t xml:space="preserve"> alegado</w:t>
      </w:r>
      <w:r w:rsidR="00D95CA3" w:rsidRPr="00CA32B3">
        <w:rPr>
          <w:rFonts w:ascii="Verdana" w:hAnsi="Verdana"/>
          <w:sz w:val="20"/>
          <w:szCs w:val="18"/>
        </w:rPr>
        <w:t>s por l</w:t>
      </w:r>
      <w:r w:rsidR="00F357EF" w:rsidRPr="00CA32B3">
        <w:rPr>
          <w:rFonts w:ascii="Verdana" w:hAnsi="Verdana"/>
          <w:sz w:val="20"/>
          <w:szCs w:val="18"/>
        </w:rPr>
        <w:t>o</w:t>
      </w:r>
      <w:r w:rsidR="000E6E32" w:rsidRPr="00CA32B3">
        <w:rPr>
          <w:rFonts w:ascii="Verdana" w:hAnsi="Verdana"/>
          <w:sz w:val="20"/>
          <w:szCs w:val="18"/>
        </w:rPr>
        <w:t xml:space="preserve">s </w:t>
      </w:r>
      <w:r w:rsidR="000E6E32" w:rsidRPr="00CA32B3">
        <w:rPr>
          <w:rFonts w:ascii="Verdana" w:hAnsi="Verdana"/>
          <w:i/>
          <w:sz w:val="20"/>
          <w:szCs w:val="18"/>
        </w:rPr>
        <w:t>representantes</w:t>
      </w:r>
      <w:r w:rsidR="00D95CA3" w:rsidRPr="00CA32B3">
        <w:rPr>
          <w:rFonts w:ascii="Verdana" w:hAnsi="Verdana"/>
          <w:sz w:val="20"/>
          <w:szCs w:val="18"/>
        </w:rPr>
        <w:t xml:space="preserve"> </w:t>
      </w:r>
      <w:r w:rsidR="00C65E25" w:rsidRPr="00CA32B3">
        <w:rPr>
          <w:rFonts w:ascii="Verdana" w:hAnsi="Verdana"/>
          <w:sz w:val="20"/>
          <w:szCs w:val="18"/>
        </w:rPr>
        <w:t xml:space="preserve">respecto </w:t>
      </w:r>
      <w:r w:rsidR="00D95CA3" w:rsidRPr="00CA32B3">
        <w:rPr>
          <w:rFonts w:ascii="Verdana" w:hAnsi="Verdana"/>
          <w:sz w:val="20"/>
          <w:szCs w:val="18"/>
        </w:rPr>
        <w:t>a la participación y comunicación con los familiares (</w:t>
      </w:r>
      <w:r w:rsidR="00D95CA3" w:rsidRPr="00CA32B3">
        <w:rPr>
          <w:rFonts w:ascii="Verdana" w:hAnsi="Verdana"/>
          <w:i/>
          <w:sz w:val="20"/>
          <w:szCs w:val="18"/>
        </w:rPr>
        <w:t>supra</w:t>
      </w:r>
      <w:r w:rsidR="00D95CA3" w:rsidRPr="00CA32B3">
        <w:rPr>
          <w:rFonts w:ascii="Verdana" w:hAnsi="Verdana"/>
          <w:sz w:val="20"/>
          <w:szCs w:val="18"/>
        </w:rPr>
        <w:t xml:space="preserve"> Considerando 29)</w:t>
      </w:r>
      <w:r w:rsidR="000E6E32" w:rsidRPr="00CA32B3">
        <w:rPr>
          <w:rFonts w:ascii="Verdana" w:hAnsi="Verdana"/>
          <w:sz w:val="20"/>
          <w:szCs w:val="18"/>
        </w:rPr>
        <w:t xml:space="preserve">, el </w:t>
      </w:r>
      <w:r w:rsidR="000E6E32" w:rsidRPr="00CA32B3">
        <w:rPr>
          <w:rFonts w:ascii="Verdana" w:hAnsi="Verdana"/>
          <w:i/>
          <w:sz w:val="20"/>
          <w:szCs w:val="18"/>
        </w:rPr>
        <w:t>E</w:t>
      </w:r>
      <w:r w:rsidR="00D95CA3" w:rsidRPr="00CA32B3">
        <w:rPr>
          <w:rFonts w:ascii="Verdana" w:hAnsi="Verdana"/>
          <w:i/>
          <w:sz w:val="20"/>
          <w:szCs w:val="18"/>
        </w:rPr>
        <w:t>stado</w:t>
      </w:r>
      <w:r w:rsidR="00D95CA3" w:rsidRPr="00CA32B3">
        <w:rPr>
          <w:rFonts w:ascii="Verdana" w:hAnsi="Verdana"/>
          <w:sz w:val="20"/>
          <w:szCs w:val="18"/>
        </w:rPr>
        <w:t xml:space="preserve"> afirmó </w:t>
      </w:r>
      <w:r w:rsidR="000E6E32" w:rsidRPr="00CA32B3">
        <w:rPr>
          <w:rFonts w:ascii="Verdana" w:hAnsi="Verdana"/>
          <w:sz w:val="20"/>
          <w:szCs w:val="18"/>
        </w:rPr>
        <w:t xml:space="preserve">en informes de 2018 y 2019 </w:t>
      </w:r>
      <w:r w:rsidR="00D95CA3" w:rsidRPr="00CA32B3">
        <w:rPr>
          <w:rFonts w:ascii="Verdana" w:hAnsi="Verdana"/>
          <w:sz w:val="20"/>
          <w:szCs w:val="18"/>
        </w:rPr>
        <w:t xml:space="preserve">que </w:t>
      </w:r>
      <w:r w:rsidR="00F357EF" w:rsidRPr="00CA32B3">
        <w:rPr>
          <w:rFonts w:ascii="Verdana" w:hAnsi="Verdana"/>
          <w:sz w:val="20"/>
          <w:szCs w:val="18"/>
        </w:rPr>
        <w:t xml:space="preserve">los representantes y familiares </w:t>
      </w:r>
      <w:r w:rsidR="00D95CA3" w:rsidRPr="00CA32B3">
        <w:rPr>
          <w:rFonts w:ascii="Verdana" w:hAnsi="Verdana"/>
          <w:sz w:val="20"/>
          <w:szCs w:val="18"/>
        </w:rPr>
        <w:t>“han tenido una constante p</w:t>
      </w:r>
      <w:r w:rsidR="00F357EF" w:rsidRPr="00CA32B3">
        <w:rPr>
          <w:rFonts w:ascii="Verdana" w:hAnsi="Verdana"/>
          <w:sz w:val="20"/>
          <w:szCs w:val="18"/>
        </w:rPr>
        <w:t xml:space="preserve">articipación en las diligencias […] </w:t>
      </w:r>
      <w:r w:rsidR="00D95CA3" w:rsidRPr="00CA32B3">
        <w:rPr>
          <w:rFonts w:ascii="Verdana" w:hAnsi="Verdana"/>
          <w:sz w:val="20"/>
          <w:szCs w:val="18"/>
        </w:rPr>
        <w:t xml:space="preserve">llevadas a cabo por el equipo forense de Medicina Legal del Ministerio Público”. Aun cuando de la información aportada </w:t>
      </w:r>
      <w:r w:rsidR="00C32362" w:rsidRPr="00CA32B3">
        <w:rPr>
          <w:rFonts w:ascii="Verdana" w:hAnsi="Verdana"/>
          <w:sz w:val="20"/>
          <w:szCs w:val="18"/>
        </w:rPr>
        <w:t xml:space="preserve">por el Estado </w:t>
      </w:r>
      <w:r w:rsidR="00D95CA3" w:rsidRPr="00CA32B3">
        <w:rPr>
          <w:rFonts w:ascii="Verdana" w:hAnsi="Verdana"/>
          <w:sz w:val="20"/>
          <w:szCs w:val="18"/>
        </w:rPr>
        <w:t xml:space="preserve">es posible confirmar </w:t>
      </w:r>
      <w:r w:rsidR="00C32362" w:rsidRPr="00CA32B3">
        <w:rPr>
          <w:rFonts w:ascii="Verdana" w:hAnsi="Verdana"/>
          <w:sz w:val="20"/>
          <w:szCs w:val="18"/>
        </w:rPr>
        <w:t>la</w:t>
      </w:r>
      <w:r w:rsidR="00D95CA3" w:rsidRPr="00CA32B3">
        <w:rPr>
          <w:rFonts w:ascii="Verdana" w:hAnsi="Verdana"/>
          <w:sz w:val="20"/>
          <w:szCs w:val="18"/>
        </w:rPr>
        <w:t xml:space="preserve"> participación </w:t>
      </w:r>
      <w:r w:rsidR="00C32362" w:rsidRPr="00CA32B3">
        <w:rPr>
          <w:rFonts w:ascii="Verdana" w:hAnsi="Verdana"/>
          <w:sz w:val="20"/>
          <w:szCs w:val="18"/>
        </w:rPr>
        <w:t xml:space="preserve">de algunos familiares </w:t>
      </w:r>
      <w:r w:rsidR="00D95CA3" w:rsidRPr="00CA32B3">
        <w:rPr>
          <w:rFonts w:ascii="Verdana" w:hAnsi="Verdana"/>
          <w:sz w:val="20"/>
          <w:szCs w:val="18"/>
        </w:rPr>
        <w:t xml:space="preserve">en diversas diligencias, la Corte considera necesario que las autoridades estatales </w:t>
      </w:r>
      <w:r w:rsidR="00C32362" w:rsidRPr="00CA32B3">
        <w:rPr>
          <w:rFonts w:ascii="Verdana" w:hAnsi="Verdana"/>
          <w:sz w:val="20"/>
          <w:szCs w:val="18"/>
        </w:rPr>
        <w:t xml:space="preserve">examinen si la comunicación ha sido adecuada y oportuna y </w:t>
      </w:r>
      <w:r w:rsidR="000E6E32" w:rsidRPr="00CA32B3">
        <w:rPr>
          <w:rFonts w:ascii="Verdana" w:hAnsi="Verdana"/>
          <w:sz w:val="20"/>
          <w:szCs w:val="18"/>
        </w:rPr>
        <w:t>efectúe</w:t>
      </w:r>
      <w:r w:rsidR="00C32362" w:rsidRPr="00CA32B3">
        <w:rPr>
          <w:rFonts w:ascii="Verdana" w:hAnsi="Verdana"/>
          <w:sz w:val="20"/>
          <w:szCs w:val="18"/>
        </w:rPr>
        <w:t>n</w:t>
      </w:r>
      <w:r w:rsidR="000E6E32" w:rsidRPr="00CA32B3">
        <w:rPr>
          <w:rFonts w:ascii="Verdana" w:hAnsi="Verdana"/>
          <w:sz w:val="20"/>
          <w:szCs w:val="18"/>
        </w:rPr>
        <w:t xml:space="preserve"> las mejoras que sean necesarias </w:t>
      </w:r>
      <w:r w:rsidR="00C32362" w:rsidRPr="00CA32B3">
        <w:rPr>
          <w:rFonts w:ascii="Verdana" w:hAnsi="Verdana"/>
          <w:sz w:val="20"/>
          <w:szCs w:val="18"/>
        </w:rPr>
        <w:t>para lo que resta del proceso de búsqueda e identificación, fundamentalmente que efectúen una reunión de la forma más pronta posible respecto a los cuestionamientos del peritaje de análisis genético (</w:t>
      </w:r>
      <w:r w:rsidR="00C32362" w:rsidRPr="00CA32B3">
        <w:rPr>
          <w:rFonts w:ascii="Verdana" w:hAnsi="Verdana"/>
          <w:i/>
          <w:sz w:val="20"/>
          <w:szCs w:val="18"/>
        </w:rPr>
        <w:t>supra</w:t>
      </w:r>
      <w:r w:rsidR="00C32362" w:rsidRPr="00CA32B3">
        <w:rPr>
          <w:rFonts w:ascii="Verdana" w:hAnsi="Verdana"/>
          <w:sz w:val="20"/>
          <w:szCs w:val="18"/>
        </w:rPr>
        <w:t xml:space="preserve"> Co</w:t>
      </w:r>
      <w:r w:rsidR="00CA5204" w:rsidRPr="00CA32B3">
        <w:rPr>
          <w:rFonts w:ascii="Verdana" w:hAnsi="Verdana"/>
          <w:sz w:val="20"/>
          <w:szCs w:val="18"/>
        </w:rPr>
        <w:t>nsiderando 30</w:t>
      </w:r>
      <w:r w:rsidR="00C32362" w:rsidRPr="00CA32B3">
        <w:rPr>
          <w:rFonts w:ascii="Verdana" w:hAnsi="Verdana"/>
          <w:sz w:val="20"/>
          <w:szCs w:val="18"/>
        </w:rPr>
        <w:t xml:space="preserve">). </w:t>
      </w:r>
    </w:p>
    <w:p w14:paraId="373693BE" w14:textId="7620C406" w:rsidR="00B527E8" w:rsidRPr="00CA32B3" w:rsidRDefault="00B527E8" w:rsidP="00690FE6">
      <w:pPr>
        <w:pStyle w:val="Prrafodelista"/>
        <w:suppressLineNumbers/>
        <w:autoSpaceDE w:val="0"/>
        <w:autoSpaceDN w:val="0"/>
        <w:adjustRightInd w:val="0"/>
        <w:spacing w:after="0" w:line="240" w:lineRule="auto"/>
        <w:ind w:left="0"/>
        <w:jc w:val="both"/>
        <w:rPr>
          <w:rFonts w:ascii="Verdana" w:hAnsi="Verdana"/>
          <w:sz w:val="20"/>
          <w:szCs w:val="18"/>
        </w:rPr>
      </w:pPr>
    </w:p>
    <w:p w14:paraId="1234C8ED" w14:textId="31F6DFBD" w:rsidR="00C65E25" w:rsidRPr="00CA32B3" w:rsidRDefault="00C65E25" w:rsidP="00690FE6">
      <w:pPr>
        <w:pStyle w:val="Prrafodelista"/>
        <w:numPr>
          <w:ilvl w:val="0"/>
          <w:numId w:val="3"/>
        </w:numPr>
        <w:suppressLineNumbers/>
        <w:autoSpaceDE w:val="0"/>
        <w:autoSpaceDN w:val="0"/>
        <w:adjustRightInd w:val="0"/>
        <w:spacing w:after="0" w:line="240" w:lineRule="auto"/>
        <w:ind w:left="0" w:firstLine="0"/>
        <w:jc w:val="both"/>
        <w:rPr>
          <w:rFonts w:ascii="Verdana" w:hAnsi="Verdana"/>
          <w:sz w:val="20"/>
          <w:szCs w:val="18"/>
          <w:lang w:val="es-CR"/>
        </w:rPr>
      </w:pPr>
      <w:r w:rsidRPr="00CA32B3">
        <w:rPr>
          <w:rFonts w:ascii="Verdana" w:hAnsi="Verdana"/>
          <w:sz w:val="20"/>
          <w:szCs w:val="18"/>
        </w:rPr>
        <w:t xml:space="preserve">La Corte también </w:t>
      </w:r>
      <w:r w:rsidR="00CA5204" w:rsidRPr="00CA32B3">
        <w:rPr>
          <w:rFonts w:ascii="Verdana" w:hAnsi="Verdana"/>
          <w:sz w:val="20"/>
          <w:szCs w:val="18"/>
        </w:rPr>
        <w:t>requiere</w:t>
      </w:r>
      <w:r w:rsidRPr="00CA32B3">
        <w:rPr>
          <w:rFonts w:ascii="Verdana" w:hAnsi="Verdana"/>
          <w:sz w:val="20"/>
          <w:szCs w:val="18"/>
        </w:rPr>
        <w:t xml:space="preserve"> al Estado que se refiera a </w:t>
      </w:r>
      <w:r w:rsidR="00D40CFD" w:rsidRPr="00CA32B3">
        <w:rPr>
          <w:rFonts w:ascii="Verdana" w:hAnsi="Verdana"/>
          <w:sz w:val="20"/>
          <w:szCs w:val="18"/>
        </w:rPr>
        <w:t xml:space="preserve">las otras objeciones de </w:t>
      </w:r>
      <w:r w:rsidR="00F357EF" w:rsidRPr="00CA32B3">
        <w:rPr>
          <w:rFonts w:ascii="Verdana" w:hAnsi="Verdana"/>
          <w:sz w:val="20"/>
          <w:szCs w:val="18"/>
        </w:rPr>
        <w:t>lo</w:t>
      </w:r>
      <w:r w:rsidRPr="00CA32B3">
        <w:rPr>
          <w:rFonts w:ascii="Verdana" w:hAnsi="Verdana"/>
          <w:sz w:val="20"/>
          <w:szCs w:val="18"/>
        </w:rPr>
        <w:t xml:space="preserve">s representantes de las víctimas </w:t>
      </w:r>
      <w:r w:rsidR="00D40CFD" w:rsidRPr="00CA32B3">
        <w:rPr>
          <w:rFonts w:ascii="Verdana" w:hAnsi="Verdana"/>
          <w:sz w:val="20"/>
          <w:szCs w:val="18"/>
        </w:rPr>
        <w:t>relativas</w:t>
      </w:r>
      <w:r w:rsidR="00CA5204" w:rsidRPr="00CA32B3">
        <w:rPr>
          <w:rFonts w:ascii="Verdana" w:hAnsi="Verdana"/>
          <w:sz w:val="20"/>
          <w:szCs w:val="18"/>
        </w:rPr>
        <w:t xml:space="preserve"> a que resulta necesario </w:t>
      </w:r>
      <w:r w:rsidRPr="00CA32B3">
        <w:rPr>
          <w:rFonts w:ascii="Verdana" w:hAnsi="Verdana"/>
          <w:sz w:val="20"/>
          <w:szCs w:val="18"/>
          <w:lang w:val="es-ES"/>
        </w:rPr>
        <w:t>que brin</w:t>
      </w:r>
      <w:r w:rsidR="00CA5204" w:rsidRPr="00CA32B3">
        <w:rPr>
          <w:rFonts w:ascii="Verdana" w:hAnsi="Verdana"/>
          <w:sz w:val="20"/>
          <w:szCs w:val="18"/>
          <w:lang w:val="es-ES"/>
        </w:rPr>
        <w:t>de</w:t>
      </w:r>
      <w:r w:rsidRPr="00CA32B3">
        <w:rPr>
          <w:rFonts w:ascii="Verdana" w:hAnsi="Verdana"/>
          <w:sz w:val="20"/>
          <w:szCs w:val="18"/>
          <w:lang w:val="es-ES"/>
        </w:rPr>
        <w:t xml:space="preserve"> el apoyo </w:t>
      </w:r>
      <w:r w:rsidR="00F357EF" w:rsidRPr="00CA32B3">
        <w:rPr>
          <w:rFonts w:ascii="Verdana" w:hAnsi="Verdana"/>
          <w:sz w:val="20"/>
          <w:szCs w:val="18"/>
          <w:lang w:val="es-ES"/>
        </w:rPr>
        <w:t xml:space="preserve">oficial </w:t>
      </w:r>
      <w:r w:rsidRPr="00CA32B3">
        <w:rPr>
          <w:rFonts w:ascii="Verdana" w:hAnsi="Verdana"/>
          <w:sz w:val="20"/>
          <w:szCs w:val="18"/>
          <w:lang w:val="es-ES"/>
        </w:rPr>
        <w:t xml:space="preserve">para que se realicen diligencias </w:t>
      </w:r>
      <w:r w:rsidR="00CA5204" w:rsidRPr="00CA32B3">
        <w:rPr>
          <w:rFonts w:ascii="Verdana" w:hAnsi="Verdana"/>
          <w:sz w:val="20"/>
          <w:szCs w:val="18"/>
          <w:lang w:val="es-ES"/>
        </w:rPr>
        <w:t xml:space="preserve">de búsqueda </w:t>
      </w:r>
      <w:r w:rsidRPr="00CA32B3">
        <w:rPr>
          <w:rFonts w:ascii="Verdana" w:hAnsi="Verdana"/>
          <w:sz w:val="20"/>
          <w:szCs w:val="18"/>
          <w:lang w:val="es-ES"/>
        </w:rPr>
        <w:t>en otros sitios distintos a la referida mina, con base en la información obtenida en los procesos penales y lo ordenado judicialmente en uno de esos procesos</w:t>
      </w:r>
      <w:r w:rsidR="00CA5204" w:rsidRPr="00CA32B3">
        <w:rPr>
          <w:rFonts w:ascii="Verdana" w:hAnsi="Verdana"/>
          <w:sz w:val="20"/>
          <w:szCs w:val="18"/>
          <w:lang w:val="es-ES"/>
        </w:rPr>
        <w:t xml:space="preserve">, así como a que </w:t>
      </w:r>
      <w:r w:rsidR="00CA5204" w:rsidRPr="00CA32B3">
        <w:rPr>
          <w:rFonts w:ascii="Verdana" w:hAnsi="Verdana"/>
          <w:sz w:val="20"/>
          <w:szCs w:val="18"/>
        </w:rPr>
        <w:t xml:space="preserve">no se cuenta </w:t>
      </w:r>
      <w:r w:rsidR="00CA5204" w:rsidRPr="00CA32B3">
        <w:rPr>
          <w:rFonts w:ascii="Verdana" w:hAnsi="Verdana"/>
          <w:sz w:val="20"/>
          <w:szCs w:val="24"/>
        </w:rPr>
        <w:t>“con un certificado de defunción o de ausencia por desaparición forzada” de las víctimas (</w:t>
      </w:r>
      <w:r w:rsidR="00CA5204" w:rsidRPr="00CA32B3">
        <w:rPr>
          <w:rFonts w:ascii="Verdana" w:hAnsi="Verdana"/>
          <w:i/>
          <w:sz w:val="20"/>
          <w:szCs w:val="24"/>
        </w:rPr>
        <w:t>supra</w:t>
      </w:r>
      <w:r w:rsidR="00CA5204" w:rsidRPr="00CA32B3">
        <w:rPr>
          <w:rFonts w:ascii="Verdana" w:hAnsi="Verdana"/>
          <w:sz w:val="20"/>
          <w:szCs w:val="24"/>
        </w:rPr>
        <w:t xml:space="preserve"> Considerando 29).</w:t>
      </w:r>
      <w:r w:rsidR="00437BAD" w:rsidRPr="00CA32B3">
        <w:rPr>
          <w:rFonts w:ascii="Verdana" w:hAnsi="Verdana"/>
          <w:sz w:val="20"/>
          <w:szCs w:val="24"/>
        </w:rPr>
        <w:t xml:space="preserve"> </w:t>
      </w:r>
    </w:p>
    <w:p w14:paraId="6DF19DEE" w14:textId="77777777" w:rsidR="00F357EF" w:rsidRPr="00CA32B3" w:rsidRDefault="00F357EF" w:rsidP="00690FE6">
      <w:pPr>
        <w:pStyle w:val="Prrafodelista"/>
        <w:suppressLineNumbers/>
        <w:rPr>
          <w:rFonts w:ascii="Verdana" w:hAnsi="Verdana"/>
          <w:sz w:val="20"/>
          <w:szCs w:val="18"/>
          <w:lang w:val="es-CR"/>
        </w:rPr>
      </w:pPr>
    </w:p>
    <w:p w14:paraId="4A62E9AE" w14:textId="28EC0EAC" w:rsidR="00926FAB" w:rsidRPr="00CA32B3" w:rsidRDefault="00A37DDF" w:rsidP="00690FE6">
      <w:pPr>
        <w:pStyle w:val="Prrafodelista"/>
        <w:numPr>
          <w:ilvl w:val="0"/>
          <w:numId w:val="3"/>
        </w:numPr>
        <w:suppressLineNumbers/>
        <w:autoSpaceDE w:val="0"/>
        <w:autoSpaceDN w:val="0"/>
        <w:adjustRightInd w:val="0"/>
        <w:spacing w:after="0" w:line="240" w:lineRule="auto"/>
        <w:ind w:left="0" w:firstLine="0"/>
        <w:jc w:val="both"/>
        <w:rPr>
          <w:rFonts w:ascii="Verdana" w:hAnsi="Verdana"/>
          <w:sz w:val="20"/>
          <w:szCs w:val="18"/>
        </w:rPr>
      </w:pPr>
      <w:r w:rsidRPr="00CA32B3">
        <w:rPr>
          <w:rFonts w:ascii="Verdana" w:hAnsi="Verdana"/>
          <w:sz w:val="20"/>
          <w:szCs w:val="18"/>
        </w:rPr>
        <w:t xml:space="preserve">Por último, la Corte recuerda que en la Sentencia </w:t>
      </w:r>
      <w:r w:rsidRPr="00CA32B3">
        <w:rPr>
          <w:rFonts w:ascii="Verdana" w:hAnsi="Verdana"/>
          <w:sz w:val="20"/>
          <w:szCs w:val="20"/>
          <w:lang w:bidi="en-US"/>
        </w:rPr>
        <w:t>consideró “pertinente instar al Estado que adopte</w:t>
      </w:r>
      <w:r w:rsidRPr="00CA32B3">
        <w:rPr>
          <w:rFonts w:ascii="Verdana" w:hAnsi="Verdana"/>
          <w:spacing w:val="-2"/>
          <w:sz w:val="20"/>
          <w:szCs w:val="20"/>
        </w:rPr>
        <w:t xml:space="preserve"> </w:t>
      </w:r>
      <w:r w:rsidRPr="00CA32B3">
        <w:rPr>
          <w:rFonts w:ascii="Verdana" w:hAnsi="Verdana"/>
          <w:sz w:val="20"/>
          <w:szCs w:val="20"/>
          <w:lang w:bidi="en-US"/>
        </w:rPr>
        <w:t>una estrategia nacional de búsqueda y determinación del paradero de personas desaparecidas en el conflicto armado en el Perú</w:t>
      </w:r>
      <w:r w:rsidRPr="00CA32B3">
        <w:rPr>
          <w:rFonts w:ascii="Verdana" w:hAnsi="Verdana" w:cs="Verdana-Italic"/>
          <w:iCs/>
          <w:spacing w:val="-2"/>
          <w:sz w:val="20"/>
          <w:szCs w:val="20"/>
          <w:lang w:bidi="en-US"/>
        </w:rPr>
        <w:t xml:space="preserve">, </w:t>
      </w:r>
      <w:r w:rsidRPr="00CA32B3">
        <w:rPr>
          <w:rFonts w:ascii="Verdana" w:hAnsi="Verdana"/>
          <w:color w:val="000000"/>
          <w:sz w:val="20"/>
          <w:szCs w:val="20"/>
          <w:shd w:val="clear" w:color="auto" w:fill="FFFFFF"/>
        </w:rPr>
        <w:t>paralela y complementaria a los procesos judiciales</w:t>
      </w:r>
      <w:r w:rsidR="008408C1" w:rsidRPr="00CA32B3">
        <w:rPr>
          <w:rFonts w:ascii="Verdana" w:hAnsi="Verdana"/>
          <w:color w:val="000000"/>
          <w:sz w:val="20"/>
          <w:szCs w:val="20"/>
          <w:shd w:val="clear" w:color="auto" w:fill="FFFFFF"/>
        </w:rPr>
        <w:t>,</w:t>
      </w:r>
      <w:r w:rsidR="00324D48" w:rsidRPr="00CA32B3">
        <w:rPr>
          <w:rFonts w:ascii="Verdana" w:hAnsi="Verdana"/>
          <w:color w:val="000000"/>
          <w:sz w:val="20"/>
          <w:szCs w:val="20"/>
          <w:shd w:val="clear" w:color="auto" w:fill="FFFFFF"/>
        </w:rPr>
        <w:t xml:space="preserve"> mediante la cual se asegure el </w:t>
      </w:r>
      <w:r w:rsidR="00EE2902" w:rsidRPr="00CA32B3">
        <w:rPr>
          <w:rFonts w:ascii="Verdana" w:hAnsi="Verdana"/>
          <w:color w:val="000000"/>
          <w:sz w:val="20"/>
          <w:szCs w:val="20"/>
          <w:shd w:val="clear" w:color="auto" w:fill="FFFFFF"/>
        </w:rPr>
        <w:t>levantamiento</w:t>
      </w:r>
      <w:r w:rsidR="00324D48" w:rsidRPr="00CA32B3">
        <w:rPr>
          <w:rFonts w:ascii="Verdana" w:hAnsi="Verdana"/>
          <w:color w:val="000000"/>
          <w:sz w:val="20"/>
          <w:szCs w:val="20"/>
          <w:shd w:val="clear" w:color="auto" w:fill="FFFFFF"/>
        </w:rPr>
        <w:t xml:space="preserve"> de la información </w:t>
      </w:r>
      <w:r w:rsidR="00EE2902" w:rsidRPr="00CA32B3">
        <w:rPr>
          <w:rFonts w:ascii="Verdana" w:hAnsi="Verdana"/>
          <w:color w:val="000000"/>
          <w:sz w:val="20"/>
          <w:szCs w:val="20"/>
          <w:shd w:val="clear" w:color="auto" w:fill="FFFFFF"/>
        </w:rPr>
        <w:t xml:space="preserve">disponible sobre  posibles </w:t>
      </w:r>
      <w:r w:rsidR="00324D48" w:rsidRPr="00CA32B3">
        <w:rPr>
          <w:rFonts w:ascii="Verdana" w:hAnsi="Verdana"/>
          <w:color w:val="000000"/>
          <w:sz w:val="20"/>
          <w:szCs w:val="20"/>
          <w:shd w:val="clear" w:color="auto" w:fill="FFFFFF"/>
        </w:rPr>
        <w:t>sitios de inhumación o entierro y se</w:t>
      </w:r>
      <w:r w:rsidR="00EE2902" w:rsidRPr="00CA32B3">
        <w:rPr>
          <w:rFonts w:ascii="Verdana" w:hAnsi="Verdana"/>
          <w:color w:val="000000"/>
          <w:sz w:val="20"/>
          <w:szCs w:val="20"/>
          <w:shd w:val="clear" w:color="auto" w:fill="FFFFFF"/>
        </w:rPr>
        <w:t xml:space="preserve"> proceda a </w:t>
      </w:r>
      <w:r w:rsidR="00324D48" w:rsidRPr="00CA32B3">
        <w:rPr>
          <w:rFonts w:ascii="Verdana" w:hAnsi="Verdana"/>
          <w:color w:val="000000"/>
          <w:sz w:val="20"/>
          <w:szCs w:val="20"/>
          <w:shd w:val="clear" w:color="auto" w:fill="FFFFFF"/>
        </w:rPr>
        <w:t xml:space="preserve">su identificación, </w:t>
      </w:r>
      <w:r w:rsidR="00EE2902" w:rsidRPr="00CA32B3">
        <w:rPr>
          <w:rFonts w:ascii="Verdana" w:hAnsi="Verdana"/>
          <w:color w:val="000000"/>
          <w:sz w:val="20"/>
          <w:szCs w:val="20"/>
          <w:shd w:val="clear" w:color="auto" w:fill="FFFFFF"/>
        </w:rPr>
        <w:t>registro</w:t>
      </w:r>
      <w:r w:rsidR="00324D48" w:rsidRPr="00CA32B3">
        <w:rPr>
          <w:rFonts w:ascii="Verdana" w:hAnsi="Verdana"/>
          <w:color w:val="000000"/>
          <w:sz w:val="20"/>
          <w:szCs w:val="20"/>
          <w:shd w:val="clear" w:color="auto" w:fill="FFFFFF"/>
        </w:rPr>
        <w:t xml:space="preserve"> y protección  para su preservación,</w:t>
      </w:r>
      <w:r w:rsidR="00EE2902" w:rsidRPr="00CA32B3">
        <w:rPr>
          <w:rFonts w:ascii="Verdana" w:hAnsi="Verdana"/>
          <w:color w:val="000000"/>
          <w:sz w:val="20"/>
          <w:szCs w:val="20"/>
          <w:shd w:val="clear" w:color="auto" w:fill="FFFFFF"/>
        </w:rPr>
        <w:t xml:space="preserve"> así como se inicien </w:t>
      </w:r>
      <w:r w:rsidR="00324D48" w:rsidRPr="00CA32B3">
        <w:rPr>
          <w:rFonts w:ascii="Verdana" w:hAnsi="Verdana"/>
          <w:color w:val="000000"/>
          <w:sz w:val="20"/>
          <w:szCs w:val="20"/>
          <w:shd w:val="clear" w:color="auto" w:fill="FFFFFF"/>
        </w:rPr>
        <w:t>y/o continúen de</w:t>
      </w:r>
      <w:r w:rsidR="00EE2902" w:rsidRPr="00CA32B3">
        <w:rPr>
          <w:rFonts w:ascii="Verdana" w:hAnsi="Verdana"/>
          <w:color w:val="000000"/>
          <w:sz w:val="20"/>
          <w:szCs w:val="20"/>
          <w:shd w:val="clear" w:color="auto" w:fill="FFFFFF"/>
        </w:rPr>
        <w:t xml:space="preserve"> manera sistemática </w:t>
      </w:r>
      <w:r w:rsidR="00324D48" w:rsidRPr="00CA32B3">
        <w:rPr>
          <w:rFonts w:ascii="Verdana" w:hAnsi="Verdana"/>
          <w:color w:val="000000"/>
          <w:sz w:val="20"/>
          <w:szCs w:val="20"/>
          <w:shd w:val="clear" w:color="auto" w:fill="FFFFFF"/>
        </w:rPr>
        <w:t>y</w:t>
      </w:r>
      <w:r w:rsidR="00EE2902" w:rsidRPr="00CA32B3">
        <w:rPr>
          <w:rFonts w:ascii="Verdana" w:hAnsi="Verdana"/>
          <w:color w:val="000000"/>
          <w:sz w:val="20"/>
          <w:szCs w:val="20"/>
          <w:shd w:val="clear" w:color="auto" w:fill="FFFFFF"/>
        </w:rPr>
        <w:t xml:space="preserve"> rigurosa,  las acciones </w:t>
      </w:r>
      <w:r w:rsidR="00324D48" w:rsidRPr="00CA32B3">
        <w:rPr>
          <w:rFonts w:ascii="Verdana" w:hAnsi="Verdana"/>
          <w:color w:val="000000"/>
          <w:sz w:val="20"/>
          <w:szCs w:val="20"/>
          <w:shd w:val="clear" w:color="auto" w:fill="FFFFFF"/>
        </w:rPr>
        <w:t xml:space="preserve">que resulten necesarias </w:t>
      </w:r>
      <w:r w:rsidR="00EE2902" w:rsidRPr="00CA32B3">
        <w:rPr>
          <w:rFonts w:ascii="Verdana" w:hAnsi="Verdana"/>
          <w:color w:val="000000"/>
          <w:sz w:val="20"/>
          <w:szCs w:val="20"/>
          <w:shd w:val="clear" w:color="auto" w:fill="FFFFFF"/>
        </w:rPr>
        <w:t>para</w:t>
      </w:r>
      <w:r w:rsidR="00324D48" w:rsidRPr="00CA32B3">
        <w:rPr>
          <w:rFonts w:ascii="Verdana" w:hAnsi="Verdana"/>
          <w:color w:val="000000"/>
          <w:sz w:val="20"/>
          <w:szCs w:val="20"/>
          <w:shd w:val="clear" w:color="auto" w:fill="FFFFFF"/>
        </w:rPr>
        <w:t xml:space="preserve"> la</w:t>
      </w:r>
      <w:r w:rsidR="00EE2902" w:rsidRPr="00CA32B3">
        <w:rPr>
          <w:rFonts w:ascii="Verdana" w:hAnsi="Verdana"/>
          <w:color w:val="000000"/>
          <w:sz w:val="20"/>
          <w:szCs w:val="20"/>
          <w:shd w:val="clear" w:color="auto" w:fill="FFFFFF"/>
        </w:rPr>
        <w:t xml:space="preserve"> exhumación</w:t>
      </w:r>
      <w:r w:rsidR="00324D48" w:rsidRPr="00CA32B3">
        <w:rPr>
          <w:rFonts w:ascii="Verdana" w:hAnsi="Verdana"/>
          <w:color w:val="000000"/>
          <w:sz w:val="20"/>
          <w:szCs w:val="20"/>
          <w:shd w:val="clear" w:color="auto" w:fill="FFFFFF"/>
        </w:rPr>
        <w:t xml:space="preserve"> de</w:t>
      </w:r>
      <w:r w:rsidR="00EE2902" w:rsidRPr="00CA32B3">
        <w:rPr>
          <w:rFonts w:ascii="Verdana" w:hAnsi="Verdana"/>
          <w:color w:val="000000"/>
          <w:sz w:val="20"/>
          <w:szCs w:val="20"/>
          <w:shd w:val="clear" w:color="auto" w:fill="FFFFFF"/>
        </w:rPr>
        <w:t xml:space="preserve"> restos</w:t>
      </w:r>
      <w:r w:rsidR="00324D48" w:rsidRPr="00CA32B3">
        <w:rPr>
          <w:rFonts w:ascii="Verdana" w:hAnsi="Verdana"/>
          <w:color w:val="000000"/>
          <w:sz w:val="20"/>
          <w:szCs w:val="20"/>
          <w:shd w:val="clear" w:color="auto" w:fill="FFFFFF"/>
        </w:rPr>
        <w:t xml:space="preserve"> en </w:t>
      </w:r>
      <w:r w:rsidR="00EE2902" w:rsidRPr="00CA32B3">
        <w:rPr>
          <w:rFonts w:ascii="Verdana" w:hAnsi="Verdana"/>
          <w:color w:val="000000"/>
          <w:sz w:val="20"/>
          <w:szCs w:val="20"/>
          <w:shd w:val="clear" w:color="auto" w:fill="FFFFFF"/>
        </w:rPr>
        <w:t>dichos sitios,</w:t>
      </w:r>
      <w:r w:rsidR="00324D48" w:rsidRPr="00CA32B3">
        <w:rPr>
          <w:rFonts w:ascii="Verdana" w:hAnsi="Verdana"/>
          <w:color w:val="000000"/>
          <w:sz w:val="20"/>
          <w:szCs w:val="20"/>
          <w:shd w:val="clear" w:color="auto" w:fill="FFFFFF"/>
        </w:rPr>
        <w:t xml:space="preserve"> y</w:t>
      </w:r>
      <w:r w:rsidR="00EE2902" w:rsidRPr="00CA32B3">
        <w:rPr>
          <w:rFonts w:ascii="Verdana" w:hAnsi="Verdana"/>
          <w:color w:val="000000"/>
          <w:sz w:val="20"/>
          <w:szCs w:val="20"/>
          <w:shd w:val="clear" w:color="auto" w:fill="FFFFFF"/>
        </w:rPr>
        <w:t xml:space="preserve"> se  asegure el uso de los diferentes medios </w:t>
      </w:r>
      <w:r w:rsidR="00324D48" w:rsidRPr="00CA32B3">
        <w:rPr>
          <w:rFonts w:ascii="Verdana" w:hAnsi="Verdana"/>
          <w:color w:val="000000"/>
          <w:sz w:val="20"/>
          <w:szCs w:val="20"/>
          <w:shd w:val="clear" w:color="auto" w:fill="FFFFFF"/>
        </w:rPr>
        <w:t xml:space="preserve">de </w:t>
      </w:r>
      <w:r w:rsidR="00EE2902" w:rsidRPr="00CA32B3">
        <w:rPr>
          <w:rFonts w:ascii="Verdana" w:hAnsi="Verdana"/>
          <w:color w:val="000000"/>
          <w:sz w:val="20"/>
          <w:szCs w:val="20"/>
          <w:shd w:val="clear" w:color="auto" w:fill="FFFFFF"/>
        </w:rPr>
        <w:t xml:space="preserve">identificación </w:t>
      </w:r>
      <w:r w:rsidR="00324D48" w:rsidRPr="00CA32B3">
        <w:rPr>
          <w:rFonts w:ascii="Verdana" w:hAnsi="Verdana"/>
          <w:color w:val="000000"/>
          <w:sz w:val="20"/>
          <w:szCs w:val="20"/>
          <w:shd w:val="clear" w:color="auto" w:fill="FFFFFF"/>
        </w:rPr>
        <w:t>forense</w:t>
      </w:r>
      <w:r w:rsidRPr="00CA32B3">
        <w:rPr>
          <w:rFonts w:ascii="Verdana" w:hAnsi="Verdana"/>
          <w:color w:val="000000"/>
          <w:sz w:val="20"/>
          <w:szCs w:val="20"/>
          <w:shd w:val="clear" w:color="auto" w:fill="FFFFFF"/>
        </w:rPr>
        <w:t>”</w:t>
      </w:r>
      <w:r w:rsidRPr="00CA32B3">
        <w:rPr>
          <w:rStyle w:val="Refdenotaalpie"/>
          <w:rFonts w:ascii="Verdana" w:hAnsi="Verdana"/>
          <w:color w:val="000000"/>
          <w:sz w:val="20"/>
          <w:szCs w:val="20"/>
          <w:shd w:val="clear" w:color="auto" w:fill="FFFFFF"/>
        </w:rPr>
        <w:footnoteReference w:id="54"/>
      </w:r>
      <w:r w:rsidRPr="00CA32B3">
        <w:rPr>
          <w:rFonts w:ascii="Verdana" w:hAnsi="Verdana"/>
          <w:color w:val="000000"/>
          <w:sz w:val="20"/>
          <w:szCs w:val="20"/>
          <w:shd w:val="clear" w:color="auto" w:fill="FFFFFF"/>
        </w:rPr>
        <w:t>. Al respecto</w:t>
      </w:r>
      <w:r w:rsidR="00B527E8" w:rsidRPr="00CA32B3">
        <w:rPr>
          <w:rFonts w:ascii="Verdana" w:hAnsi="Verdana"/>
          <w:sz w:val="20"/>
          <w:szCs w:val="18"/>
        </w:rPr>
        <w:t xml:space="preserve">, </w:t>
      </w:r>
      <w:r w:rsidRPr="00CA32B3">
        <w:rPr>
          <w:rFonts w:ascii="Verdana" w:hAnsi="Verdana"/>
          <w:sz w:val="20"/>
          <w:szCs w:val="18"/>
        </w:rPr>
        <w:t>re</w:t>
      </w:r>
      <w:r w:rsidR="003F6C52" w:rsidRPr="00CA32B3">
        <w:rPr>
          <w:rFonts w:ascii="Verdana" w:hAnsi="Verdana"/>
          <w:sz w:val="20"/>
          <w:szCs w:val="18"/>
        </w:rPr>
        <w:t>sulta importante destacar que, al</w:t>
      </w:r>
      <w:r w:rsidRPr="00CA32B3">
        <w:rPr>
          <w:rFonts w:ascii="Verdana" w:hAnsi="Verdana"/>
          <w:sz w:val="20"/>
          <w:szCs w:val="18"/>
        </w:rPr>
        <w:t xml:space="preserve"> año siguiente, </w:t>
      </w:r>
      <w:r w:rsidR="00B527E8" w:rsidRPr="00CA32B3">
        <w:rPr>
          <w:rFonts w:ascii="Verdana" w:hAnsi="Verdana"/>
          <w:sz w:val="20"/>
          <w:szCs w:val="18"/>
        </w:rPr>
        <w:t>el 22 de jun</w:t>
      </w:r>
      <w:r w:rsidRPr="00CA32B3">
        <w:rPr>
          <w:rFonts w:ascii="Verdana" w:hAnsi="Verdana"/>
          <w:sz w:val="20"/>
          <w:szCs w:val="18"/>
        </w:rPr>
        <w:t>io de 2016</w:t>
      </w:r>
      <w:r w:rsidR="00926FAB" w:rsidRPr="00CA32B3">
        <w:rPr>
          <w:rFonts w:ascii="Verdana" w:hAnsi="Verdana"/>
          <w:sz w:val="20"/>
          <w:szCs w:val="18"/>
        </w:rPr>
        <w:t>,</w:t>
      </w:r>
      <w:r w:rsidRPr="00CA32B3">
        <w:rPr>
          <w:rFonts w:ascii="Verdana" w:hAnsi="Verdana"/>
          <w:sz w:val="20"/>
          <w:szCs w:val="18"/>
        </w:rPr>
        <w:t xml:space="preserve"> el </w:t>
      </w:r>
      <w:r w:rsidR="003F6C52" w:rsidRPr="00CA32B3">
        <w:rPr>
          <w:rFonts w:ascii="Verdana" w:hAnsi="Verdana"/>
          <w:sz w:val="20"/>
          <w:szCs w:val="18"/>
        </w:rPr>
        <w:t xml:space="preserve">Perú </w:t>
      </w:r>
      <w:r w:rsidRPr="00CA32B3">
        <w:rPr>
          <w:rFonts w:ascii="Verdana" w:hAnsi="Verdana"/>
          <w:sz w:val="20"/>
          <w:szCs w:val="18"/>
        </w:rPr>
        <w:t>aprobó la “</w:t>
      </w:r>
      <w:r w:rsidR="00B527E8" w:rsidRPr="00CA32B3">
        <w:rPr>
          <w:rFonts w:ascii="Verdana" w:hAnsi="Verdana"/>
          <w:sz w:val="20"/>
          <w:szCs w:val="18"/>
        </w:rPr>
        <w:t>Ley de Búsqueda de Personas Desaparecidas durante el Período de Violencia 1980-2000</w:t>
      </w:r>
      <w:r w:rsidRPr="00CA32B3">
        <w:rPr>
          <w:rFonts w:ascii="Verdana" w:hAnsi="Verdana"/>
          <w:sz w:val="20"/>
          <w:szCs w:val="18"/>
        </w:rPr>
        <w:t>”</w:t>
      </w:r>
      <w:r w:rsidR="003F6C52" w:rsidRPr="00CA32B3">
        <w:rPr>
          <w:rStyle w:val="Refdenotaalpie"/>
          <w:rFonts w:ascii="Verdana" w:hAnsi="Verdana"/>
          <w:sz w:val="20"/>
          <w:szCs w:val="18"/>
        </w:rPr>
        <w:footnoteReference w:id="55"/>
      </w:r>
      <w:r w:rsidR="003F6C52" w:rsidRPr="00CA32B3">
        <w:rPr>
          <w:rFonts w:ascii="Verdana" w:hAnsi="Verdana"/>
          <w:sz w:val="20"/>
          <w:szCs w:val="18"/>
        </w:rPr>
        <w:t>, así como el “Plan Nacional de Búsqueda de Personas Desaparecidas</w:t>
      </w:r>
      <w:r w:rsidR="00D40CFD" w:rsidRPr="00CA32B3">
        <w:rPr>
          <w:rFonts w:ascii="Verdana" w:hAnsi="Verdana"/>
          <w:sz w:val="20"/>
          <w:szCs w:val="18"/>
        </w:rPr>
        <w:t xml:space="preserve"> (1980-2000)”, en cuya “Fundamentación” se hace referencia a Sentencias de la Corte Interamericana</w:t>
      </w:r>
      <w:r w:rsidR="00D3166D" w:rsidRPr="00CA32B3">
        <w:rPr>
          <w:rStyle w:val="Refdenotaalpie"/>
          <w:rFonts w:ascii="Verdana" w:hAnsi="Verdana"/>
          <w:sz w:val="20"/>
          <w:szCs w:val="18"/>
        </w:rPr>
        <w:footnoteReference w:id="56"/>
      </w:r>
      <w:r w:rsidR="00B527E8" w:rsidRPr="00CA32B3">
        <w:rPr>
          <w:rFonts w:ascii="Verdana" w:hAnsi="Verdana"/>
          <w:sz w:val="20"/>
          <w:szCs w:val="20"/>
        </w:rPr>
        <w:t xml:space="preserve">. </w:t>
      </w:r>
      <w:r w:rsidR="00D3166D" w:rsidRPr="00CA32B3">
        <w:rPr>
          <w:rFonts w:ascii="Verdana" w:hAnsi="Verdana"/>
          <w:sz w:val="20"/>
          <w:szCs w:val="20"/>
        </w:rPr>
        <w:t>Asi</w:t>
      </w:r>
      <w:r w:rsidR="00B527E8" w:rsidRPr="00CA32B3">
        <w:rPr>
          <w:rFonts w:ascii="Verdana" w:hAnsi="Verdana"/>
          <w:bCs/>
          <w:sz w:val="20"/>
          <w:szCs w:val="20"/>
          <w:lang w:val="es-ES"/>
        </w:rPr>
        <w:t>mismo, resalta la creación de la Dirección General de Búsqueda de Personas Desaparecidas (en adelante “DGBPD”</w:t>
      </w:r>
      <w:r w:rsidRPr="00CA32B3">
        <w:rPr>
          <w:rFonts w:ascii="Verdana" w:hAnsi="Verdana"/>
          <w:bCs/>
          <w:sz w:val="20"/>
          <w:szCs w:val="20"/>
          <w:lang w:val="es-ES"/>
        </w:rPr>
        <w:t>), entidad gubernamental adscri</w:t>
      </w:r>
      <w:r w:rsidR="00B527E8" w:rsidRPr="00CA32B3">
        <w:rPr>
          <w:rFonts w:ascii="Verdana" w:hAnsi="Verdana"/>
          <w:bCs/>
          <w:sz w:val="20"/>
          <w:szCs w:val="20"/>
          <w:lang w:val="es-ES"/>
        </w:rPr>
        <w:t xml:space="preserve">ta al Ministerio de Justicia y Derechos Humanos, que “tiene como propósito colaborar en el proceso de búsqueda brindando el acompañamiento psicosocial y apoyo material y logístico a los familiares de las víctimas” “desde un enfoque humanitario” </w:t>
      </w:r>
      <w:r w:rsidRPr="00CA32B3">
        <w:rPr>
          <w:rFonts w:ascii="Verdana" w:hAnsi="Verdana"/>
          <w:bCs/>
          <w:sz w:val="20"/>
          <w:szCs w:val="20"/>
          <w:lang w:val="es-ES"/>
        </w:rPr>
        <w:t xml:space="preserve">y </w:t>
      </w:r>
      <w:r w:rsidR="00B527E8" w:rsidRPr="00CA32B3">
        <w:rPr>
          <w:rFonts w:ascii="Verdana" w:hAnsi="Verdana"/>
          <w:bCs/>
          <w:sz w:val="20"/>
          <w:szCs w:val="20"/>
          <w:lang w:val="es-ES"/>
        </w:rPr>
        <w:t>es responsable de administrar el Registro Nacional de Personas Desaparecidas y Sitios de Entierro, actualmente “en fase de implementación”, y el Banco de Dato</w:t>
      </w:r>
      <w:r w:rsidR="003F6C52" w:rsidRPr="00CA32B3">
        <w:rPr>
          <w:rFonts w:ascii="Verdana" w:hAnsi="Verdana"/>
          <w:bCs/>
          <w:sz w:val="20"/>
          <w:szCs w:val="20"/>
          <w:lang w:val="es-ES"/>
        </w:rPr>
        <w:t>s Genético</w:t>
      </w:r>
      <w:r w:rsidR="00B527E8" w:rsidRPr="00CA32B3">
        <w:rPr>
          <w:rStyle w:val="Refdenotaalpie"/>
          <w:rFonts w:ascii="Verdana" w:hAnsi="Verdana"/>
          <w:bCs/>
          <w:sz w:val="20"/>
          <w:szCs w:val="20"/>
          <w:lang w:val="es-ES"/>
        </w:rPr>
        <w:footnoteReference w:id="57"/>
      </w:r>
      <w:r w:rsidR="00B527E8" w:rsidRPr="00CA32B3">
        <w:rPr>
          <w:rFonts w:ascii="Verdana" w:hAnsi="Verdana"/>
          <w:bCs/>
          <w:sz w:val="20"/>
          <w:szCs w:val="20"/>
          <w:lang w:val="es-ES"/>
        </w:rPr>
        <w:t xml:space="preserve">. </w:t>
      </w:r>
      <w:r w:rsidR="007F71DD" w:rsidRPr="00CA32B3">
        <w:rPr>
          <w:rFonts w:ascii="Verdana" w:hAnsi="Verdana"/>
          <w:sz w:val="20"/>
          <w:szCs w:val="20"/>
          <w:lang w:val="es-CR"/>
        </w:rPr>
        <w:t>Como lo ha hecho anteriormente, este Tribunal destaca muy positivamente como medida estructural implementada por el Estado “el extenso desarrollo normativo que ha permitido la creación de un marco institucional para la búsqueda de personas desaparecidas en el Perú, en tanto considera que el mismo tiene un fuerte potencial para contribuir a una mejora sustancial y un aceleramiento en el proceso de búsqueda de personas desaparecidas por parte de un órgano estatal especializado para tal efecto”</w:t>
      </w:r>
      <w:r w:rsidR="007F71DD" w:rsidRPr="00CA32B3">
        <w:rPr>
          <w:rStyle w:val="Refdenotaalpie"/>
          <w:rFonts w:ascii="Verdana" w:hAnsi="Verdana"/>
          <w:sz w:val="20"/>
          <w:szCs w:val="20"/>
          <w:lang w:val="es-CR"/>
        </w:rPr>
        <w:footnoteReference w:id="58"/>
      </w:r>
      <w:r w:rsidR="007F71DD" w:rsidRPr="00CA32B3">
        <w:rPr>
          <w:rFonts w:ascii="Verdana" w:hAnsi="Verdana"/>
          <w:sz w:val="20"/>
          <w:szCs w:val="20"/>
          <w:lang w:val="es-CR"/>
        </w:rPr>
        <w:t xml:space="preserve">. </w:t>
      </w:r>
      <w:r w:rsidR="00926FAB" w:rsidRPr="00CA32B3">
        <w:rPr>
          <w:rFonts w:ascii="Verdana" w:hAnsi="Verdana"/>
          <w:sz w:val="20"/>
          <w:szCs w:val="20"/>
        </w:rPr>
        <w:t xml:space="preserve">Adicionalmente, en lo que respecta al presente caso, es preciso valorar como positivo que </w:t>
      </w:r>
      <w:r w:rsidR="00926FAB" w:rsidRPr="00CA32B3">
        <w:rPr>
          <w:rFonts w:ascii="Verdana" w:hAnsi="Verdana"/>
          <w:sz w:val="20"/>
          <w:szCs w:val="24"/>
        </w:rPr>
        <w:t xml:space="preserve">la </w:t>
      </w:r>
      <w:r w:rsidR="00926FAB" w:rsidRPr="00CA32B3">
        <w:rPr>
          <w:rFonts w:ascii="Verdana" w:hAnsi="Verdana"/>
          <w:sz w:val="20"/>
          <w:szCs w:val="20"/>
        </w:rPr>
        <w:t>Dirección General de Búsqueda de Desaparecidos ha realizado “el acompañamiento psicosocial a seis familiares”</w:t>
      </w:r>
      <w:r w:rsidR="007F71DD" w:rsidRPr="00CA32B3">
        <w:rPr>
          <w:rStyle w:val="Refdenotaalpie"/>
          <w:rFonts w:ascii="Verdana" w:hAnsi="Verdana"/>
          <w:sz w:val="20"/>
          <w:szCs w:val="20"/>
          <w:lang w:val="es-CR"/>
        </w:rPr>
        <w:footnoteReference w:id="59"/>
      </w:r>
      <w:r w:rsidR="007F71DD" w:rsidRPr="00CA32B3">
        <w:rPr>
          <w:rFonts w:ascii="Verdana" w:hAnsi="Verdana"/>
          <w:sz w:val="20"/>
          <w:szCs w:val="20"/>
          <w:lang w:val="es-CR"/>
        </w:rPr>
        <w:t xml:space="preserve"> </w:t>
      </w:r>
      <w:r w:rsidR="00C65E25" w:rsidRPr="00CA32B3">
        <w:rPr>
          <w:rFonts w:ascii="Verdana" w:hAnsi="Verdana"/>
          <w:sz w:val="20"/>
          <w:szCs w:val="20"/>
        </w:rPr>
        <w:t>y</w:t>
      </w:r>
      <w:r w:rsidR="00926FAB" w:rsidRPr="00CA32B3">
        <w:rPr>
          <w:rFonts w:ascii="Verdana" w:hAnsi="Verdana"/>
          <w:sz w:val="20"/>
          <w:szCs w:val="20"/>
        </w:rPr>
        <w:t xml:space="preserve"> en el 2019 </w:t>
      </w:r>
      <w:r w:rsidR="00C65E25" w:rsidRPr="00CA32B3">
        <w:rPr>
          <w:rFonts w:ascii="Verdana" w:hAnsi="Verdana"/>
          <w:sz w:val="20"/>
          <w:szCs w:val="20"/>
        </w:rPr>
        <w:t xml:space="preserve">participó en </w:t>
      </w:r>
      <w:r w:rsidR="00926FAB" w:rsidRPr="00CA32B3">
        <w:rPr>
          <w:rFonts w:ascii="Verdana" w:hAnsi="Verdana"/>
          <w:sz w:val="20"/>
          <w:szCs w:val="20"/>
        </w:rPr>
        <w:t>una diligencia de inspección (</w:t>
      </w:r>
      <w:r w:rsidR="00926FAB" w:rsidRPr="00CA32B3">
        <w:rPr>
          <w:rFonts w:ascii="Verdana" w:hAnsi="Verdana"/>
          <w:i/>
          <w:sz w:val="20"/>
          <w:szCs w:val="20"/>
        </w:rPr>
        <w:t>supra</w:t>
      </w:r>
      <w:r w:rsidR="00926FAB" w:rsidRPr="00CA32B3">
        <w:rPr>
          <w:rFonts w:ascii="Verdana" w:hAnsi="Verdana"/>
          <w:sz w:val="20"/>
          <w:szCs w:val="20"/>
        </w:rPr>
        <w:t xml:space="preserve"> Considerando 28.b.ii). </w:t>
      </w:r>
    </w:p>
    <w:p w14:paraId="5C6D7B6A" w14:textId="77777777" w:rsidR="00D3166D" w:rsidRPr="00CA32B3" w:rsidRDefault="00D3166D" w:rsidP="00690FE6">
      <w:pPr>
        <w:suppressLineNumbers/>
        <w:autoSpaceDE w:val="0"/>
        <w:autoSpaceDN w:val="0"/>
        <w:adjustRightInd w:val="0"/>
        <w:spacing w:after="0" w:line="240" w:lineRule="auto"/>
        <w:jc w:val="both"/>
        <w:rPr>
          <w:rFonts w:ascii="Verdana" w:hAnsi="Verdana"/>
          <w:sz w:val="20"/>
          <w:szCs w:val="18"/>
        </w:rPr>
      </w:pPr>
    </w:p>
    <w:p w14:paraId="77D8171D" w14:textId="5ED409B3" w:rsidR="0006517B" w:rsidRPr="00CA32B3" w:rsidRDefault="008408C1" w:rsidP="00690FE6">
      <w:pPr>
        <w:pStyle w:val="Prrafodelista"/>
        <w:numPr>
          <w:ilvl w:val="0"/>
          <w:numId w:val="3"/>
        </w:numPr>
        <w:suppressLineNumbers/>
        <w:kinsoku w:val="0"/>
        <w:overflowPunct w:val="0"/>
        <w:autoSpaceDE w:val="0"/>
        <w:autoSpaceDN w:val="0"/>
        <w:adjustRightInd w:val="0"/>
        <w:spacing w:after="0" w:line="240" w:lineRule="auto"/>
        <w:ind w:left="0" w:firstLine="0"/>
        <w:jc w:val="both"/>
        <w:rPr>
          <w:rFonts w:ascii="Verdana" w:hAnsi="Verdana"/>
          <w:sz w:val="20"/>
          <w:szCs w:val="18"/>
        </w:rPr>
      </w:pPr>
      <w:r w:rsidRPr="00CA32B3">
        <w:rPr>
          <w:rFonts w:ascii="Verdana" w:hAnsi="Verdana"/>
          <w:sz w:val="20"/>
          <w:szCs w:val="20"/>
        </w:rPr>
        <w:t>En conclusión, l</w:t>
      </w:r>
      <w:r w:rsidR="00D97B45" w:rsidRPr="00CA32B3">
        <w:rPr>
          <w:rFonts w:ascii="Verdana" w:hAnsi="Verdana"/>
          <w:sz w:val="20"/>
          <w:szCs w:val="20"/>
        </w:rPr>
        <w:t>a Corte valora como positivo que, con posterioridad a la Sentencia, entre los años 2016 y 2020 (</w:t>
      </w:r>
      <w:r w:rsidR="00D97B45" w:rsidRPr="00CA32B3">
        <w:rPr>
          <w:rFonts w:ascii="Verdana" w:hAnsi="Verdana"/>
          <w:i/>
          <w:sz w:val="20"/>
          <w:szCs w:val="20"/>
        </w:rPr>
        <w:t>supra</w:t>
      </w:r>
      <w:r w:rsidR="00D97B45" w:rsidRPr="00CA32B3">
        <w:rPr>
          <w:rFonts w:ascii="Verdana" w:hAnsi="Verdana"/>
          <w:sz w:val="20"/>
          <w:szCs w:val="20"/>
        </w:rPr>
        <w:t xml:space="preserve"> Considerandos </w:t>
      </w:r>
      <w:r w:rsidR="003D031E" w:rsidRPr="00CA32B3">
        <w:rPr>
          <w:rFonts w:ascii="Verdana" w:hAnsi="Verdana"/>
          <w:sz w:val="20"/>
          <w:szCs w:val="20"/>
        </w:rPr>
        <w:t>28 y 33),</w:t>
      </w:r>
      <w:r w:rsidR="00D97B45" w:rsidRPr="00CA32B3">
        <w:rPr>
          <w:rFonts w:ascii="Verdana" w:hAnsi="Verdana"/>
          <w:sz w:val="20"/>
          <w:szCs w:val="20"/>
        </w:rPr>
        <w:t xml:space="preserve"> el Perú realizó diligencias específicas con el fin de dar cumplimiento a la medida en este caso, tanto en el marco de la </w:t>
      </w:r>
      <w:r w:rsidR="00D97B45" w:rsidRPr="00CA32B3">
        <w:rPr>
          <w:rFonts w:ascii="Verdana" w:hAnsi="Verdana"/>
          <w:sz w:val="20"/>
          <w:szCs w:val="20"/>
        </w:rPr>
        <w:lastRenderedPageBreak/>
        <w:t>investigación penal (efectuada por el Ministerio Público y con la actuación</w:t>
      </w:r>
      <w:r w:rsidR="00DE1FED" w:rsidRPr="00CA32B3">
        <w:rPr>
          <w:rFonts w:ascii="Verdana" w:hAnsi="Verdana"/>
          <w:sz w:val="20"/>
          <w:szCs w:val="20"/>
        </w:rPr>
        <w:t xml:space="preserve"> de profesionales </w:t>
      </w:r>
      <w:r w:rsidR="00D97B45" w:rsidRPr="00CA32B3">
        <w:rPr>
          <w:rFonts w:ascii="Verdana" w:hAnsi="Verdana"/>
          <w:sz w:val="20"/>
          <w:szCs w:val="20"/>
        </w:rPr>
        <w:t xml:space="preserve">del Equipo Forense Especializado del Instituto de Medicina Legal y Ciencias Forenses de dicho ministerio) como también a través de la intervención </w:t>
      </w:r>
      <w:r w:rsidR="0006517B" w:rsidRPr="00CA32B3">
        <w:rPr>
          <w:rFonts w:ascii="Verdana" w:hAnsi="Verdana"/>
          <w:sz w:val="20"/>
          <w:szCs w:val="20"/>
        </w:rPr>
        <w:t xml:space="preserve">y acompañamiento psicosocial </w:t>
      </w:r>
      <w:r w:rsidR="00D97B45" w:rsidRPr="00CA32B3">
        <w:rPr>
          <w:rFonts w:ascii="Verdana" w:hAnsi="Verdana"/>
          <w:sz w:val="20"/>
          <w:szCs w:val="20"/>
        </w:rPr>
        <w:t>de la Dirección General de Búsqueda de Personas Desaparecidas adscrita al Ministerio de Justicia y Derechos Humanos.</w:t>
      </w:r>
      <w:r w:rsidR="0006517B" w:rsidRPr="00CA32B3">
        <w:rPr>
          <w:rFonts w:ascii="Verdana" w:hAnsi="Verdana"/>
          <w:sz w:val="20"/>
          <w:szCs w:val="20"/>
        </w:rPr>
        <w:t xml:space="preserve"> </w:t>
      </w:r>
      <w:r w:rsidR="0006517B" w:rsidRPr="00CA32B3">
        <w:rPr>
          <w:rFonts w:ascii="Verdana" w:hAnsi="Verdana"/>
          <w:sz w:val="20"/>
          <w:szCs w:val="18"/>
        </w:rPr>
        <w:t xml:space="preserve">Dichas acciones reflejan un importante avance y voluntad de dar cumplimiento a la presente medida de reparación. En particular, </w:t>
      </w:r>
      <w:r w:rsidR="003D031E" w:rsidRPr="00CA32B3">
        <w:rPr>
          <w:rFonts w:ascii="Verdana" w:hAnsi="Verdana"/>
          <w:sz w:val="20"/>
          <w:szCs w:val="18"/>
        </w:rPr>
        <w:t>se destaca</w:t>
      </w:r>
      <w:r w:rsidR="0006517B" w:rsidRPr="00CA32B3">
        <w:rPr>
          <w:rFonts w:ascii="Verdana" w:hAnsi="Verdana"/>
          <w:sz w:val="20"/>
          <w:szCs w:val="18"/>
        </w:rPr>
        <w:t xml:space="preserve"> la recuperación de restos óseos y otros objetos en la Mina </w:t>
      </w:r>
      <w:r w:rsidR="00203265" w:rsidRPr="00CA32B3">
        <w:rPr>
          <w:rFonts w:ascii="Verdana" w:hAnsi="Verdana"/>
          <w:sz w:val="20"/>
          <w:szCs w:val="18"/>
        </w:rPr>
        <w:t>‘</w:t>
      </w:r>
      <w:r w:rsidR="0006517B" w:rsidRPr="00CA32B3">
        <w:rPr>
          <w:rFonts w:ascii="Verdana" w:hAnsi="Verdana"/>
          <w:sz w:val="20"/>
        </w:rPr>
        <w:t>Misteriosa</w:t>
      </w:r>
      <w:r w:rsidR="00203265" w:rsidRPr="00CA32B3">
        <w:rPr>
          <w:rFonts w:ascii="Verdana" w:hAnsi="Verdana"/>
          <w:sz w:val="20"/>
        </w:rPr>
        <w:t>’</w:t>
      </w:r>
      <w:r w:rsidR="0006517B" w:rsidRPr="00CA32B3">
        <w:rPr>
          <w:rFonts w:ascii="Verdana" w:hAnsi="Verdana"/>
          <w:sz w:val="20"/>
        </w:rPr>
        <w:t xml:space="preserve"> o </w:t>
      </w:r>
      <w:r w:rsidR="00203265" w:rsidRPr="00CA32B3">
        <w:rPr>
          <w:rFonts w:ascii="Verdana" w:hAnsi="Verdana"/>
          <w:sz w:val="20"/>
        </w:rPr>
        <w:t>‘</w:t>
      </w:r>
      <w:r w:rsidR="0006517B" w:rsidRPr="00CA32B3">
        <w:rPr>
          <w:rFonts w:ascii="Verdana" w:hAnsi="Verdana"/>
          <w:sz w:val="20"/>
        </w:rPr>
        <w:t>Vallarón</w:t>
      </w:r>
      <w:r w:rsidR="00203265" w:rsidRPr="00CA32B3">
        <w:rPr>
          <w:rFonts w:ascii="Verdana" w:hAnsi="Verdana"/>
          <w:sz w:val="20"/>
        </w:rPr>
        <w:t>’</w:t>
      </w:r>
      <w:r w:rsidR="0006517B" w:rsidRPr="00CA32B3">
        <w:rPr>
          <w:rFonts w:ascii="Verdana" w:hAnsi="Verdana"/>
          <w:sz w:val="20"/>
          <w:szCs w:val="18"/>
        </w:rPr>
        <w:t xml:space="preserve">, el análisis efectuado por profesionales del Equipo Forense Especializado de los restos óseos y prendas recuperados antes y después de la Sentencia, la identificación de la víctima Magdalena Hilario Quispe, y el efecto simbólico y reparador de la ceremonia en la cual se entregaron una parte de los restos óseos y prendas a los familiares de las víctimas. En consecuencia, la Corte considera que el Estado ha dado cumplimiento parcial a la medida ordenada en el punto resolutivo décimo primero de la Sentencia y, por las razones indicadas en los Considerandos 30 a 32 de la presente Resolución, debe </w:t>
      </w:r>
      <w:r w:rsidR="0006517B" w:rsidRPr="00CA32B3">
        <w:rPr>
          <w:rFonts w:ascii="Verdana" w:hAnsi="Verdana"/>
          <w:sz w:val="20"/>
        </w:rPr>
        <w:t xml:space="preserve">continuar implementando esta medida y aportar al Tribunal información detallada y actualizada sobre su ejecución y </w:t>
      </w:r>
      <w:r w:rsidR="003D031E" w:rsidRPr="00CA32B3">
        <w:rPr>
          <w:rFonts w:ascii="Verdana" w:hAnsi="Verdana"/>
          <w:sz w:val="20"/>
        </w:rPr>
        <w:t xml:space="preserve">sobre </w:t>
      </w:r>
      <w:r w:rsidR="0006517B" w:rsidRPr="00CA32B3">
        <w:rPr>
          <w:rFonts w:ascii="Verdana" w:hAnsi="Verdana"/>
          <w:sz w:val="20"/>
        </w:rPr>
        <w:t xml:space="preserve">los aspectos solicitados en dichos párrafos. </w:t>
      </w:r>
    </w:p>
    <w:p w14:paraId="4E07F23D" w14:textId="1B070450" w:rsidR="00C449AB" w:rsidRPr="00CA32B3" w:rsidRDefault="00C449AB" w:rsidP="00690FE6">
      <w:pPr>
        <w:suppressLineNumbers/>
        <w:autoSpaceDE w:val="0"/>
        <w:autoSpaceDN w:val="0"/>
        <w:adjustRightInd w:val="0"/>
        <w:spacing w:after="0" w:line="240" w:lineRule="auto"/>
        <w:jc w:val="both"/>
        <w:rPr>
          <w:rFonts w:ascii="Verdana" w:hAnsi="Verdana"/>
          <w:sz w:val="20"/>
          <w:szCs w:val="20"/>
        </w:rPr>
      </w:pPr>
    </w:p>
    <w:p w14:paraId="21E4FDCE" w14:textId="77777777" w:rsidR="00C449AB" w:rsidRPr="00CA32B3" w:rsidRDefault="00861763" w:rsidP="00690FE6">
      <w:pPr>
        <w:pStyle w:val="Ttulo1"/>
        <w:suppressLineNumbers/>
        <w:spacing w:before="0" w:after="0" w:line="240" w:lineRule="auto"/>
        <w:rPr>
          <w:rFonts w:ascii="Verdana" w:eastAsia="Calibri" w:hAnsi="Verdana" w:cs="Verdana"/>
          <w:i/>
          <w:sz w:val="20"/>
          <w:szCs w:val="20"/>
        </w:rPr>
      </w:pPr>
      <w:bookmarkStart w:id="3" w:name="_Toc28972"/>
      <w:r w:rsidRPr="00CA32B3">
        <w:rPr>
          <w:rFonts w:ascii="Verdana" w:eastAsia="Calibri" w:hAnsi="Verdana" w:cs="Verdana"/>
          <w:sz w:val="20"/>
          <w:szCs w:val="20"/>
        </w:rPr>
        <w:t xml:space="preserve">C) </w:t>
      </w:r>
      <w:r w:rsidRPr="00CA32B3">
        <w:rPr>
          <w:rFonts w:ascii="Verdana" w:eastAsia="Calibri" w:hAnsi="Verdana" w:cs="Verdana"/>
          <w:sz w:val="20"/>
          <w:szCs w:val="20"/>
        </w:rPr>
        <w:tab/>
      </w:r>
      <w:r w:rsidRPr="00CA32B3">
        <w:rPr>
          <w:rFonts w:ascii="Verdana" w:eastAsia="Calibri" w:hAnsi="Verdana" w:cs="Verdana"/>
          <w:i/>
          <w:sz w:val="20"/>
          <w:szCs w:val="20"/>
        </w:rPr>
        <w:t>Asistencia para ganadería y construcción de viviendas</w:t>
      </w:r>
      <w:bookmarkEnd w:id="3"/>
    </w:p>
    <w:p w14:paraId="68E99409" w14:textId="77777777" w:rsidR="00C449AB" w:rsidRPr="00CA32B3" w:rsidRDefault="00C449AB" w:rsidP="00690FE6">
      <w:pPr>
        <w:suppressLineNumbers/>
        <w:spacing w:after="0" w:line="240" w:lineRule="auto"/>
        <w:jc w:val="both"/>
        <w:rPr>
          <w:sz w:val="20"/>
          <w:szCs w:val="20"/>
        </w:rPr>
      </w:pPr>
    </w:p>
    <w:p w14:paraId="4CA4EE9B" w14:textId="3F7C5A3F" w:rsidR="00C449AB" w:rsidRPr="00CA32B3" w:rsidRDefault="00861763" w:rsidP="00690FE6">
      <w:pPr>
        <w:suppressLineNumbers/>
        <w:tabs>
          <w:tab w:val="left" w:pos="680"/>
        </w:tabs>
        <w:spacing w:after="0"/>
        <w:jc w:val="both"/>
        <w:rPr>
          <w:rFonts w:ascii="Verdana" w:hAnsi="Verdana"/>
          <w:i/>
          <w:sz w:val="20"/>
          <w:szCs w:val="20"/>
        </w:rPr>
      </w:pPr>
      <w:r w:rsidRPr="00CA32B3">
        <w:rPr>
          <w:rFonts w:ascii="Verdana" w:hAnsi="Verdana"/>
          <w:i/>
          <w:sz w:val="20"/>
          <w:szCs w:val="20"/>
        </w:rPr>
        <w:tab/>
        <w:t>C.1. Medidas ordenadas por la Corte</w:t>
      </w:r>
    </w:p>
    <w:p w14:paraId="209F0293" w14:textId="77777777" w:rsidR="003D031E" w:rsidRPr="00CA32B3" w:rsidRDefault="003D031E" w:rsidP="00690FE6">
      <w:pPr>
        <w:suppressLineNumbers/>
        <w:tabs>
          <w:tab w:val="left" w:pos="680"/>
        </w:tabs>
        <w:spacing w:after="0"/>
        <w:jc w:val="both"/>
        <w:rPr>
          <w:rFonts w:ascii="Verdana" w:hAnsi="Verdana"/>
          <w:i/>
          <w:sz w:val="20"/>
          <w:szCs w:val="20"/>
        </w:rPr>
      </w:pPr>
    </w:p>
    <w:p w14:paraId="337301AB" w14:textId="083063EE" w:rsidR="003D031E" w:rsidRPr="00CA32B3" w:rsidRDefault="003D031E" w:rsidP="00690FE6">
      <w:pPr>
        <w:pStyle w:val="Default"/>
        <w:numPr>
          <w:ilvl w:val="0"/>
          <w:numId w:val="3"/>
        </w:numPr>
        <w:suppressLineNumbers/>
        <w:spacing w:after="0" w:line="240" w:lineRule="auto"/>
        <w:ind w:left="0" w:firstLine="0"/>
        <w:jc w:val="both"/>
        <w:rPr>
          <w:i/>
          <w:sz w:val="20"/>
          <w:szCs w:val="20"/>
          <w:lang w:val="es-CR"/>
        </w:rPr>
      </w:pPr>
      <w:r w:rsidRPr="00CA32B3">
        <w:rPr>
          <w:sz w:val="20"/>
          <w:szCs w:val="20"/>
          <w:lang w:val="es-CR"/>
        </w:rPr>
        <w:t>En el punto resolutivo décimo segundo y en los párrafos 302 a 304 de la Sentencia, se dispuso que el Estado debía “</w:t>
      </w:r>
      <w:r w:rsidRPr="00CA32B3">
        <w:rPr>
          <w:rFonts w:cs="Times New Roman"/>
          <w:color w:val="auto"/>
          <w:sz w:val="20"/>
          <w:szCs w:val="20"/>
          <w:lang w:val="es-CR" w:eastAsia="es-CR"/>
        </w:rPr>
        <w:t>entregar a los señores Zenón Cirilo Osnayo Tunque y Marcelo Hilario Quispe, en el plazo de un año, contado a partir de [su] notificación […], la cantidad de diez alpacas a cada uno, o su valor equivalente en el mercado”. Además, se estableció que en el mismo plazo el Estado debía, “a través de sus programas habitacionales existentes, proveer a cada uno de una vivienda adecuada</w:t>
      </w:r>
      <w:r w:rsidR="008408C1" w:rsidRPr="00CA32B3">
        <w:rPr>
          <w:rFonts w:cs="Times New Roman"/>
          <w:color w:val="auto"/>
          <w:sz w:val="20"/>
          <w:szCs w:val="20"/>
          <w:lang w:val="es-CR" w:eastAsia="es-CR"/>
        </w:rPr>
        <w:t>”</w:t>
      </w:r>
      <w:r w:rsidRPr="00CA32B3">
        <w:rPr>
          <w:rFonts w:cs="Times New Roman"/>
          <w:color w:val="auto"/>
          <w:sz w:val="20"/>
          <w:szCs w:val="20"/>
          <w:lang w:val="es-CR" w:eastAsia="es-CR"/>
        </w:rPr>
        <w:t xml:space="preserve">. </w:t>
      </w:r>
      <w:r w:rsidR="008408C1" w:rsidRPr="00CA32B3">
        <w:rPr>
          <w:rFonts w:cs="Times New Roman"/>
          <w:color w:val="auto"/>
          <w:sz w:val="20"/>
          <w:szCs w:val="20"/>
          <w:lang w:val="es-CR" w:eastAsia="es-CR"/>
        </w:rPr>
        <w:t>Asimismo, se dispuso que “[s]</w:t>
      </w:r>
      <w:r w:rsidRPr="00CA32B3">
        <w:rPr>
          <w:rFonts w:cs="Times New Roman"/>
          <w:color w:val="auto"/>
          <w:sz w:val="20"/>
          <w:szCs w:val="20"/>
          <w:lang w:val="es-CR" w:eastAsia="es-CR"/>
        </w:rPr>
        <w:t>i concluido este plazo […] no h[ubier]a entregado las viviendas referidas, el Perú deberá proporcionar</w:t>
      </w:r>
      <w:r w:rsidR="00822120" w:rsidRPr="00CA32B3">
        <w:rPr>
          <w:rFonts w:cs="Times New Roman"/>
          <w:color w:val="auto"/>
          <w:sz w:val="20"/>
          <w:szCs w:val="20"/>
          <w:lang w:val="es-CR" w:eastAsia="es-CR"/>
        </w:rPr>
        <w:t>” el monto indicado en el párrafo de la Sentencia “</w:t>
      </w:r>
      <w:r w:rsidRPr="00CA32B3">
        <w:rPr>
          <w:rFonts w:cs="Times New Roman"/>
          <w:color w:val="auto"/>
          <w:sz w:val="20"/>
          <w:szCs w:val="20"/>
          <w:lang w:val="es-CR" w:eastAsia="es-CR"/>
        </w:rPr>
        <w:t>a cada uno de ellos”</w:t>
      </w:r>
      <w:r w:rsidR="00690FE6" w:rsidRPr="00CA32B3">
        <w:rPr>
          <w:rStyle w:val="Refdenotaalpie"/>
          <w:rFonts w:cs="Times New Roman"/>
          <w:color w:val="auto"/>
          <w:sz w:val="20"/>
          <w:szCs w:val="20"/>
          <w:lang w:val="es-CR" w:eastAsia="es-CR"/>
        </w:rPr>
        <w:footnoteReference w:id="60"/>
      </w:r>
      <w:r w:rsidRPr="00CA32B3">
        <w:rPr>
          <w:rFonts w:cs="Times New Roman"/>
          <w:color w:val="auto"/>
          <w:sz w:val="20"/>
          <w:szCs w:val="20"/>
          <w:lang w:val="es-CR" w:eastAsia="es-CR"/>
        </w:rPr>
        <w:t xml:space="preserve">. Asimismo, se precisó que “[e]sta medida de reparación deb[ía] ser implementada con la participación de las víctimas y de común acuerdo con estas”. </w:t>
      </w:r>
    </w:p>
    <w:p w14:paraId="5518B33C" w14:textId="058D7B5A" w:rsidR="00D410F6" w:rsidRPr="00CA32B3" w:rsidRDefault="00D410F6" w:rsidP="00690FE6">
      <w:pPr>
        <w:pStyle w:val="Default"/>
        <w:suppressLineNumbers/>
        <w:spacing w:after="0" w:line="240" w:lineRule="auto"/>
        <w:jc w:val="both"/>
        <w:rPr>
          <w:rFonts w:cs="Times New Roman"/>
          <w:i/>
          <w:color w:val="auto"/>
          <w:sz w:val="20"/>
          <w:szCs w:val="20"/>
          <w:lang w:val="es-CR" w:eastAsia="es-CR"/>
        </w:rPr>
      </w:pPr>
    </w:p>
    <w:p w14:paraId="1FC1CD57" w14:textId="4825ACC2" w:rsidR="00D410F6" w:rsidRPr="00CA32B3" w:rsidRDefault="00D410F6" w:rsidP="00690FE6">
      <w:pPr>
        <w:pStyle w:val="Default"/>
        <w:suppressLineNumbers/>
        <w:spacing w:after="0" w:line="240" w:lineRule="auto"/>
        <w:ind w:firstLine="708"/>
        <w:jc w:val="both"/>
        <w:rPr>
          <w:i/>
          <w:sz w:val="20"/>
          <w:szCs w:val="20"/>
        </w:rPr>
      </w:pPr>
      <w:r w:rsidRPr="00CA32B3">
        <w:rPr>
          <w:rFonts w:cs="Times New Roman"/>
          <w:i/>
          <w:color w:val="auto"/>
          <w:sz w:val="20"/>
          <w:szCs w:val="20"/>
          <w:lang w:val="es-CR" w:eastAsia="es-CR"/>
        </w:rPr>
        <w:t xml:space="preserve">C.2. </w:t>
      </w:r>
      <w:r w:rsidRPr="00CA32B3">
        <w:rPr>
          <w:rFonts w:cs="Times New Roman"/>
          <w:i/>
          <w:color w:val="auto"/>
          <w:sz w:val="20"/>
          <w:szCs w:val="20"/>
          <w:lang w:val="es-CR" w:eastAsia="es-CR"/>
        </w:rPr>
        <w:tab/>
        <w:t xml:space="preserve">Información y observaciones de las partes </w:t>
      </w:r>
    </w:p>
    <w:p w14:paraId="54E4CAC7" w14:textId="4335CA0A" w:rsidR="00C449AB" w:rsidRPr="00CA32B3" w:rsidRDefault="00C449AB" w:rsidP="00690FE6">
      <w:pPr>
        <w:suppressLineNumbers/>
        <w:spacing w:after="0"/>
      </w:pPr>
    </w:p>
    <w:p w14:paraId="57A8AD4A" w14:textId="7045455D" w:rsidR="003D031E" w:rsidRPr="00CA32B3" w:rsidRDefault="003D031E" w:rsidP="00690FE6">
      <w:pPr>
        <w:widowControl w:val="0"/>
        <w:numPr>
          <w:ilvl w:val="0"/>
          <w:numId w:val="3"/>
        </w:numPr>
        <w:suppressLineNumbers/>
        <w:spacing w:after="0" w:line="240" w:lineRule="auto"/>
        <w:ind w:left="0" w:firstLine="0"/>
        <w:jc w:val="both"/>
        <w:rPr>
          <w:rFonts w:ascii="Verdana" w:hAnsi="Verdana"/>
          <w:sz w:val="20"/>
          <w:szCs w:val="20"/>
        </w:rPr>
      </w:pPr>
      <w:r w:rsidRPr="00CA32B3">
        <w:rPr>
          <w:rFonts w:ascii="Verdana" w:hAnsi="Verdana"/>
          <w:sz w:val="20"/>
          <w:szCs w:val="20"/>
        </w:rPr>
        <w:t xml:space="preserve">Según lo informado por el </w:t>
      </w:r>
      <w:r w:rsidRPr="00CA32B3">
        <w:rPr>
          <w:rFonts w:ascii="Verdana" w:hAnsi="Verdana"/>
          <w:i/>
          <w:sz w:val="20"/>
          <w:szCs w:val="20"/>
        </w:rPr>
        <w:t>Estado</w:t>
      </w:r>
      <w:r w:rsidRPr="00CA32B3">
        <w:rPr>
          <w:rFonts w:ascii="Verdana" w:hAnsi="Verdana"/>
          <w:sz w:val="20"/>
          <w:szCs w:val="20"/>
        </w:rPr>
        <w:t xml:space="preserve"> en noviembre de 2016, el obstáculo fundamental para el cumplimiento de las presentes medidas radicaba entonces en que el Consejo de Defensa Jurídica del Estado (en adelante “el Consejo de Defensa” o “el Consejo”) debía tomar una decisión respecto de cuál es “la entidad [estatal] que se hará cargo de los pagos pendientes”.</w:t>
      </w:r>
      <w:r w:rsidRPr="00CA32B3">
        <w:rPr>
          <w:rFonts w:ascii="Verdana" w:hAnsi="Verdana"/>
          <w:b/>
          <w:sz w:val="20"/>
          <w:szCs w:val="20"/>
        </w:rPr>
        <w:t xml:space="preserve"> </w:t>
      </w:r>
      <w:r w:rsidRPr="00CA32B3">
        <w:rPr>
          <w:rFonts w:ascii="Verdana" w:hAnsi="Verdana"/>
          <w:sz w:val="20"/>
          <w:szCs w:val="20"/>
        </w:rPr>
        <w:t xml:space="preserve">El </w:t>
      </w:r>
      <w:r w:rsidRPr="00CA32B3">
        <w:rPr>
          <w:rFonts w:ascii="Verdana" w:hAnsi="Verdana"/>
          <w:i/>
          <w:sz w:val="20"/>
          <w:szCs w:val="20"/>
        </w:rPr>
        <w:t>Estado</w:t>
      </w:r>
      <w:r w:rsidRPr="00CA32B3">
        <w:rPr>
          <w:rFonts w:ascii="Verdana" w:hAnsi="Verdana"/>
          <w:sz w:val="20"/>
          <w:szCs w:val="20"/>
        </w:rPr>
        <w:t xml:space="preserve"> comunicó que dicha incertidumbre concluyó en el mes de julio de 2019 cuando el Consejo de Defensa emitió una resolución, mediante la cual </w:t>
      </w:r>
      <w:r w:rsidRPr="00CA32B3">
        <w:rPr>
          <w:rFonts w:ascii="Verdana" w:eastAsiaTheme="minorHAnsi" w:hAnsi="Verdana" w:cs="Arial"/>
          <w:sz w:val="20"/>
          <w:szCs w:val="20"/>
          <w:lang w:eastAsia="en-US"/>
        </w:rPr>
        <w:t>estableció que la entidad responsable de asumir el cumplimiento de estas reparaciones</w:t>
      </w:r>
      <w:r w:rsidRPr="00CA32B3">
        <w:rPr>
          <w:rStyle w:val="Refdenotaalpie"/>
          <w:rFonts w:ascii="Verdana" w:eastAsiaTheme="minorHAnsi" w:hAnsi="Verdana" w:cs="Arial"/>
          <w:sz w:val="20"/>
          <w:szCs w:val="20"/>
          <w:lang w:eastAsia="en-US"/>
        </w:rPr>
        <w:footnoteReference w:id="61"/>
      </w:r>
      <w:r w:rsidRPr="00CA32B3">
        <w:rPr>
          <w:rFonts w:ascii="Verdana" w:hAnsi="Verdana"/>
          <w:sz w:val="20"/>
          <w:szCs w:val="20"/>
        </w:rPr>
        <w:t xml:space="preserve"> es el Ministerio de Defensa. En la audiencia privada</w:t>
      </w:r>
      <w:r w:rsidR="00822120" w:rsidRPr="00CA32B3">
        <w:rPr>
          <w:rFonts w:ascii="Verdana" w:hAnsi="Verdana"/>
          <w:sz w:val="20"/>
          <w:szCs w:val="20"/>
        </w:rPr>
        <w:t xml:space="preserve"> de 2020</w:t>
      </w:r>
      <w:r w:rsidRPr="00CA32B3">
        <w:rPr>
          <w:rFonts w:ascii="Verdana" w:hAnsi="Verdana"/>
          <w:sz w:val="20"/>
          <w:szCs w:val="20"/>
        </w:rPr>
        <w:t xml:space="preserve">, el </w:t>
      </w:r>
      <w:r w:rsidRPr="00CA32B3">
        <w:rPr>
          <w:rFonts w:ascii="Verdana" w:hAnsi="Verdana"/>
          <w:i/>
          <w:sz w:val="20"/>
          <w:szCs w:val="20"/>
        </w:rPr>
        <w:t>Estado</w:t>
      </w:r>
      <w:r w:rsidRPr="00CA32B3">
        <w:rPr>
          <w:rFonts w:ascii="Verdana" w:hAnsi="Verdana"/>
          <w:sz w:val="20"/>
          <w:szCs w:val="20"/>
        </w:rPr>
        <w:t xml:space="preserve"> se refirió al “cambio legislativo [ocurrido…] en materia de ejecución de sentencias supranacionales orientado a superar algunas falencias que permitan [su] pronta ejecución”, mediante el cual, “en aras de adecuar </w:t>
      </w:r>
      <w:r w:rsidRPr="00CA32B3">
        <w:rPr>
          <w:rFonts w:ascii="Verdana" w:hAnsi="Verdana"/>
          <w:sz w:val="20"/>
          <w:szCs w:val="20"/>
        </w:rPr>
        <w:lastRenderedPageBreak/>
        <w:t>su ordenamiento interno a los parámetros establecidos por la Corte, ha creado un nuevo procedimiento [de pago] estrictamente administrativo, sin la intervención de órganos jurisdiccionales internos, situación que genera una mayor prontitud en el cumplimiento de las medidas reparatorias de carácter económico”. A mayor abundamiento, seguidamente explicó que, para efectuar la cancelación de los pagos pendientes referidos a los puntos resolutivos décimo segundo y décimo quinto (</w:t>
      </w:r>
      <w:r w:rsidRPr="00CA32B3">
        <w:rPr>
          <w:rFonts w:ascii="Verdana" w:hAnsi="Verdana"/>
          <w:i/>
          <w:sz w:val="20"/>
          <w:szCs w:val="20"/>
        </w:rPr>
        <w:t>supra</w:t>
      </w:r>
      <w:r w:rsidRPr="00CA32B3">
        <w:rPr>
          <w:rFonts w:ascii="Verdana" w:hAnsi="Verdana"/>
          <w:sz w:val="20"/>
          <w:szCs w:val="20"/>
        </w:rPr>
        <w:t xml:space="preserve"> Considerando 35 e </w:t>
      </w:r>
      <w:r w:rsidRPr="00CA32B3">
        <w:rPr>
          <w:rFonts w:ascii="Verdana" w:hAnsi="Verdana"/>
          <w:i/>
          <w:sz w:val="20"/>
          <w:szCs w:val="20"/>
        </w:rPr>
        <w:t>infra</w:t>
      </w:r>
      <w:r w:rsidRPr="00CA32B3">
        <w:rPr>
          <w:rFonts w:ascii="Verdana" w:hAnsi="Verdana"/>
          <w:sz w:val="20"/>
          <w:szCs w:val="20"/>
        </w:rPr>
        <w:t xml:space="preserve"> Considerando 43), la normativa interna vigente requiere que los montos, a cargo de cada una de las entidades, ordenados en las sentencias supranacionales</w:t>
      </w:r>
      <w:r w:rsidR="00822120" w:rsidRPr="00CA32B3">
        <w:rPr>
          <w:rFonts w:ascii="Verdana" w:hAnsi="Verdana"/>
          <w:sz w:val="20"/>
          <w:szCs w:val="20"/>
        </w:rPr>
        <w:t>,</w:t>
      </w:r>
      <w:r w:rsidRPr="00CA32B3">
        <w:rPr>
          <w:rFonts w:ascii="Verdana" w:hAnsi="Verdana"/>
          <w:sz w:val="20"/>
          <w:szCs w:val="20"/>
        </w:rPr>
        <w:t xml:space="preserve"> sean ingresados en un aplicativo informático desarrollado por el Ministerio de Economía y Finanzas</w:t>
      </w:r>
      <w:r w:rsidRPr="00CA32B3">
        <w:rPr>
          <w:rStyle w:val="Refdenotaalpie"/>
          <w:rFonts w:ascii="Verdana" w:hAnsi="Verdana"/>
          <w:sz w:val="20"/>
          <w:szCs w:val="20"/>
        </w:rPr>
        <w:footnoteReference w:id="62"/>
      </w:r>
      <w:r w:rsidRPr="00CA32B3">
        <w:rPr>
          <w:rFonts w:ascii="Verdana" w:hAnsi="Verdana"/>
          <w:sz w:val="20"/>
          <w:szCs w:val="20"/>
        </w:rPr>
        <w:t xml:space="preserve">. Sin embargo, puntualizó que, como dicho aplicativo ha sido diseñado para contener datos relativos al pago de sentencias dictadas en la jurisdicción interna, se han realizado diversas reuniones de coordinación entre los organismos estatales involucrados en la resolución del obstáculo informático a fin de adaptar el mecanismo informático e “iniciar el pago a la brevedad”. Con posterioridad </w:t>
      </w:r>
      <w:r w:rsidR="00EE2902" w:rsidRPr="00CA32B3">
        <w:rPr>
          <w:rFonts w:ascii="Verdana" w:hAnsi="Verdana"/>
          <w:sz w:val="20"/>
          <w:szCs w:val="20"/>
        </w:rPr>
        <w:t xml:space="preserve">a </w:t>
      </w:r>
      <w:r w:rsidR="00822120" w:rsidRPr="00CA32B3">
        <w:rPr>
          <w:rFonts w:ascii="Verdana" w:hAnsi="Verdana"/>
          <w:sz w:val="20"/>
          <w:szCs w:val="20"/>
        </w:rPr>
        <w:t xml:space="preserve">dicha </w:t>
      </w:r>
      <w:r w:rsidRPr="00CA32B3">
        <w:rPr>
          <w:rFonts w:ascii="Verdana" w:hAnsi="Verdana"/>
          <w:sz w:val="20"/>
          <w:szCs w:val="20"/>
        </w:rPr>
        <w:t xml:space="preserve">audiencia, el </w:t>
      </w:r>
      <w:r w:rsidRPr="00CA32B3">
        <w:rPr>
          <w:rFonts w:ascii="Verdana" w:hAnsi="Verdana"/>
          <w:i/>
          <w:sz w:val="20"/>
          <w:szCs w:val="20"/>
        </w:rPr>
        <w:t>Estado</w:t>
      </w:r>
      <w:r w:rsidRPr="00CA32B3">
        <w:rPr>
          <w:rFonts w:ascii="Verdana" w:hAnsi="Verdana"/>
          <w:sz w:val="20"/>
          <w:szCs w:val="20"/>
        </w:rPr>
        <w:t xml:space="preserve"> no ha aportado información complementaria sobre el efectivo avance para realizar los pagos ordenados en la Sentencia o que se haya asegurado el presupuesto para los mismos.</w:t>
      </w:r>
    </w:p>
    <w:p w14:paraId="6BC5A9DF" w14:textId="77777777" w:rsidR="003D031E" w:rsidRPr="00CA32B3" w:rsidRDefault="003D031E" w:rsidP="00690FE6">
      <w:pPr>
        <w:suppressLineNumbers/>
        <w:autoSpaceDE w:val="0"/>
        <w:autoSpaceDN w:val="0"/>
        <w:adjustRightInd w:val="0"/>
        <w:spacing w:after="0" w:line="240" w:lineRule="auto"/>
        <w:jc w:val="both"/>
        <w:rPr>
          <w:rFonts w:ascii="Verdana" w:hAnsi="Verdana"/>
          <w:sz w:val="20"/>
          <w:szCs w:val="20"/>
        </w:rPr>
      </w:pPr>
    </w:p>
    <w:p w14:paraId="08DFC641" w14:textId="3308525F" w:rsidR="003D031E" w:rsidRPr="00CA32B3" w:rsidRDefault="003D031E" w:rsidP="00690FE6">
      <w:pPr>
        <w:numPr>
          <w:ilvl w:val="0"/>
          <w:numId w:val="3"/>
        </w:numPr>
        <w:suppressLineNumbers/>
        <w:autoSpaceDE w:val="0"/>
        <w:autoSpaceDN w:val="0"/>
        <w:adjustRightInd w:val="0"/>
        <w:spacing w:after="0" w:line="240" w:lineRule="auto"/>
        <w:ind w:left="0" w:firstLine="0"/>
        <w:jc w:val="both"/>
        <w:rPr>
          <w:rFonts w:ascii="Verdana" w:hAnsi="Verdana"/>
          <w:sz w:val="20"/>
          <w:szCs w:val="20"/>
        </w:rPr>
      </w:pPr>
      <w:r w:rsidRPr="00CA32B3">
        <w:rPr>
          <w:rFonts w:ascii="Verdana" w:hAnsi="Verdana"/>
          <w:sz w:val="20"/>
          <w:szCs w:val="20"/>
        </w:rPr>
        <w:t xml:space="preserve">Los </w:t>
      </w:r>
      <w:r w:rsidRPr="00CA32B3">
        <w:rPr>
          <w:rFonts w:ascii="Verdana" w:hAnsi="Verdana"/>
          <w:i/>
          <w:sz w:val="20"/>
          <w:szCs w:val="20"/>
        </w:rPr>
        <w:t>representantes</w:t>
      </w:r>
      <w:r w:rsidRPr="00CA32B3">
        <w:rPr>
          <w:rFonts w:ascii="Verdana" w:hAnsi="Verdana"/>
          <w:sz w:val="20"/>
          <w:szCs w:val="20"/>
        </w:rPr>
        <w:t xml:space="preserve"> enfatizaron que las acciones del Estado</w:t>
      </w:r>
      <w:r w:rsidR="00822120" w:rsidRPr="00CA32B3">
        <w:rPr>
          <w:rFonts w:ascii="Verdana" w:hAnsi="Verdana"/>
          <w:sz w:val="20"/>
          <w:szCs w:val="20"/>
        </w:rPr>
        <w:t>,</w:t>
      </w:r>
      <w:r w:rsidRPr="00CA32B3">
        <w:rPr>
          <w:rFonts w:ascii="Verdana" w:hAnsi="Verdana"/>
          <w:sz w:val="20"/>
          <w:szCs w:val="20"/>
        </w:rPr>
        <w:t xml:space="preserve"> concernientes a la definición del organismo encargado de ejecutar la medida, han sido dilatorias y “obstaculiza[n] la reparación”. Más aun, sostuvieron en octubre de 2019 que, cuando tomaron conocimiento de la referida resolución del Consejo de Defensa, “el presupuesto para el año 2020 ya ha[bía] sido aprobado y desconoc[ían] si las instituciones responsables de los pagos ha[bía]n incluido lo adeudado a las víctimas, ello podría implicar entonces que […] reciban su pago […en el siguiente] ejercicio presupuestario”.</w:t>
      </w:r>
      <w:r w:rsidRPr="00CA32B3">
        <w:rPr>
          <w:rFonts w:ascii="Verdana" w:hAnsi="Verdana"/>
          <w:b/>
          <w:bCs/>
          <w:sz w:val="20"/>
          <w:szCs w:val="20"/>
        </w:rPr>
        <w:t xml:space="preserve"> </w:t>
      </w:r>
      <w:r w:rsidRPr="00CA32B3">
        <w:rPr>
          <w:rFonts w:ascii="Verdana" w:hAnsi="Verdana"/>
          <w:sz w:val="20"/>
          <w:szCs w:val="20"/>
        </w:rPr>
        <w:t>También manifestaron su preocupación respecto de “la falta de información detallada sobre cómo será el proceso de ahora en más y cuánto puede tardar todo este procedimiento”.</w:t>
      </w:r>
      <w:r w:rsidRPr="00CA32B3">
        <w:rPr>
          <w:rFonts w:ascii="Verdana" w:hAnsi="Verdana"/>
          <w:b/>
          <w:bCs/>
          <w:sz w:val="20"/>
          <w:szCs w:val="20"/>
        </w:rPr>
        <w:t xml:space="preserve"> </w:t>
      </w:r>
      <w:r w:rsidRPr="00CA32B3">
        <w:rPr>
          <w:rFonts w:ascii="Verdana" w:hAnsi="Verdana"/>
          <w:sz w:val="20"/>
          <w:szCs w:val="20"/>
        </w:rPr>
        <w:t>Finalmente, se refirieron a la falta de participación y comunicación con las víctimas, por parte de los organismos estatales, en la implementación de estas medidas.</w:t>
      </w:r>
    </w:p>
    <w:p w14:paraId="66D30FE9" w14:textId="77777777" w:rsidR="003D031E" w:rsidRPr="00CA32B3" w:rsidRDefault="003D031E" w:rsidP="00690FE6">
      <w:pPr>
        <w:pStyle w:val="Prrafodelista"/>
        <w:suppressLineNumbers/>
        <w:spacing w:after="0" w:line="240" w:lineRule="auto"/>
        <w:ind w:left="0"/>
        <w:rPr>
          <w:rFonts w:ascii="Verdana" w:hAnsi="Verdana"/>
          <w:sz w:val="20"/>
          <w:szCs w:val="20"/>
          <w:lang w:val="es-CR"/>
        </w:rPr>
      </w:pPr>
    </w:p>
    <w:p w14:paraId="733118AD" w14:textId="77777777" w:rsidR="00B76B35" w:rsidRPr="00CA32B3" w:rsidRDefault="00B76B35" w:rsidP="00690FE6">
      <w:pPr>
        <w:numPr>
          <w:ilvl w:val="0"/>
          <w:numId w:val="3"/>
        </w:numPr>
        <w:suppressLineNumbers/>
        <w:autoSpaceDE w:val="0"/>
        <w:autoSpaceDN w:val="0"/>
        <w:adjustRightInd w:val="0"/>
        <w:spacing w:after="0" w:line="240" w:lineRule="auto"/>
        <w:ind w:left="0" w:firstLine="0"/>
        <w:jc w:val="both"/>
        <w:rPr>
          <w:rFonts w:ascii="Verdana" w:hAnsi="Verdana"/>
          <w:sz w:val="20"/>
          <w:szCs w:val="20"/>
        </w:rPr>
      </w:pPr>
      <w:r w:rsidRPr="00CA32B3">
        <w:rPr>
          <w:rFonts w:ascii="Verdana" w:hAnsi="Verdana"/>
          <w:sz w:val="20"/>
          <w:szCs w:val="20"/>
        </w:rPr>
        <w:t xml:space="preserve">La </w:t>
      </w:r>
      <w:r w:rsidRPr="00CA32B3">
        <w:rPr>
          <w:rFonts w:ascii="Verdana" w:hAnsi="Verdana"/>
          <w:i/>
          <w:sz w:val="20"/>
          <w:szCs w:val="20"/>
        </w:rPr>
        <w:t>Comisión</w:t>
      </w:r>
      <w:r w:rsidRPr="00CA32B3">
        <w:rPr>
          <w:rFonts w:ascii="Verdana" w:hAnsi="Verdana"/>
          <w:sz w:val="20"/>
          <w:szCs w:val="20"/>
        </w:rPr>
        <w:t xml:space="preserve"> resaltó a lo largo del procedimiento de supervisión la ausencia de “información concreta y detallada” respecto del cumplimiento de estas medidas, así como la importancia de que “el Estado adopte pasos concretos para asegurar que los recursos económicos necesarios […] estén incluidos en los presupuestos de las entidades públicas obligadas”, a las cuales “la Corte podría solicitar información directamente” de no efectivizarse el pago en el plazo que determine, con base en su Reglamento. </w:t>
      </w:r>
    </w:p>
    <w:p w14:paraId="17514F40" w14:textId="77777777" w:rsidR="00B76B35" w:rsidRPr="00CA32B3" w:rsidRDefault="00B76B35" w:rsidP="00690FE6">
      <w:pPr>
        <w:suppressLineNumbers/>
        <w:spacing w:after="0"/>
      </w:pPr>
    </w:p>
    <w:p w14:paraId="68441D44" w14:textId="77777777" w:rsidR="00C449AB" w:rsidRPr="00CA32B3" w:rsidRDefault="00861763" w:rsidP="00690FE6">
      <w:pPr>
        <w:widowControl w:val="0"/>
        <w:suppressLineNumbers/>
        <w:spacing w:after="0" w:line="240" w:lineRule="auto"/>
        <w:ind w:firstLine="708"/>
        <w:jc w:val="both"/>
        <w:rPr>
          <w:rFonts w:ascii="Verdana" w:hAnsi="Verdana"/>
          <w:i/>
          <w:sz w:val="20"/>
          <w:szCs w:val="20"/>
          <w:lang w:val="es-ES"/>
        </w:rPr>
      </w:pPr>
      <w:r w:rsidRPr="00CA32B3">
        <w:rPr>
          <w:rFonts w:ascii="Verdana" w:hAnsi="Verdana"/>
          <w:i/>
          <w:sz w:val="20"/>
          <w:szCs w:val="20"/>
          <w:lang w:val="es-ES"/>
        </w:rPr>
        <w:t>C.2 Consideraciones de la Corte</w:t>
      </w:r>
    </w:p>
    <w:p w14:paraId="1823A5E7" w14:textId="77777777" w:rsidR="00C449AB" w:rsidRPr="00CA32B3" w:rsidRDefault="00C449AB" w:rsidP="00690FE6">
      <w:pPr>
        <w:widowControl w:val="0"/>
        <w:suppressLineNumbers/>
        <w:spacing w:after="0" w:line="240" w:lineRule="auto"/>
        <w:jc w:val="both"/>
        <w:rPr>
          <w:rFonts w:ascii="Verdana" w:hAnsi="Verdana"/>
          <w:sz w:val="20"/>
          <w:szCs w:val="20"/>
          <w:lang w:val="es-ES"/>
        </w:rPr>
      </w:pPr>
    </w:p>
    <w:p w14:paraId="669C6B32" w14:textId="3041214D" w:rsidR="00B76B35" w:rsidRPr="00CA32B3" w:rsidRDefault="00B76B35" w:rsidP="00690FE6">
      <w:pPr>
        <w:widowControl w:val="0"/>
        <w:numPr>
          <w:ilvl w:val="0"/>
          <w:numId w:val="3"/>
        </w:numPr>
        <w:suppressLineNumbers/>
        <w:autoSpaceDE w:val="0"/>
        <w:autoSpaceDN w:val="0"/>
        <w:adjustRightInd w:val="0"/>
        <w:spacing w:after="0" w:line="240" w:lineRule="auto"/>
        <w:ind w:left="0" w:firstLine="0"/>
        <w:jc w:val="both"/>
        <w:rPr>
          <w:rFonts w:ascii="Verdana" w:hAnsi="Verdana"/>
          <w:strike/>
          <w:sz w:val="20"/>
          <w:szCs w:val="20"/>
        </w:rPr>
      </w:pPr>
      <w:r w:rsidRPr="00CA32B3">
        <w:rPr>
          <w:rFonts w:ascii="Verdana" w:hAnsi="Verdana"/>
          <w:sz w:val="20"/>
          <w:szCs w:val="20"/>
        </w:rPr>
        <w:t>El Tribunal constata que, a más de cuatro años del vencimiento del plazo dispuesto para el cumplimiento de esta medida, el Estado no ha entregado a los señores Zenón Cirilo Osnayo Tunque y Marcelo Hilario Quispe las alpacas o su valor pecuniario, así como tampoco ha provisto las viviendas o el monto</w:t>
      </w:r>
      <w:r w:rsidR="00822120" w:rsidRPr="00CA32B3">
        <w:rPr>
          <w:rFonts w:ascii="Verdana" w:hAnsi="Verdana"/>
          <w:sz w:val="20"/>
          <w:szCs w:val="20"/>
        </w:rPr>
        <w:t xml:space="preserve"> ordenado en la Sentencia</w:t>
      </w:r>
      <w:r w:rsidRPr="00CA32B3">
        <w:rPr>
          <w:rFonts w:ascii="Verdana" w:hAnsi="Verdana"/>
          <w:sz w:val="20"/>
          <w:szCs w:val="20"/>
        </w:rPr>
        <w:t xml:space="preserve">. </w:t>
      </w:r>
    </w:p>
    <w:p w14:paraId="36A5F552" w14:textId="77777777" w:rsidR="002B3461" w:rsidRPr="00CA32B3" w:rsidRDefault="002B3461" w:rsidP="00690FE6">
      <w:pPr>
        <w:widowControl w:val="0"/>
        <w:suppressLineNumbers/>
        <w:autoSpaceDE w:val="0"/>
        <w:autoSpaceDN w:val="0"/>
        <w:adjustRightInd w:val="0"/>
        <w:spacing w:after="0" w:line="240" w:lineRule="auto"/>
        <w:jc w:val="both"/>
        <w:rPr>
          <w:rFonts w:ascii="Verdana" w:hAnsi="Verdana"/>
          <w:strike/>
          <w:sz w:val="20"/>
          <w:szCs w:val="20"/>
        </w:rPr>
      </w:pPr>
    </w:p>
    <w:p w14:paraId="5D7E9AC5" w14:textId="0F6C65E8" w:rsidR="004211D7" w:rsidRPr="00CA32B3" w:rsidRDefault="004211D7" w:rsidP="00690FE6">
      <w:pPr>
        <w:numPr>
          <w:ilvl w:val="0"/>
          <w:numId w:val="3"/>
        </w:numPr>
        <w:suppressLineNumbers/>
        <w:autoSpaceDE w:val="0"/>
        <w:autoSpaceDN w:val="0"/>
        <w:adjustRightInd w:val="0"/>
        <w:spacing w:after="0" w:line="240" w:lineRule="auto"/>
        <w:ind w:left="0" w:firstLine="0"/>
        <w:jc w:val="both"/>
        <w:rPr>
          <w:rFonts w:ascii="Verdana" w:hAnsi="Verdana"/>
          <w:sz w:val="20"/>
          <w:szCs w:val="20"/>
        </w:rPr>
      </w:pPr>
      <w:r w:rsidRPr="00CA32B3">
        <w:rPr>
          <w:rFonts w:ascii="Verdana" w:hAnsi="Verdana"/>
          <w:sz w:val="20"/>
          <w:szCs w:val="20"/>
        </w:rPr>
        <w:t>Al respecto, como lo ha sostenido el Tribunal en otras ocasiones</w:t>
      </w:r>
      <w:r w:rsidRPr="00CA32B3">
        <w:rPr>
          <w:rStyle w:val="Refdenotaalpie"/>
          <w:rFonts w:ascii="Verdana" w:hAnsi="Verdana"/>
          <w:sz w:val="20"/>
          <w:szCs w:val="20"/>
        </w:rPr>
        <w:footnoteReference w:id="63"/>
      </w:r>
      <w:r w:rsidRPr="00CA32B3">
        <w:rPr>
          <w:rFonts w:ascii="Verdana" w:hAnsi="Verdana"/>
          <w:sz w:val="20"/>
          <w:szCs w:val="20"/>
        </w:rPr>
        <w:t xml:space="preserve">, si bien es razonable que pudieran llegar a existir trámites internos para cumplir con las medidas de reparación </w:t>
      </w:r>
      <w:r w:rsidRPr="00CA32B3">
        <w:rPr>
          <w:rFonts w:ascii="Verdana" w:hAnsi="Verdana"/>
          <w:sz w:val="20"/>
          <w:szCs w:val="20"/>
        </w:rPr>
        <w:lastRenderedPageBreak/>
        <w:t>ordenadas, resulta preocupante el retraso sucedido en la determinación de la entidad estatal que debe cumplir con la ejecución de esta reparación, así como la falta de información que permita observar avances sustanciales en su cumplimiento, dado que se trata de medidas cuya implementación no es compleja. Además, se hace constar que el Tribunal no cuenta con información que permita conocer si el Estado ha iniciado los procedimientos previstos en el ordenamiento interno para determinar “el monto equivalente a las diez alpacas” que debe entregar a las víctimas.</w:t>
      </w:r>
    </w:p>
    <w:p w14:paraId="7A307A31" w14:textId="35D884D8" w:rsidR="004211D7" w:rsidRPr="00CA32B3" w:rsidRDefault="004211D7" w:rsidP="00690FE6">
      <w:pPr>
        <w:suppressLineNumbers/>
        <w:autoSpaceDE w:val="0"/>
        <w:autoSpaceDN w:val="0"/>
        <w:adjustRightInd w:val="0"/>
        <w:spacing w:after="0" w:line="240" w:lineRule="auto"/>
        <w:jc w:val="both"/>
        <w:rPr>
          <w:rFonts w:ascii="Verdana" w:hAnsi="Verdana"/>
          <w:sz w:val="20"/>
          <w:szCs w:val="20"/>
        </w:rPr>
      </w:pPr>
    </w:p>
    <w:p w14:paraId="287CF40E" w14:textId="459D2659" w:rsidR="004211D7" w:rsidRPr="00CA32B3" w:rsidRDefault="004211D7" w:rsidP="00690FE6">
      <w:pPr>
        <w:numPr>
          <w:ilvl w:val="0"/>
          <w:numId w:val="3"/>
        </w:numPr>
        <w:suppressLineNumbers/>
        <w:autoSpaceDE w:val="0"/>
        <w:autoSpaceDN w:val="0"/>
        <w:adjustRightInd w:val="0"/>
        <w:spacing w:after="0" w:line="240" w:lineRule="auto"/>
        <w:ind w:left="0" w:firstLine="0"/>
        <w:jc w:val="both"/>
        <w:rPr>
          <w:rFonts w:ascii="Verdana" w:hAnsi="Verdana"/>
          <w:sz w:val="20"/>
          <w:szCs w:val="20"/>
        </w:rPr>
      </w:pPr>
      <w:r w:rsidRPr="00CA32B3">
        <w:rPr>
          <w:rFonts w:ascii="Verdana" w:hAnsi="Verdana"/>
          <w:sz w:val="20"/>
          <w:szCs w:val="20"/>
        </w:rPr>
        <w:t xml:space="preserve">Por otra parte, el Tribunal comparte la preocupación manifestada por los representantes y la víctima </w:t>
      </w:r>
      <w:r w:rsidRPr="00CA32B3">
        <w:rPr>
          <w:rFonts w:ascii="Verdana" w:hAnsi="Verdana" w:cs="Arial"/>
          <w:sz w:val="20"/>
          <w:szCs w:val="20"/>
        </w:rPr>
        <w:t>Zenón Cirilo Osnayo Tunque</w:t>
      </w:r>
      <w:r w:rsidRPr="00CA32B3">
        <w:rPr>
          <w:rFonts w:ascii="Verdana" w:hAnsi="Verdana"/>
          <w:sz w:val="20"/>
          <w:szCs w:val="20"/>
        </w:rPr>
        <w:t xml:space="preserve">, quienes efectuaron durante la audiencia privada un especial énfasis en la condición de campesinos y en la situación económica de las víctimas sobrevivientes de la masacre, “como [consecuencia] de lo ocurrido”, para referirse a la urgencia en la efectivización de las referidas medidas, las cuales, ante la falta de entrega oportuna del ganado y de las viviendas, hoy poseen naturaleza pecuniaria. En este sentido, el señor Osnayo Tunque manifestó </w:t>
      </w:r>
      <w:r w:rsidR="00822120" w:rsidRPr="00CA32B3">
        <w:rPr>
          <w:rFonts w:ascii="Verdana" w:hAnsi="Verdana"/>
          <w:sz w:val="20"/>
          <w:szCs w:val="20"/>
        </w:rPr>
        <w:t xml:space="preserve">en la audiencia de supervisión </w:t>
      </w:r>
      <w:r w:rsidRPr="00CA32B3">
        <w:rPr>
          <w:rFonts w:ascii="Verdana" w:hAnsi="Verdana"/>
          <w:sz w:val="20"/>
          <w:szCs w:val="20"/>
        </w:rPr>
        <w:t>que la mayoría de las familias de las víctimas se dedican al ganado como medio de subsistencia y que “</w:t>
      </w:r>
      <w:r w:rsidRPr="00CA32B3">
        <w:rPr>
          <w:rFonts w:ascii="Verdana" w:hAnsi="Verdana" w:cs="Arial"/>
          <w:sz w:val="20"/>
          <w:szCs w:val="20"/>
        </w:rPr>
        <w:t xml:space="preserve">han perdido la confianza en […] las autoridades”, quienes “no hacen caso a los campesinos por ser gente pobre y humilde”. A lo anterior, agregó que “desde [el 4 de julio de 1991] sufren la injusticia todas las familias. [Él] no t[iene] trabajo, [ni] casa propia, viv[e] en casas alquiladas”, circunstancias que se agravaron “con la pandemia [de COVID-19]”. </w:t>
      </w:r>
      <w:r w:rsidRPr="00CA32B3">
        <w:rPr>
          <w:rFonts w:ascii="Verdana" w:hAnsi="Verdana"/>
          <w:sz w:val="20"/>
          <w:szCs w:val="20"/>
        </w:rPr>
        <w:t xml:space="preserve">Ciertamente, es imprescindible que el Estado realice todas las gestiones que sean necesarias para dar cumplimiento a las presentes medidas de reparación a la mayor brevedad posible, dado el tiempo transcurrido desde el vencimiento del plazo de un año otorgado para su cumplimiento y la particular situación económica de las víctimas. </w:t>
      </w:r>
    </w:p>
    <w:p w14:paraId="5CAB7774" w14:textId="77777777" w:rsidR="004211D7" w:rsidRPr="00CA32B3" w:rsidRDefault="004211D7" w:rsidP="00690FE6">
      <w:pPr>
        <w:suppressLineNumbers/>
        <w:autoSpaceDE w:val="0"/>
        <w:autoSpaceDN w:val="0"/>
        <w:adjustRightInd w:val="0"/>
        <w:spacing w:after="0" w:line="240" w:lineRule="auto"/>
        <w:jc w:val="both"/>
        <w:rPr>
          <w:rFonts w:ascii="Verdana" w:hAnsi="Verdana"/>
          <w:sz w:val="20"/>
          <w:szCs w:val="20"/>
        </w:rPr>
      </w:pPr>
    </w:p>
    <w:p w14:paraId="5504D20B" w14:textId="77777777" w:rsidR="004211D7" w:rsidRPr="00CA32B3" w:rsidRDefault="004211D7" w:rsidP="00690FE6">
      <w:pPr>
        <w:numPr>
          <w:ilvl w:val="0"/>
          <w:numId w:val="3"/>
        </w:numPr>
        <w:suppressLineNumbers/>
        <w:autoSpaceDE w:val="0"/>
        <w:autoSpaceDN w:val="0"/>
        <w:adjustRightInd w:val="0"/>
        <w:spacing w:after="0" w:line="240" w:lineRule="auto"/>
        <w:ind w:left="0" w:firstLine="0"/>
        <w:jc w:val="both"/>
        <w:rPr>
          <w:rFonts w:ascii="Verdana" w:hAnsi="Verdana"/>
          <w:sz w:val="20"/>
          <w:szCs w:val="20"/>
        </w:rPr>
      </w:pPr>
      <w:r w:rsidRPr="00CA32B3">
        <w:rPr>
          <w:rFonts w:ascii="Verdana" w:hAnsi="Verdana"/>
          <w:sz w:val="20"/>
          <w:szCs w:val="20"/>
        </w:rPr>
        <w:t xml:space="preserve">De acuerdo con las consideraciones expuestas, las medidas de reparación dispuestas en el punto resolutivo décimo segundo de la Sentencia continúan pendientes de cumplimiento, por lo que se requiere al Estado que presente información detallada y actualizada sobre su cumplimiento. </w:t>
      </w:r>
    </w:p>
    <w:p w14:paraId="275F472E" w14:textId="77777777" w:rsidR="00C449AB" w:rsidRPr="00CA32B3" w:rsidRDefault="00C449AB" w:rsidP="00690FE6">
      <w:pPr>
        <w:suppressLineNumbers/>
        <w:autoSpaceDE w:val="0"/>
        <w:autoSpaceDN w:val="0"/>
        <w:adjustRightInd w:val="0"/>
        <w:spacing w:after="0" w:line="240" w:lineRule="auto"/>
        <w:jc w:val="both"/>
        <w:rPr>
          <w:rFonts w:ascii="Verdana" w:hAnsi="Verdana"/>
          <w:b/>
          <w:bCs/>
          <w:sz w:val="20"/>
          <w:szCs w:val="20"/>
        </w:rPr>
      </w:pPr>
    </w:p>
    <w:p w14:paraId="0D3A86B5" w14:textId="77777777" w:rsidR="00C449AB" w:rsidRPr="00CA32B3" w:rsidRDefault="00861763" w:rsidP="00690FE6">
      <w:pPr>
        <w:pStyle w:val="Prrafodelista"/>
        <w:numPr>
          <w:ilvl w:val="0"/>
          <w:numId w:val="7"/>
        </w:numPr>
        <w:suppressLineNumbers/>
        <w:tabs>
          <w:tab w:val="left" w:pos="680"/>
        </w:tabs>
        <w:spacing w:after="0" w:line="240" w:lineRule="auto"/>
        <w:jc w:val="both"/>
        <w:outlineLvl w:val="0"/>
        <w:rPr>
          <w:rFonts w:ascii="Verdana" w:hAnsi="Verdana"/>
          <w:b/>
          <w:i/>
          <w:sz w:val="20"/>
        </w:rPr>
      </w:pPr>
      <w:bookmarkStart w:id="4" w:name="_Toc17603"/>
      <w:r w:rsidRPr="00CA32B3">
        <w:rPr>
          <w:rFonts w:ascii="Verdana" w:hAnsi="Verdana"/>
          <w:b/>
          <w:i/>
          <w:sz w:val="20"/>
        </w:rPr>
        <w:t>Pago de indemnizaciones por daños materiales e inmateriales, y el reintegro de costas y gastos</w:t>
      </w:r>
      <w:bookmarkEnd w:id="4"/>
    </w:p>
    <w:p w14:paraId="194E93D1" w14:textId="77777777" w:rsidR="00C449AB" w:rsidRPr="00CA32B3" w:rsidRDefault="00C449AB" w:rsidP="00690FE6">
      <w:pPr>
        <w:widowControl w:val="0"/>
        <w:suppressLineNumbers/>
        <w:spacing w:after="0" w:line="240" w:lineRule="auto"/>
        <w:jc w:val="both"/>
        <w:rPr>
          <w:rFonts w:ascii="Verdana" w:hAnsi="Verdana"/>
          <w:i/>
          <w:sz w:val="20"/>
          <w:szCs w:val="20"/>
        </w:rPr>
      </w:pPr>
    </w:p>
    <w:p w14:paraId="76896608" w14:textId="77777777" w:rsidR="00C449AB" w:rsidRPr="00CA32B3" w:rsidRDefault="00861763" w:rsidP="00690FE6">
      <w:pPr>
        <w:widowControl w:val="0"/>
        <w:suppressLineNumbers/>
        <w:spacing w:after="0" w:line="240" w:lineRule="auto"/>
        <w:ind w:firstLine="708"/>
        <w:jc w:val="both"/>
        <w:rPr>
          <w:rFonts w:ascii="Verdana" w:hAnsi="Verdana"/>
          <w:i/>
          <w:sz w:val="20"/>
          <w:szCs w:val="20"/>
        </w:rPr>
      </w:pPr>
      <w:r w:rsidRPr="00CA32B3">
        <w:rPr>
          <w:rFonts w:ascii="Verdana" w:hAnsi="Verdana"/>
          <w:i/>
          <w:sz w:val="20"/>
          <w:szCs w:val="20"/>
        </w:rPr>
        <w:t>D.1. Medidas ordenadas por la Corte</w:t>
      </w:r>
    </w:p>
    <w:p w14:paraId="101C2816" w14:textId="77777777" w:rsidR="00C449AB" w:rsidRPr="00CA32B3" w:rsidRDefault="00C449AB" w:rsidP="00690FE6">
      <w:pPr>
        <w:widowControl w:val="0"/>
        <w:suppressLineNumbers/>
        <w:spacing w:after="0" w:line="240" w:lineRule="auto"/>
        <w:jc w:val="both"/>
        <w:rPr>
          <w:rFonts w:ascii="Verdana" w:hAnsi="Verdana"/>
          <w:sz w:val="20"/>
          <w:szCs w:val="20"/>
        </w:rPr>
      </w:pPr>
    </w:p>
    <w:p w14:paraId="554843EB" w14:textId="7894D6AA" w:rsidR="00D50B4B" w:rsidRPr="00CA32B3" w:rsidRDefault="00D50B4B" w:rsidP="00690FE6">
      <w:pPr>
        <w:widowControl w:val="0"/>
        <w:numPr>
          <w:ilvl w:val="0"/>
          <w:numId w:val="3"/>
        </w:numPr>
        <w:suppressLineNumbers/>
        <w:spacing w:after="0" w:line="240" w:lineRule="auto"/>
        <w:ind w:left="0" w:firstLine="0"/>
        <w:jc w:val="both"/>
        <w:rPr>
          <w:rFonts w:ascii="Verdana" w:hAnsi="Verdana"/>
          <w:sz w:val="20"/>
          <w:szCs w:val="20"/>
        </w:rPr>
      </w:pPr>
      <w:r w:rsidRPr="00CA32B3">
        <w:rPr>
          <w:rFonts w:ascii="Verdana" w:hAnsi="Verdana"/>
          <w:sz w:val="20"/>
          <w:szCs w:val="20"/>
        </w:rPr>
        <w:t xml:space="preserve">En el punto </w:t>
      </w:r>
      <w:r w:rsidR="003D5DFA" w:rsidRPr="00CA32B3">
        <w:rPr>
          <w:rFonts w:ascii="Verdana" w:hAnsi="Verdana"/>
          <w:sz w:val="20"/>
          <w:szCs w:val="20"/>
        </w:rPr>
        <w:t>resolutivo</w:t>
      </w:r>
      <w:r w:rsidRPr="00CA32B3">
        <w:rPr>
          <w:rFonts w:ascii="Verdana" w:hAnsi="Verdana"/>
          <w:sz w:val="20"/>
          <w:szCs w:val="20"/>
        </w:rPr>
        <w:t xml:space="preserve"> décimo quinto y en los párrafos 333 a 344, 347 a 350, y 357 a 362 de esta Sentencia, la Corte dispuso que el Estado debe pagar las cantidades fijadas en la misma, por concepto de indemnizaciones por daños materiales e inmateriales, y por el reintegro de costas y gastos. Asimismo, determinó que “[l]os familiares de víctimas que no fueron peticionarios, que no han sido representados en los procedimientos ante la Comisión y la Corte o que no han sido incluidos como víctimas o parte lesionada en esta Sentencia y que consideren que son beneficiarios de [las indemnizaciones por daño inmaterial], deben presentarse ante las autoridades estatales correspondientes a más tardar en el plazo de 3 meses, contado a partir de la notificación de [la] Sentencia”. Finalmente, se indicó que “[l]as cantidades que han sido entregadas a los señores Zósimo Hilario Quispe y Zenón Cirilo Osnayo Tunque […], así como aquellas que eventualmente sean entregadas a las víctimas […] en el marco del Programa de Reparaciones Económicas (PRE) del PIR y como reparación civil, deberán ser deducidas del monto que les corresponda al momento de efectuarse el pago”.</w:t>
      </w:r>
    </w:p>
    <w:p w14:paraId="181E1040" w14:textId="77777777" w:rsidR="00C449AB" w:rsidRPr="00CA32B3" w:rsidRDefault="00861763" w:rsidP="00690FE6">
      <w:pPr>
        <w:widowControl w:val="0"/>
        <w:suppressLineNumbers/>
        <w:spacing w:after="0" w:line="240" w:lineRule="auto"/>
        <w:jc w:val="both"/>
        <w:rPr>
          <w:rFonts w:ascii="Verdana" w:hAnsi="Verdana"/>
          <w:sz w:val="20"/>
          <w:szCs w:val="20"/>
        </w:rPr>
      </w:pPr>
      <w:r w:rsidRPr="00CA32B3">
        <w:rPr>
          <w:rFonts w:ascii="Verdana" w:hAnsi="Verdana"/>
          <w:sz w:val="20"/>
          <w:szCs w:val="20"/>
        </w:rPr>
        <w:t xml:space="preserve"> </w:t>
      </w:r>
      <w:r w:rsidRPr="00CA32B3">
        <w:rPr>
          <w:rFonts w:ascii="Verdana" w:hAnsi="Verdana"/>
          <w:sz w:val="20"/>
          <w:szCs w:val="20"/>
        </w:rPr>
        <w:tab/>
      </w:r>
    </w:p>
    <w:p w14:paraId="54622750" w14:textId="198FD742" w:rsidR="00C449AB" w:rsidRPr="00CA32B3" w:rsidRDefault="00861763" w:rsidP="00690FE6">
      <w:pPr>
        <w:widowControl w:val="0"/>
        <w:suppressLineNumbers/>
        <w:spacing w:after="0" w:line="240" w:lineRule="auto"/>
        <w:ind w:firstLine="708"/>
        <w:jc w:val="both"/>
        <w:rPr>
          <w:rFonts w:ascii="Verdana" w:hAnsi="Verdana"/>
          <w:i/>
          <w:sz w:val="20"/>
          <w:szCs w:val="20"/>
        </w:rPr>
      </w:pPr>
      <w:r w:rsidRPr="00CA32B3">
        <w:rPr>
          <w:rFonts w:ascii="Verdana" w:hAnsi="Verdana"/>
          <w:i/>
          <w:sz w:val="20"/>
          <w:szCs w:val="20"/>
        </w:rPr>
        <w:lastRenderedPageBreak/>
        <w:t xml:space="preserve">D.2. </w:t>
      </w:r>
      <w:r w:rsidR="002B3461" w:rsidRPr="00CA32B3">
        <w:rPr>
          <w:rFonts w:ascii="Verdana" w:hAnsi="Verdana"/>
          <w:i/>
          <w:sz w:val="20"/>
          <w:szCs w:val="20"/>
        </w:rPr>
        <w:t>Información y observaciones presentadas por las partes</w:t>
      </w:r>
    </w:p>
    <w:p w14:paraId="548B0D84" w14:textId="77777777" w:rsidR="00C449AB" w:rsidRPr="00CA32B3" w:rsidRDefault="00C449AB" w:rsidP="00690FE6">
      <w:pPr>
        <w:widowControl w:val="0"/>
        <w:suppressLineNumbers/>
        <w:spacing w:after="0" w:line="240" w:lineRule="auto"/>
        <w:jc w:val="both"/>
        <w:rPr>
          <w:rFonts w:ascii="Verdana" w:hAnsi="Verdana"/>
          <w:sz w:val="20"/>
          <w:szCs w:val="20"/>
        </w:rPr>
      </w:pPr>
    </w:p>
    <w:p w14:paraId="19CEB51B" w14:textId="02D07608" w:rsidR="004D60A8" w:rsidRPr="00CA32B3" w:rsidRDefault="004D60A8" w:rsidP="00690FE6">
      <w:pPr>
        <w:widowControl w:val="0"/>
        <w:numPr>
          <w:ilvl w:val="0"/>
          <w:numId w:val="3"/>
        </w:numPr>
        <w:suppressLineNumbers/>
        <w:spacing w:after="0" w:line="240" w:lineRule="auto"/>
        <w:ind w:left="0" w:firstLine="0"/>
        <w:jc w:val="both"/>
        <w:rPr>
          <w:rFonts w:ascii="Verdana" w:hAnsi="Verdana"/>
          <w:sz w:val="20"/>
          <w:szCs w:val="20"/>
        </w:rPr>
      </w:pPr>
      <w:r w:rsidRPr="00CA32B3">
        <w:rPr>
          <w:rFonts w:ascii="Verdana" w:hAnsi="Verdana"/>
          <w:sz w:val="20"/>
          <w:szCs w:val="20"/>
        </w:rPr>
        <w:t xml:space="preserve">El </w:t>
      </w:r>
      <w:r w:rsidRPr="00CA32B3">
        <w:rPr>
          <w:rFonts w:ascii="Verdana" w:hAnsi="Verdana"/>
          <w:i/>
          <w:sz w:val="20"/>
          <w:szCs w:val="20"/>
        </w:rPr>
        <w:t>Estado</w:t>
      </w:r>
      <w:r w:rsidRPr="00CA32B3">
        <w:rPr>
          <w:rFonts w:ascii="Verdana" w:hAnsi="Verdana"/>
          <w:sz w:val="20"/>
          <w:szCs w:val="20"/>
        </w:rPr>
        <w:t xml:space="preserve"> reiteró las explicaciones brindadas en torno a la dilación generada como consecuencia del procedimiento de determinación de las entidades estatales responsables de la ejecución de las medidas de reparación, lo cual concluyó en julio de 2019 con el dictado de la respectiva resolución por parte del Consejo de Defensa (</w:t>
      </w:r>
      <w:r w:rsidRPr="00CA32B3">
        <w:rPr>
          <w:rFonts w:ascii="Verdana" w:hAnsi="Verdana"/>
          <w:i/>
          <w:sz w:val="20"/>
          <w:szCs w:val="20"/>
        </w:rPr>
        <w:t>supra</w:t>
      </w:r>
      <w:r w:rsidRPr="00CA32B3">
        <w:rPr>
          <w:rFonts w:ascii="Verdana" w:hAnsi="Verdana"/>
          <w:sz w:val="20"/>
          <w:szCs w:val="20"/>
        </w:rPr>
        <w:t xml:space="preserve"> Considerando 36). En octubre de 2019 precisó que, como resultante de lo anterior, el pago de las indemnizaciones, del reintegro de costas y gastos y de los intereses moratorios han sido divididos “de manera mancomunada y equitativa” entre el Ministerio de Defensa – Ejército del Perú, e</w:t>
      </w:r>
      <w:r w:rsidRPr="00CA32B3">
        <w:rPr>
          <w:rFonts w:ascii="Verdana" w:eastAsiaTheme="minorHAnsi" w:hAnsi="Verdana" w:cs="Arial"/>
          <w:sz w:val="20"/>
          <w:szCs w:val="20"/>
          <w:lang w:eastAsia="en-US"/>
        </w:rPr>
        <w:t>l Ministerio Público, el Poder Judicial y el Fuero Militar Policial</w:t>
      </w:r>
      <w:r w:rsidRPr="00CA32B3">
        <w:rPr>
          <w:rStyle w:val="Refdenotaalpie"/>
          <w:rFonts w:ascii="Verdana" w:eastAsiaTheme="minorHAnsi" w:hAnsi="Verdana" w:cs="Arial"/>
          <w:sz w:val="20"/>
          <w:szCs w:val="20"/>
          <w:lang w:eastAsia="en-US"/>
        </w:rPr>
        <w:footnoteReference w:id="64"/>
      </w:r>
      <w:r w:rsidRPr="00CA32B3">
        <w:rPr>
          <w:rFonts w:ascii="Verdana" w:hAnsi="Verdana"/>
          <w:sz w:val="20"/>
          <w:szCs w:val="20"/>
        </w:rPr>
        <w:t>.</w:t>
      </w:r>
      <w:r w:rsidRPr="00CA32B3">
        <w:rPr>
          <w:rFonts w:ascii="Verdana" w:hAnsi="Verdana"/>
          <w:b/>
          <w:sz w:val="20"/>
          <w:szCs w:val="20"/>
        </w:rPr>
        <w:t xml:space="preserve"> </w:t>
      </w:r>
      <w:r w:rsidRPr="00CA32B3">
        <w:rPr>
          <w:rFonts w:ascii="Verdana" w:hAnsi="Verdana"/>
          <w:sz w:val="20"/>
          <w:szCs w:val="20"/>
        </w:rPr>
        <w:t xml:space="preserve">Durante la audiencia privada de 2020, el </w:t>
      </w:r>
      <w:r w:rsidRPr="00CA32B3">
        <w:rPr>
          <w:rFonts w:ascii="Verdana" w:hAnsi="Verdana"/>
          <w:i/>
          <w:sz w:val="20"/>
          <w:szCs w:val="20"/>
        </w:rPr>
        <w:t>Estado</w:t>
      </w:r>
      <w:r w:rsidRPr="00CA32B3">
        <w:rPr>
          <w:rFonts w:ascii="Verdana" w:hAnsi="Verdana"/>
          <w:sz w:val="20"/>
          <w:szCs w:val="20"/>
        </w:rPr>
        <w:t xml:space="preserve"> se refirió a los trámites internos que se requieren para la ejecución de los pagos pendientes (</w:t>
      </w:r>
      <w:r w:rsidRPr="00CA32B3">
        <w:rPr>
          <w:rFonts w:ascii="Verdana" w:hAnsi="Verdana"/>
          <w:i/>
          <w:sz w:val="20"/>
          <w:szCs w:val="20"/>
        </w:rPr>
        <w:t xml:space="preserve">supra </w:t>
      </w:r>
      <w:r w:rsidRPr="00CA32B3">
        <w:rPr>
          <w:rFonts w:ascii="Verdana" w:hAnsi="Verdana"/>
          <w:sz w:val="20"/>
          <w:szCs w:val="20"/>
        </w:rPr>
        <w:t xml:space="preserve">Considerando 36). Por otro lado, en aquella misma ocasión, sostuvo que “seis [de las víctimas…] han sido beneficiarias de </w:t>
      </w:r>
      <w:r w:rsidR="00690FE6" w:rsidRPr="00CA32B3">
        <w:rPr>
          <w:rFonts w:ascii="Verdana" w:hAnsi="Verdana"/>
          <w:sz w:val="20"/>
          <w:szCs w:val="20"/>
        </w:rPr>
        <w:t xml:space="preserve">[un monto de] </w:t>
      </w:r>
      <w:r w:rsidRPr="00CA32B3">
        <w:rPr>
          <w:rFonts w:ascii="Verdana" w:hAnsi="Verdana"/>
          <w:sz w:val="20"/>
          <w:szCs w:val="20"/>
        </w:rPr>
        <w:t xml:space="preserve">las reparaciones económicas”. </w:t>
      </w:r>
    </w:p>
    <w:p w14:paraId="70E5D80A" w14:textId="77777777" w:rsidR="004D60A8" w:rsidRPr="00CA32B3" w:rsidRDefault="004D60A8" w:rsidP="00690FE6">
      <w:pPr>
        <w:widowControl w:val="0"/>
        <w:suppressLineNumbers/>
        <w:spacing w:after="0" w:line="240" w:lineRule="auto"/>
        <w:jc w:val="both"/>
        <w:rPr>
          <w:rFonts w:ascii="Verdana" w:hAnsi="Verdana"/>
          <w:sz w:val="20"/>
          <w:szCs w:val="20"/>
        </w:rPr>
      </w:pPr>
    </w:p>
    <w:p w14:paraId="123EBBB2" w14:textId="0E110B0D" w:rsidR="004D60A8" w:rsidRPr="00CA32B3" w:rsidRDefault="004D60A8" w:rsidP="00690FE6">
      <w:pPr>
        <w:widowControl w:val="0"/>
        <w:numPr>
          <w:ilvl w:val="0"/>
          <w:numId w:val="3"/>
        </w:numPr>
        <w:suppressLineNumbers/>
        <w:spacing w:after="0" w:line="240" w:lineRule="auto"/>
        <w:ind w:left="0" w:firstLine="0"/>
        <w:jc w:val="both"/>
        <w:rPr>
          <w:rFonts w:ascii="Verdana" w:hAnsi="Verdana"/>
          <w:sz w:val="20"/>
          <w:szCs w:val="20"/>
        </w:rPr>
      </w:pPr>
      <w:r w:rsidRPr="00CA32B3">
        <w:rPr>
          <w:rFonts w:ascii="Verdana" w:hAnsi="Verdana"/>
          <w:sz w:val="20"/>
          <w:szCs w:val="20"/>
        </w:rPr>
        <w:t xml:space="preserve">Los </w:t>
      </w:r>
      <w:r w:rsidRPr="00CA32B3">
        <w:rPr>
          <w:rFonts w:ascii="Verdana" w:hAnsi="Verdana"/>
          <w:i/>
          <w:sz w:val="20"/>
          <w:szCs w:val="20"/>
        </w:rPr>
        <w:t>representantes</w:t>
      </w:r>
      <w:r w:rsidRPr="00CA32B3">
        <w:rPr>
          <w:rFonts w:ascii="Verdana" w:hAnsi="Verdana"/>
          <w:sz w:val="20"/>
          <w:szCs w:val="20"/>
        </w:rPr>
        <w:t>, por un lado, solicitaron incluir, en febrero de 2017, como beneficiarias a personas adicionales a las señaladas en la Sentencia</w:t>
      </w:r>
      <w:r w:rsidRPr="00CA32B3">
        <w:rPr>
          <w:rStyle w:val="Refdenotaalpie"/>
          <w:rFonts w:ascii="Verdana" w:hAnsi="Verdana"/>
          <w:sz w:val="20"/>
          <w:szCs w:val="20"/>
        </w:rPr>
        <w:footnoteReference w:id="65"/>
      </w:r>
      <w:r w:rsidRPr="00CA32B3">
        <w:rPr>
          <w:rFonts w:ascii="Verdana" w:hAnsi="Verdana"/>
          <w:sz w:val="20"/>
          <w:szCs w:val="20"/>
        </w:rPr>
        <w:t>; por el otro lado, reiteraron las observaciones efectuadas respecto del alegado incumplimiento del punto resolutivo décimo segundo (</w:t>
      </w:r>
      <w:r w:rsidRPr="00CA32B3">
        <w:rPr>
          <w:rFonts w:ascii="Verdana" w:hAnsi="Verdana"/>
          <w:i/>
          <w:sz w:val="20"/>
          <w:szCs w:val="20"/>
        </w:rPr>
        <w:t xml:space="preserve">supra </w:t>
      </w:r>
      <w:r w:rsidRPr="00CA32B3">
        <w:rPr>
          <w:rFonts w:ascii="Verdana" w:hAnsi="Verdana"/>
          <w:sz w:val="20"/>
          <w:szCs w:val="20"/>
        </w:rPr>
        <w:t xml:space="preserve">Considerando 37). </w:t>
      </w:r>
    </w:p>
    <w:p w14:paraId="62D44309" w14:textId="0B2A8B6F" w:rsidR="002B3461" w:rsidRPr="00CA32B3" w:rsidRDefault="002B3461" w:rsidP="00690FE6">
      <w:pPr>
        <w:widowControl w:val="0"/>
        <w:suppressLineNumbers/>
        <w:spacing w:after="0" w:line="240" w:lineRule="auto"/>
        <w:jc w:val="both"/>
        <w:rPr>
          <w:rFonts w:ascii="Verdana" w:hAnsi="Verdana"/>
          <w:sz w:val="20"/>
          <w:szCs w:val="20"/>
        </w:rPr>
      </w:pPr>
    </w:p>
    <w:p w14:paraId="7A33D519" w14:textId="1985CD32" w:rsidR="00EF26F3" w:rsidRPr="00CA32B3" w:rsidRDefault="00EF26F3" w:rsidP="00690FE6">
      <w:pPr>
        <w:widowControl w:val="0"/>
        <w:suppressLineNumbers/>
        <w:spacing w:after="0" w:line="240" w:lineRule="auto"/>
        <w:ind w:left="708"/>
        <w:jc w:val="both"/>
        <w:rPr>
          <w:rFonts w:ascii="Verdana" w:hAnsi="Verdana"/>
          <w:i/>
          <w:sz w:val="20"/>
          <w:szCs w:val="20"/>
        </w:rPr>
      </w:pPr>
      <w:r w:rsidRPr="00CA32B3">
        <w:rPr>
          <w:rFonts w:ascii="Verdana" w:hAnsi="Verdana"/>
          <w:i/>
          <w:sz w:val="20"/>
          <w:szCs w:val="20"/>
        </w:rPr>
        <w:t>D.3. Consideraciones de la Corte</w:t>
      </w:r>
    </w:p>
    <w:p w14:paraId="3D1DBF3F" w14:textId="77777777" w:rsidR="00EF26F3" w:rsidRPr="00CA32B3" w:rsidRDefault="00EF26F3" w:rsidP="00690FE6">
      <w:pPr>
        <w:widowControl w:val="0"/>
        <w:suppressLineNumbers/>
        <w:spacing w:after="0" w:line="240" w:lineRule="auto"/>
        <w:ind w:left="708"/>
        <w:jc w:val="both"/>
        <w:rPr>
          <w:rFonts w:ascii="Verdana" w:hAnsi="Verdana"/>
          <w:sz w:val="20"/>
          <w:szCs w:val="20"/>
        </w:rPr>
      </w:pPr>
    </w:p>
    <w:p w14:paraId="75D553AB" w14:textId="279DE498" w:rsidR="004D60A8" w:rsidRPr="00CA32B3" w:rsidRDefault="004D60A8" w:rsidP="00690FE6">
      <w:pPr>
        <w:widowControl w:val="0"/>
        <w:numPr>
          <w:ilvl w:val="0"/>
          <w:numId w:val="3"/>
        </w:numPr>
        <w:suppressLineNumbers/>
        <w:spacing w:after="0" w:line="240" w:lineRule="auto"/>
        <w:ind w:left="0" w:firstLine="0"/>
        <w:jc w:val="both"/>
        <w:rPr>
          <w:rFonts w:ascii="Verdana" w:hAnsi="Verdana"/>
          <w:sz w:val="20"/>
          <w:szCs w:val="20"/>
        </w:rPr>
      </w:pPr>
      <w:r w:rsidRPr="00CA32B3">
        <w:rPr>
          <w:rFonts w:ascii="Verdana" w:hAnsi="Verdana"/>
          <w:sz w:val="20"/>
          <w:szCs w:val="20"/>
        </w:rPr>
        <w:t xml:space="preserve">Al respecto, este Tribunal estima que las consideraciones efectuadas precedentemente relativas a la ejecución de las medidas ordenadas en el punto </w:t>
      </w:r>
      <w:r w:rsidR="003D5DFA" w:rsidRPr="00CA32B3">
        <w:rPr>
          <w:rFonts w:ascii="Verdana" w:hAnsi="Verdana"/>
          <w:sz w:val="20"/>
          <w:szCs w:val="20"/>
        </w:rPr>
        <w:t>resolutivo</w:t>
      </w:r>
      <w:r w:rsidRPr="00CA32B3">
        <w:rPr>
          <w:rFonts w:ascii="Verdana" w:hAnsi="Verdana"/>
          <w:sz w:val="20"/>
          <w:szCs w:val="20"/>
        </w:rPr>
        <w:t xml:space="preserve"> décimo segundo de la Sentencia (</w:t>
      </w:r>
      <w:r w:rsidRPr="00CA32B3">
        <w:rPr>
          <w:rFonts w:ascii="Verdana" w:hAnsi="Verdana"/>
          <w:i/>
          <w:sz w:val="20"/>
          <w:szCs w:val="20"/>
        </w:rPr>
        <w:t>supra</w:t>
      </w:r>
      <w:r w:rsidRPr="00CA32B3">
        <w:rPr>
          <w:rFonts w:ascii="Verdana" w:hAnsi="Verdana"/>
          <w:sz w:val="20"/>
          <w:szCs w:val="20"/>
        </w:rPr>
        <w:t xml:space="preserve"> Considerandos</w:t>
      </w:r>
      <w:r w:rsidR="00441A97" w:rsidRPr="00CA32B3">
        <w:rPr>
          <w:rFonts w:ascii="Verdana" w:hAnsi="Verdana"/>
          <w:sz w:val="20"/>
          <w:szCs w:val="20"/>
        </w:rPr>
        <w:t xml:space="preserve"> 39</w:t>
      </w:r>
      <w:r w:rsidR="00690FE6" w:rsidRPr="00CA32B3">
        <w:rPr>
          <w:rFonts w:ascii="Verdana" w:hAnsi="Verdana"/>
          <w:sz w:val="20"/>
          <w:szCs w:val="20"/>
        </w:rPr>
        <w:t>,</w:t>
      </w:r>
      <w:r w:rsidR="00441A97" w:rsidRPr="00CA32B3">
        <w:rPr>
          <w:rFonts w:ascii="Verdana" w:hAnsi="Verdana"/>
          <w:sz w:val="20"/>
          <w:szCs w:val="20"/>
        </w:rPr>
        <w:t xml:space="preserve"> 40 y 41</w:t>
      </w:r>
      <w:r w:rsidRPr="00CA32B3">
        <w:rPr>
          <w:rFonts w:ascii="Verdana" w:hAnsi="Verdana"/>
          <w:sz w:val="20"/>
          <w:szCs w:val="20"/>
        </w:rPr>
        <w:t>), en razón de su naturaleza pecuniaria, son aplicables también respecto al análisis del cumplimiento de la</w:t>
      </w:r>
      <w:r w:rsidR="00202BF2" w:rsidRPr="00CA32B3">
        <w:rPr>
          <w:rFonts w:ascii="Verdana" w:hAnsi="Verdana"/>
          <w:sz w:val="20"/>
          <w:szCs w:val="20"/>
        </w:rPr>
        <w:t>s</w:t>
      </w:r>
      <w:r w:rsidRPr="00CA32B3">
        <w:rPr>
          <w:rFonts w:ascii="Verdana" w:hAnsi="Verdana"/>
          <w:sz w:val="20"/>
          <w:szCs w:val="20"/>
        </w:rPr>
        <w:t xml:space="preserve"> medida</w:t>
      </w:r>
      <w:r w:rsidR="00202BF2" w:rsidRPr="00CA32B3">
        <w:rPr>
          <w:rFonts w:ascii="Verdana" w:hAnsi="Verdana"/>
          <w:sz w:val="20"/>
          <w:szCs w:val="20"/>
        </w:rPr>
        <w:t>s</w:t>
      </w:r>
      <w:r w:rsidRPr="00CA32B3">
        <w:rPr>
          <w:rFonts w:ascii="Verdana" w:hAnsi="Verdana"/>
          <w:sz w:val="20"/>
          <w:szCs w:val="20"/>
        </w:rPr>
        <w:t xml:space="preserve"> ordenada</w:t>
      </w:r>
      <w:r w:rsidR="00202BF2" w:rsidRPr="00CA32B3">
        <w:rPr>
          <w:rFonts w:ascii="Verdana" w:hAnsi="Verdana"/>
          <w:sz w:val="20"/>
          <w:szCs w:val="20"/>
        </w:rPr>
        <w:t>s</w:t>
      </w:r>
      <w:r w:rsidRPr="00CA32B3">
        <w:rPr>
          <w:rFonts w:ascii="Verdana" w:hAnsi="Verdana"/>
          <w:sz w:val="20"/>
          <w:szCs w:val="20"/>
        </w:rPr>
        <w:t xml:space="preserve"> en el punto </w:t>
      </w:r>
      <w:r w:rsidR="003D5DFA" w:rsidRPr="00CA32B3">
        <w:rPr>
          <w:rFonts w:ascii="Verdana" w:hAnsi="Verdana"/>
          <w:sz w:val="20"/>
          <w:szCs w:val="20"/>
        </w:rPr>
        <w:t>resolutivo</w:t>
      </w:r>
      <w:r w:rsidRPr="00CA32B3">
        <w:rPr>
          <w:rFonts w:ascii="Verdana" w:hAnsi="Verdana"/>
          <w:sz w:val="20"/>
          <w:szCs w:val="20"/>
        </w:rPr>
        <w:t xml:space="preserve"> décimo quinto del Fallo. </w:t>
      </w:r>
    </w:p>
    <w:p w14:paraId="690C7C55" w14:textId="77777777" w:rsidR="004D60A8" w:rsidRPr="00CA32B3" w:rsidRDefault="004D60A8" w:rsidP="00690FE6">
      <w:pPr>
        <w:pStyle w:val="Prrafodelista"/>
        <w:suppressLineNumbers/>
        <w:spacing w:after="0" w:line="240" w:lineRule="auto"/>
        <w:ind w:left="0"/>
        <w:rPr>
          <w:rFonts w:ascii="Verdana" w:hAnsi="Verdana"/>
          <w:sz w:val="20"/>
          <w:szCs w:val="20"/>
          <w:lang w:val="es-CR"/>
        </w:rPr>
      </w:pPr>
    </w:p>
    <w:p w14:paraId="7A765C73" w14:textId="41933049" w:rsidR="00441A97" w:rsidRPr="00CA32B3" w:rsidRDefault="00441A97" w:rsidP="00690FE6">
      <w:pPr>
        <w:widowControl w:val="0"/>
        <w:numPr>
          <w:ilvl w:val="0"/>
          <w:numId w:val="3"/>
        </w:numPr>
        <w:suppressLineNumbers/>
        <w:spacing w:after="0" w:line="240" w:lineRule="auto"/>
        <w:ind w:left="0" w:firstLine="0"/>
        <w:jc w:val="both"/>
        <w:rPr>
          <w:rFonts w:ascii="Verdana" w:hAnsi="Verdana"/>
          <w:sz w:val="20"/>
          <w:szCs w:val="20"/>
        </w:rPr>
      </w:pPr>
      <w:r w:rsidRPr="00CA32B3">
        <w:rPr>
          <w:rFonts w:ascii="Verdana" w:hAnsi="Verdana"/>
          <w:sz w:val="20"/>
          <w:szCs w:val="20"/>
        </w:rPr>
        <w:t>Respecto de los pagos que el Estado alegó haber efectuado (</w:t>
      </w:r>
      <w:r w:rsidRPr="00CA32B3">
        <w:rPr>
          <w:rFonts w:ascii="Verdana" w:hAnsi="Verdana"/>
          <w:i/>
          <w:sz w:val="20"/>
          <w:szCs w:val="20"/>
        </w:rPr>
        <w:t>supra</w:t>
      </w:r>
      <w:r w:rsidRPr="00CA32B3">
        <w:rPr>
          <w:rFonts w:ascii="Verdana" w:hAnsi="Verdana"/>
          <w:sz w:val="20"/>
          <w:szCs w:val="20"/>
        </w:rPr>
        <w:t xml:space="preserve"> Considerando 44), para continuar una adecuada supervisión de la medida, es necesario que el Estado indique cuál es el tipo de cambio que ha utilizado para realizar dichas cancelaciones dinerarias, cuáles son los montos pendientes respecto de cada una de las víctimas y que aporte la documentación de respaldo que considere pertinente. </w:t>
      </w:r>
    </w:p>
    <w:p w14:paraId="413C92D1" w14:textId="4CF49DD0" w:rsidR="00441A97" w:rsidRPr="00CA32B3" w:rsidRDefault="00441A97" w:rsidP="00690FE6">
      <w:pPr>
        <w:widowControl w:val="0"/>
        <w:suppressLineNumbers/>
        <w:spacing w:after="0" w:line="240" w:lineRule="auto"/>
        <w:jc w:val="both"/>
        <w:rPr>
          <w:rFonts w:ascii="Verdana" w:hAnsi="Verdana"/>
          <w:sz w:val="20"/>
          <w:szCs w:val="20"/>
        </w:rPr>
      </w:pPr>
    </w:p>
    <w:p w14:paraId="6F57337B" w14:textId="297C9AEA" w:rsidR="00C449AB" w:rsidRPr="00CA32B3" w:rsidRDefault="00E52E08" w:rsidP="00690FE6">
      <w:pPr>
        <w:widowControl w:val="0"/>
        <w:numPr>
          <w:ilvl w:val="0"/>
          <w:numId w:val="3"/>
        </w:numPr>
        <w:suppressLineNumbers/>
        <w:spacing w:after="0" w:line="240" w:lineRule="auto"/>
        <w:ind w:left="0" w:firstLine="0"/>
        <w:jc w:val="both"/>
        <w:rPr>
          <w:rFonts w:ascii="Verdana" w:hAnsi="Verdana"/>
          <w:sz w:val="18"/>
          <w:szCs w:val="20"/>
        </w:rPr>
      </w:pPr>
      <w:r w:rsidRPr="00CA32B3">
        <w:rPr>
          <w:rFonts w:ascii="Verdana" w:hAnsi="Verdana"/>
          <w:sz w:val="20"/>
          <w:szCs w:val="20"/>
        </w:rPr>
        <w:t>Finalmente</w:t>
      </w:r>
      <w:r w:rsidR="00861763" w:rsidRPr="00CA32B3">
        <w:rPr>
          <w:rFonts w:ascii="Verdana" w:hAnsi="Verdana"/>
          <w:sz w:val="20"/>
          <w:szCs w:val="20"/>
        </w:rPr>
        <w:t xml:space="preserve">, </w:t>
      </w:r>
      <w:r w:rsidR="003F59BC" w:rsidRPr="00CA32B3">
        <w:rPr>
          <w:rFonts w:ascii="Verdana" w:hAnsi="Verdana"/>
          <w:sz w:val="20"/>
          <w:szCs w:val="20"/>
        </w:rPr>
        <w:t xml:space="preserve">respecto de la petición de inclusión de beneficiarios de la presente medida </w:t>
      </w:r>
      <w:r w:rsidR="00861763" w:rsidRPr="00CA32B3">
        <w:rPr>
          <w:rFonts w:ascii="Verdana" w:hAnsi="Verdana"/>
          <w:sz w:val="20"/>
          <w:szCs w:val="20"/>
        </w:rPr>
        <w:t>formulada por los representantes (</w:t>
      </w:r>
      <w:r w:rsidR="00861763" w:rsidRPr="00CA32B3">
        <w:rPr>
          <w:rFonts w:ascii="Verdana" w:hAnsi="Verdana"/>
          <w:i/>
          <w:sz w:val="20"/>
          <w:szCs w:val="20"/>
        </w:rPr>
        <w:t>supra</w:t>
      </w:r>
      <w:r w:rsidR="00861763" w:rsidRPr="00CA32B3">
        <w:rPr>
          <w:rFonts w:ascii="Verdana" w:hAnsi="Verdana"/>
          <w:sz w:val="20"/>
          <w:szCs w:val="20"/>
        </w:rPr>
        <w:t xml:space="preserve"> Considerando</w:t>
      </w:r>
      <w:r w:rsidR="00441A97" w:rsidRPr="00CA32B3">
        <w:rPr>
          <w:rFonts w:ascii="Verdana" w:hAnsi="Verdana"/>
          <w:sz w:val="20"/>
          <w:szCs w:val="20"/>
        </w:rPr>
        <w:t xml:space="preserve"> 45),</w:t>
      </w:r>
      <w:r w:rsidR="00861763" w:rsidRPr="00CA32B3">
        <w:rPr>
          <w:rFonts w:ascii="Verdana" w:hAnsi="Verdana"/>
          <w:sz w:val="20"/>
          <w:szCs w:val="20"/>
        </w:rPr>
        <w:t xml:space="preserve"> </w:t>
      </w:r>
      <w:r w:rsidR="003F59BC" w:rsidRPr="00CA32B3">
        <w:rPr>
          <w:rFonts w:ascii="Verdana" w:hAnsi="Verdana"/>
          <w:sz w:val="20"/>
          <w:szCs w:val="20"/>
        </w:rPr>
        <w:t xml:space="preserve">la Corte </w:t>
      </w:r>
      <w:r w:rsidR="00D24522" w:rsidRPr="00CA32B3">
        <w:rPr>
          <w:rFonts w:ascii="Verdana" w:hAnsi="Verdana"/>
          <w:sz w:val="20"/>
          <w:szCs w:val="20"/>
        </w:rPr>
        <w:t>desconoce si lo</w:t>
      </w:r>
      <w:r w:rsidR="00EF26F3" w:rsidRPr="00CA32B3">
        <w:rPr>
          <w:rFonts w:ascii="Verdana" w:hAnsi="Verdana"/>
          <w:sz w:val="20"/>
          <w:szCs w:val="20"/>
        </w:rPr>
        <w:t xml:space="preserve">s representantes presentaron información adicional ante las autoridades estatales, así como qué tratamiento </w:t>
      </w:r>
      <w:r w:rsidR="00441A97" w:rsidRPr="00CA32B3">
        <w:rPr>
          <w:rFonts w:ascii="Verdana" w:hAnsi="Verdana"/>
          <w:sz w:val="20"/>
          <w:szCs w:val="20"/>
        </w:rPr>
        <w:t>h</w:t>
      </w:r>
      <w:r w:rsidR="00EF26F3" w:rsidRPr="00CA32B3">
        <w:rPr>
          <w:rFonts w:ascii="Verdana" w:hAnsi="Verdana"/>
          <w:sz w:val="20"/>
          <w:szCs w:val="20"/>
        </w:rPr>
        <w:t xml:space="preserve">a dado el Perú a tal solicitud. </w:t>
      </w:r>
      <w:r w:rsidR="00861763" w:rsidRPr="00CA32B3">
        <w:rPr>
          <w:rFonts w:ascii="Verdana" w:hAnsi="Verdana"/>
          <w:sz w:val="20"/>
          <w:szCs w:val="20"/>
        </w:rPr>
        <w:t>Para poder emitir un pronunciamiento al respecto, este Tribunal requiere que, en su próximo informe</w:t>
      </w:r>
      <w:r w:rsidR="00202BF2" w:rsidRPr="00CA32B3">
        <w:rPr>
          <w:rFonts w:ascii="Verdana" w:hAnsi="Verdana"/>
          <w:sz w:val="20"/>
          <w:szCs w:val="20"/>
        </w:rPr>
        <w:t xml:space="preserve"> y observaciones</w:t>
      </w:r>
      <w:r w:rsidR="00861763" w:rsidRPr="00CA32B3">
        <w:rPr>
          <w:rFonts w:ascii="Verdana" w:hAnsi="Verdana"/>
          <w:sz w:val="20"/>
          <w:szCs w:val="20"/>
        </w:rPr>
        <w:t xml:space="preserve">, </w:t>
      </w:r>
      <w:r w:rsidR="003F59BC" w:rsidRPr="00CA32B3">
        <w:rPr>
          <w:rFonts w:ascii="Verdana" w:hAnsi="Verdana"/>
          <w:sz w:val="20"/>
          <w:szCs w:val="20"/>
        </w:rPr>
        <w:t>las partes</w:t>
      </w:r>
      <w:r w:rsidR="00861763" w:rsidRPr="00CA32B3">
        <w:rPr>
          <w:rFonts w:ascii="Verdana" w:hAnsi="Verdana"/>
          <w:sz w:val="20"/>
          <w:szCs w:val="20"/>
        </w:rPr>
        <w:t xml:space="preserve"> </w:t>
      </w:r>
      <w:r w:rsidR="00EF26F3" w:rsidRPr="00CA32B3">
        <w:rPr>
          <w:rFonts w:ascii="Verdana" w:hAnsi="Verdana"/>
          <w:sz w:val="20"/>
          <w:szCs w:val="20"/>
        </w:rPr>
        <w:t>presenten información actualizada y clara al respecto</w:t>
      </w:r>
      <w:r w:rsidR="00861763" w:rsidRPr="00CA32B3">
        <w:rPr>
          <w:rFonts w:ascii="Verdana" w:hAnsi="Verdana"/>
          <w:sz w:val="20"/>
          <w:szCs w:val="20"/>
        </w:rPr>
        <w:t>.</w:t>
      </w:r>
    </w:p>
    <w:p w14:paraId="4CB34F4B" w14:textId="77777777" w:rsidR="00441A97" w:rsidRPr="00CA32B3" w:rsidRDefault="00441A97" w:rsidP="00690FE6">
      <w:pPr>
        <w:widowControl w:val="0"/>
        <w:suppressLineNumbers/>
        <w:spacing w:after="0" w:line="240" w:lineRule="auto"/>
        <w:jc w:val="both"/>
        <w:rPr>
          <w:rFonts w:ascii="Verdana" w:hAnsi="Verdana"/>
          <w:sz w:val="18"/>
          <w:szCs w:val="20"/>
        </w:rPr>
      </w:pPr>
    </w:p>
    <w:p w14:paraId="7F5EDE81" w14:textId="75D60933" w:rsidR="00A876C8" w:rsidRPr="00CA32B3" w:rsidRDefault="00861763" w:rsidP="00690FE6">
      <w:pPr>
        <w:widowControl w:val="0"/>
        <w:numPr>
          <w:ilvl w:val="0"/>
          <w:numId w:val="3"/>
        </w:numPr>
        <w:suppressLineNumbers/>
        <w:spacing w:after="0" w:line="240" w:lineRule="auto"/>
        <w:ind w:left="0" w:firstLine="0"/>
        <w:jc w:val="both"/>
        <w:rPr>
          <w:rFonts w:ascii="Verdana" w:hAnsi="Verdana"/>
          <w:sz w:val="20"/>
        </w:rPr>
      </w:pPr>
      <w:r w:rsidRPr="00CA32B3">
        <w:rPr>
          <w:rFonts w:ascii="Verdana" w:hAnsi="Verdana"/>
          <w:sz w:val="20"/>
        </w:rPr>
        <w:t xml:space="preserve">Por lo anterior, el Tribunal declara que se encuentran pendientes de cumplimiento las medidas de reparación relativas a realizar los pagos por concepto de indemnización compensatoria y al reintegro de costas y gastos, ordenadas en el punto </w:t>
      </w:r>
      <w:r w:rsidR="00441A97" w:rsidRPr="00CA32B3">
        <w:rPr>
          <w:rFonts w:ascii="Verdana" w:hAnsi="Verdana"/>
          <w:sz w:val="20"/>
        </w:rPr>
        <w:t>resolutivo</w:t>
      </w:r>
      <w:r w:rsidRPr="00CA32B3">
        <w:rPr>
          <w:rFonts w:ascii="Verdana" w:hAnsi="Verdana"/>
          <w:sz w:val="20"/>
        </w:rPr>
        <w:t xml:space="preserve"> décimo quinto de la Sentencia.</w:t>
      </w:r>
    </w:p>
    <w:p w14:paraId="2F2BD726" w14:textId="77777777" w:rsidR="00A876C8" w:rsidRPr="00CA32B3" w:rsidRDefault="00A876C8">
      <w:pPr>
        <w:spacing w:after="0" w:line="240" w:lineRule="auto"/>
        <w:rPr>
          <w:rFonts w:ascii="Verdana" w:hAnsi="Verdana"/>
          <w:sz w:val="20"/>
        </w:rPr>
      </w:pPr>
      <w:r w:rsidRPr="00CA32B3">
        <w:rPr>
          <w:rFonts w:ascii="Verdana" w:hAnsi="Verdana"/>
          <w:sz w:val="20"/>
        </w:rPr>
        <w:br w:type="page"/>
      </w:r>
    </w:p>
    <w:p w14:paraId="3F929769" w14:textId="338D4609" w:rsidR="00CF7903" w:rsidRPr="00CA32B3" w:rsidRDefault="00CF7903" w:rsidP="00690FE6">
      <w:pPr>
        <w:suppressLineNumbers/>
        <w:autoSpaceDE w:val="0"/>
        <w:autoSpaceDN w:val="0"/>
        <w:adjustRightInd w:val="0"/>
        <w:spacing w:after="0" w:line="240" w:lineRule="auto"/>
        <w:ind w:left="720"/>
        <w:jc w:val="both"/>
        <w:rPr>
          <w:rFonts w:ascii="Verdana" w:eastAsia="Calibri" w:hAnsi="Verdana" w:cs="Verdana"/>
          <w:sz w:val="18"/>
          <w:szCs w:val="18"/>
        </w:rPr>
      </w:pPr>
    </w:p>
    <w:p w14:paraId="707B0529" w14:textId="77777777" w:rsidR="00C449AB" w:rsidRPr="00CA32B3" w:rsidRDefault="00861763" w:rsidP="00690FE6">
      <w:pPr>
        <w:pStyle w:val="Prrafodelista"/>
        <w:numPr>
          <w:ilvl w:val="0"/>
          <w:numId w:val="7"/>
        </w:numPr>
        <w:suppressLineNumbers/>
        <w:tabs>
          <w:tab w:val="left" w:pos="680"/>
        </w:tabs>
        <w:spacing w:after="0" w:line="240" w:lineRule="auto"/>
        <w:jc w:val="both"/>
        <w:outlineLvl w:val="0"/>
        <w:rPr>
          <w:rFonts w:ascii="Verdana" w:hAnsi="Verdana"/>
          <w:b/>
          <w:i/>
          <w:sz w:val="20"/>
        </w:rPr>
      </w:pPr>
      <w:bookmarkStart w:id="5" w:name="_Toc17436"/>
      <w:r w:rsidRPr="00CA32B3">
        <w:rPr>
          <w:rFonts w:ascii="Verdana" w:hAnsi="Verdana"/>
          <w:b/>
          <w:i/>
          <w:sz w:val="20"/>
        </w:rPr>
        <w:t>Tratamiento médico y psicológico y/o psiquiátrico</w:t>
      </w:r>
      <w:bookmarkEnd w:id="5"/>
    </w:p>
    <w:p w14:paraId="3A81EB9C" w14:textId="77777777" w:rsidR="00C449AB" w:rsidRPr="00CA32B3" w:rsidRDefault="00C449AB" w:rsidP="00690FE6">
      <w:pPr>
        <w:suppressLineNumbers/>
        <w:tabs>
          <w:tab w:val="left" w:pos="680"/>
        </w:tabs>
        <w:spacing w:after="0" w:line="240" w:lineRule="auto"/>
        <w:jc w:val="both"/>
        <w:rPr>
          <w:rFonts w:ascii="Verdana" w:hAnsi="Verdana"/>
          <w:sz w:val="20"/>
        </w:rPr>
      </w:pPr>
    </w:p>
    <w:p w14:paraId="253880F0" w14:textId="49EEFB64" w:rsidR="00C449AB" w:rsidRPr="00CA32B3" w:rsidRDefault="00CF7903" w:rsidP="00690FE6">
      <w:pPr>
        <w:suppressLineNumbers/>
        <w:tabs>
          <w:tab w:val="left" w:pos="680"/>
        </w:tabs>
        <w:spacing w:after="0" w:line="240" w:lineRule="auto"/>
        <w:jc w:val="both"/>
        <w:rPr>
          <w:rFonts w:ascii="Verdana" w:hAnsi="Verdana"/>
          <w:i/>
          <w:sz w:val="20"/>
        </w:rPr>
      </w:pPr>
      <w:r w:rsidRPr="00CA32B3">
        <w:rPr>
          <w:rFonts w:ascii="Verdana" w:hAnsi="Verdana"/>
          <w:i/>
          <w:sz w:val="20"/>
        </w:rPr>
        <w:tab/>
      </w:r>
      <w:r w:rsidR="00861763" w:rsidRPr="00CA32B3">
        <w:rPr>
          <w:rFonts w:ascii="Verdana" w:hAnsi="Verdana"/>
          <w:i/>
          <w:sz w:val="20"/>
        </w:rPr>
        <w:t xml:space="preserve">E.1. Medida ordenada en la Sentencia </w:t>
      </w:r>
    </w:p>
    <w:p w14:paraId="03B732AF" w14:textId="77777777" w:rsidR="00C449AB" w:rsidRPr="00CA32B3" w:rsidRDefault="00C449AB" w:rsidP="00690FE6">
      <w:pPr>
        <w:suppressLineNumbers/>
        <w:tabs>
          <w:tab w:val="left" w:pos="680"/>
        </w:tabs>
        <w:spacing w:after="0" w:line="240" w:lineRule="auto"/>
        <w:jc w:val="both"/>
        <w:rPr>
          <w:rFonts w:ascii="Verdana" w:hAnsi="Verdana"/>
          <w:i/>
          <w:sz w:val="20"/>
        </w:rPr>
      </w:pPr>
    </w:p>
    <w:p w14:paraId="65C1A354" w14:textId="59A19030" w:rsidR="00D60149" w:rsidRPr="00CA32B3" w:rsidRDefault="00D60149" w:rsidP="00690FE6">
      <w:pPr>
        <w:numPr>
          <w:ilvl w:val="0"/>
          <w:numId w:val="3"/>
        </w:numPr>
        <w:suppressLineNumbers/>
        <w:spacing w:after="0" w:line="240" w:lineRule="auto"/>
        <w:ind w:left="0" w:firstLine="0"/>
        <w:jc w:val="both"/>
      </w:pPr>
      <w:r w:rsidRPr="00CA32B3">
        <w:rPr>
          <w:rFonts w:ascii="Verdana" w:hAnsi="Verdana"/>
          <w:sz w:val="20"/>
          <w:szCs w:val="20"/>
        </w:rPr>
        <w:t>En el punto resolutivo 13 y en los párrafos 307 y 308 de la Sentencia, la Corte dispuso que el Estado “debe brindar gratuitamente, a través de sus instituciones de salud especializadas, y de forma inmediata, adecuada, integral y efectiva, tratamiento médico y psicológico o psiquiátrico, a las víctimas que así lo soliciten, previo consentimiento informado, incluyendo el suministro gratuito de los medicamentos que eventualmente se requieran, tomando en consideración los padecimientos de cada uno de ellos”. La Corte estableció que ello “implica que las víctimas deberán recibir un tratamiento diferenciado en relación con el trámite y procedimiento que debieran realizar para ser atendidos en instituciones públicas”. También dispuso que “los tratamientos respectivos deberán prestarse, en la medida de lo posible, en los centros más cercanos a sus lugares de residencia en el Perú por el tiempo que sea necesario”. Finalmente, señaló que “</w:t>
      </w:r>
      <w:r w:rsidRPr="00CA32B3">
        <w:rPr>
          <w:rFonts w:ascii="Verdana" w:hAnsi="Verdana" w:cs="Calibri"/>
          <w:sz w:val="20"/>
          <w:szCs w:val="20"/>
        </w:rPr>
        <w:t>[</w:t>
      </w:r>
      <w:r w:rsidRPr="00CA32B3">
        <w:rPr>
          <w:rFonts w:ascii="Verdana" w:hAnsi="Verdana"/>
          <w:sz w:val="20"/>
          <w:szCs w:val="20"/>
        </w:rPr>
        <w:t>a</w:t>
      </w:r>
      <w:r w:rsidRPr="00CA32B3">
        <w:rPr>
          <w:rFonts w:ascii="Verdana" w:hAnsi="Verdana" w:cs="Calibri"/>
          <w:sz w:val="20"/>
          <w:szCs w:val="20"/>
        </w:rPr>
        <w:t>]</w:t>
      </w:r>
      <w:r w:rsidRPr="00CA32B3">
        <w:rPr>
          <w:rFonts w:ascii="Verdana" w:hAnsi="Verdana"/>
          <w:sz w:val="20"/>
          <w:szCs w:val="20"/>
        </w:rPr>
        <w:t>l proveer el tratamiento psicológico o psiquiátrico se debe considerar, además, las circunstancias y necesidades particulares de cada víctima, de manera que se les brinden tratamientos colectivos, familiares e individuales, según lo que se acuerde con cada una de ellas y después de una evaluación individual”</w:t>
      </w:r>
      <w:r w:rsidRPr="00CA32B3">
        <w:rPr>
          <w:rStyle w:val="Refdenotaalpie"/>
          <w:rFonts w:ascii="Verdana" w:hAnsi="Verdana"/>
          <w:sz w:val="20"/>
          <w:szCs w:val="20"/>
        </w:rPr>
        <w:footnoteReference w:id="66"/>
      </w:r>
      <w:r w:rsidRPr="00CA32B3">
        <w:rPr>
          <w:rFonts w:ascii="Verdana" w:hAnsi="Verdana"/>
          <w:sz w:val="20"/>
          <w:szCs w:val="20"/>
        </w:rPr>
        <w:t>.</w:t>
      </w:r>
      <w:r w:rsidRPr="00CA32B3">
        <w:t xml:space="preserve"> </w:t>
      </w:r>
    </w:p>
    <w:p w14:paraId="257BBA94" w14:textId="77777777" w:rsidR="00D60149" w:rsidRPr="00CA32B3" w:rsidRDefault="00D60149" w:rsidP="00690FE6">
      <w:pPr>
        <w:suppressLineNumbers/>
        <w:spacing w:after="0" w:line="240" w:lineRule="auto"/>
        <w:jc w:val="both"/>
      </w:pPr>
    </w:p>
    <w:p w14:paraId="64BBC835" w14:textId="6BB97ED6" w:rsidR="00A95766" w:rsidRPr="00CA32B3" w:rsidRDefault="00CF7903" w:rsidP="00690FE6">
      <w:pPr>
        <w:suppressLineNumbers/>
        <w:tabs>
          <w:tab w:val="left" w:pos="680"/>
        </w:tabs>
        <w:spacing w:after="0" w:line="240" w:lineRule="auto"/>
        <w:jc w:val="both"/>
        <w:rPr>
          <w:rFonts w:ascii="Verdana" w:hAnsi="Verdana"/>
          <w:i/>
          <w:sz w:val="20"/>
        </w:rPr>
      </w:pPr>
      <w:r w:rsidRPr="00CA32B3">
        <w:rPr>
          <w:rFonts w:ascii="Verdana" w:hAnsi="Verdana"/>
          <w:i/>
          <w:sz w:val="20"/>
        </w:rPr>
        <w:tab/>
      </w:r>
      <w:r w:rsidR="00861763" w:rsidRPr="00CA32B3">
        <w:rPr>
          <w:rFonts w:ascii="Verdana" w:hAnsi="Verdana"/>
          <w:i/>
          <w:sz w:val="20"/>
        </w:rPr>
        <w:t>E.2.</w:t>
      </w:r>
      <w:r w:rsidR="00A95766" w:rsidRPr="00CA32B3">
        <w:rPr>
          <w:rFonts w:ascii="Verdana" w:hAnsi="Verdana"/>
          <w:i/>
          <w:sz w:val="20"/>
        </w:rPr>
        <w:t xml:space="preserve"> </w:t>
      </w:r>
      <w:r w:rsidR="00A95766" w:rsidRPr="00CA32B3">
        <w:rPr>
          <w:rFonts w:ascii="Verdana" w:hAnsi="Verdana"/>
          <w:i/>
          <w:sz w:val="20"/>
        </w:rPr>
        <w:tab/>
        <w:t>Información y observaciones de las partes</w:t>
      </w:r>
    </w:p>
    <w:p w14:paraId="376823BD" w14:textId="48C5BBA0" w:rsidR="00A95766" w:rsidRPr="00CA32B3" w:rsidRDefault="00861763" w:rsidP="00690FE6">
      <w:pPr>
        <w:suppressLineNumbers/>
        <w:tabs>
          <w:tab w:val="left" w:pos="680"/>
        </w:tabs>
        <w:spacing w:after="0" w:line="240" w:lineRule="auto"/>
        <w:jc w:val="both"/>
        <w:rPr>
          <w:rFonts w:ascii="Verdana" w:hAnsi="Verdana"/>
          <w:i/>
          <w:sz w:val="20"/>
        </w:rPr>
      </w:pPr>
      <w:r w:rsidRPr="00CA32B3">
        <w:rPr>
          <w:rFonts w:ascii="Verdana" w:hAnsi="Verdana"/>
          <w:i/>
          <w:sz w:val="20"/>
        </w:rPr>
        <w:t xml:space="preserve"> </w:t>
      </w:r>
    </w:p>
    <w:p w14:paraId="68CE0727" w14:textId="3D681745" w:rsidR="00D60149" w:rsidRPr="00CA32B3" w:rsidRDefault="00D60149" w:rsidP="00690FE6">
      <w:pPr>
        <w:pStyle w:val="Prrafodelista"/>
        <w:widowControl w:val="0"/>
        <w:numPr>
          <w:ilvl w:val="0"/>
          <w:numId w:val="3"/>
        </w:numPr>
        <w:suppressLineNumbers/>
        <w:spacing w:after="0" w:line="240" w:lineRule="auto"/>
        <w:ind w:left="0" w:firstLine="0"/>
        <w:jc w:val="both"/>
        <w:rPr>
          <w:rFonts w:ascii="Verdana" w:hAnsi="Verdana"/>
          <w:b/>
          <w:sz w:val="20"/>
          <w:szCs w:val="20"/>
          <w:lang w:val="es-CR"/>
        </w:rPr>
      </w:pPr>
      <w:r w:rsidRPr="00CA32B3">
        <w:rPr>
          <w:rFonts w:ascii="Verdana" w:hAnsi="Verdana"/>
          <w:sz w:val="20"/>
          <w:szCs w:val="20"/>
          <w:lang w:val="es-CR"/>
        </w:rPr>
        <w:t>Dentro del plazo dispuesto en la Sentencia (</w:t>
      </w:r>
      <w:r w:rsidRPr="00CA32B3">
        <w:rPr>
          <w:rFonts w:ascii="Verdana" w:hAnsi="Verdana"/>
          <w:i/>
          <w:sz w:val="20"/>
          <w:szCs w:val="20"/>
          <w:lang w:val="es-CR"/>
        </w:rPr>
        <w:t>supra</w:t>
      </w:r>
      <w:r w:rsidRPr="00CA32B3">
        <w:rPr>
          <w:rFonts w:ascii="Verdana" w:hAnsi="Verdana"/>
          <w:sz w:val="20"/>
          <w:szCs w:val="20"/>
          <w:lang w:val="es-CR"/>
        </w:rPr>
        <w:t xml:space="preserve"> Considerando 50), las ocho víctimas expresaron su deseo de recibir atención médica, psicológica y/o psiquiátrica</w:t>
      </w:r>
      <w:r w:rsidRPr="00CA32B3">
        <w:rPr>
          <w:rStyle w:val="Refdenotaalpie"/>
          <w:rFonts w:ascii="Verdana" w:hAnsi="Verdana"/>
          <w:sz w:val="20"/>
          <w:szCs w:val="20"/>
          <w:lang w:val="es-CR"/>
        </w:rPr>
        <w:footnoteReference w:id="67"/>
      </w:r>
      <w:r w:rsidRPr="00CA32B3">
        <w:rPr>
          <w:rFonts w:ascii="Verdana" w:hAnsi="Verdana"/>
          <w:sz w:val="20"/>
          <w:szCs w:val="20"/>
          <w:lang w:val="es-CR"/>
        </w:rPr>
        <w:t>.</w:t>
      </w:r>
      <w:r w:rsidRPr="00CA32B3">
        <w:rPr>
          <w:rFonts w:ascii="Verdana" w:hAnsi="Verdana"/>
          <w:b/>
          <w:sz w:val="20"/>
          <w:szCs w:val="20"/>
          <w:lang w:val="es-CR"/>
        </w:rPr>
        <w:t xml:space="preserve"> </w:t>
      </w:r>
      <w:r w:rsidRPr="00CA32B3">
        <w:rPr>
          <w:rFonts w:ascii="Verdana" w:hAnsi="Verdana"/>
          <w:sz w:val="20"/>
          <w:szCs w:val="20"/>
          <w:lang w:val="es-CR"/>
        </w:rPr>
        <w:t>Por consiguiente,</w:t>
      </w:r>
      <w:r w:rsidRPr="00CA32B3">
        <w:rPr>
          <w:rFonts w:ascii="Verdana" w:hAnsi="Verdana"/>
          <w:b/>
          <w:sz w:val="20"/>
          <w:szCs w:val="20"/>
          <w:lang w:val="es-CR"/>
        </w:rPr>
        <w:t xml:space="preserve"> </w:t>
      </w:r>
      <w:r w:rsidRPr="00CA32B3">
        <w:rPr>
          <w:rFonts w:ascii="Verdana" w:hAnsi="Verdana"/>
          <w:sz w:val="20"/>
          <w:szCs w:val="20"/>
          <w:lang w:val="es-CR"/>
        </w:rPr>
        <w:t xml:space="preserve">en noviembre de 2016, el </w:t>
      </w:r>
      <w:r w:rsidRPr="00CA32B3">
        <w:rPr>
          <w:rFonts w:ascii="Verdana" w:hAnsi="Verdana"/>
          <w:i/>
          <w:sz w:val="20"/>
          <w:szCs w:val="20"/>
          <w:lang w:val="es-CR"/>
        </w:rPr>
        <w:t xml:space="preserve">Estado </w:t>
      </w:r>
      <w:r w:rsidRPr="00CA32B3">
        <w:rPr>
          <w:rFonts w:ascii="Verdana" w:hAnsi="Verdana"/>
          <w:sz w:val="20"/>
          <w:szCs w:val="20"/>
          <w:lang w:val="es-CR"/>
        </w:rPr>
        <w:t xml:space="preserve">informó haber solicitado “a la autoridad competente” </w:t>
      </w:r>
      <w:r w:rsidR="00451EB0" w:rsidRPr="00CA32B3">
        <w:rPr>
          <w:rFonts w:ascii="Verdana" w:hAnsi="Verdana"/>
          <w:sz w:val="20"/>
          <w:szCs w:val="20"/>
          <w:lang w:val="es-CR"/>
        </w:rPr>
        <w:t>su</w:t>
      </w:r>
      <w:r w:rsidRPr="00CA32B3">
        <w:rPr>
          <w:rFonts w:ascii="Verdana" w:hAnsi="Verdana"/>
          <w:sz w:val="20"/>
          <w:szCs w:val="20"/>
          <w:lang w:val="es-CR"/>
        </w:rPr>
        <w:t xml:space="preserve"> afiliación al Sistema Integral de Salud (SIS).</w:t>
      </w:r>
      <w:r w:rsidRPr="00CA32B3">
        <w:rPr>
          <w:rFonts w:ascii="Verdana" w:hAnsi="Verdana"/>
          <w:b/>
          <w:sz w:val="20"/>
          <w:szCs w:val="20"/>
          <w:lang w:val="es-CR"/>
        </w:rPr>
        <w:t xml:space="preserve"> </w:t>
      </w:r>
      <w:r w:rsidRPr="00CA32B3">
        <w:rPr>
          <w:rFonts w:ascii="Verdana" w:hAnsi="Verdana"/>
          <w:sz w:val="20"/>
          <w:szCs w:val="20"/>
          <w:lang w:val="es-CR"/>
        </w:rPr>
        <w:t xml:space="preserve">En su informe de octubre de 2019, el </w:t>
      </w:r>
      <w:r w:rsidRPr="00CA32B3">
        <w:rPr>
          <w:rFonts w:ascii="Verdana" w:hAnsi="Verdana"/>
          <w:i/>
          <w:sz w:val="20"/>
          <w:szCs w:val="20"/>
          <w:lang w:val="es-CR"/>
        </w:rPr>
        <w:t>Estado</w:t>
      </w:r>
      <w:r w:rsidRPr="00CA32B3">
        <w:rPr>
          <w:rFonts w:ascii="Verdana" w:hAnsi="Verdana"/>
          <w:sz w:val="20"/>
          <w:szCs w:val="20"/>
          <w:lang w:val="es-CR"/>
        </w:rPr>
        <w:t xml:space="preserve"> aportó un documento emitido por el Ministerio de Salud</w:t>
      </w:r>
      <w:r w:rsidRPr="00CA32B3">
        <w:rPr>
          <w:rFonts w:ascii="Verdana" w:hAnsi="Verdana"/>
          <w:b/>
          <w:sz w:val="20"/>
          <w:szCs w:val="20"/>
          <w:lang w:val="es-CR"/>
        </w:rPr>
        <w:t xml:space="preserve"> </w:t>
      </w:r>
      <w:r w:rsidRPr="00CA32B3">
        <w:rPr>
          <w:rFonts w:ascii="Verdana" w:hAnsi="Verdana"/>
          <w:sz w:val="20"/>
          <w:szCs w:val="20"/>
          <w:lang w:val="es-CR"/>
        </w:rPr>
        <w:t>según el cual tres de las víctimas están aseguradas en ESSALUD mientras que las cinco víctimas restantes se encuentran afiliadas al Seguro Integral de Salud (SIS)</w:t>
      </w:r>
      <w:r w:rsidRPr="00CA32B3">
        <w:rPr>
          <w:rStyle w:val="Refdenotaalpie"/>
          <w:rFonts w:ascii="Verdana" w:hAnsi="Verdana"/>
          <w:sz w:val="20"/>
          <w:szCs w:val="20"/>
          <w:lang w:val="es-CR"/>
        </w:rPr>
        <w:footnoteReference w:id="68"/>
      </w:r>
      <w:r w:rsidRPr="00CA32B3">
        <w:rPr>
          <w:rFonts w:ascii="Verdana" w:hAnsi="Verdana"/>
          <w:sz w:val="20"/>
          <w:szCs w:val="20"/>
          <w:lang w:val="es-CR"/>
        </w:rPr>
        <w:t xml:space="preserve">. En cuanto al alcance de las prestaciones médicas, psicológicas y psiquiátricas a disposición de los beneficiarios, </w:t>
      </w:r>
      <w:r w:rsidRPr="00CA32B3">
        <w:rPr>
          <w:rFonts w:ascii="Verdana" w:hAnsi="Verdana"/>
          <w:i/>
          <w:sz w:val="20"/>
          <w:szCs w:val="20"/>
          <w:lang w:val="es-CR"/>
        </w:rPr>
        <w:t>Perú</w:t>
      </w:r>
      <w:r w:rsidRPr="00CA32B3">
        <w:rPr>
          <w:rFonts w:ascii="Verdana" w:hAnsi="Verdana"/>
          <w:sz w:val="20"/>
          <w:szCs w:val="20"/>
          <w:lang w:val="es-CR"/>
        </w:rPr>
        <w:t xml:space="preserve"> no presentó información alguna respecto a la atención que brinda ESSALUD. Respecto al SIS, el </w:t>
      </w:r>
      <w:r w:rsidRPr="00CA32B3">
        <w:rPr>
          <w:rFonts w:ascii="Verdana" w:hAnsi="Verdana"/>
          <w:i/>
          <w:sz w:val="20"/>
          <w:szCs w:val="20"/>
          <w:lang w:val="es-CR"/>
        </w:rPr>
        <w:t>Estado</w:t>
      </w:r>
      <w:r w:rsidRPr="00CA32B3">
        <w:rPr>
          <w:rFonts w:ascii="Verdana" w:hAnsi="Verdana"/>
          <w:sz w:val="20"/>
          <w:szCs w:val="20"/>
          <w:lang w:val="es-CR"/>
        </w:rPr>
        <w:t xml:space="preserve"> indicó que la afiliación a </w:t>
      </w:r>
      <w:r w:rsidRPr="00CA32B3">
        <w:rPr>
          <w:rFonts w:ascii="Verdana" w:eastAsiaTheme="minorHAnsi" w:hAnsi="Verdana" w:cs="Arial"/>
          <w:sz w:val="20"/>
          <w:szCs w:val="20"/>
          <w:lang w:val="es-CR" w:eastAsia="en-US"/>
        </w:rPr>
        <w:t>dicho sistema de salud otorga “de forma libre y sin limitación alguna” “un[a] amplia cobertura que incluye atención psicológica o psiquiátrica en el Centro de Salud que elijan las víctimas” en todo el territorio nacional</w:t>
      </w:r>
      <w:r w:rsidRPr="00CA32B3">
        <w:rPr>
          <w:rStyle w:val="Refdenotaalpie"/>
          <w:rFonts w:ascii="Verdana" w:eastAsiaTheme="minorHAnsi" w:hAnsi="Verdana" w:cs="Arial"/>
          <w:sz w:val="20"/>
          <w:szCs w:val="20"/>
          <w:lang w:val="es-CR" w:eastAsia="en-US"/>
        </w:rPr>
        <w:footnoteReference w:id="69"/>
      </w:r>
      <w:r w:rsidRPr="00CA32B3">
        <w:rPr>
          <w:rFonts w:ascii="Verdana" w:eastAsiaTheme="minorHAnsi" w:hAnsi="Verdana" w:cs="Arial"/>
          <w:sz w:val="20"/>
          <w:szCs w:val="20"/>
          <w:lang w:val="es-CR" w:eastAsia="en-US"/>
        </w:rPr>
        <w:t xml:space="preserve">. El </w:t>
      </w:r>
      <w:r w:rsidRPr="00CA32B3">
        <w:rPr>
          <w:rFonts w:ascii="Verdana" w:eastAsiaTheme="minorHAnsi" w:hAnsi="Verdana" w:cs="Arial"/>
          <w:i/>
          <w:sz w:val="20"/>
          <w:szCs w:val="20"/>
          <w:lang w:val="es-CR" w:eastAsia="en-US"/>
        </w:rPr>
        <w:t>Estado</w:t>
      </w:r>
      <w:r w:rsidRPr="00CA32B3">
        <w:rPr>
          <w:rFonts w:ascii="Verdana" w:eastAsiaTheme="minorHAnsi" w:hAnsi="Verdana" w:cs="Arial"/>
          <w:sz w:val="20"/>
          <w:szCs w:val="20"/>
          <w:lang w:val="es-CR" w:eastAsia="en-US"/>
        </w:rPr>
        <w:t xml:space="preserve"> afirmó que “</w:t>
      </w:r>
      <w:r w:rsidRPr="00CA32B3">
        <w:rPr>
          <w:rFonts w:ascii="Verdana" w:eastAsiaTheme="minorHAnsi" w:hAnsi="Verdana"/>
          <w:sz w:val="20"/>
          <w:szCs w:val="20"/>
          <w:lang w:val="es-CR" w:eastAsia="en-US"/>
        </w:rPr>
        <w:t xml:space="preserve">e[l] </w:t>
      </w:r>
      <w:r w:rsidRPr="00CA32B3">
        <w:rPr>
          <w:rFonts w:ascii="Verdana" w:eastAsiaTheme="minorHAnsi" w:hAnsi="Verdana"/>
          <w:sz w:val="20"/>
          <w:szCs w:val="20"/>
          <w:lang w:val="es-CR" w:eastAsia="en-US"/>
        </w:rPr>
        <w:lastRenderedPageBreak/>
        <w:t xml:space="preserve">trámite y procedimiento de atención [del SIS] es acorde con lo ordenado por la Corte I[nteramericana]” y solicitó que se declare el cumplimiento parcial de la presente medida de reparación. </w:t>
      </w:r>
      <w:r w:rsidRPr="00CA32B3">
        <w:rPr>
          <w:rFonts w:ascii="Verdana" w:eastAsiaTheme="minorHAnsi" w:hAnsi="Verdana"/>
          <w:b/>
          <w:sz w:val="20"/>
          <w:szCs w:val="20"/>
          <w:lang w:val="es-CR" w:eastAsia="en-US"/>
        </w:rPr>
        <w:t xml:space="preserve"> </w:t>
      </w:r>
      <w:r w:rsidRPr="00CA32B3">
        <w:rPr>
          <w:rFonts w:ascii="Verdana" w:eastAsiaTheme="minorHAnsi" w:hAnsi="Verdana"/>
          <w:sz w:val="20"/>
          <w:szCs w:val="20"/>
          <w:lang w:val="es-CR" w:eastAsia="en-US"/>
        </w:rPr>
        <w:t xml:space="preserve">En paralelo, el </w:t>
      </w:r>
      <w:r w:rsidRPr="00CA32B3">
        <w:rPr>
          <w:rFonts w:ascii="Verdana" w:eastAsiaTheme="minorHAnsi" w:hAnsi="Verdana"/>
          <w:i/>
          <w:sz w:val="20"/>
          <w:szCs w:val="20"/>
          <w:lang w:val="es-CR" w:eastAsia="en-US"/>
        </w:rPr>
        <w:t>Estado</w:t>
      </w:r>
      <w:r w:rsidRPr="00CA32B3">
        <w:rPr>
          <w:rFonts w:ascii="Verdana" w:eastAsiaTheme="minorHAnsi" w:hAnsi="Verdana"/>
          <w:sz w:val="20"/>
          <w:szCs w:val="20"/>
          <w:lang w:val="es-CR" w:eastAsia="en-US"/>
        </w:rPr>
        <w:t xml:space="preserve"> señaló que, a fin de “examinar […] a profundidad la forma en que […] está abordando su obligación de dar cumplimiento” a la presente medida en los casos que se encuentran bajo etapa de supervisión,</w:t>
      </w:r>
      <w:r w:rsidRPr="00CA32B3">
        <w:rPr>
          <w:rFonts w:ascii="Verdana" w:eastAsiaTheme="minorHAnsi" w:hAnsi="Verdana" w:cs="Arial"/>
          <w:i/>
          <w:iCs/>
          <w:sz w:val="20"/>
          <w:szCs w:val="20"/>
          <w:lang w:val="es-CR" w:eastAsia="en-US"/>
        </w:rPr>
        <w:t xml:space="preserve"> </w:t>
      </w:r>
      <w:r w:rsidRPr="00CA32B3">
        <w:rPr>
          <w:rFonts w:ascii="Verdana" w:hAnsi="Verdana"/>
          <w:sz w:val="20"/>
          <w:szCs w:val="20"/>
          <w:lang w:val="es-CR"/>
        </w:rPr>
        <w:t>“organizó dos reuniones de trabajo” en junio y julio de 2019 “en las que participaron funcionarios del Ministerio de Salud, el [SIS], ESSALUD y la Superintendencia Nacional de Salud”. Explicó que una de las conclusiones fue “la necesidad de conformar un Grupo de Trabajo adscrito al sector Salud, que tenga como finalidad la elaboración de lineamiento[s], directivas y protocolos orientados a brindar una atención adecuada a las víctimas […] reconocid[a]s en las [S]entencias […] conforme a los estándares” allí establecidos, y “desde la perspectiva de los siguientes ejes fundamentales: i) el financiamiento oportuno de los tratamientos médicos y/o psicológicos, ii) la calidad y condiciones adecuadas de las prestaciones y iii) la supervisión de las mismas”</w:t>
      </w:r>
      <w:r w:rsidRPr="00CA32B3">
        <w:rPr>
          <w:rStyle w:val="Refdenotaalpie"/>
          <w:rFonts w:ascii="Verdana" w:hAnsi="Verdana"/>
          <w:sz w:val="20"/>
          <w:szCs w:val="20"/>
          <w:lang w:val="es-CR"/>
        </w:rPr>
        <w:footnoteReference w:id="70"/>
      </w:r>
      <w:r w:rsidRPr="00CA32B3">
        <w:rPr>
          <w:rFonts w:ascii="Verdana" w:hAnsi="Verdana"/>
          <w:sz w:val="20"/>
          <w:szCs w:val="20"/>
          <w:lang w:val="es-CR"/>
        </w:rPr>
        <w:t xml:space="preserve">. </w:t>
      </w:r>
    </w:p>
    <w:p w14:paraId="26DCDDF3" w14:textId="322C0EF3" w:rsidR="00D60149" w:rsidRPr="00CA32B3" w:rsidRDefault="00D60149" w:rsidP="00690FE6">
      <w:pPr>
        <w:widowControl w:val="0"/>
        <w:suppressLineNumbers/>
        <w:spacing w:after="0" w:line="240" w:lineRule="auto"/>
        <w:jc w:val="both"/>
        <w:rPr>
          <w:rFonts w:ascii="Verdana" w:eastAsiaTheme="minorHAnsi" w:hAnsi="Verdana" w:cs="Arial"/>
          <w:b/>
          <w:sz w:val="20"/>
          <w:szCs w:val="20"/>
          <w:lang w:eastAsia="en-US"/>
        </w:rPr>
      </w:pPr>
    </w:p>
    <w:p w14:paraId="2923DCF5" w14:textId="25F4A104" w:rsidR="00EA19B4" w:rsidRPr="00CA32B3" w:rsidRDefault="000D238B" w:rsidP="00690FE6">
      <w:pPr>
        <w:widowControl w:val="0"/>
        <w:numPr>
          <w:ilvl w:val="0"/>
          <w:numId w:val="3"/>
        </w:numPr>
        <w:suppressLineNumbers/>
        <w:spacing w:after="0" w:line="240" w:lineRule="auto"/>
        <w:ind w:left="0" w:firstLine="0"/>
        <w:jc w:val="both"/>
        <w:rPr>
          <w:rFonts w:ascii="Verdana" w:hAnsi="Verdana"/>
          <w:b/>
          <w:sz w:val="20"/>
          <w:szCs w:val="20"/>
        </w:rPr>
      </w:pPr>
      <w:r w:rsidRPr="00CA32B3">
        <w:rPr>
          <w:rFonts w:ascii="Verdana" w:eastAsiaTheme="minorHAnsi" w:hAnsi="Verdana"/>
          <w:sz w:val="20"/>
          <w:szCs w:val="20"/>
          <w:lang w:eastAsia="en-US"/>
        </w:rPr>
        <w:t xml:space="preserve"> </w:t>
      </w:r>
      <w:r w:rsidR="00F3315E" w:rsidRPr="00CA32B3">
        <w:rPr>
          <w:rFonts w:ascii="Verdana" w:eastAsiaTheme="minorHAnsi" w:hAnsi="Verdana"/>
          <w:sz w:val="20"/>
          <w:szCs w:val="20"/>
          <w:lang w:eastAsia="en-US"/>
        </w:rPr>
        <w:t>L</w:t>
      </w:r>
      <w:r w:rsidR="00EA19B4" w:rsidRPr="00CA32B3">
        <w:rPr>
          <w:rFonts w:ascii="Verdana" w:eastAsiaTheme="minorHAnsi" w:hAnsi="Verdana"/>
          <w:sz w:val="20"/>
          <w:szCs w:val="20"/>
          <w:lang w:eastAsia="en-US"/>
        </w:rPr>
        <w:t xml:space="preserve">os </w:t>
      </w:r>
      <w:r w:rsidR="00EA19B4" w:rsidRPr="00CA32B3">
        <w:rPr>
          <w:rFonts w:ascii="Verdana" w:eastAsiaTheme="minorHAnsi" w:hAnsi="Verdana"/>
          <w:i/>
          <w:sz w:val="20"/>
          <w:szCs w:val="20"/>
          <w:lang w:eastAsia="en-US"/>
        </w:rPr>
        <w:t xml:space="preserve">representantes </w:t>
      </w:r>
      <w:r w:rsidR="00EA19B4" w:rsidRPr="00CA32B3">
        <w:rPr>
          <w:rFonts w:ascii="Verdana" w:eastAsiaTheme="minorHAnsi" w:hAnsi="Verdana"/>
          <w:sz w:val="20"/>
          <w:szCs w:val="20"/>
          <w:lang w:eastAsia="en-US"/>
        </w:rPr>
        <w:t>consideraron que la medida se encuentra incumplida.</w:t>
      </w:r>
      <w:r w:rsidR="00EA19B4" w:rsidRPr="00CA32B3">
        <w:rPr>
          <w:rFonts w:ascii="Verdana" w:hAnsi="Verdana"/>
          <w:b/>
          <w:sz w:val="20"/>
          <w:szCs w:val="20"/>
        </w:rPr>
        <w:t xml:space="preserve"> </w:t>
      </w:r>
      <w:r w:rsidR="00EA19B4" w:rsidRPr="00CA32B3">
        <w:rPr>
          <w:rFonts w:ascii="Verdana" w:eastAsiaTheme="minorHAnsi" w:hAnsi="Verdana"/>
          <w:sz w:val="20"/>
          <w:szCs w:val="20"/>
          <w:lang w:eastAsia="en-US"/>
        </w:rPr>
        <w:t>Manifestaron que algunos familiares no fueron “incluidos en el SIS”, por lo cual, “a fin de tener cobertura médica”, “han tenido que acceder a ´Es Salud´, que ofrece una cobertura distinta”.</w:t>
      </w:r>
      <w:r w:rsidR="00EA19B4" w:rsidRPr="00CA32B3">
        <w:rPr>
          <w:rFonts w:ascii="Verdana" w:hAnsi="Verdana"/>
          <w:b/>
          <w:sz w:val="20"/>
          <w:szCs w:val="20"/>
        </w:rPr>
        <w:t xml:space="preserve"> </w:t>
      </w:r>
      <w:r w:rsidR="00EA19B4" w:rsidRPr="00CA32B3">
        <w:rPr>
          <w:rFonts w:ascii="Verdana" w:hAnsi="Verdana"/>
          <w:sz w:val="20"/>
          <w:szCs w:val="20"/>
        </w:rPr>
        <w:t>Adicionalmente, e</w:t>
      </w:r>
      <w:r w:rsidR="00EA19B4" w:rsidRPr="00CA32B3">
        <w:rPr>
          <w:rFonts w:ascii="Verdana" w:eastAsiaTheme="minorHAnsi" w:hAnsi="Verdana"/>
          <w:sz w:val="20"/>
          <w:szCs w:val="20"/>
          <w:lang w:eastAsia="en-US"/>
        </w:rPr>
        <w:t>xpresaron que a los beneficiarios de la medida “no se les ha comunicado de forma clara y precisa en qué forma […] podrían acceder al programa especial de salud mental”</w:t>
      </w:r>
      <w:r w:rsidR="00EA19B4" w:rsidRPr="00CA32B3">
        <w:rPr>
          <w:rStyle w:val="Refdenotaalpie"/>
          <w:rFonts w:ascii="Verdana" w:eastAsiaTheme="minorHAnsi" w:hAnsi="Verdana"/>
          <w:sz w:val="20"/>
          <w:szCs w:val="20"/>
          <w:lang w:eastAsia="en-US"/>
        </w:rPr>
        <w:footnoteReference w:id="71"/>
      </w:r>
      <w:r w:rsidR="00EA19B4" w:rsidRPr="00CA32B3">
        <w:rPr>
          <w:rFonts w:ascii="Verdana" w:eastAsiaTheme="minorHAnsi" w:hAnsi="Verdana"/>
          <w:sz w:val="20"/>
          <w:szCs w:val="20"/>
          <w:lang w:eastAsia="en-US"/>
        </w:rPr>
        <w:t xml:space="preserve">. En este sentido, llamaron la atención, al igual que lo hizo la </w:t>
      </w:r>
      <w:r w:rsidR="00EA19B4" w:rsidRPr="00CA32B3">
        <w:rPr>
          <w:rFonts w:ascii="Verdana" w:eastAsiaTheme="minorHAnsi" w:hAnsi="Verdana"/>
          <w:i/>
          <w:sz w:val="20"/>
          <w:szCs w:val="20"/>
          <w:lang w:eastAsia="en-US"/>
        </w:rPr>
        <w:t>Comisión Interamericana</w:t>
      </w:r>
      <w:r w:rsidR="00EA19B4" w:rsidRPr="00CA32B3">
        <w:rPr>
          <w:rFonts w:ascii="Verdana" w:eastAsiaTheme="minorHAnsi" w:hAnsi="Verdana"/>
          <w:sz w:val="20"/>
          <w:szCs w:val="20"/>
          <w:lang w:eastAsia="en-US"/>
        </w:rPr>
        <w:t xml:space="preserve">, sobre la necesidad de que “el Estado concierte una reunión con las víctimas y sus representantes” en la cual se aborde el referido aspecto de la reparación, se coordine su atención “[en] </w:t>
      </w:r>
      <w:r w:rsidR="00EA19B4" w:rsidRPr="00CA32B3">
        <w:rPr>
          <w:rFonts w:ascii="Verdana" w:eastAsiaTheme="minorHAnsi" w:hAnsi="Verdana" w:cs="Arial"/>
          <w:sz w:val="20"/>
          <w:szCs w:val="20"/>
          <w:lang w:eastAsia="en-US"/>
        </w:rPr>
        <w:t xml:space="preserve">los centros en los que desean ser atendidos en las ciudades donde residen” y se defina un representante estatal que funja como “enlace […] para llevar adelante coordinadamente el cumplimiento de esta medida”. </w:t>
      </w:r>
    </w:p>
    <w:p w14:paraId="78BBBCB6" w14:textId="4D5FDA34" w:rsidR="00C449AB" w:rsidRPr="00CA32B3" w:rsidRDefault="00EA19B4" w:rsidP="00690FE6">
      <w:pPr>
        <w:widowControl w:val="0"/>
        <w:suppressLineNumbers/>
        <w:spacing w:after="0" w:line="240" w:lineRule="auto"/>
        <w:jc w:val="both"/>
        <w:rPr>
          <w:rFonts w:ascii="Verdana" w:eastAsiaTheme="minorHAnsi" w:hAnsi="Verdana"/>
          <w:sz w:val="20"/>
          <w:szCs w:val="20"/>
          <w:lang w:eastAsia="en-US"/>
        </w:rPr>
      </w:pPr>
      <w:r w:rsidRPr="00CA32B3">
        <w:rPr>
          <w:rFonts w:ascii="Verdana" w:hAnsi="Verdana"/>
          <w:b/>
          <w:sz w:val="20"/>
          <w:szCs w:val="20"/>
        </w:rPr>
        <w:tab/>
      </w:r>
      <w:r w:rsidR="0033370A" w:rsidRPr="00CA32B3">
        <w:rPr>
          <w:rFonts w:ascii="Verdana" w:hAnsi="Verdana"/>
          <w:b/>
          <w:sz w:val="20"/>
          <w:szCs w:val="20"/>
        </w:rPr>
        <w:tab/>
      </w:r>
    </w:p>
    <w:p w14:paraId="15F73703" w14:textId="2DAC713F" w:rsidR="003D1D1C" w:rsidRPr="00CA32B3" w:rsidRDefault="003D1D1C" w:rsidP="00690FE6">
      <w:pPr>
        <w:widowControl w:val="0"/>
        <w:suppressLineNumbers/>
        <w:spacing w:after="0" w:line="240" w:lineRule="auto"/>
        <w:ind w:firstLine="708"/>
        <w:jc w:val="both"/>
        <w:rPr>
          <w:rFonts w:ascii="Verdana" w:eastAsiaTheme="minorHAnsi" w:hAnsi="Verdana" w:cs="Arial"/>
          <w:i/>
          <w:sz w:val="20"/>
          <w:szCs w:val="20"/>
          <w:lang w:eastAsia="en-US"/>
        </w:rPr>
      </w:pPr>
      <w:r w:rsidRPr="00CA32B3">
        <w:rPr>
          <w:rFonts w:ascii="Verdana" w:eastAsiaTheme="minorHAnsi" w:hAnsi="Verdana" w:cs="Arial"/>
          <w:i/>
          <w:sz w:val="20"/>
          <w:szCs w:val="20"/>
          <w:lang w:eastAsia="en-US"/>
        </w:rPr>
        <w:t xml:space="preserve">E. 3. </w:t>
      </w:r>
      <w:r w:rsidRPr="00CA32B3">
        <w:rPr>
          <w:rFonts w:ascii="Verdana" w:eastAsiaTheme="minorHAnsi" w:hAnsi="Verdana" w:cs="Arial"/>
          <w:i/>
          <w:sz w:val="20"/>
          <w:szCs w:val="20"/>
          <w:lang w:eastAsia="en-US"/>
        </w:rPr>
        <w:tab/>
        <w:t>Consideraciones de la Corte</w:t>
      </w:r>
    </w:p>
    <w:p w14:paraId="1E22A91D" w14:textId="0EA621C2" w:rsidR="003D1D1C" w:rsidRPr="00CA32B3" w:rsidRDefault="003D1D1C" w:rsidP="00690FE6">
      <w:pPr>
        <w:widowControl w:val="0"/>
        <w:suppressLineNumbers/>
        <w:spacing w:after="0" w:line="240" w:lineRule="auto"/>
        <w:jc w:val="both"/>
        <w:rPr>
          <w:rFonts w:ascii="Verdana" w:eastAsiaTheme="minorHAnsi" w:hAnsi="Verdana" w:cs="Arial"/>
          <w:b/>
          <w:sz w:val="20"/>
          <w:szCs w:val="20"/>
          <w:lang w:eastAsia="en-US"/>
        </w:rPr>
      </w:pPr>
      <w:r w:rsidRPr="00CA32B3">
        <w:rPr>
          <w:rFonts w:ascii="Verdana" w:eastAsiaTheme="minorHAnsi" w:hAnsi="Verdana" w:cs="Arial"/>
          <w:b/>
          <w:sz w:val="20"/>
          <w:szCs w:val="20"/>
          <w:lang w:eastAsia="en-US"/>
        </w:rPr>
        <w:t xml:space="preserve"> </w:t>
      </w:r>
    </w:p>
    <w:p w14:paraId="787CE6C1" w14:textId="0415C5F7" w:rsidR="00FB668A" w:rsidRPr="00CA32B3" w:rsidRDefault="00FB668A" w:rsidP="00690FE6">
      <w:pPr>
        <w:widowControl w:val="0"/>
        <w:numPr>
          <w:ilvl w:val="0"/>
          <w:numId w:val="3"/>
        </w:numPr>
        <w:suppressLineNumbers/>
        <w:spacing w:after="0" w:line="240" w:lineRule="auto"/>
        <w:ind w:left="0" w:firstLine="0"/>
        <w:jc w:val="both"/>
        <w:rPr>
          <w:rFonts w:ascii="Verdana" w:hAnsi="Verdana"/>
          <w:sz w:val="20"/>
          <w:szCs w:val="20"/>
        </w:rPr>
      </w:pPr>
      <w:r w:rsidRPr="00CA32B3">
        <w:rPr>
          <w:rFonts w:ascii="Verdana" w:hAnsi="Verdana"/>
          <w:sz w:val="20"/>
          <w:szCs w:val="20"/>
        </w:rPr>
        <w:t>En primer lugar, la Corte valora positivamente que todas las víctimas beneficiarias cuenten con un seguro de salud (</w:t>
      </w:r>
      <w:r w:rsidRPr="00CA32B3">
        <w:rPr>
          <w:rFonts w:ascii="Verdana" w:hAnsi="Verdana"/>
          <w:i/>
          <w:sz w:val="20"/>
          <w:szCs w:val="20"/>
        </w:rPr>
        <w:t>supra</w:t>
      </w:r>
      <w:r w:rsidRPr="00CA32B3">
        <w:rPr>
          <w:rFonts w:ascii="Verdana" w:hAnsi="Verdana"/>
          <w:sz w:val="20"/>
          <w:szCs w:val="20"/>
        </w:rPr>
        <w:t xml:space="preserve"> Considerando 51). Sin perjuicio de lo anterior, el Tribunal estima relevante recordar que esta reparación debía implementarse “de forma inmediata, adecuada, integral y efectiva” (</w:t>
      </w:r>
      <w:r w:rsidRPr="00CA32B3">
        <w:rPr>
          <w:rFonts w:ascii="Verdana" w:hAnsi="Verdana"/>
          <w:i/>
          <w:sz w:val="20"/>
          <w:szCs w:val="20"/>
        </w:rPr>
        <w:t>supra</w:t>
      </w:r>
      <w:r w:rsidRPr="00CA32B3">
        <w:rPr>
          <w:rFonts w:ascii="Verdana" w:hAnsi="Verdana"/>
          <w:sz w:val="20"/>
          <w:szCs w:val="20"/>
        </w:rPr>
        <w:t xml:space="preserve"> Considerando 50). En relación con ello, se hace constar que han transcurrido casi cinco años desde que las víctimas del caso expresaron su deseo de recibir atención médica, psicológica y/o psiquiátrica (</w:t>
      </w:r>
      <w:r w:rsidRPr="00CA32B3">
        <w:rPr>
          <w:rFonts w:ascii="Verdana" w:hAnsi="Verdana"/>
          <w:i/>
          <w:sz w:val="20"/>
          <w:szCs w:val="20"/>
        </w:rPr>
        <w:t>supra</w:t>
      </w:r>
      <w:r w:rsidRPr="00CA32B3">
        <w:rPr>
          <w:rFonts w:ascii="Verdana" w:hAnsi="Verdana"/>
          <w:sz w:val="20"/>
          <w:szCs w:val="20"/>
        </w:rPr>
        <w:t xml:space="preserve"> Considerando 51), sin que haya sido informado que estén recibiendo algún tratamiento en concreto en los términos dispuestos en la Sentencia. </w:t>
      </w:r>
    </w:p>
    <w:p w14:paraId="444562B1" w14:textId="77777777" w:rsidR="00FB668A" w:rsidRPr="00CA32B3" w:rsidRDefault="00FB668A" w:rsidP="00690FE6">
      <w:pPr>
        <w:widowControl w:val="0"/>
        <w:suppressLineNumbers/>
        <w:spacing w:after="0" w:line="240" w:lineRule="auto"/>
        <w:jc w:val="both"/>
        <w:rPr>
          <w:rFonts w:ascii="Verdana" w:hAnsi="Verdana"/>
          <w:sz w:val="20"/>
          <w:szCs w:val="20"/>
        </w:rPr>
      </w:pPr>
    </w:p>
    <w:p w14:paraId="6FF4D25B" w14:textId="2593710F" w:rsidR="00FB668A" w:rsidRPr="00CA32B3" w:rsidRDefault="00FB668A" w:rsidP="00690FE6">
      <w:pPr>
        <w:widowControl w:val="0"/>
        <w:numPr>
          <w:ilvl w:val="0"/>
          <w:numId w:val="3"/>
        </w:numPr>
        <w:suppressLineNumbers/>
        <w:spacing w:after="0" w:line="240" w:lineRule="auto"/>
        <w:ind w:left="0" w:firstLine="0"/>
        <w:jc w:val="both"/>
        <w:rPr>
          <w:rFonts w:ascii="Verdana" w:hAnsi="Verdana"/>
          <w:sz w:val="20"/>
          <w:szCs w:val="20"/>
        </w:rPr>
      </w:pPr>
      <w:r w:rsidRPr="00CA32B3">
        <w:rPr>
          <w:rFonts w:ascii="Verdana" w:hAnsi="Verdana"/>
          <w:sz w:val="20"/>
          <w:szCs w:val="20"/>
        </w:rPr>
        <w:t>Asimismo, el Tribunal recuerda que, de conformidad con su jurisprudencia constante, el cumplimiento de esta medida de reparación no se agota con la sola inscripción de los famili</w:t>
      </w:r>
      <w:r w:rsidRPr="00CA32B3">
        <w:rPr>
          <w:rFonts w:ascii="Verdana" w:hAnsi="Verdana"/>
          <w:sz w:val="20"/>
        </w:rPr>
        <w:t>ares de las víctimas en el SIS</w:t>
      </w:r>
      <w:r w:rsidRPr="00CA32B3">
        <w:rPr>
          <w:rStyle w:val="Refdenotaalpie"/>
          <w:rFonts w:ascii="Verdana" w:hAnsi="Verdana"/>
          <w:sz w:val="20"/>
        </w:rPr>
        <w:footnoteReference w:id="72"/>
      </w:r>
      <w:r w:rsidRPr="00CA32B3">
        <w:rPr>
          <w:rFonts w:ascii="Verdana" w:hAnsi="Verdana"/>
          <w:sz w:val="20"/>
        </w:rPr>
        <w:t>. Empero, más allá de lo que concierne al procedimiento de afiliación</w:t>
      </w:r>
      <w:r w:rsidRPr="00CA32B3">
        <w:rPr>
          <w:rStyle w:val="Refdenotaalpie"/>
          <w:rFonts w:ascii="Verdana" w:hAnsi="Verdana"/>
          <w:sz w:val="20"/>
        </w:rPr>
        <w:footnoteReference w:id="73"/>
      </w:r>
      <w:r w:rsidRPr="00CA32B3">
        <w:rPr>
          <w:rFonts w:ascii="Verdana" w:hAnsi="Verdana"/>
          <w:sz w:val="20"/>
        </w:rPr>
        <w:t xml:space="preserve">, la Corte advierte que el Estado no ha explicado de qué manera se configura el </w:t>
      </w:r>
      <w:r w:rsidRPr="00CA32B3">
        <w:rPr>
          <w:rFonts w:ascii="Verdana" w:hAnsi="Verdana"/>
          <w:sz w:val="20"/>
        </w:rPr>
        <w:lastRenderedPageBreak/>
        <w:t>trato diferenciado que deben recibir las víctimas en tal carácter en relación con el trámite y procedimiento que deben realizar para ser atendidos a través de las instituciones del Estado. En cuanto a la ejecución de la medida respecto de las víctimas que están afiliadas a ESSALUD, esta Corte considera, como ya lo hizo en el marco de la supervisión de otro caso</w:t>
      </w:r>
      <w:r w:rsidRPr="00CA32B3">
        <w:rPr>
          <w:rStyle w:val="Refdenotaalpie"/>
          <w:rFonts w:ascii="Verdana" w:hAnsi="Verdana"/>
          <w:sz w:val="20"/>
        </w:rPr>
        <w:footnoteReference w:id="74"/>
      </w:r>
      <w:r w:rsidRPr="00CA32B3">
        <w:rPr>
          <w:rFonts w:ascii="Verdana" w:hAnsi="Verdana"/>
          <w:sz w:val="20"/>
        </w:rPr>
        <w:t xml:space="preserve">, que “la información acerca de [su] funcionamiento […] no se presenta de una manera que [le] permita […] evaluar el cumplimiento de la obligación a cargo del Estado”. Dicho lo anterior, </w:t>
      </w:r>
      <w:r w:rsidRPr="00CA32B3">
        <w:rPr>
          <w:rFonts w:ascii="Verdana" w:hAnsi="Verdana"/>
          <w:sz w:val="20"/>
          <w:szCs w:val="20"/>
        </w:rPr>
        <w:t xml:space="preserve">la Corte aprecia positivamente la voluntad expresada por el Estado durante la audiencia privada </w:t>
      </w:r>
      <w:r w:rsidR="00F3315E" w:rsidRPr="00CA32B3">
        <w:rPr>
          <w:rFonts w:ascii="Verdana" w:hAnsi="Verdana"/>
          <w:sz w:val="20"/>
          <w:szCs w:val="20"/>
        </w:rPr>
        <w:t xml:space="preserve">de supervisión </w:t>
      </w:r>
      <w:r w:rsidRPr="00CA32B3">
        <w:rPr>
          <w:rFonts w:ascii="Verdana" w:hAnsi="Verdana"/>
          <w:sz w:val="20"/>
          <w:szCs w:val="20"/>
        </w:rPr>
        <w:t xml:space="preserve">de realizar “un acercamiento” por parte del Ministerio de Salud a los representantes y a las víctimas para implementar la presente medida. A los efectos de coadyuvar a su adecuada implementación, la Corte requiere al Perú que, en el plazo de </w:t>
      </w:r>
      <w:r w:rsidR="00094664" w:rsidRPr="00CA32B3">
        <w:rPr>
          <w:rFonts w:ascii="Verdana" w:hAnsi="Verdana"/>
          <w:sz w:val="20"/>
          <w:szCs w:val="20"/>
        </w:rPr>
        <w:t>dos meses</w:t>
      </w:r>
      <w:r w:rsidRPr="00CA32B3">
        <w:rPr>
          <w:rFonts w:ascii="Verdana" w:hAnsi="Verdana"/>
          <w:sz w:val="20"/>
          <w:szCs w:val="20"/>
        </w:rPr>
        <w:t>, contado</w:t>
      </w:r>
      <w:r w:rsidR="00094664" w:rsidRPr="00CA32B3">
        <w:rPr>
          <w:rFonts w:ascii="Verdana" w:hAnsi="Verdana"/>
          <w:sz w:val="20"/>
          <w:szCs w:val="20"/>
        </w:rPr>
        <w:t>s</w:t>
      </w:r>
      <w:r w:rsidRPr="00CA32B3">
        <w:rPr>
          <w:rFonts w:ascii="Verdana" w:hAnsi="Verdana"/>
          <w:sz w:val="20"/>
          <w:szCs w:val="20"/>
        </w:rPr>
        <w:t xml:space="preserve"> a partir de la notificación de la presente Resolución, comunique la posibilidad de establecer un espacio de diálogo con las víctimas y sus representantes, utilizando los medios que resulten más adecuados, en el cual les informe de manera clara y detallada los procedimientos para solicitar y tener acceso “de forma inmediata, adecuada, integral y efectiva” a la atención médica, psicológica y/o psiquiátrica, así como cuáles autoridades específicas estarían encargadas de atender a las víctimas o a sus representantes en caso de alguna objeción o problema con relación a la referida atención</w:t>
      </w:r>
      <w:r w:rsidRPr="00CA32B3">
        <w:rPr>
          <w:rStyle w:val="Refdenotaalpie"/>
          <w:rFonts w:ascii="Verdana" w:hAnsi="Verdana"/>
          <w:sz w:val="20"/>
          <w:szCs w:val="20"/>
        </w:rPr>
        <w:footnoteReference w:id="75"/>
      </w:r>
      <w:r w:rsidRPr="00CA32B3">
        <w:rPr>
          <w:rFonts w:ascii="Verdana" w:hAnsi="Verdana"/>
          <w:sz w:val="20"/>
          <w:szCs w:val="20"/>
        </w:rPr>
        <w:t>.</w:t>
      </w:r>
      <w:r w:rsidRPr="00CA32B3">
        <w:t xml:space="preserve"> </w:t>
      </w:r>
      <w:r w:rsidRPr="00CA32B3">
        <w:rPr>
          <w:rFonts w:ascii="Verdana" w:hAnsi="Verdana"/>
          <w:sz w:val="20"/>
          <w:szCs w:val="20"/>
        </w:rPr>
        <w:t xml:space="preserve">Una vez efectuada dicha reunión en los términos aquí señalados, el Estado deberá realizar a la brevedad todas las gestiones que correspondan en el ámbito interno para dar cumplimiento a esta medida y deberá presentar, dentro del plazo establecido en el punto resolutivo sexto de la presente Resolución, información detallada y actualizada respecto a las gestiones realizadas para cada una de las ocho personas beneficiarias y los resultados obtenidos a tal efecto. </w:t>
      </w:r>
    </w:p>
    <w:p w14:paraId="1E36D4D6" w14:textId="77777777" w:rsidR="00FB668A" w:rsidRPr="00CA32B3" w:rsidRDefault="00FB668A" w:rsidP="00690FE6">
      <w:pPr>
        <w:widowControl w:val="0"/>
        <w:suppressLineNumbers/>
        <w:spacing w:after="0" w:line="240" w:lineRule="auto"/>
        <w:jc w:val="both"/>
        <w:rPr>
          <w:rFonts w:ascii="Verdana" w:hAnsi="Verdana"/>
          <w:sz w:val="20"/>
        </w:rPr>
      </w:pPr>
    </w:p>
    <w:p w14:paraId="42362E06" w14:textId="5AB712F6" w:rsidR="00FB668A" w:rsidRPr="00CA32B3" w:rsidRDefault="00FB668A" w:rsidP="00690FE6">
      <w:pPr>
        <w:widowControl w:val="0"/>
        <w:numPr>
          <w:ilvl w:val="0"/>
          <w:numId w:val="3"/>
        </w:numPr>
        <w:suppressLineNumbers/>
        <w:spacing w:after="0" w:line="240" w:lineRule="auto"/>
        <w:ind w:left="0" w:firstLine="0"/>
        <w:jc w:val="both"/>
        <w:rPr>
          <w:rFonts w:ascii="Verdana" w:hAnsi="Verdana"/>
          <w:sz w:val="20"/>
          <w:szCs w:val="20"/>
        </w:rPr>
      </w:pPr>
      <w:r w:rsidRPr="00CA32B3">
        <w:rPr>
          <w:rFonts w:ascii="Verdana" w:hAnsi="Verdana"/>
          <w:sz w:val="20"/>
        </w:rPr>
        <w:t>En segunda instancia, y como lo ha hecho anteriormente</w:t>
      </w:r>
      <w:r w:rsidRPr="00CA32B3">
        <w:rPr>
          <w:rStyle w:val="Refdenotaalpie"/>
          <w:rFonts w:ascii="Verdana" w:hAnsi="Verdana"/>
          <w:sz w:val="20"/>
        </w:rPr>
        <w:footnoteReference w:id="76"/>
      </w:r>
      <w:r w:rsidRPr="00CA32B3">
        <w:rPr>
          <w:rFonts w:ascii="Verdana" w:hAnsi="Verdana"/>
          <w:sz w:val="20"/>
        </w:rPr>
        <w:t>, la Corte valora positivamente la realización de reuniones de trabajo realizadas entre diversas autoridades estatales en materia de salud, así como la propuesta de la conformación de un “Grupo de Trabajo” para la adecuada ejecución de la presente medida (</w:t>
      </w:r>
      <w:r w:rsidRPr="00CA32B3">
        <w:rPr>
          <w:rFonts w:ascii="Verdana" w:hAnsi="Verdana"/>
          <w:i/>
          <w:sz w:val="20"/>
        </w:rPr>
        <w:t>supra</w:t>
      </w:r>
      <w:r w:rsidRPr="00CA32B3">
        <w:rPr>
          <w:rFonts w:ascii="Verdana" w:hAnsi="Verdana"/>
          <w:sz w:val="20"/>
        </w:rPr>
        <w:t xml:space="preserve"> Considerando 51).</w:t>
      </w:r>
      <w:r w:rsidRPr="00CA32B3">
        <w:rPr>
          <w:sz w:val="20"/>
        </w:rPr>
        <w:t xml:space="preserve"> </w:t>
      </w:r>
      <w:r w:rsidRPr="00CA32B3">
        <w:rPr>
          <w:rFonts w:ascii="Verdana" w:hAnsi="Verdana"/>
          <w:sz w:val="20"/>
        </w:rPr>
        <w:t>Por tanto, la Corte requiere al Estado que, en el plazo indicado en el punto resolutivo s</w:t>
      </w:r>
      <w:r w:rsidR="00FC0A45" w:rsidRPr="00CA32B3">
        <w:rPr>
          <w:rFonts w:ascii="Verdana" w:hAnsi="Verdana"/>
          <w:sz w:val="20"/>
        </w:rPr>
        <w:t>éptimo</w:t>
      </w:r>
      <w:r w:rsidRPr="00CA32B3">
        <w:rPr>
          <w:rFonts w:ascii="Verdana" w:hAnsi="Verdana"/>
          <w:sz w:val="20"/>
        </w:rPr>
        <w:t xml:space="preserve"> de la presente Resolución, remita información detallada y actualizada sobre la implementación del referido “Grupo de Trabajo”, la elaboración de los lineamientos y protocolos señalados y, como parte de estos últimos, indique qué medidas se tomarán para que los seguros del SIS y ESSALUD cumplan con los estándares establecidos por el Tribunal respecto al otorgamiento de esta medida, en particular respecto de la atención diferenciada por su carácter de víctimas. </w:t>
      </w:r>
    </w:p>
    <w:p w14:paraId="1B042F02" w14:textId="606BC2C2" w:rsidR="00FB668A" w:rsidRPr="00CA32B3" w:rsidRDefault="00FB668A" w:rsidP="00690FE6">
      <w:pPr>
        <w:widowControl w:val="0"/>
        <w:suppressLineNumbers/>
        <w:spacing w:after="0" w:line="240" w:lineRule="auto"/>
        <w:jc w:val="both"/>
        <w:rPr>
          <w:rFonts w:ascii="Verdana" w:hAnsi="Verdana"/>
          <w:sz w:val="20"/>
          <w:szCs w:val="20"/>
        </w:rPr>
      </w:pPr>
    </w:p>
    <w:p w14:paraId="204DE5A8" w14:textId="033E4986" w:rsidR="00FB668A" w:rsidRPr="00CA32B3" w:rsidRDefault="00FB668A" w:rsidP="00690FE6">
      <w:pPr>
        <w:widowControl w:val="0"/>
        <w:numPr>
          <w:ilvl w:val="0"/>
          <w:numId w:val="3"/>
        </w:numPr>
        <w:suppressLineNumbers/>
        <w:spacing w:after="0" w:line="240" w:lineRule="auto"/>
        <w:ind w:left="0" w:firstLine="0"/>
        <w:jc w:val="both"/>
        <w:rPr>
          <w:rFonts w:ascii="Verdana" w:hAnsi="Verdana"/>
          <w:sz w:val="20"/>
        </w:rPr>
      </w:pPr>
      <w:r w:rsidRPr="00CA32B3">
        <w:rPr>
          <w:rFonts w:ascii="Verdana" w:hAnsi="Verdana"/>
          <w:sz w:val="20"/>
        </w:rPr>
        <w:t>Por las</w:t>
      </w:r>
      <w:r w:rsidR="00F3315E" w:rsidRPr="00CA32B3">
        <w:rPr>
          <w:rFonts w:ascii="Verdana" w:hAnsi="Verdana"/>
          <w:sz w:val="20"/>
        </w:rPr>
        <w:t xml:space="preserve"> razones indicadas</w:t>
      </w:r>
      <w:r w:rsidRPr="00CA32B3">
        <w:rPr>
          <w:rFonts w:ascii="Verdana" w:hAnsi="Verdana"/>
          <w:sz w:val="20"/>
        </w:rPr>
        <w:t xml:space="preserve">, la Corte considera que se encuentra pendiente de cumplimiento la medida ordenada en el punto resolutivo décimo tercero de la Sentencia, relativa a brindar gratuitamente, a través de sus instituciones de salud especializadas, y de forma inmediata, adecuada y efectiva, el tratamiento médico y psicológico o psiquiátrico, a las víctimas que así lo soliciten. </w:t>
      </w:r>
    </w:p>
    <w:p w14:paraId="1329B6DC" w14:textId="585A13BC" w:rsidR="00A876C8" w:rsidRPr="00CA32B3" w:rsidRDefault="00861763" w:rsidP="00690FE6">
      <w:pPr>
        <w:widowControl w:val="0"/>
        <w:suppressLineNumbers/>
        <w:spacing w:after="0" w:line="240" w:lineRule="auto"/>
        <w:jc w:val="both"/>
        <w:rPr>
          <w:rFonts w:ascii="Verdana" w:hAnsi="Verdana"/>
          <w:sz w:val="20"/>
        </w:rPr>
      </w:pPr>
      <w:r w:rsidRPr="00CA32B3">
        <w:rPr>
          <w:rFonts w:ascii="Verdana" w:hAnsi="Verdana"/>
          <w:sz w:val="20"/>
        </w:rPr>
        <w:t xml:space="preserve"> </w:t>
      </w:r>
    </w:p>
    <w:p w14:paraId="12B40172" w14:textId="77777777" w:rsidR="00A876C8" w:rsidRPr="00CA32B3" w:rsidRDefault="00A876C8">
      <w:pPr>
        <w:spacing w:after="0" w:line="240" w:lineRule="auto"/>
        <w:rPr>
          <w:rFonts w:ascii="Verdana" w:hAnsi="Verdana"/>
          <w:sz w:val="20"/>
        </w:rPr>
      </w:pPr>
      <w:r w:rsidRPr="00CA32B3">
        <w:rPr>
          <w:rFonts w:ascii="Verdana" w:hAnsi="Verdana"/>
          <w:sz w:val="20"/>
        </w:rPr>
        <w:br w:type="page"/>
      </w:r>
    </w:p>
    <w:p w14:paraId="2969BBE5" w14:textId="77777777" w:rsidR="00C449AB" w:rsidRPr="00CA32B3" w:rsidRDefault="00C449AB" w:rsidP="00690FE6">
      <w:pPr>
        <w:widowControl w:val="0"/>
        <w:suppressLineNumbers/>
        <w:spacing w:after="0" w:line="240" w:lineRule="auto"/>
        <w:jc w:val="both"/>
        <w:rPr>
          <w:rFonts w:ascii="Verdana" w:hAnsi="Verdana"/>
          <w:sz w:val="20"/>
        </w:rPr>
      </w:pPr>
    </w:p>
    <w:p w14:paraId="66D955B2" w14:textId="2239D658" w:rsidR="00C449AB" w:rsidRPr="00CA32B3" w:rsidRDefault="00861763" w:rsidP="00690FE6">
      <w:pPr>
        <w:pStyle w:val="Prrafodelista"/>
        <w:numPr>
          <w:ilvl w:val="0"/>
          <w:numId w:val="7"/>
        </w:numPr>
        <w:suppressLineNumbers/>
        <w:tabs>
          <w:tab w:val="left" w:pos="680"/>
        </w:tabs>
        <w:spacing w:after="0" w:line="240" w:lineRule="auto"/>
        <w:jc w:val="both"/>
        <w:outlineLvl w:val="0"/>
        <w:rPr>
          <w:rFonts w:ascii="Verdana" w:hAnsi="Verdana"/>
          <w:b/>
          <w:sz w:val="18"/>
        </w:rPr>
      </w:pPr>
      <w:bookmarkStart w:id="6" w:name="_Toc4386"/>
      <w:r w:rsidRPr="00CA32B3">
        <w:rPr>
          <w:rFonts w:ascii="Verdana" w:hAnsi="Verdana"/>
          <w:b/>
          <w:sz w:val="20"/>
        </w:rPr>
        <w:t>Publicación y difusión de la Sentencia</w:t>
      </w:r>
      <w:bookmarkEnd w:id="6"/>
    </w:p>
    <w:p w14:paraId="3AB96A6D" w14:textId="77777777" w:rsidR="00C449AB" w:rsidRPr="00CA32B3" w:rsidRDefault="00C449AB" w:rsidP="00690FE6">
      <w:pPr>
        <w:suppressLineNumbers/>
        <w:tabs>
          <w:tab w:val="left" w:pos="680"/>
        </w:tabs>
        <w:spacing w:after="0" w:line="240" w:lineRule="auto"/>
        <w:jc w:val="both"/>
        <w:rPr>
          <w:rFonts w:ascii="Verdana" w:hAnsi="Verdana"/>
          <w:b/>
          <w:sz w:val="18"/>
        </w:rPr>
      </w:pPr>
    </w:p>
    <w:p w14:paraId="3BD23A7D" w14:textId="3F8411D6" w:rsidR="00B86F7C" w:rsidRPr="00CA32B3" w:rsidRDefault="00861763" w:rsidP="00690FE6">
      <w:pPr>
        <w:suppressLineNumbers/>
        <w:tabs>
          <w:tab w:val="left" w:pos="680"/>
        </w:tabs>
        <w:spacing w:after="0"/>
        <w:jc w:val="both"/>
        <w:rPr>
          <w:rFonts w:ascii="Verdana" w:hAnsi="Verdana"/>
          <w:i/>
          <w:sz w:val="20"/>
        </w:rPr>
      </w:pPr>
      <w:r w:rsidRPr="00CA32B3">
        <w:rPr>
          <w:rFonts w:ascii="Verdana" w:hAnsi="Verdana"/>
          <w:i/>
          <w:sz w:val="20"/>
        </w:rPr>
        <w:tab/>
        <w:t xml:space="preserve">F.1. </w:t>
      </w:r>
      <w:r w:rsidR="00B86F7C" w:rsidRPr="00CA32B3">
        <w:rPr>
          <w:rFonts w:ascii="Verdana" w:hAnsi="Verdana"/>
          <w:i/>
          <w:sz w:val="20"/>
        </w:rPr>
        <w:t>Medidas ordenadas por la Corte</w:t>
      </w:r>
    </w:p>
    <w:p w14:paraId="48AD0E9E" w14:textId="244079E3" w:rsidR="00B86F7C" w:rsidRPr="00CA32B3" w:rsidRDefault="00B86F7C" w:rsidP="00690FE6">
      <w:pPr>
        <w:suppressLineNumbers/>
        <w:tabs>
          <w:tab w:val="left" w:pos="680"/>
        </w:tabs>
        <w:spacing w:after="0"/>
        <w:jc w:val="both"/>
        <w:rPr>
          <w:rFonts w:ascii="Verdana" w:hAnsi="Verdana"/>
          <w:i/>
          <w:sz w:val="20"/>
        </w:rPr>
      </w:pPr>
    </w:p>
    <w:p w14:paraId="2521666A" w14:textId="77777777" w:rsidR="00FB668A" w:rsidRPr="00CA32B3" w:rsidRDefault="00FB668A" w:rsidP="00690FE6">
      <w:pPr>
        <w:pStyle w:val="Prrafodelista"/>
        <w:numPr>
          <w:ilvl w:val="0"/>
          <w:numId w:val="3"/>
        </w:numPr>
        <w:suppressLineNumbers/>
        <w:tabs>
          <w:tab w:val="left" w:pos="680"/>
        </w:tabs>
        <w:spacing w:after="0" w:line="240" w:lineRule="auto"/>
        <w:ind w:left="0" w:firstLine="0"/>
        <w:jc w:val="both"/>
        <w:rPr>
          <w:rFonts w:ascii="Verdana" w:hAnsi="Verdana"/>
          <w:sz w:val="20"/>
          <w:szCs w:val="20"/>
          <w:lang w:val="es-CR"/>
        </w:rPr>
      </w:pPr>
      <w:r w:rsidRPr="00CA32B3">
        <w:rPr>
          <w:rFonts w:ascii="Verdana" w:hAnsi="Verdana"/>
          <w:sz w:val="20"/>
          <w:szCs w:val="20"/>
          <w:lang w:val="es-CR"/>
        </w:rPr>
        <w:t>En el punto resolutivo décimo cuarto y en el párrafo 309 de la Sentencia, la Corte dispuso que el Estado debía, en el plazo de seis meses, contado a partir de su notificación, realizar las siguientes publicaciones: a) el resumen oficial de la presente Sentencia elaborado por la Corte, por una sola vez, en el Diario Oficial y en un diario de amplia circulación nacional del Perú, y b) la presente Sentencia en su integridad, disponible al menos por un período de un año, en un sitio web oficial del Estado.</w:t>
      </w:r>
    </w:p>
    <w:p w14:paraId="2CFB9510" w14:textId="2E4FEB9E" w:rsidR="00B86F7C" w:rsidRPr="00CA32B3" w:rsidRDefault="00B86F7C" w:rsidP="00690FE6">
      <w:pPr>
        <w:suppressLineNumbers/>
        <w:tabs>
          <w:tab w:val="left" w:pos="680"/>
        </w:tabs>
        <w:spacing w:after="0"/>
        <w:jc w:val="both"/>
        <w:rPr>
          <w:rFonts w:ascii="Verdana" w:hAnsi="Verdana"/>
          <w:i/>
          <w:sz w:val="20"/>
        </w:rPr>
      </w:pPr>
    </w:p>
    <w:p w14:paraId="7634AC7D" w14:textId="28E9470B" w:rsidR="00C449AB" w:rsidRPr="00CA32B3" w:rsidRDefault="00CF7903" w:rsidP="00690FE6">
      <w:pPr>
        <w:suppressLineNumbers/>
        <w:tabs>
          <w:tab w:val="left" w:pos="680"/>
        </w:tabs>
        <w:spacing w:after="0"/>
        <w:jc w:val="both"/>
        <w:rPr>
          <w:rFonts w:ascii="Verdana" w:hAnsi="Verdana"/>
          <w:i/>
          <w:sz w:val="20"/>
        </w:rPr>
      </w:pPr>
      <w:r w:rsidRPr="00CA32B3">
        <w:rPr>
          <w:rFonts w:ascii="Verdana" w:hAnsi="Verdana"/>
          <w:i/>
          <w:sz w:val="20"/>
          <w:szCs w:val="20"/>
        </w:rPr>
        <w:tab/>
      </w:r>
      <w:r w:rsidR="00B86F7C" w:rsidRPr="00CA32B3">
        <w:rPr>
          <w:rFonts w:ascii="Verdana" w:hAnsi="Verdana"/>
          <w:i/>
          <w:sz w:val="20"/>
          <w:szCs w:val="20"/>
        </w:rPr>
        <w:t xml:space="preserve">F.2. </w:t>
      </w:r>
      <w:r w:rsidR="00B86F7C" w:rsidRPr="00CA32B3">
        <w:rPr>
          <w:rFonts w:ascii="Verdana" w:hAnsi="Verdana"/>
          <w:i/>
          <w:sz w:val="20"/>
          <w:szCs w:val="20"/>
        </w:rPr>
        <w:tab/>
      </w:r>
      <w:r w:rsidR="00861763" w:rsidRPr="00CA32B3">
        <w:rPr>
          <w:rFonts w:ascii="Verdana" w:hAnsi="Verdana"/>
          <w:i/>
          <w:sz w:val="20"/>
          <w:szCs w:val="20"/>
        </w:rPr>
        <w:t>Consideraciones de la Corte</w:t>
      </w:r>
    </w:p>
    <w:p w14:paraId="1831AA6C" w14:textId="77777777" w:rsidR="00697118" w:rsidRPr="00CA32B3" w:rsidRDefault="00697118" w:rsidP="00690FE6">
      <w:pPr>
        <w:pStyle w:val="Prrafodelista"/>
        <w:widowControl w:val="0"/>
        <w:suppressLineNumbers/>
        <w:spacing w:after="0" w:line="240" w:lineRule="auto"/>
        <w:ind w:left="0"/>
        <w:jc w:val="both"/>
        <w:rPr>
          <w:rFonts w:ascii="Verdana" w:hAnsi="Verdana"/>
          <w:sz w:val="20"/>
          <w:szCs w:val="20"/>
        </w:rPr>
      </w:pPr>
    </w:p>
    <w:p w14:paraId="2F707923" w14:textId="425B3B57" w:rsidR="00FB668A" w:rsidRPr="00CA32B3" w:rsidRDefault="00697118" w:rsidP="00690FE6">
      <w:pPr>
        <w:pStyle w:val="Prrafodelista"/>
        <w:widowControl w:val="0"/>
        <w:numPr>
          <w:ilvl w:val="0"/>
          <w:numId w:val="3"/>
        </w:numPr>
        <w:suppressLineNumbers/>
        <w:spacing w:after="0" w:line="240" w:lineRule="auto"/>
        <w:ind w:left="0" w:firstLine="0"/>
        <w:jc w:val="both"/>
        <w:rPr>
          <w:rFonts w:ascii="Verdana" w:hAnsi="Verdana"/>
          <w:sz w:val="20"/>
          <w:szCs w:val="20"/>
          <w:lang w:val="es-CR"/>
        </w:rPr>
      </w:pPr>
      <w:r w:rsidRPr="00CA32B3">
        <w:rPr>
          <w:rFonts w:ascii="Verdana" w:hAnsi="Verdana"/>
          <w:sz w:val="20"/>
          <w:szCs w:val="20"/>
        </w:rPr>
        <w:t xml:space="preserve"> </w:t>
      </w:r>
      <w:r w:rsidR="00FB668A" w:rsidRPr="00CA32B3">
        <w:rPr>
          <w:rFonts w:ascii="Verdana" w:hAnsi="Verdana"/>
          <w:sz w:val="20"/>
          <w:szCs w:val="20"/>
          <w:lang w:val="es-CR"/>
        </w:rPr>
        <w:t>La Corte ha constatado, con base en los comprobantes aportados, que el Perú cumplió con publicar: i) el resumen oficial de la Sentencia en el Diario Oficial “El Peruano”</w:t>
      </w:r>
      <w:r w:rsidR="00FB668A" w:rsidRPr="00CA32B3">
        <w:rPr>
          <w:rStyle w:val="Refdenotaalpie"/>
          <w:rFonts w:ascii="Verdana" w:hAnsi="Verdana"/>
          <w:sz w:val="20"/>
          <w:szCs w:val="20"/>
          <w:lang w:val="es-CR"/>
        </w:rPr>
        <w:footnoteReference w:id="77"/>
      </w:r>
      <w:r w:rsidR="00FB668A" w:rsidRPr="00CA32B3">
        <w:rPr>
          <w:rFonts w:ascii="Verdana" w:hAnsi="Verdana"/>
          <w:sz w:val="20"/>
          <w:szCs w:val="20"/>
          <w:lang w:val="es-CR"/>
        </w:rPr>
        <w:t xml:space="preserve"> y en el diario “La República”</w:t>
      </w:r>
      <w:r w:rsidR="00FB668A" w:rsidRPr="00CA32B3">
        <w:rPr>
          <w:rStyle w:val="Refdenotaalpie"/>
          <w:rFonts w:ascii="Verdana" w:hAnsi="Verdana"/>
          <w:sz w:val="20"/>
          <w:szCs w:val="20"/>
          <w:lang w:val="es-CR"/>
        </w:rPr>
        <w:footnoteReference w:id="78"/>
      </w:r>
      <w:r w:rsidR="00FB668A" w:rsidRPr="00CA32B3">
        <w:rPr>
          <w:rFonts w:ascii="Verdana" w:hAnsi="Verdana"/>
          <w:sz w:val="20"/>
          <w:szCs w:val="20"/>
          <w:lang w:val="es-CR"/>
        </w:rPr>
        <w:t>, y ii) el texto integral de la Sentencia en el sitio web del Ministerio de Justicia, dentro del plazo estipulado en la Sentencia</w:t>
      </w:r>
      <w:r w:rsidR="00FB668A" w:rsidRPr="00CA32B3">
        <w:rPr>
          <w:rStyle w:val="Refdenotaalpie"/>
          <w:rFonts w:ascii="Verdana" w:hAnsi="Verdana"/>
          <w:sz w:val="20"/>
          <w:szCs w:val="20"/>
          <w:lang w:val="es-CR"/>
        </w:rPr>
        <w:footnoteReference w:id="79"/>
      </w:r>
      <w:r w:rsidR="00FB668A" w:rsidRPr="00CA32B3">
        <w:rPr>
          <w:rFonts w:ascii="Verdana" w:hAnsi="Verdana"/>
          <w:sz w:val="20"/>
          <w:szCs w:val="20"/>
          <w:lang w:val="es-CR"/>
        </w:rPr>
        <w:t>. En virtud de ello, el Estado solicitó que se declare el cumplimiento total de esta reparación.</w:t>
      </w:r>
      <w:r w:rsidR="00FB668A" w:rsidRPr="00CA32B3">
        <w:rPr>
          <w:rFonts w:ascii="Verdana" w:hAnsi="Verdana"/>
          <w:b/>
          <w:sz w:val="20"/>
          <w:szCs w:val="20"/>
          <w:lang w:val="es-CR"/>
        </w:rPr>
        <w:t xml:space="preserve"> </w:t>
      </w:r>
    </w:p>
    <w:p w14:paraId="3C2B61A0" w14:textId="77777777" w:rsidR="00697118" w:rsidRPr="00CA32B3" w:rsidRDefault="00697118" w:rsidP="00690FE6">
      <w:pPr>
        <w:pStyle w:val="Prrafodelista"/>
        <w:widowControl w:val="0"/>
        <w:suppressLineNumbers/>
        <w:spacing w:after="0" w:line="240" w:lineRule="auto"/>
        <w:ind w:left="360"/>
        <w:jc w:val="both"/>
        <w:rPr>
          <w:rFonts w:ascii="Verdana" w:hAnsi="Verdana"/>
          <w:sz w:val="20"/>
          <w:szCs w:val="20"/>
          <w:lang w:val="es-CR"/>
        </w:rPr>
      </w:pPr>
    </w:p>
    <w:p w14:paraId="712CE5AD" w14:textId="0A9B94D2" w:rsidR="00697118" w:rsidRPr="00CA32B3" w:rsidRDefault="00697118" w:rsidP="00690FE6">
      <w:pPr>
        <w:pStyle w:val="Prrafodelista"/>
        <w:widowControl w:val="0"/>
        <w:numPr>
          <w:ilvl w:val="0"/>
          <w:numId w:val="3"/>
        </w:numPr>
        <w:suppressLineNumbers/>
        <w:spacing w:after="0" w:line="240" w:lineRule="auto"/>
        <w:ind w:left="0" w:firstLine="0"/>
        <w:jc w:val="both"/>
        <w:rPr>
          <w:rFonts w:ascii="Verdana" w:hAnsi="Verdana"/>
          <w:sz w:val="20"/>
          <w:szCs w:val="20"/>
        </w:rPr>
      </w:pPr>
      <w:r w:rsidRPr="00CA32B3">
        <w:rPr>
          <w:rFonts w:ascii="Verdana" w:hAnsi="Verdana"/>
          <w:sz w:val="20"/>
        </w:rPr>
        <w:t>Al respecto, esta Corte ha verificado que la referida publicación en la página web oficial del Ministerio de Justicia ha estado disponible por más de un año, superando el tiempo mínimo ordenado en la Sentencia (</w:t>
      </w:r>
      <w:r w:rsidRPr="00CA32B3">
        <w:rPr>
          <w:rFonts w:ascii="Verdana" w:hAnsi="Verdana"/>
          <w:i/>
          <w:sz w:val="20"/>
        </w:rPr>
        <w:t>supra</w:t>
      </w:r>
      <w:r w:rsidRPr="00CA32B3">
        <w:rPr>
          <w:rFonts w:ascii="Verdana" w:hAnsi="Verdana"/>
          <w:sz w:val="20"/>
        </w:rPr>
        <w:t xml:space="preserve"> Considerando </w:t>
      </w:r>
      <w:r w:rsidR="00FC0A45" w:rsidRPr="00CA32B3">
        <w:rPr>
          <w:rFonts w:ascii="Verdana" w:hAnsi="Verdana"/>
          <w:sz w:val="20"/>
        </w:rPr>
        <w:t>57</w:t>
      </w:r>
      <w:r w:rsidRPr="00CA32B3">
        <w:rPr>
          <w:rFonts w:ascii="Verdana" w:hAnsi="Verdana"/>
          <w:sz w:val="20"/>
        </w:rPr>
        <w:t xml:space="preserve">). </w:t>
      </w:r>
    </w:p>
    <w:p w14:paraId="0BADEA4D" w14:textId="77777777" w:rsidR="00697118" w:rsidRPr="00CA32B3" w:rsidRDefault="00697118" w:rsidP="00690FE6">
      <w:pPr>
        <w:pStyle w:val="Prrafodelista"/>
        <w:suppressLineNumbers/>
        <w:rPr>
          <w:rFonts w:ascii="Verdana" w:hAnsi="Verdana"/>
          <w:sz w:val="20"/>
        </w:rPr>
      </w:pPr>
    </w:p>
    <w:p w14:paraId="3B9E84ED" w14:textId="6C38B8BB" w:rsidR="00697118" w:rsidRPr="00CA32B3" w:rsidRDefault="00697118" w:rsidP="00690FE6">
      <w:pPr>
        <w:pStyle w:val="Prrafodelista"/>
        <w:widowControl w:val="0"/>
        <w:numPr>
          <w:ilvl w:val="0"/>
          <w:numId w:val="3"/>
        </w:numPr>
        <w:suppressLineNumbers/>
        <w:spacing w:after="0" w:line="240" w:lineRule="auto"/>
        <w:ind w:left="0" w:firstLine="0"/>
        <w:jc w:val="both"/>
        <w:rPr>
          <w:rFonts w:ascii="Verdana" w:hAnsi="Verdana"/>
          <w:sz w:val="20"/>
          <w:szCs w:val="20"/>
        </w:rPr>
      </w:pPr>
      <w:r w:rsidRPr="00CA32B3">
        <w:rPr>
          <w:rFonts w:ascii="Verdana" w:hAnsi="Verdana"/>
          <w:sz w:val="20"/>
        </w:rPr>
        <w:t xml:space="preserve">En virtud de lo anterior, el Tribunal considera que el Estado ha dado cumplimiento total a las medidas de publicación y difusión de la Sentencia y de su resumen oficial, ordenadas en el punto </w:t>
      </w:r>
      <w:r w:rsidR="003D5DFA" w:rsidRPr="00CA32B3">
        <w:rPr>
          <w:rFonts w:ascii="Verdana" w:hAnsi="Verdana"/>
          <w:sz w:val="20"/>
        </w:rPr>
        <w:t>resolutivo</w:t>
      </w:r>
      <w:r w:rsidRPr="00CA32B3">
        <w:rPr>
          <w:rFonts w:ascii="Verdana" w:hAnsi="Verdana"/>
          <w:sz w:val="20"/>
        </w:rPr>
        <w:t xml:space="preserve"> décimo cuarto de la misma.</w:t>
      </w:r>
    </w:p>
    <w:p w14:paraId="335E6AE4" w14:textId="64852521" w:rsidR="006D03EC" w:rsidRPr="00CA32B3" w:rsidRDefault="006D03EC" w:rsidP="00A876C8">
      <w:pPr>
        <w:pStyle w:val="Prrafodelista"/>
        <w:widowControl w:val="0"/>
        <w:suppressLineNumbers/>
        <w:spacing w:after="0" w:line="240" w:lineRule="auto"/>
        <w:ind w:left="0"/>
        <w:jc w:val="both"/>
        <w:rPr>
          <w:rFonts w:ascii="Verdana" w:hAnsi="Verdana"/>
          <w:sz w:val="18"/>
          <w:szCs w:val="20"/>
        </w:rPr>
      </w:pPr>
    </w:p>
    <w:p w14:paraId="6F82FCEF" w14:textId="77777777" w:rsidR="006D03EC" w:rsidRPr="00CA32B3" w:rsidRDefault="006D03EC" w:rsidP="00A876C8">
      <w:pPr>
        <w:pStyle w:val="Prrafodelista"/>
        <w:widowControl w:val="0"/>
        <w:suppressLineNumbers/>
        <w:spacing w:after="0" w:line="240" w:lineRule="auto"/>
        <w:ind w:left="0"/>
        <w:jc w:val="both"/>
        <w:rPr>
          <w:rFonts w:ascii="Verdana" w:hAnsi="Verdana"/>
          <w:sz w:val="18"/>
          <w:szCs w:val="20"/>
        </w:rPr>
      </w:pPr>
    </w:p>
    <w:p w14:paraId="3AFCB1DC" w14:textId="77777777" w:rsidR="00C449AB" w:rsidRPr="00CA32B3" w:rsidRDefault="00861763" w:rsidP="00A876C8">
      <w:pPr>
        <w:suppressLineNumbers/>
        <w:spacing w:after="0" w:line="240" w:lineRule="auto"/>
        <w:jc w:val="both"/>
        <w:rPr>
          <w:rFonts w:ascii="Verdana" w:hAnsi="Verdana"/>
          <w:b/>
          <w:sz w:val="20"/>
          <w:szCs w:val="20"/>
        </w:rPr>
      </w:pPr>
      <w:r w:rsidRPr="00CA32B3">
        <w:rPr>
          <w:rFonts w:ascii="Verdana" w:hAnsi="Verdana"/>
          <w:b/>
          <w:sz w:val="20"/>
          <w:szCs w:val="20"/>
        </w:rPr>
        <w:t>POR TANTO:</w:t>
      </w:r>
    </w:p>
    <w:p w14:paraId="0B402090" w14:textId="77777777" w:rsidR="00C449AB" w:rsidRPr="00CA32B3" w:rsidRDefault="00C449AB" w:rsidP="00A876C8">
      <w:pPr>
        <w:suppressLineNumbers/>
        <w:spacing w:after="0" w:line="240" w:lineRule="auto"/>
        <w:jc w:val="both"/>
        <w:rPr>
          <w:rFonts w:ascii="Verdana" w:hAnsi="Verdana"/>
          <w:b/>
          <w:sz w:val="20"/>
          <w:szCs w:val="20"/>
        </w:rPr>
      </w:pPr>
    </w:p>
    <w:p w14:paraId="362DED69" w14:textId="77777777" w:rsidR="00C449AB" w:rsidRPr="00CA32B3" w:rsidRDefault="00861763" w:rsidP="00A876C8">
      <w:pPr>
        <w:suppressLineNumbers/>
        <w:spacing w:after="0" w:line="240" w:lineRule="auto"/>
        <w:jc w:val="both"/>
        <w:rPr>
          <w:rFonts w:ascii="Verdana" w:hAnsi="Verdana"/>
          <w:sz w:val="20"/>
          <w:szCs w:val="20"/>
        </w:rPr>
      </w:pPr>
      <w:r w:rsidRPr="00CA32B3">
        <w:rPr>
          <w:rFonts w:ascii="Verdana" w:hAnsi="Verdana"/>
          <w:b/>
          <w:sz w:val="20"/>
          <w:szCs w:val="20"/>
        </w:rPr>
        <w:t>LA CORTE INTERAMERICANA DE DERECHOS HUMANOS,</w:t>
      </w:r>
    </w:p>
    <w:p w14:paraId="1AF9985C" w14:textId="77777777" w:rsidR="00C449AB" w:rsidRPr="00CA32B3" w:rsidRDefault="00C449AB" w:rsidP="00A876C8">
      <w:pPr>
        <w:suppressLineNumbers/>
        <w:spacing w:after="0" w:line="240" w:lineRule="auto"/>
        <w:jc w:val="both"/>
        <w:rPr>
          <w:rFonts w:ascii="Verdana" w:hAnsi="Verdana"/>
          <w:sz w:val="20"/>
        </w:rPr>
      </w:pPr>
    </w:p>
    <w:p w14:paraId="7456B246" w14:textId="77777777" w:rsidR="00C449AB" w:rsidRPr="00CA32B3" w:rsidRDefault="00861763" w:rsidP="00A876C8">
      <w:pPr>
        <w:suppressLineNumbers/>
        <w:spacing w:after="0" w:line="240" w:lineRule="auto"/>
        <w:jc w:val="both"/>
        <w:rPr>
          <w:rFonts w:ascii="Verdana" w:hAnsi="Verdana" w:cs="Verdana"/>
          <w:sz w:val="20"/>
        </w:rPr>
      </w:pPr>
      <w:r w:rsidRPr="00CA32B3">
        <w:rPr>
          <w:rFonts w:ascii="Verdana" w:hAnsi="Verdana"/>
          <w:sz w:val="20"/>
        </w:rPr>
        <w:t>en el ejercicio de sus atribuciones de supervisión del cumplimiento de sus decisiones y de conformidad con los artículos 33, 62.1, 62.3, 65, 67 y 68.1 de la Convención Americana sobre Derechos Humanos, 24, 25 y 30 del Estatuto, y 31.2 y 69 de su Reglamento,</w:t>
      </w:r>
    </w:p>
    <w:p w14:paraId="21DBFD1C" w14:textId="20981EAB" w:rsidR="00CF7903" w:rsidRPr="00CA32B3" w:rsidRDefault="00CF7903" w:rsidP="00A876C8">
      <w:pPr>
        <w:suppressLineNumbers/>
        <w:spacing w:after="0" w:line="240" w:lineRule="auto"/>
        <w:jc w:val="both"/>
        <w:rPr>
          <w:rFonts w:ascii="Verdana" w:hAnsi="Verdana"/>
          <w:b/>
          <w:caps/>
          <w:sz w:val="20"/>
          <w:szCs w:val="20"/>
        </w:rPr>
      </w:pPr>
    </w:p>
    <w:p w14:paraId="136FE95D" w14:textId="77777777" w:rsidR="00C449AB" w:rsidRPr="00CA32B3" w:rsidRDefault="00861763" w:rsidP="00A876C8">
      <w:pPr>
        <w:suppressLineNumbers/>
        <w:spacing w:after="0" w:line="240" w:lineRule="auto"/>
        <w:jc w:val="both"/>
        <w:rPr>
          <w:rFonts w:ascii="Verdana" w:hAnsi="Verdana"/>
          <w:b/>
          <w:caps/>
          <w:sz w:val="20"/>
          <w:szCs w:val="20"/>
        </w:rPr>
      </w:pPr>
      <w:r w:rsidRPr="00CA32B3">
        <w:rPr>
          <w:rFonts w:ascii="Verdana" w:hAnsi="Verdana"/>
          <w:b/>
          <w:caps/>
          <w:sz w:val="20"/>
          <w:szCs w:val="20"/>
        </w:rPr>
        <w:t>Resuelve:</w:t>
      </w:r>
    </w:p>
    <w:p w14:paraId="47585CDE" w14:textId="77777777" w:rsidR="00C449AB" w:rsidRPr="00CA32B3" w:rsidRDefault="00C449AB" w:rsidP="00A876C8">
      <w:pPr>
        <w:suppressLineNumbers/>
        <w:spacing w:after="0" w:line="240" w:lineRule="auto"/>
      </w:pPr>
    </w:p>
    <w:p w14:paraId="23EF8073" w14:textId="18028208" w:rsidR="00C449AB" w:rsidRPr="00CA32B3" w:rsidRDefault="00861763" w:rsidP="00A876C8">
      <w:pPr>
        <w:pStyle w:val="Prrafodelista"/>
        <w:numPr>
          <w:ilvl w:val="0"/>
          <w:numId w:val="8"/>
        </w:numPr>
        <w:suppressLineNumbers/>
        <w:spacing w:after="0" w:line="240" w:lineRule="auto"/>
        <w:ind w:left="0" w:firstLine="0"/>
        <w:jc w:val="both"/>
        <w:rPr>
          <w:rFonts w:ascii="Verdana" w:hAnsi="Verdana"/>
          <w:sz w:val="20"/>
        </w:rPr>
      </w:pPr>
      <w:r w:rsidRPr="00CA32B3">
        <w:rPr>
          <w:rFonts w:ascii="Verdana" w:hAnsi="Verdana"/>
          <w:sz w:val="20"/>
        </w:rPr>
        <w:t xml:space="preserve">Declarar, de conformidad con lo señalado en el Considerando </w:t>
      </w:r>
      <w:r w:rsidR="00FC0A45" w:rsidRPr="00CA32B3">
        <w:rPr>
          <w:rFonts w:ascii="Verdana" w:hAnsi="Verdana"/>
          <w:sz w:val="20"/>
        </w:rPr>
        <w:t>60</w:t>
      </w:r>
      <w:r w:rsidRPr="00CA32B3">
        <w:rPr>
          <w:rFonts w:ascii="Verdana" w:hAnsi="Verdana"/>
          <w:sz w:val="20"/>
        </w:rPr>
        <w:t xml:space="preserve"> de la presente Resolución, que el Estado ha dado cumplimiento total a la medida de reparación relativa a realizar la publicación y difusión de la Sentencia y de su resumen oficial (</w:t>
      </w:r>
      <w:r w:rsidRPr="00CA32B3">
        <w:rPr>
          <w:rFonts w:ascii="Verdana" w:hAnsi="Verdana"/>
          <w:i/>
          <w:sz w:val="20"/>
        </w:rPr>
        <w:t>punto resolutivo décimo cuarto de la Sentencia</w:t>
      </w:r>
      <w:r w:rsidRPr="00CA32B3">
        <w:rPr>
          <w:rFonts w:ascii="Verdana" w:hAnsi="Verdana"/>
          <w:sz w:val="20"/>
        </w:rPr>
        <w:t>).</w:t>
      </w:r>
    </w:p>
    <w:p w14:paraId="361F806A" w14:textId="77777777" w:rsidR="00C449AB" w:rsidRPr="00CA32B3" w:rsidRDefault="00C449AB" w:rsidP="00A876C8">
      <w:pPr>
        <w:pStyle w:val="Prrafodelista"/>
        <w:suppressLineNumbers/>
        <w:spacing w:after="0" w:line="240" w:lineRule="auto"/>
        <w:ind w:left="0"/>
        <w:jc w:val="both"/>
        <w:rPr>
          <w:rFonts w:ascii="Verdana" w:hAnsi="Verdana"/>
          <w:sz w:val="20"/>
        </w:rPr>
      </w:pPr>
    </w:p>
    <w:p w14:paraId="0AB91D28" w14:textId="53D531F1" w:rsidR="00196DF1" w:rsidRPr="00CA32B3" w:rsidRDefault="00861763" w:rsidP="00A876C8">
      <w:pPr>
        <w:pStyle w:val="Prrafodelista"/>
        <w:numPr>
          <w:ilvl w:val="0"/>
          <w:numId w:val="8"/>
        </w:numPr>
        <w:suppressLineNumbers/>
        <w:spacing w:after="0" w:line="240" w:lineRule="auto"/>
        <w:ind w:left="0" w:firstLine="0"/>
        <w:jc w:val="both"/>
        <w:rPr>
          <w:rFonts w:ascii="Verdana" w:hAnsi="Verdana"/>
          <w:sz w:val="20"/>
        </w:rPr>
      </w:pPr>
      <w:r w:rsidRPr="00CA32B3">
        <w:rPr>
          <w:rFonts w:ascii="Verdana" w:hAnsi="Verdana"/>
          <w:sz w:val="20"/>
        </w:rPr>
        <w:lastRenderedPageBreak/>
        <w:t>Declarar, de c</w:t>
      </w:r>
      <w:r w:rsidR="00196DF1" w:rsidRPr="00CA32B3">
        <w:rPr>
          <w:rFonts w:ascii="Verdana" w:hAnsi="Verdana"/>
          <w:sz w:val="20"/>
        </w:rPr>
        <w:t>onformidad con lo señalado en los</w:t>
      </w:r>
      <w:r w:rsidRPr="00CA32B3">
        <w:rPr>
          <w:rFonts w:ascii="Verdana" w:hAnsi="Verdana"/>
          <w:sz w:val="20"/>
        </w:rPr>
        <w:t xml:space="preserve"> Considerando</w:t>
      </w:r>
      <w:r w:rsidR="00196DF1" w:rsidRPr="00CA32B3">
        <w:rPr>
          <w:rFonts w:ascii="Verdana" w:hAnsi="Verdana"/>
          <w:sz w:val="20"/>
        </w:rPr>
        <w:t>s</w:t>
      </w:r>
      <w:r w:rsidRPr="00CA32B3">
        <w:rPr>
          <w:rFonts w:ascii="Verdana" w:hAnsi="Verdana"/>
          <w:sz w:val="20"/>
        </w:rPr>
        <w:t xml:space="preserve"> </w:t>
      </w:r>
      <w:r w:rsidR="00FC0A45" w:rsidRPr="00CA32B3">
        <w:rPr>
          <w:rFonts w:ascii="Verdana" w:hAnsi="Verdana"/>
          <w:sz w:val="20"/>
        </w:rPr>
        <w:t>22 y 34</w:t>
      </w:r>
      <w:r w:rsidRPr="00CA32B3">
        <w:rPr>
          <w:rFonts w:ascii="Verdana" w:hAnsi="Verdana"/>
          <w:sz w:val="20"/>
        </w:rPr>
        <w:t xml:space="preserve"> de la presente Resolución, que el Estado ha dado cumplimiento </w:t>
      </w:r>
      <w:r w:rsidRPr="00CA32B3">
        <w:rPr>
          <w:rFonts w:ascii="Verdana" w:hAnsi="Verdana"/>
          <w:sz w:val="20"/>
          <w:lang w:val="es-ES"/>
        </w:rPr>
        <w:t>parcial</w:t>
      </w:r>
      <w:r w:rsidRPr="00CA32B3">
        <w:rPr>
          <w:rFonts w:ascii="Verdana" w:hAnsi="Verdana"/>
          <w:sz w:val="20"/>
        </w:rPr>
        <w:t xml:space="preserve"> a la</w:t>
      </w:r>
      <w:r w:rsidR="00196DF1" w:rsidRPr="00CA32B3">
        <w:rPr>
          <w:rFonts w:ascii="Verdana" w:hAnsi="Verdana"/>
          <w:sz w:val="20"/>
        </w:rPr>
        <w:t>s</w:t>
      </w:r>
      <w:r w:rsidRPr="00CA32B3">
        <w:rPr>
          <w:rFonts w:ascii="Verdana" w:hAnsi="Verdana"/>
          <w:sz w:val="20"/>
        </w:rPr>
        <w:t xml:space="preserve"> </w:t>
      </w:r>
      <w:r w:rsidR="00CF7903" w:rsidRPr="00CA32B3">
        <w:rPr>
          <w:rFonts w:ascii="Verdana" w:hAnsi="Verdana"/>
          <w:sz w:val="20"/>
        </w:rPr>
        <w:t xml:space="preserve">siguientes </w:t>
      </w:r>
      <w:r w:rsidRPr="00CA32B3">
        <w:rPr>
          <w:rFonts w:ascii="Verdana" w:hAnsi="Verdana"/>
          <w:sz w:val="20"/>
        </w:rPr>
        <w:t>medida</w:t>
      </w:r>
      <w:r w:rsidR="00196DF1" w:rsidRPr="00CA32B3">
        <w:rPr>
          <w:rFonts w:ascii="Verdana" w:hAnsi="Verdana"/>
          <w:sz w:val="20"/>
        </w:rPr>
        <w:t>s:</w:t>
      </w:r>
    </w:p>
    <w:p w14:paraId="40041CEA" w14:textId="77777777" w:rsidR="003D5DFA" w:rsidRPr="00CA32B3" w:rsidRDefault="003D5DFA" w:rsidP="00A876C8">
      <w:pPr>
        <w:pStyle w:val="Prrafodelista"/>
        <w:suppressLineNumbers/>
        <w:spacing w:after="0" w:line="240" w:lineRule="auto"/>
        <w:rPr>
          <w:rFonts w:ascii="Verdana" w:hAnsi="Verdana"/>
          <w:sz w:val="20"/>
        </w:rPr>
      </w:pPr>
    </w:p>
    <w:p w14:paraId="4147DE93" w14:textId="77777777" w:rsidR="00196DF1" w:rsidRPr="00CA32B3" w:rsidRDefault="00861763" w:rsidP="00A876C8">
      <w:pPr>
        <w:pStyle w:val="Prrafodelista"/>
        <w:numPr>
          <w:ilvl w:val="0"/>
          <w:numId w:val="17"/>
        </w:numPr>
        <w:suppressLineNumbers/>
        <w:spacing w:after="0" w:line="240" w:lineRule="auto"/>
        <w:ind w:left="709" w:hanging="425"/>
        <w:jc w:val="both"/>
        <w:rPr>
          <w:rFonts w:ascii="Verdana" w:hAnsi="Verdana"/>
          <w:sz w:val="20"/>
        </w:rPr>
      </w:pPr>
      <w:r w:rsidRPr="00CA32B3">
        <w:rPr>
          <w:rFonts w:ascii="Verdana" w:eastAsia="Calibri" w:hAnsi="Verdana" w:cs="Verdana"/>
          <w:bCs/>
          <w:iCs/>
          <w:sz w:val="20"/>
          <w:szCs w:val="20"/>
        </w:rPr>
        <w:t xml:space="preserve">investigar los hechos, identificar, juzgar y, en su caso, </w:t>
      </w:r>
      <w:r w:rsidRPr="00CA32B3">
        <w:rPr>
          <w:rFonts w:ascii="Verdana" w:eastAsia="Calibri" w:hAnsi="Verdana" w:cs="Verdana"/>
          <w:bCs/>
          <w:iCs/>
          <w:sz w:val="20"/>
          <w:szCs w:val="20"/>
          <w:lang w:val="es-CR" w:eastAsia="es-CR"/>
        </w:rPr>
        <w:t>sancionar a los responsables (</w:t>
      </w:r>
      <w:r w:rsidRPr="00CA32B3">
        <w:rPr>
          <w:rFonts w:ascii="Verdana" w:eastAsia="Calibri" w:hAnsi="Verdana" w:cs="Verdana"/>
          <w:bCs/>
          <w:i/>
          <w:iCs/>
          <w:sz w:val="20"/>
          <w:szCs w:val="20"/>
          <w:lang w:val="es-CR" w:eastAsia="es-CR"/>
        </w:rPr>
        <w:t>punto resolutivo décimo de la Sentencia</w:t>
      </w:r>
      <w:r w:rsidRPr="00CA32B3">
        <w:rPr>
          <w:rFonts w:ascii="Verdana" w:eastAsia="Calibri" w:hAnsi="Verdana" w:cs="Verdana"/>
          <w:bCs/>
          <w:iCs/>
          <w:sz w:val="20"/>
          <w:szCs w:val="20"/>
          <w:lang w:val="es-CR" w:eastAsia="es-CR"/>
        </w:rPr>
        <w:t>)</w:t>
      </w:r>
      <w:r w:rsidR="00196DF1" w:rsidRPr="00CA32B3">
        <w:rPr>
          <w:rFonts w:ascii="Verdana" w:eastAsia="Calibri" w:hAnsi="Verdana" w:cs="Verdana"/>
          <w:bCs/>
          <w:iCs/>
          <w:sz w:val="20"/>
          <w:szCs w:val="20"/>
          <w:lang w:val="es-ES" w:eastAsia="es-CR"/>
        </w:rPr>
        <w:t xml:space="preserve">, y </w:t>
      </w:r>
    </w:p>
    <w:p w14:paraId="258BEE74" w14:textId="465985BC" w:rsidR="00C449AB" w:rsidRPr="00CA32B3" w:rsidRDefault="00FC0A45" w:rsidP="00A876C8">
      <w:pPr>
        <w:pStyle w:val="Prrafodelista"/>
        <w:numPr>
          <w:ilvl w:val="0"/>
          <w:numId w:val="17"/>
        </w:numPr>
        <w:suppressLineNumbers/>
        <w:spacing w:after="0" w:line="240" w:lineRule="auto"/>
        <w:ind w:left="709" w:hanging="425"/>
        <w:jc w:val="both"/>
        <w:rPr>
          <w:rFonts w:ascii="Verdana" w:hAnsi="Verdana"/>
          <w:sz w:val="20"/>
        </w:rPr>
      </w:pPr>
      <w:r w:rsidRPr="00CA32B3">
        <w:rPr>
          <w:rFonts w:ascii="Verdana" w:eastAsiaTheme="minorHAnsi" w:hAnsi="Verdana" w:cs="Arial"/>
          <w:sz w:val="20"/>
          <w:szCs w:val="20"/>
          <w:lang w:eastAsia="en-US"/>
        </w:rPr>
        <w:t xml:space="preserve">buscar, exhumar e identificar </w:t>
      </w:r>
      <w:r w:rsidR="00861763" w:rsidRPr="00CA32B3">
        <w:rPr>
          <w:rFonts w:ascii="Verdana" w:eastAsiaTheme="minorHAnsi" w:hAnsi="Verdana" w:cs="Arial"/>
          <w:sz w:val="20"/>
          <w:szCs w:val="20"/>
          <w:lang w:eastAsia="en-US"/>
        </w:rPr>
        <w:t xml:space="preserve">los restos humanos localizados en </w:t>
      </w:r>
      <w:r w:rsidR="00203265" w:rsidRPr="00CA32B3">
        <w:rPr>
          <w:rFonts w:ascii="Verdana" w:eastAsiaTheme="minorHAnsi" w:hAnsi="Verdana" w:cs="ArialMT"/>
          <w:sz w:val="20"/>
          <w:szCs w:val="20"/>
          <w:lang w:eastAsia="en-US"/>
        </w:rPr>
        <w:t>la mina ‘</w:t>
      </w:r>
      <w:r w:rsidR="00861763" w:rsidRPr="00CA32B3">
        <w:rPr>
          <w:rFonts w:ascii="Verdana" w:eastAsiaTheme="minorHAnsi" w:hAnsi="Verdana" w:cs="ArialMT"/>
          <w:sz w:val="20"/>
          <w:szCs w:val="20"/>
          <w:lang w:eastAsia="en-US"/>
        </w:rPr>
        <w:t>Misteriosa</w:t>
      </w:r>
      <w:r w:rsidR="00203265" w:rsidRPr="00CA32B3">
        <w:rPr>
          <w:rFonts w:ascii="Verdana" w:eastAsiaTheme="minorHAnsi" w:hAnsi="Verdana" w:cs="ArialMT"/>
          <w:sz w:val="20"/>
          <w:szCs w:val="20"/>
          <w:lang w:eastAsia="en-US"/>
        </w:rPr>
        <w:t>’ o ‘</w:t>
      </w:r>
      <w:r w:rsidR="00861763" w:rsidRPr="00CA32B3">
        <w:rPr>
          <w:rFonts w:ascii="Verdana" w:eastAsiaTheme="minorHAnsi" w:hAnsi="Verdana" w:cs="ArialMT"/>
          <w:sz w:val="20"/>
          <w:szCs w:val="20"/>
          <w:lang w:eastAsia="en-US"/>
        </w:rPr>
        <w:t>Vallarón</w:t>
      </w:r>
      <w:r w:rsidR="00203265" w:rsidRPr="00CA32B3">
        <w:rPr>
          <w:rFonts w:ascii="Verdana" w:eastAsiaTheme="minorHAnsi" w:hAnsi="Verdana" w:cs="ArialMT"/>
          <w:sz w:val="20"/>
          <w:szCs w:val="20"/>
          <w:lang w:eastAsia="en-US"/>
        </w:rPr>
        <w:t>’</w:t>
      </w:r>
      <w:r w:rsidR="00861763" w:rsidRPr="00CA32B3">
        <w:rPr>
          <w:rFonts w:ascii="Verdana" w:eastAsiaTheme="minorHAnsi" w:hAnsi="Verdana" w:cs="ArialMT"/>
          <w:sz w:val="20"/>
          <w:szCs w:val="20"/>
          <w:lang w:eastAsia="en-US"/>
        </w:rPr>
        <w:t xml:space="preserve"> (</w:t>
      </w:r>
      <w:r w:rsidR="00861763" w:rsidRPr="00CA32B3">
        <w:rPr>
          <w:rFonts w:ascii="Verdana" w:eastAsiaTheme="minorHAnsi" w:hAnsi="Verdana" w:cs="ArialMT"/>
          <w:i/>
          <w:sz w:val="20"/>
          <w:szCs w:val="20"/>
          <w:lang w:eastAsia="en-US"/>
        </w:rPr>
        <w:t xml:space="preserve">punto </w:t>
      </w:r>
      <w:r w:rsidR="003D5DFA" w:rsidRPr="00CA32B3">
        <w:rPr>
          <w:rFonts w:ascii="Verdana" w:eastAsiaTheme="minorHAnsi" w:hAnsi="Verdana" w:cs="ArialMT"/>
          <w:i/>
          <w:sz w:val="20"/>
          <w:szCs w:val="20"/>
          <w:lang w:eastAsia="en-US"/>
        </w:rPr>
        <w:t>resolutivo</w:t>
      </w:r>
      <w:r w:rsidR="00861763" w:rsidRPr="00CA32B3">
        <w:rPr>
          <w:rFonts w:ascii="Verdana" w:eastAsiaTheme="minorHAnsi" w:hAnsi="Verdana" w:cs="ArialMT"/>
          <w:i/>
          <w:sz w:val="20"/>
          <w:szCs w:val="20"/>
          <w:lang w:eastAsia="en-US"/>
        </w:rPr>
        <w:t xml:space="preserve"> décimo primero de la Sentencia</w:t>
      </w:r>
      <w:r w:rsidR="00861763" w:rsidRPr="00CA32B3">
        <w:rPr>
          <w:rFonts w:ascii="Verdana" w:eastAsiaTheme="minorHAnsi" w:hAnsi="Verdana" w:cs="ArialMT"/>
          <w:sz w:val="20"/>
          <w:szCs w:val="20"/>
          <w:lang w:eastAsia="en-US"/>
        </w:rPr>
        <w:t xml:space="preserve">). </w:t>
      </w:r>
    </w:p>
    <w:p w14:paraId="7067B081" w14:textId="77777777" w:rsidR="004203AA" w:rsidRPr="00CA32B3" w:rsidRDefault="004203AA" w:rsidP="00A876C8">
      <w:pPr>
        <w:pStyle w:val="Prrafodelista"/>
        <w:suppressLineNumbers/>
        <w:spacing w:after="0" w:line="240" w:lineRule="auto"/>
        <w:ind w:left="1068"/>
        <w:jc w:val="both"/>
        <w:rPr>
          <w:rFonts w:ascii="Verdana" w:hAnsi="Verdana"/>
          <w:sz w:val="20"/>
        </w:rPr>
      </w:pPr>
    </w:p>
    <w:p w14:paraId="4D613D68" w14:textId="328ACBB7" w:rsidR="00C449AB" w:rsidRPr="00CA32B3" w:rsidRDefault="00861763" w:rsidP="00A876C8">
      <w:pPr>
        <w:pStyle w:val="Prrafodelista"/>
        <w:numPr>
          <w:ilvl w:val="0"/>
          <w:numId w:val="8"/>
        </w:numPr>
        <w:suppressLineNumbers/>
        <w:spacing w:after="0" w:line="240" w:lineRule="auto"/>
        <w:ind w:left="0" w:firstLine="0"/>
        <w:jc w:val="both"/>
        <w:rPr>
          <w:rFonts w:ascii="Verdana" w:hAnsi="Verdana"/>
          <w:sz w:val="20"/>
        </w:rPr>
      </w:pPr>
      <w:r w:rsidRPr="00CA32B3">
        <w:rPr>
          <w:rFonts w:ascii="Verdana" w:hAnsi="Verdana"/>
          <w:sz w:val="20"/>
        </w:rPr>
        <w:t>Mantener abierto el procedimiento de supervisión de cumplimiento respecto de las siguientes medidas de reparación pendientes de acatamiento:</w:t>
      </w:r>
    </w:p>
    <w:p w14:paraId="267DA343" w14:textId="77777777" w:rsidR="00C449AB" w:rsidRPr="00CA32B3" w:rsidRDefault="00C449AB" w:rsidP="00A876C8">
      <w:pPr>
        <w:suppressLineNumbers/>
        <w:spacing w:after="0" w:line="240" w:lineRule="auto"/>
        <w:jc w:val="both"/>
        <w:rPr>
          <w:rFonts w:ascii="Verdana" w:hAnsi="Verdana"/>
          <w:sz w:val="20"/>
        </w:rPr>
      </w:pPr>
    </w:p>
    <w:p w14:paraId="2A4F489B" w14:textId="77777777" w:rsidR="00CF7903" w:rsidRPr="00CA32B3" w:rsidRDefault="00861763" w:rsidP="00A876C8">
      <w:pPr>
        <w:pStyle w:val="Prrafodelista"/>
        <w:numPr>
          <w:ilvl w:val="0"/>
          <w:numId w:val="9"/>
        </w:numPr>
        <w:suppressLineNumbers/>
        <w:spacing w:after="0" w:line="240" w:lineRule="auto"/>
        <w:ind w:left="709" w:hanging="425"/>
        <w:jc w:val="both"/>
        <w:rPr>
          <w:rFonts w:ascii="Verdana" w:hAnsi="Verdana"/>
          <w:sz w:val="20"/>
        </w:rPr>
      </w:pPr>
      <w:r w:rsidRPr="00CA32B3">
        <w:rPr>
          <w:rFonts w:ascii="Verdana" w:eastAsia="Calibri" w:hAnsi="Verdana" w:cs="Verdana"/>
          <w:bCs/>
          <w:iCs/>
          <w:sz w:val="20"/>
          <w:szCs w:val="20"/>
        </w:rPr>
        <w:t xml:space="preserve">investigar los hechos, identificar, juzgar y, en su caso, </w:t>
      </w:r>
      <w:r w:rsidRPr="00CA32B3">
        <w:rPr>
          <w:rFonts w:ascii="Verdana" w:eastAsia="Calibri" w:hAnsi="Verdana" w:cs="Verdana"/>
          <w:bCs/>
          <w:iCs/>
          <w:sz w:val="20"/>
          <w:szCs w:val="20"/>
          <w:lang w:val="es-CR" w:eastAsia="es-CR"/>
        </w:rPr>
        <w:t>sancionar a los responsables (</w:t>
      </w:r>
      <w:r w:rsidRPr="00CA32B3">
        <w:rPr>
          <w:rFonts w:ascii="Verdana" w:eastAsia="Calibri" w:hAnsi="Verdana" w:cs="Verdana"/>
          <w:bCs/>
          <w:i/>
          <w:iCs/>
          <w:sz w:val="20"/>
          <w:szCs w:val="20"/>
          <w:lang w:val="es-CR" w:eastAsia="es-CR"/>
        </w:rPr>
        <w:t>punto resolutivo décimo de la Sentencia</w:t>
      </w:r>
      <w:r w:rsidRPr="00CA32B3">
        <w:rPr>
          <w:rFonts w:ascii="Verdana" w:eastAsia="Calibri" w:hAnsi="Verdana" w:cs="Verdana"/>
          <w:bCs/>
          <w:iCs/>
          <w:sz w:val="20"/>
          <w:szCs w:val="20"/>
          <w:lang w:val="es-CR" w:eastAsia="es-CR"/>
        </w:rPr>
        <w:t>)</w:t>
      </w:r>
      <w:r w:rsidR="0040684E" w:rsidRPr="00CA32B3">
        <w:rPr>
          <w:rFonts w:ascii="Verdana" w:eastAsia="Calibri" w:hAnsi="Verdana" w:cs="Verdana"/>
          <w:bCs/>
          <w:iCs/>
          <w:sz w:val="20"/>
          <w:szCs w:val="20"/>
          <w:lang w:val="es-CR" w:eastAsia="es-CR"/>
        </w:rPr>
        <w:t>;</w:t>
      </w:r>
    </w:p>
    <w:p w14:paraId="152FB0C2" w14:textId="685FF91B" w:rsidR="00CF7903" w:rsidRPr="00CA32B3" w:rsidRDefault="00FC0A45" w:rsidP="00A876C8">
      <w:pPr>
        <w:pStyle w:val="Prrafodelista"/>
        <w:numPr>
          <w:ilvl w:val="0"/>
          <w:numId w:val="9"/>
        </w:numPr>
        <w:suppressLineNumbers/>
        <w:spacing w:after="0" w:line="240" w:lineRule="auto"/>
        <w:ind w:left="709" w:hanging="425"/>
        <w:jc w:val="both"/>
        <w:rPr>
          <w:rFonts w:ascii="Verdana" w:hAnsi="Verdana"/>
          <w:sz w:val="20"/>
        </w:rPr>
      </w:pPr>
      <w:r w:rsidRPr="00CA32B3">
        <w:rPr>
          <w:rFonts w:ascii="Verdana" w:eastAsiaTheme="minorHAnsi" w:hAnsi="Verdana" w:cs="Arial"/>
          <w:sz w:val="20"/>
          <w:szCs w:val="20"/>
          <w:lang w:eastAsia="en-US"/>
        </w:rPr>
        <w:t xml:space="preserve">buscar, exhumar e identificar </w:t>
      </w:r>
      <w:r w:rsidR="004203AA" w:rsidRPr="00CA32B3">
        <w:rPr>
          <w:rFonts w:ascii="Verdana" w:eastAsiaTheme="minorHAnsi" w:hAnsi="Verdana" w:cs="Arial"/>
          <w:sz w:val="20"/>
          <w:szCs w:val="20"/>
          <w:lang w:eastAsia="en-US"/>
        </w:rPr>
        <w:t xml:space="preserve">los restos humanos localizados en </w:t>
      </w:r>
      <w:r w:rsidR="00203265" w:rsidRPr="00CA32B3">
        <w:rPr>
          <w:rFonts w:ascii="Verdana" w:eastAsiaTheme="minorHAnsi" w:hAnsi="Verdana" w:cs="ArialMT"/>
          <w:sz w:val="20"/>
          <w:szCs w:val="20"/>
          <w:lang w:eastAsia="en-US"/>
        </w:rPr>
        <w:t>la mina ‘</w:t>
      </w:r>
      <w:r w:rsidR="004203AA" w:rsidRPr="00CA32B3">
        <w:rPr>
          <w:rFonts w:ascii="Verdana" w:eastAsiaTheme="minorHAnsi" w:hAnsi="Verdana" w:cs="ArialMT"/>
          <w:sz w:val="20"/>
          <w:szCs w:val="20"/>
          <w:lang w:eastAsia="en-US"/>
        </w:rPr>
        <w:t>Misteriosa</w:t>
      </w:r>
      <w:r w:rsidR="00203265" w:rsidRPr="00CA32B3">
        <w:rPr>
          <w:rFonts w:ascii="Verdana" w:eastAsiaTheme="minorHAnsi" w:hAnsi="Verdana" w:cs="ArialMT"/>
          <w:sz w:val="20"/>
          <w:szCs w:val="20"/>
          <w:lang w:eastAsia="en-US"/>
        </w:rPr>
        <w:t>’</w:t>
      </w:r>
      <w:r w:rsidR="004203AA" w:rsidRPr="00CA32B3">
        <w:rPr>
          <w:rFonts w:ascii="Verdana" w:eastAsiaTheme="minorHAnsi" w:hAnsi="Verdana" w:cs="ArialMT"/>
          <w:sz w:val="20"/>
          <w:szCs w:val="20"/>
          <w:lang w:eastAsia="en-US"/>
        </w:rPr>
        <w:t xml:space="preserve"> o </w:t>
      </w:r>
      <w:r w:rsidR="00203265" w:rsidRPr="00CA32B3">
        <w:rPr>
          <w:rFonts w:ascii="Verdana" w:eastAsiaTheme="minorHAnsi" w:hAnsi="Verdana" w:cs="ArialMT"/>
          <w:sz w:val="20"/>
          <w:szCs w:val="20"/>
          <w:lang w:eastAsia="en-US"/>
        </w:rPr>
        <w:t>‘Vallarón’</w:t>
      </w:r>
      <w:r w:rsidR="004203AA" w:rsidRPr="00CA32B3">
        <w:rPr>
          <w:rFonts w:ascii="Verdana" w:eastAsiaTheme="minorHAnsi" w:hAnsi="Verdana" w:cs="ArialMT"/>
          <w:sz w:val="20"/>
          <w:szCs w:val="20"/>
          <w:lang w:eastAsia="en-US"/>
        </w:rPr>
        <w:t xml:space="preserve"> (</w:t>
      </w:r>
      <w:r w:rsidR="004203AA" w:rsidRPr="00CA32B3">
        <w:rPr>
          <w:rFonts w:ascii="Verdana" w:eastAsiaTheme="minorHAnsi" w:hAnsi="Verdana" w:cs="ArialMT"/>
          <w:i/>
          <w:sz w:val="20"/>
          <w:szCs w:val="20"/>
          <w:lang w:eastAsia="en-US"/>
        </w:rPr>
        <w:t xml:space="preserve">punto </w:t>
      </w:r>
      <w:r w:rsidR="003D5DFA" w:rsidRPr="00CA32B3">
        <w:rPr>
          <w:rFonts w:ascii="Verdana" w:eastAsiaTheme="minorHAnsi" w:hAnsi="Verdana" w:cs="ArialMT"/>
          <w:i/>
          <w:sz w:val="20"/>
          <w:szCs w:val="20"/>
          <w:lang w:eastAsia="en-US"/>
        </w:rPr>
        <w:t>resolutiv</w:t>
      </w:r>
      <w:r w:rsidR="004203AA" w:rsidRPr="00CA32B3">
        <w:rPr>
          <w:rFonts w:ascii="Verdana" w:eastAsiaTheme="minorHAnsi" w:hAnsi="Verdana" w:cs="ArialMT"/>
          <w:i/>
          <w:sz w:val="20"/>
          <w:szCs w:val="20"/>
          <w:lang w:eastAsia="en-US"/>
        </w:rPr>
        <w:t>o décimo primero de la Sentencia</w:t>
      </w:r>
      <w:r w:rsidRPr="00CA32B3">
        <w:rPr>
          <w:rFonts w:ascii="Verdana" w:eastAsiaTheme="minorHAnsi" w:hAnsi="Verdana" w:cs="ArialMT"/>
          <w:sz w:val="20"/>
          <w:szCs w:val="20"/>
          <w:lang w:eastAsia="en-US"/>
        </w:rPr>
        <w:t>);</w:t>
      </w:r>
    </w:p>
    <w:p w14:paraId="2DC2184B" w14:textId="77777777" w:rsidR="00CF7903" w:rsidRPr="00CA32B3" w:rsidRDefault="00861763" w:rsidP="00A876C8">
      <w:pPr>
        <w:pStyle w:val="Prrafodelista"/>
        <w:numPr>
          <w:ilvl w:val="0"/>
          <w:numId w:val="9"/>
        </w:numPr>
        <w:suppressLineNumbers/>
        <w:spacing w:after="0" w:line="240" w:lineRule="auto"/>
        <w:ind w:left="709" w:hanging="425"/>
        <w:jc w:val="both"/>
        <w:rPr>
          <w:rFonts w:ascii="Verdana" w:hAnsi="Verdana"/>
          <w:sz w:val="20"/>
        </w:rPr>
      </w:pPr>
      <w:r w:rsidRPr="00CA32B3">
        <w:rPr>
          <w:rFonts w:ascii="Verdana" w:hAnsi="Verdana"/>
          <w:sz w:val="20"/>
        </w:rPr>
        <w:t>brindar asistencia para ganadería y entrega de viviendas adecuadas (</w:t>
      </w:r>
      <w:r w:rsidRPr="00CA32B3">
        <w:rPr>
          <w:rFonts w:ascii="Verdana" w:hAnsi="Verdana"/>
          <w:i/>
          <w:sz w:val="20"/>
        </w:rPr>
        <w:t>punto resolutivo décimo segundo de la Sentencia</w:t>
      </w:r>
      <w:r w:rsidRPr="00CA32B3">
        <w:rPr>
          <w:rFonts w:ascii="Verdana" w:hAnsi="Verdana"/>
          <w:sz w:val="20"/>
        </w:rPr>
        <w:t>)</w:t>
      </w:r>
      <w:r w:rsidR="0040684E" w:rsidRPr="00CA32B3">
        <w:rPr>
          <w:rFonts w:ascii="Verdana" w:hAnsi="Verdana"/>
          <w:sz w:val="20"/>
        </w:rPr>
        <w:t>;</w:t>
      </w:r>
    </w:p>
    <w:p w14:paraId="33B66248" w14:textId="77777777" w:rsidR="00690FE6" w:rsidRPr="00CA32B3" w:rsidRDefault="00861763" w:rsidP="00A876C8">
      <w:pPr>
        <w:pStyle w:val="Prrafodelista"/>
        <w:numPr>
          <w:ilvl w:val="0"/>
          <w:numId w:val="9"/>
        </w:numPr>
        <w:suppressLineNumbers/>
        <w:spacing w:after="0" w:line="240" w:lineRule="auto"/>
        <w:ind w:left="709" w:hanging="425"/>
        <w:jc w:val="both"/>
        <w:rPr>
          <w:rFonts w:ascii="Verdana" w:hAnsi="Verdana"/>
          <w:sz w:val="20"/>
        </w:rPr>
      </w:pPr>
      <w:r w:rsidRPr="00CA32B3">
        <w:rPr>
          <w:rFonts w:ascii="Verdana" w:hAnsi="Verdana"/>
          <w:sz w:val="20"/>
        </w:rPr>
        <w:t>brindar, de forma gratuita e inmediata, el tratamiento médico y psicológico o psiquiátrico a las víctimas que así lo soliciten (</w:t>
      </w:r>
      <w:r w:rsidRPr="00CA32B3">
        <w:rPr>
          <w:rFonts w:ascii="Verdana" w:hAnsi="Verdana"/>
          <w:i/>
          <w:sz w:val="20"/>
        </w:rPr>
        <w:t>punto resolutivo décimo tercero de la Sentencia</w:t>
      </w:r>
      <w:r w:rsidR="00690FE6" w:rsidRPr="00CA32B3">
        <w:rPr>
          <w:rFonts w:ascii="Verdana" w:hAnsi="Verdana"/>
          <w:sz w:val="20"/>
        </w:rPr>
        <w:t>);</w:t>
      </w:r>
    </w:p>
    <w:p w14:paraId="6AA91F49" w14:textId="4F48B78C" w:rsidR="003048D3" w:rsidRPr="00CA32B3" w:rsidRDefault="00861763" w:rsidP="00A876C8">
      <w:pPr>
        <w:pStyle w:val="Prrafodelista"/>
        <w:numPr>
          <w:ilvl w:val="0"/>
          <w:numId w:val="9"/>
        </w:numPr>
        <w:suppressLineNumbers/>
        <w:spacing w:after="0" w:line="240" w:lineRule="auto"/>
        <w:ind w:left="709" w:hanging="425"/>
        <w:jc w:val="both"/>
        <w:rPr>
          <w:rFonts w:ascii="Verdana" w:hAnsi="Verdana"/>
          <w:sz w:val="20"/>
        </w:rPr>
      </w:pPr>
      <w:r w:rsidRPr="00CA32B3">
        <w:rPr>
          <w:rFonts w:ascii="Verdana" w:hAnsi="Verdana"/>
          <w:sz w:val="20"/>
        </w:rPr>
        <w:t>pagar las cantidades fijadas por concepto de indemnizaciones por daños materiales e inmateriales (</w:t>
      </w:r>
      <w:r w:rsidRPr="00CA32B3">
        <w:rPr>
          <w:rFonts w:ascii="Verdana" w:hAnsi="Verdana"/>
          <w:i/>
          <w:sz w:val="20"/>
        </w:rPr>
        <w:t>punto resolutivo décimo quinto de la Sentencia</w:t>
      </w:r>
      <w:r w:rsidRPr="00CA32B3">
        <w:rPr>
          <w:rFonts w:ascii="Verdana" w:hAnsi="Verdana"/>
          <w:sz w:val="20"/>
        </w:rPr>
        <w:t>)</w:t>
      </w:r>
      <w:r w:rsidR="003048D3" w:rsidRPr="00CA32B3">
        <w:rPr>
          <w:rFonts w:ascii="Verdana" w:hAnsi="Verdana"/>
          <w:sz w:val="20"/>
        </w:rPr>
        <w:t>, y</w:t>
      </w:r>
    </w:p>
    <w:p w14:paraId="34214F03" w14:textId="5694DFFE" w:rsidR="00C449AB" w:rsidRPr="00CA32B3" w:rsidRDefault="003048D3" w:rsidP="00A876C8">
      <w:pPr>
        <w:pStyle w:val="Prrafodelista"/>
        <w:numPr>
          <w:ilvl w:val="0"/>
          <w:numId w:val="9"/>
        </w:numPr>
        <w:suppressLineNumbers/>
        <w:spacing w:after="0" w:line="240" w:lineRule="auto"/>
        <w:ind w:left="709" w:hanging="425"/>
        <w:jc w:val="both"/>
        <w:rPr>
          <w:rFonts w:ascii="Verdana" w:hAnsi="Verdana"/>
          <w:sz w:val="20"/>
        </w:rPr>
      </w:pPr>
      <w:r w:rsidRPr="00CA32B3">
        <w:rPr>
          <w:rFonts w:ascii="Verdana" w:hAnsi="Verdana"/>
          <w:sz w:val="20"/>
        </w:rPr>
        <w:t>pagar la cantidad fijada por concepto de reintegro de costas y gastos (</w:t>
      </w:r>
      <w:r w:rsidRPr="00CA32B3">
        <w:rPr>
          <w:rFonts w:ascii="Verdana" w:hAnsi="Verdana"/>
          <w:i/>
          <w:sz w:val="20"/>
        </w:rPr>
        <w:t>punto resolutivo décimo quinto de la Sentencia</w:t>
      </w:r>
      <w:r w:rsidRPr="00CA32B3">
        <w:rPr>
          <w:rFonts w:ascii="Verdana" w:hAnsi="Verdana"/>
          <w:sz w:val="20"/>
        </w:rPr>
        <w:t>).</w:t>
      </w:r>
    </w:p>
    <w:p w14:paraId="7CE0EE51" w14:textId="77777777" w:rsidR="00C449AB" w:rsidRPr="00CA32B3" w:rsidRDefault="00C449AB" w:rsidP="00A876C8">
      <w:pPr>
        <w:pStyle w:val="Prrafodelista"/>
        <w:suppressLineNumbers/>
        <w:spacing w:after="0" w:line="240" w:lineRule="auto"/>
        <w:rPr>
          <w:rFonts w:ascii="Verdana" w:hAnsi="Verdana"/>
          <w:sz w:val="18"/>
        </w:rPr>
      </w:pPr>
    </w:p>
    <w:p w14:paraId="5C239D86" w14:textId="77777777" w:rsidR="00C449AB" w:rsidRPr="00CA32B3" w:rsidRDefault="00861763" w:rsidP="00A876C8">
      <w:pPr>
        <w:pStyle w:val="Prrafodelista"/>
        <w:numPr>
          <w:ilvl w:val="0"/>
          <w:numId w:val="8"/>
        </w:numPr>
        <w:suppressLineNumbers/>
        <w:spacing w:after="0" w:line="240" w:lineRule="auto"/>
        <w:ind w:left="0" w:firstLine="0"/>
        <w:jc w:val="both"/>
        <w:rPr>
          <w:rFonts w:ascii="Verdana" w:hAnsi="Verdana"/>
          <w:sz w:val="20"/>
        </w:rPr>
      </w:pPr>
      <w:r w:rsidRPr="00CA32B3">
        <w:rPr>
          <w:rFonts w:ascii="Verdana" w:hAnsi="Verdana"/>
          <w:sz w:val="20"/>
        </w:rPr>
        <w:t>Disponer que el Estado de Perú adopte, en definitiva y a la mayor brevedad posible, las medidas que sean necesarias para dar efectivo y pronto cumplimiento a las reparaciones indicadas en el punto resolutivo anterior, de acuerdo con lo considerado en la presente Resolución, y con lo estipulado en el artículo 68.1 de la Convención Americana sobre Derechos Humanos.</w:t>
      </w:r>
    </w:p>
    <w:p w14:paraId="5D5F0082" w14:textId="77777777" w:rsidR="00C449AB" w:rsidRPr="00CA32B3" w:rsidRDefault="00C449AB" w:rsidP="00A876C8">
      <w:pPr>
        <w:suppressLineNumbers/>
        <w:spacing w:after="0" w:line="240" w:lineRule="auto"/>
        <w:jc w:val="both"/>
        <w:rPr>
          <w:rFonts w:ascii="Verdana" w:hAnsi="Verdana"/>
          <w:sz w:val="20"/>
        </w:rPr>
      </w:pPr>
    </w:p>
    <w:p w14:paraId="7CDD1787" w14:textId="34B610B8" w:rsidR="007A1208" w:rsidRPr="00CA32B3" w:rsidRDefault="007A1208" w:rsidP="00A876C8">
      <w:pPr>
        <w:pStyle w:val="Prrafodelista"/>
        <w:numPr>
          <w:ilvl w:val="0"/>
          <w:numId w:val="8"/>
        </w:numPr>
        <w:suppressLineNumbers/>
        <w:spacing w:after="0" w:line="240" w:lineRule="auto"/>
        <w:ind w:left="0" w:firstLine="0"/>
        <w:jc w:val="both"/>
        <w:rPr>
          <w:rFonts w:ascii="Verdana" w:hAnsi="Verdana"/>
          <w:sz w:val="20"/>
          <w:szCs w:val="20"/>
        </w:rPr>
      </w:pPr>
      <w:r w:rsidRPr="00CA32B3">
        <w:rPr>
          <w:rFonts w:ascii="Verdana" w:hAnsi="Verdana"/>
          <w:sz w:val="20"/>
          <w:szCs w:val="20"/>
        </w:rPr>
        <w:t xml:space="preserve">Disponer que el Estado realice, en el plazo de </w:t>
      </w:r>
      <w:r w:rsidR="00094664" w:rsidRPr="00CA32B3">
        <w:rPr>
          <w:rFonts w:ascii="Verdana" w:hAnsi="Verdana"/>
          <w:sz w:val="20"/>
          <w:szCs w:val="20"/>
        </w:rPr>
        <w:t>dos meses</w:t>
      </w:r>
      <w:r w:rsidRPr="00CA32B3">
        <w:rPr>
          <w:rFonts w:ascii="Verdana" w:hAnsi="Verdana"/>
          <w:sz w:val="20"/>
          <w:szCs w:val="20"/>
        </w:rPr>
        <w:t>, contado</w:t>
      </w:r>
      <w:r w:rsidR="00094664" w:rsidRPr="00CA32B3">
        <w:rPr>
          <w:rFonts w:ascii="Verdana" w:hAnsi="Verdana"/>
          <w:sz w:val="20"/>
          <w:szCs w:val="20"/>
        </w:rPr>
        <w:t>s</w:t>
      </w:r>
      <w:r w:rsidRPr="00CA32B3">
        <w:rPr>
          <w:rFonts w:ascii="Verdana" w:hAnsi="Verdana"/>
          <w:sz w:val="20"/>
          <w:szCs w:val="20"/>
        </w:rPr>
        <w:t xml:space="preserve"> a partir de la notificación de la presente Resolución, una reunión con las víctimas y sus representantes respecto de la medida ordenada en el punto resolutivo décimo primero de la Sentencia, de acuerdo a lo requerido en el Considerando 30 de la presente Resolución. </w:t>
      </w:r>
    </w:p>
    <w:p w14:paraId="21DD7F7E" w14:textId="77777777" w:rsidR="00FC0A45" w:rsidRPr="00CA32B3" w:rsidRDefault="00FC0A45" w:rsidP="00A876C8">
      <w:pPr>
        <w:pStyle w:val="Prrafodelista"/>
        <w:suppressLineNumbers/>
        <w:spacing w:after="0" w:line="240" w:lineRule="auto"/>
        <w:rPr>
          <w:rFonts w:ascii="Verdana" w:hAnsi="Verdana"/>
          <w:sz w:val="20"/>
          <w:szCs w:val="20"/>
        </w:rPr>
      </w:pPr>
    </w:p>
    <w:p w14:paraId="51FE3496" w14:textId="03E466FB" w:rsidR="00FC0A45" w:rsidRPr="00CA32B3" w:rsidRDefault="00FC0A45" w:rsidP="00A876C8">
      <w:pPr>
        <w:pStyle w:val="Prrafodelista"/>
        <w:numPr>
          <w:ilvl w:val="0"/>
          <w:numId w:val="8"/>
        </w:numPr>
        <w:suppressLineNumbers/>
        <w:spacing w:after="0" w:line="240" w:lineRule="auto"/>
        <w:ind w:left="0" w:firstLine="0"/>
        <w:jc w:val="both"/>
        <w:rPr>
          <w:rFonts w:ascii="Verdana" w:hAnsi="Verdana"/>
          <w:sz w:val="20"/>
          <w:szCs w:val="20"/>
        </w:rPr>
      </w:pPr>
      <w:r w:rsidRPr="00CA32B3">
        <w:rPr>
          <w:rFonts w:ascii="Verdana" w:hAnsi="Verdana"/>
          <w:sz w:val="20"/>
          <w:szCs w:val="20"/>
        </w:rPr>
        <w:t xml:space="preserve">Disponer que el Estado realice, en el plazo </w:t>
      </w:r>
      <w:r w:rsidR="00094664" w:rsidRPr="00CA32B3">
        <w:rPr>
          <w:rFonts w:ascii="Verdana" w:hAnsi="Verdana"/>
          <w:sz w:val="20"/>
          <w:szCs w:val="20"/>
        </w:rPr>
        <w:t>de dos meses</w:t>
      </w:r>
      <w:r w:rsidRPr="00CA32B3">
        <w:rPr>
          <w:rFonts w:ascii="Verdana" w:hAnsi="Verdana"/>
          <w:sz w:val="20"/>
          <w:szCs w:val="20"/>
        </w:rPr>
        <w:t>, contado</w:t>
      </w:r>
      <w:r w:rsidR="00094664" w:rsidRPr="00CA32B3">
        <w:rPr>
          <w:rFonts w:ascii="Verdana" w:hAnsi="Verdana"/>
          <w:sz w:val="20"/>
          <w:szCs w:val="20"/>
        </w:rPr>
        <w:t>s</w:t>
      </w:r>
      <w:r w:rsidRPr="00CA32B3">
        <w:rPr>
          <w:rFonts w:ascii="Verdana" w:hAnsi="Verdana"/>
          <w:sz w:val="20"/>
          <w:szCs w:val="20"/>
        </w:rPr>
        <w:t xml:space="preserve"> a partir de la notificación de la presente Resolución, una reunión con las víctimas y sus representantes respecto de la medida ordenada en el punto resolutivo décimo tercero de la Sentencia, de acuerdo a lo requerido en el Considerando 54 de la presente Resolución. </w:t>
      </w:r>
    </w:p>
    <w:p w14:paraId="0DE4A93A" w14:textId="193B2D18" w:rsidR="007A1208" w:rsidRPr="00CA32B3" w:rsidRDefault="007A1208" w:rsidP="00A876C8">
      <w:pPr>
        <w:pStyle w:val="Prrafodelista"/>
        <w:suppressLineNumbers/>
        <w:spacing w:after="0" w:line="240" w:lineRule="auto"/>
        <w:ind w:left="0"/>
        <w:jc w:val="both"/>
        <w:rPr>
          <w:rFonts w:ascii="Verdana" w:hAnsi="Verdana"/>
          <w:sz w:val="20"/>
        </w:rPr>
      </w:pPr>
    </w:p>
    <w:p w14:paraId="20A36B79" w14:textId="4CA91EBD" w:rsidR="00C449AB" w:rsidRPr="00CA32B3" w:rsidRDefault="00861763" w:rsidP="00A876C8">
      <w:pPr>
        <w:pStyle w:val="Prrafodelista"/>
        <w:numPr>
          <w:ilvl w:val="0"/>
          <w:numId w:val="8"/>
        </w:numPr>
        <w:suppressLineNumbers/>
        <w:spacing w:after="0" w:line="240" w:lineRule="auto"/>
        <w:ind w:left="0" w:firstLine="0"/>
        <w:jc w:val="both"/>
        <w:rPr>
          <w:rFonts w:ascii="Verdana" w:hAnsi="Verdana"/>
          <w:sz w:val="20"/>
        </w:rPr>
      </w:pPr>
      <w:r w:rsidRPr="00CA32B3">
        <w:rPr>
          <w:rFonts w:ascii="Verdana" w:hAnsi="Verdana"/>
          <w:sz w:val="20"/>
        </w:rPr>
        <w:t>Disponer que el Estado presente a la Corte Interamericana de Derechos Humanos, a más tardar el</w:t>
      </w:r>
      <w:r w:rsidR="00AB60CA" w:rsidRPr="00CA32B3">
        <w:rPr>
          <w:rFonts w:ascii="Verdana" w:hAnsi="Verdana"/>
          <w:sz w:val="20"/>
        </w:rPr>
        <w:t xml:space="preserve"> 20 de enero de 2022</w:t>
      </w:r>
      <w:r w:rsidRPr="00CA32B3">
        <w:rPr>
          <w:rFonts w:ascii="Verdana" w:hAnsi="Verdana"/>
          <w:sz w:val="20"/>
        </w:rPr>
        <w:t xml:space="preserve">, un informe sobre todas las medidas pendientes de cumplimiento, de conformidad con lo indicado en </w:t>
      </w:r>
      <w:r w:rsidRPr="00CA32B3">
        <w:rPr>
          <w:rFonts w:ascii="Verdana" w:hAnsi="Verdana"/>
          <w:sz w:val="20"/>
          <w:lang w:val="es-ES"/>
        </w:rPr>
        <w:t>los puntos</w:t>
      </w:r>
      <w:r w:rsidRPr="00CA32B3">
        <w:rPr>
          <w:rFonts w:ascii="Verdana" w:hAnsi="Verdana"/>
          <w:sz w:val="20"/>
        </w:rPr>
        <w:t xml:space="preserve"> resolutivos segundo y tercero y los Considerandos </w:t>
      </w:r>
      <w:r w:rsidR="00FC0A45" w:rsidRPr="00CA32B3">
        <w:rPr>
          <w:rFonts w:ascii="Verdana" w:hAnsi="Verdana"/>
          <w:sz w:val="20"/>
        </w:rPr>
        <w:t>22, 34, 42, 49, 55 y 56</w:t>
      </w:r>
      <w:r w:rsidRPr="00CA32B3">
        <w:rPr>
          <w:rFonts w:ascii="Verdana" w:hAnsi="Verdana"/>
          <w:sz w:val="20"/>
        </w:rPr>
        <w:t xml:space="preserve"> de la presente Resolución.</w:t>
      </w:r>
    </w:p>
    <w:p w14:paraId="385EB82E" w14:textId="77777777" w:rsidR="00C449AB" w:rsidRPr="00CA32B3" w:rsidRDefault="00C449AB" w:rsidP="00A876C8">
      <w:pPr>
        <w:suppressLineNumbers/>
        <w:spacing w:after="0" w:line="240" w:lineRule="auto"/>
        <w:jc w:val="both"/>
        <w:rPr>
          <w:rFonts w:ascii="Verdana" w:hAnsi="Verdana"/>
          <w:sz w:val="20"/>
        </w:rPr>
      </w:pPr>
    </w:p>
    <w:p w14:paraId="24CC9188" w14:textId="77777777" w:rsidR="00C449AB" w:rsidRPr="00CA32B3" w:rsidRDefault="00861763" w:rsidP="00A876C8">
      <w:pPr>
        <w:pStyle w:val="Prrafodelista"/>
        <w:numPr>
          <w:ilvl w:val="0"/>
          <w:numId w:val="8"/>
        </w:numPr>
        <w:suppressLineNumbers/>
        <w:spacing w:after="0" w:line="240" w:lineRule="auto"/>
        <w:ind w:left="0" w:firstLine="0"/>
        <w:jc w:val="both"/>
        <w:rPr>
          <w:rFonts w:ascii="Verdana" w:hAnsi="Verdana"/>
          <w:sz w:val="20"/>
        </w:rPr>
      </w:pPr>
      <w:r w:rsidRPr="00CA32B3">
        <w:rPr>
          <w:rFonts w:ascii="Verdana" w:hAnsi="Verdana"/>
          <w:sz w:val="20"/>
        </w:rPr>
        <w:t>Disponer que los representantes de las víctimas y la Comisión Interamericana de Derechos Humanos presenten observaciones al informe del Estado mencionado en el punto resolutivo anterior, en los plazos de cuatro y seis semanas, respectivamente, contados a partir de la recepción del informe.</w:t>
      </w:r>
    </w:p>
    <w:p w14:paraId="56F7D98F" w14:textId="77777777" w:rsidR="00C449AB" w:rsidRPr="00CA32B3" w:rsidRDefault="00C449AB" w:rsidP="00690FE6">
      <w:pPr>
        <w:suppressLineNumbers/>
        <w:spacing w:after="0" w:line="240" w:lineRule="auto"/>
        <w:jc w:val="both"/>
        <w:rPr>
          <w:rFonts w:ascii="Verdana" w:hAnsi="Verdana"/>
          <w:sz w:val="20"/>
        </w:rPr>
      </w:pPr>
    </w:p>
    <w:p w14:paraId="536EDE46" w14:textId="10A0CEFB" w:rsidR="004964DC" w:rsidRPr="00CA32B3" w:rsidRDefault="00861763" w:rsidP="0009400D">
      <w:pPr>
        <w:pStyle w:val="Prrafodelista"/>
        <w:numPr>
          <w:ilvl w:val="0"/>
          <w:numId w:val="8"/>
        </w:numPr>
        <w:suppressLineNumbers/>
        <w:spacing w:after="0" w:line="240" w:lineRule="auto"/>
        <w:ind w:left="0" w:firstLine="0"/>
        <w:jc w:val="both"/>
        <w:rPr>
          <w:rFonts w:ascii="Verdana" w:hAnsi="Verdana"/>
          <w:sz w:val="20"/>
        </w:rPr>
      </w:pPr>
      <w:r w:rsidRPr="00CA32B3">
        <w:rPr>
          <w:rFonts w:ascii="Verdana" w:hAnsi="Verdana"/>
          <w:sz w:val="20"/>
        </w:rPr>
        <w:t>Disponer que la Secretaría de la Corte notifique la presente Resolución al Estado, a los representantes de las víctimas y a la Comisión Interamericana de Derechos Humanos.</w:t>
      </w:r>
      <w:r w:rsidR="004964DC" w:rsidRPr="00CA32B3">
        <w:rPr>
          <w:rFonts w:ascii="Verdana" w:hAnsi="Verdana"/>
          <w:sz w:val="20"/>
        </w:rPr>
        <w:br w:type="page"/>
      </w:r>
    </w:p>
    <w:p w14:paraId="5F406C4C" w14:textId="77777777" w:rsidR="004964DC" w:rsidRPr="00CA32B3" w:rsidRDefault="004964DC" w:rsidP="004964DC">
      <w:pPr>
        <w:spacing w:after="0" w:line="240" w:lineRule="auto"/>
        <w:jc w:val="both"/>
        <w:rPr>
          <w:rFonts w:ascii="Verdana" w:hAnsi="Verdana"/>
          <w:sz w:val="20"/>
          <w:lang w:val="es-ES"/>
        </w:rPr>
      </w:pPr>
      <w:r w:rsidRPr="00CA32B3">
        <w:rPr>
          <w:rFonts w:ascii="Verdana" w:eastAsia="Calibri" w:hAnsi="Verdana" w:cs="Times"/>
          <w:sz w:val="20"/>
          <w:szCs w:val="20"/>
          <w:lang w:val="es-ES_tradnl" w:eastAsia="es-ES"/>
        </w:rPr>
        <w:lastRenderedPageBreak/>
        <w:t xml:space="preserve">Corte IDH. </w:t>
      </w:r>
      <w:r w:rsidRPr="00CA32B3">
        <w:rPr>
          <w:rFonts w:ascii="Verdana" w:eastAsia="MS Mincho" w:hAnsi="Verdana"/>
          <w:i/>
          <w:sz w:val="20"/>
          <w:szCs w:val="20"/>
        </w:rPr>
        <w:t>Caso Comunidad Campesina de Santa Bárbara Vs. Perú</w:t>
      </w:r>
      <w:r w:rsidRPr="00CA32B3">
        <w:rPr>
          <w:rFonts w:ascii="Verdana" w:eastAsia="Calibri" w:hAnsi="Verdana" w:cs="Times"/>
          <w:sz w:val="20"/>
          <w:szCs w:val="20"/>
          <w:lang w:val="es-ES_tradnl" w:eastAsia="es-ES"/>
        </w:rPr>
        <w:t>.</w:t>
      </w:r>
      <w:r w:rsidRPr="00CA32B3">
        <w:rPr>
          <w:rFonts w:ascii="Verdana" w:eastAsia="Times" w:hAnsi="Verdana"/>
          <w:bCs/>
          <w:i/>
          <w:sz w:val="20"/>
          <w:szCs w:val="20"/>
          <w:lang w:val="es-ES_tradnl"/>
        </w:rPr>
        <w:t xml:space="preserve"> </w:t>
      </w:r>
      <w:r w:rsidRPr="00CA32B3">
        <w:rPr>
          <w:rFonts w:ascii="Verdana" w:hAnsi="Verdana" w:cs="Arial"/>
          <w:sz w:val="20"/>
        </w:rPr>
        <w:t xml:space="preserve">Supervisión de Cumplimiento de Sentencia. </w:t>
      </w:r>
      <w:r w:rsidRPr="00CA32B3">
        <w:rPr>
          <w:rFonts w:ascii="Verdana" w:hAnsi="Verdana"/>
          <w:sz w:val="20"/>
          <w:lang w:val="es-ES"/>
        </w:rPr>
        <w:t>Resolución de la Corte Interamericana de Derechos Humanos de 21 de junio</w:t>
      </w:r>
      <w:r w:rsidRPr="00CA32B3">
        <w:rPr>
          <w:rFonts w:ascii="Verdana" w:hAnsi="Verdana"/>
          <w:sz w:val="20"/>
        </w:rPr>
        <w:t xml:space="preserve"> de 2021</w:t>
      </w:r>
      <w:r w:rsidRPr="00CA32B3">
        <w:rPr>
          <w:rFonts w:ascii="Verdana" w:hAnsi="Verdana"/>
          <w:sz w:val="20"/>
          <w:lang w:val="es-ES"/>
        </w:rPr>
        <w:t xml:space="preserve">. </w:t>
      </w:r>
      <w:r w:rsidRPr="00CA32B3">
        <w:rPr>
          <w:rFonts w:ascii="Verdana" w:hAnsi="Verdana"/>
          <w:iCs/>
          <w:sz w:val="20"/>
        </w:rPr>
        <w:t>Resolución adoptada en San José de Costa Rica por medio de sesión virtual.</w:t>
      </w:r>
    </w:p>
    <w:p w14:paraId="4587898A" w14:textId="094A106B" w:rsidR="004964DC" w:rsidRPr="00CA32B3" w:rsidRDefault="004964DC" w:rsidP="004964DC">
      <w:pPr>
        <w:spacing w:after="0" w:line="240" w:lineRule="auto"/>
        <w:jc w:val="center"/>
        <w:rPr>
          <w:rFonts w:ascii="Verdana" w:eastAsia="Times" w:hAnsi="Verdana"/>
          <w:sz w:val="20"/>
          <w:szCs w:val="20"/>
          <w:lang w:val="es-ES"/>
        </w:rPr>
      </w:pPr>
    </w:p>
    <w:p w14:paraId="7BB44EB1" w14:textId="77777777" w:rsidR="004964DC" w:rsidRPr="00CA32B3" w:rsidRDefault="004964DC" w:rsidP="004964DC">
      <w:pPr>
        <w:spacing w:after="0" w:line="240" w:lineRule="auto"/>
        <w:jc w:val="center"/>
        <w:rPr>
          <w:rFonts w:ascii="Verdana" w:eastAsia="Times" w:hAnsi="Verdana"/>
          <w:sz w:val="20"/>
          <w:szCs w:val="20"/>
          <w:lang w:val="es-ES"/>
        </w:rPr>
      </w:pPr>
    </w:p>
    <w:p w14:paraId="465354F0" w14:textId="77777777" w:rsidR="004964DC" w:rsidRPr="00CA32B3" w:rsidRDefault="004964DC" w:rsidP="004964DC">
      <w:pPr>
        <w:spacing w:after="0" w:line="240" w:lineRule="auto"/>
        <w:jc w:val="center"/>
        <w:rPr>
          <w:rFonts w:ascii="Verdana" w:eastAsia="Times" w:hAnsi="Verdana"/>
          <w:sz w:val="20"/>
          <w:szCs w:val="20"/>
          <w:lang w:val="es-ES"/>
        </w:rPr>
      </w:pPr>
    </w:p>
    <w:p w14:paraId="05EE5900" w14:textId="77777777" w:rsidR="004964DC" w:rsidRPr="00CA32B3" w:rsidRDefault="004964DC" w:rsidP="004964DC">
      <w:pPr>
        <w:spacing w:after="0" w:line="240" w:lineRule="auto"/>
        <w:jc w:val="center"/>
        <w:rPr>
          <w:rFonts w:ascii="Verdana" w:eastAsia="Times" w:hAnsi="Verdana"/>
          <w:sz w:val="20"/>
          <w:szCs w:val="20"/>
          <w:lang w:val="es-ES"/>
        </w:rPr>
      </w:pPr>
    </w:p>
    <w:p w14:paraId="23D9185D" w14:textId="77777777" w:rsidR="004964DC" w:rsidRPr="00CA32B3" w:rsidRDefault="004964DC" w:rsidP="004964DC">
      <w:pPr>
        <w:spacing w:after="0" w:line="240" w:lineRule="auto"/>
        <w:jc w:val="center"/>
        <w:rPr>
          <w:rFonts w:ascii="Verdana" w:hAnsi="Verdana"/>
          <w:sz w:val="20"/>
          <w:szCs w:val="20"/>
          <w:lang w:val="pt-BR"/>
        </w:rPr>
      </w:pPr>
      <w:r w:rsidRPr="00CA32B3">
        <w:rPr>
          <w:rFonts w:ascii="Verdana" w:hAnsi="Verdana"/>
          <w:sz w:val="20"/>
          <w:szCs w:val="20"/>
          <w:lang w:val="pt-BR"/>
        </w:rPr>
        <w:t>Elizabeth Odio Benito</w:t>
      </w:r>
    </w:p>
    <w:p w14:paraId="5A886693" w14:textId="6E0A569C" w:rsidR="004964DC" w:rsidRPr="00CA32B3" w:rsidRDefault="004964DC" w:rsidP="004964DC">
      <w:pPr>
        <w:spacing w:after="0" w:line="240" w:lineRule="auto"/>
        <w:jc w:val="center"/>
        <w:rPr>
          <w:rFonts w:ascii="Verdana" w:hAnsi="Verdana"/>
          <w:sz w:val="20"/>
          <w:szCs w:val="20"/>
          <w:lang w:val="pt-BR"/>
        </w:rPr>
      </w:pPr>
      <w:r w:rsidRPr="00CA32B3">
        <w:rPr>
          <w:rFonts w:ascii="Verdana" w:hAnsi="Verdana"/>
          <w:sz w:val="20"/>
          <w:szCs w:val="20"/>
          <w:lang w:val="pt-BR"/>
        </w:rPr>
        <w:t>Presidenta</w:t>
      </w:r>
    </w:p>
    <w:p w14:paraId="3DD3F77C" w14:textId="77777777" w:rsidR="004964DC" w:rsidRPr="00CA32B3" w:rsidRDefault="004964DC" w:rsidP="004964DC">
      <w:pPr>
        <w:spacing w:after="0" w:line="240" w:lineRule="auto"/>
        <w:jc w:val="both"/>
        <w:rPr>
          <w:rFonts w:ascii="Verdana" w:hAnsi="Verdana"/>
          <w:sz w:val="20"/>
          <w:szCs w:val="20"/>
          <w:lang w:val="pt-BR"/>
        </w:rPr>
      </w:pPr>
    </w:p>
    <w:p w14:paraId="07CA20F9" w14:textId="77777777" w:rsidR="004964DC" w:rsidRPr="00CA32B3" w:rsidRDefault="004964DC" w:rsidP="004964DC">
      <w:pPr>
        <w:spacing w:after="0" w:line="240" w:lineRule="auto"/>
        <w:jc w:val="both"/>
        <w:rPr>
          <w:rFonts w:ascii="Verdana" w:hAnsi="Verdana"/>
          <w:sz w:val="20"/>
          <w:szCs w:val="20"/>
          <w:lang w:val="pt-BR"/>
        </w:rPr>
      </w:pPr>
    </w:p>
    <w:p w14:paraId="705FAA86" w14:textId="77777777" w:rsidR="004964DC" w:rsidRPr="00CA32B3" w:rsidRDefault="004964DC" w:rsidP="004964DC">
      <w:pPr>
        <w:spacing w:after="0" w:line="240" w:lineRule="auto"/>
        <w:jc w:val="both"/>
        <w:rPr>
          <w:rFonts w:ascii="Verdana" w:hAnsi="Verdana"/>
          <w:sz w:val="20"/>
          <w:szCs w:val="20"/>
          <w:lang w:val="pt-BR"/>
        </w:rPr>
      </w:pPr>
    </w:p>
    <w:p w14:paraId="211DCE1E" w14:textId="77777777" w:rsidR="004964DC" w:rsidRPr="00CA32B3" w:rsidRDefault="004964DC" w:rsidP="004964DC">
      <w:pPr>
        <w:spacing w:after="0" w:line="240" w:lineRule="auto"/>
        <w:jc w:val="both"/>
        <w:rPr>
          <w:rFonts w:ascii="Verdana" w:hAnsi="Verdana"/>
          <w:sz w:val="20"/>
          <w:szCs w:val="20"/>
          <w:lang w:val="pt-BR"/>
        </w:rPr>
      </w:pPr>
    </w:p>
    <w:p w14:paraId="0F791D0F" w14:textId="77777777" w:rsidR="004964DC" w:rsidRPr="00CA32B3" w:rsidRDefault="004964DC" w:rsidP="004964DC">
      <w:pPr>
        <w:spacing w:after="0" w:line="240" w:lineRule="auto"/>
        <w:jc w:val="both"/>
        <w:rPr>
          <w:rFonts w:ascii="Verdana" w:hAnsi="Verdana"/>
          <w:sz w:val="20"/>
          <w:szCs w:val="20"/>
          <w:lang w:val="pt-BR"/>
        </w:rPr>
      </w:pPr>
    </w:p>
    <w:p w14:paraId="345C78DB" w14:textId="52714343" w:rsidR="004964DC" w:rsidRPr="00CA32B3" w:rsidRDefault="004964DC" w:rsidP="004964DC">
      <w:pPr>
        <w:spacing w:after="0" w:line="240" w:lineRule="auto"/>
        <w:jc w:val="both"/>
        <w:rPr>
          <w:rFonts w:ascii="Verdana" w:hAnsi="Verdana"/>
          <w:sz w:val="20"/>
          <w:szCs w:val="20"/>
          <w:lang w:val="pt-BR"/>
        </w:rPr>
      </w:pPr>
      <w:r w:rsidRPr="00CA32B3">
        <w:rPr>
          <w:rFonts w:ascii="Verdana" w:hAnsi="Verdana"/>
          <w:sz w:val="20"/>
          <w:szCs w:val="20"/>
          <w:lang w:val="pt-BR"/>
        </w:rPr>
        <w:t>L. Patricio Pazmiño Freire</w:t>
      </w:r>
      <w:r w:rsidRPr="00CA32B3">
        <w:rPr>
          <w:rFonts w:ascii="Verdana" w:hAnsi="Verdana"/>
          <w:sz w:val="20"/>
          <w:szCs w:val="20"/>
          <w:lang w:val="pt-BR"/>
        </w:rPr>
        <w:tab/>
      </w:r>
      <w:r w:rsidRPr="00CA32B3">
        <w:rPr>
          <w:rFonts w:ascii="Verdana" w:hAnsi="Verdana"/>
          <w:sz w:val="20"/>
          <w:szCs w:val="20"/>
          <w:lang w:val="pt-BR"/>
        </w:rPr>
        <w:tab/>
      </w:r>
      <w:r w:rsidRPr="00CA32B3">
        <w:rPr>
          <w:rFonts w:ascii="Verdana" w:hAnsi="Verdana"/>
          <w:sz w:val="20"/>
          <w:szCs w:val="20"/>
          <w:lang w:val="pt-BR"/>
        </w:rPr>
        <w:tab/>
      </w:r>
      <w:r w:rsidRPr="00CA32B3">
        <w:rPr>
          <w:rFonts w:ascii="Verdana" w:hAnsi="Verdana"/>
          <w:sz w:val="20"/>
          <w:szCs w:val="20"/>
          <w:lang w:val="pt-BR"/>
        </w:rPr>
        <w:tab/>
      </w:r>
      <w:r w:rsidRPr="00CA32B3">
        <w:rPr>
          <w:rFonts w:ascii="Verdana" w:hAnsi="Verdana"/>
          <w:sz w:val="20"/>
          <w:szCs w:val="20"/>
          <w:lang w:val="pt-BR"/>
        </w:rPr>
        <w:tab/>
      </w:r>
      <w:r w:rsidRPr="00CA32B3">
        <w:rPr>
          <w:rFonts w:ascii="Verdana" w:hAnsi="Verdana"/>
          <w:sz w:val="20"/>
          <w:szCs w:val="20"/>
          <w:lang w:val="pt-BR"/>
        </w:rPr>
        <w:tab/>
        <w:t xml:space="preserve">       Eduardo Vio Grossi</w:t>
      </w:r>
    </w:p>
    <w:p w14:paraId="5A952A12" w14:textId="77777777" w:rsidR="004964DC" w:rsidRPr="00CA32B3" w:rsidRDefault="004964DC" w:rsidP="004964DC">
      <w:pPr>
        <w:spacing w:after="0" w:line="240" w:lineRule="auto"/>
        <w:jc w:val="both"/>
        <w:rPr>
          <w:rFonts w:ascii="Verdana" w:hAnsi="Verdana"/>
          <w:sz w:val="20"/>
          <w:szCs w:val="20"/>
          <w:lang w:val="pt-BR"/>
        </w:rPr>
      </w:pPr>
    </w:p>
    <w:p w14:paraId="277BDD71" w14:textId="77777777" w:rsidR="004964DC" w:rsidRPr="00CA32B3" w:rsidRDefault="004964DC" w:rsidP="004964DC">
      <w:pPr>
        <w:spacing w:after="0" w:line="240" w:lineRule="auto"/>
        <w:jc w:val="both"/>
        <w:rPr>
          <w:rFonts w:ascii="Verdana" w:hAnsi="Verdana"/>
          <w:sz w:val="20"/>
          <w:szCs w:val="20"/>
          <w:lang w:val="pt-BR"/>
        </w:rPr>
      </w:pPr>
    </w:p>
    <w:p w14:paraId="55EAF6EA" w14:textId="77777777" w:rsidR="004964DC" w:rsidRPr="00CA32B3" w:rsidRDefault="004964DC" w:rsidP="004964DC">
      <w:pPr>
        <w:spacing w:after="0" w:line="240" w:lineRule="auto"/>
        <w:jc w:val="both"/>
        <w:rPr>
          <w:rFonts w:ascii="Verdana" w:hAnsi="Verdana"/>
          <w:sz w:val="20"/>
          <w:szCs w:val="20"/>
          <w:lang w:val="pt-BR"/>
        </w:rPr>
      </w:pPr>
    </w:p>
    <w:p w14:paraId="320F580F" w14:textId="77777777" w:rsidR="004964DC" w:rsidRPr="00CA32B3" w:rsidRDefault="004964DC" w:rsidP="004964DC">
      <w:pPr>
        <w:spacing w:after="0" w:line="240" w:lineRule="auto"/>
        <w:jc w:val="both"/>
        <w:rPr>
          <w:rFonts w:ascii="Verdana" w:hAnsi="Verdana"/>
          <w:sz w:val="20"/>
          <w:szCs w:val="20"/>
          <w:lang w:val="pt-BR"/>
        </w:rPr>
      </w:pPr>
    </w:p>
    <w:p w14:paraId="11B20441" w14:textId="77777777" w:rsidR="004964DC" w:rsidRPr="00CA32B3" w:rsidRDefault="004964DC" w:rsidP="004964DC">
      <w:pPr>
        <w:spacing w:after="0" w:line="240" w:lineRule="auto"/>
        <w:jc w:val="both"/>
        <w:rPr>
          <w:rFonts w:ascii="Verdana" w:hAnsi="Verdana"/>
          <w:sz w:val="20"/>
          <w:szCs w:val="20"/>
          <w:lang w:val="pt-BR"/>
        </w:rPr>
      </w:pPr>
    </w:p>
    <w:p w14:paraId="7559EC0E" w14:textId="77777777" w:rsidR="004964DC" w:rsidRPr="00CA32B3" w:rsidRDefault="004964DC" w:rsidP="004964DC">
      <w:pPr>
        <w:spacing w:after="0" w:line="240" w:lineRule="auto"/>
        <w:jc w:val="both"/>
        <w:rPr>
          <w:rFonts w:ascii="Verdana" w:hAnsi="Verdana"/>
          <w:sz w:val="20"/>
          <w:szCs w:val="20"/>
          <w:lang w:val="pt-BR"/>
        </w:rPr>
      </w:pPr>
      <w:r w:rsidRPr="00CA32B3">
        <w:rPr>
          <w:rFonts w:ascii="Verdana" w:eastAsia="Times" w:hAnsi="Verdana"/>
          <w:sz w:val="20"/>
          <w:szCs w:val="20"/>
          <w:lang w:val="pt-BR"/>
        </w:rPr>
        <w:t>Humberto Antonio Sierra Porto</w:t>
      </w:r>
      <w:r w:rsidRPr="00CA32B3">
        <w:rPr>
          <w:rFonts w:ascii="Verdana" w:hAnsi="Verdana"/>
          <w:sz w:val="20"/>
          <w:szCs w:val="20"/>
          <w:lang w:val="pt-BR"/>
        </w:rPr>
        <w:t xml:space="preserve">  </w:t>
      </w:r>
      <w:r w:rsidRPr="00CA32B3">
        <w:rPr>
          <w:rFonts w:ascii="Verdana" w:hAnsi="Verdana"/>
          <w:sz w:val="20"/>
          <w:szCs w:val="20"/>
          <w:lang w:val="pt-BR"/>
        </w:rPr>
        <w:tab/>
      </w:r>
      <w:r w:rsidRPr="00CA32B3">
        <w:rPr>
          <w:rFonts w:ascii="Verdana" w:hAnsi="Verdana"/>
          <w:sz w:val="20"/>
          <w:szCs w:val="20"/>
          <w:lang w:val="pt-BR"/>
        </w:rPr>
        <w:tab/>
      </w:r>
      <w:r w:rsidRPr="00CA32B3">
        <w:rPr>
          <w:rFonts w:ascii="Verdana" w:hAnsi="Verdana"/>
          <w:sz w:val="20"/>
          <w:szCs w:val="20"/>
          <w:lang w:val="pt-BR"/>
        </w:rPr>
        <w:tab/>
        <w:t xml:space="preserve">      Eduardo Ferrer Mac-Gregor Poisot</w:t>
      </w:r>
    </w:p>
    <w:p w14:paraId="15C1C901" w14:textId="76D86BF8" w:rsidR="004964DC" w:rsidRPr="00CA32B3" w:rsidRDefault="004964DC" w:rsidP="004964DC">
      <w:pPr>
        <w:spacing w:after="0" w:line="240" w:lineRule="auto"/>
        <w:jc w:val="both"/>
        <w:rPr>
          <w:rFonts w:ascii="Verdana" w:hAnsi="Verdana"/>
          <w:sz w:val="20"/>
          <w:szCs w:val="20"/>
          <w:lang w:val="pt-BR"/>
        </w:rPr>
      </w:pPr>
    </w:p>
    <w:p w14:paraId="4648DED7" w14:textId="77777777" w:rsidR="004964DC" w:rsidRPr="00CA32B3" w:rsidRDefault="004964DC" w:rsidP="004964DC">
      <w:pPr>
        <w:spacing w:after="0" w:line="240" w:lineRule="auto"/>
        <w:jc w:val="both"/>
        <w:rPr>
          <w:rFonts w:ascii="Verdana" w:hAnsi="Verdana"/>
          <w:sz w:val="20"/>
          <w:szCs w:val="20"/>
          <w:lang w:val="pt-BR"/>
        </w:rPr>
      </w:pPr>
    </w:p>
    <w:p w14:paraId="7499AFC6" w14:textId="6B7321B6" w:rsidR="004964DC" w:rsidRPr="00CA32B3" w:rsidRDefault="004964DC" w:rsidP="004964DC">
      <w:pPr>
        <w:spacing w:after="0" w:line="240" w:lineRule="auto"/>
        <w:jc w:val="both"/>
        <w:rPr>
          <w:rFonts w:ascii="Verdana" w:hAnsi="Verdana"/>
          <w:sz w:val="20"/>
          <w:szCs w:val="20"/>
          <w:lang w:val="pt-BR"/>
        </w:rPr>
      </w:pPr>
    </w:p>
    <w:p w14:paraId="46F93EAF" w14:textId="77777777" w:rsidR="004964DC" w:rsidRPr="00CA32B3" w:rsidRDefault="004964DC" w:rsidP="004964DC">
      <w:pPr>
        <w:spacing w:after="0" w:line="240" w:lineRule="auto"/>
        <w:jc w:val="both"/>
        <w:rPr>
          <w:rFonts w:ascii="Verdana" w:hAnsi="Verdana"/>
          <w:sz w:val="20"/>
          <w:szCs w:val="20"/>
          <w:lang w:val="pt-BR"/>
        </w:rPr>
      </w:pPr>
    </w:p>
    <w:p w14:paraId="62E68DDF" w14:textId="77777777" w:rsidR="004964DC" w:rsidRPr="00CA32B3" w:rsidRDefault="004964DC" w:rsidP="004964DC">
      <w:pPr>
        <w:spacing w:after="0" w:line="240" w:lineRule="auto"/>
        <w:jc w:val="both"/>
        <w:rPr>
          <w:rFonts w:ascii="Verdana" w:hAnsi="Verdana"/>
          <w:sz w:val="20"/>
          <w:szCs w:val="20"/>
          <w:lang w:val="pt-BR"/>
        </w:rPr>
      </w:pPr>
    </w:p>
    <w:p w14:paraId="41DD9D19" w14:textId="10009057" w:rsidR="004964DC" w:rsidRPr="00CA32B3" w:rsidRDefault="004964DC" w:rsidP="004964DC">
      <w:pPr>
        <w:spacing w:after="0" w:line="240" w:lineRule="auto"/>
        <w:jc w:val="both"/>
        <w:rPr>
          <w:rFonts w:ascii="Verdana" w:hAnsi="Verdana"/>
          <w:sz w:val="20"/>
          <w:szCs w:val="20"/>
          <w:lang w:val="pt-BR"/>
        </w:rPr>
      </w:pPr>
      <w:r w:rsidRPr="00CA32B3">
        <w:rPr>
          <w:rFonts w:ascii="Verdana" w:hAnsi="Verdana"/>
          <w:sz w:val="20"/>
          <w:szCs w:val="20"/>
          <w:lang w:val="pt-BR"/>
        </w:rPr>
        <w:t>Eugenio Raúl Zaffaroni</w:t>
      </w:r>
      <w:r w:rsidRPr="00CA32B3">
        <w:rPr>
          <w:rFonts w:ascii="Verdana" w:hAnsi="Verdana"/>
          <w:sz w:val="20"/>
          <w:szCs w:val="20"/>
          <w:lang w:val="pt-BR"/>
        </w:rPr>
        <w:tab/>
      </w:r>
      <w:r w:rsidRPr="00CA32B3">
        <w:rPr>
          <w:rFonts w:ascii="Verdana" w:hAnsi="Verdana"/>
          <w:sz w:val="20"/>
          <w:szCs w:val="20"/>
          <w:lang w:val="pt-BR"/>
        </w:rPr>
        <w:tab/>
      </w:r>
      <w:r w:rsidRPr="00CA32B3">
        <w:rPr>
          <w:rFonts w:ascii="Verdana" w:hAnsi="Verdana"/>
          <w:sz w:val="20"/>
          <w:szCs w:val="20"/>
          <w:lang w:val="pt-BR"/>
        </w:rPr>
        <w:tab/>
      </w:r>
      <w:r w:rsidRPr="00CA32B3">
        <w:rPr>
          <w:rFonts w:ascii="Verdana" w:hAnsi="Verdana"/>
          <w:sz w:val="20"/>
          <w:szCs w:val="20"/>
          <w:lang w:val="pt-BR"/>
        </w:rPr>
        <w:tab/>
      </w:r>
      <w:r w:rsidRPr="00CA32B3">
        <w:rPr>
          <w:rFonts w:ascii="Verdana" w:hAnsi="Verdana"/>
          <w:sz w:val="20"/>
          <w:szCs w:val="20"/>
          <w:lang w:val="pt-BR"/>
        </w:rPr>
        <w:tab/>
        <w:t xml:space="preserve">       Ricardo C. Pérez Manrique</w:t>
      </w:r>
    </w:p>
    <w:p w14:paraId="6DE08FF0" w14:textId="77777777" w:rsidR="004964DC" w:rsidRPr="00CA32B3" w:rsidRDefault="004964DC" w:rsidP="004964DC">
      <w:pPr>
        <w:spacing w:after="0" w:line="240" w:lineRule="auto"/>
        <w:jc w:val="both"/>
        <w:rPr>
          <w:rFonts w:ascii="Verdana" w:hAnsi="Verdana"/>
          <w:sz w:val="20"/>
          <w:szCs w:val="20"/>
          <w:lang w:val="pt-BR"/>
        </w:rPr>
      </w:pPr>
    </w:p>
    <w:p w14:paraId="5AFECB71" w14:textId="77777777" w:rsidR="004964DC" w:rsidRPr="00CA32B3" w:rsidRDefault="004964DC" w:rsidP="004964DC">
      <w:pPr>
        <w:spacing w:after="0" w:line="240" w:lineRule="auto"/>
        <w:jc w:val="both"/>
        <w:rPr>
          <w:rFonts w:ascii="Verdana" w:hAnsi="Verdana"/>
          <w:sz w:val="20"/>
          <w:szCs w:val="20"/>
          <w:lang w:val="pt-BR"/>
        </w:rPr>
      </w:pPr>
    </w:p>
    <w:p w14:paraId="7BCFA58F" w14:textId="77777777" w:rsidR="004964DC" w:rsidRPr="00CA32B3" w:rsidRDefault="004964DC" w:rsidP="004964DC">
      <w:pPr>
        <w:spacing w:after="0" w:line="240" w:lineRule="auto"/>
        <w:rPr>
          <w:rFonts w:ascii="Verdana" w:eastAsia="Times" w:hAnsi="Verdana"/>
          <w:sz w:val="20"/>
          <w:szCs w:val="20"/>
          <w:lang w:val="pt-BR"/>
        </w:rPr>
      </w:pPr>
    </w:p>
    <w:p w14:paraId="680F5449" w14:textId="77777777" w:rsidR="004964DC" w:rsidRPr="00CA32B3" w:rsidRDefault="004964DC" w:rsidP="004964DC">
      <w:pPr>
        <w:spacing w:after="0" w:line="240" w:lineRule="auto"/>
        <w:jc w:val="both"/>
        <w:rPr>
          <w:rFonts w:ascii="Verdana" w:eastAsia="Times" w:hAnsi="Verdana"/>
          <w:sz w:val="20"/>
          <w:szCs w:val="20"/>
          <w:lang w:val="pt-BR"/>
        </w:rPr>
      </w:pPr>
    </w:p>
    <w:p w14:paraId="2F215FBE" w14:textId="77777777" w:rsidR="004964DC" w:rsidRPr="00CA32B3" w:rsidRDefault="004964DC" w:rsidP="004964DC">
      <w:pPr>
        <w:spacing w:after="0" w:line="240" w:lineRule="auto"/>
        <w:jc w:val="both"/>
        <w:rPr>
          <w:rFonts w:ascii="Verdana" w:eastAsia="Times" w:hAnsi="Verdana"/>
          <w:sz w:val="20"/>
          <w:szCs w:val="20"/>
          <w:lang w:val="pt-BR"/>
        </w:rPr>
      </w:pPr>
    </w:p>
    <w:p w14:paraId="2E62D317" w14:textId="77777777" w:rsidR="004964DC" w:rsidRPr="00CA32B3" w:rsidRDefault="004964DC" w:rsidP="004964DC">
      <w:pPr>
        <w:spacing w:after="0" w:line="240" w:lineRule="auto"/>
        <w:jc w:val="both"/>
        <w:rPr>
          <w:rFonts w:ascii="Verdana" w:eastAsia="Times" w:hAnsi="Verdana"/>
          <w:sz w:val="20"/>
          <w:szCs w:val="20"/>
          <w:lang w:val="pt-BR"/>
        </w:rPr>
      </w:pPr>
    </w:p>
    <w:p w14:paraId="2048F5BF" w14:textId="77777777" w:rsidR="004964DC" w:rsidRPr="00CA32B3" w:rsidRDefault="004964DC" w:rsidP="004964DC">
      <w:pPr>
        <w:spacing w:after="0" w:line="240" w:lineRule="auto"/>
        <w:jc w:val="center"/>
        <w:rPr>
          <w:rFonts w:ascii="Verdana" w:eastAsia="Times" w:hAnsi="Verdana"/>
          <w:sz w:val="20"/>
          <w:szCs w:val="20"/>
          <w:lang w:val="pt-BR"/>
        </w:rPr>
      </w:pPr>
      <w:r w:rsidRPr="00CA32B3">
        <w:rPr>
          <w:rFonts w:ascii="Verdana" w:eastAsia="Times" w:hAnsi="Verdana"/>
          <w:sz w:val="20"/>
          <w:szCs w:val="20"/>
          <w:lang w:val="pt-BR"/>
        </w:rPr>
        <w:t>Pablo Saavedra Alessandri</w:t>
      </w:r>
    </w:p>
    <w:p w14:paraId="2A085271" w14:textId="77777777" w:rsidR="004964DC" w:rsidRPr="00CA32B3" w:rsidRDefault="004964DC" w:rsidP="004964DC">
      <w:pPr>
        <w:spacing w:after="0" w:line="240" w:lineRule="auto"/>
        <w:jc w:val="center"/>
        <w:rPr>
          <w:rFonts w:ascii="Verdana" w:eastAsia="Times" w:hAnsi="Verdana"/>
          <w:sz w:val="20"/>
          <w:szCs w:val="20"/>
          <w:lang w:val="pt-BR"/>
        </w:rPr>
      </w:pPr>
      <w:r w:rsidRPr="00CA32B3">
        <w:rPr>
          <w:rFonts w:ascii="Verdana" w:eastAsia="Times" w:hAnsi="Verdana"/>
          <w:sz w:val="20"/>
          <w:szCs w:val="20"/>
          <w:lang w:val="pt-BR"/>
        </w:rPr>
        <w:t>Secretario</w:t>
      </w:r>
    </w:p>
    <w:p w14:paraId="1C4F796B" w14:textId="77777777" w:rsidR="004964DC" w:rsidRPr="00CA32B3" w:rsidRDefault="004964DC" w:rsidP="004964DC">
      <w:pPr>
        <w:spacing w:after="0" w:line="240" w:lineRule="auto"/>
        <w:jc w:val="both"/>
        <w:rPr>
          <w:rFonts w:ascii="Verdana" w:eastAsia="Times" w:hAnsi="Verdana"/>
          <w:sz w:val="20"/>
          <w:szCs w:val="20"/>
          <w:lang w:val="pt-BR"/>
        </w:rPr>
      </w:pPr>
    </w:p>
    <w:p w14:paraId="2FF1B279" w14:textId="77777777" w:rsidR="004964DC" w:rsidRPr="00CA32B3" w:rsidRDefault="004964DC" w:rsidP="004964DC">
      <w:pPr>
        <w:spacing w:after="0" w:line="240" w:lineRule="auto"/>
        <w:jc w:val="both"/>
        <w:rPr>
          <w:rFonts w:ascii="Verdana" w:eastAsia="Times" w:hAnsi="Verdana"/>
          <w:sz w:val="20"/>
          <w:szCs w:val="20"/>
          <w:lang w:val="pt-BR"/>
        </w:rPr>
      </w:pPr>
      <w:r w:rsidRPr="00CA32B3">
        <w:rPr>
          <w:rFonts w:ascii="Verdana" w:eastAsia="Times" w:hAnsi="Verdana"/>
          <w:sz w:val="20"/>
          <w:szCs w:val="20"/>
          <w:lang w:val="pt-BR"/>
        </w:rPr>
        <w:t>Comuníquese y ejecútese,</w:t>
      </w:r>
    </w:p>
    <w:p w14:paraId="66589310" w14:textId="50C451B6" w:rsidR="004964DC" w:rsidRPr="00CA32B3" w:rsidRDefault="004964DC" w:rsidP="004964DC">
      <w:pPr>
        <w:spacing w:after="0" w:line="240" w:lineRule="auto"/>
        <w:jc w:val="both"/>
        <w:rPr>
          <w:rFonts w:ascii="Verdana" w:eastAsia="Times" w:hAnsi="Verdana"/>
          <w:sz w:val="20"/>
          <w:szCs w:val="20"/>
          <w:lang w:val="pt-BR"/>
        </w:rPr>
      </w:pPr>
    </w:p>
    <w:p w14:paraId="6F0EB51C" w14:textId="77777777" w:rsidR="004964DC" w:rsidRPr="00CA32B3" w:rsidRDefault="004964DC" w:rsidP="004964DC">
      <w:pPr>
        <w:spacing w:after="0" w:line="240" w:lineRule="auto"/>
        <w:jc w:val="both"/>
        <w:rPr>
          <w:rFonts w:ascii="Verdana" w:eastAsia="Times" w:hAnsi="Verdana"/>
          <w:sz w:val="20"/>
          <w:szCs w:val="20"/>
          <w:lang w:val="pt-BR"/>
        </w:rPr>
      </w:pPr>
    </w:p>
    <w:p w14:paraId="2246ED62" w14:textId="77777777" w:rsidR="004964DC" w:rsidRPr="00CA32B3" w:rsidRDefault="004964DC" w:rsidP="004964DC">
      <w:pPr>
        <w:spacing w:after="0" w:line="240" w:lineRule="auto"/>
        <w:jc w:val="both"/>
        <w:rPr>
          <w:rFonts w:ascii="Verdana" w:eastAsia="Times" w:hAnsi="Verdana"/>
          <w:sz w:val="20"/>
          <w:szCs w:val="20"/>
          <w:lang w:val="pt-BR"/>
        </w:rPr>
      </w:pPr>
    </w:p>
    <w:p w14:paraId="160D85F9" w14:textId="77777777" w:rsidR="004964DC" w:rsidRPr="00CA32B3" w:rsidRDefault="004964DC" w:rsidP="004964DC">
      <w:pPr>
        <w:spacing w:after="0" w:line="240" w:lineRule="auto"/>
        <w:jc w:val="both"/>
        <w:rPr>
          <w:rFonts w:ascii="Verdana" w:eastAsia="Times" w:hAnsi="Verdana"/>
          <w:sz w:val="20"/>
          <w:szCs w:val="20"/>
          <w:lang w:val="pt-BR"/>
        </w:rPr>
      </w:pPr>
    </w:p>
    <w:p w14:paraId="1FD94BDE" w14:textId="2E6A9212" w:rsidR="004964DC" w:rsidRPr="00CA32B3" w:rsidRDefault="004964DC" w:rsidP="004964DC">
      <w:pPr>
        <w:spacing w:after="0" w:line="240" w:lineRule="auto"/>
        <w:jc w:val="both"/>
        <w:rPr>
          <w:rFonts w:ascii="Verdana" w:eastAsia="Times" w:hAnsi="Verdana"/>
          <w:sz w:val="20"/>
          <w:szCs w:val="20"/>
          <w:lang w:val="pt-BR"/>
        </w:rPr>
      </w:pPr>
    </w:p>
    <w:p w14:paraId="6E405624" w14:textId="77777777" w:rsidR="004964DC" w:rsidRPr="00CA32B3" w:rsidRDefault="004964DC" w:rsidP="004964DC">
      <w:pPr>
        <w:spacing w:after="0" w:line="240" w:lineRule="auto"/>
        <w:ind w:left="4248" w:firstLine="708"/>
        <w:jc w:val="center"/>
        <w:rPr>
          <w:rFonts w:ascii="Verdana" w:eastAsia="Times" w:hAnsi="Verdana"/>
          <w:sz w:val="20"/>
          <w:szCs w:val="20"/>
          <w:lang w:val="es-CO"/>
        </w:rPr>
      </w:pPr>
      <w:r w:rsidRPr="00CA32B3">
        <w:rPr>
          <w:rFonts w:ascii="Verdana" w:eastAsia="Times" w:hAnsi="Verdana"/>
          <w:sz w:val="20"/>
          <w:szCs w:val="20"/>
          <w:lang w:val="pt-BR"/>
        </w:rPr>
        <w:t>Elizabeth Odio Benito</w:t>
      </w:r>
    </w:p>
    <w:p w14:paraId="3535A2C2" w14:textId="77777777" w:rsidR="004964DC" w:rsidRPr="00CA32B3" w:rsidRDefault="004964DC" w:rsidP="004964DC">
      <w:pPr>
        <w:spacing w:after="0" w:line="240" w:lineRule="auto"/>
        <w:ind w:left="4248" w:firstLine="708"/>
        <w:jc w:val="center"/>
        <w:rPr>
          <w:rFonts w:ascii="Verdana" w:eastAsia="Times" w:hAnsi="Verdana"/>
          <w:sz w:val="20"/>
          <w:szCs w:val="20"/>
          <w:lang w:val="pt-BR"/>
        </w:rPr>
      </w:pPr>
      <w:r w:rsidRPr="00CA32B3">
        <w:rPr>
          <w:rFonts w:ascii="Verdana" w:eastAsia="Times" w:hAnsi="Verdana"/>
          <w:sz w:val="20"/>
          <w:szCs w:val="20"/>
          <w:lang w:val="pt-BR"/>
        </w:rPr>
        <w:t>Presidenta</w:t>
      </w:r>
    </w:p>
    <w:p w14:paraId="65B1B3BB" w14:textId="77777777" w:rsidR="004964DC" w:rsidRPr="00CA32B3" w:rsidRDefault="004964DC" w:rsidP="004964DC">
      <w:pPr>
        <w:spacing w:after="0" w:line="240" w:lineRule="auto"/>
        <w:jc w:val="both"/>
        <w:rPr>
          <w:rFonts w:ascii="Verdana" w:eastAsia="Times" w:hAnsi="Verdana"/>
          <w:sz w:val="20"/>
          <w:szCs w:val="20"/>
          <w:lang w:val="pt-BR"/>
        </w:rPr>
      </w:pPr>
    </w:p>
    <w:p w14:paraId="6D49032B" w14:textId="77777777" w:rsidR="004964DC" w:rsidRPr="00CA32B3" w:rsidRDefault="004964DC" w:rsidP="004964DC">
      <w:pPr>
        <w:spacing w:after="0" w:line="240" w:lineRule="auto"/>
        <w:jc w:val="both"/>
        <w:rPr>
          <w:rFonts w:ascii="Verdana" w:eastAsia="Times" w:hAnsi="Verdana"/>
          <w:sz w:val="20"/>
          <w:szCs w:val="20"/>
          <w:lang w:val="pt-BR"/>
        </w:rPr>
      </w:pPr>
    </w:p>
    <w:p w14:paraId="250B7A97" w14:textId="77777777" w:rsidR="004964DC" w:rsidRPr="00CA32B3" w:rsidRDefault="004964DC" w:rsidP="004964DC">
      <w:pPr>
        <w:spacing w:after="0" w:line="240" w:lineRule="auto"/>
        <w:jc w:val="both"/>
        <w:rPr>
          <w:rFonts w:ascii="Verdana" w:eastAsia="Times" w:hAnsi="Verdana"/>
          <w:sz w:val="20"/>
          <w:szCs w:val="20"/>
          <w:lang w:val="pt-BR"/>
        </w:rPr>
      </w:pPr>
    </w:p>
    <w:p w14:paraId="446AB0F9" w14:textId="77777777" w:rsidR="004964DC" w:rsidRPr="00CA32B3" w:rsidRDefault="004964DC" w:rsidP="004964DC">
      <w:pPr>
        <w:spacing w:after="0" w:line="240" w:lineRule="auto"/>
        <w:jc w:val="both"/>
        <w:rPr>
          <w:rFonts w:ascii="Verdana" w:eastAsia="Times" w:hAnsi="Verdana"/>
          <w:sz w:val="20"/>
          <w:szCs w:val="20"/>
          <w:lang w:val="pt-BR"/>
        </w:rPr>
      </w:pPr>
    </w:p>
    <w:p w14:paraId="4C140A30" w14:textId="77777777" w:rsidR="004964DC" w:rsidRPr="00CA32B3" w:rsidRDefault="004964DC" w:rsidP="004964DC">
      <w:pPr>
        <w:spacing w:after="0" w:line="240" w:lineRule="auto"/>
        <w:jc w:val="both"/>
        <w:rPr>
          <w:rFonts w:ascii="Verdana" w:eastAsia="Times" w:hAnsi="Verdana"/>
          <w:sz w:val="20"/>
          <w:szCs w:val="20"/>
          <w:lang w:val="es-ES"/>
        </w:rPr>
      </w:pPr>
      <w:r w:rsidRPr="00CA32B3">
        <w:rPr>
          <w:rFonts w:ascii="Verdana" w:eastAsia="Times" w:hAnsi="Verdana"/>
          <w:sz w:val="20"/>
          <w:szCs w:val="20"/>
          <w:lang w:val="es-ES"/>
        </w:rPr>
        <w:t>Pablo Saavedra Alessandri</w:t>
      </w:r>
    </w:p>
    <w:p w14:paraId="37D7A316" w14:textId="77777777" w:rsidR="004964DC" w:rsidRPr="00514C91" w:rsidRDefault="004964DC" w:rsidP="004964DC">
      <w:pPr>
        <w:spacing w:after="0" w:line="240" w:lineRule="auto"/>
      </w:pPr>
      <w:r w:rsidRPr="00CA32B3">
        <w:rPr>
          <w:rFonts w:ascii="Verdana" w:eastAsia="Times" w:hAnsi="Verdana"/>
          <w:sz w:val="20"/>
          <w:szCs w:val="20"/>
          <w:lang w:val="es-ES"/>
        </w:rPr>
        <w:tab/>
      </w:r>
      <w:r w:rsidRPr="00CA32B3">
        <w:rPr>
          <w:rFonts w:ascii="Verdana" w:eastAsia="Times" w:hAnsi="Verdana"/>
          <w:sz w:val="20"/>
          <w:szCs w:val="20"/>
        </w:rPr>
        <w:t>Secretario</w:t>
      </w:r>
    </w:p>
    <w:p w14:paraId="5ADE2D4D" w14:textId="77777777" w:rsidR="004964DC" w:rsidRPr="00CF7903" w:rsidRDefault="004964DC" w:rsidP="004964DC">
      <w:pPr>
        <w:pStyle w:val="Prrafodelista"/>
        <w:suppressLineNumbers/>
        <w:spacing w:after="0" w:line="240" w:lineRule="auto"/>
        <w:ind w:left="0"/>
        <w:jc w:val="both"/>
        <w:rPr>
          <w:rFonts w:ascii="Verdana" w:hAnsi="Verdana"/>
          <w:sz w:val="20"/>
        </w:rPr>
      </w:pPr>
    </w:p>
    <w:sectPr w:rsidR="004964DC" w:rsidRPr="00CF7903" w:rsidSect="004964DC">
      <w:headerReference w:type="default" r:id="rId9"/>
      <w:footerReference w:type="default" r:id="rId10"/>
      <w:pgSz w:w="12240" w:h="1584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9EDF4" w14:textId="77777777" w:rsidR="00826BA5" w:rsidRDefault="00826BA5">
      <w:pPr>
        <w:spacing w:line="240" w:lineRule="auto"/>
      </w:pPr>
      <w:r>
        <w:separator/>
      </w:r>
    </w:p>
  </w:endnote>
  <w:endnote w:type="continuationSeparator" w:id="0">
    <w:p w14:paraId="7511DE98" w14:textId="77777777" w:rsidR="00826BA5" w:rsidRDefault="00826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MT">
    <w:altName w:val="MS Gothic"/>
    <w:panose1 w:val="00000000000000000000"/>
    <w:charset w:val="00"/>
    <w:family w:val="auto"/>
    <w:notTrueType/>
    <w:pitch w:val="default"/>
    <w:sig w:usb0="00000003" w:usb1="00000000" w:usb2="00000000" w:usb3="00000000" w:csb0="00000001" w:csb1="00000000"/>
  </w:font>
  <w:font w:name="Verdana-Italic">
    <w:altName w:val="Verdana"/>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558899"/>
    </w:sdtPr>
    <w:sdtEndPr/>
    <w:sdtContent>
      <w:p w14:paraId="0F67F395" w14:textId="3DE17FD9" w:rsidR="003B0831" w:rsidRDefault="003B0831">
        <w:pPr>
          <w:pStyle w:val="Piedepgina"/>
          <w:jc w:val="center"/>
        </w:pPr>
        <w:r>
          <w:fldChar w:fldCharType="begin"/>
        </w:r>
        <w:r>
          <w:instrText>PAGE   \* MERGEFORMAT</w:instrText>
        </w:r>
        <w:r>
          <w:fldChar w:fldCharType="separate"/>
        </w:r>
        <w:r w:rsidR="00213B97" w:rsidRPr="00213B97">
          <w:rPr>
            <w:noProof/>
            <w:lang w:val="es-ES"/>
          </w:rPr>
          <w:t>1</w:t>
        </w:r>
        <w:r>
          <w:fldChar w:fldCharType="end"/>
        </w:r>
      </w:p>
    </w:sdtContent>
  </w:sdt>
  <w:p w14:paraId="21F842D8" w14:textId="77777777" w:rsidR="003B0831" w:rsidRDefault="003B083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B6265" w14:textId="77777777" w:rsidR="00826BA5" w:rsidRDefault="00826BA5">
      <w:pPr>
        <w:spacing w:after="0" w:line="240" w:lineRule="auto"/>
      </w:pPr>
      <w:r>
        <w:separator/>
      </w:r>
    </w:p>
  </w:footnote>
  <w:footnote w:type="continuationSeparator" w:id="0">
    <w:p w14:paraId="0A61072E" w14:textId="77777777" w:rsidR="00826BA5" w:rsidRDefault="00826BA5">
      <w:pPr>
        <w:spacing w:after="0" w:line="240" w:lineRule="auto"/>
      </w:pPr>
      <w:r>
        <w:continuationSeparator/>
      </w:r>
    </w:p>
  </w:footnote>
  <w:footnote w:id="1">
    <w:p w14:paraId="0563ACCC" w14:textId="77777777" w:rsidR="003B0831" w:rsidRDefault="003B0831">
      <w:pPr>
        <w:pStyle w:val="Textonotapie"/>
        <w:rPr>
          <w:rFonts w:cs="Verdana"/>
          <w:lang w:val="es-CO"/>
        </w:rPr>
      </w:pPr>
      <w:r>
        <w:rPr>
          <w:vertAlign w:val="superscript"/>
        </w:rPr>
        <w:t>*</w:t>
      </w:r>
      <w:r>
        <w:tab/>
      </w:r>
      <w:r>
        <w:rPr>
          <w:rFonts w:cs="Verdana"/>
          <w:lang w:val="es-CO"/>
        </w:rPr>
        <w:t>Debido a las circunstancias excepcionales ocasionadas por la pandemia COVID-19, esta Resolución fue deliberada y aprobada durante el 142° Periodo Ordinario de Sesiones, el cual se llevó a cabo de forma no presencial utilizando medios tecnológicos de conformidad con lo establecido en el Reglamento de la Corte.</w:t>
      </w:r>
    </w:p>
  </w:footnote>
  <w:footnote w:id="2">
    <w:p w14:paraId="5BE8C34F" w14:textId="77777777" w:rsidR="003B0831" w:rsidRDefault="003B0831">
      <w:pPr>
        <w:pStyle w:val="Textonotapie"/>
      </w:pPr>
      <w:r>
        <w:rPr>
          <w:rStyle w:val="Refdenotaalpie"/>
        </w:rPr>
        <w:footnoteRef/>
      </w:r>
      <w:r>
        <w:t xml:space="preserve"> </w:t>
      </w:r>
      <w:r>
        <w:rPr>
          <w:i/>
        </w:rPr>
        <w:tab/>
        <w:t>Cfr. Caso Comunidad Campesina de Santa Bárbara Vs. Perú. Excepciones Preliminares, Fondo, Reparaciones y Costas.</w:t>
      </w:r>
      <w:r>
        <w:t xml:space="preserve"> Sentencia de 1 de septiembre de 2015, Serie C No. 299. El texto íntegro de la Sentencia se encuentra disponible en: http://www.corteidh.or.cr/docs/casos/articulos/seriec_299_esp.pdf. La Sentencia se notificó el 13 de noviembre de 2015.</w:t>
      </w:r>
    </w:p>
  </w:footnote>
  <w:footnote w:id="3">
    <w:p w14:paraId="0B998631" w14:textId="154E30A0" w:rsidR="003B0831" w:rsidRDefault="003B0831">
      <w:pPr>
        <w:pStyle w:val="Textonotapie"/>
      </w:pPr>
      <w:r>
        <w:rPr>
          <w:rStyle w:val="Refdenotaalpie"/>
        </w:rPr>
        <w:footnoteRef/>
      </w:r>
      <w:r>
        <w:t xml:space="preserve"> </w:t>
      </w:r>
      <w:r>
        <w:tab/>
        <w:t xml:space="preserve">Las víctimas son </w:t>
      </w:r>
      <w:r w:rsidRPr="00E864F4">
        <w:t>Yesenia Osnayo Hilario, Miriam Osnayo Hilario, Edith Osnayo Hilario, Wilmer Hilario Carhuapoma, Alex Jorge Hilario, Raúl Hilario Guillén, Héctor Hilario Guillén, Francisco Hilario Torres, Mercedes Carhuapoma de la Cruz, Dionicia Quispe Mallqui, Antonia Hilario Quispe, Magdalena Hilario Quispe, Dionicia Guillén Riveros y Ramón Hilario Morán, todos ellos miembros de dos grupos familiares, y Elihoref Huamaní Vergara</w:t>
      </w:r>
      <w:r>
        <w:t xml:space="preserve">. </w:t>
      </w:r>
    </w:p>
  </w:footnote>
  <w:footnote w:id="4">
    <w:p w14:paraId="2F491A76" w14:textId="48145000" w:rsidR="003B0831" w:rsidRPr="00726B73" w:rsidRDefault="003B0831" w:rsidP="00726B73">
      <w:pPr>
        <w:pStyle w:val="Textonotapie"/>
        <w:rPr>
          <w:lang w:val="es-ES"/>
        </w:rPr>
      </w:pPr>
      <w:r>
        <w:rPr>
          <w:rStyle w:val="Refdenotaalpie"/>
        </w:rPr>
        <w:footnoteRef/>
      </w:r>
      <w:r>
        <w:t xml:space="preserve">  </w:t>
      </w:r>
      <w:r>
        <w:tab/>
      </w:r>
      <w:r w:rsidRPr="00E864F4">
        <w:t>Sus familiares sobrevivientes, Zósimo Hilario Quispe, Marcelo Hilario Quispe, Gregorio Hilario Quispe, Zenón Cirilo Osnayo Tunque, Víctor Carhuapoma de la Cruz, Abilio Hilario Quispe, Marcelina Guillen Riveros y Marino Huamaní Vergara, así como sus familiares fallecidos, Ana de la Cruz Carhuapoma, Viviano Hilario Mancha, Dolores Morán Paucar, Justiniano Guillén Ccanto, Victoria Riveros Valencia y Alejandro Huamaní Robles.</w:t>
      </w:r>
    </w:p>
  </w:footnote>
  <w:footnote w:id="5">
    <w:p w14:paraId="1BBDCD23" w14:textId="77777777" w:rsidR="003B0831" w:rsidRDefault="003B0831">
      <w:pPr>
        <w:pStyle w:val="Textonotapie"/>
      </w:pPr>
      <w:r>
        <w:rPr>
          <w:rStyle w:val="Refdenotaalpie"/>
        </w:rPr>
        <w:footnoteRef/>
      </w:r>
      <w:r>
        <w:t xml:space="preserve"> </w:t>
      </w:r>
      <w:r>
        <w:tab/>
      </w:r>
      <w:r>
        <w:rPr>
          <w:i/>
        </w:rPr>
        <w:t>Cfr. Caso Comunidad Campesina de Santa Bárbara Vs. Perú. Interpretación de la Sentencia de Excepciones Preliminares, Fondo, Reparaciones y Costas</w:t>
      </w:r>
      <w:r>
        <w:t xml:space="preserve">. Sentencia de 21 de noviembre de 2016. Serie C No. 324. Disponible en: </w:t>
      </w:r>
      <w:hyperlink r:id="rId1" w:history="1">
        <w:r>
          <w:rPr>
            <w:rStyle w:val="Hipervnculo"/>
          </w:rPr>
          <w:t>http://www.corteidh.or.cr/docs/casos/articulos/seriec_324_esp.pdf</w:t>
        </w:r>
      </w:hyperlink>
      <w:r>
        <w:t xml:space="preserve">. </w:t>
      </w:r>
    </w:p>
  </w:footnote>
  <w:footnote w:id="6">
    <w:p w14:paraId="5B736831" w14:textId="273B4973" w:rsidR="003B0831" w:rsidRPr="00E26323" w:rsidRDefault="003B0831">
      <w:pPr>
        <w:pStyle w:val="Textonotapie"/>
      </w:pPr>
      <w:r w:rsidRPr="00E26323">
        <w:rPr>
          <w:rStyle w:val="Refdenotaalpie"/>
        </w:rPr>
        <w:footnoteRef/>
      </w:r>
      <w:r w:rsidRPr="00E26323">
        <w:t xml:space="preserve"> </w:t>
      </w:r>
      <w:r w:rsidRPr="00E26323">
        <w:tab/>
      </w:r>
      <w:r w:rsidRPr="007C275C">
        <w:rPr>
          <w:i/>
        </w:rPr>
        <w:t>Cfr. Casos Osorio Rivera y familiares, J., Penal Miguel Castro Castro, Tarazona Arrieta y otros, Espinoza Gonzáles, Cruz Sánchez y otros, Canales Huapaya y otros, Comunidad Campesina de Santa Bárbara, Quispialaya Vilcapoma y Tenorio Roca y otros Vs. Perú. Reintegro al Fondo de Asistencia Legal de Víctimas.</w:t>
      </w:r>
      <w:r w:rsidRPr="00D65EEF">
        <w:t xml:space="preserve"> Resolución de la Corte Interamericana de Derechos Humanos de 14 de noviembre de 2017.</w:t>
      </w:r>
      <w:r>
        <w:t xml:space="preserve"> </w:t>
      </w:r>
      <w:r w:rsidRPr="00880CC0">
        <w:t>Disponible en: http://www.corteidh.or.cr/docs/asuntos/osorivperu_fv_17.pdf.</w:t>
      </w:r>
    </w:p>
  </w:footnote>
  <w:footnote w:id="7">
    <w:p w14:paraId="75710DA5" w14:textId="77777777" w:rsidR="003B0831" w:rsidRDefault="003B0831">
      <w:pPr>
        <w:pStyle w:val="Textonotapie"/>
      </w:pPr>
      <w:r>
        <w:rPr>
          <w:rStyle w:val="Refdenotaalpie"/>
        </w:rPr>
        <w:footnoteRef/>
      </w:r>
      <w:r>
        <w:t xml:space="preserve"> </w:t>
      </w:r>
      <w:r>
        <w:tab/>
        <w:t>Los representantes en el presente caso son el Centro por la Justicia y el Derecho Internacional (CEJIL), el abogado Milton Gens Campos Castillo y la Asociación Paz y Esperanza.</w:t>
      </w:r>
    </w:p>
  </w:footnote>
  <w:footnote w:id="8">
    <w:p w14:paraId="0D2557B9" w14:textId="486A33DA" w:rsidR="003B0831" w:rsidRDefault="003B0831">
      <w:pPr>
        <w:pStyle w:val="Textonotapie"/>
      </w:pPr>
      <w:r>
        <w:rPr>
          <w:rStyle w:val="Refdenotaalpie"/>
        </w:rPr>
        <w:footnoteRef/>
      </w:r>
      <w:r>
        <w:t xml:space="preserve">  </w:t>
      </w:r>
      <w:r>
        <w:tab/>
      </w:r>
      <w:r w:rsidRPr="00843C18">
        <w:t>A esta audiencia privada comparecieron: a) por el Estado: Carlos Miguel Reaño Balarezo, Procurador Público Titular de la Procuraduría Pública Supranacional Especializada; Carlos Llaja Villena, Procurador Público Adjunto de la Procuraduría Pública Supranacional Especializada; Katherine Lisett Carbajal Montes y Christian Adolfo Samillan Ley Cuen, Abogada y Abogado de la Procuraduría Pública Supranacional Especializada; Daniel Alberto Jara Espinoza, Coordinador de la Fiscalía Superior Penal Nacional y Fiscalías Penales Supraprovinciales; Luis Enrique Valdivia Calderón, Fiscal Provincial de la Segunda Fiscalía Penal Supraprovincial; Mónica Barriga Pérez, Directora General de la Dirección General de Búsqueda de Personas Desaparecidas del Ministerio de Justicia y Derechos Humanos; Omar Kadafi Jesús Rojas Silva, Abogado de la Procuraduría Pública del Ministerio de Justicia y Derechos Humanos; Julio Marlon Merodio Llanos, Procurador Público del Seguro Integral de Salud; Oscar Manuel Espejo Fernández, representante de la Gerencia de Riesgo y Evaluación de las Prestaciones del Seguro Integral de Salud; Jazmín Gianina Monrroy Polanco, Abogada del Ministerio de Salud, y Rosa María Zapata Guizado, representante de la Dirección de Salud Mental de la Dirección General de Intervenciones Estratégicas en Salud Pública del Ministerio de Salud; b) por  la Comisión Interamericana de Derechos Humanos: Edgar Stuardo Ralón Orellana, Comisionado; Jorge Meza Flores, asesor, e Ignacio Bollier, asesor; c) las víctimas: Zenón Cirilo Osnayo Trunque, Marino Huamaní Vergara, Marcelo Hilario Quispe, y Maura Ccora Hilario; y d) sus representantes: Milton Gens Campos Castillo, Germán Vargas Farías</w:t>
      </w:r>
      <w:r>
        <w:t xml:space="preserve"> de la organización Paz y Esperanza, y Gisela De León, Florencia Reggiardo, Patricia Cruz Marín, y Francisco Quintana del Centro por la Justicia y el Derecho Internacional (CEJIL). </w:t>
      </w:r>
    </w:p>
  </w:footnote>
  <w:footnote w:id="9">
    <w:p w14:paraId="79D645AC" w14:textId="77777777" w:rsidR="003B0831" w:rsidRDefault="003B0831" w:rsidP="00273718">
      <w:pPr>
        <w:pStyle w:val="Textonotapie"/>
        <w:snapToGrid w:val="0"/>
        <w:rPr>
          <w:lang w:val="es-ES"/>
        </w:rPr>
      </w:pPr>
      <w:r>
        <w:rPr>
          <w:rStyle w:val="Refdenotaalpie"/>
        </w:rPr>
        <w:footnoteRef/>
      </w:r>
      <w:r>
        <w:t xml:space="preserve"> </w:t>
      </w:r>
      <w:r>
        <w:rPr>
          <w:lang w:val="es-ES"/>
        </w:rPr>
        <w:t xml:space="preserve"> </w:t>
      </w:r>
      <w:r>
        <w:rPr>
          <w:lang w:val="es-ES"/>
        </w:rPr>
        <w:tab/>
        <w:t xml:space="preserve">Ello no obsta a que, en una posterior resolución de supervisión de cumplimiento de Sentencia, el Tribunal realice consideraciones adicionales referidas a dichos escritos. </w:t>
      </w:r>
    </w:p>
  </w:footnote>
  <w:footnote w:id="10">
    <w:p w14:paraId="4730C1D0" w14:textId="77777777" w:rsidR="003B0831" w:rsidRDefault="003B0831">
      <w:pPr>
        <w:pStyle w:val="Textonotapie"/>
        <w:rPr>
          <w:lang w:val="es-MX"/>
        </w:rPr>
      </w:pPr>
      <w:r>
        <w:rPr>
          <w:rStyle w:val="Refdenotaalpie"/>
        </w:rPr>
        <w:footnoteRef/>
      </w:r>
      <w:r>
        <w:t xml:space="preserve"> </w:t>
      </w:r>
      <w:r>
        <w:tab/>
        <w:t>Facultad que además se desprende de lo dispuesto en los artículos 33, 62.1, 62.3 y 65 de la Convención Americana sobre Derechos Humanos y 30 de su Estatuto y se encuentra regulada en el artículo 69 de su Reglamento.</w:t>
      </w:r>
    </w:p>
  </w:footnote>
  <w:footnote w:id="11">
    <w:p w14:paraId="34882301" w14:textId="25CCB43D" w:rsidR="003B0831" w:rsidRDefault="003B0831">
      <w:pPr>
        <w:pStyle w:val="Textonotapie"/>
        <w:rPr>
          <w:lang w:val="es-MX"/>
        </w:rPr>
      </w:pPr>
      <w:r>
        <w:rPr>
          <w:rStyle w:val="Refdenotaalpie"/>
        </w:rPr>
        <w:footnoteRef/>
      </w:r>
      <w:r>
        <w:t xml:space="preserve"> </w:t>
      </w:r>
      <w:r>
        <w:tab/>
      </w:r>
      <w:r>
        <w:rPr>
          <w:i/>
        </w:rPr>
        <w:t>Cfr.</w:t>
      </w:r>
      <w:r>
        <w:t xml:space="preserve"> </w:t>
      </w:r>
      <w:r>
        <w:rPr>
          <w:i/>
        </w:rPr>
        <w:t>Caso Cinco Pensionistas Vs. Perú.</w:t>
      </w:r>
      <w:r>
        <w:t xml:space="preserve"> </w:t>
      </w:r>
      <w:r>
        <w:rPr>
          <w:i/>
        </w:rPr>
        <w:t>Supervisión de cumplimiento de Sentencia</w:t>
      </w:r>
      <w:r>
        <w:t xml:space="preserve">. Resolución de la Corte Interamericana de Derechos Humanos de 17 de noviembre de 2004, Considerando 5, y </w:t>
      </w:r>
      <w:r w:rsidRPr="00DC7B44">
        <w:rPr>
          <w:i/>
        </w:rPr>
        <w:t>Caso Hernández Vs. Argentina. Supervisión de Cumplimiento de Sentencia.</w:t>
      </w:r>
      <w:r w:rsidRPr="00D26152">
        <w:t xml:space="preserve"> Resolución de la Corte Interamericana de Derecho</w:t>
      </w:r>
      <w:r>
        <w:t xml:space="preserve">s Humanos de 27 de mayo de 2021, Considerando 2. </w:t>
      </w:r>
    </w:p>
  </w:footnote>
  <w:footnote w:id="12">
    <w:p w14:paraId="0E2B5ACC" w14:textId="77777777" w:rsidR="003B0831" w:rsidRDefault="003B0831" w:rsidP="00273718">
      <w:pPr>
        <w:pStyle w:val="Textonotapie"/>
        <w:rPr>
          <w:sz w:val="18"/>
          <w:szCs w:val="18"/>
          <w:lang w:val="es-MX"/>
        </w:rPr>
      </w:pPr>
      <w:r>
        <w:rPr>
          <w:rStyle w:val="Refdenotaalpie"/>
          <w:szCs w:val="18"/>
        </w:rPr>
        <w:footnoteRef/>
      </w:r>
      <w:r>
        <w:rPr>
          <w:szCs w:val="18"/>
        </w:rPr>
        <w:t xml:space="preserve"> </w:t>
      </w:r>
      <w:r>
        <w:rPr>
          <w:szCs w:val="18"/>
        </w:rPr>
        <w:tab/>
      </w:r>
      <w:r>
        <w:rPr>
          <w:i/>
          <w:szCs w:val="18"/>
        </w:rPr>
        <w:t>Cfr.</w:t>
      </w:r>
      <w:r>
        <w:rPr>
          <w:szCs w:val="18"/>
        </w:rPr>
        <w:t xml:space="preserve"> </w:t>
      </w:r>
      <w:r>
        <w:rPr>
          <w:i/>
          <w:szCs w:val="18"/>
        </w:rPr>
        <w:t>Caso Ivcher Bronstein Vs. Perú.</w:t>
      </w:r>
      <w:r>
        <w:rPr>
          <w:szCs w:val="18"/>
        </w:rPr>
        <w:t xml:space="preserve"> </w:t>
      </w:r>
      <w:r>
        <w:rPr>
          <w:i/>
          <w:szCs w:val="18"/>
        </w:rPr>
        <w:t>Competencia</w:t>
      </w:r>
      <w:r>
        <w:rPr>
          <w:szCs w:val="18"/>
        </w:rPr>
        <w:t xml:space="preserve">. Sentencia de la Corte Interamericana de Derechos Humanos de 24 de septiembre de 1999. Serie C No. 54, párr. 37, y </w:t>
      </w:r>
      <w:r w:rsidRPr="00564446">
        <w:rPr>
          <w:i/>
        </w:rPr>
        <w:t>Caso Hernández Vs. Argentina</w:t>
      </w:r>
      <w:r>
        <w:rPr>
          <w:i/>
        </w:rPr>
        <w:t xml:space="preserve">, supra </w:t>
      </w:r>
      <w:r>
        <w:t>nota 10, Considerando 2</w:t>
      </w:r>
      <w:r>
        <w:rPr>
          <w:szCs w:val="18"/>
        </w:rPr>
        <w:t xml:space="preserve">. </w:t>
      </w:r>
    </w:p>
    <w:p w14:paraId="65B39A0E" w14:textId="373883F7" w:rsidR="003B0831" w:rsidRDefault="003B0831">
      <w:pPr>
        <w:pStyle w:val="Textonotapie"/>
        <w:rPr>
          <w:sz w:val="18"/>
          <w:szCs w:val="18"/>
          <w:lang w:val="es-MX"/>
        </w:rPr>
      </w:pPr>
    </w:p>
  </w:footnote>
  <w:footnote w:id="13">
    <w:p w14:paraId="3629E9DF" w14:textId="5508D27F" w:rsidR="003B0831" w:rsidRDefault="003B0831">
      <w:pPr>
        <w:pStyle w:val="Textonotapie"/>
      </w:pPr>
      <w:r>
        <w:rPr>
          <w:rStyle w:val="Refdenotaalpie"/>
        </w:rPr>
        <w:footnoteRef/>
      </w:r>
      <w:r>
        <w:t xml:space="preserve"> </w:t>
      </w:r>
      <w:r>
        <w:tab/>
        <w:t xml:space="preserve">“Fue condenado como cómplice primario del delito de homicidio calificado por ferocidad y alevosía a 20 años de pena privativa de libertad y a pagar la cantidad de 25,000 nuevos soles por concepto de reparación civil a favor de cada uno de los herederos legales de los agraviados, solidariamente con los responsables del hecho punible”. </w:t>
      </w:r>
      <w:r>
        <w:rPr>
          <w:i/>
        </w:rPr>
        <w:t xml:space="preserve">Cfr. Caso Comunidad Campesina de Santa Bárbara Vs. Perú, supra </w:t>
      </w:r>
      <w:r>
        <w:t xml:space="preserve">nota 1, párrs. 131 y 132. </w:t>
      </w:r>
    </w:p>
  </w:footnote>
  <w:footnote w:id="14">
    <w:p w14:paraId="00FDE13D" w14:textId="0701595C" w:rsidR="003B0831" w:rsidRDefault="003B0831">
      <w:pPr>
        <w:pStyle w:val="Textonotapie"/>
      </w:pPr>
      <w:r>
        <w:rPr>
          <w:rStyle w:val="Refdenotaalpie"/>
        </w:rPr>
        <w:footnoteRef/>
      </w:r>
      <w:r>
        <w:t xml:space="preserve"> </w:t>
      </w:r>
      <w:r>
        <w:tab/>
        <w:t xml:space="preserve">También fue declarada la prescripción de la acción penal a favor de todos los acusados por los delitos de robo agravado, daños contra la administración de justicia y de abuso de autoridad. </w:t>
      </w:r>
      <w:r>
        <w:rPr>
          <w:i/>
        </w:rPr>
        <w:t xml:space="preserve">Cfr. Caso Comunidad Campesina de Santa Bárbara Vs. Perú, supra </w:t>
      </w:r>
      <w:r>
        <w:t>nota 1</w:t>
      </w:r>
      <w:r>
        <w:rPr>
          <w:i/>
        </w:rPr>
        <w:t xml:space="preserve">, </w:t>
      </w:r>
      <w:r>
        <w:t>párrs. 125 a 132.</w:t>
      </w:r>
    </w:p>
  </w:footnote>
  <w:footnote w:id="15">
    <w:p w14:paraId="26B690BE" w14:textId="3281879C" w:rsidR="003B0831" w:rsidRDefault="003B0831">
      <w:pPr>
        <w:pStyle w:val="Textonotapie"/>
      </w:pPr>
      <w:r>
        <w:rPr>
          <w:rStyle w:val="Refdenotaalpie"/>
        </w:rPr>
        <w:footnoteRef/>
      </w:r>
      <w:r>
        <w:t xml:space="preserve"> </w:t>
      </w:r>
      <w:r>
        <w:tab/>
      </w:r>
      <w:r>
        <w:rPr>
          <w:i/>
        </w:rPr>
        <w:t xml:space="preserve">Cfr. Caso Comunidad Campesina de Santa Bárbara Vs. Perú, supra </w:t>
      </w:r>
      <w:r>
        <w:t>nota 1</w:t>
      </w:r>
      <w:r>
        <w:rPr>
          <w:i/>
        </w:rPr>
        <w:t xml:space="preserve">, </w:t>
      </w:r>
      <w:r>
        <w:t>párrs. 133 a 136.</w:t>
      </w:r>
    </w:p>
  </w:footnote>
  <w:footnote w:id="16">
    <w:p w14:paraId="0D443E78" w14:textId="0DEAC842" w:rsidR="003B0831" w:rsidRPr="00706E26" w:rsidRDefault="003B0831">
      <w:pPr>
        <w:pStyle w:val="Textonotapie"/>
        <w:rPr>
          <w:lang w:val="es-ES"/>
        </w:rPr>
      </w:pPr>
      <w:r>
        <w:rPr>
          <w:rStyle w:val="Refdenotaalpie"/>
        </w:rPr>
        <w:footnoteRef/>
      </w:r>
      <w:r>
        <w:t xml:space="preserve"> </w:t>
      </w:r>
      <w:r>
        <w:tab/>
      </w:r>
      <w:r>
        <w:rPr>
          <w:i/>
        </w:rPr>
        <w:t xml:space="preserve">Cfr. Caso Comunidad Campesina de Santa Bárbara Vs. Perú, supra </w:t>
      </w:r>
      <w:r>
        <w:t>nota 1</w:t>
      </w:r>
      <w:r>
        <w:rPr>
          <w:i/>
        </w:rPr>
        <w:t xml:space="preserve">, </w:t>
      </w:r>
      <w:r>
        <w:t xml:space="preserve">párr. 259. </w:t>
      </w:r>
    </w:p>
  </w:footnote>
  <w:footnote w:id="17">
    <w:p w14:paraId="44DB899D" w14:textId="707D4BDA" w:rsidR="003B0831" w:rsidRDefault="003B0831">
      <w:pPr>
        <w:pStyle w:val="Textonotapie"/>
      </w:pPr>
      <w:r>
        <w:rPr>
          <w:rStyle w:val="Refdenotaalpie"/>
        </w:rPr>
        <w:footnoteRef/>
      </w:r>
      <w:r>
        <w:t xml:space="preserve"> </w:t>
      </w:r>
      <w:r>
        <w:tab/>
      </w:r>
      <w:r>
        <w:rPr>
          <w:i/>
        </w:rPr>
        <w:t xml:space="preserve">Cfr. Caso Comunidad Campesina de Santa Bárbara Vs. Perú, supra </w:t>
      </w:r>
      <w:r>
        <w:t>nota 1</w:t>
      </w:r>
      <w:r>
        <w:rPr>
          <w:i/>
        </w:rPr>
        <w:t xml:space="preserve">, </w:t>
      </w:r>
      <w:r>
        <w:t xml:space="preserve">párrs. 237 a 251 y 253 a 260. </w:t>
      </w:r>
    </w:p>
  </w:footnote>
  <w:footnote w:id="18">
    <w:p w14:paraId="353B210B" w14:textId="5025FB14" w:rsidR="003B0831" w:rsidRPr="00EE2902" w:rsidRDefault="003B0831">
      <w:pPr>
        <w:pStyle w:val="Textonotapie"/>
      </w:pPr>
      <w:r>
        <w:rPr>
          <w:rStyle w:val="Refdenotaalpie"/>
        </w:rPr>
        <w:footnoteRef/>
      </w:r>
      <w:r>
        <w:t xml:space="preserve"> </w:t>
      </w:r>
      <w:r>
        <w:tab/>
      </w:r>
      <w:r>
        <w:rPr>
          <w:i/>
        </w:rPr>
        <w:t>Cfr.</w:t>
      </w:r>
      <w:r>
        <w:t xml:space="preserve"> Informes estatales de 16 de noviembre de 2016, 2 de marzo de 2018 y 25 de octubre de 2019, así como escritos de observaciones de los representantes de las víctimas de 28 de septiembre de 2016, 9 de febrero de 2017, 23 de mayo y 21 de agosto de 2018 y 17 de diciembre de 2019. </w:t>
      </w:r>
    </w:p>
  </w:footnote>
  <w:footnote w:id="19">
    <w:p w14:paraId="5F85D352" w14:textId="0EF591CE" w:rsidR="003B0831" w:rsidRPr="006232EA" w:rsidRDefault="003B0831">
      <w:pPr>
        <w:pStyle w:val="Textonotapie"/>
      </w:pPr>
      <w:r>
        <w:rPr>
          <w:rStyle w:val="Refdenotaalpie"/>
        </w:rPr>
        <w:footnoteRef/>
      </w:r>
      <w:r>
        <w:t xml:space="preserve"> </w:t>
      </w:r>
      <w:r>
        <w:tab/>
        <w:t xml:space="preserve">Asimismo, la Sala Penal estableció una reparación civil de veinticinco mil soles a favor de los familiares de las víctimas del caso. Adicionalmente, determinó que el Estado “deb[ía] proporcionar atención médica y/o psicológica, así como servicios jurídicos y sociales, a los herederos de las víctimas […y] reconocer a los agraviados como víctimas de la violencia interna que vivió [el] país en el período de 1980-2000”. </w:t>
      </w:r>
      <w:r>
        <w:rPr>
          <w:i/>
        </w:rPr>
        <w:t>Cfr.</w:t>
      </w:r>
      <w:r>
        <w:t xml:space="preserve"> Copia de la sentencia de fecha 05 de octubre de 2017 emitida por la Sala Penal Nacional de la Corte Superior de Lima (anexo 11 al informe estatal de 2 de marzo de 2018). </w:t>
      </w:r>
    </w:p>
  </w:footnote>
  <w:footnote w:id="20">
    <w:p w14:paraId="23FB3F60" w14:textId="37597D5A" w:rsidR="003B0831" w:rsidRDefault="003B0831">
      <w:pPr>
        <w:pStyle w:val="Textonotapie"/>
      </w:pPr>
      <w:r>
        <w:rPr>
          <w:rStyle w:val="Refdenotaalpie"/>
        </w:rPr>
        <w:footnoteRef/>
      </w:r>
      <w:r>
        <w:t xml:space="preserve"> </w:t>
      </w:r>
      <w:r>
        <w:tab/>
      </w:r>
      <w:r>
        <w:rPr>
          <w:i/>
        </w:rPr>
        <w:t>Cfr.</w:t>
      </w:r>
      <w:r>
        <w:t xml:space="preserve"> Copia de la Resolución Nº 448 de fecha 18 de diciembre de 2017 emitida por la Sala Penal Nacional de Lima (anexo 10 al informe estatal de 2 de marzo de 2018). </w:t>
      </w:r>
    </w:p>
  </w:footnote>
  <w:footnote w:id="21">
    <w:p w14:paraId="78BB15AC" w14:textId="10349F2D" w:rsidR="003B0831" w:rsidRDefault="003B0831">
      <w:pPr>
        <w:pStyle w:val="Textonotapie"/>
      </w:pPr>
      <w:r>
        <w:rPr>
          <w:rStyle w:val="Refdenotaalpie"/>
        </w:rPr>
        <w:footnoteRef/>
      </w:r>
      <w:r>
        <w:t xml:space="preserve"> </w:t>
      </w:r>
      <w:r>
        <w:tab/>
      </w:r>
      <w:r>
        <w:rPr>
          <w:i/>
        </w:rPr>
        <w:t>Cfr.</w:t>
      </w:r>
      <w:r>
        <w:t xml:space="preserve"> Escrito de observaciones de los representantes de las víctimas de 17 de diciembre de 2019. </w:t>
      </w:r>
    </w:p>
  </w:footnote>
  <w:footnote w:id="22">
    <w:p w14:paraId="3C3B527C" w14:textId="41ED7187" w:rsidR="003B0831" w:rsidRDefault="003B0831">
      <w:pPr>
        <w:pStyle w:val="Textonotapie"/>
        <w:rPr>
          <w:b/>
        </w:rPr>
      </w:pPr>
      <w:r>
        <w:rPr>
          <w:rStyle w:val="Refdenotaalpie"/>
        </w:rPr>
        <w:footnoteRef/>
      </w:r>
      <w:r>
        <w:t xml:space="preserve"> </w:t>
      </w:r>
      <w:r>
        <w:tab/>
      </w:r>
      <w:r w:rsidRPr="005B04F3">
        <w:rPr>
          <w:i/>
        </w:rPr>
        <w:t>Cfr.</w:t>
      </w:r>
      <w:r w:rsidRPr="005B04F3">
        <w:t xml:space="preserve"> Informe Nº 19- MP-FN-FSC-FSPN-FPS, emitido por el Fiscal Superior, Coordinación de la Fiscalía Superior Penal Nacional y F</w:t>
      </w:r>
      <w:r w:rsidRPr="004E3B30">
        <w:t>iscalías Penales Supraprovinciales, de 17 de agosto de 2020 (anexo 10 al informe estatal de 1 de febrero de 2021).</w:t>
      </w:r>
    </w:p>
  </w:footnote>
  <w:footnote w:id="23">
    <w:p w14:paraId="7CF0C7AF" w14:textId="06F5631D" w:rsidR="003B0831" w:rsidRDefault="003B0831" w:rsidP="006232EA">
      <w:pPr>
        <w:pStyle w:val="Textonotapie"/>
        <w:rPr>
          <w:rFonts w:cs="Calibri"/>
          <w:lang w:val="es-MX"/>
        </w:rPr>
      </w:pPr>
      <w:r>
        <w:rPr>
          <w:rStyle w:val="Refdenotaalpie"/>
        </w:rPr>
        <w:footnoteRef/>
      </w:r>
      <w:r>
        <w:t xml:space="preserve"> </w:t>
      </w:r>
      <w:r>
        <w:tab/>
      </w:r>
      <w:r w:rsidRPr="005B04F3">
        <w:rPr>
          <w:rFonts w:cs="Calibri"/>
          <w:i/>
          <w:lang w:val="es-MX"/>
        </w:rPr>
        <w:t>Cfr.</w:t>
      </w:r>
      <w:r w:rsidRPr="005B04F3">
        <w:rPr>
          <w:rFonts w:cs="Calibri"/>
          <w:lang w:val="es-MX"/>
        </w:rPr>
        <w:t xml:space="preserve"> Copia simple de la Resolución de fecha 15 de marzo de 2016 de la Cuarta Fiscalía Penal Supraprovincial (anexo 1 al informe </w:t>
      </w:r>
      <w:r w:rsidRPr="004E3B30">
        <w:rPr>
          <w:rFonts w:cs="Calibri"/>
          <w:lang w:val="es-MX"/>
        </w:rPr>
        <w:t>estatal de 16 de noviembre de 2016).</w:t>
      </w:r>
      <w:r>
        <w:rPr>
          <w:rFonts w:cs="Calibri"/>
          <w:lang w:val="es-MX"/>
        </w:rPr>
        <w:t xml:space="preserve"> En dicha resolución se indica que “de los actuados remitidos […] de la Secretaría de la Fiscalía de la Nación, se advierte que obra una solicitud de familiares de las víctimas del caso a través del cual [...solicitan] se inicie la ejecución de [la] Sentencia [de la Corte y…] se ordene la exhumación e identificación de los restos humanos localizados en la mina ‘Misteriosa’ o ‘Vallarón’”.</w:t>
      </w:r>
      <w:r>
        <w:rPr>
          <w:b/>
        </w:rPr>
        <w:t xml:space="preserve"> </w:t>
      </w:r>
      <w:r>
        <w:t xml:space="preserve">En el Cuaderno Fiscal 01-16 se acumuló la investigación 06-15, previamente iniciada por la Fiscalía Provincial Penal Supraprovincial del Distrito Judicial de Huancavelica, en virtud de “la identidad de sujeto, de hecho y de fundamento de la incriminación” entre ambas. </w:t>
      </w:r>
      <w:r>
        <w:rPr>
          <w:rFonts w:cs="Calibri"/>
          <w:i/>
          <w:lang w:val="es-MX"/>
        </w:rPr>
        <w:t>Cfr.</w:t>
      </w:r>
      <w:r>
        <w:rPr>
          <w:rFonts w:cs="Calibri"/>
          <w:lang w:val="es-MX"/>
        </w:rPr>
        <w:t xml:space="preserve"> Copia simple de la Resolución Nº 13 de fecha 13 de setiembre de 2016 de la Fiscalía Provincial Penal Supraprovincial de Huancavelica (anexo 3 al informe estatal de 16 de noviembre de 2016).</w:t>
      </w:r>
      <w:r>
        <w:rPr>
          <w:b/>
        </w:rPr>
        <w:t xml:space="preserve"> </w:t>
      </w:r>
    </w:p>
  </w:footnote>
  <w:footnote w:id="24">
    <w:p w14:paraId="2D719E24" w14:textId="781C1DA4" w:rsidR="003B0831" w:rsidRPr="002122D7" w:rsidRDefault="003B0831" w:rsidP="006232EA">
      <w:pPr>
        <w:pStyle w:val="Textonotapie"/>
      </w:pPr>
      <w:r>
        <w:rPr>
          <w:rStyle w:val="Refdenotaalpie"/>
        </w:rPr>
        <w:footnoteRef/>
      </w:r>
      <w:r>
        <w:t xml:space="preserve"> </w:t>
      </w:r>
      <w:r>
        <w:tab/>
        <w:t xml:space="preserve">Tales como: recabar copia de […] las Resoluciones recaídas en los procesos Nº 42-2006 y 196-2011”; “identifica[r a…] las personas que participaron en el operativo ‘Apolonia’” y recabar “las declaraciones indagatorias correspondientes”; emitir oficios a diversos organismos de derechos humanos, a la Cruz Roja Internacional, a la Defensoría del Pueblo y “a la Presidencia del Consejo de Ministros – Consejo de Reparaciones –Registro Único de Víctimas de la Violencia” a fin de que informen si cuentan con datos relativos a las víctimas en sus bases de datos;  y “[s]e reciban las declaraciones indagatorias de tod[o]s los familiares de las victimas que pudieran ser ubicados”; solicitar “la intervención del Fiscal Penal Supraprovincial de Huancavelica, a fin de llevar a cabo la investigación forense conjuntamente con el Laboratorio de Investigaciones 'Forenses para los Distritos Fiscales de Ayacucho y Huancavelica, […] y del Equipo Forense Especializado del Instituto de Medicina Legal”. </w:t>
      </w:r>
      <w:r>
        <w:rPr>
          <w:rFonts w:cs="Calibri"/>
          <w:i/>
          <w:lang w:val="es-MX"/>
        </w:rPr>
        <w:t>Cfr.</w:t>
      </w:r>
      <w:r>
        <w:rPr>
          <w:rFonts w:cs="Calibri"/>
          <w:lang w:val="es-MX"/>
        </w:rPr>
        <w:t xml:space="preserve"> Copia simple de la Resolución de fecha 15 de marzo de 2016 de la Cuarta Fiscalía Penal Supraprovincial (anexo 1 al informe estatal de 16 de noviembre de 2016).</w:t>
      </w:r>
      <w:r>
        <w:rPr>
          <w:rFonts w:cs="Calibri"/>
          <w:b/>
          <w:lang w:val="es-MX"/>
        </w:rPr>
        <w:t xml:space="preserve"> </w:t>
      </w:r>
      <w:r>
        <w:rPr>
          <w:rFonts w:cs="Calibri"/>
          <w:lang w:val="es-MX"/>
        </w:rPr>
        <w:t>Asimismo, en respuesta a una propuesta realizada por una de las víctimas mediante un escrito presentado en la carpeta fiscal 01-16, se ordenó solicitar al Ministerio de Defensa la remisión de “la relación de personal oficial, sub oficial y sub alterno que prestó servicios en la Base Militar de Lircay y Santa Teresita de Huancavelica, así como los integrantes del Estado Mayor de la Zona Militar de Huancavelica en el año 1991, debiendo adjuntar su foja de servicio [y…] las […] de [</w:t>
      </w:r>
      <w:r w:rsidR="002122D7">
        <w:rPr>
          <w:rFonts w:cs="Calibri"/>
          <w:lang w:val="es-MX"/>
        </w:rPr>
        <w:t>…cinco</w:t>
      </w:r>
      <w:r>
        <w:rPr>
          <w:rFonts w:cs="Calibri"/>
          <w:lang w:val="es-MX"/>
        </w:rPr>
        <w:t xml:space="preserve">] </w:t>
      </w:r>
      <w:r w:rsidR="002122D7">
        <w:rPr>
          <w:rFonts w:cs="Calibri"/>
          <w:lang w:val="es-MX"/>
        </w:rPr>
        <w:t>militares</w:t>
      </w:r>
      <w:r>
        <w:rPr>
          <w:rFonts w:cs="Calibri"/>
          <w:lang w:val="es-MX"/>
        </w:rPr>
        <w:t xml:space="preserve">”. </w:t>
      </w:r>
      <w:r>
        <w:rPr>
          <w:rFonts w:cs="Calibri"/>
          <w:i/>
          <w:lang w:val="es-MX"/>
        </w:rPr>
        <w:t>Cfr.</w:t>
      </w:r>
      <w:r>
        <w:rPr>
          <w:rFonts w:cs="Calibri"/>
          <w:lang w:val="es-MX"/>
        </w:rPr>
        <w:t xml:space="preserve"> Copia de la Disposición Fiscal Nº 02 del 18 de abril de 2016 emitido por la Cuarta Fiscalía Provincial Penal de Lima (anexo 15 al informe estatal de 2 de marzo de 2018</w:t>
      </w:r>
      <w:r w:rsidRPr="002122D7">
        <w:rPr>
          <w:rFonts w:cs="Calibri"/>
          <w:lang w:val="es-MX"/>
        </w:rPr>
        <w:t xml:space="preserve">). </w:t>
      </w:r>
    </w:p>
  </w:footnote>
  <w:footnote w:id="25">
    <w:p w14:paraId="7D0B18A7" w14:textId="11D2AC5A" w:rsidR="003B0831" w:rsidRDefault="003B0831">
      <w:pPr>
        <w:pStyle w:val="Textonotapie"/>
      </w:pPr>
      <w:r w:rsidRPr="002122D7">
        <w:rPr>
          <w:rStyle w:val="Refdenotaalpie"/>
        </w:rPr>
        <w:footnoteRef/>
      </w:r>
      <w:r w:rsidRPr="002122D7">
        <w:t xml:space="preserve"> </w:t>
      </w:r>
      <w:r w:rsidRPr="002122D7">
        <w:tab/>
        <w:t xml:space="preserve">Investigación preliminar iniciada en contra </w:t>
      </w:r>
      <w:r w:rsidR="002122D7">
        <w:t xml:space="preserve">de </w:t>
      </w:r>
      <w:r w:rsidRPr="002122D7">
        <w:t>cuatro de los cinco militares cuya información había sido solicitada al Ministerio de Defensa en 2016</w:t>
      </w:r>
      <w:r w:rsidR="00993C4B">
        <w:t xml:space="preserve"> (</w:t>
      </w:r>
      <w:r w:rsidR="00993C4B" w:rsidRPr="00993C4B">
        <w:rPr>
          <w:i/>
        </w:rPr>
        <w:t>supra</w:t>
      </w:r>
      <w:r w:rsidR="00993C4B">
        <w:t xml:space="preserve"> nota al pie 23)</w:t>
      </w:r>
      <w:r w:rsidRPr="002122D7">
        <w:rPr>
          <w:lang w:val="es-ES"/>
        </w:rPr>
        <w:t>,</w:t>
      </w:r>
      <w:r w:rsidRPr="002122D7">
        <w:rPr>
          <w:rFonts w:cs="Calibri"/>
          <w:lang w:val="es-MX"/>
        </w:rPr>
        <w:t xml:space="preserve"> y </w:t>
      </w:r>
      <w:r w:rsidR="002122D7" w:rsidRPr="002122D7">
        <w:rPr>
          <w:rFonts w:cs="Calibri"/>
          <w:lang w:val="es-MX"/>
        </w:rPr>
        <w:t xml:space="preserve">contra quien había sido </w:t>
      </w:r>
      <w:r w:rsidRPr="002122D7">
        <w:rPr>
          <w:rFonts w:cs="Calibri"/>
          <w:lang w:val="es-MX"/>
        </w:rPr>
        <w:t>“identificado como el jefe de la patrulla [militar] ‘Ángel’”.</w:t>
      </w:r>
      <w:r w:rsidRPr="002122D7">
        <w:rPr>
          <w:rFonts w:cs="Calibri"/>
          <w:b/>
          <w:lang w:val="es-MX"/>
        </w:rPr>
        <w:t xml:space="preserve">  </w:t>
      </w:r>
      <w:r w:rsidRPr="002122D7">
        <w:rPr>
          <w:rFonts w:cs="Calibri"/>
          <w:i/>
          <w:lang w:val="es-MX"/>
        </w:rPr>
        <w:t>Cfr.</w:t>
      </w:r>
      <w:r w:rsidRPr="002122D7">
        <w:rPr>
          <w:rFonts w:cs="Calibri"/>
          <w:lang w:val="es-MX"/>
        </w:rPr>
        <w:t xml:space="preserve"> Info</w:t>
      </w:r>
      <w:r>
        <w:rPr>
          <w:rFonts w:cs="Calibri"/>
          <w:lang w:val="es-MX"/>
        </w:rPr>
        <w:t>rme Nº 02-2020-EE-2ºFPP.SUPRA.MP-FN de 1 de junio de 2020, emitido por el Fiscal Provincial Titular de la Segunda Fiscalía Penal Supraprovincial de Lima (anexo 6 al informe estatal de 1 de febrero de 2021).</w:t>
      </w:r>
      <w:r>
        <w:rPr>
          <w:rFonts w:cs="Calibri"/>
          <w:b/>
          <w:lang w:val="es-MX"/>
        </w:rPr>
        <w:t xml:space="preserve"> </w:t>
      </w:r>
    </w:p>
  </w:footnote>
  <w:footnote w:id="26">
    <w:p w14:paraId="19E3A34A" w14:textId="77777777" w:rsidR="003B0831" w:rsidRDefault="003B0831" w:rsidP="00F41727">
      <w:pPr>
        <w:pStyle w:val="Textonotapie"/>
      </w:pPr>
      <w:r>
        <w:rPr>
          <w:rStyle w:val="Refdenotaalpie"/>
        </w:rPr>
        <w:footnoteRef/>
      </w:r>
      <w:r>
        <w:t xml:space="preserve"> </w:t>
      </w:r>
      <w:r>
        <w:tab/>
      </w:r>
      <w:r>
        <w:rPr>
          <w:i/>
        </w:rPr>
        <w:t>Cfr.</w:t>
      </w:r>
      <w:r>
        <w:t xml:space="preserve"> Informe estatal de 2 de marzo de 2018. </w:t>
      </w:r>
    </w:p>
  </w:footnote>
  <w:footnote w:id="27">
    <w:p w14:paraId="3647A044" w14:textId="7D878D1E" w:rsidR="003B0831" w:rsidRPr="004151EB" w:rsidRDefault="003B0831" w:rsidP="002463E0">
      <w:pPr>
        <w:pStyle w:val="Textonotapie"/>
        <w:rPr>
          <w:lang w:val="es-ES"/>
        </w:rPr>
      </w:pPr>
      <w:r>
        <w:rPr>
          <w:rStyle w:val="Refdenotaalpie"/>
        </w:rPr>
        <w:footnoteRef/>
      </w:r>
      <w:r>
        <w:t xml:space="preserve"> </w:t>
      </w:r>
      <w:r>
        <w:tab/>
      </w:r>
      <w:r>
        <w:rPr>
          <w:i/>
        </w:rPr>
        <w:t>Cfr.</w:t>
      </w:r>
      <w:r>
        <w:t xml:space="preserve"> Escrito de observaciones de los rep</w:t>
      </w:r>
      <w:r w:rsidR="00E12086">
        <w:t xml:space="preserve">resentantes de las víctimas de </w:t>
      </w:r>
      <w:r w:rsidRPr="002D1F4D">
        <w:t>17 de diciembre de 2019</w:t>
      </w:r>
      <w:r>
        <w:t xml:space="preserve"> y escrito de observaciones de la Comisión Interamericana de 3 de abril de 2020.</w:t>
      </w:r>
    </w:p>
  </w:footnote>
  <w:footnote w:id="28">
    <w:p w14:paraId="05D68603" w14:textId="464C2574" w:rsidR="003B0831" w:rsidRDefault="003B0831" w:rsidP="002463E0">
      <w:pPr>
        <w:pStyle w:val="Textonotapie"/>
      </w:pPr>
      <w:r>
        <w:rPr>
          <w:rStyle w:val="Refdenotaalpie"/>
        </w:rPr>
        <w:footnoteRef/>
      </w:r>
      <w:r>
        <w:t xml:space="preserve"> </w:t>
      </w:r>
      <w:r>
        <w:tab/>
      </w:r>
      <w:r>
        <w:rPr>
          <w:i/>
        </w:rPr>
        <w:t>Cfr.</w:t>
      </w:r>
      <w:r>
        <w:t xml:space="preserve"> Escritos de observaciones de los representantes de 9 de febrero de 2017, </w:t>
      </w:r>
      <w:r w:rsidRPr="00CD3F3A">
        <w:t>23 de mayo 2018</w:t>
      </w:r>
      <w:r>
        <w:t xml:space="preserve"> y escrito firmado por el señor Cirilo Osnayo Tunque de “</w:t>
      </w:r>
      <w:r>
        <w:rPr>
          <w:rFonts w:eastAsiaTheme="minorHAnsi" w:cs="Arial"/>
          <w:lang w:eastAsia="en-US"/>
        </w:rPr>
        <w:t xml:space="preserve">Apersonamiento, solicita diligencias y </w:t>
      </w:r>
      <w:r w:rsidRPr="00E741C0">
        <w:rPr>
          <w:rFonts w:eastAsiaTheme="minorHAnsi" w:cs="Arial"/>
          <w:lang w:eastAsia="en-US"/>
        </w:rPr>
        <w:t>otro</w:t>
      </w:r>
      <w:r w:rsidRPr="002D1F4D">
        <w:rPr>
          <w:rFonts w:eastAsiaTheme="minorHAnsi" w:cs="Arial"/>
          <w:lang w:eastAsia="en-US"/>
        </w:rPr>
        <w:t>s</w:t>
      </w:r>
      <w:r w:rsidRPr="00E741C0">
        <w:rPr>
          <w:rFonts w:eastAsiaTheme="minorHAnsi" w:cs="Arial"/>
          <w:lang w:eastAsia="en-US"/>
        </w:rPr>
        <w:t>”</w:t>
      </w:r>
      <w:r>
        <w:rPr>
          <w:rFonts w:eastAsiaTheme="minorHAnsi" w:cs="Arial"/>
          <w:lang w:eastAsia="en-US"/>
        </w:rPr>
        <w:t xml:space="preserve"> presentado en la carpeta fiscal No. 01-16 (anexo 1 al escrito de observaciones de los representantes de las víctimas de 23 de mayo de 2018). </w:t>
      </w:r>
    </w:p>
  </w:footnote>
  <w:footnote w:id="29">
    <w:p w14:paraId="11DFC67B" w14:textId="57951ABE" w:rsidR="003B0831" w:rsidRPr="004F47DC" w:rsidRDefault="003B0831" w:rsidP="002463E0">
      <w:pPr>
        <w:pStyle w:val="Textonotapie"/>
      </w:pPr>
      <w:r>
        <w:rPr>
          <w:rStyle w:val="Refdenotaalpie"/>
        </w:rPr>
        <w:footnoteRef/>
      </w:r>
      <w:r>
        <w:t xml:space="preserve"> </w:t>
      </w:r>
      <w:r>
        <w:tab/>
      </w:r>
      <w:r>
        <w:rPr>
          <w:i/>
        </w:rPr>
        <w:t>Cfr.</w:t>
      </w:r>
      <w:r>
        <w:t xml:space="preserve"> Escritos presentados por el señor Cirilo Osnayo Tunque de solicitud de diligencias varias en el trámite de la carpeta fiscal No. 01-2016 que fueron recibidos por la Cuarta Fiscalía Supraprovincial de Lima el 14 de abril de 2016, el 27 de septiembre de 2016, el 6 de mayo de 2016 y el 2 de diciembre de 2016, respectivamente (Anexos 1 </w:t>
      </w:r>
      <w:r w:rsidRPr="004F47DC">
        <w:t xml:space="preserve">a 4 </w:t>
      </w:r>
      <w:r w:rsidRPr="004F47DC">
        <w:rPr>
          <w:rFonts w:eastAsiaTheme="minorHAnsi" w:cs="Arial"/>
          <w:lang w:eastAsia="en-US"/>
        </w:rPr>
        <w:t>al escrito de observaciones de los representantes de</w:t>
      </w:r>
      <w:r>
        <w:rPr>
          <w:rFonts w:eastAsiaTheme="minorHAnsi" w:cs="Arial"/>
          <w:lang w:eastAsia="en-US"/>
        </w:rPr>
        <w:t xml:space="preserve"> las víctimas de</w:t>
      </w:r>
      <w:r w:rsidRPr="004F47DC">
        <w:rPr>
          <w:rFonts w:eastAsiaTheme="minorHAnsi" w:cs="Arial"/>
          <w:lang w:eastAsia="en-US"/>
        </w:rPr>
        <w:t xml:space="preserve"> 23 de mayo de 2018</w:t>
      </w:r>
      <w:r w:rsidRPr="004F47DC">
        <w:t xml:space="preserve">). </w:t>
      </w:r>
    </w:p>
  </w:footnote>
  <w:footnote w:id="30">
    <w:p w14:paraId="13F07F8B" w14:textId="151D5440" w:rsidR="003B0831" w:rsidRDefault="003B0831" w:rsidP="007C1753">
      <w:pPr>
        <w:pStyle w:val="Textonotapie"/>
      </w:pPr>
      <w:r>
        <w:rPr>
          <w:rStyle w:val="Refdenotaalpie"/>
        </w:rPr>
        <w:footnoteRef/>
      </w:r>
      <w:r>
        <w:t xml:space="preserve"> </w:t>
      </w:r>
      <w:r>
        <w:tab/>
      </w:r>
      <w:r>
        <w:rPr>
          <w:i/>
        </w:rPr>
        <w:t xml:space="preserve">Cfr. Caso Comunidad Campesina de Santa Bárbara Vs. Perú, supra </w:t>
      </w:r>
      <w:r>
        <w:t xml:space="preserve">nota 1, párr. 132. </w:t>
      </w:r>
    </w:p>
  </w:footnote>
  <w:footnote w:id="31">
    <w:p w14:paraId="359DA9B9" w14:textId="50A734BA" w:rsidR="003B0831" w:rsidRPr="00EF1623" w:rsidRDefault="003B0831">
      <w:pPr>
        <w:pStyle w:val="Textonotapie"/>
        <w:rPr>
          <w:lang w:val="es-ES"/>
        </w:rPr>
      </w:pPr>
      <w:r>
        <w:rPr>
          <w:rStyle w:val="Refdenotaalpie"/>
        </w:rPr>
        <w:footnoteRef/>
      </w:r>
      <w:r>
        <w:t xml:space="preserve"> </w:t>
      </w:r>
      <w:r>
        <w:tab/>
      </w:r>
      <w:r w:rsidRPr="00380A73">
        <w:rPr>
          <w:i/>
          <w:lang w:val="es-ES"/>
        </w:rPr>
        <w:t>Cfr. Caso Mujeres víctimas de tortura sexual en Atenco Vs. México. Excepciones preliminares, fondo, reparaciones y costas.</w:t>
      </w:r>
      <w:r>
        <w:rPr>
          <w:lang w:val="es-ES"/>
        </w:rPr>
        <w:t xml:space="preserve"> Sentencia de 28 de noviembre de 2018. Serie C No. 371, párr. 308. </w:t>
      </w:r>
    </w:p>
  </w:footnote>
  <w:footnote w:id="32">
    <w:p w14:paraId="67A31425" w14:textId="29A322DC" w:rsidR="003B0831" w:rsidRPr="007B2934" w:rsidRDefault="003B0831">
      <w:pPr>
        <w:pStyle w:val="Textonotapie"/>
        <w:rPr>
          <w:lang w:val="es-ES"/>
        </w:rPr>
      </w:pPr>
      <w:r>
        <w:rPr>
          <w:rStyle w:val="Refdenotaalpie"/>
        </w:rPr>
        <w:footnoteRef/>
      </w:r>
      <w:r>
        <w:t xml:space="preserve"> </w:t>
      </w:r>
      <w:r>
        <w:tab/>
      </w:r>
      <w:r>
        <w:rPr>
          <w:i/>
        </w:rPr>
        <w:t xml:space="preserve">Cfr. Caso Comunidad Campesina de Santa Bárbara Vs. Perú, supra </w:t>
      </w:r>
      <w:r>
        <w:t>nota 1</w:t>
      </w:r>
      <w:r>
        <w:rPr>
          <w:i/>
        </w:rPr>
        <w:t xml:space="preserve">, </w:t>
      </w:r>
      <w:r>
        <w:t>párr. 289.</w:t>
      </w:r>
    </w:p>
  </w:footnote>
  <w:footnote w:id="33">
    <w:p w14:paraId="2C0B038B" w14:textId="5BCCF0F0" w:rsidR="003B0831" w:rsidRPr="007E41A9" w:rsidRDefault="003B0831" w:rsidP="00A56188">
      <w:pPr>
        <w:pStyle w:val="Textonotapie"/>
        <w:rPr>
          <w:lang w:val="es-ES"/>
        </w:rPr>
      </w:pPr>
      <w:r w:rsidRPr="004F47DC">
        <w:rPr>
          <w:rStyle w:val="Refdenotaalpie"/>
        </w:rPr>
        <w:footnoteRef/>
      </w:r>
      <w:r w:rsidRPr="004F47DC">
        <w:t xml:space="preserve"> </w:t>
      </w:r>
      <w:r w:rsidRPr="004F47DC">
        <w:tab/>
      </w:r>
      <w:r>
        <w:t>En las condenas que se encuentran firmes fue aplicado el tipo penal de homicidio agravado</w:t>
      </w:r>
      <w:r w:rsidRPr="004F47DC">
        <w:t xml:space="preserve"> </w:t>
      </w:r>
      <w:r>
        <w:t>tipificado en e</w:t>
      </w:r>
      <w:r w:rsidRPr="004F47DC">
        <w:t>l artículo 108 del Código Penal</w:t>
      </w:r>
      <w:r>
        <w:t>, que</w:t>
      </w:r>
      <w:r w:rsidRPr="004F47DC">
        <w:t xml:space="preserve"> </w:t>
      </w:r>
      <w:r>
        <w:t xml:space="preserve">en cuanto a la pena privativa de libertad </w:t>
      </w:r>
      <w:r w:rsidRPr="004F47DC">
        <w:t xml:space="preserve">establece que “[s]erá reprimido con pena privativa de libertad no menor de quince años concurriendo cualquiera de las circunstancias siguientes: 1. Por ferocidad, codicia, lucro o por placer. 2. Para facilitar u ocultar otro delito. 3. Con gran crueldad o alevosía. 4. Por fuego, explosión o cualquier otro medio capaz de poner en peligro la vida </w:t>
      </w:r>
      <w:r>
        <w:t xml:space="preserve">o salud de otras personas”. </w:t>
      </w:r>
      <w:r w:rsidRPr="004F47DC">
        <w:rPr>
          <w:i/>
        </w:rPr>
        <w:t>Cfr.</w:t>
      </w:r>
      <w:r w:rsidRPr="004F47DC">
        <w:t xml:space="preserve"> </w:t>
      </w:r>
      <w:r>
        <w:t xml:space="preserve">Copia de la sentencia de </w:t>
      </w:r>
      <w:r w:rsidRPr="004F47DC">
        <w:t xml:space="preserve">5 de octubre de 2017 emitida por la Sala Penal Nacional de la Corte Superior de Lima (anexo 11 al informe estatal de 2 de marzo de 2018). </w:t>
      </w:r>
      <w:r w:rsidRPr="002B525F">
        <w:t xml:space="preserve">El tipo penal de desaparición </w:t>
      </w:r>
      <w:r w:rsidRPr="00E95F0A">
        <w:t xml:space="preserve">forzada fue tipificado </w:t>
      </w:r>
      <w:r>
        <w:t>en el</w:t>
      </w:r>
      <w:r w:rsidRPr="002B525F">
        <w:t xml:space="preserve"> Código Penal</w:t>
      </w:r>
      <w:r>
        <w:t xml:space="preserve"> en 1991, luego derogado y luego tipificado nuevamente a través del Decreto Ley No. 25592 de 26 de junio de 1992 en el artículo 320 del Código Penal. Además,</w:t>
      </w:r>
      <w:r w:rsidRPr="002B525F">
        <w:t xml:space="preserve"> el</w:t>
      </w:r>
      <w:r>
        <w:rPr>
          <w:b/>
        </w:rPr>
        <w:t xml:space="preserve"> </w:t>
      </w:r>
      <w:r w:rsidRPr="004F47DC">
        <w:t xml:space="preserve">7 de enero de 2017 se </w:t>
      </w:r>
      <w:r>
        <w:t xml:space="preserve">publicó en el Diario Oficial El Peruano una modificación al artículo 320 del Código Penal, el cual, entre otros puntos, amplió la autoría de la desaparición forzada, de manera que el tipo penal actual no se restringe únicamente a funcionarios o servidores públicos. Dicha modificación fue valorada por este Tribunal en la resolución de supervisión de cumplimiento de Sentencia que emitió el 14 de mayo de 2019 en los </w:t>
      </w:r>
      <w:r w:rsidRPr="007522D2">
        <w:rPr>
          <w:i/>
        </w:rPr>
        <w:t>casos Gómez Palomino, Anzualdo Castro, Osorio Rivera y familiares y Tenorio Roca y otros</w:t>
      </w:r>
      <w:r>
        <w:t xml:space="preserve">.  En cuanto a la </w:t>
      </w:r>
      <w:r w:rsidRPr="004F47DC">
        <w:t>“pena privativa de la libertad</w:t>
      </w:r>
      <w:r>
        <w:t>” se establece que será</w:t>
      </w:r>
      <w:r w:rsidRPr="004F47DC">
        <w:t xml:space="preserve"> </w:t>
      </w:r>
      <w:r>
        <w:t>“</w:t>
      </w:r>
      <w:r w:rsidRPr="004F47DC">
        <w:t xml:space="preserve">no menor de quince ni mayor de treinta años […y] no menor de treinta </w:t>
      </w:r>
      <w:r>
        <w:t>ni mayor de treinta y cinco años</w:t>
      </w:r>
      <w:r w:rsidRPr="004F47DC">
        <w:t xml:space="preserve"> […], cuando la víctima: a) Tiene menos de dieciocho años o es mayor de sesenta años de edad. b) Padece de cualquier tipo de discapacidad. c) Se e</w:t>
      </w:r>
      <w:r>
        <w:t>ncuentra en estado de gestación”</w:t>
      </w:r>
      <w:r w:rsidRPr="004F47DC">
        <w:t xml:space="preserve">. </w:t>
      </w:r>
      <w:r w:rsidRPr="004F47DC">
        <w:rPr>
          <w:i/>
        </w:rPr>
        <w:t>Cfr.</w:t>
      </w:r>
      <w:r w:rsidRPr="004F47DC">
        <w:t xml:space="preserve"> Informe estatal de 2 de marzo de 2018. </w:t>
      </w:r>
    </w:p>
  </w:footnote>
  <w:footnote w:id="34">
    <w:p w14:paraId="2D7AD59B" w14:textId="2B064EC4" w:rsidR="003B0831" w:rsidRDefault="003B0831">
      <w:pPr>
        <w:pStyle w:val="Textonotapie"/>
      </w:pPr>
      <w:r>
        <w:rPr>
          <w:rStyle w:val="Refdenotaalpie"/>
        </w:rPr>
        <w:footnoteRef/>
      </w:r>
      <w:r>
        <w:t xml:space="preserve"> </w:t>
      </w:r>
      <w:r>
        <w:tab/>
      </w:r>
      <w:r>
        <w:rPr>
          <w:i/>
        </w:rPr>
        <w:t xml:space="preserve">Cfr. Caso Comunidad Campesina de Santa Bárbara Vs. </w:t>
      </w:r>
      <w:r w:rsidRPr="00E87D8F">
        <w:rPr>
          <w:i/>
        </w:rPr>
        <w:t>Perú, supra</w:t>
      </w:r>
      <w:r w:rsidRPr="00E87D8F">
        <w:t xml:space="preserve"> nota 4, Considerando</w:t>
      </w:r>
      <w:r>
        <w:t xml:space="preserve"> 20. </w:t>
      </w:r>
    </w:p>
  </w:footnote>
  <w:footnote w:id="35">
    <w:p w14:paraId="5C617153" w14:textId="493D7C7E" w:rsidR="003B0831" w:rsidRDefault="003B0831">
      <w:pPr>
        <w:pStyle w:val="Textonotapie"/>
        <w:snapToGrid w:val="0"/>
        <w:rPr>
          <w:lang w:val="es-ES"/>
        </w:rPr>
      </w:pPr>
      <w:r>
        <w:rPr>
          <w:rStyle w:val="Refdenotaalpie"/>
        </w:rPr>
        <w:footnoteRef/>
      </w:r>
      <w:r>
        <w:t xml:space="preserve"> </w:t>
      </w:r>
      <w:r>
        <w:rPr>
          <w:lang w:val="es-ES"/>
        </w:rPr>
        <w:tab/>
      </w:r>
      <w:r>
        <w:rPr>
          <w:i/>
        </w:rPr>
        <w:t xml:space="preserve">Cfr. </w:t>
      </w:r>
      <w:r w:rsidRPr="000677A1">
        <w:rPr>
          <w:i/>
          <w:lang w:val="es-ES"/>
        </w:rPr>
        <w:t>Inter alia,</w:t>
      </w:r>
      <w:r>
        <w:rPr>
          <w:lang w:val="es-ES"/>
        </w:rPr>
        <w:t xml:space="preserve"> </w:t>
      </w:r>
      <w:r>
        <w:rPr>
          <w:i/>
          <w:iCs/>
        </w:rPr>
        <w:t xml:space="preserve">Caso Goiburú y otros Vs. Paraguay. Fondo, Reparaciones y Costas. </w:t>
      </w:r>
      <w:r>
        <w:t>Sentencia de 22 de septiembre</w:t>
      </w:r>
      <w:r>
        <w:rPr>
          <w:lang w:val="es-ES"/>
        </w:rPr>
        <w:t xml:space="preserve"> </w:t>
      </w:r>
      <w:r>
        <w:t>de 2006. Serie C No. 153, párr. 92</w:t>
      </w:r>
      <w:r>
        <w:rPr>
          <w:lang w:val="es-ES"/>
        </w:rPr>
        <w:t xml:space="preserve">; </w:t>
      </w:r>
      <w:r>
        <w:rPr>
          <w:i/>
          <w:iCs/>
          <w:lang w:val="es-ES"/>
        </w:rPr>
        <w:t>Caso de las Comunidades afrodescendientes desplazadas de la Cuenca del Río Cacarica (Operación Génesis) Vs. Colombia. Excepciones preliminares, fondo, reparaciones y costas.</w:t>
      </w:r>
      <w:r>
        <w:rPr>
          <w:lang w:val="es-ES"/>
        </w:rPr>
        <w:t xml:space="preserve"> Sentencia de 20 de noviembre de 2013, Serie C No. 270, párr. 379; </w:t>
      </w:r>
      <w:r>
        <w:rPr>
          <w:i/>
          <w:iCs/>
        </w:rPr>
        <w:t>Caso Vereda La Esperanza Vs. Colombia. Excepciones Preliminares, Fondo, Reparaciones y Costas.</w:t>
      </w:r>
      <w:r>
        <w:rPr>
          <w:i/>
          <w:iCs/>
          <w:lang w:val="es-ES"/>
        </w:rPr>
        <w:t xml:space="preserve"> </w:t>
      </w:r>
      <w:r>
        <w:t>Sentencia de 31 de agosto de 2017. Serie C No. 341, párr. 207</w:t>
      </w:r>
      <w:r>
        <w:rPr>
          <w:lang w:val="es-ES"/>
        </w:rPr>
        <w:t xml:space="preserve">, y </w:t>
      </w:r>
      <w:r>
        <w:rPr>
          <w:i/>
        </w:rPr>
        <w:t>Caso Gelman Vs. Uruguay. Supervisión de Cumplimiento de Sentencia.</w:t>
      </w:r>
      <w:r>
        <w:rPr>
          <w:iCs/>
        </w:rPr>
        <w:t xml:space="preserve"> </w:t>
      </w:r>
      <w:r>
        <w:t>Resolución de la Corte Interamericana de Derechos Humanos de 19 de noviembre de 2020, Considerando 1</w:t>
      </w:r>
      <w:r>
        <w:rPr>
          <w:lang w:val="es-ES"/>
        </w:rPr>
        <w:t>5.</w:t>
      </w:r>
    </w:p>
  </w:footnote>
  <w:footnote w:id="36">
    <w:p w14:paraId="5286EE0E" w14:textId="1CA0A33E" w:rsidR="003B0831" w:rsidRDefault="003B0831" w:rsidP="0066221A">
      <w:pPr>
        <w:pStyle w:val="Textonotapie"/>
      </w:pPr>
      <w:r>
        <w:rPr>
          <w:rStyle w:val="Refdenotaalpie"/>
        </w:rPr>
        <w:footnoteRef/>
      </w:r>
      <w:r>
        <w:t xml:space="preserve"> </w:t>
      </w:r>
      <w:r>
        <w:tab/>
      </w:r>
      <w:r>
        <w:rPr>
          <w:i/>
        </w:rPr>
        <w:t>Cfr. inter alia, Caso Velásquez Rodríguez Vs. Honduras. Fondo.</w:t>
      </w:r>
      <w:r>
        <w:t xml:space="preserve"> Sentencia de 29 de julio de 1988. Serie C No. 4, párrs. 155 a 157; </w:t>
      </w:r>
      <w:r>
        <w:rPr>
          <w:i/>
        </w:rPr>
        <w:t>Caso Gelman Vs. Uruguay</w:t>
      </w:r>
      <w:r>
        <w:t xml:space="preserve">. </w:t>
      </w:r>
      <w:r w:rsidRPr="000677A1">
        <w:rPr>
          <w:i/>
        </w:rPr>
        <w:t>Fondo y reparaciones</w:t>
      </w:r>
      <w:r>
        <w:t xml:space="preserve">. Sentencia de 24 de febrero de 2011. Serie C No. 221, párr. 73; </w:t>
      </w:r>
      <w:r>
        <w:rPr>
          <w:i/>
        </w:rPr>
        <w:t xml:space="preserve">Caso Gelman Vs. Uruguay, supra </w:t>
      </w:r>
      <w:r w:rsidRPr="000677A1">
        <w:t>nota 34,</w:t>
      </w:r>
      <w:r>
        <w:rPr>
          <w:i/>
        </w:rPr>
        <w:t xml:space="preserve"> </w:t>
      </w:r>
      <w:r>
        <w:t xml:space="preserve">Considerando 99, y </w:t>
      </w:r>
      <w:r>
        <w:rPr>
          <w:i/>
        </w:rPr>
        <w:t>Caso Alvarado Espinoza y otros Vs. México. Fondo, Reparaciones y Costas</w:t>
      </w:r>
      <w:r>
        <w:t>. Sentencia de 28 de noviembre de 2018. Serie C No. 370, párr. 165.</w:t>
      </w:r>
    </w:p>
  </w:footnote>
  <w:footnote w:id="37">
    <w:p w14:paraId="1CD815FB" w14:textId="2C9B7837" w:rsidR="003B0831" w:rsidRDefault="003B0831">
      <w:pPr>
        <w:pStyle w:val="Textonotapie"/>
      </w:pPr>
      <w:r>
        <w:rPr>
          <w:rStyle w:val="Refdenotaalpie"/>
        </w:rPr>
        <w:footnoteRef/>
      </w:r>
      <w:r>
        <w:t xml:space="preserve"> </w:t>
      </w:r>
      <w:r>
        <w:tab/>
      </w:r>
      <w:r w:rsidRPr="00540882">
        <w:rPr>
          <w:i/>
        </w:rPr>
        <w:t>Cfr.</w:t>
      </w:r>
      <w:r w:rsidRPr="00540882">
        <w:t xml:space="preserve"> </w:t>
      </w:r>
      <w:r w:rsidRPr="00540882">
        <w:rPr>
          <w:i/>
        </w:rPr>
        <w:t>Caso Blake Vs. Guatemala. Excepciones Preliminares.</w:t>
      </w:r>
      <w:r w:rsidRPr="00540882">
        <w:t xml:space="preserve"> Sentencia de 2 de julio de 1996. Serie C No. 27, párrs. 39 y 40; </w:t>
      </w:r>
      <w:r w:rsidRPr="00540882">
        <w:rPr>
          <w:i/>
        </w:rPr>
        <w:t>Caso Tiu Tojín Vs. Guatemala. Fondo, Reparaciones y Costas.</w:t>
      </w:r>
      <w:r w:rsidRPr="00540882">
        <w:t xml:space="preserve"> Sentencia de 26 de noviembre de 2008. Serie C No. 190, párr. 87; </w:t>
      </w:r>
      <w:r w:rsidRPr="00540882">
        <w:rPr>
          <w:i/>
        </w:rPr>
        <w:t>Caso González Medina y familiares Vs. República Dominicana. Excepciones Preliminares, Fondo, Reparaciones y Costas.</w:t>
      </w:r>
      <w:r w:rsidRPr="00540882">
        <w:t xml:space="preserve"> Sentencia de 27 de febrero de 2012, Serie C No. 240, párr. 48</w:t>
      </w:r>
      <w:r w:rsidRPr="008B55F4">
        <w:t xml:space="preserve">; </w:t>
      </w:r>
      <w:r w:rsidRPr="008B55F4">
        <w:rPr>
          <w:i/>
        </w:rPr>
        <w:t xml:space="preserve">Caso Trujillo Oroza Vs. Bolivia. Supervisión de Cumplimiento de Sentencia. </w:t>
      </w:r>
      <w:r w:rsidRPr="008B55F4">
        <w:t xml:space="preserve">Resolución de la Corte Interamericana de 16 de noviembre de 2009, Considerando 38, y </w:t>
      </w:r>
      <w:r w:rsidRPr="008B55F4">
        <w:rPr>
          <w:i/>
        </w:rPr>
        <w:t>Caso Gelman Vs. Uruguay</w:t>
      </w:r>
      <w:r w:rsidRPr="008B55F4">
        <w:t>. Supervisión de cumplimiento de sentencia. Resolución de la Corte Interamericana de 20 de marzo de 2013, Considerandos 99 a 101.</w:t>
      </w:r>
    </w:p>
  </w:footnote>
  <w:footnote w:id="38">
    <w:p w14:paraId="62FA789B" w14:textId="19EDACF8" w:rsidR="003B0831" w:rsidRPr="005A053E" w:rsidRDefault="003B0831">
      <w:pPr>
        <w:pStyle w:val="Textonotapie"/>
        <w:rPr>
          <w:lang w:val="es-ES"/>
        </w:rPr>
      </w:pPr>
      <w:r>
        <w:rPr>
          <w:rStyle w:val="Refdenotaalpie"/>
        </w:rPr>
        <w:footnoteRef/>
      </w:r>
      <w:r>
        <w:t xml:space="preserve"> </w:t>
      </w:r>
      <w:r>
        <w:tab/>
      </w:r>
      <w:r>
        <w:rPr>
          <w:i/>
        </w:rPr>
        <w:t xml:space="preserve">Cfr. Caso Comunidad Campesina de Santa Bárbara Vs. Perú, supra </w:t>
      </w:r>
      <w:r>
        <w:t>nota 1</w:t>
      </w:r>
      <w:r>
        <w:rPr>
          <w:i/>
        </w:rPr>
        <w:t xml:space="preserve">, </w:t>
      </w:r>
      <w:r>
        <w:t>párr. 293.</w:t>
      </w:r>
    </w:p>
  </w:footnote>
  <w:footnote w:id="39">
    <w:p w14:paraId="2FC8C01D" w14:textId="73389CB8" w:rsidR="003B0831" w:rsidRDefault="003B0831" w:rsidP="00D97B45">
      <w:pPr>
        <w:pStyle w:val="Textonotapie"/>
        <w:rPr>
          <w:lang w:val="es-MX"/>
        </w:rPr>
      </w:pPr>
      <w:r>
        <w:rPr>
          <w:rStyle w:val="Refdenotaalpie"/>
        </w:rPr>
        <w:footnoteRef/>
      </w:r>
      <w:r>
        <w:t xml:space="preserve"> </w:t>
      </w:r>
      <w:r>
        <w:tab/>
      </w:r>
      <w:r>
        <w:rPr>
          <w:i/>
        </w:rPr>
        <w:t xml:space="preserve">Cfr. Caso Radilla Pacheco Vs. México. Supervisión de Cumplimiento de Sentencia. </w:t>
      </w:r>
      <w:r>
        <w:t>Resolución de la Corte Interamericana de Derechos Humanos de 14 de mayo de 2013, Considerando 17</w:t>
      </w:r>
      <w:r>
        <w:rPr>
          <w:i/>
        </w:rPr>
        <w:t xml:space="preserve">, </w:t>
      </w:r>
      <w:r>
        <w:t>y</w:t>
      </w:r>
      <w:r>
        <w:rPr>
          <w:i/>
        </w:rPr>
        <w:t xml:space="preserve"> Caso Ibsen Cárdenas e Ibsen Peña Vs. Bolivia. Supervisión de Cumplimiento de Sentencia</w:t>
      </w:r>
      <w:r>
        <w:t xml:space="preserve">. Resolución de la Corte Interamericana de Derechos Humanos de 14 de mayo de 2013, Considerando 17. </w:t>
      </w:r>
    </w:p>
  </w:footnote>
  <w:footnote w:id="40">
    <w:p w14:paraId="437EE137" w14:textId="18FC0172" w:rsidR="003B0831" w:rsidRPr="00E306DE" w:rsidRDefault="003B0831" w:rsidP="00D97B45">
      <w:pPr>
        <w:pStyle w:val="Textonotapie"/>
        <w:rPr>
          <w:color w:val="00B050"/>
          <w:lang w:val="es-ES"/>
        </w:rPr>
      </w:pPr>
      <w:r>
        <w:rPr>
          <w:rStyle w:val="Refdenotaalpie"/>
        </w:rPr>
        <w:footnoteRef/>
      </w:r>
      <w:r>
        <w:t xml:space="preserve"> </w:t>
      </w:r>
      <w:r>
        <w:tab/>
      </w:r>
      <w:r w:rsidRPr="00975063">
        <w:rPr>
          <w:i/>
          <w:lang w:val="es-ES"/>
        </w:rPr>
        <w:t>Cfr</w:t>
      </w:r>
      <w:r>
        <w:rPr>
          <w:lang w:val="es-ES"/>
        </w:rPr>
        <w:t xml:space="preserve">. </w:t>
      </w:r>
      <w:r w:rsidRPr="008B2F69">
        <w:rPr>
          <w:lang w:val="es-ES"/>
        </w:rPr>
        <w:t>ONU. Consejo de Derechos Humanos, Informe del Grupo de Trabajo sobre las Desapariciones Forzadas o</w:t>
      </w:r>
      <w:r>
        <w:rPr>
          <w:lang w:val="es-ES"/>
        </w:rPr>
        <w:t xml:space="preserve"> Involuntarias, </w:t>
      </w:r>
      <w:r w:rsidRPr="00E306DE">
        <w:rPr>
          <w:i/>
          <w:lang w:val="es-ES"/>
        </w:rPr>
        <w:t>Comentario General sobre el derecho a la verdad en relación a las desapariciones forzadas</w:t>
      </w:r>
      <w:r>
        <w:rPr>
          <w:lang w:val="es-ES"/>
        </w:rPr>
        <w:t xml:space="preserve">, </w:t>
      </w:r>
      <w:r w:rsidRPr="00975063">
        <w:rPr>
          <w:lang w:val="es-ES"/>
        </w:rPr>
        <w:t>A/HRC/16/48</w:t>
      </w:r>
      <w:r>
        <w:rPr>
          <w:lang w:val="es-ES"/>
        </w:rPr>
        <w:t xml:space="preserve"> de 26 de enero de </w:t>
      </w:r>
      <w:r w:rsidRPr="00975063">
        <w:rPr>
          <w:lang w:val="es-ES"/>
        </w:rPr>
        <w:t>2011</w:t>
      </w:r>
      <w:r>
        <w:rPr>
          <w:lang w:val="es-ES"/>
        </w:rPr>
        <w:t xml:space="preserve">, párr. 5. Disponible en: </w:t>
      </w:r>
      <w:hyperlink r:id="rId2" w:history="1">
        <w:r w:rsidRPr="0047135B">
          <w:rPr>
            <w:rStyle w:val="Hipervnculo"/>
            <w:lang w:val="es-ES"/>
          </w:rPr>
          <w:t>https://www.acnur.org/fileadmin/Documentos/BDL/2011/7583.pdf</w:t>
        </w:r>
      </w:hyperlink>
      <w:r>
        <w:rPr>
          <w:lang w:val="es-ES"/>
        </w:rPr>
        <w:t xml:space="preserve">. </w:t>
      </w:r>
    </w:p>
  </w:footnote>
  <w:footnote w:id="41">
    <w:p w14:paraId="105405CB" w14:textId="23BC448D" w:rsidR="003B0831" w:rsidRPr="004A1AC3" w:rsidRDefault="003B0831" w:rsidP="00EF3A31">
      <w:pPr>
        <w:pStyle w:val="Textonotapie"/>
      </w:pPr>
      <w:r w:rsidRPr="004A1AC3">
        <w:rPr>
          <w:rStyle w:val="Refdenotaalpie"/>
        </w:rPr>
        <w:footnoteRef/>
      </w:r>
      <w:r w:rsidRPr="004A1AC3">
        <w:t xml:space="preserve"> </w:t>
      </w:r>
      <w:r w:rsidRPr="004A1AC3">
        <w:tab/>
        <w:t>Según lo informado por el Estado, entre los meses de junio y de septiembre de 2016, representantes de la Fiscalía Adjunta Supraprovincial de Huancavelica, junto a personal de arqueología forense del Equipo Forense Especializado del Instituto de Medicina Legal y Ciencias Forenses del Ministerio Público (en adelante “EFE” o “Equipo Forense Especializado”) y familiares de las víctimas desaparecidas (los señores Marcelo Hilario Quispe y Zenón Cirilo Osnayo Tunque), realizaron el reconocimiento y verificación del luga</w:t>
      </w:r>
      <w:r>
        <w:t>r donde está emplazada la mina ‘</w:t>
      </w:r>
      <w:r w:rsidRPr="004A1AC3">
        <w:t>Misteriosa</w:t>
      </w:r>
      <w:r>
        <w:t>’</w:t>
      </w:r>
      <w:r w:rsidRPr="004A1AC3">
        <w:t>. Allí recuperaron fragmentos de restos óseos y textiles, entre otros, que fueron almacenados en</w:t>
      </w:r>
      <w:r w:rsidRPr="004A1AC3">
        <w:rPr>
          <w:rFonts w:eastAsiaTheme="minorHAnsi"/>
          <w:lang w:eastAsia="en-US"/>
        </w:rPr>
        <w:t xml:space="preserve"> el Laboratorio de Investigaciones Forenses de Ayacucho</w:t>
      </w:r>
      <w:r w:rsidRPr="004A1AC3">
        <w:t xml:space="preserve">. </w:t>
      </w:r>
      <w:r w:rsidRPr="00967153">
        <w:t xml:space="preserve">El Estado informó que la intervención de dicha Fiscalía, con sede en la ciudad de Ayacucho, fue solicitada por la Cuarta Fiscalía Supraprovincial Penal, ante la cual se tramita la Carpeta 01-16, en vía de reciprocidad, “por razón de ubicación, conocedores de la zona, además de haber tenido a su cargo el proceso de investigación preliminar que dio origen al proceso penal, así como [teniendo en cuenta] el tiempo que resultar[í]a el traslado [del personal de la Cuarta Fiscalía] desde la Ciudad Capital de Lima al citado escenario de los cr[í]menes”. </w:t>
      </w:r>
      <w:r>
        <w:rPr>
          <w:i/>
        </w:rPr>
        <w:t>Cfr.</w:t>
      </w:r>
      <w:r>
        <w:t xml:space="preserve"> Copia simple del Acta de diligencia de recuperación de restos óseos humanos y elementos asociados de 7 de setiembre de 2016 (anexo 5 al informe estatal de 16 de noviembre de 2016),</w:t>
      </w:r>
      <w:r>
        <w:rPr>
          <w:b/>
        </w:rPr>
        <w:t xml:space="preserve"> </w:t>
      </w:r>
      <w:r>
        <w:t xml:space="preserve">Copia del Informe Nº003-2017-4-FPSPRA emitido por el Fiscal Provincial Titular de la Cuarta Fiscalía Penal Supraprovincial de fecha 25 de mayo de 2017 (anexo 4 al informe estatal de 2 de marzo de 2018), </w:t>
      </w:r>
      <w:r w:rsidRPr="003D7005">
        <w:t>y co</w:t>
      </w:r>
      <w:r>
        <w:t xml:space="preserve">pia del Acta Fiscal Diligencia de Inspección Arqueológica Forense de 02 de junio de 2016 (anexo 12 al informe estatal de 2 de marzo de 2018). </w:t>
      </w:r>
      <w:r>
        <w:rPr>
          <w:i/>
        </w:rPr>
        <w:t>Cfr.</w:t>
      </w:r>
      <w:r>
        <w:t xml:space="preserve"> Copia del Informe N° 001-2016-4°FPPSL, “</w:t>
      </w:r>
      <w:r w:rsidRPr="00AD1728">
        <w:t>Informe sobre plan y estrategia [de] investigación en caso Comunidad Campesina Santa Bárbara vs. Perú</w:t>
      </w:r>
      <w:r>
        <w:t xml:space="preserve">” de 18 de abril de 2016, Copia de la Disposición Fiscal Nº 02 de 18 de abril de 2016 y de la Disposición N° 06 de 20 de mayo de 2016, emitidas por la Cuarta Fiscalía Provincial Penal de Lima (anexos 15, 16 y 20 al informe estatal de 2 de marzo de 2018).  </w:t>
      </w:r>
    </w:p>
  </w:footnote>
  <w:footnote w:id="42">
    <w:p w14:paraId="04DB8A6C" w14:textId="54B7CB99" w:rsidR="003B0831" w:rsidRPr="00967153" w:rsidRDefault="003B0831" w:rsidP="00967153">
      <w:pPr>
        <w:autoSpaceDE w:val="0"/>
        <w:autoSpaceDN w:val="0"/>
        <w:adjustRightInd w:val="0"/>
        <w:spacing w:after="0" w:line="240" w:lineRule="auto"/>
        <w:jc w:val="both"/>
        <w:rPr>
          <w:rFonts w:ascii="Verdana" w:hAnsi="Verdana"/>
          <w:sz w:val="16"/>
          <w:szCs w:val="16"/>
        </w:rPr>
      </w:pPr>
      <w:r w:rsidRPr="00967153">
        <w:rPr>
          <w:rStyle w:val="Refdenotaalpie"/>
          <w:rFonts w:ascii="Verdana" w:hAnsi="Verdana"/>
          <w:sz w:val="16"/>
          <w:szCs w:val="16"/>
        </w:rPr>
        <w:footnoteRef/>
      </w:r>
      <w:r w:rsidRPr="00967153">
        <w:rPr>
          <w:rFonts w:ascii="Verdana" w:hAnsi="Verdana"/>
          <w:sz w:val="16"/>
          <w:szCs w:val="16"/>
        </w:rPr>
        <w:t xml:space="preserve"> </w:t>
      </w:r>
      <w:r w:rsidRPr="00967153">
        <w:rPr>
          <w:rFonts w:ascii="Verdana" w:hAnsi="Verdana"/>
          <w:sz w:val="16"/>
          <w:szCs w:val="16"/>
        </w:rPr>
        <w:tab/>
      </w:r>
      <w:r>
        <w:rPr>
          <w:rFonts w:ascii="Verdana" w:hAnsi="Verdana"/>
          <w:i/>
          <w:sz w:val="16"/>
        </w:rPr>
        <w:t>Cfr</w:t>
      </w:r>
      <w:r>
        <w:rPr>
          <w:rFonts w:ascii="Verdana" w:hAnsi="Verdana"/>
          <w:sz w:val="16"/>
        </w:rPr>
        <w:t xml:space="preserve">. Copia simple del Acta de diligencia de verificación y constatación del 6 de octubre de 2016 (anexo 6 al informe estatal de 16 de noviembre de 2016). </w:t>
      </w:r>
      <w:r w:rsidRPr="00967153">
        <w:rPr>
          <w:rFonts w:ascii="Verdana" w:hAnsi="Verdana"/>
          <w:sz w:val="16"/>
          <w:szCs w:val="16"/>
        </w:rPr>
        <w:t>Se indica que ello se efectuó en ese lugar debido a información brindada por uno de los imputado</w:t>
      </w:r>
      <w:r>
        <w:rPr>
          <w:rFonts w:ascii="Verdana" w:hAnsi="Verdana"/>
          <w:sz w:val="16"/>
          <w:szCs w:val="16"/>
        </w:rPr>
        <w:t xml:space="preserve">s, </w:t>
      </w:r>
      <w:r w:rsidRPr="00967153">
        <w:rPr>
          <w:rFonts w:ascii="Verdana" w:hAnsi="Verdana"/>
          <w:sz w:val="16"/>
          <w:szCs w:val="16"/>
        </w:rPr>
        <w:t>sin obtener resultados positivos.</w:t>
      </w:r>
    </w:p>
  </w:footnote>
  <w:footnote w:id="43">
    <w:p w14:paraId="7AF66C31" w14:textId="3919DD6B" w:rsidR="003B0831" w:rsidRDefault="003B0831" w:rsidP="00907ADD">
      <w:pPr>
        <w:pStyle w:val="Textonotapie"/>
      </w:pPr>
      <w:r>
        <w:rPr>
          <w:rStyle w:val="Refdenotaalpie"/>
        </w:rPr>
        <w:footnoteRef/>
      </w:r>
      <w:r>
        <w:t xml:space="preserve"> </w:t>
      </w:r>
      <w:r>
        <w:tab/>
      </w:r>
      <w:r>
        <w:rPr>
          <w:i/>
        </w:rPr>
        <w:t>Cfr.</w:t>
      </w:r>
      <w:r>
        <w:t xml:space="preserve"> Informe Nº 010-2020/DGBPD-DRIF de 18 de setiembre de 2020 emitido por la Dirección de Atención y Acompañamiento y Registro e Investigación Forense de la Dirección General de Búsqueda de Personas Desaparecidas (anexo 12 al informe estatal de 1 de febrero de 2021). </w:t>
      </w:r>
    </w:p>
  </w:footnote>
  <w:footnote w:id="44">
    <w:p w14:paraId="3A2ABFD8" w14:textId="211A9FCD" w:rsidR="003B0831" w:rsidRPr="00441922" w:rsidRDefault="003B0831">
      <w:pPr>
        <w:pStyle w:val="Textonotapie"/>
      </w:pPr>
      <w:r>
        <w:rPr>
          <w:rStyle w:val="Refdenotaalpie"/>
        </w:rPr>
        <w:footnoteRef/>
      </w:r>
      <w:r>
        <w:t xml:space="preserve"> </w:t>
      </w:r>
      <w:r>
        <w:tab/>
      </w:r>
      <w:r>
        <w:rPr>
          <w:i/>
        </w:rPr>
        <w:t>Cfr.</w:t>
      </w:r>
      <w:r>
        <w:t xml:space="preserve"> “Informe pericial conjunto Nº 13-2017”, realizado por una odontóloga forense, un antropólogo forense y un fotógrafo del Equipo Forense Especializado. En el mismo se indica que el “lugar de análisis” fue el Laboratorio de Investigaciones Forenses de Ayacucho, y que “la fecha de inicio y fin del análisis” fue “lunes 13 [a] </w:t>
      </w:r>
      <w:r w:rsidRPr="00441922">
        <w:t>miércoles 22 de febrero de 2017</w:t>
      </w:r>
      <w:r>
        <w:t xml:space="preserve">. </w:t>
      </w:r>
      <w:r>
        <w:rPr>
          <w:i/>
        </w:rPr>
        <w:t>Cfr.</w:t>
      </w:r>
      <w:r>
        <w:t xml:space="preserve"> Copia del Informe Nº101-2017-MP-IML-EFE-LIFA/JTA</w:t>
      </w:r>
      <w:r w:rsidRPr="003D7005">
        <w:t xml:space="preserve"> </w:t>
      </w:r>
      <w:r>
        <w:t>de 02 de junio de 2017, firmado por el coordinador del Laboratorio de Investigaciones Forenses de Ayacucho</w:t>
      </w:r>
      <w:r w:rsidRPr="00441922">
        <w:t xml:space="preserve"> (anexo 32 al informe estatal de 2 de marzo de 2018). </w:t>
      </w:r>
    </w:p>
  </w:footnote>
  <w:footnote w:id="45">
    <w:p w14:paraId="1A1EF4EE" w14:textId="593B2A83" w:rsidR="003B0831" w:rsidRDefault="003B0831" w:rsidP="005608D1">
      <w:pPr>
        <w:pStyle w:val="Textonotapie"/>
      </w:pPr>
      <w:r w:rsidRPr="00441922">
        <w:rPr>
          <w:rStyle w:val="Refdenotaalpie"/>
        </w:rPr>
        <w:footnoteRef/>
      </w:r>
      <w:r w:rsidRPr="00441922">
        <w:t xml:space="preserve"> </w:t>
      </w:r>
      <w:r w:rsidRPr="00441922">
        <w:tab/>
      </w:r>
      <w:r>
        <w:t xml:space="preserve">También se explica en el informe forense que, en el supuesto de avanzar con “procedimientos biomoleculares de ADN” a los fines de identificación, “primero […,] dado el pequeño tamaño de los restos óseos, es probable que se tenga poco o nada de tejido óseo al finalizar la muestra y segundo, según el estado de conservación del hueso, es probable que no se puedan obtener perfiles completos para conciliar con información de ADN de la muestra de sangre de un familiar”. </w:t>
      </w:r>
      <w:r>
        <w:rPr>
          <w:i/>
        </w:rPr>
        <w:t xml:space="preserve">Cfr. </w:t>
      </w:r>
      <w:r>
        <w:t>Copia del Informe Nº101-2017-MP-IML-EFE-LIFA/JTA</w:t>
      </w:r>
      <w:r w:rsidRPr="003D7005">
        <w:t xml:space="preserve"> </w:t>
      </w:r>
      <w:r>
        <w:t>de 02 de junio de 2017, firmado por el coordinador del Laboratorio de Investigaciones Forenses de Ayacucho (anexo 32 al informe estatal de 2 de marzo de 2018) e informe estatal de 25 de octubre de 2019.</w:t>
      </w:r>
    </w:p>
  </w:footnote>
  <w:footnote w:id="46">
    <w:p w14:paraId="478CD79F" w14:textId="1D40A569" w:rsidR="003B0831" w:rsidRPr="00EE3E46" w:rsidRDefault="003B0831">
      <w:pPr>
        <w:pStyle w:val="Textonotapie"/>
      </w:pPr>
      <w:r w:rsidRPr="00EE3E46">
        <w:rPr>
          <w:rStyle w:val="Refdenotaalpie"/>
        </w:rPr>
        <w:footnoteRef/>
      </w:r>
      <w:r w:rsidRPr="00EE3E46">
        <w:t xml:space="preserve"> </w:t>
      </w:r>
      <w:r w:rsidRPr="00EE3E46">
        <w:tab/>
        <w:t xml:space="preserve">El 28 de junio de 2017 fue celebrada una reunión entre autoridades de la Cuarta Fiscalía Supraprovincial y del Equipo Forense Especializado, familiares de las víctimas y uno de sus representantes legales. En dicha oportunidad, las autoridades estatales “explicar[on] la metodología empleada […,] las conclusiones y recomendaciones del informe pericial”. </w:t>
      </w:r>
      <w:r w:rsidRPr="00EE3E46">
        <w:rPr>
          <w:i/>
          <w:lang w:val="es-MX"/>
        </w:rPr>
        <w:t>Cfr.</w:t>
      </w:r>
      <w:r w:rsidRPr="00EE3E46">
        <w:rPr>
          <w:lang w:val="es-MX"/>
        </w:rPr>
        <w:t xml:space="preserve"> Acta fiscal de 28 de junio de 2017 (anexo 5 a</w:t>
      </w:r>
      <w:r w:rsidR="00CE21A9">
        <w:rPr>
          <w:lang w:val="es-MX"/>
        </w:rPr>
        <w:t>l escrito de observaciones de lo</w:t>
      </w:r>
      <w:r w:rsidRPr="00EE3E46">
        <w:rPr>
          <w:lang w:val="es-MX"/>
        </w:rPr>
        <w:t xml:space="preserve">s representantes de </w:t>
      </w:r>
      <w:r>
        <w:rPr>
          <w:lang w:val="es-MX"/>
        </w:rPr>
        <w:t xml:space="preserve">las víctimas de </w:t>
      </w:r>
      <w:r w:rsidRPr="00EE3E46">
        <w:rPr>
          <w:lang w:val="es-MX"/>
        </w:rPr>
        <w:t>23 de mayo de 2018).</w:t>
      </w:r>
    </w:p>
  </w:footnote>
  <w:footnote w:id="47">
    <w:p w14:paraId="784BBB60" w14:textId="2B8B7987" w:rsidR="003B0831" w:rsidRDefault="003B0831" w:rsidP="00F17FC4">
      <w:pPr>
        <w:pStyle w:val="Textonotapie"/>
      </w:pPr>
      <w:r>
        <w:rPr>
          <w:rStyle w:val="Refdenotaalpie"/>
        </w:rPr>
        <w:footnoteRef/>
      </w:r>
      <w:r>
        <w:t xml:space="preserve"> </w:t>
      </w:r>
      <w:r>
        <w:tab/>
        <w:t>El Estado aportó un informe, confeccionado por la Dirección General de Búsqueda de Personas Desaparecidas del Ministerio de Justicia y Derechos Humanos, en el que se detalla que en la referida ceremonia, en la que participaron autoridades de la localidad de Huancavelica, representantes de la “Comisión Multisectorial de Alto Nivel encargada del seguimiento de las Acciones y Políticas del Estado en los ámbitos de la Paz, la Reparación Colectiva y la Reconciliación Nacional (CMAN)” del Ministerio de Justicia y Derechos Humanos y del Ministerio Público, se contó con acompañamiento psicosocial para los familiares, se trasladaron quince ataúdes “para restitución”, se realizó un velorio en el local comunal de Santa Bárbara y, finalmente, se efectuó un entierro en el cementerio de Huancav</w:t>
      </w:r>
      <w:r w:rsidR="005863E6">
        <w:t>e</w:t>
      </w:r>
      <w:r>
        <w:t xml:space="preserve">lica. </w:t>
      </w:r>
      <w:r>
        <w:rPr>
          <w:i/>
        </w:rPr>
        <w:t>Cfr.</w:t>
      </w:r>
      <w:r>
        <w:t xml:space="preserve"> Copia del Oficio Nº48-2017-JUS/DGBPD de 1 de setiembre de 2017 (anexo 5 al informe estatal de 2 de marzo de 2018). Parte de dicha ceremonia ha sido registrada en la copia del video proporcionada por el Estado. </w:t>
      </w:r>
      <w:r>
        <w:rPr>
          <w:i/>
        </w:rPr>
        <w:t>Cfr.</w:t>
      </w:r>
      <w:r>
        <w:t xml:space="preserve"> Anexo 33 al informe estatal de 2 de marzo de 2018. </w:t>
      </w:r>
    </w:p>
  </w:footnote>
  <w:footnote w:id="48">
    <w:p w14:paraId="1D04CF94" w14:textId="217DF7D7" w:rsidR="003B0831" w:rsidRPr="00931C4F" w:rsidRDefault="003B0831">
      <w:pPr>
        <w:pStyle w:val="Textonotapie"/>
        <w:rPr>
          <w:b/>
        </w:rPr>
      </w:pPr>
      <w:r>
        <w:rPr>
          <w:rStyle w:val="Refdenotaalpie"/>
        </w:rPr>
        <w:footnoteRef/>
      </w:r>
      <w:r>
        <w:t xml:space="preserve"> </w:t>
      </w:r>
      <w:r>
        <w:tab/>
      </w:r>
      <w:r>
        <w:rPr>
          <w:i/>
        </w:rPr>
        <w:t>Cfr</w:t>
      </w:r>
      <w:r>
        <w:t>. Informe Nº 000105-2020-MP-FN-UML-II-AYACUCHO-CTA de 10 de agosto de 2020, firmado por el “Blgo. Carlos Alberto Tello Ayllón”, “Coordinador” de la Unidad Médico Legal II de Ayacucho (anexo 3 a</w:t>
      </w:r>
      <w:r w:rsidR="00CE21A9">
        <w:t>l escrito de observaciones de lo</w:t>
      </w:r>
      <w:r>
        <w:t xml:space="preserve">s representantes de las víctimas de 5 de octubre de 2020). En cuanto a la metodología aplicada, en dicho informe se precisa que “[s]e procesaron 26 muestras de restos óseos, de los cuales 25 lograron el número mínimo de marcadores en sus perfiles genéticos para el análisis de identificación”. Asimismo, se indica que “para el proceso de Análisis Genético se tuvo que implementar un proceso complementario para el estudio y homologación de restos óseos conglomerados”. Entre otros aspectos se indica que se utilizaron estrategias de índole “genético forense” que incluyeron “[el] estudio de ADN altamente degradado por factores químicos o de tiempo; estudios de artefacto por ADN altamente degradado el cual podría dificultar la elaboración de perfiles genéticos […]; [y e]laboración de un esquema de trabajo para corrección de perfiles genéticos corrigiendo los parámetros anteriores”. También se hace referencia a las estrategias de antropología forense. </w:t>
      </w:r>
    </w:p>
  </w:footnote>
  <w:footnote w:id="49">
    <w:p w14:paraId="39848F1A" w14:textId="652EBE63" w:rsidR="003B0831" w:rsidRPr="004A1AC3" w:rsidRDefault="003B0831" w:rsidP="008B55F4">
      <w:pPr>
        <w:autoSpaceDE w:val="0"/>
        <w:autoSpaceDN w:val="0"/>
        <w:adjustRightInd w:val="0"/>
        <w:spacing w:after="0" w:line="240" w:lineRule="auto"/>
        <w:jc w:val="both"/>
        <w:rPr>
          <w:rFonts w:ascii="Verdana" w:eastAsia="SimSun" w:hAnsi="Verdana" w:cs="Arial"/>
          <w:color w:val="202025"/>
          <w:sz w:val="16"/>
          <w:szCs w:val="16"/>
        </w:rPr>
      </w:pPr>
      <w:r w:rsidRPr="004A1AC3">
        <w:rPr>
          <w:rStyle w:val="Refdenotaalpie"/>
          <w:rFonts w:ascii="Verdana" w:hAnsi="Verdana"/>
          <w:sz w:val="16"/>
          <w:szCs w:val="16"/>
        </w:rPr>
        <w:footnoteRef/>
      </w:r>
      <w:r w:rsidRPr="004A1AC3">
        <w:rPr>
          <w:rFonts w:ascii="Verdana" w:hAnsi="Verdana"/>
          <w:sz w:val="16"/>
          <w:szCs w:val="16"/>
        </w:rPr>
        <w:t xml:space="preserve"> </w:t>
      </w:r>
      <w:r w:rsidRPr="004A1AC3">
        <w:rPr>
          <w:rFonts w:ascii="Verdana" w:hAnsi="Verdana"/>
          <w:sz w:val="16"/>
          <w:szCs w:val="16"/>
        </w:rPr>
        <w:tab/>
      </w:r>
      <w:r w:rsidRPr="00931C4F">
        <w:rPr>
          <w:rFonts w:ascii="Verdana" w:hAnsi="Verdana" w:cs="Arial"/>
          <w:sz w:val="16"/>
          <w:szCs w:val="16"/>
        </w:rPr>
        <w:t>El</w:t>
      </w:r>
      <w:r w:rsidRPr="00931C4F">
        <w:rPr>
          <w:rFonts w:ascii="Verdana" w:hAnsi="Verdana" w:cs="Arial"/>
          <w:i/>
          <w:sz w:val="16"/>
          <w:szCs w:val="16"/>
        </w:rPr>
        <w:t xml:space="preserve"> Estado</w:t>
      </w:r>
      <w:r w:rsidRPr="00931C4F">
        <w:rPr>
          <w:rFonts w:ascii="Verdana" w:hAnsi="Verdana" w:cs="Arial"/>
          <w:sz w:val="16"/>
          <w:szCs w:val="16"/>
        </w:rPr>
        <w:t xml:space="preserve"> </w:t>
      </w:r>
      <w:r w:rsidRPr="00931C4F">
        <w:rPr>
          <w:rFonts w:ascii="Verdana" w:hAnsi="Verdana"/>
          <w:sz w:val="16"/>
          <w:szCs w:val="16"/>
        </w:rPr>
        <w:t xml:space="preserve">solicitó, en sus informes de </w:t>
      </w:r>
      <w:r w:rsidRPr="00931C4F">
        <w:rPr>
          <w:rFonts w:ascii="Verdana" w:hAnsi="Verdana" w:cs="Arial"/>
          <w:sz w:val="16"/>
          <w:szCs w:val="16"/>
        </w:rPr>
        <w:t xml:space="preserve">marzo de 2018 y octubre de 2019, </w:t>
      </w:r>
      <w:r w:rsidRPr="00931C4F">
        <w:rPr>
          <w:rFonts w:ascii="Verdana" w:hAnsi="Verdana"/>
          <w:sz w:val="16"/>
          <w:szCs w:val="16"/>
        </w:rPr>
        <w:t xml:space="preserve">que “se declare [el] cumplimiento total” de la reparación ordenada en el punto resolutivo décimo primero. Perú solicitó que sea valorado “el aspecto humanitario” de la alegada restitución </w:t>
      </w:r>
      <w:r>
        <w:rPr>
          <w:rFonts w:ascii="Verdana" w:hAnsi="Verdana"/>
          <w:sz w:val="16"/>
          <w:szCs w:val="16"/>
        </w:rPr>
        <w:t xml:space="preserve">de restos óseos y elementos asociados como prendas de </w:t>
      </w:r>
      <w:r w:rsidRPr="008B55F4">
        <w:rPr>
          <w:rFonts w:ascii="Verdana" w:hAnsi="Verdana"/>
          <w:sz w:val="16"/>
          <w:szCs w:val="16"/>
        </w:rPr>
        <w:t xml:space="preserve">vestir en tanto el informe forense y la ceremonia buscaron “dar inicio al cierre del duelo por la pérdida de sus familiares”. En el informe que presentó el 2 de marzo de 2018, el </w:t>
      </w:r>
      <w:r w:rsidRPr="008B55F4">
        <w:rPr>
          <w:rFonts w:ascii="Verdana" w:hAnsi="Verdana"/>
          <w:i/>
          <w:sz w:val="16"/>
          <w:szCs w:val="16"/>
        </w:rPr>
        <w:t xml:space="preserve">Estado </w:t>
      </w:r>
      <w:r w:rsidRPr="008B55F4">
        <w:rPr>
          <w:rFonts w:ascii="Verdana" w:hAnsi="Verdana"/>
          <w:sz w:val="16"/>
          <w:szCs w:val="16"/>
        </w:rPr>
        <w:t xml:space="preserve">sostuvo </w:t>
      </w:r>
      <w:r w:rsidRPr="008B55F4">
        <w:rPr>
          <w:rFonts w:ascii="Verdana" w:eastAsia="SimSun" w:hAnsi="Verdana" w:cs="Arial"/>
          <w:sz w:val="16"/>
          <w:szCs w:val="16"/>
        </w:rPr>
        <w:t>que en la ceremonia efectuada en 2017 “se realizó la entrega de la totalidad de los restos humanos de las víctimas desparecidas a los familiares”, por lo cual se dio “cumplimiento total” a la referida medida</w:t>
      </w:r>
      <w:r>
        <w:rPr>
          <w:rFonts w:ascii="Verdana" w:eastAsia="SimSun" w:hAnsi="Verdana" w:cs="Arial"/>
          <w:sz w:val="16"/>
          <w:szCs w:val="16"/>
        </w:rPr>
        <w:t xml:space="preserve">. </w:t>
      </w:r>
      <w:r w:rsidRPr="008B55F4">
        <w:rPr>
          <w:rFonts w:ascii="Verdana" w:hAnsi="Verdana"/>
          <w:sz w:val="16"/>
          <w:szCs w:val="16"/>
        </w:rPr>
        <w:t>En su informe de octubre de 2019 el Estado también argumentó que “la</w:t>
      </w:r>
      <w:r w:rsidRPr="001C347E">
        <w:rPr>
          <w:rFonts w:ascii="Verdana" w:hAnsi="Verdana"/>
          <w:sz w:val="16"/>
          <w:szCs w:val="16"/>
        </w:rPr>
        <w:t xml:space="preserve"> obligación de identificar los restos de las víctimas [… es] </w:t>
      </w:r>
      <w:r w:rsidRPr="001C347E">
        <w:rPr>
          <w:rFonts w:ascii="Verdana" w:eastAsiaTheme="minorHAnsi" w:hAnsi="Verdana" w:cs="Arial"/>
          <w:sz w:val="16"/>
          <w:szCs w:val="16"/>
          <w:lang w:eastAsia="en-US"/>
        </w:rPr>
        <w:t xml:space="preserve">una obligación de medios </w:t>
      </w:r>
      <w:r w:rsidRPr="001C347E">
        <w:rPr>
          <w:rFonts w:ascii="Verdana" w:eastAsiaTheme="minorHAnsi" w:hAnsi="Verdana"/>
          <w:sz w:val="16"/>
          <w:szCs w:val="16"/>
          <w:lang w:eastAsia="en-US"/>
        </w:rPr>
        <w:t xml:space="preserve">y </w:t>
      </w:r>
      <w:r w:rsidRPr="001C347E">
        <w:rPr>
          <w:rFonts w:ascii="Verdana" w:eastAsiaTheme="minorHAnsi" w:hAnsi="Verdana" w:cs="Arial"/>
          <w:sz w:val="16"/>
          <w:szCs w:val="16"/>
          <w:lang w:eastAsia="en-US"/>
        </w:rPr>
        <w:t xml:space="preserve">no de resultados”, y </w:t>
      </w:r>
      <w:r w:rsidRPr="001C347E">
        <w:rPr>
          <w:rFonts w:ascii="Verdana" w:hAnsi="Verdana" w:cs="Arial"/>
          <w:sz w:val="16"/>
          <w:szCs w:val="16"/>
        </w:rPr>
        <w:t>que existían bajas probabilidades de alcanzar resultados positivos de identificación de las victimas mediante los análisis de ADN pendientes, en razón de la alegada fragmentación y mala conservación de los restos hallados de las víctimas.</w:t>
      </w:r>
      <w:r w:rsidRPr="004A1AC3">
        <w:rPr>
          <w:rFonts w:ascii="Verdana" w:hAnsi="Verdana" w:cs="Arial"/>
          <w:sz w:val="16"/>
          <w:szCs w:val="16"/>
        </w:rPr>
        <w:t xml:space="preserve"> </w:t>
      </w:r>
    </w:p>
  </w:footnote>
  <w:footnote w:id="50">
    <w:p w14:paraId="32EE6188" w14:textId="0998E7A4" w:rsidR="003B0831" w:rsidRDefault="003B0831" w:rsidP="00402402">
      <w:pPr>
        <w:pStyle w:val="Textonotapie"/>
      </w:pPr>
      <w:r>
        <w:rPr>
          <w:rStyle w:val="Refdenotaalpie"/>
        </w:rPr>
        <w:footnoteRef/>
      </w:r>
      <w:r>
        <w:t xml:space="preserve"> </w:t>
      </w:r>
      <w:r>
        <w:tab/>
        <w:t xml:space="preserve">En el documento se incluyen 18 “interrogantes” referidas, entre otros aspectos, a: si el laboratorio que realizó el análisis tiene validado y acreditado los métodos y procesos empleados; la metodología utilizada; algunos valores y probabilidades en el “procesamiento analítico de las muestras óseas”; información incompleta o inconsistente. </w:t>
      </w:r>
      <w:r>
        <w:rPr>
          <w:i/>
        </w:rPr>
        <w:t>Cfr</w:t>
      </w:r>
      <w:r>
        <w:t xml:space="preserve">. “Opinión pericial del Equipo Peruano de Antropología Forense sobre el informe genético de identificación del caso Santa Bárbara” (Anexo 1 al escrito de observaciones de los representantes de las víctimas de 5 de octubre de 2020). </w:t>
      </w:r>
    </w:p>
  </w:footnote>
  <w:footnote w:id="51">
    <w:p w14:paraId="7102956C" w14:textId="4C68D5C4" w:rsidR="003B0831" w:rsidRPr="00923354" w:rsidRDefault="003B0831" w:rsidP="00923354">
      <w:pPr>
        <w:autoSpaceDE w:val="0"/>
        <w:autoSpaceDN w:val="0"/>
        <w:spacing w:after="0" w:line="240" w:lineRule="auto"/>
        <w:jc w:val="both"/>
        <w:rPr>
          <w:rFonts w:ascii="Verdana" w:hAnsi="Verdana" w:cs="Arial"/>
          <w:sz w:val="16"/>
          <w:szCs w:val="16"/>
        </w:rPr>
      </w:pPr>
      <w:r w:rsidRPr="007C6115">
        <w:rPr>
          <w:rStyle w:val="Refdenotaalpie"/>
          <w:rFonts w:ascii="Verdana" w:hAnsi="Verdana"/>
          <w:sz w:val="16"/>
          <w:szCs w:val="16"/>
        </w:rPr>
        <w:footnoteRef/>
      </w:r>
      <w:r w:rsidRPr="007C6115">
        <w:rPr>
          <w:rFonts w:ascii="Verdana" w:hAnsi="Verdana"/>
          <w:sz w:val="16"/>
          <w:szCs w:val="16"/>
        </w:rPr>
        <w:t xml:space="preserve"> </w:t>
      </w:r>
      <w:r w:rsidRPr="007C6115">
        <w:rPr>
          <w:rFonts w:ascii="Verdana" w:hAnsi="Verdana"/>
          <w:sz w:val="16"/>
          <w:szCs w:val="16"/>
        </w:rPr>
        <w:tab/>
        <w:t xml:space="preserve">Los </w:t>
      </w:r>
      <w:r w:rsidRPr="00412B63">
        <w:rPr>
          <w:rFonts w:ascii="Verdana" w:hAnsi="Verdana"/>
          <w:i/>
          <w:sz w:val="16"/>
          <w:szCs w:val="16"/>
        </w:rPr>
        <w:t>representantes</w:t>
      </w:r>
      <w:r w:rsidRPr="007C6115">
        <w:rPr>
          <w:rFonts w:ascii="Verdana" w:hAnsi="Verdana"/>
          <w:sz w:val="16"/>
          <w:szCs w:val="16"/>
        </w:rPr>
        <w:t xml:space="preserve"> sostuvieron que </w:t>
      </w:r>
      <w:r w:rsidRPr="007C6115">
        <w:rPr>
          <w:rFonts w:ascii="Verdana" w:hAnsi="Verdana" w:cs="Arial"/>
          <w:sz w:val="16"/>
          <w:szCs w:val="16"/>
        </w:rPr>
        <w:t xml:space="preserve">el jefe militar de la patrulla responsable de los hechos, Javier Bendezú Vargas, indicó </w:t>
      </w:r>
      <w:r w:rsidRPr="007C6115">
        <w:rPr>
          <w:rFonts w:ascii="Verdana" w:hAnsi="Verdana" w:cs="ArialMT"/>
          <w:sz w:val="16"/>
          <w:szCs w:val="16"/>
        </w:rPr>
        <w:t>“</w:t>
      </w:r>
      <w:r w:rsidRPr="007C6115">
        <w:rPr>
          <w:rFonts w:ascii="Verdana" w:hAnsi="Verdana" w:cs="Arial"/>
          <w:sz w:val="16"/>
          <w:szCs w:val="16"/>
        </w:rPr>
        <w:t xml:space="preserve">que habrían sacado parte de los restos de las víctimas y los habrían enterrado en una zona cercana a Lircay”. Además, indicaron que en el desarrollo del juicio penal seguido a Pacheco Zambrano “se tuvo información de la posibilidad del hallazgo de los restos de algunas víctimas en la base militar de Pampas </w:t>
      </w:r>
      <w:r w:rsidRPr="007C6115">
        <w:rPr>
          <w:rFonts w:ascii="Verdana" w:hAnsi="Verdana" w:cs="ArialMT"/>
          <w:sz w:val="16"/>
          <w:szCs w:val="16"/>
        </w:rPr>
        <w:t xml:space="preserve">– </w:t>
      </w:r>
      <w:r w:rsidRPr="007C6115">
        <w:rPr>
          <w:rFonts w:ascii="Verdana" w:hAnsi="Verdana" w:cs="Arial"/>
          <w:sz w:val="16"/>
          <w:szCs w:val="16"/>
        </w:rPr>
        <w:t>Tayacaja</w:t>
      </w:r>
      <w:r>
        <w:rPr>
          <w:rFonts w:ascii="Verdana" w:hAnsi="Verdana" w:cs="Arial"/>
          <w:sz w:val="16"/>
          <w:szCs w:val="16"/>
        </w:rPr>
        <w:t>, Huancavelica, por lo que los [tres]</w:t>
      </w:r>
      <w:r w:rsidRPr="007C6115">
        <w:rPr>
          <w:rFonts w:ascii="Verdana" w:hAnsi="Verdana" w:cs="Arial"/>
          <w:sz w:val="16"/>
          <w:szCs w:val="16"/>
        </w:rPr>
        <w:t xml:space="preserve"> jueces que integran la Cuarta Sala Penal Superior Transitoria Especializada en Crimen Organizado dispusieron en los meses de julio y septiembre de [2019] la intervención forense del Equipo Peruano de Antropología Forense y también de los forenses adscritos a la Dirección General de Búsqueda del Ministerio de Justicia para que realicen los trabajos necesarios para la recuperación de los restos de las víctimas cuyos familiares estuvieron presentes pero esta intervención no se ha continuado”. </w:t>
      </w:r>
      <w:r w:rsidRPr="007C6115">
        <w:rPr>
          <w:rFonts w:ascii="Verdana" w:hAnsi="Verdana" w:cs="Arial"/>
          <w:i/>
          <w:sz w:val="16"/>
          <w:szCs w:val="16"/>
        </w:rPr>
        <w:t>Cfr.</w:t>
      </w:r>
      <w:r w:rsidRPr="007C6115">
        <w:rPr>
          <w:rFonts w:ascii="Verdana" w:hAnsi="Verdana" w:cs="Arial"/>
          <w:sz w:val="16"/>
          <w:szCs w:val="16"/>
        </w:rPr>
        <w:t xml:space="preserve"> </w:t>
      </w:r>
      <w:r>
        <w:rPr>
          <w:rFonts w:ascii="Verdana" w:hAnsi="Verdana" w:cs="Arial"/>
          <w:sz w:val="16"/>
          <w:szCs w:val="16"/>
        </w:rPr>
        <w:t>Escritos de o</w:t>
      </w:r>
      <w:r w:rsidRPr="00EA4949">
        <w:rPr>
          <w:rFonts w:ascii="Verdana" w:hAnsi="Verdana" w:cs="Arial"/>
          <w:sz w:val="16"/>
          <w:szCs w:val="16"/>
        </w:rPr>
        <w:t>bservaciones de</w:t>
      </w:r>
      <w:r>
        <w:rPr>
          <w:rFonts w:ascii="Verdana" w:hAnsi="Verdana" w:cs="Arial"/>
          <w:sz w:val="16"/>
          <w:szCs w:val="16"/>
        </w:rPr>
        <w:t xml:space="preserve"> los representantes de las víctimas de 23 de mayo de 2018 y</w:t>
      </w:r>
      <w:r w:rsidRPr="007C6115">
        <w:rPr>
          <w:rFonts w:ascii="Verdana" w:hAnsi="Verdana" w:cs="Arial"/>
          <w:sz w:val="16"/>
          <w:szCs w:val="16"/>
        </w:rPr>
        <w:t xml:space="preserve"> </w:t>
      </w:r>
      <w:r>
        <w:rPr>
          <w:rFonts w:ascii="Verdana" w:hAnsi="Verdana" w:cs="Arial"/>
          <w:sz w:val="16"/>
          <w:szCs w:val="16"/>
        </w:rPr>
        <w:t xml:space="preserve">17 de </w:t>
      </w:r>
      <w:r w:rsidRPr="007C6115">
        <w:rPr>
          <w:rFonts w:ascii="Verdana" w:hAnsi="Verdana" w:cs="Arial"/>
          <w:sz w:val="16"/>
          <w:szCs w:val="16"/>
        </w:rPr>
        <w:t>diciem</w:t>
      </w:r>
      <w:r>
        <w:rPr>
          <w:rFonts w:ascii="Verdana" w:hAnsi="Verdana" w:cs="Arial"/>
          <w:sz w:val="16"/>
          <w:szCs w:val="16"/>
        </w:rPr>
        <w:t>bre de 2019.</w:t>
      </w:r>
    </w:p>
  </w:footnote>
  <w:footnote w:id="52">
    <w:p w14:paraId="3EBE4F04" w14:textId="1FB5C714" w:rsidR="003B0831" w:rsidRPr="00923354" w:rsidRDefault="003B0831">
      <w:pPr>
        <w:pStyle w:val="Textonotapie"/>
      </w:pPr>
      <w:r w:rsidRPr="00923354">
        <w:rPr>
          <w:rStyle w:val="Refdenotaalpie"/>
        </w:rPr>
        <w:footnoteRef/>
      </w:r>
      <w:r w:rsidRPr="00923354">
        <w:t xml:space="preserve"> </w:t>
      </w:r>
      <w:r w:rsidRPr="00923354">
        <w:tab/>
        <w:t xml:space="preserve">Indicaron que esta circunstancia acarrea dificultades “ante la eventualidad de querer acceder a la reparación compensatoria, [ya que] todos los familiares deberán tramitar la sucesión intestada para lo cual es un requisito </w:t>
      </w:r>
      <w:r w:rsidRPr="00923354">
        <w:rPr>
          <w:i/>
        </w:rPr>
        <w:t>sine qua non</w:t>
      </w:r>
      <w:r w:rsidRPr="00923354">
        <w:t xml:space="preserve"> contar con la partida de defunción o, en su defecto, con la de ausencia por desaparición forzada”. </w:t>
      </w:r>
      <w:r>
        <w:t>También r</w:t>
      </w:r>
      <w:r w:rsidRPr="00923354">
        <w:t>eplicaron que “se encuentran vigentes las actas de defunción inscritas de manera irregular por el Ministerio de Defensa”.</w:t>
      </w:r>
      <w:r>
        <w:t xml:space="preserve"> </w:t>
      </w:r>
      <w:r w:rsidRPr="00CA4BA9">
        <w:rPr>
          <w:i/>
        </w:rPr>
        <w:t>Cfr.</w:t>
      </w:r>
      <w:r>
        <w:t xml:space="preserve"> Escrito de observaciones de los representantes de las víctimas de 23 de mayo de 2018.</w:t>
      </w:r>
    </w:p>
  </w:footnote>
  <w:footnote w:id="53">
    <w:p w14:paraId="0EA05739" w14:textId="551E8525" w:rsidR="003B0831" w:rsidRPr="00857C3E" w:rsidRDefault="003B0831" w:rsidP="00857C3E">
      <w:pPr>
        <w:pStyle w:val="Prrafodelista"/>
        <w:kinsoku w:val="0"/>
        <w:overflowPunct w:val="0"/>
        <w:autoSpaceDE w:val="0"/>
        <w:autoSpaceDN w:val="0"/>
        <w:adjustRightInd w:val="0"/>
        <w:spacing w:after="0" w:line="240" w:lineRule="auto"/>
        <w:ind w:left="0"/>
        <w:jc w:val="both"/>
        <w:rPr>
          <w:rFonts w:ascii="Verdana" w:hAnsi="Verdana"/>
          <w:sz w:val="16"/>
          <w:szCs w:val="16"/>
        </w:rPr>
      </w:pPr>
      <w:r w:rsidRPr="00857C3E">
        <w:rPr>
          <w:rStyle w:val="Refdenotaalpie"/>
          <w:rFonts w:ascii="Verdana" w:hAnsi="Verdana"/>
          <w:sz w:val="16"/>
          <w:szCs w:val="16"/>
        </w:rPr>
        <w:footnoteRef/>
      </w:r>
      <w:r w:rsidRPr="00857C3E">
        <w:rPr>
          <w:rFonts w:ascii="Verdana" w:hAnsi="Verdana"/>
          <w:sz w:val="16"/>
          <w:szCs w:val="16"/>
        </w:rPr>
        <w:t xml:space="preserve"> </w:t>
      </w:r>
      <w:r w:rsidRPr="00857C3E">
        <w:rPr>
          <w:rFonts w:ascii="Verdana" w:hAnsi="Verdana"/>
          <w:sz w:val="16"/>
          <w:szCs w:val="16"/>
        </w:rPr>
        <w:tab/>
        <w:t xml:space="preserve">Por ejemplo, indicaron que no se contactó a las víctimas luego de asistir a la Mina </w:t>
      </w:r>
      <w:r>
        <w:rPr>
          <w:rFonts w:ascii="Verdana" w:hAnsi="Verdana"/>
          <w:sz w:val="16"/>
          <w:szCs w:val="16"/>
        </w:rPr>
        <w:t>‘</w:t>
      </w:r>
      <w:r w:rsidRPr="00857C3E">
        <w:rPr>
          <w:rFonts w:ascii="Verdana" w:hAnsi="Verdana"/>
          <w:sz w:val="16"/>
          <w:szCs w:val="16"/>
        </w:rPr>
        <w:t>Misteriosa</w:t>
      </w:r>
      <w:r>
        <w:rPr>
          <w:rFonts w:ascii="Verdana" w:hAnsi="Verdana"/>
          <w:sz w:val="16"/>
          <w:szCs w:val="16"/>
        </w:rPr>
        <w:t>’</w:t>
      </w:r>
      <w:r w:rsidRPr="00857C3E">
        <w:rPr>
          <w:rFonts w:ascii="Verdana" w:hAnsi="Verdana"/>
          <w:sz w:val="16"/>
          <w:szCs w:val="16"/>
        </w:rPr>
        <w:t xml:space="preserve"> en el año 2016; tampoco se les informó oportunamente del informe pericial conjunto realizado a partir de esta visita a la mina; durante largos periodos de tiempo las víctimas desconocieron cuándo comenzarían los exámenes de los restos hallados o de los avances del proceso, incluso después de </w:t>
      </w:r>
      <w:r>
        <w:rPr>
          <w:rFonts w:ascii="Verdana" w:hAnsi="Verdana"/>
          <w:sz w:val="16"/>
          <w:szCs w:val="16"/>
        </w:rPr>
        <w:t xml:space="preserve">que </w:t>
      </w:r>
      <w:r w:rsidRPr="00857C3E">
        <w:rPr>
          <w:rFonts w:ascii="Verdana" w:hAnsi="Verdana"/>
          <w:sz w:val="16"/>
          <w:szCs w:val="16"/>
        </w:rPr>
        <w:t xml:space="preserve">algunos de ellos </w:t>
      </w:r>
      <w:r>
        <w:rPr>
          <w:rFonts w:ascii="Verdana" w:hAnsi="Verdana"/>
          <w:sz w:val="16"/>
          <w:szCs w:val="16"/>
        </w:rPr>
        <w:t>hubieran</w:t>
      </w:r>
      <w:r w:rsidRPr="00857C3E">
        <w:rPr>
          <w:rFonts w:ascii="Verdana" w:hAnsi="Verdana"/>
          <w:sz w:val="16"/>
          <w:szCs w:val="16"/>
        </w:rPr>
        <w:t xml:space="preserve"> sido convocados a realizarse extracciones de ADN, y que “el Estado hizo pública la identificación de los restos antes de notificarla” a los familiares y</w:t>
      </w:r>
      <w:r>
        <w:rPr>
          <w:rFonts w:ascii="Verdana" w:hAnsi="Verdana"/>
          <w:sz w:val="16"/>
          <w:szCs w:val="16"/>
        </w:rPr>
        <w:t xml:space="preserve"> a</w:t>
      </w:r>
      <w:r w:rsidRPr="00857C3E">
        <w:rPr>
          <w:rFonts w:ascii="Verdana" w:hAnsi="Verdana"/>
          <w:sz w:val="16"/>
          <w:szCs w:val="16"/>
        </w:rPr>
        <w:t xml:space="preserve"> sus representantes. </w:t>
      </w:r>
      <w:r>
        <w:rPr>
          <w:rFonts w:ascii="Verdana" w:hAnsi="Verdana"/>
          <w:sz w:val="16"/>
          <w:szCs w:val="16"/>
        </w:rPr>
        <w:t xml:space="preserve">Además, resaltaron que </w:t>
      </w:r>
      <w:r w:rsidRPr="00857C3E">
        <w:rPr>
          <w:rFonts w:ascii="Verdana" w:hAnsi="Verdana"/>
          <w:sz w:val="16"/>
          <w:szCs w:val="16"/>
        </w:rPr>
        <w:t>“</w:t>
      </w:r>
      <w:r w:rsidRPr="00857C3E">
        <w:rPr>
          <w:rFonts w:ascii="Verdana" w:eastAsia="SimSun" w:hAnsi="Verdana" w:cs="ArialMT"/>
          <w:sz w:val="16"/>
          <w:szCs w:val="16"/>
        </w:rPr>
        <w:t xml:space="preserve">las reuniones convocadas por las distintas autoridades encargadas de la búsqueda se han realizado sin tomar en cuenta la disponibilidad de las víctimas </w:t>
      </w:r>
      <w:r w:rsidRPr="00857C3E">
        <w:rPr>
          <w:rFonts w:ascii="Verdana" w:eastAsia="SimSun" w:hAnsi="Verdana" w:cs="Arial"/>
          <w:sz w:val="16"/>
          <w:szCs w:val="16"/>
        </w:rPr>
        <w:t>[</w:t>
      </w:r>
      <w:r w:rsidRPr="00857C3E">
        <w:rPr>
          <w:rFonts w:ascii="Verdana" w:eastAsia="SimSun" w:hAnsi="Verdana" w:cs="ArialMT"/>
          <w:sz w:val="16"/>
          <w:szCs w:val="16"/>
        </w:rPr>
        <w:t>o</w:t>
      </w:r>
      <w:r w:rsidRPr="00857C3E">
        <w:rPr>
          <w:rFonts w:ascii="Verdana" w:eastAsia="SimSun" w:hAnsi="Verdana" w:cs="Arial"/>
          <w:sz w:val="16"/>
          <w:szCs w:val="16"/>
        </w:rPr>
        <w:t>] sin la realización de gestiones previas para garantizar [su] asistencia”.</w:t>
      </w:r>
      <w:r w:rsidRPr="00857C3E">
        <w:rPr>
          <w:rFonts w:ascii="Verdana" w:eastAsia="SimSun" w:hAnsi="Verdana" w:cs="ArialMT"/>
          <w:sz w:val="16"/>
          <w:szCs w:val="16"/>
        </w:rPr>
        <w:t xml:space="preserve"> </w:t>
      </w:r>
      <w:r w:rsidRPr="00857C3E">
        <w:rPr>
          <w:rFonts w:ascii="Verdana" w:hAnsi="Verdana"/>
          <w:i/>
          <w:sz w:val="16"/>
          <w:szCs w:val="16"/>
        </w:rPr>
        <w:t>Cfr.</w:t>
      </w:r>
      <w:r w:rsidRPr="00857C3E">
        <w:rPr>
          <w:rFonts w:ascii="Verdana" w:hAnsi="Verdana"/>
          <w:sz w:val="16"/>
          <w:szCs w:val="16"/>
        </w:rPr>
        <w:t xml:space="preserve"> Escrito de observaciones de los representantes de 28 de mayo de 2021. </w:t>
      </w:r>
      <w:r>
        <w:rPr>
          <w:rFonts w:ascii="Verdana" w:hAnsi="Verdana"/>
          <w:sz w:val="16"/>
          <w:szCs w:val="16"/>
        </w:rPr>
        <w:t>D</w:t>
      </w:r>
      <w:r w:rsidRPr="00857C3E">
        <w:rPr>
          <w:rFonts w:ascii="Verdana" w:hAnsi="Verdana"/>
          <w:sz w:val="16"/>
          <w:szCs w:val="16"/>
        </w:rPr>
        <w:t>urante la audiencia privada de supervisión, el señor Zenón Osnayo expresó la expectativa de que las autoridades realicen un acercamiento a los familiares para informar sobre los avances, sin que “hay[a habido] ninguna invitación hasta el momento”, lo cual ha contribuido a que “los familiares desconfí[en] de [su] persona” ante la imposibilidad de compartir información relevante y específica.</w:t>
      </w:r>
    </w:p>
  </w:footnote>
  <w:footnote w:id="54">
    <w:p w14:paraId="1B9E6774" w14:textId="06B50E66" w:rsidR="003B0831" w:rsidRDefault="003B0831" w:rsidP="00A37DDF">
      <w:pPr>
        <w:pStyle w:val="Textonotapie"/>
      </w:pPr>
      <w:r>
        <w:rPr>
          <w:rStyle w:val="Refdenotaalpie"/>
        </w:rPr>
        <w:footnoteRef/>
      </w:r>
      <w:r>
        <w:t xml:space="preserve"> </w:t>
      </w:r>
      <w:r>
        <w:tab/>
      </w:r>
      <w:r>
        <w:rPr>
          <w:i/>
        </w:rPr>
        <w:t xml:space="preserve">Cfr. Caso Comunidad Campesina de Santa Bárbara Vs. Perú, supra </w:t>
      </w:r>
      <w:r>
        <w:t>nota 1</w:t>
      </w:r>
      <w:r w:rsidRPr="00F357EF">
        <w:t>, párr.</w:t>
      </w:r>
      <w:r>
        <w:t xml:space="preserve"> 318. La Corte indicó que, sin embargo, ello no será materia de supervisión en la presente etapa del proceso.  </w:t>
      </w:r>
    </w:p>
  </w:footnote>
  <w:footnote w:id="55">
    <w:p w14:paraId="18C5B261" w14:textId="2386B13D" w:rsidR="003B0831" w:rsidRPr="003F6C52" w:rsidRDefault="003B0831">
      <w:pPr>
        <w:pStyle w:val="Textonotapie"/>
      </w:pPr>
      <w:r w:rsidRPr="003F6C52">
        <w:rPr>
          <w:rStyle w:val="Refdenotaalpie"/>
        </w:rPr>
        <w:footnoteRef/>
      </w:r>
      <w:r w:rsidRPr="003F6C52">
        <w:t xml:space="preserve"> </w:t>
      </w:r>
      <w:r w:rsidRPr="003F6C52">
        <w:tab/>
      </w:r>
      <w:r>
        <w:t>El objetivo de dicha Ley es “</w:t>
      </w:r>
      <w:r w:rsidRPr="003F6C52">
        <w:t>brindar todo el apoyo material y logístico para que los deudos puedan encontrar a sus familiares desaparecidos en [dicho] período […], a través de la búsqueda, recuperación, análisis, identificación y restitución de restos humanos”.</w:t>
      </w:r>
      <w:r>
        <w:t xml:space="preserve"> </w:t>
      </w:r>
      <w:r w:rsidRPr="00D3166D">
        <w:rPr>
          <w:i/>
        </w:rPr>
        <w:t>Cfr.</w:t>
      </w:r>
      <w:r>
        <w:t xml:space="preserve"> Informe estatal de 16 de noviembre de 2016. </w:t>
      </w:r>
    </w:p>
  </w:footnote>
  <w:footnote w:id="56">
    <w:p w14:paraId="13614716" w14:textId="67FFFE9B" w:rsidR="003B0831" w:rsidRPr="00D3166D" w:rsidRDefault="003B0831">
      <w:pPr>
        <w:pStyle w:val="Textonotapie"/>
        <w:rPr>
          <w:lang w:val="es-ES"/>
        </w:rPr>
      </w:pPr>
      <w:r>
        <w:rPr>
          <w:rStyle w:val="Refdenotaalpie"/>
        </w:rPr>
        <w:footnoteRef/>
      </w:r>
      <w:r>
        <w:t xml:space="preserve"> </w:t>
      </w:r>
      <w:r>
        <w:tab/>
      </w:r>
      <w:r>
        <w:rPr>
          <w:i/>
          <w:iCs/>
          <w:lang w:val="es-ES"/>
        </w:rPr>
        <w:t>Cfr.</w:t>
      </w:r>
      <w:r>
        <w:rPr>
          <w:lang w:val="es-ES"/>
        </w:rPr>
        <w:t xml:space="preserve"> Informe estatal de 1 de febrero de 2021.</w:t>
      </w:r>
    </w:p>
  </w:footnote>
  <w:footnote w:id="57">
    <w:p w14:paraId="6DB739B4" w14:textId="7B5A74BF" w:rsidR="003B0831" w:rsidRDefault="003B0831" w:rsidP="00B527E8">
      <w:pPr>
        <w:pStyle w:val="Textonotapie"/>
        <w:snapToGrid w:val="0"/>
        <w:rPr>
          <w:lang w:val="es-ES"/>
        </w:rPr>
      </w:pPr>
      <w:r>
        <w:rPr>
          <w:rStyle w:val="Refdenotaalpie"/>
        </w:rPr>
        <w:footnoteRef/>
      </w:r>
      <w:r>
        <w:t xml:space="preserve"> </w:t>
      </w:r>
      <w:r>
        <w:rPr>
          <w:lang w:val="es-ES"/>
        </w:rPr>
        <w:tab/>
        <w:t>Tiene “</w:t>
      </w:r>
      <w:r w:rsidRPr="00D3166D">
        <w:rPr>
          <w:lang w:val="es-ES"/>
        </w:rPr>
        <w:t>por finalidad realizar la validación y el cotejo de perfiles genéticos para determinar las relaciones de parentesco que contribuyan a la identificación de las personas desaparecidas de forma confiable, segura y eficaz”</w:t>
      </w:r>
      <w:r>
        <w:rPr>
          <w:lang w:val="es-ES"/>
        </w:rPr>
        <w:t xml:space="preserve">. </w:t>
      </w:r>
      <w:r>
        <w:rPr>
          <w:i/>
          <w:iCs/>
          <w:lang w:val="es-ES"/>
        </w:rPr>
        <w:t>Cfr.</w:t>
      </w:r>
      <w:r>
        <w:rPr>
          <w:lang w:val="es-ES"/>
        </w:rPr>
        <w:t xml:space="preserve"> Informe estatal de 1 de febrero de 2021.</w:t>
      </w:r>
    </w:p>
  </w:footnote>
  <w:footnote w:id="58">
    <w:p w14:paraId="637BEE4D" w14:textId="77777777" w:rsidR="003B0831" w:rsidRPr="00342214" w:rsidRDefault="003B0831" w:rsidP="007F71DD">
      <w:pPr>
        <w:pStyle w:val="Textonotapie"/>
        <w:rPr>
          <w:highlight w:val="red"/>
        </w:rPr>
      </w:pPr>
      <w:r>
        <w:rPr>
          <w:rStyle w:val="Refdenotaalpie"/>
        </w:rPr>
        <w:footnoteRef/>
      </w:r>
      <w:r>
        <w:t xml:space="preserve"> </w:t>
      </w:r>
      <w:r>
        <w:tab/>
      </w:r>
      <w:r w:rsidRPr="00A13C53">
        <w:rPr>
          <w:i/>
        </w:rPr>
        <w:t>Cfr. Osorio Rivera y familiares Vs. Perú. Supervisión de Cumplimiento de Sentencia.</w:t>
      </w:r>
      <w:r w:rsidRPr="00FC58CD">
        <w:t xml:space="preserve"> Resolución de la Corte Interamericana de Derechos Humanos de 9 de marzo de 2020, Considerando 14. </w:t>
      </w:r>
    </w:p>
  </w:footnote>
  <w:footnote w:id="59">
    <w:p w14:paraId="663518A6" w14:textId="77777777" w:rsidR="003B0831" w:rsidRPr="00B95174" w:rsidRDefault="003B0831" w:rsidP="007F71DD">
      <w:pPr>
        <w:pStyle w:val="Textonotapie"/>
      </w:pPr>
      <w:r>
        <w:rPr>
          <w:rStyle w:val="Refdenotaalpie"/>
        </w:rPr>
        <w:footnoteRef/>
      </w:r>
      <w:r>
        <w:t xml:space="preserve"> </w:t>
      </w:r>
      <w:r>
        <w:tab/>
      </w:r>
      <w:r w:rsidRPr="00B95174">
        <w:rPr>
          <w:i/>
        </w:rPr>
        <w:t>Cfr.</w:t>
      </w:r>
      <w:r w:rsidRPr="00B95174">
        <w:t xml:space="preserve"> Informe Nº 010-2020/DGBPD-DRIF de 18 de setiembre de 2020 emitido por la Dirección de Atención y Acompañamiento y Registro e Investigación Forense de la Dirección General de Búsqueda de Personas Desaparecidas (anexo 12 al informe estatal de 1 de febrero de 2021).</w:t>
      </w:r>
    </w:p>
  </w:footnote>
  <w:footnote w:id="60">
    <w:p w14:paraId="437649D9" w14:textId="63E6FECE" w:rsidR="00690FE6" w:rsidRPr="00690FE6" w:rsidRDefault="00690FE6">
      <w:pPr>
        <w:pStyle w:val="Textonotapie"/>
      </w:pPr>
      <w:r>
        <w:rPr>
          <w:rStyle w:val="Refdenotaalpie"/>
        </w:rPr>
        <w:footnoteRef/>
      </w:r>
      <w:r>
        <w:t xml:space="preserve"> </w:t>
      </w:r>
      <w:r>
        <w:tab/>
      </w:r>
      <w:r>
        <w:rPr>
          <w:i/>
        </w:rPr>
        <w:t xml:space="preserve">Cfr. Caso Comunidad Campesina de Santa Bárbara Vs. Perú, supra </w:t>
      </w:r>
      <w:r>
        <w:t>nota 1</w:t>
      </w:r>
      <w:r w:rsidRPr="00F357EF">
        <w:t xml:space="preserve">, </w:t>
      </w:r>
      <w:r>
        <w:t>párr. 304.</w:t>
      </w:r>
    </w:p>
  </w:footnote>
  <w:footnote w:id="61">
    <w:p w14:paraId="7D0CD1E3" w14:textId="77777777" w:rsidR="003B0831" w:rsidRDefault="003B0831" w:rsidP="003D031E">
      <w:pPr>
        <w:pStyle w:val="Textonotapie"/>
      </w:pPr>
      <w:r>
        <w:rPr>
          <w:rStyle w:val="Refdenotaalpie"/>
        </w:rPr>
        <w:footnoteRef/>
      </w:r>
      <w:r>
        <w:t xml:space="preserve"> </w:t>
      </w:r>
      <w:r>
        <w:tab/>
        <w:t xml:space="preserve">Resolución de la Presidencia del Consejo de Defensa Jurídica del Estado Nº 082-2019-JUS/CDJE-P, de fecha 25 de julio de 2019. </w:t>
      </w:r>
      <w:r>
        <w:rPr>
          <w:i/>
        </w:rPr>
        <w:t>Cfr.</w:t>
      </w:r>
      <w:r>
        <w:t xml:space="preserve"> Informe estatal de 25 de octubre de 2019. En la audiencia, el Estado sostuvo que “viene adoptando medidas concretas orientadas al cumplimiento”.  Se refirió al “cambio legislativo [ocurrido…] en materia de ejecución de sentencias supranacionales supranacionales orientado a superar algunas falencias que permitan una pronta ejecución de tales fallos internacionales”, mediante el cual, “en aras de adecuar su ordenamiento interno a los parámetros establecidos por la Corte, ha creado un nuevo procedimiento [de pago] estrictamente administrativo, sin la intervención de órganos jurisdiccionales internos, situación que genera una mayor prontitud en el cumplimiento de las medidas reparatorias de carácter económico”.</w:t>
      </w:r>
    </w:p>
  </w:footnote>
  <w:footnote w:id="62">
    <w:p w14:paraId="6FDCE1C8" w14:textId="77777777" w:rsidR="003B0831" w:rsidRDefault="003B0831" w:rsidP="003D031E">
      <w:pPr>
        <w:pStyle w:val="Textonotapie"/>
      </w:pPr>
      <w:r>
        <w:rPr>
          <w:rStyle w:val="Refdenotaalpie"/>
        </w:rPr>
        <w:footnoteRef/>
      </w:r>
      <w:r>
        <w:t xml:space="preserve"> </w:t>
      </w:r>
      <w:r>
        <w:tab/>
        <w:t>El Estado precisó que el aplicativo del Ministerio de Economía y Finanzas le permite a cada una de las entidades estatales, que cuentan con “un presupuesto del pliego presupuestal anual”, saber “cuáles son las reparaciones económicas […] obligad[as] en el año, reparaciones internas o internacionales”, las cuales serán programadas de acuerdo “a los criterios de priorización” establecidos en la normativa.</w:t>
      </w:r>
    </w:p>
  </w:footnote>
  <w:footnote w:id="63">
    <w:p w14:paraId="5D04572C" w14:textId="5CA9D5F1" w:rsidR="003B0831" w:rsidRDefault="003B0831" w:rsidP="004211D7">
      <w:pPr>
        <w:pStyle w:val="Textonotapie"/>
      </w:pPr>
      <w:r>
        <w:rPr>
          <w:rStyle w:val="Refdenotaalpie"/>
        </w:rPr>
        <w:footnoteRef/>
      </w:r>
      <w:r>
        <w:rPr>
          <w:lang w:val="en-US"/>
        </w:rPr>
        <w:t xml:space="preserve"> </w:t>
      </w:r>
      <w:r>
        <w:rPr>
          <w:lang w:val="en-US"/>
        </w:rPr>
        <w:tab/>
      </w:r>
      <w:r w:rsidRPr="004C2BE2">
        <w:rPr>
          <w:i/>
          <w:lang w:val="en-US"/>
        </w:rPr>
        <w:t>Cfr. Caso Wong Ho Wing</w:t>
      </w:r>
      <w:r>
        <w:rPr>
          <w:i/>
          <w:lang w:val="en-US"/>
        </w:rPr>
        <w:t xml:space="preserve"> Vs. </w:t>
      </w:r>
      <w:r w:rsidRPr="00EE2902">
        <w:rPr>
          <w:i/>
          <w:lang w:val="es-ES"/>
        </w:rPr>
        <w:t xml:space="preserve">Perú. </w:t>
      </w:r>
      <w:r w:rsidRPr="004C2BE2">
        <w:rPr>
          <w:i/>
        </w:rPr>
        <w:t>Supervisión de Cumplimiento de Sen</w:t>
      </w:r>
      <w:r w:rsidRPr="00763D4F">
        <w:rPr>
          <w:i/>
        </w:rPr>
        <w:t>tencia.</w:t>
      </w:r>
      <w:r w:rsidRPr="00214C10">
        <w:t xml:space="preserve"> Resolución de la Corte Interamericana de Derechos Humanos de 21 de noviembre de 2018, Considerando 15; </w:t>
      </w:r>
      <w:r w:rsidRPr="00214C10">
        <w:rPr>
          <w:i/>
        </w:rPr>
        <w:t>Caso Tarazona Arrieta y Otros Vs. Perú. Supervisión de Cumplimiento de Sentencia.</w:t>
      </w:r>
      <w:r w:rsidRPr="002B67C4">
        <w:t xml:space="preserve"> Resolución de</w:t>
      </w:r>
      <w:r>
        <w:t xml:space="preserve"> la Corte Interamericana de Derechos Humanos de</w:t>
      </w:r>
      <w:r w:rsidRPr="002B67C4">
        <w:t xml:space="preserve"> 4 de marzo de 2019, Considerando 8; </w:t>
      </w:r>
      <w:r w:rsidRPr="002B67C4">
        <w:rPr>
          <w:i/>
        </w:rPr>
        <w:t>Caso Canales Huapaya y Otros Vs. Perú. Supervisión de Cumplimiento de Sentencia.</w:t>
      </w:r>
      <w:r w:rsidRPr="002B67C4">
        <w:t xml:space="preserve"> Resolución de</w:t>
      </w:r>
      <w:r>
        <w:t xml:space="preserve"> la Corte Interamericana de Derechos Humanos de</w:t>
      </w:r>
      <w:r w:rsidRPr="002B67C4">
        <w:t xml:space="preserve"> 12 de marzo de 2020, Considerando 10</w:t>
      </w:r>
      <w:r w:rsidRPr="008B4839">
        <w:t>, y</w:t>
      </w:r>
      <w:r w:rsidRPr="004C2BE2">
        <w:t xml:space="preserve"> </w:t>
      </w:r>
      <w:r w:rsidRPr="00763D4F">
        <w:rPr>
          <w:i/>
        </w:rPr>
        <w:t>Caso Zegarra Marín Vs. Perú. Supervisión de Cumplimiento de Sentencia</w:t>
      </w:r>
      <w:r w:rsidRPr="00214C10">
        <w:t>. Resolución de</w:t>
      </w:r>
      <w:r>
        <w:t xml:space="preserve"> la Corte Interamericana de Derechos Humanos de</w:t>
      </w:r>
      <w:r w:rsidRPr="00214C10">
        <w:t xml:space="preserve"> 21 de julio de 2020, Considerando 18.</w:t>
      </w:r>
      <w:r>
        <w:t xml:space="preserve"> </w:t>
      </w:r>
    </w:p>
  </w:footnote>
  <w:footnote w:id="64">
    <w:p w14:paraId="2A069989" w14:textId="5FBA8BBE" w:rsidR="003B0831" w:rsidRDefault="003B0831" w:rsidP="004D60A8">
      <w:pPr>
        <w:pStyle w:val="Textonotapie"/>
      </w:pPr>
      <w:r>
        <w:rPr>
          <w:rStyle w:val="Refdenotaalpie"/>
        </w:rPr>
        <w:footnoteRef/>
      </w:r>
      <w:r>
        <w:t xml:space="preserve"> </w:t>
      </w:r>
      <w:r>
        <w:tab/>
      </w:r>
      <w:r>
        <w:rPr>
          <w:i/>
        </w:rPr>
        <w:t>Cfr.</w:t>
      </w:r>
      <w:r>
        <w:t xml:space="preserve"> Informe estatal de 7 de octubre de 2019. </w:t>
      </w:r>
    </w:p>
  </w:footnote>
  <w:footnote w:id="65">
    <w:p w14:paraId="0BB35EE1" w14:textId="222FF4B5" w:rsidR="003B0831" w:rsidRDefault="003B0831" w:rsidP="004D60A8">
      <w:pPr>
        <w:pStyle w:val="Textonotapie"/>
      </w:pPr>
      <w:r>
        <w:rPr>
          <w:rStyle w:val="Refdenotaalpie"/>
        </w:rPr>
        <w:footnoteRef/>
      </w:r>
      <w:r>
        <w:t xml:space="preserve"> </w:t>
      </w:r>
      <w:r>
        <w:tab/>
        <w:t xml:space="preserve">Indicaron que desean incluir como beneficiarias a “la señora Clotilde Hilario Morán, hermana de Ramón Hilario Morán e hija de los peticionarios fallecidos, Viviano Hilario Mancha, [y] Dolores Morán Paucar”. </w:t>
      </w:r>
      <w:r>
        <w:rPr>
          <w:i/>
        </w:rPr>
        <w:t>Cfr.</w:t>
      </w:r>
      <w:r w:rsidR="00CE21A9">
        <w:t xml:space="preserve"> Escrito de observaciones de lo</w:t>
      </w:r>
      <w:r>
        <w:t xml:space="preserve">s representantes de las víctimas de 7 de febrero de 2017. </w:t>
      </w:r>
    </w:p>
  </w:footnote>
  <w:footnote w:id="66">
    <w:p w14:paraId="50A3C4E0" w14:textId="77777777" w:rsidR="003B0831" w:rsidRDefault="003B0831" w:rsidP="00D60149">
      <w:pPr>
        <w:pStyle w:val="Textonotapie"/>
      </w:pPr>
      <w:r>
        <w:rPr>
          <w:rStyle w:val="Refdenotaalpie"/>
        </w:rPr>
        <w:footnoteRef/>
      </w:r>
      <w:r>
        <w:t xml:space="preserve"> </w:t>
      </w:r>
      <w:r>
        <w:tab/>
        <w:t xml:space="preserve">Se dispuso de un plazo de seis meses a partir de la notificación de la Sentencia para que los beneficiarios confirmaran al Estado su anuencia a recibir atención psicológica o psiquiátrica. </w:t>
      </w:r>
    </w:p>
  </w:footnote>
  <w:footnote w:id="67">
    <w:p w14:paraId="42F54FAA" w14:textId="2526A07F" w:rsidR="003B0831" w:rsidRPr="005740DA" w:rsidRDefault="003B0831" w:rsidP="00D60149">
      <w:pPr>
        <w:pStyle w:val="Textonotapie"/>
        <w:rPr>
          <w:lang w:val="es-ES"/>
        </w:rPr>
      </w:pPr>
      <w:r>
        <w:rPr>
          <w:rStyle w:val="Refdenotaalpie"/>
        </w:rPr>
        <w:footnoteRef/>
      </w:r>
      <w:r>
        <w:t xml:space="preserve"> </w:t>
      </w:r>
      <w:r>
        <w:tab/>
        <w:t>Además, precisaron los domicilios que debían tenerse en cuenta para brindar la atención en salud cercana al lugar de residencia de cada beneficiario.</w:t>
      </w:r>
      <w:r>
        <w:rPr>
          <w:b/>
        </w:rPr>
        <w:t xml:space="preserve"> </w:t>
      </w:r>
      <w:r w:rsidRPr="005740DA">
        <w:rPr>
          <w:i/>
          <w:lang w:val="es-ES"/>
        </w:rPr>
        <w:t>Cfr.</w:t>
      </w:r>
      <w:r>
        <w:rPr>
          <w:lang w:val="es-ES"/>
        </w:rPr>
        <w:t xml:space="preserve"> Escritos de observaciones de los representantes de las víctimas de 16 de mayo y 28 de septiembre de 2016. </w:t>
      </w:r>
    </w:p>
  </w:footnote>
  <w:footnote w:id="68">
    <w:p w14:paraId="57FE0732" w14:textId="77777777" w:rsidR="003B0831" w:rsidRDefault="003B0831" w:rsidP="00D60149">
      <w:pPr>
        <w:pStyle w:val="Textonotapie"/>
      </w:pPr>
      <w:r>
        <w:rPr>
          <w:rStyle w:val="Refdenotaalpie"/>
        </w:rPr>
        <w:footnoteRef/>
      </w:r>
      <w:r>
        <w:t xml:space="preserve"> </w:t>
      </w:r>
      <w:r>
        <w:tab/>
        <w:t xml:space="preserve">En dicho informe se indica que “se encuentran afiliados al SIS: Gregorio Hilario Quispe, Víctor Carhuapoma de la Cruz, Abilio Hilario Quispe, Zenón Cirilo Osnayo Tunque y Marcelina Guillén Riveras. Los señores Zósimo Hilario Quispe, Marino Huamaní Vergara y Marcelo Hilario Quispe no puede[n] ser afiliado[s] al SIS, debido que a la fecha cuenta[n] con afiliación activa al Seguro Social de Salud –ESSALUD”. </w:t>
      </w:r>
      <w:r>
        <w:rPr>
          <w:i/>
        </w:rPr>
        <w:t>Cfr.</w:t>
      </w:r>
      <w:r>
        <w:t xml:space="preserve"> Informe Nº 080-2019-SIS-GA-GADJ, suscripto por el Gerente de la Gerencia del Asegurado del Ministerio de Salud del Perú, de fecha 7 de octubre de 2019 (anexo 4 al informe estatal de 25 de octubre de 2019). </w:t>
      </w:r>
    </w:p>
  </w:footnote>
  <w:footnote w:id="69">
    <w:p w14:paraId="4766EC38" w14:textId="77777777" w:rsidR="003B0831" w:rsidRDefault="003B0831" w:rsidP="00D60149">
      <w:pPr>
        <w:pStyle w:val="Textonotapie"/>
      </w:pPr>
      <w:r>
        <w:rPr>
          <w:rStyle w:val="Refdenotaalpie"/>
        </w:rPr>
        <w:footnoteRef/>
      </w:r>
      <w:r>
        <w:t xml:space="preserve"> </w:t>
      </w:r>
      <w:r>
        <w:tab/>
        <w:t>A mayor detalle, en los documentos aportados por el Estado, se indica que “[e]l Seguro Integral de Salud brinda a todos sus asegurados […] la cobertura del Plan Esencial de Aseguramiento en Salud (PEAS) y el Plan Complementario al PEAS, que comprende atenciones médicas, psicológicas y psiquiátricas, medicamentos, insumos médicos y/o quirúrgicos y procedimientos requeridos para su atención, […] así como tratamiento de Enfermedades de Alto Costo […]; siendo las únicas excepciones atenciones que cuenten con otra fuente de financiamiento, atención fuera del territorio nacional e intervenciones médicas con fines estéticos”. Además, las personas aseguradas “pueden acudir al establecimiento de salud de su jurisdicción y de requerir una atención especializada podrán ser referidos por el médico tratante a un establecimiento de mayor capacidad resolutiva […]. Asimismo, de presentarse alguna emergencia, pueden recibir la atención médica en cualquier establecimiento de salud del país”.</w:t>
      </w:r>
      <w:r>
        <w:rPr>
          <w:b/>
        </w:rPr>
        <w:t xml:space="preserve"> </w:t>
      </w:r>
      <w:r>
        <w:rPr>
          <w:i/>
        </w:rPr>
        <w:t>Cfr.</w:t>
      </w:r>
      <w:r>
        <w:t xml:space="preserve"> Informe Nº 080-2019-SIS-GA-GADJ, suscripto por el Gerente de la Gerencia del Asegurado del Ministerio de Salud del Perú, de fecha 7 de octubre de 2019 (anexo 4 al informe estatal de 25 de octubre de 2019). </w:t>
      </w:r>
    </w:p>
  </w:footnote>
  <w:footnote w:id="70">
    <w:p w14:paraId="5280FF21" w14:textId="77777777" w:rsidR="003B0831" w:rsidRDefault="003B0831" w:rsidP="00D60149">
      <w:pPr>
        <w:pStyle w:val="Textonotapie"/>
      </w:pPr>
      <w:r>
        <w:rPr>
          <w:rStyle w:val="Refdenotaalpie"/>
        </w:rPr>
        <w:footnoteRef/>
      </w:r>
      <w:r>
        <w:t xml:space="preserve"> </w:t>
      </w:r>
      <w:r>
        <w:tab/>
      </w:r>
      <w:r>
        <w:rPr>
          <w:i/>
        </w:rPr>
        <w:t>Cfr.</w:t>
      </w:r>
      <w:r>
        <w:t xml:space="preserve"> Oficio Nº 1642-2019-JUS/CDJE-PPES, de fecha 19 de agosto de 2019 y Oficio Nº 2097-2019-JUS/CDJE-PPES, de fecha 21 de octubre de 2019 (anexos 5 y 6 al informe estatal de 25 de octubre de 2019). </w:t>
      </w:r>
    </w:p>
  </w:footnote>
  <w:footnote w:id="71">
    <w:p w14:paraId="426CF8C7" w14:textId="014EB528" w:rsidR="003B0831" w:rsidRDefault="003B0831" w:rsidP="00EA19B4">
      <w:pPr>
        <w:pStyle w:val="Textonotapie"/>
      </w:pPr>
      <w:r>
        <w:rPr>
          <w:rStyle w:val="Refdenotaalpie"/>
        </w:rPr>
        <w:footnoteRef/>
      </w:r>
      <w:r>
        <w:t xml:space="preserve"> </w:t>
      </w:r>
      <w:r>
        <w:tab/>
        <w:t xml:space="preserve">Durante la audiencia privada celebrada en 2020, los representantes manifestaron que “ninguna de las víctimas ha[bría] tenido acceso a atención psicológica y [que] el Estado no ha[bría] realizado ninguna acción tendiente a proveer este servicio”. </w:t>
      </w:r>
    </w:p>
  </w:footnote>
  <w:footnote w:id="72">
    <w:p w14:paraId="388FDF3F" w14:textId="183B239F" w:rsidR="003B0831" w:rsidRDefault="003B0831" w:rsidP="00FB668A">
      <w:pPr>
        <w:pStyle w:val="Textonotapie"/>
      </w:pPr>
      <w:r>
        <w:rPr>
          <w:rStyle w:val="Refdenotaalpie"/>
        </w:rPr>
        <w:footnoteRef/>
      </w:r>
      <w:r>
        <w:t xml:space="preserve"> </w:t>
      </w:r>
      <w:r>
        <w:tab/>
      </w:r>
      <w:r w:rsidRPr="00693606">
        <w:rPr>
          <w:i/>
        </w:rPr>
        <w:t>Cfr. Caso Gómez Palomino Vs. Perú. Supervisión de Cumplimiento de Sentencia</w:t>
      </w:r>
      <w:r w:rsidRPr="00693606">
        <w:t>. Resoluc</w:t>
      </w:r>
      <w:r w:rsidRPr="009F0586">
        <w:t xml:space="preserve">ión de la Corte Interamericana de Derechos Humanos de 5 de julio de 2011, Considerando 24 y </w:t>
      </w:r>
      <w:r w:rsidRPr="009F0586">
        <w:rPr>
          <w:i/>
        </w:rPr>
        <w:t>Caso Osorio Rivera y Familiares Vs. Perú</w:t>
      </w:r>
      <w:r w:rsidRPr="002B67C4">
        <w:t>,</w:t>
      </w:r>
      <w:r>
        <w:t xml:space="preserve"> </w:t>
      </w:r>
      <w:r w:rsidRPr="00FB668A">
        <w:rPr>
          <w:i/>
        </w:rPr>
        <w:t xml:space="preserve">supra </w:t>
      </w:r>
      <w:r w:rsidRPr="00FB668A">
        <w:t>nota 57, Considerando</w:t>
      </w:r>
      <w:r w:rsidRPr="002B67C4">
        <w:t xml:space="preserve"> 24.</w:t>
      </w:r>
      <w:r>
        <w:t xml:space="preserve"> </w:t>
      </w:r>
    </w:p>
  </w:footnote>
  <w:footnote w:id="73">
    <w:p w14:paraId="027454FF" w14:textId="74A7E769" w:rsidR="003B0831" w:rsidRDefault="003B0831" w:rsidP="00FB668A">
      <w:pPr>
        <w:pStyle w:val="Textonotapie"/>
      </w:pPr>
      <w:r>
        <w:rPr>
          <w:rStyle w:val="Refdenotaalpie"/>
        </w:rPr>
        <w:footnoteRef/>
      </w:r>
      <w:r>
        <w:t xml:space="preserve"> </w:t>
      </w:r>
      <w:r>
        <w:tab/>
      </w:r>
      <w:r w:rsidRPr="005F6C48">
        <w:rPr>
          <w:i/>
        </w:rPr>
        <w:t>Inter alia</w:t>
      </w:r>
      <w:r w:rsidRPr="005F6C48">
        <w:t xml:space="preserve">: </w:t>
      </w:r>
      <w:r w:rsidRPr="009F0586">
        <w:rPr>
          <w:i/>
        </w:rPr>
        <w:t>Caso del Penal Miguel Castro Castro Vs. Perú. Supervisión de Cumplimiento de Sentencia</w:t>
      </w:r>
      <w:r w:rsidRPr="009F0586">
        <w:t xml:space="preserve">. Resolución de la Corte Interamericana de Derechos Humanos de 31 de marzo de 2014, Considerando 46; </w:t>
      </w:r>
      <w:r w:rsidRPr="002B67C4">
        <w:rPr>
          <w:i/>
        </w:rPr>
        <w:t>Casos Fernández Ortega y otros y Rosendo Cantú y otra Vs. México. Supervisión de Cumplimiento de Sentencia</w:t>
      </w:r>
      <w:r w:rsidRPr="002B67C4">
        <w:t xml:space="preserve">. Resolución de la Corte Interamericana de Derechos Humanos de 21 de noviembre de 2014, Considerandos 16 a 20; </w:t>
      </w:r>
      <w:r w:rsidRPr="005F6C48">
        <w:rPr>
          <w:i/>
        </w:rPr>
        <w:t>Caso Contreras y otros Vs. El Salvador. Supervisión de Cumplimiento de Sentencia</w:t>
      </w:r>
      <w:r w:rsidRPr="005F6C48">
        <w:t xml:space="preserve">. Resolución de la Corte Interamericana de Derechos Humanos de 1 de septiembre de 2016, Considerando 21, </w:t>
      </w:r>
      <w:r w:rsidRPr="005F6C48">
        <w:rPr>
          <w:i/>
        </w:rPr>
        <w:t>Caso de las Hermanas Serrano Cruz Vs. El Salvador. Supervisión de Cumplimiento de Sentencia.</w:t>
      </w:r>
      <w:r w:rsidRPr="005F6C48">
        <w:t xml:space="preserve"> Resolución de la Corte Interamericana de Derechos Humanos de 1 de septiembre de 2016, Considerando 17, y </w:t>
      </w:r>
      <w:r w:rsidRPr="005F6C48">
        <w:rPr>
          <w:i/>
        </w:rPr>
        <w:t>Caso Osorio Rivera y Familiares Vs. Perú</w:t>
      </w:r>
      <w:r>
        <w:rPr>
          <w:i/>
        </w:rPr>
        <w:t xml:space="preserve">, </w:t>
      </w:r>
      <w:r w:rsidRPr="00FB668A">
        <w:rPr>
          <w:i/>
        </w:rPr>
        <w:t xml:space="preserve">supra </w:t>
      </w:r>
      <w:r w:rsidRPr="00FB668A">
        <w:t>nota 57,</w:t>
      </w:r>
      <w:r w:rsidRPr="005F6C48">
        <w:t xml:space="preserve"> Considerando 24.</w:t>
      </w:r>
      <w:r>
        <w:t xml:space="preserve"> </w:t>
      </w:r>
    </w:p>
  </w:footnote>
  <w:footnote w:id="74">
    <w:p w14:paraId="43ED7DB3" w14:textId="77777777" w:rsidR="003B0831" w:rsidRPr="003D429B" w:rsidRDefault="003B0831" w:rsidP="00FB668A">
      <w:pPr>
        <w:pStyle w:val="Textonotapie"/>
        <w:rPr>
          <w:lang w:val="es-ES"/>
        </w:rPr>
      </w:pPr>
      <w:r>
        <w:rPr>
          <w:rStyle w:val="Refdenotaalpie"/>
        </w:rPr>
        <w:footnoteRef/>
      </w:r>
      <w:r>
        <w:t xml:space="preserve"> </w:t>
      </w:r>
      <w:r>
        <w:rPr>
          <w:lang w:val="es-ES"/>
        </w:rPr>
        <w:tab/>
      </w:r>
      <w:r w:rsidRPr="00F81479">
        <w:rPr>
          <w:i/>
          <w:lang w:val="es-ES"/>
        </w:rPr>
        <w:t>Cfr. Caso García Asto y Ramírez Rojas Vs. Perú. Supervisión de Cumplimiento de Sentencia.</w:t>
      </w:r>
      <w:r w:rsidRPr="00380F21">
        <w:rPr>
          <w:lang w:val="es-ES"/>
        </w:rPr>
        <w:t xml:space="preserve"> Resolución de la Corte Interamericana de Derechos Humanos de 26 de noviembre de 2013, Considerando 11, y </w:t>
      </w:r>
      <w:r w:rsidRPr="002B67C4">
        <w:rPr>
          <w:i/>
          <w:lang w:val="es-ES"/>
        </w:rPr>
        <w:t>Caso García Asto y Ramírez Rojas Vs. Perú. Supervisión de Cumplimiento de Sentencia.</w:t>
      </w:r>
      <w:r w:rsidRPr="002B67C4">
        <w:rPr>
          <w:lang w:val="es-ES"/>
        </w:rPr>
        <w:t xml:space="preserve"> Resolución de la Corte Interamericana de Derechos Humanos de 22 de noviembre de 2019, Considerando 10.</w:t>
      </w:r>
      <w:r>
        <w:rPr>
          <w:lang w:val="es-ES"/>
        </w:rPr>
        <w:t xml:space="preserve">  </w:t>
      </w:r>
    </w:p>
  </w:footnote>
  <w:footnote w:id="75">
    <w:p w14:paraId="08FC0550" w14:textId="77777777" w:rsidR="003B0831" w:rsidRPr="006A41F8" w:rsidRDefault="003B0831" w:rsidP="00FB668A">
      <w:pPr>
        <w:pStyle w:val="Textonotapie"/>
        <w:rPr>
          <w:highlight w:val="red"/>
        </w:rPr>
      </w:pPr>
      <w:r>
        <w:rPr>
          <w:rStyle w:val="Refdenotaalpie"/>
        </w:rPr>
        <w:footnoteRef/>
      </w:r>
      <w:r>
        <w:t xml:space="preserve"> </w:t>
      </w:r>
      <w:r>
        <w:tab/>
      </w:r>
      <w:r w:rsidRPr="00380F21">
        <w:rPr>
          <w:i/>
        </w:rPr>
        <w:t>Cfr. Casos Fernández Ortega y otros y Rosendo Cantú y otra Vs. México</w:t>
      </w:r>
      <w:r w:rsidRPr="002B67C4">
        <w:t xml:space="preserve">, </w:t>
      </w:r>
      <w:r>
        <w:rPr>
          <w:i/>
        </w:rPr>
        <w:t xml:space="preserve">supra </w:t>
      </w:r>
      <w:r>
        <w:t xml:space="preserve">nota 79, </w:t>
      </w:r>
      <w:r w:rsidRPr="002B67C4">
        <w:t xml:space="preserve">Considerando 17, y </w:t>
      </w:r>
      <w:r w:rsidRPr="00380F21">
        <w:rPr>
          <w:i/>
        </w:rPr>
        <w:t>Caso Norín Catrimán y otros (dirigentes, miembros y activista del Pueblo Indígena Mapuche) Vs. Chile. Supervisión de Cumplimiento de Sentencia</w:t>
      </w:r>
      <w:r w:rsidRPr="00380F21">
        <w:t xml:space="preserve">. Resolución de la Corte Interamericana de Derechos Humanos de 21 de febrero de 2021, Considerando 29. </w:t>
      </w:r>
    </w:p>
  </w:footnote>
  <w:footnote w:id="76">
    <w:p w14:paraId="33907499" w14:textId="5E4833B7" w:rsidR="003B0831" w:rsidRDefault="003B0831" w:rsidP="00FB668A">
      <w:pPr>
        <w:pStyle w:val="Textonotapie"/>
      </w:pPr>
      <w:r w:rsidRPr="00C404B5">
        <w:rPr>
          <w:rStyle w:val="Refdenotaalpie"/>
        </w:rPr>
        <w:footnoteRef/>
      </w:r>
      <w:r w:rsidRPr="00C404B5">
        <w:t xml:space="preserve"> </w:t>
      </w:r>
      <w:r w:rsidRPr="00C404B5">
        <w:tab/>
      </w:r>
      <w:r w:rsidRPr="00C404B5">
        <w:rPr>
          <w:i/>
        </w:rPr>
        <w:t>Cfr. Caso Osorio Rivera y Familiares Vs. Perú</w:t>
      </w:r>
      <w:r>
        <w:rPr>
          <w:i/>
        </w:rPr>
        <w:t xml:space="preserve">, supra </w:t>
      </w:r>
      <w:r>
        <w:t xml:space="preserve">nota 57, </w:t>
      </w:r>
      <w:r w:rsidRPr="00284D01">
        <w:t>Considerando 24</w:t>
      </w:r>
      <w:r w:rsidRPr="002B67C4">
        <w:t>.</w:t>
      </w:r>
    </w:p>
  </w:footnote>
  <w:footnote w:id="77">
    <w:p w14:paraId="08E40265" w14:textId="77777777" w:rsidR="003B0831" w:rsidRDefault="003B0831" w:rsidP="00FB668A">
      <w:pPr>
        <w:pStyle w:val="Textonotapie"/>
        <w:rPr>
          <w:lang w:val="es-MX"/>
        </w:rPr>
      </w:pPr>
      <w:r>
        <w:rPr>
          <w:rStyle w:val="Refdenotaalpie"/>
        </w:rPr>
        <w:footnoteRef/>
      </w:r>
      <w:r>
        <w:t xml:space="preserve"> </w:t>
      </w:r>
      <w:r>
        <w:tab/>
      </w:r>
      <w:r>
        <w:rPr>
          <w:i/>
          <w:lang w:val="es-MX"/>
        </w:rPr>
        <w:t>Cfr.</w:t>
      </w:r>
      <w:r>
        <w:rPr>
          <w:lang w:val="es-MX"/>
        </w:rPr>
        <w:t xml:space="preserve"> Copia del Boletín Oficial “El Peruano” de 29 de diciembre de 2016, página 14 (anexo 2 al informe estatal de 2 de marzo de 2018).</w:t>
      </w:r>
      <w:r>
        <w:rPr>
          <w:b/>
          <w:lang w:val="es-MX"/>
        </w:rPr>
        <w:t xml:space="preserve"> </w:t>
      </w:r>
    </w:p>
  </w:footnote>
  <w:footnote w:id="78">
    <w:p w14:paraId="2E3C8587" w14:textId="77777777" w:rsidR="003B0831" w:rsidRDefault="003B0831" w:rsidP="00FB668A">
      <w:pPr>
        <w:pStyle w:val="Textonotapie"/>
      </w:pPr>
      <w:r>
        <w:rPr>
          <w:rStyle w:val="Refdenotaalpie"/>
        </w:rPr>
        <w:footnoteRef/>
      </w:r>
      <w:r>
        <w:t xml:space="preserve"> </w:t>
      </w:r>
      <w:r>
        <w:tab/>
      </w:r>
      <w:r>
        <w:rPr>
          <w:i/>
        </w:rPr>
        <w:t>Cfr.</w:t>
      </w:r>
      <w:r>
        <w:t xml:space="preserve"> Copia de la publicación realizada en el periódico “La República” de 18 de agosto de 2017, página 21 (anexo 1 al informe estatal de 25 de octubre de 2019). </w:t>
      </w:r>
    </w:p>
  </w:footnote>
  <w:footnote w:id="79">
    <w:p w14:paraId="62DB65A8" w14:textId="77777777" w:rsidR="003B0831" w:rsidRDefault="003B0831" w:rsidP="00FB668A">
      <w:pPr>
        <w:pStyle w:val="Textonotapie"/>
      </w:pPr>
      <w:r>
        <w:rPr>
          <w:rStyle w:val="Refdenotaalpie"/>
        </w:rPr>
        <w:footnoteRef/>
      </w:r>
      <w:r>
        <w:t xml:space="preserve"> </w:t>
      </w:r>
      <w:r>
        <w:tab/>
        <w:t xml:space="preserve">En su informe de noviembre de 2016 el Estado informó que el texto íntegro de la Sentencia se podía consultar “desde su notificación” en la página web del Ministerio de Justicia. El enlace proporcionado por el Estado es: https://www.minjus.gob.pe/sentencia-caso-comunidad-campesina-de-santa-barbara-vs-peru/. La última vez que la mencionada página fue visitada se pudo constatar que la Sentencia sigue disponible en el referido enlace (visitada por última vez el 21 de junio de 2021). </w:t>
      </w:r>
      <w:r>
        <w:rPr>
          <w:i/>
        </w:rPr>
        <w:t>Cfr</w:t>
      </w:r>
      <w:r>
        <w:t xml:space="preserve">. Informe estatal de 16 de noviembre de 2016.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A6027" w14:textId="0F2A7ACB" w:rsidR="003B0831" w:rsidRDefault="003B0831">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36DBC"/>
    <w:multiLevelType w:val="hybridMultilevel"/>
    <w:tmpl w:val="46D00F6C"/>
    <w:lvl w:ilvl="0" w:tplc="64FEFE3E">
      <w:start w:val="67"/>
      <w:numFmt w:val="decimal"/>
      <w:lvlText w:val="%1."/>
      <w:lvlJc w:val="left"/>
      <w:pPr>
        <w:ind w:left="1040" w:hanging="360"/>
      </w:pPr>
      <w:rPr>
        <w:rFonts w:hint="default"/>
      </w:rPr>
    </w:lvl>
    <w:lvl w:ilvl="1" w:tplc="140A0019" w:tentative="1">
      <w:start w:val="1"/>
      <w:numFmt w:val="lowerLetter"/>
      <w:lvlText w:val="%2."/>
      <w:lvlJc w:val="left"/>
      <w:pPr>
        <w:ind w:left="1760" w:hanging="360"/>
      </w:pPr>
    </w:lvl>
    <w:lvl w:ilvl="2" w:tplc="140A001B" w:tentative="1">
      <w:start w:val="1"/>
      <w:numFmt w:val="lowerRoman"/>
      <w:lvlText w:val="%3."/>
      <w:lvlJc w:val="right"/>
      <w:pPr>
        <w:ind w:left="2480" w:hanging="180"/>
      </w:pPr>
    </w:lvl>
    <w:lvl w:ilvl="3" w:tplc="140A000F" w:tentative="1">
      <w:start w:val="1"/>
      <w:numFmt w:val="decimal"/>
      <w:lvlText w:val="%4."/>
      <w:lvlJc w:val="left"/>
      <w:pPr>
        <w:ind w:left="3200" w:hanging="360"/>
      </w:pPr>
    </w:lvl>
    <w:lvl w:ilvl="4" w:tplc="140A0019" w:tentative="1">
      <w:start w:val="1"/>
      <w:numFmt w:val="lowerLetter"/>
      <w:lvlText w:val="%5."/>
      <w:lvlJc w:val="left"/>
      <w:pPr>
        <w:ind w:left="3920" w:hanging="360"/>
      </w:pPr>
    </w:lvl>
    <w:lvl w:ilvl="5" w:tplc="140A001B" w:tentative="1">
      <w:start w:val="1"/>
      <w:numFmt w:val="lowerRoman"/>
      <w:lvlText w:val="%6."/>
      <w:lvlJc w:val="right"/>
      <w:pPr>
        <w:ind w:left="4640" w:hanging="180"/>
      </w:pPr>
    </w:lvl>
    <w:lvl w:ilvl="6" w:tplc="140A000F" w:tentative="1">
      <w:start w:val="1"/>
      <w:numFmt w:val="decimal"/>
      <w:lvlText w:val="%7."/>
      <w:lvlJc w:val="left"/>
      <w:pPr>
        <w:ind w:left="5360" w:hanging="360"/>
      </w:pPr>
    </w:lvl>
    <w:lvl w:ilvl="7" w:tplc="140A0019" w:tentative="1">
      <w:start w:val="1"/>
      <w:numFmt w:val="lowerLetter"/>
      <w:lvlText w:val="%8."/>
      <w:lvlJc w:val="left"/>
      <w:pPr>
        <w:ind w:left="6080" w:hanging="360"/>
      </w:pPr>
    </w:lvl>
    <w:lvl w:ilvl="8" w:tplc="140A001B" w:tentative="1">
      <w:start w:val="1"/>
      <w:numFmt w:val="lowerRoman"/>
      <w:lvlText w:val="%9."/>
      <w:lvlJc w:val="right"/>
      <w:pPr>
        <w:ind w:left="6800" w:hanging="180"/>
      </w:pPr>
    </w:lvl>
  </w:abstractNum>
  <w:abstractNum w:abstractNumId="1" w15:restartNumberingAfterBreak="0">
    <w:nsid w:val="0F3B0ECD"/>
    <w:multiLevelType w:val="hybridMultilevel"/>
    <w:tmpl w:val="5686AB28"/>
    <w:lvl w:ilvl="0" w:tplc="C6DCA312">
      <w:start w:val="1"/>
      <w:numFmt w:val="lowerRoman"/>
      <w:lvlText w:val="%1)"/>
      <w:lvlJc w:val="left"/>
      <w:pPr>
        <w:ind w:left="1440" w:hanging="720"/>
      </w:pPr>
      <w:rPr>
        <w:rFonts w:hint="default"/>
        <w:b w:val="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 w15:restartNumberingAfterBreak="0">
    <w:nsid w:val="21185F3C"/>
    <w:multiLevelType w:val="multilevel"/>
    <w:tmpl w:val="2CE4901C"/>
    <w:lvl w:ilvl="0">
      <w:start w:val="1"/>
      <w:numFmt w:val="decimal"/>
      <w:lvlText w:val="%1."/>
      <w:lvlJc w:val="left"/>
      <w:pPr>
        <w:ind w:left="360" w:hanging="360"/>
      </w:pPr>
      <w:rPr>
        <w:rFonts w:ascii="Verdana" w:hAnsi="Verdana" w:hint="default"/>
        <w:b w:val="0"/>
        <w:i w:val="0"/>
        <w:strike w:val="0"/>
        <w:color w:val="auto"/>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5770D0E"/>
    <w:multiLevelType w:val="hybridMultilevel"/>
    <w:tmpl w:val="4FBC355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F0C0CDE"/>
    <w:multiLevelType w:val="hybridMultilevel"/>
    <w:tmpl w:val="FB1CE442"/>
    <w:lvl w:ilvl="0" w:tplc="5666F98C">
      <w:start w:val="1"/>
      <w:numFmt w:val="low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5" w15:restartNumberingAfterBreak="0">
    <w:nsid w:val="336B539A"/>
    <w:multiLevelType w:val="multilevel"/>
    <w:tmpl w:val="336B539A"/>
    <w:lvl w:ilvl="0">
      <w:start w:val="4"/>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4AE322C"/>
    <w:multiLevelType w:val="hybridMultilevel"/>
    <w:tmpl w:val="8048EE18"/>
    <w:lvl w:ilvl="0" w:tplc="AAAC3B76">
      <w:start w:val="61"/>
      <w:numFmt w:val="decimal"/>
      <w:lvlText w:val="%1."/>
      <w:lvlJc w:val="left"/>
      <w:pPr>
        <w:ind w:left="1040" w:hanging="360"/>
      </w:pPr>
      <w:rPr>
        <w:rFonts w:hint="default"/>
      </w:rPr>
    </w:lvl>
    <w:lvl w:ilvl="1" w:tplc="140A0019" w:tentative="1">
      <w:start w:val="1"/>
      <w:numFmt w:val="lowerLetter"/>
      <w:lvlText w:val="%2."/>
      <w:lvlJc w:val="left"/>
      <w:pPr>
        <w:ind w:left="1760" w:hanging="360"/>
      </w:pPr>
    </w:lvl>
    <w:lvl w:ilvl="2" w:tplc="140A001B" w:tentative="1">
      <w:start w:val="1"/>
      <w:numFmt w:val="lowerRoman"/>
      <w:lvlText w:val="%3."/>
      <w:lvlJc w:val="right"/>
      <w:pPr>
        <w:ind w:left="2480" w:hanging="180"/>
      </w:pPr>
    </w:lvl>
    <w:lvl w:ilvl="3" w:tplc="140A000F" w:tentative="1">
      <w:start w:val="1"/>
      <w:numFmt w:val="decimal"/>
      <w:lvlText w:val="%4."/>
      <w:lvlJc w:val="left"/>
      <w:pPr>
        <w:ind w:left="3200" w:hanging="360"/>
      </w:pPr>
    </w:lvl>
    <w:lvl w:ilvl="4" w:tplc="140A0019" w:tentative="1">
      <w:start w:val="1"/>
      <w:numFmt w:val="lowerLetter"/>
      <w:lvlText w:val="%5."/>
      <w:lvlJc w:val="left"/>
      <w:pPr>
        <w:ind w:left="3920" w:hanging="360"/>
      </w:pPr>
    </w:lvl>
    <w:lvl w:ilvl="5" w:tplc="140A001B" w:tentative="1">
      <w:start w:val="1"/>
      <w:numFmt w:val="lowerRoman"/>
      <w:lvlText w:val="%6."/>
      <w:lvlJc w:val="right"/>
      <w:pPr>
        <w:ind w:left="4640" w:hanging="180"/>
      </w:pPr>
    </w:lvl>
    <w:lvl w:ilvl="6" w:tplc="140A000F" w:tentative="1">
      <w:start w:val="1"/>
      <w:numFmt w:val="decimal"/>
      <w:lvlText w:val="%7."/>
      <w:lvlJc w:val="left"/>
      <w:pPr>
        <w:ind w:left="5360" w:hanging="360"/>
      </w:pPr>
    </w:lvl>
    <w:lvl w:ilvl="7" w:tplc="140A0019" w:tentative="1">
      <w:start w:val="1"/>
      <w:numFmt w:val="lowerLetter"/>
      <w:lvlText w:val="%8."/>
      <w:lvlJc w:val="left"/>
      <w:pPr>
        <w:ind w:left="6080" w:hanging="360"/>
      </w:pPr>
    </w:lvl>
    <w:lvl w:ilvl="8" w:tplc="140A001B" w:tentative="1">
      <w:start w:val="1"/>
      <w:numFmt w:val="lowerRoman"/>
      <w:lvlText w:val="%9."/>
      <w:lvlJc w:val="right"/>
      <w:pPr>
        <w:ind w:left="6800" w:hanging="180"/>
      </w:pPr>
    </w:lvl>
  </w:abstractNum>
  <w:abstractNum w:abstractNumId="7" w15:restartNumberingAfterBreak="0">
    <w:nsid w:val="3CAA099A"/>
    <w:multiLevelType w:val="multilevel"/>
    <w:tmpl w:val="3CAA099A"/>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3F9B713D"/>
    <w:multiLevelType w:val="multilevel"/>
    <w:tmpl w:val="3F9B713D"/>
    <w:lvl w:ilvl="0">
      <w:start w:val="1"/>
      <w:numFmt w:val="decimal"/>
      <w:pStyle w:val="Textonotaalfinal"/>
      <w:lvlText w:val="%1."/>
      <w:lvlJc w:val="left"/>
      <w:pPr>
        <w:ind w:left="720" w:hanging="720"/>
      </w:pPr>
      <w:rPr>
        <w:rFonts w:ascii="Verdana" w:hAnsi="Verdana" w:cs="Times New Roman" w:hint="default"/>
        <w:b w:val="0"/>
        <w:i w:val="0"/>
        <w:strike w:val="0"/>
        <w:color w:val="auto"/>
        <w:sz w:val="20"/>
        <w:szCs w:val="2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9" w15:restartNumberingAfterBreak="0">
    <w:nsid w:val="40A71481"/>
    <w:multiLevelType w:val="multilevel"/>
    <w:tmpl w:val="40A71481"/>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93C4222"/>
    <w:multiLevelType w:val="multilevel"/>
    <w:tmpl w:val="493C4222"/>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16B0ACB"/>
    <w:multiLevelType w:val="hybridMultilevel"/>
    <w:tmpl w:val="A53C7ABA"/>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69E66923"/>
    <w:multiLevelType w:val="multilevel"/>
    <w:tmpl w:val="69E6692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A5045B0"/>
    <w:multiLevelType w:val="hybridMultilevel"/>
    <w:tmpl w:val="63542876"/>
    <w:lvl w:ilvl="0" w:tplc="C24EBA3C">
      <w:start w:val="1"/>
      <w:numFmt w:val="decimal"/>
      <w:lvlText w:val="%1."/>
      <w:lvlJc w:val="left"/>
      <w:pPr>
        <w:ind w:left="720" w:hanging="360"/>
      </w:pPr>
      <w:rPr>
        <w:rFonts w:ascii="Verdana" w:hAnsi="Verdana" w:cs="Times New Roman" w:hint="default"/>
        <w:b w:val="0"/>
        <w:i w:val="0"/>
        <w:strike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6B0C7FEA"/>
    <w:multiLevelType w:val="multilevel"/>
    <w:tmpl w:val="6B0C7FE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DD96805"/>
    <w:multiLevelType w:val="hybridMultilevel"/>
    <w:tmpl w:val="B69E59E4"/>
    <w:lvl w:ilvl="0" w:tplc="5E5A02AA">
      <w:start w:val="1"/>
      <w:numFmt w:val="low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6" w15:restartNumberingAfterBreak="0">
    <w:nsid w:val="758713C9"/>
    <w:multiLevelType w:val="hybridMultilevel"/>
    <w:tmpl w:val="5636B7C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78D13DBC"/>
    <w:multiLevelType w:val="multilevel"/>
    <w:tmpl w:val="78D13DB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10"/>
  </w:num>
  <w:num w:numId="3">
    <w:abstractNumId w:val="2"/>
  </w:num>
  <w:num w:numId="4">
    <w:abstractNumId w:val="14"/>
  </w:num>
  <w:num w:numId="5">
    <w:abstractNumId w:val="7"/>
  </w:num>
  <w:num w:numId="6">
    <w:abstractNumId w:val="9"/>
  </w:num>
  <w:num w:numId="7">
    <w:abstractNumId w:val="5"/>
  </w:num>
  <w:num w:numId="8">
    <w:abstractNumId w:val="12"/>
  </w:num>
  <w:num w:numId="9">
    <w:abstractNumId w:val="17"/>
  </w:num>
  <w:num w:numId="10">
    <w:abstractNumId w:val="0"/>
  </w:num>
  <w:num w:numId="11">
    <w:abstractNumId w:val="6"/>
  </w:num>
  <w:num w:numId="12">
    <w:abstractNumId w:val="11"/>
  </w:num>
  <w:num w:numId="13">
    <w:abstractNumId w:val="15"/>
  </w:num>
  <w:num w:numId="14">
    <w:abstractNumId w:val="3"/>
  </w:num>
  <w:num w:numId="15">
    <w:abstractNumId w:val="13"/>
  </w:num>
  <w:num w:numId="16">
    <w:abstractNumId w:val="1"/>
  </w:num>
  <w:num w:numId="17">
    <w:abstractNumId w:val="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4E4"/>
    <w:rsid w:val="00001BC5"/>
    <w:rsid w:val="00002206"/>
    <w:rsid w:val="000057EF"/>
    <w:rsid w:val="00005BC2"/>
    <w:rsid w:val="000065C4"/>
    <w:rsid w:val="00010596"/>
    <w:rsid w:val="000134AE"/>
    <w:rsid w:val="00016715"/>
    <w:rsid w:val="00017698"/>
    <w:rsid w:val="00021408"/>
    <w:rsid w:val="000232D1"/>
    <w:rsid w:val="000235C8"/>
    <w:rsid w:val="00026642"/>
    <w:rsid w:val="00030A83"/>
    <w:rsid w:val="00034644"/>
    <w:rsid w:val="00036194"/>
    <w:rsid w:val="0003783A"/>
    <w:rsid w:val="00040DB5"/>
    <w:rsid w:val="0004118D"/>
    <w:rsid w:val="000419D9"/>
    <w:rsid w:val="00045AB0"/>
    <w:rsid w:val="00046FE6"/>
    <w:rsid w:val="00051A97"/>
    <w:rsid w:val="0005301A"/>
    <w:rsid w:val="00054A73"/>
    <w:rsid w:val="00054C14"/>
    <w:rsid w:val="00057C59"/>
    <w:rsid w:val="0006031B"/>
    <w:rsid w:val="000605EE"/>
    <w:rsid w:val="0006517B"/>
    <w:rsid w:val="00067585"/>
    <w:rsid w:val="000677A1"/>
    <w:rsid w:val="000703AC"/>
    <w:rsid w:val="00070B67"/>
    <w:rsid w:val="000712E7"/>
    <w:rsid w:val="0007282E"/>
    <w:rsid w:val="0007358E"/>
    <w:rsid w:val="00081430"/>
    <w:rsid w:val="00083076"/>
    <w:rsid w:val="000833A5"/>
    <w:rsid w:val="00085917"/>
    <w:rsid w:val="00091613"/>
    <w:rsid w:val="00094664"/>
    <w:rsid w:val="00094AF7"/>
    <w:rsid w:val="000965A4"/>
    <w:rsid w:val="000A3223"/>
    <w:rsid w:val="000A33A7"/>
    <w:rsid w:val="000A51F2"/>
    <w:rsid w:val="000B2252"/>
    <w:rsid w:val="000B39BF"/>
    <w:rsid w:val="000B5967"/>
    <w:rsid w:val="000B7BBF"/>
    <w:rsid w:val="000C06BB"/>
    <w:rsid w:val="000C4F15"/>
    <w:rsid w:val="000C7FB0"/>
    <w:rsid w:val="000D238B"/>
    <w:rsid w:val="000D306B"/>
    <w:rsid w:val="000D35FB"/>
    <w:rsid w:val="000D46EB"/>
    <w:rsid w:val="000D4A75"/>
    <w:rsid w:val="000D4CDC"/>
    <w:rsid w:val="000D5227"/>
    <w:rsid w:val="000D5FD0"/>
    <w:rsid w:val="000D7081"/>
    <w:rsid w:val="000E09EA"/>
    <w:rsid w:val="000E3769"/>
    <w:rsid w:val="000E4B53"/>
    <w:rsid w:val="000E6E32"/>
    <w:rsid w:val="000E78DA"/>
    <w:rsid w:val="000F037F"/>
    <w:rsid w:val="000F097D"/>
    <w:rsid w:val="000F38F4"/>
    <w:rsid w:val="000F589C"/>
    <w:rsid w:val="000F623A"/>
    <w:rsid w:val="0010235E"/>
    <w:rsid w:val="0010510A"/>
    <w:rsid w:val="00106461"/>
    <w:rsid w:val="00106647"/>
    <w:rsid w:val="001066E2"/>
    <w:rsid w:val="0010680F"/>
    <w:rsid w:val="00107533"/>
    <w:rsid w:val="00111335"/>
    <w:rsid w:val="00111BD5"/>
    <w:rsid w:val="00113BEB"/>
    <w:rsid w:val="00113E65"/>
    <w:rsid w:val="0011469E"/>
    <w:rsid w:val="00115157"/>
    <w:rsid w:val="00116634"/>
    <w:rsid w:val="001178C4"/>
    <w:rsid w:val="001221FC"/>
    <w:rsid w:val="00124DCA"/>
    <w:rsid w:val="00127E9C"/>
    <w:rsid w:val="00132AAE"/>
    <w:rsid w:val="00133DD8"/>
    <w:rsid w:val="00134A12"/>
    <w:rsid w:val="0013510D"/>
    <w:rsid w:val="001375C7"/>
    <w:rsid w:val="00140E16"/>
    <w:rsid w:val="0014167E"/>
    <w:rsid w:val="00151F78"/>
    <w:rsid w:val="001533D3"/>
    <w:rsid w:val="0015529F"/>
    <w:rsid w:val="00156CE4"/>
    <w:rsid w:val="0016047E"/>
    <w:rsid w:val="00160673"/>
    <w:rsid w:val="0016352E"/>
    <w:rsid w:val="00165BB3"/>
    <w:rsid w:val="001665C7"/>
    <w:rsid w:val="00171E07"/>
    <w:rsid w:val="0017266F"/>
    <w:rsid w:val="00173014"/>
    <w:rsid w:val="0017413F"/>
    <w:rsid w:val="00175696"/>
    <w:rsid w:val="00175EC7"/>
    <w:rsid w:val="00177852"/>
    <w:rsid w:val="00180448"/>
    <w:rsid w:val="001809C3"/>
    <w:rsid w:val="001841C8"/>
    <w:rsid w:val="001848D9"/>
    <w:rsid w:val="0018535F"/>
    <w:rsid w:val="001919ED"/>
    <w:rsid w:val="00191B99"/>
    <w:rsid w:val="00194DB5"/>
    <w:rsid w:val="00196DF1"/>
    <w:rsid w:val="0019716C"/>
    <w:rsid w:val="001A4094"/>
    <w:rsid w:val="001A6E13"/>
    <w:rsid w:val="001A6E31"/>
    <w:rsid w:val="001B1749"/>
    <w:rsid w:val="001B35C1"/>
    <w:rsid w:val="001B4766"/>
    <w:rsid w:val="001B4F59"/>
    <w:rsid w:val="001B64F1"/>
    <w:rsid w:val="001C1163"/>
    <w:rsid w:val="001C1FA6"/>
    <w:rsid w:val="001C347E"/>
    <w:rsid w:val="001C3A33"/>
    <w:rsid w:val="001C47A9"/>
    <w:rsid w:val="001D2671"/>
    <w:rsid w:val="001D3A90"/>
    <w:rsid w:val="001D5386"/>
    <w:rsid w:val="001D54AF"/>
    <w:rsid w:val="001D593C"/>
    <w:rsid w:val="001D6040"/>
    <w:rsid w:val="001D77BC"/>
    <w:rsid w:val="001E216E"/>
    <w:rsid w:val="001E4E2C"/>
    <w:rsid w:val="001E5083"/>
    <w:rsid w:val="001E5432"/>
    <w:rsid w:val="001E59F6"/>
    <w:rsid w:val="001E6E78"/>
    <w:rsid w:val="001F3B2A"/>
    <w:rsid w:val="001F45CF"/>
    <w:rsid w:val="001F64CD"/>
    <w:rsid w:val="00201B1B"/>
    <w:rsid w:val="00202BF2"/>
    <w:rsid w:val="00203265"/>
    <w:rsid w:val="00206D57"/>
    <w:rsid w:val="00211DA5"/>
    <w:rsid w:val="002122D7"/>
    <w:rsid w:val="002131DC"/>
    <w:rsid w:val="00213B97"/>
    <w:rsid w:val="002143AB"/>
    <w:rsid w:val="0022033F"/>
    <w:rsid w:val="00221903"/>
    <w:rsid w:val="00232126"/>
    <w:rsid w:val="00232363"/>
    <w:rsid w:val="00233230"/>
    <w:rsid w:val="002338D1"/>
    <w:rsid w:val="00235E5C"/>
    <w:rsid w:val="0023625B"/>
    <w:rsid w:val="00237EBC"/>
    <w:rsid w:val="00240B24"/>
    <w:rsid w:val="00245CDF"/>
    <w:rsid w:val="002463E0"/>
    <w:rsid w:val="002466D6"/>
    <w:rsid w:val="002530B2"/>
    <w:rsid w:val="00260DA3"/>
    <w:rsid w:val="00261546"/>
    <w:rsid w:val="002631E2"/>
    <w:rsid w:val="002641A7"/>
    <w:rsid w:val="002645D3"/>
    <w:rsid w:val="00265558"/>
    <w:rsid w:val="002666C8"/>
    <w:rsid w:val="002707C3"/>
    <w:rsid w:val="002711DC"/>
    <w:rsid w:val="0027346B"/>
    <w:rsid w:val="00273718"/>
    <w:rsid w:val="00275391"/>
    <w:rsid w:val="0027664D"/>
    <w:rsid w:val="00277534"/>
    <w:rsid w:val="002845E4"/>
    <w:rsid w:val="0028485D"/>
    <w:rsid w:val="002874FF"/>
    <w:rsid w:val="002876ED"/>
    <w:rsid w:val="00287E0E"/>
    <w:rsid w:val="0029038D"/>
    <w:rsid w:val="002914E9"/>
    <w:rsid w:val="002919F8"/>
    <w:rsid w:val="002924E6"/>
    <w:rsid w:val="00297D33"/>
    <w:rsid w:val="00297E12"/>
    <w:rsid w:val="00297EF2"/>
    <w:rsid w:val="002A06C9"/>
    <w:rsid w:val="002A097E"/>
    <w:rsid w:val="002A17A7"/>
    <w:rsid w:val="002A3783"/>
    <w:rsid w:val="002A399A"/>
    <w:rsid w:val="002A45AD"/>
    <w:rsid w:val="002A4789"/>
    <w:rsid w:val="002A4D6B"/>
    <w:rsid w:val="002A5398"/>
    <w:rsid w:val="002A6E1D"/>
    <w:rsid w:val="002A75DA"/>
    <w:rsid w:val="002B04B3"/>
    <w:rsid w:val="002B3461"/>
    <w:rsid w:val="002B388F"/>
    <w:rsid w:val="002B525F"/>
    <w:rsid w:val="002B5B09"/>
    <w:rsid w:val="002C1314"/>
    <w:rsid w:val="002C2BF2"/>
    <w:rsid w:val="002C4652"/>
    <w:rsid w:val="002C54A1"/>
    <w:rsid w:val="002C5E8F"/>
    <w:rsid w:val="002C6308"/>
    <w:rsid w:val="002D3503"/>
    <w:rsid w:val="002D40C6"/>
    <w:rsid w:val="002D5C63"/>
    <w:rsid w:val="002D7E81"/>
    <w:rsid w:val="002E07B0"/>
    <w:rsid w:val="002E1CA1"/>
    <w:rsid w:val="002E1D0D"/>
    <w:rsid w:val="002E2E94"/>
    <w:rsid w:val="002E5CF3"/>
    <w:rsid w:val="002E69B8"/>
    <w:rsid w:val="002F080C"/>
    <w:rsid w:val="002F5379"/>
    <w:rsid w:val="002F5A03"/>
    <w:rsid w:val="002F71A4"/>
    <w:rsid w:val="00301276"/>
    <w:rsid w:val="0030466E"/>
    <w:rsid w:val="003048D3"/>
    <w:rsid w:val="0031253E"/>
    <w:rsid w:val="00313AB7"/>
    <w:rsid w:val="0031594B"/>
    <w:rsid w:val="00320ACD"/>
    <w:rsid w:val="00320F22"/>
    <w:rsid w:val="00322846"/>
    <w:rsid w:val="003232BC"/>
    <w:rsid w:val="0032384C"/>
    <w:rsid w:val="00324D48"/>
    <w:rsid w:val="00325430"/>
    <w:rsid w:val="00331F70"/>
    <w:rsid w:val="0033370A"/>
    <w:rsid w:val="003401F3"/>
    <w:rsid w:val="0034185F"/>
    <w:rsid w:val="00341C06"/>
    <w:rsid w:val="00342FFD"/>
    <w:rsid w:val="00343942"/>
    <w:rsid w:val="003446E5"/>
    <w:rsid w:val="003458E5"/>
    <w:rsid w:val="00351895"/>
    <w:rsid w:val="00351D36"/>
    <w:rsid w:val="00353DF0"/>
    <w:rsid w:val="00355543"/>
    <w:rsid w:val="00360A6A"/>
    <w:rsid w:val="00361866"/>
    <w:rsid w:val="003666B8"/>
    <w:rsid w:val="00367678"/>
    <w:rsid w:val="00370468"/>
    <w:rsid w:val="003725BA"/>
    <w:rsid w:val="003729DB"/>
    <w:rsid w:val="003804FD"/>
    <w:rsid w:val="003805B3"/>
    <w:rsid w:val="00380A73"/>
    <w:rsid w:val="0038153D"/>
    <w:rsid w:val="00381B8F"/>
    <w:rsid w:val="00382645"/>
    <w:rsid w:val="0038374D"/>
    <w:rsid w:val="00383EFE"/>
    <w:rsid w:val="00385354"/>
    <w:rsid w:val="00385AB6"/>
    <w:rsid w:val="00386E0A"/>
    <w:rsid w:val="00390469"/>
    <w:rsid w:val="00390F73"/>
    <w:rsid w:val="00391E8F"/>
    <w:rsid w:val="00392C16"/>
    <w:rsid w:val="00393ED8"/>
    <w:rsid w:val="00395501"/>
    <w:rsid w:val="0039683A"/>
    <w:rsid w:val="00396BC3"/>
    <w:rsid w:val="0039751C"/>
    <w:rsid w:val="00397A57"/>
    <w:rsid w:val="003A3E55"/>
    <w:rsid w:val="003A59E1"/>
    <w:rsid w:val="003A7425"/>
    <w:rsid w:val="003A7A26"/>
    <w:rsid w:val="003B0831"/>
    <w:rsid w:val="003B0AC0"/>
    <w:rsid w:val="003B2354"/>
    <w:rsid w:val="003B5B36"/>
    <w:rsid w:val="003B5F3F"/>
    <w:rsid w:val="003B75D3"/>
    <w:rsid w:val="003B7924"/>
    <w:rsid w:val="003C2B33"/>
    <w:rsid w:val="003C3C7A"/>
    <w:rsid w:val="003C4CA3"/>
    <w:rsid w:val="003C4F43"/>
    <w:rsid w:val="003C7439"/>
    <w:rsid w:val="003D031E"/>
    <w:rsid w:val="003D0EDE"/>
    <w:rsid w:val="003D1D1C"/>
    <w:rsid w:val="003D429B"/>
    <w:rsid w:val="003D4A29"/>
    <w:rsid w:val="003D55C0"/>
    <w:rsid w:val="003D5DFA"/>
    <w:rsid w:val="003D7CFC"/>
    <w:rsid w:val="003E1857"/>
    <w:rsid w:val="003E333D"/>
    <w:rsid w:val="003E3A89"/>
    <w:rsid w:val="003E5BB6"/>
    <w:rsid w:val="003F4393"/>
    <w:rsid w:val="003F523E"/>
    <w:rsid w:val="003F59BC"/>
    <w:rsid w:val="003F5FCD"/>
    <w:rsid w:val="003F6C52"/>
    <w:rsid w:val="004001D2"/>
    <w:rsid w:val="00402402"/>
    <w:rsid w:val="004062CC"/>
    <w:rsid w:val="0040684E"/>
    <w:rsid w:val="004102F4"/>
    <w:rsid w:val="00412125"/>
    <w:rsid w:val="00412B63"/>
    <w:rsid w:val="004156CB"/>
    <w:rsid w:val="00417839"/>
    <w:rsid w:val="004203AA"/>
    <w:rsid w:val="004211D7"/>
    <w:rsid w:val="0042240F"/>
    <w:rsid w:val="0042261D"/>
    <w:rsid w:val="0042694B"/>
    <w:rsid w:val="00427D8B"/>
    <w:rsid w:val="00432C15"/>
    <w:rsid w:val="00433CF5"/>
    <w:rsid w:val="004349F3"/>
    <w:rsid w:val="00435A2E"/>
    <w:rsid w:val="004365BD"/>
    <w:rsid w:val="00437BAD"/>
    <w:rsid w:val="00440B3D"/>
    <w:rsid w:val="00440D17"/>
    <w:rsid w:val="00441922"/>
    <w:rsid w:val="00441A97"/>
    <w:rsid w:val="0044212B"/>
    <w:rsid w:val="0044276B"/>
    <w:rsid w:val="00444575"/>
    <w:rsid w:val="00451EB0"/>
    <w:rsid w:val="0045297A"/>
    <w:rsid w:val="00453E4B"/>
    <w:rsid w:val="00454482"/>
    <w:rsid w:val="00455412"/>
    <w:rsid w:val="00457704"/>
    <w:rsid w:val="00461EFD"/>
    <w:rsid w:val="004639EB"/>
    <w:rsid w:val="004679BE"/>
    <w:rsid w:val="0047021A"/>
    <w:rsid w:val="004703E6"/>
    <w:rsid w:val="0047183B"/>
    <w:rsid w:val="00476A72"/>
    <w:rsid w:val="0048015E"/>
    <w:rsid w:val="00481DE3"/>
    <w:rsid w:val="00481E21"/>
    <w:rsid w:val="004841C7"/>
    <w:rsid w:val="004908F6"/>
    <w:rsid w:val="004909E1"/>
    <w:rsid w:val="00490CB8"/>
    <w:rsid w:val="00492D33"/>
    <w:rsid w:val="00494AD3"/>
    <w:rsid w:val="00495B8D"/>
    <w:rsid w:val="00495D01"/>
    <w:rsid w:val="004960D2"/>
    <w:rsid w:val="00496430"/>
    <w:rsid w:val="004964DC"/>
    <w:rsid w:val="00497758"/>
    <w:rsid w:val="004A0782"/>
    <w:rsid w:val="004A1AC3"/>
    <w:rsid w:val="004A1C12"/>
    <w:rsid w:val="004A2728"/>
    <w:rsid w:val="004A2EF7"/>
    <w:rsid w:val="004A3ECC"/>
    <w:rsid w:val="004A5984"/>
    <w:rsid w:val="004A6BEB"/>
    <w:rsid w:val="004A724D"/>
    <w:rsid w:val="004A7F51"/>
    <w:rsid w:val="004B58CC"/>
    <w:rsid w:val="004B6B13"/>
    <w:rsid w:val="004C0D33"/>
    <w:rsid w:val="004C27AB"/>
    <w:rsid w:val="004D402E"/>
    <w:rsid w:val="004D42B6"/>
    <w:rsid w:val="004D60A8"/>
    <w:rsid w:val="004D7B90"/>
    <w:rsid w:val="004E1CED"/>
    <w:rsid w:val="004E7835"/>
    <w:rsid w:val="004F0DD6"/>
    <w:rsid w:val="004F336C"/>
    <w:rsid w:val="004F47DC"/>
    <w:rsid w:val="004F592E"/>
    <w:rsid w:val="004F6126"/>
    <w:rsid w:val="004F738B"/>
    <w:rsid w:val="00502774"/>
    <w:rsid w:val="00503A7B"/>
    <w:rsid w:val="00505E9C"/>
    <w:rsid w:val="00511F66"/>
    <w:rsid w:val="005161DB"/>
    <w:rsid w:val="00521E25"/>
    <w:rsid w:val="00522491"/>
    <w:rsid w:val="00522EA1"/>
    <w:rsid w:val="005230FC"/>
    <w:rsid w:val="00526F07"/>
    <w:rsid w:val="00526F78"/>
    <w:rsid w:val="005273AC"/>
    <w:rsid w:val="005279D6"/>
    <w:rsid w:val="0053170A"/>
    <w:rsid w:val="00532636"/>
    <w:rsid w:val="00536BB0"/>
    <w:rsid w:val="00540882"/>
    <w:rsid w:val="00543774"/>
    <w:rsid w:val="00543E62"/>
    <w:rsid w:val="00545D94"/>
    <w:rsid w:val="005476BA"/>
    <w:rsid w:val="00547EB2"/>
    <w:rsid w:val="005608D1"/>
    <w:rsid w:val="00563353"/>
    <w:rsid w:val="00565CA6"/>
    <w:rsid w:val="00570303"/>
    <w:rsid w:val="0057177B"/>
    <w:rsid w:val="00571E94"/>
    <w:rsid w:val="005740DA"/>
    <w:rsid w:val="005771A9"/>
    <w:rsid w:val="005835CE"/>
    <w:rsid w:val="00585462"/>
    <w:rsid w:val="0058568D"/>
    <w:rsid w:val="005863E6"/>
    <w:rsid w:val="00587F3A"/>
    <w:rsid w:val="00591256"/>
    <w:rsid w:val="00592989"/>
    <w:rsid w:val="00593A0D"/>
    <w:rsid w:val="00593B8D"/>
    <w:rsid w:val="00594496"/>
    <w:rsid w:val="00596993"/>
    <w:rsid w:val="00597512"/>
    <w:rsid w:val="005A03DF"/>
    <w:rsid w:val="005A053E"/>
    <w:rsid w:val="005A1FD9"/>
    <w:rsid w:val="005A310D"/>
    <w:rsid w:val="005B03A5"/>
    <w:rsid w:val="005B5A0A"/>
    <w:rsid w:val="005B731C"/>
    <w:rsid w:val="005B77E3"/>
    <w:rsid w:val="005C0BC3"/>
    <w:rsid w:val="005C30E2"/>
    <w:rsid w:val="005C4BEC"/>
    <w:rsid w:val="005C585E"/>
    <w:rsid w:val="005D3269"/>
    <w:rsid w:val="005D65E7"/>
    <w:rsid w:val="005E36A1"/>
    <w:rsid w:val="005F011D"/>
    <w:rsid w:val="005F019D"/>
    <w:rsid w:val="005F06D5"/>
    <w:rsid w:val="005F06EA"/>
    <w:rsid w:val="005F1332"/>
    <w:rsid w:val="005F2902"/>
    <w:rsid w:val="005F3159"/>
    <w:rsid w:val="005F373A"/>
    <w:rsid w:val="005F3A1C"/>
    <w:rsid w:val="005F70B3"/>
    <w:rsid w:val="005F79F1"/>
    <w:rsid w:val="005F7BAE"/>
    <w:rsid w:val="006001DD"/>
    <w:rsid w:val="006026CA"/>
    <w:rsid w:val="0060309E"/>
    <w:rsid w:val="00603E99"/>
    <w:rsid w:val="006054D7"/>
    <w:rsid w:val="006057A4"/>
    <w:rsid w:val="00606580"/>
    <w:rsid w:val="006067D8"/>
    <w:rsid w:val="006074C6"/>
    <w:rsid w:val="006150CD"/>
    <w:rsid w:val="006153F8"/>
    <w:rsid w:val="0061582F"/>
    <w:rsid w:val="006166F5"/>
    <w:rsid w:val="00617D20"/>
    <w:rsid w:val="006202A5"/>
    <w:rsid w:val="00620C7F"/>
    <w:rsid w:val="00620E31"/>
    <w:rsid w:val="006232EA"/>
    <w:rsid w:val="00624AC8"/>
    <w:rsid w:val="006315DB"/>
    <w:rsid w:val="0063245C"/>
    <w:rsid w:val="00635794"/>
    <w:rsid w:val="0063641A"/>
    <w:rsid w:val="00637A26"/>
    <w:rsid w:val="00643156"/>
    <w:rsid w:val="00651E27"/>
    <w:rsid w:val="006525CC"/>
    <w:rsid w:val="0065310E"/>
    <w:rsid w:val="0065643D"/>
    <w:rsid w:val="00656675"/>
    <w:rsid w:val="00656AF6"/>
    <w:rsid w:val="0066221A"/>
    <w:rsid w:val="0066371E"/>
    <w:rsid w:val="006641C5"/>
    <w:rsid w:val="0066568A"/>
    <w:rsid w:val="00665ECF"/>
    <w:rsid w:val="006661A6"/>
    <w:rsid w:val="00670775"/>
    <w:rsid w:val="00670973"/>
    <w:rsid w:val="006715E4"/>
    <w:rsid w:val="00673FB9"/>
    <w:rsid w:val="00673FF5"/>
    <w:rsid w:val="006756CB"/>
    <w:rsid w:val="0067616B"/>
    <w:rsid w:val="00676EC3"/>
    <w:rsid w:val="006779A5"/>
    <w:rsid w:val="00681D64"/>
    <w:rsid w:val="00690FE6"/>
    <w:rsid w:val="00692E2E"/>
    <w:rsid w:val="00693558"/>
    <w:rsid w:val="00693BA5"/>
    <w:rsid w:val="00694AE4"/>
    <w:rsid w:val="00697118"/>
    <w:rsid w:val="00697F96"/>
    <w:rsid w:val="006A004C"/>
    <w:rsid w:val="006A364F"/>
    <w:rsid w:val="006A70CE"/>
    <w:rsid w:val="006B1B18"/>
    <w:rsid w:val="006B46D4"/>
    <w:rsid w:val="006B58EC"/>
    <w:rsid w:val="006C41BB"/>
    <w:rsid w:val="006C46FF"/>
    <w:rsid w:val="006C57F3"/>
    <w:rsid w:val="006C6BF5"/>
    <w:rsid w:val="006D03EC"/>
    <w:rsid w:val="006D1561"/>
    <w:rsid w:val="006D1B72"/>
    <w:rsid w:val="006D1D15"/>
    <w:rsid w:val="006D48E7"/>
    <w:rsid w:val="006D6724"/>
    <w:rsid w:val="006D78C6"/>
    <w:rsid w:val="006E093B"/>
    <w:rsid w:val="006E2C2F"/>
    <w:rsid w:val="006E588A"/>
    <w:rsid w:val="006E6001"/>
    <w:rsid w:val="006E7076"/>
    <w:rsid w:val="006F210E"/>
    <w:rsid w:val="006F4AC2"/>
    <w:rsid w:val="006F4F12"/>
    <w:rsid w:val="006F761A"/>
    <w:rsid w:val="007021ED"/>
    <w:rsid w:val="00704123"/>
    <w:rsid w:val="007046E9"/>
    <w:rsid w:val="00706E26"/>
    <w:rsid w:val="00711DCC"/>
    <w:rsid w:val="007212BE"/>
    <w:rsid w:val="00721AFA"/>
    <w:rsid w:val="00722012"/>
    <w:rsid w:val="00722337"/>
    <w:rsid w:val="00722CC2"/>
    <w:rsid w:val="00723324"/>
    <w:rsid w:val="00723E9C"/>
    <w:rsid w:val="00724805"/>
    <w:rsid w:val="00726B73"/>
    <w:rsid w:val="00727B31"/>
    <w:rsid w:val="00727C1E"/>
    <w:rsid w:val="007333E8"/>
    <w:rsid w:val="00733B66"/>
    <w:rsid w:val="00735ABF"/>
    <w:rsid w:val="00736510"/>
    <w:rsid w:val="00740764"/>
    <w:rsid w:val="00740D6B"/>
    <w:rsid w:val="00741991"/>
    <w:rsid w:val="0074454F"/>
    <w:rsid w:val="007452B9"/>
    <w:rsid w:val="0074644F"/>
    <w:rsid w:val="00747F83"/>
    <w:rsid w:val="007500DF"/>
    <w:rsid w:val="00751210"/>
    <w:rsid w:val="00751535"/>
    <w:rsid w:val="007522D2"/>
    <w:rsid w:val="007527A6"/>
    <w:rsid w:val="00755D31"/>
    <w:rsid w:val="007562BC"/>
    <w:rsid w:val="007566A9"/>
    <w:rsid w:val="0075678E"/>
    <w:rsid w:val="00756F7D"/>
    <w:rsid w:val="007609A4"/>
    <w:rsid w:val="00763358"/>
    <w:rsid w:val="00781B47"/>
    <w:rsid w:val="00782724"/>
    <w:rsid w:val="00784E59"/>
    <w:rsid w:val="007863F0"/>
    <w:rsid w:val="0079043C"/>
    <w:rsid w:val="00794C17"/>
    <w:rsid w:val="00796179"/>
    <w:rsid w:val="00796D6C"/>
    <w:rsid w:val="007A0E67"/>
    <w:rsid w:val="007A1208"/>
    <w:rsid w:val="007A15C2"/>
    <w:rsid w:val="007A2CB1"/>
    <w:rsid w:val="007A35F8"/>
    <w:rsid w:val="007A5198"/>
    <w:rsid w:val="007A68B6"/>
    <w:rsid w:val="007A6F3D"/>
    <w:rsid w:val="007A7AF1"/>
    <w:rsid w:val="007B2934"/>
    <w:rsid w:val="007B2F61"/>
    <w:rsid w:val="007B4299"/>
    <w:rsid w:val="007C1753"/>
    <w:rsid w:val="007C2811"/>
    <w:rsid w:val="007C4205"/>
    <w:rsid w:val="007C4DFC"/>
    <w:rsid w:val="007C6115"/>
    <w:rsid w:val="007D4908"/>
    <w:rsid w:val="007D6F1F"/>
    <w:rsid w:val="007D7BCB"/>
    <w:rsid w:val="007E36F8"/>
    <w:rsid w:val="007E3B13"/>
    <w:rsid w:val="007E41A9"/>
    <w:rsid w:val="007E48A5"/>
    <w:rsid w:val="007E7540"/>
    <w:rsid w:val="007E7CFB"/>
    <w:rsid w:val="007F0CF7"/>
    <w:rsid w:val="007F3F71"/>
    <w:rsid w:val="007F5530"/>
    <w:rsid w:val="007F71DD"/>
    <w:rsid w:val="007F74E4"/>
    <w:rsid w:val="008005BB"/>
    <w:rsid w:val="00801185"/>
    <w:rsid w:val="00807E9B"/>
    <w:rsid w:val="00812194"/>
    <w:rsid w:val="00812326"/>
    <w:rsid w:val="008140F6"/>
    <w:rsid w:val="00814A89"/>
    <w:rsid w:val="00816111"/>
    <w:rsid w:val="008162B7"/>
    <w:rsid w:val="00821516"/>
    <w:rsid w:val="00821982"/>
    <w:rsid w:val="00822120"/>
    <w:rsid w:val="00822C47"/>
    <w:rsid w:val="008268F8"/>
    <w:rsid w:val="00826BA5"/>
    <w:rsid w:val="00830BE1"/>
    <w:rsid w:val="00832AA9"/>
    <w:rsid w:val="0083587F"/>
    <w:rsid w:val="00835E48"/>
    <w:rsid w:val="008369CE"/>
    <w:rsid w:val="008408C1"/>
    <w:rsid w:val="00840B51"/>
    <w:rsid w:val="008413E2"/>
    <w:rsid w:val="0084160D"/>
    <w:rsid w:val="0084162D"/>
    <w:rsid w:val="00841FC8"/>
    <w:rsid w:val="008429BC"/>
    <w:rsid w:val="008457F1"/>
    <w:rsid w:val="00845BED"/>
    <w:rsid w:val="00847ABF"/>
    <w:rsid w:val="008505C8"/>
    <w:rsid w:val="00851D4E"/>
    <w:rsid w:val="00854C01"/>
    <w:rsid w:val="00855964"/>
    <w:rsid w:val="00857C3E"/>
    <w:rsid w:val="00860883"/>
    <w:rsid w:val="00861763"/>
    <w:rsid w:val="0086198A"/>
    <w:rsid w:val="008636D3"/>
    <w:rsid w:val="00866044"/>
    <w:rsid w:val="00871758"/>
    <w:rsid w:val="00872243"/>
    <w:rsid w:val="00872880"/>
    <w:rsid w:val="0087341A"/>
    <w:rsid w:val="00876EA5"/>
    <w:rsid w:val="0088355B"/>
    <w:rsid w:val="008840C8"/>
    <w:rsid w:val="0088469F"/>
    <w:rsid w:val="008850FF"/>
    <w:rsid w:val="00885524"/>
    <w:rsid w:val="00885F8E"/>
    <w:rsid w:val="008878F6"/>
    <w:rsid w:val="00890C87"/>
    <w:rsid w:val="0089182D"/>
    <w:rsid w:val="00891BBA"/>
    <w:rsid w:val="00892283"/>
    <w:rsid w:val="008948C1"/>
    <w:rsid w:val="008979B6"/>
    <w:rsid w:val="008A08FC"/>
    <w:rsid w:val="008A20DB"/>
    <w:rsid w:val="008B05C9"/>
    <w:rsid w:val="008B10C9"/>
    <w:rsid w:val="008B1C0B"/>
    <w:rsid w:val="008B1FAD"/>
    <w:rsid w:val="008B2F69"/>
    <w:rsid w:val="008B55F4"/>
    <w:rsid w:val="008C0352"/>
    <w:rsid w:val="008C4025"/>
    <w:rsid w:val="008C50E9"/>
    <w:rsid w:val="008C5FBC"/>
    <w:rsid w:val="008C7F2C"/>
    <w:rsid w:val="008D04C7"/>
    <w:rsid w:val="008D0826"/>
    <w:rsid w:val="008D0834"/>
    <w:rsid w:val="008D1885"/>
    <w:rsid w:val="008D1C11"/>
    <w:rsid w:val="008D4A26"/>
    <w:rsid w:val="008D7E86"/>
    <w:rsid w:val="008E15DA"/>
    <w:rsid w:val="008E2182"/>
    <w:rsid w:val="008E27C3"/>
    <w:rsid w:val="008E49F6"/>
    <w:rsid w:val="008E6E15"/>
    <w:rsid w:val="008F23C1"/>
    <w:rsid w:val="008F5CC1"/>
    <w:rsid w:val="008F69F9"/>
    <w:rsid w:val="008F6DF3"/>
    <w:rsid w:val="0090010E"/>
    <w:rsid w:val="009020E7"/>
    <w:rsid w:val="00902DEC"/>
    <w:rsid w:val="0090415E"/>
    <w:rsid w:val="009048C8"/>
    <w:rsid w:val="00904DE0"/>
    <w:rsid w:val="00905C80"/>
    <w:rsid w:val="00907ADD"/>
    <w:rsid w:val="00907AE7"/>
    <w:rsid w:val="009112E0"/>
    <w:rsid w:val="0091158D"/>
    <w:rsid w:val="009140AF"/>
    <w:rsid w:val="00916EE2"/>
    <w:rsid w:val="00923354"/>
    <w:rsid w:val="009233C3"/>
    <w:rsid w:val="00926FAB"/>
    <w:rsid w:val="0093133B"/>
    <w:rsid w:val="00931C4F"/>
    <w:rsid w:val="0093396D"/>
    <w:rsid w:val="00933C33"/>
    <w:rsid w:val="00934BA9"/>
    <w:rsid w:val="00936950"/>
    <w:rsid w:val="00936A9D"/>
    <w:rsid w:val="00937520"/>
    <w:rsid w:val="00942A91"/>
    <w:rsid w:val="00943443"/>
    <w:rsid w:val="00947E4D"/>
    <w:rsid w:val="009522B2"/>
    <w:rsid w:val="00956E1D"/>
    <w:rsid w:val="009608BD"/>
    <w:rsid w:val="009611CB"/>
    <w:rsid w:val="00961DE1"/>
    <w:rsid w:val="009620CA"/>
    <w:rsid w:val="009624D2"/>
    <w:rsid w:val="0096259C"/>
    <w:rsid w:val="0096376A"/>
    <w:rsid w:val="00963A11"/>
    <w:rsid w:val="009648FA"/>
    <w:rsid w:val="009666A4"/>
    <w:rsid w:val="00966752"/>
    <w:rsid w:val="00966934"/>
    <w:rsid w:val="00967153"/>
    <w:rsid w:val="00971BA1"/>
    <w:rsid w:val="00975063"/>
    <w:rsid w:val="00976C43"/>
    <w:rsid w:val="00976F86"/>
    <w:rsid w:val="00977135"/>
    <w:rsid w:val="00977CB3"/>
    <w:rsid w:val="00977F3F"/>
    <w:rsid w:val="0098385B"/>
    <w:rsid w:val="0098392E"/>
    <w:rsid w:val="00984F05"/>
    <w:rsid w:val="00986791"/>
    <w:rsid w:val="009870F1"/>
    <w:rsid w:val="00987B9D"/>
    <w:rsid w:val="00993433"/>
    <w:rsid w:val="00993C4B"/>
    <w:rsid w:val="0099629B"/>
    <w:rsid w:val="00996EB1"/>
    <w:rsid w:val="00997201"/>
    <w:rsid w:val="009A16DA"/>
    <w:rsid w:val="009A1D40"/>
    <w:rsid w:val="009A5F76"/>
    <w:rsid w:val="009A76F7"/>
    <w:rsid w:val="009B2571"/>
    <w:rsid w:val="009B2C80"/>
    <w:rsid w:val="009B54BA"/>
    <w:rsid w:val="009B6BFF"/>
    <w:rsid w:val="009B75CA"/>
    <w:rsid w:val="009C11A6"/>
    <w:rsid w:val="009C380B"/>
    <w:rsid w:val="009C6BAA"/>
    <w:rsid w:val="009D0A71"/>
    <w:rsid w:val="009D1D1E"/>
    <w:rsid w:val="009D5206"/>
    <w:rsid w:val="009D56D0"/>
    <w:rsid w:val="009E1BDE"/>
    <w:rsid w:val="009E5737"/>
    <w:rsid w:val="009F002E"/>
    <w:rsid w:val="009F4577"/>
    <w:rsid w:val="009F6E9D"/>
    <w:rsid w:val="00A00CFD"/>
    <w:rsid w:val="00A04750"/>
    <w:rsid w:val="00A2190D"/>
    <w:rsid w:val="00A23B73"/>
    <w:rsid w:val="00A24B73"/>
    <w:rsid w:val="00A32939"/>
    <w:rsid w:val="00A34C7A"/>
    <w:rsid w:val="00A36F0A"/>
    <w:rsid w:val="00A37DDF"/>
    <w:rsid w:val="00A41909"/>
    <w:rsid w:val="00A4626A"/>
    <w:rsid w:val="00A46A8D"/>
    <w:rsid w:val="00A47675"/>
    <w:rsid w:val="00A50C21"/>
    <w:rsid w:val="00A51645"/>
    <w:rsid w:val="00A53239"/>
    <w:rsid w:val="00A534BB"/>
    <w:rsid w:val="00A56188"/>
    <w:rsid w:val="00A60D5C"/>
    <w:rsid w:val="00A62784"/>
    <w:rsid w:val="00A62D9B"/>
    <w:rsid w:val="00A66154"/>
    <w:rsid w:val="00A677F0"/>
    <w:rsid w:val="00A72A45"/>
    <w:rsid w:val="00A73D8A"/>
    <w:rsid w:val="00A801D4"/>
    <w:rsid w:val="00A8135D"/>
    <w:rsid w:val="00A821C2"/>
    <w:rsid w:val="00A8465B"/>
    <w:rsid w:val="00A86F7A"/>
    <w:rsid w:val="00A876C8"/>
    <w:rsid w:val="00A92743"/>
    <w:rsid w:val="00A94FE4"/>
    <w:rsid w:val="00A95766"/>
    <w:rsid w:val="00A977CB"/>
    <w:rsid w:val="00AA3D80"/>
    <w:rsid w:val="00AA59FA"/>
    <w:rsid w:val="00AA69F3"/>
    <w:rsid w:val="00AA7B42"/>
    <w:rsid w:val="00AB52C9"/>
    <w:rsid w:val="00AB60CA"/>
    <w:rsid w:val="00AB7593"/>
    <w:rsid w:val="00AC132B"/>
    <w:rsid w:val="00AC3D1D"/>
    <w:rsid w:val="00AC4F77"/>
    <w:rsid w:val="00AC58E1"/>
    <w:rsid w:val="00AC7887"/>
    <w:rsid w:val="00AD2B74"/>
    <w:rsid w:val="00AD36FD"/>
    <w:rsid w:val="00AD524E"/>
    <w:rsid w:val="00AD6BF8"/>
    <w:rsid w:val="00AD6D0E"/>
    <w:rsid w:val="00AE0F9F"/>
    <w:rsid w:val="00AE1717"/>
    <w:rsid w:val="00AE74CB"/>
    <w:rsid w:val="00AF004C"/>
    <w:rsid w:val="00AF05E9"/>
    <w:rsid w:val="00AF0730"/>
    <w:rsid w:val="00AF54A4"/>
    <w:rsid w:val="00B027B0"/>
    <w:rsid w:val="00B07F0F"/>
    <w:rsid w:val="00B15A50"/>
    <w:rsid w:val="00B160A0"/>
    <w:rsid w:val="00B16BDD"/>
    <w:rsid w:val="00B22463"/>
    <w:rsid w:val="00B2340D"/>
    <w:rsid w:val="00B23884"/>
    <w:rsid w:val="00B2577D"/>
    <w:rsid w:val="00B27075"/>
    <w:rsid w:val="00B310EA"/>
    <w:rsid w:val="00B33701"/>
    <w:rsid w:val="00B33DEA"/>
    <w:rsid w:val="00B359FB"/>
    <w:rsid w:val="00B35D2E"/>
    <w:rsid w:val="00B37B30"/>
    <w:rsid w:val="00B37C59"/>
    <w:rsid w:val="00B40850"/>
    <w:rsid w:val="00B40E70"/>
    <w:rsid w:val="00B42B3C"/>
    <w:rsid w:val="00B43038"/>
    <w:rsid w:val="00B43070"/>
    <w:rsid w:val="00B4337B"/>
    <w:rsid w:val="00B45A4D"/>
    <w:rsid w:val="00B46FCD"/>
    <w:rsid w:val="00B510B0"/>
    <w:rsid w:val="00B5147E"/>
    <w:rsid w:val="00B527E8"/>
    <w:rsid w:val="00B540C6"/>
    <w:rsid w:val="00B55A2F"/>
    <w:rsid w:val="00B55AC1"/>
    <w:rsid w:val="00B57124"/>
    <w:rsid w:val="00B619B8"/>
    <w:rsid w:val="00B62ABE"/>
    <w:rsid w:val="00B62ACA"/>
    <w:rsid w:val="00B63632"/>
    <w:rsid w:val="00B663A2"/>
    <w:rsid w:val="00B7080D"/>
    <w:rsid w:val="00B74E7A"/>
    <w:rsid w:val="00B76B35"/>
    <w:rsid w:val="00B82B4F"/>
    <w:rsid w:val="00B831F3"/>
    <w:rsid w:val="00B83860"/>
    <w:rsid w:val="00B83CF5"/>
    <w:rsid w:val="00B86F7C"/>
    <w:rsid w:val="00B9368F"/>
    <w:rsid w:val="00B93B72"/>
    <w:rsid w:val="00B95174"/>
    <w:rsid w:val="00B95365"/>
    <w:rsid w:val="00B96703"/>
    <w:rsid w:val="00B97130"/>
    <w:rsid w:val="00BA4C57"/>
    <w:rsid w:val="00BA63A0"/>
    <w:rsid w:val="00BB5BDB"/>
    <w:rsid w:val="00BB79D6"/>
    <w:rsid w:val="00BC0822"/>
    <w:rsid w:val="00BC195C"/>
    <w:rsid w:val="00BC1D5F"/>
    <w:rsid w:val="00BC1FD5"/>
    <w:rsid w:val="00BC2F7C"/>
    <w:rsid w:val="00BC3113"/>
    <w:rsid w:val="00BC349C"/>
    <w:rsid w:val="00BC34D4"/>
    <w:rsid w:val="00BC4FBC"/>
    <w:rsid w:val="00BC626E"/>
    <w:rsid w:val="00BC68DE"/>
    <w:rsid w:val="00BC7D3E"/>
    <w:rsid w:val="00BD04B1"/>
    <w:rsid w:val="00BD1D27"/>
    <w:rsid w:val="00BD6C94"/>
    <w:rsid w:val="00BD7C64"/>
    <w:rsid w:val="00BE0D6E"/>
    <w:rsid w:val="00BE27D4"/>
    <w:rsid w:val="00BF23E2"/>
    <w:rsid w:val="00BF42FA"/>
    <w:rsid w:val="00BF7802"/>
    <w:rsid w:val="00C01071"/>
    <w:rsid w:val="00C0374A"/>
    <w:rsid w:val="00C05967"/>
    <w:rsid w:val="00C071DD"/>
    <w:rsid w:val="00C071FE"/>
    <w:rsid w:val="00C07ABA"/>
    <w:rsid w:val="00C1099D"/>
    <w:rsid w:val="00C137B9"/>
    <w:rsid w:val="00C13B9C"/>
    <w:rsid w:val="00C13E3B"/>
    <w:rsid w:val="00C13EFB"/>
    <w:rsid w:val="00C14895"/>
    <w:rsid w:val="00C150A2"/>
    <w:rsid w:val="00C153F6"/>
    <w:rsid w:val="00C15915"/>
    <w:rsid w:val="00C161A0"/>
    <w:rsid w:val="00C17643"/>
    <w:rsid w:val="00C17D2D"/>
    <w:rsid w:val="00C20541"/>
    <w:rsid w:val="00C2196C"/>
    <w:rsid w:val="00C225AF"/>
    <w:rsid w:val="00C26BFC"/>
    <w:rsid w:val="00C31AC2"/>
    <w:rsid w:val="00C32362"/>
    <w:rsid w:val="00C35B49"/>
    <w:rsid w:val="00C36207"/>
    <w:rsid w:val="00C3761F"/>
    <w:rsid w:val="00C37CC7"/>
    <w:rsid w:val="00C419B1"/>
    <w:rsid w:val="00C424AA"/>
    <w:rsid w:val="00C43D84"/>
    <w:rsid w:val="00C449AB"/>
    <w:rsid w:val="00C45354"/>
    <w:rsid w:val="00C471AE"/>
    <w:rsid w:val="00C51223"/>
    <w:rsid w:val="00C513C2"/>
    <w:rsid w:val="00C528B5"/>
    <w:rsid w:val="00C5300B"/>
    <w:rsid w:val="00C54D72"/>
    <w:rsid w:val="00C605BC"/>
    <w:rsid w:val="00C61894"/>
    <w:rsid w:val="00C61F37"/>
    <w:rsid w:val="00C655CA"/>
    <w:rsid w:val="00C65E25"/>
    <w:rsid w:val="00C705D7"/>
    <w:rsid w:val="00C72FA7"/>
    <w:rsid w:val="00C816BE"/>
    <w:rsid w:val="00C819A9"/>
    <w:rsid w:val="00C81D53"/>
    <w:rsid w:val="00C8735E"/>
    <w:rsid w:val="00CA0AFA"/>
    <w:rsid w:val="00CA1E81"/>
    <w:rsid w:val="00CA21CB"/>
    <w:rsid w:val="00CA2D7E"/>
    <w:rsid w:val="00CA30E6"/>
    <w:rsid w:val="00CA32B3"/>
    <w:rsid w:val="00CA4684"/>
    <w:rsid w:val="00CA4A32"/>
    <w:rsid w:val="00CA4BA9"/>
    <w:rsid w:val="00CA5204"/>
    <w:rsid w:val="00CA62BA"/>
    <w:rsid w:val="00CB16FA"/>
    <w:rsid w:val="00CB3024"/>
    <w:rsid w:val="00CB34F5"/>
    <w:rsid w:val="00CB7456"/>
    <w:rsid w:val="00CB7DCF"/>
    <w:rsid w:val="00CC30CF"/>
    <w:rsid w:val="00CC6A17"/>
    <w:rsid w:val="00CD1977"/>
    <w:rsid w:val="00CD1DC9"/>
    <w:rsid w:val="00CD1F49"/>
    <w:rsid w:val="00CD3F74"/>
    <w:rsid w:val="00CD40AF"/>
    <w:rsid w:val="00CD4A6B"/>
    <w:rsid w:val="00CD7B81"/>
    <w:rsid w:val="00CE1B50"/>
    <w:rsid w:val="00CE21A9"/>
    <w:rsid w:val="00CE7071"/>
    <w:rsid w:val="00CF05C1"/>
    <w:rsid w:val="00CF21EC"/>
    <w:rsid w:val="00CF2B72"/>
    <w:rsid w:val="00CF4BDF"/>
    <w:rsid w:val="00CF7903"/>
    <w:rsid w:val="00D03E32"/>
    <w:rsid w:val="00D110AA"/>
    <w:rsid w:val="00D110E9"/>
    <w:rsid w:val="00D17546"/>
    <w:rsid w:val="00D20511"/>
    <w:rsid w:val="00D21EEE"/>
    <w:rsid w:val="00D24130"/>
    <w:rsid w:val="00D24522"/>
    <w:rsid w:val="00D24B5E"/>
    <w:rsid w:val="00D2651F"/>
    <w:rsid w:val="00D26DCF"/>
    <w:rsid w:val="00D27180"/>
    <w:rsid w:val="00D3166D"/>
    <w:rsid w:val="00D31A74"/>
    <w:rsid w:val="00D32116"/>
    <w:rsid w:val="00D32F8B"/>
    <w:rsid w:val="00D33B07"/>
    <w:rsid w:val="00D36F19"/>
    <w:rsid w:val="00D3767C"/>
    <w:rsid w:val="00D37A85"/>
    <w:rsid w:val="00D40CFD"/>
    <w:rsid w:val="00D410F6"/>
    <w:rsid w:val="00D4164F"/>
    <w:rsid w:val="00D44207"/>
    <w:rsid w:val="00D475B8"/>
    <w:rsid w:val="00D50024"/>
    <w:rsid w:val="00D50977"/>
    <w:rsid w:val="00D50B4B"/>
    <w:rsid w:val="00D553E1"/>
    <w:rsid w:val="00D60149"/>
    <w:rsid w:val="00D660FB"/>
    <w:rsid w:val="00D6624C"/>
    <w:rsid w:val="00D66250"/>
    <w:rsid w:val="00D67838"/>
    <w:rsid w:val="00D73937"/>
    <w:rsid w:val="00D73BFC"/>
    <w:rsid w:val="00D764E9"/>
    <w:rsid w:val="00D764EA"/>
    <w:rsid w:val="00D819C4"/>
    <w:rsid w:val="00D85A3C"/>
    <w:rsid w:val="00D90585"/>
    <w:rsid w:val="00D95CA3"/>
    <w:rsid w:val="00D97A01"/>
    <w:rsid w:val="00D97B45"/>
    <w:rsid w:val="00DA047F"/>
    <w:rsid w:val="00DA17C4"/>
    <w:rsid w:val="00DA1A3E"/>
    <w:rsid w:val="00DA1A9E"/>
    <w:rsid w:val="00DA24AA"/>
    <w:rsid w:val="00DA671A"/>
    <w:rsid w:val="00DA6BF7"/>
    <w:rsid w:val="00DA750C"/>
    <w:rsid w:val="00DB3933"/>
    <w:rsid w:val="00DB434D"/>
    <w:rsid w:val="00DB577A"/>
    <w:rsid w:val="00DB787B"/>
    <w:rsid w:val="00DC15CD"/>
    <w:rsid w:val="00DC4023"/>
    <w:rsid w:val="00DD0836"/>
    <w:rsid w:val="00DD0C21"/>
    <w:rsid w:val="00DD16DF"/>
    <w:rsid w:val="00DD4171"/>
    <w:rsid w:val="00DE1390"/>
    <w:rsid w:val="00DE1FED"/>
    <w:rsid w:val="00DE330E"/>
    <w:rsid w:val="00DE39FA"/>
    <w:rsid w:val="00DE6D57"/>
    <w:rsid w:val="00DF0CB6"/>
    <w:rsid w:val="00DF3F7F"/>
    <w:rsid w:val="00DF5375"/>
    <w:rsid w:val="00DF5F6F"/>
    <w:rsid w:val="00E01124"/>
    <w:rsid w:val="00E039D2"/>
    <w:rsid w:val="00E05792"/>
    <w:rsid w:val="00E11B58"/>
    <w:rsid w:val="00E12086"/>
    <w:rsid w:val="00E13290"/>
    <w:rsid w:val="00E139E4"/>
    <w:rsid w:val="00E139ED"/>
    <w:rsid w:val="00E1545A"/>
    <w:rsid w:val="00E15C16"/>
    <w:rsid w:val="00E2078A"/>
    <w:rsid w:val="00E25A7A"/>
    <w:rsid w:val="00E26323"/>
    <w:rsid w:val="00E26919"/>
    <w:rsid w:val="00E277A9"/>
    <w:rsid w:val="00E306DE"/>
    <w:rsid w:val="00E30802"/>
    <w:rsid w:val="00E3136B"/>
    <w:rsid w:val="00E33D2F"/>
    <w:rsid w:val="00E4043D"/>
    <w:rsid w:val="00E427D6"/>
    <w:rsid w:val="00E42AE0"/>
    <w:rsid w:val="00E468D8"/>
    <w:rsid w:val="00E4796F"/>
    <w:rsid w:val="00E47CB5"/>
    <w:rsid w:val="00E50627"/>
    <w:rsid w:val="00E52E08"/>
    <w:rsid w:val="00E54EAF"/>
    <w:rsid w:val="00E55EAE"/>
    <w:rsid w:val="00E623F2"/>
    <w:rsid w:val="00E6537E"/>
    <w:rsid w:val="00E66467"/>
    <w:rsid w:val="00E66D91"/>
    <w:rsid w:val="00E72FD5"/>
    <w:rsid w:val="00E75916"/>
    <w:rsid w:val="00E764D5"/>
    <w:rsid w:val="00E80C32"/>
    <w:rsid w:val="00E82738"/>
    <w:rsid w:val="00E83967"/>
    <w:rsid w:val="00E84E8D"/>
    <w:rsid w:val="00E853D7"/>
    <w:rsid w:val="00E864F4"/>
    <w:rsid w:val="00E87D8F"/>
    <w:rsid w:val="00E87F6A"/>
    <w:rsid w:val="00E907DD"/>
    <w:rsid w:val="00E90D83"/>
    <w:rsid w:val="00E92484"/>
    <w:rsid w:val="00E9399B"/>
    <w:rsid w:val="00E9490C"/>
    <w:rsid w:val="00E94F5D"/>
    <w:rsid w:val="00E95F0A"/>
    <w:rsid w:val="00E96820"/>
    <w:rsid w:val="00EA03B1"/>
    <w:rsid w:val="00EA0731"/>
    <w:rsid w:val="00EA08EF"/>
    <w:rsid w:val="00EA1316"/>
    <w:rsid w:val="00EA19B4"/>
    <w:rsid w:val="00EA4949"/>
    <w:rsid w:val="00EA5415"/>
    <w:rsid w:val="00EA7817"/>
    <w:rsid w:val="00EB0200"/>
    <w:rsid w:val="00EB0D9A"/>
    <w:rsid w:val="00EB4DD4"/>
    <w:rsid w:val="00EC243B"/>
    <w:rsid w:val="00EC3683"/>
    <w:rsid w:val="00EC415D"/>
    <w:rsid w:val="00EC4DB4"/>
    <w:rsid w:val="00EC4F48"/>
    <w:rsid w:val="00EC5B51"/>
    <w:rsid w:val="00EC5CB2"/>
    <w:rsid w:val="00ED4E85"/>
    <w:rsid w:val="00ED5178"/>
    <w:rsid w:val="00ED55B9"/>
    <w:rsid w:val="00EE0986"/>
    <w:rsid w:val="00EE2902"/>
    <w:rsid w:val="00EE291D"/>
    <w:rsid w:val="00EE3013"/>
    <w:rsid w:val="00EE3E46"/>
    <w:rsid w:val="00EE5BC9"/>
    <w:rsid w:val="00EE62AF"/>
    <w:rsid w:val="00EF1623"/>
    <w:rsid w:val="00EF1A39"/>
    <w:rsid w:val="00EF26F3"/>
    <w:rsid w:val="00EF3A31"/>
    <w:rsid w:val="00EF4D0C"/>
    <w:rsid w:val="00F04B4C"/>
    <w:rsid w:val="00F067D3"/>
    <w:rsid w:val="00F10C86"/>
    <w:rsid w:val="00F15244"/>
    <w:rsid w:val="00F15556"/>
    <w:rsid w:val="00F1724A"/>
    <w:rsid w:val="00F17FC4"/>
    <w:rsid w:val="00F21FD8"/>
    <w:rsid w:val="00F22B83"/>
    <w:rsid w:val="00F22D03"/>
    <w:rsid w:val="00F23492"/>
    <w:rsid w:val="00F23A4F"/>
    <w:rsid w:val="00F247F3"/>
    <w:rsid w:val="00F24CA1"/>
    <w:rsid w:val="00F26E3D"/>
    <w:rsid w:val="00F3017B"/>
    <w:rsid w:val="00F319FA"/>
    <w:rsid w:val="00F3264F"/>
    <w:rsid w:val="00F32B06"/>
    <w:rsid w:val="00F3315E"/>
    <w:rsid w:val="00F3366B"/>
    <w:rsid w:val="00F357EF"/>
    <w:rsid w:val="00F36173"/>
    <w:rsid w:val="00F36B6A"/>
    <w:rsid w:val="00F41727"/>
    <w:rsid w:val="00F441BE"/>
    <w:rsid w:val="00F458A0"/>
    <w:rsid w:val="00F45B5A"/>
    <w:rsid w:val="00F50162"/>
    <w:rsid w:val="00F51921"/>
    <w:rsid w:val="00F51D9B"/>
    <w:rsid w:val="00F5354E"/>
    <w:rsid w:val="00F605B8"/>
    <w:rsid w:val="00F613F7"/>
    <w:rsid w:val="00F63DC3"/>
    <w:rsid w:val="00F706BF"/>
    <w:rsid w:val="00F709A0"/>
    <w:rsid w:val="00F72A57"/>
    <w:rsid w:val="00F72AAC"/>
    <w:rsid w:val="00F72B41"/>
    <w:rsid w:val="00F73056"/>
    <w:rsid w:val="00F740E0"/>
    <w:rsid w:val="00F75A44"/>
    <w:rsid w:val="00F76791"/>
    <w:rsid w:val="00F76D73"/>
    <w:rsid w:val="00F8006D"/>
    <w:rsid w:val="00F81205"/>
    <w:rsid w:val="00F83C57"/>
    <w:rsid w:val="00F84CF4"/>
    <w:rsid w:val="00F86C7A"/>
    <w:rsid w:val="00F8789A"/>
    <w:rsid w:val="00F906B2"/>
    <w:rsid w:val="00F916C5"/>
    <w:rsid w:val="00F92328"/>
    <w:rsid w:val="00F92558"/>
    <w:rsid w:val="00F9479B"/>
    <w:rsid w:val="00F95CE8"/>
    <w:rsid w:val="00F96DBF"/>
    <w:rsid w:val="00F96E5F"/>
    <w:rsid w:val="00FA1C70"/>
    <w:rsid w:val="00FA27DF"/>
    <w:rsid w:val="00FA34A2"/>
    <w:rsid w:val="00FA3E78"/>
    <w:rsid w:val="00FA666C"/>
    <w:rsid w:val="00FB0361"/>
    <w:rsid w:val="00FB04C7"/>
    <w:rsid w:val="00FB3CB6"/>
    <w:rsid w:val="00FB668A"/>
    <w:rsid w:val="00FC0815"/>
    <w:rsid w:val="00FC0A45"/>
    <w:rsid w:val="00FC1002"/>
    <w:rsid w:val="00FC6639"/>
    <w:rsid w:val="00FD03DC"/>
    <w:rsid w:val="00FD3AD5"/>
    <w:rsid w:val="00FD408F"/>
    <w:rsid w:val="00FD40F7"/>
    <w:rsid w:val="00FD5A0E"/>
    <w:rsid w:val="00FD64B6"/>
    <w:rsid w:val="00FD6A1C"/>
    <w:rsid w:val="00FE43AE"/>
    <w:rsid w:val="00FE4C09"/>
    <w:rsid w:val="00FE50D6"/>
    <w:rsid w:val="00FF0F25"/>
    <w:rsid w:val="00FF18EF"/>
    <w:rsid w:val="00FF35B8"/>
    <w:rsid w:val="00FF370C"/>
    <w:rsid w:val="00FF4667"/>
    <w:rsid w:val="00FF6B91"/>
    <w:rsid w:val="013A23A3"/>
    <w:rsid w:val="02136699"/>
    <w:rsid w:val="0AC97C8A"/>
    <w:rsid w:val="11A900C6"/>
    <w:rsid w:val="131A53D6"/>
    <w:rsid w:val="14691742"/>
    <w:rsid w:val="185608C7"/>
    <w:rsid w:val="1B4F2ED5"/>
    <w:rsid w:val="1C9F0499"/>
    <w:rsid w:val="231759B9"/>
    <w:rsid w:val="262F2B0B"/>
    <w:rsid w:val="26553C4A"/>
    <w:rsid w:val="27B92CE4"/>
    <w:rsid w:val="35362C4A"/>
    <w:rsid w:val="3EE772BF"/>
    <w:rsid w:val="44EA2CF1"/>
    <w:rsid w:val="49E24A3B"/>
    <w:rsid w:val="54032CC7"/>
    <w:rsid w:val="56293687"/>
    <w:rsid w:val="56C070CA"/>
    <w:rsid w:val="58B1007B"/>
    <w:rsid w:val="5C8B5F91"/>
    <w:rsid w:val="5D8B3E6D"/>
    <w:rsid w:val="5F405425"/>
    <w:rsid w:val="61334107"/>
    <w:rsid w:val="62DA640D"/>
    <w:rsid w:val="67677B08"/>
    <w:rsid w:val="68110C29"/>
    <w:rsid w:val="6E133AF1"/>
    <w:rsid w:val="70A537D2"/>
    <w:rsid w:val="76D07F18"/>
    <w:rsid w:val="7F7B2B70"/>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5A878"/>
  <w15:docId w15:val="{44943303-2581-4836-A1F7-775409D88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sz w:val="22"/>
      <w:szCs w:val="22"/>
    </w:rPr>
  </w:style>
  <w:style w:type="paragraph" w:styleId="Ttulo1">
    <w:name w:val="heading 1"/>
    <w:basedOn w:val="Normal"/>
    <w:next w:val="Normal"/>
    <w:link w:val="Ttulo1Car"/>
    <w:uiPriority w:val="9"/>
    <w:qFormat/>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uiPriority w:val="9"/>
    <w:qFormat/>
    <w:pPr>
      <w:keepNext/>
      <w:spacing w:before="240" w:after="60"/>
      <w:outlineLvl w:val="1"/>
    </w:pPr>
    <w:rPr>
      <w:rFonts w:ascii="Cambria" w:hAnsi="Cambria"/>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uiPriority w:val="99"/>
    <w:semiHidden/>
    <w:unhideWhenUsed/>
  </w:style>
  <w:style w:type="character" w:styleId="Refdecomentario">
    <w:name w:val="annotation reference"/>
    <w:basedOn w:val="Fuentedeprrafopredeter"/>
    <w:uiPriority w:val="99"/>
    <w:semiHidden/>
    <w:unhideWhenUsed/>
    <w:rPr>
      <w:sz w:val="16"/>
      <w:szCs w:val="16"/>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uiPriority w:val="99"/>
    <w:unhideWhenUsed/>
    <w:qFormat/>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pPr>
      <w:spacing w:after="0" w:line="240" w:lineRule="auto"/>
      <w:jc w:val="both"/>
    </w:pPr>
    <w:rPr>
      <w:rFonts w:ascii="Verdana" w:eastAsiaTheme="minorHAnsi" w:hAnsi="Verdana"/>
      <w:sz w:val="20"/>
      <w:szCs w:val="24"/>
      <w:vertAlign w:val="superscript"/>
      <w:lang w:eastAsia="en-US"/>
    </w:rPr>
  </w:style>
  <w:style w:type="character" w:styleId="Hipervnculo">
    <w:name w:val="Hyperlink"/>
    <w:uiPriority w:val="99"/>
    <w:unhideWhenUsed/>
    <w:qFormat/>
    <w:rPr>
      <w:color w:val="0000FF"/>
      <w:u w:val="single"/>
    </w:rPr>
  </w:style>
  <w:style w:type="character" w:styleId="Textoennegrita">
    <w:name w:val="Strong"/>
    <w:uiPriority w:val="22"/>
    <w:qFormat/>
    <w:rPr>
      <w:b/>
      <w:bCs/>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FA Fu?notente,ft"/>
    <w:basedOn w:val="Normal"/>
    <w:link w:val="TextonotapieCar1"/>
    <w:unhideWhenUsed/>
    <w:qFormat/>
    <w:pPr>
      <w:spacing w:after="0" w:line="240" w:lineRule="auto"/>
      <w:jc w:val="both"/>
    </w:pPr>
    <w:rPr>
      <w:rFonts w:ascii="Verdana" w:hAnsi="Verdana"/>
      <w:sz w:val="16"/>
      <w:szCs w:val="16"/>
    </w:rPr>
  </w:style>
  <w:style w:type="paragraph" w:styleId="TDC1">
    <w:name w:val="toc 1"/>
    <w:basedOn w:val="Normal"/>
    <w:next w:val="Normal"/>
    <w:uiPriority w:val="39"/>
    <w:unhideWhenUsed/>
    <w:qFormat/>
    <w:pPr>
      <w:tabs>
        <w:tab w:val="left" w:pos="660"/>
        <w:tab w:val="left" w:pos="720"/>
        <w:tab w:val="right" w:leader="dot" w:pos="9350"/>
      </w:tabs>
      <w:spacing w:after="0" w:line="240" w:lineRule="auto"/>
    </w:pPr>
    <w:rPr>
      <w:rFonts w:ascii="Verdana" w:hAnsi="Verdana" w:cs="Verdana"/>
      <w:b/>
      <w:i/>
      <w:sz w:val="16"/>
      <w:szCs w:val="16"/>
      <w:lang w:val="es-MX"/>
    </w:rPr>
  </w:style>
  <w:style w:type="paragraph" w:styleId="TDC2">
    <w:name w:val="toc 2"/>
    <w:basedOn w:val="Normal"/>
    <w:next w:val="Normal"/>
    <w:uiPriority w:val="39"/>
    <w:unhideWhenUsed/>
    <w:qFormat/>
    <w:pPr>
      <w:tabs>
        <w:tab w:val="left" w:pos="880"/>
        <w:tab w:val="right" w:leader="dot" w:pos="9350"/>
      </w:tabs>
      <w:spacing w:after="0" w:line="240" w:lineRule="auto"/>
      <w:ind w:left="220"/>
      <w:jc w:val="both"/>
    </w:pPr>
    <w:rPr>
      <w:rFonts w:ascii="Verdana" w:hAnsi="Verdana"/>
      <w:sz w:val="18"/>
      <w:szCs w:val="18"/>
    </w:rPr>
  </w:style>
  <w:style w:type="paragraph" w:styleId="Textonotaalfinal">
    <w:name w:val="endnote text"/>
    <w:basedOn w:val="Normal"/>
    <w:link w:val="TextonotaalfinalCar1"/>
    <w:pPr>
      <w:widowControl w:val="0"/>
      <w:numPr>
        <w:numId w:val="1"/>
      </w:numPr>
      <w:tabs>
        <w:tab w:val="left" w:pos="720"/>
        <w:tab w:val="left" w:pos="1440"/>
        <w:tab w:val="left" w:pos="2160"/>
        <w:tab w:val="left" w:pos="2880"/>
        <w:tab w:val="left" w:pos="3600"/>
        <w:tab w:val="left" w:pos="4320"/>
        <w:tab w:val="left" w:pos="5760"/>
        <w:tab w:val="left" w:pos="6480"/>
        <w:tab w:val="left" w:pos="7200"/>
        <w:tab w:val="left" w:pos="7920"/>
      </w:tabs>
      <w:spacing w:after="0" w:line="240" w:lineRule="auto"/>
      <w:jc w:val="both"/>
    </w:pPr>
    <w:rPr>
      <w:rFonts w:ascii="CG Times" w:eastAsia="MS Mincho" w:hAnsi="CG Times"/>
      <w:szCs w:val="20"/>
      <w:lang w:eastAsia="en-US"/>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iPriority w:val="99"/>
    <w:semiHidden/>
    <w:unhideWhenUsed/>
    <w:qFormat/>
    <w:pPr>
      <w:spacing w:line="240" w:lineRule="auto"/>
    </w:pPr>
    <w:rPr>
      <w:sz w:val="20"/>
      <w:szCs w:val="20"/>
    </w:rPr>
  </w:style>
  <w:style w:type="paragraph" w:styleId="Textodeglobo">
    <w:name w:val="Balloon Text"/>
    <w:basedOn w:val="Normal"/>
    <w:link w:val="TextodegloboCar"/>
    <w:uiPriority w:val="99"/>
    <w:semiHidden/>
    <w:unhideWhenUsed/>
    <w:qFormat/>
    <w:pPr>
      <w:spacing w:after="0" w:line="240" w:lineRule="auto"/>
    </w:pPr>
    <w:rPr>
      <w:rFonts w:ascii="Segoe UI" w:hAnsi="Segoe UI" w:cs="Segoe UI"/>
      <w:sz w:val="18"/>
      <w:szCs w:val="18"/>
    </w:rPr>
  </w:style>
  <w:style w:type="paragraph" w:styleId="Encabezado">
    <w:name w:val="header"/>
    <w:basedOn w:val="Normal"/>
    <w:link w:val="EncabezadoCar"/>
    <w:uiPriority w:val="99"/>
    <w:unhideWhenUsed/>
    <w:qFormat/>
    <w:pPr>
      <w:tabs>
        <w:tab w:val="center" w:pos="4419"/>
        <w:tab w:val="right" w:pos="8838"/>
      </w:tabs>
      <w:spacing w:after="0" w:line="240" w:lineRule="auto"/>
    </w:pPr>
  </w:style>
  <w:style w:type="paragraph" w:styleId="Piedepgina">
    <w:name w:val="footer"/>
    <w:basedOn w:val="Normal"/>
    <w:link w:val="PiedepginaCar"/>
    <w:uiPriority w:val="99"/>
    <w:unhideWhenUsed/>
    <w:qFormat/>
    <w:pPr>
      <w:tabs>
        <w:tab w:val="center" w:pos="4419"/>
        <w:tab w:val="right" w:pos="8838"/>
      </w:tabs>
      <w:spacing w:after="0" w:line="240" w:lineRule="auto"/>
    </w:pPr>
  </w:style>
  <w:style w:type="paragraph" w:styleId="Textoindependiente">
    <w:name w:val="Body Text"/>
    <w:basedOn w:val="Normal"/>
    <w:link w:val="TextoindependienteCar"/>
    <w:uiPriority w:val="1"/>
    <w:qFormat/>
    <w:pPr>
      <w:autoSpaceDE w:val="0"/>
      <w:autoSpaceDN w:val="0"/>
      <w:adjustRightInd w:val="0"/>
      <w:spacing w:after="0" w:line="240" w:lineRule="auto"/>
      <w:ind w:left="36"/>
    </w:pPr>
    <w:rPr>
      <w:rFonts w:ascii="Arial" w:eastAsiaTheme="minorHAnsi" w:hAnsi="Arial" w:cs="Arial"/>
      <w:sz w:val="21"/>
      <w:szCs w:val="21"/>
      <w:lang w:eastAsia="en-US"/>
    </w:rPr>
  </w:style>
  <w:style w:type="character" w:customStyle="1" w:styleId="Ttulo1Car">
    <w:name w:val="Título 1 Car"/>
    <w:basedOn w:val="Fuentedeprrafopredeter"/>
    <w:link w:val="Ttulo1"/>
    <w:uiPriority w:val="9"/>
    <w:qFormat/>
    <w:rPr>
      <w:rFonts w:ascii="Cambria" w:eastAsia="Times New Roman" w:hAnsi="Cambria"/>
      <w:b/>
      <w:bCs/>
      <w:kern w:val="32"/>
      <w:sz w:val="32"/>
      <w:szCs w:val="32"/>
      <w:lang w:eastAsia="es-CR"/>
    </w:rPr>
  </w:style>
  <w:style w:type="character" w:customStyle="1" w:styleId="Ttulo2Car">
    <w:name w:val="Título 2 Car"/>
    <w:basedOn w:val="Fuentedeprrafopredeter"/>
    <w:link w:val="Ttulo2"/>
    <w:uiPriority w:val="9"/>
    <w:qFormat/>
    <w:rPr>
      <w:rFonts w:ascii="Cambria" w:eastAsia="Times New Roman" w:hAnsi="Cambria"/>
      <w:b/>
      <w:bCs/>
      <w:i/>
      <w:iCs/>
      <w:sz w:val="28"/>
      <w:szCs w:val="28"/>
      <w:lang w:eastAsia="es-CR"/>
    </w:rPr>
  </w:style>
  <w:style w:type="character" w:customStyle="1" w:styleId="TextonotapieCar">
    <w:name w:val="Texto nota pie Car"/>
    <w:basedOn w:val="Fuentedeprrafopredeter"/>
    <w:uiPriority w:val="99"/>
    <w:semiHidden/>
    <w:qFormat/>
    <w:rPr>
      <w:rFonts w:ascii="Calibri" w:eastAsia="Times New Roman" w:hAnsi="Calibri"/>
      <w:szCs w:val="20"/>
      <w:lang w:eastAsia="es-CR"/>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FA Fu?notentext Car"/>
    <w:link w:val="Textonotapie"/>
    <w:qFormat/>
    <w:rPr>
      <w:rFonts w:eastAsia="Times New Roman"/>
      <w:sz w:val="16"/>
      <w:szCs w:val="16"/>
      <w:lang w:eastAsia="es-CR"/>
    </w:rPr>
  </w:style>
  <w:style w:type="character" w:customStyle="1" w:styleId="PiedepginaCar">
    <w:name w:val="Pie de página Car"/>
    <w:basedOn w:val="Fuentedeprrafopredeter"/>
    <w:link w:val="Piedepgina"/>
    <w:uiPriority w:val="99"/>
    <w:qFormat/>
    <w:rPr>
      <w:rFonts w:ascii="Calibri" w:eastAsia="Times New Roman" w:hAnsi="Calibri"/>
      <w:sz w:val="22"/>
      <w:szCs w:val="22"/>
      <w:lang w:eastAsia="es-CR"/>
    </w:rPr>
  </w:style>
  <w:style w:type="paragraph" w:customStyle="1" w:styleId="Default">
    <w:name w:val="Default"/>
    <w:qFormat/>
    <w:pPr>
      <w:autoSpaceDE w:val="0"/>
      <w:autoSpaceDN w:val="0"/>
      <w:adjustRightInd w:val="0"/>
      <w:spacing w:after="200" w:line="276" w:lineRule="auto"/>
    </w:pPr>
    <w:rPr>
      <w:rFonts w:ascii="Verdana" w:eastAsia="Times New Roman" w:hAnsi="Verdana" w:cs="Verdana"/>
      <w:color w:val="000000"/>
      <w:sz w:val="24"/>
      <w:szCs w:val="24"/>
      <w:lang w:val="es-MX" w:eastAsia="es-MX"/>
    </w:rPr>
  </w:style>
  <w:style w:type="character" w:customStyle="1" w:styleId="TextonotaalfinalCar">
    <w:name w:val="Texto nota al final Car"/>
    <w:basedOn w:val="Fuentedeprrafopredeter"/>
    <w:uiPriority w:val="99"/>
    <w:semiHidden/>
    <w:qFormat/>
    <w:rPr>
      <w:rFonts w:ascii="Calibri" w:eastAsia="Times New Roman" w:hAnsi="Calibri"/>
      <w:szCs w:val="20"/>
      <w:lang w:eastAsia="es-CR"/>
    </w:rPr>
  </w:style>
  <w:style w:type="character" w:customStyle="1" w:styleId="TextonotaalfinalCar1">
    <w:name w:val="Texto nota al final Car1"/>
    <w:link w:val="Textonotaalfinal"/>
    <w:qFormat/>
    <w:rPr>
      <w:rFonts w:ascii="CG Times" w:eastAsia="MS Mincho" w:hAnsi="CG Times"/>
      <w:sz w:val="22"/>
      <w:szCs w:val="20"/>
    </w:rPr>
  </w:style>
  <w:style w:type="paragraph" w:styleId="Prrafodelista">
    <w:name w:val="List Paragraph"/>
    <w:aliases w:val="List Paragraph1,Párrafo de lista1,Colorful List - Accent 11,Footnote"/>
    <w:basedOn w:val="Normal"/>
    <w:link w:val="PrrafodelistaCar"/>
    <w:uiPriority w:val="99"/>
    <w:qFormat/>
    <w:pPr>
      <w:ind w:left="720"/>
      <w:contextualSpacing/>
    </w:pPr>
    <w:rPr>
      <w:rFonts w:eastAsia="MS Mincho"/>
      <w:lang w:val="es-MX" w:eastAsia="es-MX"/>
    </w:rPr>
  </w:style>
  <w:style w:type="character" w:customStyle="1" w:styleId="PrrafodelistaCar">
    <w:name w:val="Párrafo de lista Car"/>
    <w:aliases w:val="List Paragraph1 Car,Párrafo de lista1 Car,Colorful List - Accent 11 Car,Footnote Car"/>
    <w:link w:val="Prrafodelista"/>
    <w:uiPriority w:val="99"/>
    <w:qFormat/>
    <w:rPr>
      <w:rFonts w:ascii="Calibri" w:eastAsia="MS Mincho" w:hAnsi="Calibri"/>
      <w:sz w:val="22"/>
      <w:szCs w:val="22"/>
      <w:lang w:val="es-MX" w:eastAsia="es-MX"/>
    </w:rPr>
  </w:style>
  <w:style w:type="character" w:customStyle="1" w:styleId="Estilo4Car">
    <w:name w:val="Estilo4 Car"/>
    <w:link w:val="Estilo4"/>
    <w:qFormat/>
    <w:locked/>
    <w:rPr>
      <w:spacing w:val="-2"/>
    </w:rPr>
  </w:style>
  <w:style w:type="paragraph" w:customStyle="1" w:styleId="Estilo4">
    <w:name w:val="Estilo4"/>
    <w:basedOn w:val="Prrafodelista"/>
    <w:link w:val="Estilo4Car"/>
    <w:qFormat/>
    <w:pPr>
      <w:spacing w:after="120" w:line="240" w:lineRule="auto"/>
      <w:ind w:left="0"/>
      <w:contextualSpacing w:val="0"/>
      <w:jc w:val="both"/>
    </w:pPr>
    <w:rPr>
      <w:rFonts w:ascii="Verdana" w:eastAsiaTheme="minorHAnsi" w:hAnsi="Verdana"/>
      <w:spacing w:val="-2"/>
      <w:sz w:val="20"/>
      <w:szCs w:val="24"/>
      <w:lang w:val="es-CR" w:eastAsia="en-US"/>
    </w:rPr>
  </w:style>
  <w:style w:type="character" w:customStyle="1" w:styleId="EncabezadoCar">
    <w:name w:val="Encabezado Car"/>
    <w:basedOn w:val="Fuentedeprrafopredeter"/>
    <w:link w:val="Encabezado"/>
    <w:uiPriority w:val="99"/>
    <w:qFormat/>
    <w:rPr>
      <w:rFonts w:ascii="Calibri" w:eastAsia="Times New Roman" w:hAnsi="Calibri"/>
      <w:sz w:val="22"/>
      <w:szCs w:val="22"/>
      <w:lang w:eastAsia="es-CR"/>
    </w:rPr>
  </w:style>
  <w:style w:type="paragraph" w:customStyle="1" w:styleId="Listavistosa-nfasis11">
    <w:name w:val="Lista vistosa - Énfasis 11"/>
    <w:basedOn w:val="Normal"/>
    <w:uiPriority w:val="34"/>
    <w:qFormat/>
    <w:pPr>
      <w:spacing w:after="0" w:line="240" w:lineRule="auto"/>
      <w:ind w:left="720"/>
    </w:pPr>
    <w:rPr>
      <w:rFonts w:ascii="Times New Roman" w:hAnsi="Times New Roman"/>
      <w:sz w:val="24"/>
      <w:szCs w:val="24"/>
      <w:lang w:eastAsia="es-ES"/>
    </w:rPr>
  </w:style>
  <w:style w:type="character" w:styleId="Textodelmarcadordeposicin">
    <w:name w:val="Placeholder Text"/>
    <w:basedOn w:val="Fuentedeprrafopredeter"/>
    <w:uiPriority w:val="99"/>
    <w:semiHidden/>
    <w:qFormat/>
    <w:rPr>
      <w:color w:val="808080"/>
    </w:rPr>
  </w:style>
  <w:style w:type="character" w:customStyle="1" w:styleId="TextocomentarioCar">
    <w:name w:val="Texto comentario Car"/>
    <w:basedOn w:val="Fuentedeprrafopredeter"/>
    <w:link w:val="Textocomentario"/>
    <w:uiPriority w:val="99"/>
    <w:semiHidden/>
    <w:qFormat/>
    <w:rPr>
      <w:rFonts w:ascii="Calibri" w:eastAsia="Times New Roman" w:hAnsi="Calibri"/>
      <w:szCs w:val="20"/>
      <w:lang w:eastAsia="es-CR"/>
    </w:rPr>
  </w:style>
  <w:style w:type="character" w:customStyle="1" w:styleId="AsuntodelcomentarioCar">
    <w:name w:val="Asunto del comentario Car"/>
    <w:basedOn w:val="TextocomentarioCar"/>
    <w:link w:val="Asuntodelcomentario"/>
    <w:uiPriority w:val="99"/>
    <w:semiHidden/>
    <w:qFormat/>
    <w:rPr>
      <w:rFonts w:ascii="Calibri" w:eastAsia="Times New Roman" w:hAnsi="Calibri"/>
      <w:b/>
      <w:bCs/>
      <w:szCs w:val="20"/>
      <w:lang w:eastAsia="es-CR"/>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eastAsia="es-CR"/>
    </w:rPr>
  </w:style>
  <w:style w:type="paragraph" w:customStyle="1" w:styleId="TtuloTDC1">
    <w:name w:val="Título TDC1"/>
    <w:basedOn w:val="Ttulo1"/>
    <w:next w:val="Normal"/>
    <w:uiPriority w:val="39"/>
    <w:unhideWhenUsed/>
    <w:qFormat/>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character" w:customStyle="1" w:styleId="TextoindependienteCar">
    <w:name w:val="Texto independiente Car"/>
    <w:basedOn w:val="Fuentedeprrafopredeter"/>
    <w:link w:val="Textoindependiente"/>
    <w:uiPriority w:val="1"/>
    <w:qFormat/>
    <w:rPr>
      <w:rFonts w:ascii="Arial" w:hAnsi="Arial" w:cs="Arial"/>
      <w:sz w:val="21"/>
      <w:szCs w:val="21"/>
    </w:rPr>
  </w:style>
  <w:style w:type="character" w:customStyle="1" w:styleId="TextonotapieCar2">
    <w:name w:val="Texto nota pie Car2"/>
    <w:aliases w:val="Footnote Text Char Char Char Char Char Car2,Footnote Text Char Char Char Char Car2,Footnote reference Car2,FA Fu Car2,Footnote Text Char Char Char Car2,Footnote Text Cha Car2,FA Fußnotentext Car2,FA Fu?notentext Car2,Ca Car1,C Car2"/>
    <w:basedOn w:val="Fuentedeprrafopredeter"/>
    <w:locked/>
    <w:rsid w:val="008D4A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235769">
      <w:bodyDiv w:val="1"/>
      <w:marLeft w:val="0"/>
      <w:marRight w:val="0"/>
      <w:marTop w:val="0"/>
      <w:marBottom w:val="0"/>
      <w:divBdr>
        <w:top w:val="none" w:sz="0" w:space="0" w:color="auto"/>
        <w:left w:val="none" w:sz="0" w:space="0" w:color="auto"/>
        <w:bottom w:val="none" w:sz="0" w:space="0" w:color="auto"/>
        <w:right w:val="none" w:sz="0" w:space="0" w:color="auto"/>
      </w:divBdr>
    </w:div>
    <w:div w:id="910505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acnur.org/fileadmin/Documentos/BDL/2011/7583.pdf" TargetMode="External"/><Relationship Id="rId1" Type="http://schemas.openxmlformats.org/officeDocument/2006/relationships/hyperlink" Target="http://www.corteidh.or.cr/docs/casos/articulos/seriec_324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541D3F1F-603C-4C60-901D-0A0CD2494DF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11568</Words>
  <Characters>63627</Characters>
  <Application>Microsoft Office Word</Application>
  <DocSecurity>0</DocSecurity>
  <Lines>530</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Corte IDH</dc:creator>
  <cp:lastModifiedBy>Liliana Tojo</cp:lastModifiedBy>
  <cp:revision>2</cp:revision>
  <dcterms:created xsi:type="dcterms:W3CDTF">2021-10-22T19:16:00Z</dcterms:created>
  <dcterms:modified xsi:type="dcterms:W3CDTF">2021-10-22T19:16:00Z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3082-11.2.0.10130</vt:lpwstr>
  </property>
</Properties>
</file>