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24FE1" w14:textId="5CB770E0" w:rsidR="00E05F9A" w:rsidRPr="00E05F9A" w:rsidRDefault="00E05F9A" w:rsidP="004D4BE7">
      <w:pPr>
        <w:pStyle w:val="NormalWeb"/>
        <w:jc w:val="both"/>
        <w:rPr>
          <w:rFonts w:ascii="Verdana" w:hAnsi="Verdana" w:cs="Calibri"/>
          <w:b/>
          <w:sz w:val="20"/>
          <w:szCs w:val="20"/>
        </w:rPr>
      </w:pPr>
    </w:p>
    <w:p w14:paraId="04721C58" w14:textId="304D387C" w:rsidR="00E05F9A" w:rsidRDefault="00E05F9A" w:rsidP="004D4BE7">
      <w:pPr>
        <w:pStyle w:val="NormalWeb"/>
        <w:jc w:val="both"/>
        <w:rPr>
          <w:rFonts w:ascii="Verdana" w:hAnsi="Verdana" w:cs="Calibri"/>
          <w:b/>
          <w:sz w:val="20"/>
          <w:szCs w:val="20"/>
        </w:rPr>
      </w:pPr>
    </w:p>
    <w:p w14:paraId="1D7CAD6A" w14:textId="7A2BD147" w:rsidR="00140C7C" w:rsidRDefault="00140C7C" w:rsidP="004D4BE7">
      <w:pPr>
        <w:pStyle w:val="NormalWeb"/>
        <w:jc w:val="both"/>
        <w:rPr>
          <w:rFonts w:ascii="Verdana" w:hAnsi="Verdana" w:cs="Calibri"/>
          <w:b/>
          <w:sz w:val="20"/>
          <w:szCs w:val="20"/>
        </w:rPr>
      </w:pPr>
    </w:p>
    <w:p w14:paraId="7E089244" w14:textId="77777777" w:rsidR="00140C7C" w:rsidRPr="00E05F9A" w:rsidRDefault="00140C7C" w:rsidP="004D4BE7">
      <w:pPr>
        <w:pStyle w:val="NormalWeb"/>
        <w:jc w:val="both"/>
        <w:rPr>
          <w:rFonts w:ascii="Verdana" w:hAnsi="Verdana" w:cs="Calibri"/>
          <w:b/>
          <w:sz w:val="20"/>
          <w:szCs w:val="20"/>
        </w:rPr>
      </w:pPr>
    </w:p>
    <w:p w14:paraId="7886303E" w14:textId="3646790E" w:rsidR="00E05F9A" w:rsidRPr="00E05F9A" w:rsidRDefault="00E05F9A" w:rsidP="004D4BE7">
      <w:pPr>
        <w:pStyle w:val="NormalWeb"/>
        <w:jc w:val="both"/>
        <w:rPr>
          <w:rFonts w:ascii="Verdana" w:hAnsi="Verdana" w:cs="Calibri"/>
          <w:b/>
          <w:sz w:val="20"/>
          <w:szCs w:val="20"/>
        </w:rPr>
      </w:pPr>
    </w:p>
    <w:p w14:paraId="489EE813" w14:textId="05D1A641" w:rsidR="00E05F9A" w:rsidRPr="00E05F9A" w:rsidRDefault="00E05F9A" w:rsidP="004D4BE7">
      <w:pPr>
        <w:pStyle w:val="NormalWeb"/>
        <w:jc w:val="both"/>
        <w:rPr>
          <w:rFonts w:ascii="Verdana" w:hAnsi="Verdana" w:cs="Calibri"/>
          <w:b/>
          <w:sz w:val="20"/>
          <w:szCs w:val="20"/>
        </w:rPr>
      </w:pPr>
    </w:p>
    <w:p w14:paraId="56E3B19A" w14:textId="77777777" w:rsidR="00E05F9A" w:rsidRPr="00E05F9A" w:rsidRDefault="00E05F9A" w:rsidP="004D4BE7">
      <w:pPr>
        <w:pStyle w:val="NormalWeb"/>
        <w:jc w:val="both"/>
        <w:rPr>
          <w:rFonts w:ascii="Verdana" w:hAnsi="Verdana" w:cs="Calibri"/>
          <w:b/>
          <w:sz w:val="20"/>
          <w:szCs w:val="20"/>
        </w:rPr>
      </w:pPr>
    </w:p>
    <w:p w14:paraId="6D6224C2" w14:textId="77777777" w:rsidR="00DF3B59" w:rsidRPr="00E05F9A" w:rsidRDefault="00DF3B59" w:rsidP="004D4BE7">
      <w:pPr>
        <w:pStyle w:val="NormalWeb"/>
        <w:jc w:val="both"/>
        <w:rPr>
          <w:rFonts w:ascii="Verdana" w:hAnsi="Verdana" w:cs="Calibri"/>
          <w:b/>
          <w:sz w:val="20"/>
          <w:szCs w:val="20"/>
        </w:rPr>
      </w:pPr>
    </w:p>
    <w:p w14:paraId="700082FD" w14:textId="77777777" w:rsidR="004D4BE7" w:rsidRPr="00716618" w:rsidRDefault="004D4BE7" w:rsidP="004D4BE7">
      <w:pPr>
        <w:pStyle w:val="NormalWeb"/>
        <w:jc w:val="center"/>
        <w:rPr>
          <w:rFonts w:ascii="Verdana" w:hAnsi="Verdana" w:cs="Calibri"/>
          <w:b/>
          <w:color w:val="000000"/>
          <w:sz w:val="20"/>
          <w:szCs w:val="20"/>
        </w:rPr>
      </w:pPr>
      <w:r w:rsidRPr="00716618">
        <w:rPr>
          <w:rFonts w:ascii="Verdana" w:hAnsi="Verdana" w:cs="Calibri"/>
          <w:b/>
          <w:color w:val="000000"/>
          <w:sz w:val="20"/>
          <w:szCs w:val="20"/>
        </w:rPr>
        <w:t xml:space="preserve">RESOLUCIÓN DE LA </w:t>
      </w:r>
    </w:p>
    <w:p w14:paraId="5EAE0996" w14:textId="77777777" w:rsidR="004D4BE7" w:rsidRPr="00716618" w:rsidRDefault="004D4BE7" w:rsidP="004D4BE7">
      <w:pPr>
        <w:pStyle w:val="NormalWeb"/>
        <w:jc w:val="center"/>
        <w:rPr>
          <w:rFonts w:ascii="Verdana" w:hAnsi="Verdana" w:cs="Calibri"/>
          <w:b/>
          <w:color w:val="000000"/>
          <w:sz w:val="20"/>
          <w:szCs w:val="20"/>
        </w:rPr>
      </w:pPr>
      <w:r w:rsidRPr="00716618">
        <w:rPr>
          <w:rFonts w:ascii="Verdana" w:hAnsi="Verdana" w:cs="Calibri"/>
          <w:b/>
          <w:color w:val="000000"/>
          <w:sz w:val="20"/>
          <w:szCs w:val="20"/>
        </w:rPr>
        <w:t>CORTE INTERAMERICANA DE DERECHOS HUMANOS</w:t>
      </w:r>
      <w:r w:rsidRPr="005E7788">
        <w:rPr>
          <w:rFonts w:ascii="Verdana" w:hAnsi="Verdana" w:cs="Calibri"/>
          <w:b/>
          <w:color w:val="000000"/>
          <w:sz w:val="20"/>
          <w:szCs w:val="20"/>
          <w:vertAlign w:val="superscript"/>
        </w:rPr>
        <w:t>*</w:t>
      </w:r>
    </w:p>
    <w:p w14:paraId="55B2AC10" w14:textId="77777777" w:rsidR="004D4BE7" w:rsidRDefault="004D4BE7" w:rsidP="004D4BE7">
      <w:pPr>
        <w:pStyle w:val="NormalWeb"/>
        <w:jc w:val="center"/>
        <w:rPr>
          <w:rFonts w:ascii="Verdana" w:hAnsi="Verdana" w:cs="Calibri"/>
          <w:b/>
          <w:color w:val="000000"/>
          <w:sz w:val="20"/>
          <w:szCs w:val="20"/>
        </w:rPr>
      </w:pPr>
    </w:p>
    <w:p w14:paraId="427FC338" w14:textId="55ED23CC" w:rsidR="004D4BE7" w:rsidRPr="00716618" w:rsidRDefault="004D4BE7" w:rsidP="004D4BE7">
      <w:pPr>
        <w:pStyle w:val="NormalWeb"/>
        <w:jc w:val="center"/>
        <w:rPr>
          <w:rFonts w:ascii="Verdana" w:hAnsi="Verdana" w:cs="Calibri"/>
          <w:b/>
          <w:color w:val="000000"/>
          <w:sz w:val="20"/>
          <w:szCs w:val="20"/>
        </w:rPr>
      </w:pPr>
      <w:r w:rsidRPr="00716618">
        <w:rPr>
          <w:rFonts w:ascii="Verdana" w:hAnsi="Verdana" w:cs="Calibri"/>
          <w:b/>
          <w:color w:val="000000"/>
          <w:sz w:val="20"/>
          <w:szCs w:val="20"/>
        </w:rPr>
        <w:t xml:space="preserve">DE </w:t>
      </w:r>
      <w:r w:rsidR="00F3147C">
        <w:rPr>
          <w:rFonts w:ascii="Verdana" w:hAnsi="Verdana" w:cs="Calibri"/>
          <w:b/>
          <w:color w:val="000000"/>
          <w:sz w:val="20"/>
          <w:szCs w:val="20"/>
        </w:rPr>
        <w:t>1 DE SEPTIEMBRE</w:t>
      </w:r>
      <w:r w:rsidR="00F3147C" w:rsidRPr="00716618">
        <w:rPr>
          <w:rFonts w:ascii="Verdana" w:hAnsi="Verdana" w:cs="Calibri"/>
          <w:b/>
          <w:color w:val="000000"/>
          <w:sz w:val="20"/>
          <w:szCs w:val="20"/>
        </w:rPr>
        <w:t xml:space="preserve"> </w:t>
      </w:r>
      <w:r w:rsidRPr="00716618">
        <w:rPr>
          <w:rFonts w:ascii="Verdana" w:hAnsi="Verdana" w:cs="Calibri"/>
          <w:b/>
          <w:color w:val="000000"/>
          <w:sz w:val="20"/>
          <w:szCs w:val="20"/>
        </w:rPr>
        <w:t>DE 20</w:t>
      </w:r>
      <w:r>
        <w:rPr>
          <w:rFonts w:ascii="Verdana" w:hAnsi="Verdana" w:cs="Calibri"/>
          <w:b/>
          <w:color w:val="000000"/>
          <w:sz w:val="20"/>
          <w:szCs w:val="20"/>
        </w:rPr>
        <w:t>21</w:t>
      </w:r>
    </w:p>
    <w:p w14:paraId="3A711A47" w14:textId="77777777" w:rsidR="004D4BE7" w:rsidRPr="00716618" w:rsidRDefault="004D4BE7" w:rsidP="004D4BE7">
      <w:pPr>
        <w:pStyle w:val="NormalWeb"/>
        <w:jc w:val="center"/>
        <w:rPr>
          <w:rFonts w:ascii="Verdana" w:hAnsi="Verdana" w:cs="Calibri"/>
          <w:b/>
          <w:color w:val="000000"/>
          <w:sz w:val="20"/>
          <w:szCs w:val="20"/>
        </w:rPr>
      </w:pPr>
    </w:p>
    <w:p w14:paraId="2009F4F4" w14:textId="0E3C4EFF" w:rsidR="004D4BE7" w:rsidRPr="005E7788" w:rsidRDefault="004D4BE7" w:rsidP="004D4BE7">
      <w:pPr>
        <w:pStyle w:val="NormalWeb"/>
        <w:jc w:val="center"/>
        <w:rPr>
          <w:rFonts w:ascii="Verdana" w:hAnsi="Verdana" w:cs="Calibri"/>
          <w:b/>
          <w:i/>
          <w:color w:val="000000"/>
          <w:sz w:val="20"/>
          <w:szCs w:val="20"/>
        </w:rPr>
      </w:pPr>
      <w:r w:rsidRPr="005E7788">
        <w:rPr>
          <w:rFonts w:ascii="Verdana" w:hAnsi="Verdana" w:cs="Calibri"/>
          <w:b/>
          <w:i/>
          <w:color w:val="000000"/>
          <w:sz w:val="20"/>
          <w:szCs w:val="20"/>
        </w:rPr>
        <w:t xml:space="preserve">CASO </w:t>
      </w:r>
      <w:r w:rsidR="00301FE1">
        <w:rPr>
          <w:rFonts w:ascii="Verdana" w:hAnsi="Verdana" w:cs="Calibri"/>
          <w:b/>
          <w:i/>
          <w:color w:val="000000"/>
          <w:sz w:val="20"/>
          <w:szCs w:val="20"/>
        </w:rPr>
        <w:t>URRUTIA LAUBREAUX</w:t>
      </w:r>
      <w:r w:rsidRPr="005E7788">
        <w:rPr>
          <w:rFonts w:ascii="Verdana" w:hAnsi="Verdana" w:cs="Calibri"/>
          <w:b/>
          <w:i/>
          <w:color w:val="000000"/>
          <w:sz w:val="20"/>
          <w:szCs w:val="20"/>
        </w:rPr>
        <w:t xml:space="preserve"> VS. </w:t>
      </w:r>
      <w:r w:rsidR="00301FE1">
        <w:rPr>
          <w:rFonts w:ascii="Verdana" w:hAnsi="Verdana" w:cs="Calibri"/>
          <w:b/>
          <w:i/>
          <w:color w:val="000000"/>
          <w:sz w:val="20"/>
          <w:szCs w:val="20"/>
        </w:rPr>
        <w:t>CHILE</w:t>
      </w:r>
    </w:p>
    <w:p w14:paraId="39070258" w14:textId="77777777" w:rsidR="004D4BE7" w:rsidRPr="00716618" w:rsidRDefault="004D4BE7" w:rsidP="004D4BE7">
      <w:pPr>
        <w:pStyle w:val="NormalWeb"/>
        <w:jc w:val="center"/>
        <w:rPr>
          <w:rFonts w:ascii="Verdana" w:hAnsi="Verdana" w:cs="Calibri"/>
          <w:b/>
          <w:color w:val="000000"/>
          <w:sz w:val="20"/>
          <w:szCs w:val="20"/>
        </w:rPr>
      </w:pPr>
    </w:p>
    <w:p w14:paraId="5CF1AB4E" w14:textId="77777777" w:rsidR="004D4BE7" w:rsidRPr="00716618" w:rsidRDefault="004D4BE7" w:rsidP="004D4BE7">
      <w:pPr>
        <w:pStyle w:val="NormalWeb"/>
        <w:jc w:val="center"/>
        <w:rPr>
          <w:rFonts w:ascii="Verdana" w:hAnsi="Verdana" w:cs="Calibri"/>
          <w:b/>
          <w:color w:val="000000"/>
          <w:sz w:val="20"/>
          <w:szCs w:val="20"/>
        </w:rPr>
      </w:pPr>
      <w:r w:rsidRPr="00716618">
        <w:rPr>
          <w:rFonts w:ascii="Verdana" w:hAnsi="Verdana" w:cs="Calibri"/>
          <w:b/>
          <w:color w:val="000000"/>
          <w:sz w:val="20"/>
          <w:szCs w:val="20"/>
        </w:rPr>
        <w:t>SUPERVISIÓN DE CUMPLIMIENTO DE SENTENCIA</w:t>
      </w:r>
    </w:p>
    <w:p w14:paraId="3E45B829" w14:textId="77777777" w:rsidR="004D4BE7" w:rsidRPr="00716618" w:rsidRDefault="004D4BE7" w:rsidP="004D4BE7">
      <w:pPr>
        <w:pStyle w:val="NormalWeb"/>
        <w:jc w:val="center"/>
        <w:rPr>
          <w:rFonts w:ascii="Verdana" w:hAnsi="Verdana" w:cs="Calibri"/>
          <w:color w:val="000000"/>
          <w:sz w:val="20"/>
          <w:szCs w:val="20"/>
        </w:rPr>
      </w:pPr>
    </w:p>
    <w:p w14:paraId="13B6DB28" w14:textId="77777777" w:rsidR="004D4BE7" w:rsidRPr="00E5662D" w:rsidRDefault="004D4BE7" w:rsidP="00F04645">
      <w:pPr>
        <w:pStyle w:val="NormalWeb"/>
        <w:spacing w:before="120" w:after="120"/>
        <w:rPr>
          <w:rFonts w:ascii="Verdana" w:hAnsi="Verdana" w:cs="Calibri"/>
          <w:b/>
          <w:color w:val="000000"/>
          <w:sz w:val="20"/>
          <w:szCs w:val="20"/>
        </w:rPr>
      </w:pPr>
      <w:r w:rsidRPr="00716618">
        <w:rPr>
          <w:rFonts w:ascii="Verdana" w:hAnsi="Verdana" w:cs="Calibri"/>
          <w:b/>
          <w:color w:val="000000"/>
          <w:sz w:val="20"/>
          <w:szCs w:val="20"/>
        </w:rPr>
        <w:t>VISTO</w:t>
      </w:r>
      <w:r w:rsidRPr="00E5662D">
        <w:rPr>
          <w:rFonts w:ascii="Verdana" w:hAnsi="Verdana" w:cs="Calibri"/>
          <w:b/>
          <w:color w:val="000000"/>
          <w:sz w:val="20"/>
          <w:szCs w:val="20"/>
        </w:rPr>
        <w:t xml:space="preserve">: </w:t>
      </w:r>
    </w:p>
    <w:p w14:paraId="69025456" w14:textId="566FC2D4" w:rsidR="009F1ED0" w:rsidRPr="00E5662D" w:rsidRDefault="004D4BE7" w:rsidP="003C53C6">
      <w:pPr>
        <w:pStyle w:val="Prrafodelista"/>
        <w:numPr>
          <w:ilvl w:val="0"/>
          <w:numId w:val="1"/>
        </w:numPr>
        <w:spacing w:before="120" w:after="120"/>
        <w:ind w:left="0" w:firstLine="0"/>
        <w:jc w:val="both"/>
        <w:rPr>
          <w:rFonts w:ascii="Verdana" w:hAnsi="Verdana"/>
          <w:b/>
          <w:bCs/>
          <w:sz w:val="20"/>
          <w:szCs w:val="20"/>
        </w:rPr>
      </w:pPr>
      <w:r w:rsidRPr="00E5662D">
        <w:rPr>
          <w:rFonts w:ascii="Verdana" w:hAnsi="Verdana"/>
          <w:sz w:val="20"/>
          <w:szCs w:val="20"/>
        </w:rPr>
        <w:t>La Sentencia de excepci</w:t>
      </w:r>
      <w:r w:rsidR="00815F89" w:rsidRPr="00E5662D">
        <w:rPr>
          <w:rFonts w:ascii="Verdana" w:hAnsi="Verdana"/>
          <w:sz w:val="20"/>
          <w:szCs w:val="20"/>
        </w:rPr>
        <w:t>ones</w:t>
      </w:r>
      <w:r w:rsidRPr="00E5662D">
        <w:rPr>
          <w:rFonts w:ascii="Verdana" w:hAnsi="Verdana"/>
          <w:sz w:val="20"/>
          <w:szCs w:val="20"/>
        </w:rPr>
        <w:t xml:space="preserve"> preliminar</w:t>
      </w:r>
      <w:r w:rsidR="00815F89" w:rsidRPr="00E5662D">
        <w:rPr>
          <w:rFonts w:ascii="Verdana" w:hAnsi="Verdana"/>
          <w:sz w:val="20"/>
          <w:szCs w:val="20"/>
        </w:rPr>
        <w:t>es</w:t>
      </w:r>
      <w:r w:rsidRPr="00E5662D">
        <w:rPr>
          <w:rFonts w:ascii="Verdana" w:hAnsi="Verdana"/>
          <w:sz w:val="20"/>
          <w:szCs w:val="20"/>
        </w:rPr>
        <w:t xml:space="preserve">, fondo, reparaciones y costas dictada por la Corte Interamericana de Derechos Humanos (en adelante “la Corte”, “la Corte Interamericana” o “el Tribunal”) el </w:t>
      </w:r>
      <w:r w:rsidR="00815F89" w:rsidRPr="00E5662D">
        <w:rPr>
          <w:rFonts w:ascii="Verdana" w:hAnsi="Verdana"/>
          <w:sz w:val="20"/>
          <w:szCs w:val="20"/>
        </w:rPr>
        <w:t>27 de agosto</w:t>
      </w:r>
      <w:r w:rsidRPr="00E5662D">
        <w:rPr>
          <w:rFonts w:ascii="Verdana" w:hAnsi="Verdana"/>
          <w:sz w:val="20"/>
          <w:szCs w:val="20"/>
        </w:rPr>
        <w:t xml:space="preserve"> de 20</w:t>
      </w:r>
      <w:r w:rsidR="006C6BA4">
        <w:rPr>
          <w:rFonts w:ascii="Verdana" w:hAnsi="Verdana"/>
          <w:sz w:val="20"/>
          <w:szCs w:val="20"/>
        </w:rPr>
        <w:t>2</w:t>
      </w:r>
      <w:r w:rsidR="00815F89" w:rsidRPr="00E5662D">
        <w:rPr>
          <w:rFonts w:ascii="Verdana" w:hAnsi="Verdana"/>
          <w:sz w:val="20"/>
          <w:szCs w:val="20"/>
        </w:rPr>
        <w:t>0</w:t>
      </w:r>
      <w:r w:rsidRPr="00E5662D">
        <w:rPr>
          <w:rStyle w:val="Refdenotaalpie"/>
          <w:rFonts w:ascii="Verdana" w:hAnsi="Verdana"/>
          <w:sz w:val="20"/>
          <w:szCs w:val="20"/>
        </w:rPr>
        <w:footnoteReference w:id="1"/>
      </w:r>
      <w:r w:rsidRPr="00E5662D">
        <w:rPr>
          <w:rFonts w:ascii="Verdana" w:hAnsi="Verdana"/>
          <w:sz w:val="20"/>
          <w:szCs w:val="20"/>
        </w:rPr>
        <w:t>.</w:t>
      </w:r>
      <w:r w:rsidRPr="00E5662D">
        <w:rPr>
          <w:rFonts w:ascii="Verdana" w:hAnsi="Verdana"/>
          <w:color w:val="000000"/>
          <w:sz w:val="20"/>
          <w:szCs w:val="20"/>
        </w:rPr>
        <w:t xml:space="preserve"> La Corte declaró responsable internacionalmente a la República </w:t>
      </w:r>
      <w:r w:rsidR="00815F89" w:rsidRPr="00E5662D">
        <w:rPr>
          <w:rFonts w:ascii="Verdana" w:hAnsi="Verdana"/>
          <w:color w:val="000000"/>
          <w:sz w:val="20"/>
          <w:szCs w:val="20"/>
        </w:rPr>
        <w:t>de Chile</w:t>
      </w:r>
      <w:r w:rsidRPr="00E5662D">
        <w:rPr>
          <w:rFonts w:ascii="Verdana" w:hAnsi="Verdana"/>
          <w:color w:val="000000"/>
          <w:sz w:val="20"/>
          <w:szCs w:val="20"/>
        </w:rPr>
        <w:t xml:space="preserve"> (en adelante “el Estado” o “</w:t>
      </w:r>
      <w:r w:rsidR="00815F89" w:rsidRPr="00E5662D">
        <w:rPr>
          <w:rFonts w:ascii="Verdana" w:hAnsi="Verdana"/>
          <w:color w:val="000000"/>
          <w:sz w:val="20"/>
          <w:szCs w:val="20"/>
        </w:rPr>
        <w:t>Chile</w:t>
      </w:r>
      <w:r w:rsidRPr="00E5662D">
        <w:rPr>
          <w:rFonts w:ascii="Verdana" w:hAnsi="Verdana"/>
          <w:color w:val="000000"/>
          <w:sz w:val="20"/>
          <w:szCs w:val="20"/>
        </w:rPr>
        <w:t xml:space="preserve">”) </w:t>
      </w:r>
      <w:r w:rsidR="00225F5B" w:rsidRPr="00E5662D">
        <w:rPr>
          <w:rFonts w:ascii="Verdana" w:hAnsi="Verdana"/>
          <w:bCs/>
          <w:sz w:val="20"/>
          <w:szCs w:val="20"/>
        </w:rPr>
        <w:t xml:space="preserve">por </w:t>
      </w:r>
      <w:r w:rsidR="00225F5B" w:rsidRPr="00E5662D">
        <w:rPr>
          <w:rFonts w:ascii="Verdana" w:hAnsi="Verdana"/>
          <w:sz w:val="20"/>
          <w:szCs w:val="20"/>
        </w:rPr>
        <w:t xml:space="preserve">la violación a </w:t>
      </w:r>
      <w:r w:rsidR="00E46611" w:rsidRPr="00E5662D">
        <w:rPr>
          <w:rFonts w:ascii="Verdana" w:hAnsi="Verdana"/>
          <w:sz w:val="20"/>
          <w:szCs w:val="20"/>
        </w:rPr>
        <w:t xml:space="preserve">los derechos a </w:t>
      </w:r>
      <w:r w:rsidR="00225F5B" w:rsidRPr="00E5662D">
        <w:rPr>
          <w:rFonts w:ascii="Verdana" w:hAnsi="Verdana"/>
          <w:sz w:val="20"/>
          <w:szCs w:val="20"/>
        </w:rPr>
        <w:t>la</w:t>
      </w:r>
      <w:r w:rsidR="00815F89" w:rsidRPr="00E5662D">
        <w:rPr>
          <w:rFonts w:ascii="Verdana" w:hAnsi="Verdana"/>
          <w:sz w:val="20"/>
          <w:szCs w:val="20"/>
        </w:rPr>
        <w:t xml:space="preserve"> libertad de pensamiento</w:t>
      </w:r>
      <w:r w:rsidR="00E72250" w:rsidRPr="00E5662D">
        <w:rPr>
          <w:rFonts w:ascii="Verdana" w:hAnsi="Verdana"/>
          <w:sz w:val="20"/>
          <w:szCs w:val="20"/>
        </w:rPr>
        <w:t xml:space="preserve"> y expresión, a </w:t>
      </w:r>
      <w:r w:rsidR="00F65045">
        <w:rPr>
          <w:rFonts w:ascii="Verdana" w:hAnsi="Verdana"/>
          <w:sz w:val="20"/>
          <w:szCs w:val="20"/>
        </w:rPr>
        <w:t>varias</w:t>
      </w:r>
      <w:r w:rsidR="00E72250" w:rsidRPr="00E5662D">
        <w:rPr>
          <w:rFonts w:ascii="Verdana" w:hAnsi="Verdana"/>
          <w:sz w:val="20"/>
          <w:szCs w:val="20"/>
        </w:rPr>
        <w:t xml:space="preserve"> gar</w:t>
      </w:r>
      <w:r w:rsidR="00815F89" w:rsidRPr="00E5662D">
        <w:rPr>
          <w:rFonts w:ascii="Verdana" w:hAnsi="Verdana"/>
          <w:sz w:val="20"/>
          <w:szCs w:val="20"/>
        </w:rPr>
        <w:t xml:space="preserve">antías judiciales </w:t>
      </w:r>
      <w:r w:rsidR="00E72250" w:rsidRPr="00E5662D">
        <w:rPr>
          <w:rFonts w:ascii="Verdana" w:hAnsi="Verdana"/>
          <w:sz w:val="20"/>
          <w:szCs w:val="20"/>
        </w:rPr>
        <w:t>y a</w:t>
      </w:r>
      <w:r w:rsidR="00815F89" w:rsidRPr="00E5662D">
        <w:rPr>
          <w:rFonts w:ascii="Verdana" w:hAnsi="Verdana"/>
          <w:sz w:val="20"/>
          <w:szCs w:val="20"/>
        </w:rPr>
        <w:t xml:space="preserve">l principio de legalidad en perjuicio del señor </w:t>
      </w:r>
      <w:r w:rsidR="00E72250" w:rsidRPr="00E5662D">
        <w:rPr>
          <w:rFonts w:ascii="Verdana" w:hAnsi="Verdana"/>
          <w:sz w:val="20"/>
          <w:szCs w:val="20"/>
        </w:rPr>
        <w:t>Daniel David Urrutia Laubreaux</w:t>
      </w:r>
      <w:r w:rsidR="00F65045">
        <w:rPr>
          <w:rFonts w:ascii="Verdana" w:hAnsi="Verdana"/>
          <w:sz w:val="20"/>
          <w:szCs w:val="20"/>
        </w:rPr>
        <w:t xml:space="preserve">, quien </w:t>
      </w:r>
      <w:r w:rsidR="00F65045" w:rsidRPr="00E5662D">
        <w:rPr>
          <w:rFonts w:ascii="Verdana" w:hAnsi="Verdana"/>
          <w:sz w:val="20"/>
          <w:szCs w:val="20"/>
        </w:rPr>
        <w:t>se desempeñaba como</w:t>
      </w:r>
      <w:r w:rsidR="00F65045">
        <w:rPr>
          <w:rFonts w:ascii="Verdana" w:hAnsi="Verdana"/>
          <w:sz w:val="20"/>
          <w:szCs w:val="20"/>
        </w:rPr>
        <w:t xml:space="preserve"> juez de g</w:t>
      </w:r>
      <w:r w:rsidR="00F65045" w:rsidRPr="00E5662D">
        <w:rPr>
          <w:rFonts w:ascii="Verdana" w:hAnsi="Verdana"/>
          <w:sz w:val="20"/>
          <w:szCs w:val="20"/>
        </w:rPr>
        <w:t>arantía de Coquimbo</w:t>
      </w:r>
      <w:r w:rsidR="00F65045">
        <w:rPr>
          <w:rFonts w:ascii="Verdana" w:hAnsi="Verdana"/>
          <w:sz w:val="20"/>
          <w:szCs w:val="20"/>
        </w:rPr>
        <w:t>, en relación con la sanción disciplinaria que le fue impuesta en el 2005</w:t>
      </w:r>
      <w:r w:rsidR="00F65045">
        <w:rPr>
          <w:rStyle w:val="Refdenotaalpie"/>
          <w:rFonts w:ascii="Verdana" w:hAnsi="Verdana"/>
          <w:sz w:val="20"/>
          <w:szCs w:val="20"/>
        </w:rPr>
        <w:footnoteReference w:id="2"/>
      </w:r>
      <w:r w:rsidR="00F65045">
        <w:rPr>
          <w:rFonts w:ascii="Verdana" w:hAnsi="Verdana"/>
          <w:sz w:val="20"/>
          <w:szCs w:val="20"/>
        </w:rPr>
        <w:t xml:space="preserve"> y man</w:t>
      </w:r>
      <w:r w:rsidR="00806967">
        <w:rPr>
          <w:rFonts w:ascii="Verdana" w:hAnsi="Verdana"/>
          <w:sz w:val="20"/>
          <w:szCs w:val="20"/>
        </w:rPr>
        <w:t>tenida en su hoja de vida por más de trece</w:t>
      </w:r>
      <w:r w:rsidR="00F65045">
        <w:rPr>
          <w:rFonts w:ascii="Verdana" w:hAnsi="Verdana"/>
          <w:sz w:val="20"/>
          <w:szCs w:val="20"/>
        </w:rPr>
        <w:t xml:space="preserve"> años</w:t>
      </w:r>
      <w:r w:rsidR="00806967">
        <w:rPr>
          <w:rStyle w:val="Refdenotaalpie"/>
          <w:rFonts w:ascii="Verdana" w:hAnsi="Verdana"/>
          <w:sz w:val="20"/>
          <w:szCs w:val="20"/>
        </w:rPr>
        <w:footnoteReference w:id="3"/>
      </w:r>
      <w:r w:rsidR="00806967">
        <w:rPr>
          <w:rFonts w:ascii="Verdana" w:hAnsi="Verdana"/>
          <w:sz w:val="20"/>
          <w:szCs w:val="20"/>
        </w:rPr>
        <w:t>, lo cual afectó su carrera judicial</w:t>
      </w:r>
      <w:r w:rsidR="00E72250" w:rsidRPr="00E5662D">
        <w:rPr>
          <w:rFonts w:ascii="Verdana" w:hAnsi="Verdana"/>
          <w:sz w:val="20"/>
          <w:szCs w:val="20"/>
        </w:rPr>
        <w:t xml:space="preserve">. </w:t>
      </w:r>
      <w:r w:rsidR="00F65045">
        <w:rPr>
          <w:rFonts w:ascii="Verdana" w:hAnsi="Verdana"/>
          <w:sz w:val="20"/>
          <w:szCs w:val="20"/>
        </w:rPr>
        <w:t xml:space="preserve">El </w:t>
      </w:r>
      <w:r w:rsidR="00E72250" w:rsidRPr="00E5662D">
        <w:rPr>
          <w:rFonts w:ascii="Verdana" w:hAnsi="Verdana"/>
          <w:sz w:val="20"/>
          <w:szCs w:val="20"/>
        </w:rPr>
        <w:t>señor Urrutia Laubreaux</w:t>
      </w:r>
      <w:r w:rsidR="00F65045">
        <w:rPr>
          <w:rFonts w:ascii="Verdana" w:hAnsi="Verdana"/>
          <w:sz w:val="20"/>
          <w:szCs w:val="20"/>
        </w:rPr>
        <w:t xml:space="preserve"> fue sancionado debido </w:t>
      </w:r>
      <w:r w:rsidR="00806967">
        <w:rPr>
          <w:rFonts w:ascii="Verdana" w:hAnsi="Verdana"/>
          <w:sz w:val="20"/>
          <w:szCs w:val="20"/>
        </w:rPr>
        <w:t xml:space="preserve">a las expresiones efectuadas en un </w:t>
      </w:r>
      <w:r w:rsidR="00E72250" w:rsidRPr="00E5662D">
        <w:rPr>
          <w:rFonts w:ascii="Verdana" w:hAnsi="Verdana"/>
          <w:sz w:val="20"/>
          <w:szCs w:val="20"/>
        </w:rPr>
        <w:t xml:space="preserve">trabajo académico </w:t>
      </w:r>
      <w:r w:rsidR="00806967">
        <w:rPr>
          <w:rFonts w:ascii="Verdana" w:hAnsi="Verdana"/>
          <w:sz w:val="20"/>
          <w:szCs w:val="20"/>
        </w:rPr>
        <w:t xml:space="preserve">(en </w:t>
      </w:r>
      <w:r w:rsidR="00E72250" w:rsidRPr="00E5662D">
        <w:rPr>
          <w:rFonts w:ascii="Verdana" w:hAnsi="Verdana"/>
          <w:sz w:val="20"/>
          <w:szCs w:val="20"/>
        </w:rPr>
        <w:t>el “Diplomado en Derechos Humanos y Procesos de Democratización</w:t>
      </w:r>
      <w:r w:rsidR="006C6BA4">
        <w:rPr>
          <w:rFonts w:ascii="Verdana" w:hAnsi="Verdana"/>
          <w:sz w:val="20"/>
          <w:szCs w:val="20"/>
        </w:rPr>
        <w:t>”</w:t>
      </w:r>
      <w:r w:rsidR="00806967">
        <w:rPr>
          <w:rFonts w:ascii="Verdana" w:hAnsi="Verdana"/>
          <w:sz w:val="20"/>
          <w:szCs w:val="20"/>
        </w:rPr>
        <w:t>) sobre un tema general</w:t>
      </w:r>
      <w:r w:rsidR="00E72250" w:rsidRPr="00E5662D">
        <w:rPr>
          <w:rFonts w:ascii="Verdana" w:hAnsi="Verdana"/>
          <w:sz w:val="20"/>
          <w:szCs w:val="20"/>
        </w:rPr>
        <w:t>, en el cual</w:t>
      </w:r>
      <w:r w:rsidR="007D535D">
        <w:rPr>
          <w:rFonts w:ascii="Verdana" w:hAnsi="Verdana"/>
          <w:sz w:val="20"/>
          <w:szCs w:val="20"/>
        </w:rPr>
        <w:t>, entre otras cosas,</w:t>
      </w:r>
      <w:r w:rsidR="00E72250" w:rsidRPr="00E5662D">
        <w:rPr>
          <w:rFonts w:ascii="Verdana" w:hAnsi="Verdana"/>
          <w:sz w:val="20"/>
          <w:szCs w:val="20"/>
        </w:rPr>
        <w:t xml:space="preserve"> </w:t>
      </w:r>
      <w:r w:rsidR="00F65045">
        <w:rPr>
          <w:rFonts w:ascii="Verdana" w:hAnsi="Verdana"/>
          <w:sz w:val="20"/>
          <w:szCs w:val="20"/>
        </w:rPr>
        <w:t xml:space="preserve">criticaba las actuaciones de la Corte Suprema de Justicia de Chile </w:t>
      </w:r>
      <w:r w:rsidR="00E72250" w:rsidRPr="00E5662D">
        <w:rPr>
          <w:rFonts w:ascii="Verdana" w:hAnsi="Verdana"/>
          <w:sz w:val="20"/>
          <w:szCs w:val="20"/>
        </w:rPr>
        <w:t>durante el régimen militar chileno</w:t>
      </w:r>
      <w:r w:rsidR="001A1190">
        <w:rPr>
          <w:rStyle w:val="Refdenotaalpie"/>
          <w:rFonts w:ascii="Verdana" w:hAnsi="Verdana"/>
          <w:sz w:val="20"/>
          <w:szCs w:val="20"/>
        </w:rPr>
        <w:footnoteReference w:id="4"/>
      </w:r>
      <w:r w:rsidR="00E72250" w:rsidRPr="00E5662D">
        <w:rPr>
          <w:rFonts w:ascii="Verdana" w:hAnsi="Verdana"/>
          <w:sz w:val="20"/>
          <w:szCs w:val="20"/>
        </w:rPr>
        <w:t xml:space="preserve">. Adicionalmente, este Tribunal constató que </w:t>
      </w:r>
      <w:r w:rsidR="00E5662D" w:rsidRPr="00E5662D">
        <w:rPr>
          <w:rFonts w:ascii="Verdana" w:hAnsi="Verdana"/>
          <w:sz w:val="20"/>
          <w:szCs w:val="20"/>
        </w:rPr>
        <w:t xml:space="preserve">la víctima no contó con información previa y detallada del proceso iniciado </w:t>
      </w:r>
      <w:r w:rsidR="00E5662D" w:rsidRPr="00E5662D">
        <w:rPr>
          <w:rFonts w:ascii="Verdana" w:hAnsi="Verdana"/>
          <w:sz w:val="20"/>
          <w:szCs w:val="20"/>
        </w:rPr>
        <w:lastRenderedPageBreak/>
        <w:t xml:space="preserve">en su contra, </w:t>
      </w:r>
      <w:r w:rsidR="00463B4C">
        <w:rPr>
          <w:rFonts w:ascii="Verdana" w:hAnsi="Verdana"/>
          <w:sz w:val="20"/>
          <w:szCs w:val="20"/>
        </w:rPr>
        <w:t xml:space="preserve">ni </w:t>
      </w:r>
      <w:r w:rsidR="00E5662D" w:rsidRPr="00E5662D">
        <w:rPr>
          <w:rFonts w:ascii="Verdana" w:hAnsi="Verdana"/>
          <w:sz w:val="20"/>
          <w:szCs w:val="20"/>
        </w:rPr>
        <w:t>con la oportunidad para ejercer su derecho de defensa</w:t>
      </w:r>
      <w:r w:rsidR="00463B4C">
        <w:rPr>
          <w:rFonts w:ascii="Verdana" w:hAnsi="Verdana"/>
          <w:sz w:val="20"/>
          <w:szCs w:val="20"/>
        </w:rPr>
        <w:t>,</w:t>
      </w:r>
      <w:r w:rsidR="00E5662D" w:rsidRPr="00E5662D">
        <w:rPr>
          <w:rFonts w:ascii="Verdana" w:hAnsi="Verdana"/>
          <w:sz w:val="20"/>
          <w:szCs w:val="20"/>
        </w:rPr>
        <w:t xml:space="preserve"> </w:t>
      </w:r>
      <w:r w:rsidR="00463B4C">
        <w:rPr>
          <w:rFonts w:ascii="Verdana" w:hAnsi="Verdana"/>
          <w:sz w:val="20"/>
          <w:szCs w:val="20"/>
        </w:rPr>
        <w:t xml:space="preserve">así como </w:t>
      </w:r>
      <w:r w:rsidR="00E5662D" w:rsidRPr="00E5662D">
        <w:rPr>
          <w:rFonts w:ascii="Verdana" w:hAnsi="Verdana"/>
          <w:sz w:val="20"/>
          <w:szCs w:val="20"/>
        </w:rPr>
        <w:t xml:space="preserve">tampoco </w:t>
      </w:r>
      <w:r w:rsidR="00463B4C">
        <w:rPr>
          <w:rFonts w:ascii="Verdana" w:hAnsi="Verdana"/>
          <w:sz w:val="20"/>
          <w:szCs w:val="20"/>
        </w:rPr>
        <w:t xml:space="preserve">se le garantizó que la decisión fuera emitida por </w:t>
      </w:r>
      <w:r w:rsidR="00E5662D" w:rsidRPr="00E5662D">
        <w:rPr>
          <w:rFonts w:ascii="Verdana" w:hAnsi="Verdana"/>
          <w:sz w:val="20"/>
          <w:szCs w:val="20"/>
        </w:rPr>
        <w:t xml:space="preserve">una autoridad </w:t>
      </w:r>
      <w:r w:rsidR="00613DD8">
        <w:rPr>
          <w:rFonts w:ascii="Verdana" w:hAnsi="Verdana"/>
          <w:sz w:val="20"/>
          <w:szCs w:val="20"/>
        </w:rPr>
        <w:t>disciplinaria imparcial</w:t>
      </w:r>
      <w:r w:rsidR="00E5662D" w:rsidRPr="00E5662D">
        <w:rPr>
          <w:rFonts w:ascii="Verdana" w:hAnsi="Verdana"/>
          <w:sz w:val="20"/>
          <w:szCs w:val="20"/>
        </w:rPr>
        <w:t xml:space="preserve">. </w:t>
      </w:r>
      <w:r w:rsidR="00EA2E84">
        <w:rPr>
          <w:rFonts w:ascii="Verdana" w:hAnsi="Verdana"/>
          <w:sz w:val="20"/>
          <w:szCs w:val="20"/>
        </w:rPr>
        <w:t xml:space="preserve">Finalmente, el Tribunal concluyó que </w:t>
      </w:r>
      <w:r w:rsidR="00C86E39">
        <w:rPr>
          <w:rFonts w:ascii="Verdana" w:hAnsi="Verdana"/>
          <w:sz w:val="20"/>
          <w:szCs w:val="20"/>
        </w:rPr>
        <w:t xml:space="preserve">se </w:t>
      </w:r>
      <w:r w:rsidR="00EA2E84">
        <w:rPr>
          <w:rFonts w:ascii="Verdana" w:hAnsi="Verdana"/>
          <w:sz w:val="20"/>
          <w:szCs w:val="20"/>
        </w:rPr>
        <w:t xml:space="preserve">vulneró el principio de legalidad </w:t>
      </w:r>
      <w:r w:rsidR="00E629D6">
        <w:rPr>
          <w:rFonts w:ascii="Verdana" w:hAnsi="Verdana"/>
          <w:sz w:val="20"/>
          <w:szCs w:val="20"/>
        </w:rPr>
        <w:t xml:space="preserve">y la independencia judicial, </w:t>
      </w:r>
      <w:r w:rsidR="00EA2E84">
        <w:rPr>
          <w:rFonts w:ascii="Verdana" w:hAnsi="Verdana"/>
          <w:sz w:val="20"/>
          <w:szCs w:val="20"/>
        </w:rPr>
        <w:t xml:space="preserve">en relación con el deber de adoptar disposiciones de </w:t>
      </w:r>
      <w:r w:rsidR="00C86E39">
        <w:rPr>
          <w:rFonts w:ascii="Verdana" w:hAnsi="Verdana"/>
          <w:sz w:val="20"/>
          <w:szCs w:val="20"/>
        </w:rPr>
        <w:t>d</w:t>
      </w:r>
      <w:r w:rsidR="00EA2E84">
        <w:rPr>
          <w:rFonts w:ascii="Verdana" w:hAnsi="Verdana"/>
          <w:sz w:val="20"/>
          <w:szCs w:val="20"/>
        </w:rPr>
        <w:t>erecho interno</w:t>
      </w:r>
      <w:r w:rsidR="00E629D6">
        <w:rPr>
          <w:rFonts w:ascii="Verdana" w:hAnsi="Verdana"/>
          <w:sz w:val="20"/>
          <w:szCs w:val="20"/>
        </w:rPr>
        <w:t>,</w:t>
      </w:r>
      <w:r w:rsidR="00EA2E84">
        <w:rPr>
          <w:rFonts w:ascii="Verdana" w:hAnsi="Verdana"/>
          <w:sz w:val="20"/>
          <w:szCs w:val="20"/>
        </w:rPr>
        <w:t xml:space="preserve"> </w:t>
      </w:r>
      <w:r w:rsidR="00E629D6">
        <w:rPr>
          <w:rFonts w:ascii="Verdana" w:hAnsi="Verdana"/>
          <w:sz w:val="20"/>
          <w:szCs w:val="20"/>
        </w:rPr>
        <w:t>debido a que el Estado aplicó y mantuvo vigente una norma del Código Orgánico de Tribunales que permitía una discrecionalidad para sancionar incompatible con dicho principi</w:t>
      </w:r>
      <w:r w:rsidR="00CD10CF">
        <w:rPr>
          <w:rFonts w:ascii="Verdana" w:hAnsi="Verdana"/>
          <w:sz w:val="20"/>
          <w:szCs w:val="20"/>
        </w:rPr>
        <w:t>o y que prohibía la crítica del funcionamiento del Poder Judicial</w:t>
      </w:r>
      <w:r w:rsidR="00EA2E84">
        <w:rPr>
          <w:rFonts w:ascii="Verdana" w:hAnsi="Verdana"/>
          <w:sz w:val="20"/>
          <w:szCs w:val="20"/>
        </w:rPr>
        <w:t xml:space="preserve">. </w:t>
      </w:r>
      <w:r w:rsidR="009F1ED0" w:rsidRPr="00E5662D">
        <w:rPr>
          <w:rFonts w:ascii="Verdana" w:hAnsi="Verdana"/>
          <w:sz w:val="20"/>
          <w:szCs w:val="20"/>
        </w:rPr>
        <w:t>La Corte estableció que su Sentencia constituye por sí misma una forma de reparación y ordenó al Estado determinadas medidas de reparación adicionales (</w:t>
      </w:r>
      <w:r w:rsidR="009F1ED0" w:rsidRPr="00E5662D">
        <w:rPr>
          <w:rFonts w:ascii="Verdana" w:hAnsi="Verdana"/>
          <w:i/>
          <w:sz w:val="20"/>
          <w:szCs w:val="20"/>
        </w:rPr>
        <w:t>infra</w:t>
      </w:r>
      <w:r w:rsidR="001956A4" w:rsidRPr="00E5662D">
        <w:rPr>
          <w:rFonts w:ascii="Verdana" w:hAnsi="Verdana"/>
          <w:sz w:val="20"/>
          <w:szCs w:val="20"/>
        </w:rPr>
        <w:t xml:space="preserve"> Considerando 1</w:t>
      </w:r>
      <w:r w:rsidR="009F1ED0" w:rsidRPr="00E5662D">
        <w:rPr>
          <w:rFonts w:ascii="Verdana" w:hAnsi="Verdana"/>
          <w:sz w:val="20"/>
          <w:szCs w:val="20"/>
        </w:rPr>
        <w:t xml:space="preserve">). </w:t>
      </w:r>
    </w:p>
    <w:p w14:paraId="196A5A09" w14:textId="4B889382" w:rsidR="004D4BE7" w:rsidRPr="004F6001" w:rsidRDefault="004D4BE7" w:rsidP="00F04645">
      <w:pPr>
        <w:pStyle w:val="Prrafodelista"/>
        <w:numPr>
          <w:ilvl w:val="0"/>
          <w:numId w:val="1"/>
        </w:numPr>
        <w:spacing w:before="120" w:after="120"/>
        <w:ind w:left="0" w:firstLine="0"/>
        <w:jc w:val="both"/>
        <w:rPr>
          <w:rFonts w:ascii="Verdana" w:hAnsi="Verdana"/>
          <w:b/>
          <w:bCs/>
          <w:sz w:val="20"/>
        </w:rPr>
      </w:pPr>
      <w:r w:rsidRPr="004F6001">
        <w:rPr>
          <w:rFonts w:ascii="Verdana" w:hAnsi="Verdana"/>
          <w:sz w:val="20"/>
        </w:rPr>
        <w:t xml:space="preserve">Los informes presentados por el Estado </w:t>
      </w:r>
      <w:r w:rsidR="00845EAF">
        <w:rPr>
          <w:rFonts w:ascii="Verdana" w:hAnsi="Verdana"/>
          <w:sz w:val="20"/>
        </w:rPr>
        <w:t>el 6 y 27 de mayo</w:t>
      </w:r>
      <w:r>
        <w:rPr>
          <w:rFonts w:ascii="Verdana" w:hAnsi="Verdana"/>
          <w:sz w:val="20"/>
        </w:rPr>
        <w:t xml:space="preserve"> de 2021</w:t>
      </w:r>
      <w:r w:rsidRPr="004F6001">
        <w:rPr>
          <w:rFonts w:ascii="Verdana" w:hAnsi="Verdana"/>
          <w:sz w:val="20"/>
        </w:rPr>
        <w:t xml:space="preserve">. </w:t>
      </w:r>
    </w:p>
    <w:p w14:paraId="200CC93D" w14:textId="73090740" w:rsidR="004D4BE7" w:rsidRPr="0072379C" w:rsidRDefault="00815F89" w:rsidP="00F04645">
      <w:pPr>
        <w:pStyle w:val="Prrafodelista"/>
        <w:numPr>
          <w:ilvl w:val="0"/>
          <w:numId w:val="1"/>
        </w:numPr>
        <w:spacing w:before="120" w:after="120"/>
        <w:ind w:left="0" w:firstLine="0"/>
        <w:jc w:val="both"/>
        <w:rPr>
          <w:rFonts w:ascii="Verdana" w:hAnsi="Verdana"/>
          <w:b/>
          <w:bCs/>
          <w:sz w:val="20"/>
        </w:rPr>
      </w:pPr>
      <w:r>
        <w:rPr>
          <w:rFonts w:ascii="Verdana" w:hAnsi="Verdana"/>
          <w:sz w:val="20"/>
        </w:rPr>
        <w:t>El escrito</w:t>
      </w:r>
      <w:r w:rsidR="004D4BE7" w:rsidRPr="004F6001">
        <w:rPr>
          <w:rFonts w:ascii="Verdana" w:hAnsi="Verdana"/>
          <w:sz w:val="20"/>
        </w:rPr>
        <w:t xml:space="preserve"> de </w:t>
      </w:r>
      <w:r w:rsidR="004D4BE7">
        <w:rPr>
          <w:rFonts w:ascii="Verdana" w:hAnsi="Verdana"/>
          <w:sz w:val="20"/>
        </w:rPr>
        <w:t>obs</w:t>
      </w:r>
      <w:r>
        <w:rPr>
          <w:rFonts w:ascii="Verdana" w:hAnsi="Verdana"/>
          <w:sz w:val="20"/>
        </w:rPr>
        <w:t>ervaciones presentado</w:t>
      </w:r>
      <w:r w:rsidR="004D4BE7">
        <w:rPr>
          <w:rFonts w:ascii="Verdana" w:hAnsi="Verdana"/>
          <w:sz w:val="20"/>
        </w:rPr>
        <w:t xml:space="preserve"> por lo</w:t>
      </w:r>
      <w:r w:rsidR="00845EAF">
        <w:rPr>
          <w:rFonts w:ascii="Verdana" w:hAnsi="Verdana"/>
          <w:sz w:val="20"/>
        </w:rPr>
        <w:t>s representantes de la</w:t>
      </w:r>
      <w:r w:rsidR="004D4BE7" w:rsidRPr="004F6001">
        <w:rPr>
          <w:rFonts w:ascii="Verdana" w:hAnsi="Verdana"/>
          <w:sz w:val="20"/>
        </w:rPr>
        <w:t xml:space="preserve"> víctima (en ade</w:t>
      </w:r>
      <w:r w:rsidR="004D4BE7">
        <w:rPr>
          <w:rFonts w:ascii="Verdana" w:hAnsi="Verdana"/>
          <w:sz w:val="20"/>
        </w:rPr>
        <w:t>lante “lo</w:t>
      </w:r>
      <w:r w:rsidR="004D4BE7" w:rsidRPr="004F6001">
        <w:rPr>
          <w:rFonts w:ascii="Verdana" w:hAnsi="Verdana"/>
          <w:sz w:val="20"/>
        </w:rPr>
        <w:t>s representantes”)</w:t>
      </w:r>
      <w:r w:rsidR="004D4BE7">
        <w:rPr>
          <w:rStyle w:val="Refdenotaalpie"/>
          <w:rFonts w:ascii="Verdana" w:hAnsi="Verdana"/>
          <w:sz w:val="20"/>
        </w:rPr>
        <w:footnoteReference w:id="5"/>
      </w:r>
      <w:r w:rsidR="004D4BE7">
        <w:rPr>
          <w:rFonts w:ascii="Verdana" w:hAnsi="Verdana"/>
          <w:sz w:val="20"/>
        </w:rPr>
        <w:t xml:space="preserve"> </w:t>
      </w:r>
      <w:r w:rsidR="00DB1900">
        <w:rPr>
          <w:rFonts w:ascii="Verdana" w:hAnsi="Verdana"/>
          <w:sz w:val="20"/>
        </w:rPr>
        <w:t>el 17 de</w:t>
      </w:r>
      <w:r w:rsidR="00DB1900" w:rsidRPr="004F6001">
        <w:rPr>
          <w:rFonts w:ascii="Verdana" w:hAnsi="Verdana"/>
          <w:sz w:val="20"/>
        </w:rPr>
        <w:t xml:space="preserve"> </w:t>
      </w:r>
      <w:r w:rsidR="00845EAF">
        <w:rPr>
          <w:rFonts w:ascii="Verdana" w:hAnsi="Verdana"/>
          <w:sz w:val="20"/>
        </w:rPr>
        <w:t>junio</w:t>
      </w:r>
      <w:r w:rsidR="00DE3516">
        <w:rPr>
          <w:rFonts w:ascii="Verdana" w:hAnsi="Verdana"/>
          <w:sz w:val="20"/>
        </w:rPr>
        <w:t xml:space="preserve"> </w:t>
      </w:r>
      <w:r w:rsidR="004D4BE7">
        <w:rPr>
          <w:rFonts w:ascii="Verdana" w:hAnsi="Verdana"/>
          <w:sz w:val="20"/>
        </w:rPr>
        <w:t>de 202</w:t>
      </w:r>
      <w:r w:rsidR="00845EAF">
        <w:rPr>
          <w:rFonts w:ascii="Verdana" w:hAnsi="Verdana"/>
          <w:sz w:val="20"/>
        </w:rPr>
        <w:t>1</w:t>
      </w:r>
      <w:r w:rsidR="004D4BE7" w:rsidRPr="00725C04">
        <w:rPr>
          <w:rFonts w:ascii="Verdana" w:hAnsi="Verdana"/>
          <w:sz w:val="20"/>
        </w:rPr>
        <w:t>.</w:t>
      </w:r>
    </w:p>
    <w:p w14:paraId="42AC3C88" w14:textId="77777777" w:rsidR="004D4BE7" w:rsidRPr="00E05F9A" w:rsidRDefault="004D4BE7" w:rsidP="00AE004E">
      <w:pPr>
        <w:pStyle w:val="Prrafodelista"/>
        <w:spacing w:before="120" w:after="120"/>
        <w:rPr>
          <w:rFonts w:ascii="Verdana" w:hAnsi="Verdana"/>
          <w:sz w:val="16"/>
        </w:rPr>
      </w:pPr>
    </w:p>
    <w:p w14:paraId="649B09B7" w14:textId="77777777" w:rsidR="004D4BE7" w:rsidRPr="00596ECD" w:rsidRDefault="004D4BE7" w:rsidP="00AE004E">
      <w:pPr>
        <w:pStyle w:val="Prrafodelista"/>
        <w:spacing w:before="120" w:after="120"/>
        <w:ind w:left="0"/>
        <w:jc w:val="both"/>
        <w:rPr>
          <w:rFonts w:ascii="Verdana" w:hAnsi="Verdana"/>
          <w:b/>
          <w:sz w:val="20"/>
        </w:rPr>
      </w:pPr>
      <w:r w:rsidRPr="00596ECD">
        <w:rPr>
          <w:rFonts w:ascii="Verdana" w:hAnsi="Verdana"/>
          <w:b/>
          <w:sz w:val="20"/>
        </w:rPr>
        <w:t xml:space="preserve">CONSIDERANDO QUE: </w:t>
      </w:r>
    </w:p>
    <w:p w14:paraId="2AD0A94B" w14:textId="3791F2B1" w:rsidR="004D4BE7" w:rsidRPr="00993169" w:rsidRDefault="004D4BE7" w:rsidP="00AE004E">
      <w:pPr>
        <w:pStyle w:val="Prrafodelista"/>
        <w:numPr>
          <w:ilvl w:val="0"/>
          <w:numId w:val="3"/>
        </w:numPr>
        <w:spacing w:before="120" w:after="120"/>
        <w:ind w:left="0" w:firstLine="0"/>
        <w:jc w:val="both"/>
        <w:rPr>
          <w:rFonts w:ascii="Verdana" w:hAnsi="Verdana"/>
          <w:b/>
          <w:sz w:val="14"/>
          <w:szCs w:val="20"/>
        </w:rPr>
      </w:pPr>
      <w:r w:rsidRPr="00596ECD">
        <w:rPr>
          <w:rFonts w:ascii="Verdana" w:hAnsi="Verdana"/>
          <w:sz w:val="20"/>
        </w:rPr>
        <w:t>En el ejercicio de su función jurisdiccional de supervisar el cumplimiento de sus decisiones</w:t>
      </w:r>
      <w:r>
        <w:rPr>
          <w:rStyle w:val="Refdenotaalpie"/>
          <w:rFonts w:ascii="Verdana" w:hAnsi="Verdana"/>
          <w:sz w:val="20"/>
        </w:rPr>
        <w:footnoteReference w:id="6"/>
      </w:r>
      <w:r w:rsidRPr="00596ECD">
        <w:rPr>
          <w:rFonts w:ascii="Verdana" w:hAnsi="Verdana"/>
          <w:sz w:val="20"/>
        </w:rPr>
        <w:t>, la Corte ha venido supervisando la ejecución de la Sentencia emitida en el presente caso en el 20</w:t>
      </w:r>
      <w:r w:rsidR="00815F89">
        <w:rPr>
          <w:rFonts w:ascii="Verdana" w:hAnsi="Verdana"/>
          <w:sz w:val="20"/>
        </w:rPr>
        <w:t>20</w:t>
      </w:r>
      <w:r w:rsidRPr="00596ECD">
        <w:rPr>
          <w:rFonts w:ascii="Verdana" w:hAnsi="Verdana"/>
          <w:sz w:val="20"/>
        </w:rPr>
        <w:t xml:space="preserve"> (</w:t>
      </w:r>
      <w:r w:rsidRPr="00813791">
        <w:rPr>
          <w:rFonts w:ascii="Verdana" w:hAnsi="Verdana"/>
          <w:i/>
          <w:sz w:val="20"/>
        </w:rPr>
        <w:t>supra</w:t>
      </w:r>
      <w:r w:rsidRPr="00596ECD">
        <w:rPr>
          <w:rFonts w:ascii="Verdana" w:hAnsi="Verdana"/>
          <w:sz w:val="20"/>
        </w:rPr>
        <w:t xml:space="preserve"> Visto 1). En la Sentencia, el Tribunal dispuso</w:t>
      </w:r>
      <w:r>
        <w:rPr>
          <w:rFonts w:ascii="Verdana" w:hAnsi="Verdana"/>
          <w:sz w:val="20"/>
        </w:rPr>
        <w:t xml:space="preserve"> </w:t>
      </w:r>
      <w:r w:rsidR="00815F89">
        <w:rPr>
          <w:rFonts w:ascii="Verdana" w:hAnsi="Verdana"/>
          <w:sz w:val="20"/>
        </w:rPr>
        <w:t>cuatro</w:t>
      </w:r>
      <w:r w:rsidR="00177AF0" w:rsidRPr="00596ECD">
        <w:rPr>
          <w:rFonts w:ascii="Verdana" w:hAnsi="Verdana"/>
          <w:sz w:val="20"/>
        </w:rPr>
        <w:t xml:space="preserve"> </w:t>
      </w:r>
      <w:r w:rsidRPr="00596ECD">
        <w:rPr>
          <w:rFonts w:ascii="Verdana" w:hAnsi="Verdana"/>
          <w:sz w:val="20"/>
        </w:rPr>
        <w:t>medidas de reparación</w:t>
      </w:r>
      <w:r w:rsidR="00774626">
        <w:rPr>
          <w:rFonts w:ascii="Verdana" w:hAnsi="Verdana"/>
          <w:sz w:val="20"/>
        </w:rPr>
        <w:t xml:space="preserve"> (</w:t>
      </w:r>
      <w:r w:rsidR="00774626" w:rsidRPr="00DF3B59">
        <w:rPr>
          <w:rFonts w:ascii="Verdana" w:hAnsi="Verdana"/>
          <w:i/>
          <w:sz w:val="20"/>
        </w:rPr>
        <w:t xml:space="preserve">infra </w:t>
      </w:r>
      <w:r w:rsidR="00774626">
        <w:rPr>
          <w:rFonts w:ascii="Verdana" w:hAnsi="Verdana"/>
          <w:sz w:val="20"/>
        </w:rPr>
        <w:t xml:space="preserve">Considerando </w:t>
      </w:r>
      <w:r w:rsidR="00080CA5">
        <w:rPr>
          <w:rFonts w:ascii="Verdana" w:hAnsi="Verdana"/>
          <w:sz w:val="20"/>
        </w:rPr>
        <w:t xml:space="preserve">4 </w:t>
      </w:r>
      <w:r w:rsidR="00774626">
        <w:rPr>
          <w:rFonts w:ascii="Verdana" w:hAnsi="Verdana"/>
          <w:sz w:val="20"/>
        </w:rPr>
        <w:t xml:space="preserve">y punto resolutivo </w:t>
      </w:r>
      <w:r w:rsidR="009C3B92">
        <w:rPr>
          <w:rFonts w:ascii="Verdana" w:hAnsi="Verdana"/>
          <w:sz w:val="20"/>
        </w:rPr>
        <w:t>2</w:t>
      </w:r>
      <w:r w:rsidR="00774626">
        <w:rPr>
          <w:rFonts w:ascii="Verdana" w:hAnsi="Verdana"/>
          <w:sz w:val="20"/>
        </w:rPr>
        <w:t>)</w:t>
      </w:r>
      <w:r w:rsidRPr="00596ECD">
        <w:rPr>
          <w:rFonts w:ascii="Verdana" w:hAnsi="Verdana"/>
          <w:sz w:val="20"/>
        </w:rPr>
        <w:t>.</w:t>
      </w:r>
    </w:p>
    <w:p w14:paraId="21FB66BC" w14:textId="77777777" w:rsidR="001956A4" w:rsidRPr="001B31AC" w:rsidRDefault="004D4BE7" w:rsidP="00AE004E">
      <w:pPr>
        <w:pStyle w:val="Prrafodelista"/>
        <w:numPr>
          <w:ilvl w:val="0"/>
          <w:numId w:val="3"/>
        </w:numPr>
        <w:spacing w:before="120" w:after="120"/>
        <w:ind w:left="0" w:firstLine="0"/>
        <w:jc w:val="both"/>
        <w:rPr>
          <w:rFonts w:ascii="Verdana" w:hAnsi="Verdana"/>
          <w:b/>
          <w:sz w:val="12"/>
          <w:szCs w:val="20"/>
        </w:rPr>
      </w:pPr>
      <w:r w:rsidRPr="00BF41E1">
        <w:rPr>
          <w:rFonts w:ascii="Verdana" w:hAnsi="Verdana"/>
          <w:sz w:val="20"/>
        </w:rPr>
        <w:t xml:space="preserve">De conformidad con lo establecido en el artículo 68.1 de la Convención Americana sobre Derechos Humanos,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w:t>
      </w:r>
      <w:r>
        <w:rPr>
          <w:rFonts w:ascii="Verdana" w:hAnsi="Verdana"/>
          <w:sz w:val="20"/>
        </w:rPr>
        <w:t>de la Sentencia en su conjunto</w:t>
      </w:r>
      <w:r>
        <w:rPr>
          <w:rStyle w:val="Refdenotaalpie"/>
          <w:rFonts w:ascii="Verdana" w:hAnsi="Verdana"/>
          <w:sz w:val="20"/>
        </w:rPr>
        <w:footnoteReference w:id="7"/>
      </w:r>
      <w:r w:rsidRPr="00BF41E1">
        <w:rPr>
          <w:rFonts w:ascii="Verdana" w:hAnsi="Verdana"/>
          <w:sz w:val="20"/>
        </w:rPr>
        <w:t>. Los Estados Parte en la Convención deben garantizar el cumplimiento de las disposiciones convencionales y sus efectos propios (</w:t>
      </w:r>
      <w:r w:rsidRPr="00FB4489">
        <w:rPr>
          <w:rFonts w:ascii="Verdana" w:hAnsi="Verdana"/>
          <w:i/>
          <w:sz w:val="20"/>
        </w:rPr>
        <w:t>effet utile</w:t>
      </w:r>
      <w:r w:rsidRPr="00BF41E1">
        <w:rPr>
          <w:rFonts w:ascii="Verdana" w:hAnsi="Verdana"/>
          <w:sz w:val="20"/>
        </w:rPr>
        <w:t xml:space="preserve">) en el plano de sus respectivos derechos internos. Estas obligaciones deben ser interpretadas y aplicadas de </w:t>
      </w:r>
      <w:r w:rsidRPr="001B31AC">
        <w:rPr>
          <w:rFonts w:ascii="Verdana" w:hAnsi="Verdana"/>
          <w:sz w:val="20"/>
        </w:rPr>
        <w:t>manera que la garantía protegida sea verdaderamente práctica y eficaz, teniendo presente la naturaleza especial de los tratados de derechos humanos</w:t>
      </w:r>
      <w:r w:rsidRPr="001B31AC">
        <w:rPr>
          <w:rStyle w:val="Refdenotaalpie"/>
          <w:rFonts w:ascii="Verdana" w:hAnsi="Verdana"/>
          <w:sz w:val="20"/>
        </w:rPr>
        <w:footnoteReference w:id="8"/>
      </w:r>
      <w:r w:rsidRPr="001B31AC">
        <w:rPr>
          <w:rFonts w:ascii="Verdana" w:hAnsi="Verdana"/>
          <w:sz w:val="20"/>
        </w:rPr>
        <w:t>.</w:t>
      </w:r>
    </w:p>
    <w:p w14:paraId="44A0EE86" w14:textId="5FF9A8A1" w:rsidR="001956A4" w:rsidRPr="001B31AC" w:rsidRDefault="00974AA5" w:rsidP="00AE004E">
      <w:pPr>
        <w:pStyle w:val="Prrafodelista"/>
        <w:numPr>
          <w:ilvl w:val="0"/>
          <w:numId w:val="3"/>
        </w:numPr>
        <w:spacing w:before="120" w:after="120"/>
        <w:ind w:left="0" w:firstLine="0"/>
        <w:jc w:val="both"/>
        <w:rPr>
          <w:rFonts w:ascii="Verdana" w:hAnsi="Verdana"/>
          <w:b/>
          <w:sz w:val="12"/>
          <w:szCs w:val="20"/>
        </w:rPr>
      </w:pPr>
      <w:r w:rsidRPr="001B31AC">
        <w:rPr>
          <w:rFonts w:ascii="Verdana" w:hAnsi="Verdana"/>
          <w:sz w:val="20"/>
          <w:szCs w:val="20"/>
        </w:rPr>
        <w:t>En la presente Resolución, l</w:t>
      </w:r>
      <w:r w:rsidR="004D4BE7" w:rsidRPr="001B31AC">
        <w:rPr>
          <w:rFonts w:ascii="Verdana" w:hAnsi="Verdana"/>
          <w:sz w:val="20"/>
          <w:szCs w:val="20"/>
        </w:rPr>
        <w:t xml:space="preserve">a Corte se pronunciará sobre </w:t>
      </w:r>
      <w:r w:rsidR="001956A4" w:rsidRPr="001B31AC">
        <w:rPr>
          <w:rFonts w:ascii="Verdana" w:hAnsi="Verdana"/>
          <w:sz w:val="20"/>
          <w:szCs w:val="20"/>
        </w:rPr>
        <w:t>la</w:t>
      </w:r>
      <w:r w:rsidR="004031A5" w:rsidRPr="001B31AC">
        <w:rPr>
          <w:rFonts w:ascii="Verdana" w:hAnsi="Verdana"/>
          <w:sz w:val="20"/>
          <w:szCs w:val="20"/>
        </w:rPr>
        <w:t>s</w:t>
      </w:r>
      <w:r w:rsidR="001956A4" w:rsidRPr="001B31AC">
        <w:rPr>
          <w:rFonts w:ascii="Verdana" w:hAnsi="Verdana"/>
          <w:sz w:val="20"/>
          <w:szCs w:val="20"/>
        </w:rPr>
        <w:t xml:space="preserve"> medida</w:t>
      </w:r>
      <w:r w:rsidR="004031A5" w:rsidRPr="001B31AC">
        <w:rPr>
          <w:rFonts w:ascii="Verdana" w:hAnsi="Verdana"/>
          <w:sz w:val="20"/>
          <w:szCs w:val="20"/>
        </w:rPr>
        <w:t>s</w:t>
      </w:r>
      <w:r w:rsidR="001956A4" w:rsidRPr="001B31AC">
        <w:rPr>
          <w:rFonts w:ascii="Verdana" w:hAnsi="Verdana"/>
          <w:sz w:val="20"/>
          <w:szCs w:val="20"/>
        </w:rPr>
        <w:t xml:space="preserve"> </w:t>
      </w:r>
      <w:r w:rsidR="007B3D61" w:rsidRPr="001B31AC">
        <w:rPr>
          <w:rFonts w:ascii="Verdana" w:hAnsi="Verdana"/>
          <w:sz w:val="20"/>
          <w:szCs w:val="20"/>
        </w:rPr>
        <w:t xml:space="preserve">referentes a la </w:t>
      </w:r>
      <w:r w:rsidR="001956A4" w:rsidRPr="001B31AC">
        <w:rPr>
          <w:rFonts w:ascii="Verdana" w:hAnsi="Verdana"/>
          <w:sz w:val="20"/>
          <w:szCs w:val="20"/>
        </w:rPr>
        <w:t>publicación y difusión de la Sentencia</w:t>
      </w:r>
      <w:r w:rsidR="009C3B92" w:rsidRPr="001B31AC">
        <w:rPr>
          <w:rFonts w:ascii="Verdana" w:hAnsi="Verdana"/>
          <w:sz w:val="20"/>
          <w:szCs w:val="20"/>
        </w:rPr>
        <w:t xml:space="preserve"> y su resumen oficial</w:t>
      </w:r>
      <w:r w:rsidR="004D4BE7" w:rsidRPr="001B31AC">
        <w:rPr>
          <w:rFonts w:ascii="Verdana" w:hAnsi="Verdana"/>
          <w:sz w:val="20"/>
          <w:szCs w:val="20"/>
        </w:rPr>
        <w:t>,</w:t>
      </w:r>
      <w:r w:rsidR="00EF2CD2" w:rsidRPr="001B31AC">
        <w:rPr>
          <w:rFonts w:ascii="Verdana" w:hAnsi="Verdana"/>
          <w:sz w:val="20"/>
        </w:rPr>
        <w:t xml:space="preserve"> respecto de la</w:t>
      </w:r>
      <w:r w:rsidR="00F04645" w:rsidRPr="001B31AC">
        <w:rPr>
          <w:rFonts w:ascii="Verdana" w:hAnsi="Verdana"/>
          <w:sz w:val="20"/>
        </w:rPr>
        <w:t>s</w:t>
      </w:r>
      <w:r w:rsidR="00EF2CD2" w:rsidRPr="001B31AC">
        <w:rPr>
          <w:rFonts w:ascii="Verdana" w:hAnsi="Verdana"/>
          <w:sz w:val="20"/>
        </w:rPr>
        <w:t xml:space="preserve"> cual</w:t>
      </w:r>
      <w:r w:rsidR="00F04645" w:rsidRPr="001B31AC">
        <w:rPr>
          <w:rFonts w:ascii="Verdana" w:hAnsi="Verdana"/>
          <w:sz w:val="20"/>
        </w:rPr>
        <w:t>es</w:t>
      </w:r>
      <w:r w:rsidR="004D4BE7" w:rsidRPr="001B31AC">
        <w:rPr>
          <w:rFonts w:ascii="Verdana" w:hAnsi="Verdana"/>
          <w:sz w:val="20"/>
        </w:rPr>
        <w:t xml:space="preserve"> se ha aportado suficiente información que permite valorar su cumplimiento</w:t>
      </w:r>
      <w:r w:rsidR="00F04645" w:rsidRPr="001B31AC">
        <w:rPr>
          <w:rFonts w:ascii="Verdana" w:hAnsi="Verdana"/>
          <w:sz w:val="20"/>
        </w:rPr>
        <w:t xml:space="preserve"> total (</w:t>
      </w:r>
      <w:r w:rsidR="00F04645" w:rsidRPr="001B31AC">
        <w:rPr>
          <w:rFonts w:ascii="Verdana" w:hAnsi="Verdana"/>
          <w:i/>
          <w:sz w:val="20"/>
        </w:rPr>
        <w:t>infra</w:t>
      </w:r>
      <w:r w:rsidR="00F04645" w:rsidRPr="001B31AC">
        <w:rPr>
          <w:rFonts w:ascii="Verdana" w:hAnsi="Verdana"/>
          <w:sz w:val="20"/>
        </w:rPr>
        <w:t xml:space="preserve"> Considerandos </w:t>
      </w:r>
      <w:r w:rsidR="00815F89" w:rsidRPr="001B31AC">
        <w:rPr>
          <w:rFonts w:ascii="Verdana" w:hAnsi="Verdana"/>
          <w:sz w:val="20"/>
        </w:rPr>
        <w:t>5 y 6</w:t>
      </w:r>
      <w:r w:rsidR="00F04645" w:rsidRPr="001B31AC">
        <w:rPr>
          <w:rFonts w:ascii="Verdana" w:hAnsi="Verdana"/>
          <w:sz w:val="20"/>
        </w:rPr>
        <w:t>)</w:t>
      </w:r>
      <w:r w:rsidR="004D4BE7" w:rsidRPr="001B31AC">
        <w:rPr>
          <w:rFonts w:ascii="Verdana" w:hAnsi="Verdana"/>
          <w:sz w:val="20"/>
        </w:rPr>
        <w:t>.</w:t>
      </w:r>
      <w:r w:rsidR="004D4BE7" w:rsidRPr="001B31AC">
        <w:rPr>
          <w:rFonts w:ascii="Verdana" w:hAnsi="Verdana"/>
          <w:sz w:val="20"/>
          <w:szCs w:val="20"/>
        </w:rPr>
        <w:t xml:space="preserve"> </w:t>
      </w:r>
      <w:r w:rsidR="007272CD" w:rsidRPr="001B31AC">
        <w:rPr>
          <w:rFonts w:ascii="Verdana" w:hAnsi="Verdana"/>
          <w:sz w:val="20"/>
          <w:szCs w:val="20"/>
        </w:rPr>
        <w:t>Debido a que aún no ha vencido el plazo de un año dispuesto en el punto resolutivo décimo de la Sentencia</w:t>
      </w:r>
      <w:r w:rsidR="00DC1862" w:rsidRPr="001B31AC">
        <w:rPr>
          <w:rStyle w:val="Refdenotaalpie"/>
          <w:rFonts w:ascii="Verdana" w:hAnsi="Verdana"/>
          <w:sz w:val="20"/>
          <w:szCs w:val="20"/>
        </w:rPr>
        <w:footnoteReference w:id="9"/>
      </w:r>
      <w:r w:rsidR="007272CD" w:rsidRPr="001B31AC">
        <w:rPr>
          <w:rFonts w:ascii="Verdana" w:hAnsi="Verdana"/>
          <w:sz w:val="20"/>
          <w:szCs w:val="20"/>
        </w:rPr>
        <w:t>, para que el Estado presente su primer informe sobre el cumplimiento de las otras medidas dispuestas en la misma, e</w:t>
      </w:r>
      <w:r w:rsidRPr="001B31AC">
        <w:rPr>
          <w:rFonts w:ascii="Verdana" w:hAnsi="Verdana"/>
          <w:sz w:val="20"/>
          <w:szCs w:val="20"/>
        </w:rPr>
        <w:t xml:space="preserve">n una posterior resolución la Corte se pronunciará sobre las restantes </w:t>
      </w:r>
      <w:r w:rsidR="007272CD" w:rsidRPr="001B31AC">
        <w:rPr>
          <w:rFonts w:ascii="Verdana" w:hAnsi="Verdana"/>
          <w:sz w:val="20"/>
          <w:szCs w:val="20"/>
        </w:rPr>
        <w:t>reparaciones</w:t>
      </w:r>
      <w:r w:rsidRPr="001B31AC">
        <w:rPr>
          <w:rFonts w:ascii="Verdana" w:hAnsi="Verdana"/>
          <w:sz w:val="20"/>
          <w:szCs w:val="20"/>
        </w:rPr>
        <w:t xml:space="preserve"> (</w:t>
      </w:r>
      <w:r w:rsidRPr="001B31AC">
        <w:rPr>
          <w:rFonts w:ascii="Verdana" w:hAnsi="Verdana"/>
          <w:i/>
          <w:sz w:val="20"/>
          <w:szCs w:val="20"/>
        </w:rPr>
        <w:t>infra</w:t>
      </w:r>
      <w:r w:rsidRPr="001B31AC">
        <w:rPr>
          <w:rFonts w:ascii="Verdana" w:hAnsi="Verdana"/>
          <w:sz w:val="20"/>
          <w:szCs w:val="20"/>
        </w:rPr>
        <w:t xml:space="preserve"> punto resolutivo </w:t>
      </w:r>
      <w:r w:rsidR="00815F89" w:rsidRPr="001B31AC">
        <w:rPr>
          <w:rFonts w:ascii="Verdana" w:hAnsi="Verdana"/>
          <w:sz w:val="20"/>
          <w:szCs w:val="20"/>
        </w:rPr>
        <w:t>2</w:t>
      </w:r>
      <w:r w:rsidRPr="001B31AC">
        <w:rPr>
          <w:rFonts w:ascii="Verdana" w:hAnsi="Verdana"/>
          <w:sz w:val="20"/>
          <w:szCs w:val="20"/>
        </w:rPr>
        <w:t xml:space="preserve">). </w:t>
      </w:r>
    </w:p>
    <w:p w14:paraId="52C5B770" w14:textId="77777777" w:rsidR="00AE004E" w:rsidRDefault="00AE004E" w:rsidP="00AE004E">
      <w:pPr>
        <w:pStyle w:val="Prrafodelista"/>
        <w:spacing w:before="120" w:after="120"/>
        <w:ind w:left="0"/>
        <w:jc w:val="both"/>
        <w:rPr>
          <w:rFonts w:ascii="Verdana" w:hAnsi="Verdana"/>
          <w:b/>
          <w:sz w:val="12"/>
          <w:szCs w:val="20"/>
        </w:rPr>
      </w:pPr>
    </w:p>
    <w:p w14:paraId="556C60E8" w14:textId="235CD4C4" w:rsidR="008E247C" w:rsidRDefault="001956A4" w:rsidP="000F067F">
      <w:pPr>
        <w:pStyle w:val="Prrafodelista"/>
        <w:numPr>
          <w:ilvl w:val="0"/>
          <w:numId w:val="7"/>
        </w:numPr>
        <w:spacing w:before="120" w:after="120"/>
        <w:jc w:val="both"/>
        <w:rPr>
          <w:rFonts w:ascii="Verdana" w:hAnsi="Verdana"/>
          <w:i/>
          <w:sz w:val="20"/>
        </w:rPr>
      </w:pPr>
      <w:r w:rsidRPr="001956A4">
        <w:rPr>
          <w:rFonts w:ascii="Verdana" w:hAnsi="Verdana"/>
          <w:i/>
          <w:sz w:val="20"/>
        </w:rPr>
        <w:t xml:space="preserve"> Medidas ordenadas por la Corte</w:t>
      </w:r>
    </w:p>
    <w:p w14:paraId="3B5B219E" w14:textId="77777777" w:rsidR="00CD10CF" w:rsidRDefault="00CD10CF" w:rsidP="00CD10CF">
      <w:pPr>
        <w:pStyle w:val="Prrafodelista"/>
        <w:spacing w:before="120" w:after="120"/>
        <w:ind w:left="1069"/>
        <w:jc w:val="both"/>
        <w:rPr>
          <w:rFonts w:ascii="Verdana" w:hAnsi="Verdana"/>
          <w:i/>
          <w:sz w:val="20"/>
        </w:rPr>
      </w:pPr>
    </w:p>
    <w:p w14:paraId="42B4F254" w14:textId="3CBF1E64" w:rsidR="001956A4" w:rsidRDefault="001956A4" w:rsidP="00F42BAB">
      <w:pPr>
        <w:pStyle w:val="Prrafodelista"/>
        <w:numPr>
          <w:ilvl w:val="0"/>
          <w:numId w:val="3"/>
        </w:numPr>
        <w:ind w:left="0" w:firstLine="0"/>
        <w:jc w:val="both"/>
        <w:rPr>
          <w:rFonts w:ascii="Verdana" w:hAnsi="Verdana"/>
          <w:sz w:val="20"/>
        </w:rPr>
      </w:pPr>
      <w:r w:rsidRPr="009823E4">
        <w:rPr>
          <w:rFonts w:ascii="Verdana" w:hAnsi="Verdana"/>
          <w:sz w:val="20"/>
        </w:rPr>
        <w:t xml:space="preserve">En el punto resolutivo séptimo y </w:t>
      </w:r>
      <w:r w:rsidR="00671A00" w:rsidRPr="009823E4">
        <w:rPr>
          <w:rFonts w:ascii="Verdana" w:hAnsi="Verdana"/>
          <w:sz w:val="20"/>
        </w:rPr>
        <w:t xml:space="preserve">en </w:t>
      </w:r>
      <w:r w:rsidRPr="009823E4">
        <w:rPr>
          <w:rFonts w:ascii="Verdana" w:hAnsi="Verdana"/>
          <w:sz w:val="20"/>
        </w:rPr>
        <w:t xml:space="preserve">el </w:t>
      </w:r>
      <w:r w:rsidR="00F04645" w:rsidRPr="009823E4">
        <w:rPr>
          <w:rFonts w:ascii="Verdana" w:hAnsi="Verdana"/>
          <w:sz w:val="20"/>
        </w:rPr>
        <w:t>párrafo</w:t>
      </w:r>
      <w:r w:rsidR="00845EAF" w:rsidRPr="009823E4">
        <w:rPr>
          <w:rFonts w:ascii="Verdana" w:hAnsi="Verdana"/>
          <w:sz w:val="20"/>
        </w:rPr>
        <w:t xml:space="preserve"> 147</w:t>
      </w:r>
      <w:r w:rsidRPr="009823E4">
        <w:rPr>
          <w:rFonts w:ascii="Verdana" w:hAnsi="Verdana"/>
          <w:sz w:val="20"/>
        </w:rPr>
        <w:t xml:space="preserve"> de la </w:t>
      </w:r>
      <w:r w:rsidR="007143B6" w:rsidRPr="009823E4">
        <w:rPr>
          <w:rFonts w:ascii="Verdana" w:hAnsi="Verdana"/>
          <w:sz w:val="20"/>
        </w:rPr>
        <w:t>Sentencia, se ordenó al Estado que “en un</w:t>
      </w:r>
      <w:r w:rsidRPr="009823E4">
        <w:rPr>
          <w:rFonts w:ascii="Verdana" w:hAnsi="Verdana"/>
          <w:sz w:val="20"/>
        </w:rPr>
        <w:t xml:space="preserve"> plazo de seis meses, contado a partir de la notificación de la</w:t>
      </w:r>
      <w:r w:rsidR="001F5E9F" w:rsidRPr="009823E4">
        <w:rPr>
          <w:rFonts w:ascii="Verdana" w:hAnsi="Verdana"/>
          <w:sz w:val="20"/>
        </w:rPr>
        <w:t xml:space="preserve"> […]</w:t>
      </w:r>
      <w:r w:rsidRPr="009823E4">
        <w:rPr>
          <w:rFonts w:ascii="Verdana" w:hAnsi="Verdana"/>
          <w:sz w:val="20"/>
        </w:rPr>
        <w:t xml:space="preserve"> Sentencia</w:t>
      </w:r>
      <w:r w:rsidR="007143B6" w:rsidRPr="009823E4">
        <w:rPr>
          <w:rFonts w:ascii="Verdana" w:hAnsi="Verdana"/>
          <w:sz w:val="20"/>
        </w:rPr>
        <w:t>”</w:t>
      </w:r>
      <w:r w:rsidRPr="009823E4">
        <w:rPr>
          <w:rFonts w:ascii="Verdana" w:hAnsi="Verdana"/>
          <w:sz w:val="20"/>
        </w:rPr>
        <w:t xml:space="preserve">, realice las siguientes publicaciones: </w:t>
      </w:r>
      <w:r w:rsidR="001F4B67" w:rsidRPr="009823E4">
        <w:rPr>
          <w:rFonts w:ascii="Verdana" w:hAnsi="Verdana"/>
          <w:sz w:val="20"/>
        </w:rPr>
        <w:t>“a) el resumen oficial de la […] Sentencia elaborado por la Corte, por una sola vez, en el Diario Oficial; b) el resumen oficial de la […] Sentencia elaborado por la Corte, por una sola vez, en un diario de amplia circulación nacional, en un tamaño de letra legible y adecuado, y c) la […] Sentencia en su integridad, la cual debe estar disponible por un período de un año, en un sitio web oficial del Poder Judicial, de manera accesible al público”.</w:t>
      </w:r>
    </w:p>
    <w:p w14:paraId="0AFDC889" w14:textId="77777777" w:rsidR="00CD10CF" w:rsidRPr="009823E4" w:rsidRDefault="00CD10CF" w:rsidP="00CD10CF">
      <w:pPr>
        <w:pStyle w:val="Prrafodelista"/>
        <w:ind w:left="0"/>
        <w:jc w:val="both"/>
        <w:rPr>
          <w:rFonts w:ascii="Verdana" w:hAnsi="Verdana"/>
          <w:sz w:val="20"/>
        </w:rPr>
      </w:pPr>
    </w:p>
    <w:p w14:paraId="3FBC9AD5" w14:textId="0492E688" w:rsidR="001956A4" w:rsidRPr="000F067F" w:rsidRDefault="001956A4" w:rsidP="000F067F">
      <w:pPr>
        <w:pStyle w:val="Prrafodelista"/>
        <w:numPr>
          <w:ilvl w:val="0"/>
          <w:numId w:val="7"/>
        </w:numPr>
        <w:spacing w:before="120" w:after="120"/>
        <w:jc w:val="both"/>
        <w:rPr>
          <w:rFonts w:ascii="Verdana" w:hAnsi="Verdana"/>
          <w:i/>
          <w:sz w:val="20"/>
        </w:rPr>
      </w:pPr>
      <w:r w:rsidRPr="000F067F">
        <w:rPr>
          <w:rFonts w:ascii="Verdana" w:hAnsi="Verdana"/>
          <w:i/>
          <w:sz w:val="20"/>
        </w:rPr>
        <w:t xml:space="preserve"> Consideraciones de la Corte </w:t>
      </w:r>
    </w:p>
    <w:p w14:paraId="1C8203F1" w14:textId="77777777" w:rsidR="00F24C7B" w:rsidRDefault="001956A4" w:rsidP="005F2FDE">
      <w:pPr>
        <w:pStyle w:val="Prrafodelista"/>
        <w:numPr>
          <w:ilvl w:val="0"/>
          <w:numId w:val="3"/>
        </w:numPr>
        <w:spacing w:before="120" w:after="120"/>
        <w:ind w:left="0" w:firstLine="0"/>
        <w:jc w:val="both"/>
        <w:rPr>
          <w:rFonts w:ascii="Verdana" w:hAnsi="Verdana"/>
          <w:sz w:val="20"/>
          <w:szCs w:val="20"/>
        </w:rPr>
      </w:pPr>
      <w:r w:rsidRPr="005F2FDE">
        <w:rPr>
          <w:rFonts w:ascii="Verdana" w:hAnsi="Verdana"/>
          <w:sz w:val="20"/>
        </w:rPr>
        <w:t xml:space="preserve">Con base en la información y los comprobantes aportados por </w:t>
      </w:r>
      <w:r w:rsidR="000A63C7" w:rsidRPr="005F2FDE">
        <w:rPr>
          <w:rFonts w:ascii="Verdana" w:hAnsi="Verdana"/>
          <w:sz w:val="20"/>
        </w:rPr>
        <w:t>el Estado</w:t>
      </w:r>
      <w:r w:rsidR="008E247C">
        <w:rPr>
          <w:rStyle w:val="Refdenotaalpie"/>
          <w:rFonts w:ascii="Verdana" w:hAnsi="Verdana"/>
          <w:sz w:val="20"/>
        </w:rPr>
        <w:footnoteReference w:id="10"/>
      </w:r>
      <w:r w:rsidR="008E247C" w:rsidRPr="005F2FDE">
        <w:rPr>
          <w:rFonts w:ascii="Verdana" w:hAnsi="Verdana"/>
          <w:sz w:val="20"/>
        </w:rPr>
        <w:t>,</w:t>
      </w:r>
      <w:r w:rsidR="000A63C7" w:rsidRPr="005F2FDE">
        <w:rPr>
          <w:rFonts w:ascii="Verdana" w:hAnsi="Verdana"/>
          <w:sz w:val="20"/>
        </w:rPr>
        <w:t xml:space="preserve"> </w:t>
      </w:r>
      <w:r w:rsidRPr="005F2FDE">
        <w:rPr>
          <w:rFonts w:ascii="Verdana" w:hAnsi="Verdana"/>
          <w:sz w:val="20"/>
        </w:rPr>
        <w:t xml:space="preserve">la Corte </w:t>
      </w:r>
      <w:r w:rsidRPr="005F2FDE">
        <w:rPr>
          <w:rFonts w:ascii="Verdana" w:hAnsi="Verdana"/>
          <w:sz w:val="20"/>
          <w:szCs w:val="20"/>
        </w:rPr>
        <w:t>constata que se realizaron las referida</w:t>
      </w:r>
      <w:r w:rsidR="000A63C7" w:rsidRPr="005F2FDE">
        <w:rPr>
          <w:rFonts w:ascii="Verdana" w:hAnsi="Verdana"/>
          <w:sz w:val="20"/>
          <w:szCs w:val="20"/>
        </w:rPr>
        <w:t>s publicaciones, ya que Chile</w:t>
      </w:r>
      <w:r w:rsidRPr="005F2FDE">
        <w:rPr>
          <w:rFonts w:ascii="Verdana" w:hAnsi="Verdana"/>
          <w:sz w:val="20"/>
          <w:szCs w:val="20"/>
        </w:rPr>
        <w:t xml:space="preserve"> publicó el resumen oficial de la Sentencia en el </w:t>
      </w:r>
      <w:r w:rsidR="000A63C7" w:rsidRPr="005F2FDE">
        <w:rPr>
          <w:rFonts w:ascii="Verdana" w:hAnsi="Verdana"/>
          <w:sz w:val="20"/>
          <w:szCs w:val="20"/>
        </w:rPr>
        <w:t>Diario Oficial</w:t>
      </w:r>
      <w:r w:rsidR="007143B6" w:rsidRPr="005F2FDE">
        <w:rPr>
          <w:rStyle w:val="Refdenotaalpie"/>
          <w:rFonts w:ascii="Verdana" w:hAnsi="Verdana"/>
          <w:sz w:val="20"/>
          <w:szCs w:val="20"/>
        </w:rPr>
        <w:footnoteReference w:id="11"/>
      </w:r>
      <w:r w:rsidR="008A1D93" w:rsidRPr="005F2FDE">
        <w:rPr>
          <w:rFonts w:ascii="Verdana" w:hAnsi="Verdana"/>
          <w:sz w:val="20"/>
          <w:szCs w:val="20"/>
        </w:rPr>
        <w:t xml:space="preserve"> y </w:t>
      </w:r>
      <w:r w:rsidRPr="005F2FDE">
        <w:rPr>
          <w:rFonts w:ascii="Verdana" w:hAnsi="Verdana"/>
          <w:sz w:val="20"/>
          <w:szCs w:val="20"/>
        </w:rPr>
        <w:t xml:space="preserve">en </w:t>
      </w:r>
      <w:r w:rsidR="000A63C7" w:rsidRPr="005F2FDE">
        <w:rPr>
          <w:rFonts w:ascii="Verdana" w:hAnsi="Verdana"/>
          <w:sz w:val="20"/>
          <w:szCs w:val="20"/>
        </w:rPr>
        <w:t>“uno de los diarios de mayor circulación nacional[,] ‘La Tercera’</w:t>
      </w:r>
      <w:r w:rsidR="003E0796">
        <w:rPr>
          <w:rFonts w:ascii="Verdana" w:hAnsi="Verdana"/>
          <w:sz w:val="20"/>
          <w:szCs w:val="20"/>
        </w:rPr>
        <w:t>”</w:t>
      </w:r>
      <w:r w:rsidR="008A1D93" w:rsidRPr="005F2FDE">
        <w:rPr>
          <w:rStyle w:val="Refdenotaalpie"/>
          <w:rFonts w:ascii="Verdana" w:hAnsi="Verdana"/>
          <w:sz w:val="20"/>
          <w:szCs w:val="20"/>
        </w:rPr>
        <w:footnoteReference w:id="12"/>
      </w:r>
      <w:r w:rsidR="008A1D93" w:rsidRPr="005F2FDE">
        <w:rPr>
          <w:rFonts w:ascii="Verdana" w:hAnsi="Verdana"/>
          <w:sz w:val="20"/>
          <w:szCs w:val="20"/>
        </w:rPr>
        <w:t xml:space="preserve">. </w:t>
      </w:r>
    </w:p>
    <w:p w14:paraId="3F308DC1" w14:textId="50641353" w:rsidR="00F24C7B" w:rsidRDefault="00F24C7B" w:rsidP="00F24C7B">
      <w:pPr>
        <w:pStyle w:val="Prrafodelista"/>
        <w:numPr>
          <w:ilvl w:val="0"/>
          <w:numId w:val="3"/>
        </w:numPr>
        <w:spacing w:before="120" w:after="120"/>
        <w:ind w:left="0" w:firstLine="0"/>
        <w:jc w:val="both"/>
        <w:rPr>
          <w:rFonts w:ascii="Verdana" w:hAnsi="Verdana"/>
          <w:sz w:val="20"/>
          <w:szCs w:val="20"/>
        </w:rPr>
      </w:pPr>
      <w:r w:rsidRPr="00F24C7B">
        <w:rPr>
          <w:rFonts w:ascii="Verdana" w:hAnsi="Verdana"/>
          <w:sz w:val="20"/>
          <w:szCs w:val="20"/>
        </w:rPr>
        <w:t>En lo que respecta a la publicación de la Sentencia en la página web del Poder Judicial, este Tribunal valora que la Corte Suprema de Justicia de Chile emitió una decisión el 1 de febrero de 2021, en la cual ordenó a la Dirección de Comunicaciones que “proceda a su incorporación al Portal del Poder Judicial y habilite un acceso digital a su texto íntegro por el término de un año”, así como también ordenó la inclusión de la Sentencia “en el boletín informativo”. S</w:t>
      </w:r>
      <w:r w:rsidR="00F0063F" w:rsidRPr="00F24C7B">
        <w:rPr>
          <w:rFonts w:ascii="Verdana" w:hAnsi="Verdana"/>
          <w:sz w:val="20"/>
          <w:szCs w:val="20"/>
        </w:rPr>
        <w:t xml:space="preserve">egún lo informado por </w:t>
      </w:r>
      <w:r w:rsidR="000A63C7" w:rsidRPr="00F24C7B">
        <w:rPr>
          <w:rFonts w:ascii="Verdana" w:hAnsi="Verdana"/>
          <w:sz w:val="20"/>
          <w:szCs w:val="20"/>
        </w:rPr>
        <w:t>Chile</w:t>
      </w:r>
      <w:r w:rsidR="00F0063F" w:rsidRPr="00F24C7B">
        <w:rPr>
          <w:rFonts w:ascii="Verdana" w:hAnsi="Verdana"/>
          <w:sz w:val="20"/>
          <w:szCs w:val="20"/>
        </w:rPr>
        <w:t xml:space="preserve"> y no controvertido por los representantes, </w:t>
      </w:r>
      <w:r w:rsidRPr="00F24C7B">
        <w:rPr>
          <w:rFonts w:ascii="Verdana" w:hAnsi="Verdana"/>
          <w:sz w:val="20"/>
          <w:szCs w:val="20"/>
        </w:rPr>
        <w:t xml:space="preserve">la Sentencia efectivamente </w:t>
      </w:r>
      <w:r w:rsidR="000A63C7" w:rsidRPr="00F24C7B">
        <w:rPr>
          <w:rFonts w:ascii="Verdana" w:hAnsi="Verdana"/>
          <w:sz w:val="20"/>
          <w:szCs w:val="20"/>
        </w:rPr>
        <w:t xml:space="preserve">se publicó de manera íntegra </w:t>
      </w:r>
      <w:r w:rsidR="002E6566">
        <w:rPr>
          <w:rFonts w:ascii="Verdana" w:hAnsi="Verdana"/>
          <w:sz w:val="20"/>
          <w:szCs w:val="20"/>
        </w:rPr>
        <w:t>e</w:t>
      </w:r>
      <w:r w:rsidR="000A63C7" w:rsidRPr="00F24C7B">
        <w:rPr>
          <w:rFonts w:ascii="Verdana" w:hAnsi="Verdana"/>
          <w:sz w:val="20"/>
          <w:szCs w:val="20"/>
        </w:rPr>
        <w:t xml:space="preserve">n la Sección “Destacados” del sitio </w:t>
      </w:r>
      <w:r w:rsidR="000A63C7" w:rsidRPr="00F24C7B">
        <w:rPr>
          <w:rFonts w:ascii="Verdana" w:hAnsi="Verdana"/>
          <w:i/>
          <w:sz w:val="20"/>
          <w:szCs w:val="20"/>
        </w:rPr>
        <w:t>web</w:t>
      </w:r>
      <w:r w:rsidR="000A63C7" w:rsidRPr="00F24C7B">
        <w:rPr>
          <w:rFonts w:ascii="Verdana" w:hAnsi="Verdana"/>
          <w:sz w:val="20"/>
          <w:szCs w:val="20"/>
        </w:rPr>
        <w:t xml:space="preserve"> oficial del Poder Judicial</w:t>
      </w:r>
      <w:r w:rsidR="000A63C7" w:rsidRPr="005F2FDE">
        <w:rPr>
          <w:rStyle w:val="Refdenotaalpie"/>
          <w:rFonts w:ascii="Verdana" w:hAnsi="Verdana"/>
          <w:sz w:val="20"/>
          <w:szCs w:val="20"/>
        </w:rPr>
        <w:footnoteReference w:id="13"/>
      </w:r>
      <w:r w:rsidR="000A63C7" w:rsidRPr="00F24C7B">
        <w:rPr>
          <w:rFonts w:ascii="Verdana" w:hAnsi="Verdana"/>
          <w:sz w:val="20"/>
          <w:szCs w:val="20"/>
        </w:rPr>
        <w:t xml:space="preserve">. </w:t>
      </w:r>
      <w:r w:rsidR="005F2FDE" w:rsidRPr="00F24C7B">
        <w:rPr>
          <w:rFonts w:ascii="Verdana" w:hAnsi="Verdana"/>
          <w:sz w:val="20"/>
          <w:szCs w:val="20"/>
        </w:rPr>
        <w:t xml:space="preserve">Si bien el Tribunal considera que el Estado ha dado cumplimiento a este </w:t>
      </w:r>
      <w:r w:rsidR="003E0796" w:rsidRPr="00F24C7B">
        <w:rPr>
          <w:rFonts w:ascii="Verdana" w:hAnsi="Verdana"/>
          <w:sz w:val="20"/>
          <w:szCs w:val="20"/>
        </w:rPr>
        <w:t xml:space="preserve">último </w:t>
      </w:r>
      <w:r w:rsidR="005F2FDE" w:rsidRPr="00F24C7B">
        <w:rPr>
          <w:rFonts w:ascii="Verdana" w:hAnsi="Verdana"/>
          <w:sz w:val="20"/>
          <w:szCs w:val="20"/>
        </w:rPr>
        <w:t xml:space="preserve">componente de la medida, requiere que mantenga la difusión en el referido sitio web al menos hasta el 1 de febrero de 2022, </w:t>
      </w:r>
      <w:r w:rsidR="003E0796" w:rsidRPr="00F24C7B">
        <w:rPr>
          <w:rFonts w:ascii="Verdana" w:hAnsi="Verdana"/>
          <w:sz w:val="20"/>
          <w:szCs w:val="20"/>
        </w:rPr>
        <w:t>ya que esta publicación debe mantenerse por “al menos un año” (</w:t>
      </w:r>
      <w:r w:rsidR="003E0796" w:rsidRPr="00F24C7B">
        <w:rPr>
          <w:rFonts w:ascii="Verdana" w:hAnsi="Verdana"/>
          <w:i/>
          <w:sz w:val="20"/>
          <w:szCs w:val="20"/>
        </w:rPr>
        <w:t xml:space="preserve">supra </w:t>
      </w:r>
      <w:r w:rsidR="003E0796" w:rsidRPr="00F24C7B">
        <w:rPr>
          <w:rFonts w:ascii="Verdana" w:hAnsi="Verdana"/>
          <w:sz w:val="20"/>
          <w:szCs w:val="20"/>
        </w:rPr>
        <w:t xml:space="preserve">Considerando 4). </w:t>
      </w:r>
    </w:p>
    <w:p w14:paraId="3E3715F0" w14:textId="16246644" w:rsidR="00E76D38" w:rsidRPr="00F24C7B" w:rsidRDefault="009431BC" w:rsidP="00373FAA">
      <w:pPr>
        <w:pStyle w:val="Prrafodelista"/>
        <w:numPr>
          <w:ilvl w:val="0"/>
          <w:numId w:val="3"/>
        </w:numPr>
        <w:spacing w:before="120" w:after="120"/>
        <w:ind w:left="0" w:firstLine="0"/>
        <w:jc w:val="both"/>
        <w:rPr>
          <w:rFonts w:ascii="Verdana" w:hAnsi="Verdana"/>
          <w:sz w:val="20"/>
          <w:szCs w:val="20"/>
        </w:rPr>
      </w:pPr>
      <w:r>
        <w:rPr>
          <w:rFonts w:ascii="Verdana" w:hAnsi="Verdana"/>
          <w:sz w:val="20"/>
          <w:szCs w:val="20"/>
        </w:rPr>
        <w:t>El Tribunal</w:t>
      </w:r>
      <w:r w:rsidR="000A63C7" w:rsidRPr="00F24C7B">
        <w:rPr>
          <w:rFonts w:ascii="Verdana" w:hAnsi="Verdana"/>
          <w:sz w:val="20"/>
          <w:szCs w:val="20"/>
        </w:rPr>
        <w:t xml:space="preserve"> valora positivamente que todas las referidas publicaciones de la Sentencia y su resumen oficial hayan sido realizadas dentro del plazo otorgado en la Sentencia.</w:t>
      </w:r>
      <w:r w:rsidR="00F24C7B" w:rsidRPr="00F24C7B">
        <w:rPr>
          <w:rFonts w:ascii="Verdana" w:hAnsi="Verdana"/>
          <w:sz w:val="20"/>
          <w:szCs w:val="20"/>
        </w:rPr>
        <w:t xml:space="preserve"> </w:t>
      </w:r>
      <w:r w:rsidR="00E76D38" w:rsidRPr="00F24C7B">
        <w:rPr>
          <w:rFonts w:ascii="Verdana" w:hAnsi="Verdana"/>
          <w:sz w:val="20"/>
          <w:szCs w:val="20"/>
        </w:rPr>
        <w:t xml:space="preserve">En virtud de lo anterior, la Corte </w:t>
      </w:r>
      <w:r w:rsidR="003E68B9" w:rsidRPr="00F24C7B">
        <w:rPr>
          <w:rFonts w:ascii="Verdana" w:hAnsi="Verdana"/>
          <w:sz w:val="20"/>
          <w:szCs w:val="20"/>
        </w:rPr>
        <w:t xml:space="preserve">considera </w:t>
      </w:r>
      <w:r w:rsidR="00E76D38" w:rsidRPr="00F24C7B">
        <w:rPr>
          <w:rFonts w:ascii="Verdana" w:hAnsi="Verdana"/>
          <w:sz w:val="20"/>
          <w:szCs w:val="20"/>
        </w:rPr>
        <w:t xml:space="preserve">que el Estado ha dado cumplimiento total a las medidas de publicación y difusión de la Sentencia y de su resumen oficial, ordenadas en el punto resolutivo </w:t>
      </w:r>
      <w:r w:rsidR="00F04645" w:rsidRPr="00F24C7B">
        <w:rPr>
          <w:rFonts w:ascii="Verdana" w:hAnsi="Verdana"/>
          <w:sz w:val="20"/>
          <w:szCs w:val="20"/>
        </w:rPr>
        <w:t xml:space="preserve">séptimo </w:t>
      </w:r>
      <w:r w:rsidR="00E76D38" w:rsidRPr="00F24C7B">
        <w:rPr>
          <w:rFonts w:ascii="Verdana" w:hAnsi="Verdana"/>
          <w:sz w:val="20"/>
          <w:szCs w:val="20"/>
        </w:rPr>
        <w:t>de la misma.</w:t>
      </w:r>
    </w:p>
    <w:p w14:paraId="62517AA4" w14:textId="03319A67" w:rsidR="00F04645" w:rsidRDefault="00F04645" w:rsidP="00AE004E">
      <w:pPr>
        <w:pStyle w:val="Prrafodelista"/>
        <w:spacing w:before="120" w:after="120"/>
        <w:rPr>
          <w:rFonts w:ascii="Verdana" w:hAnsi="Verdana"/>
          <w:sz w:val="18"/>
        </w:rPr>
      </w:pPr>
    </w:p>
    <w:p w14:paraId="20FD2575" w14:textId="3104F775" w:rsidR="00CD10CF" w:rsidRDefault="00CD10CF" w:rsidP="00AE004E">
      <w:pPr>
        <w:pStyle w:val="Prrafodelista"/>
        <w:spacing w:before="120" w:after="120"/>
        <w:rPr>
          <w:rFonts w:ascii="Verdana" w:hAnsi="Verdana"/>
          <w:sz w:val="18"/>
        </w:rPr>
      </w:pPr>
    </w:p>
    <w:p w14:paraId="269605F8" w14:textId="77777777" w:rsidR="00CD10CF" w:rsidRDefault="00CD10CF" w:rsidP="00AE004E">
      <w:pPr>
        <w:pStyle w:val="Prrafodelista"/>
        <w:spacing w:before="120" w:after="120"/>
        <w:rPr>
          <w:rFonts w:ascii="Verdana" w:hAnsi="Verdana"/>
          <w:sz w:val="18"/>
        </w:rPr>
      </w:pPr>
    </w:p>
    <w:p w14:paraId="1053F6DA" w14:textId="77777777" w:rsidR="00E76D38" w:rsidRPr="00E76D38" w:rsidRDefault="00E76D38" w:rsidP="00AE004E">
      <w:pPr>
        <w:pStyle w:val="Prrafodelista"/>
        <w:spacing w:before="120" w:after="120"/>
        <w:ind w:left="0"/>
        <w:jc w:val="both"/>
        <w:rPr>
          <w:rFonts w:ascii="Verdana" w:hAnsi="Verdana"/>
          <w:b/>
          <w:sz w:val="20"/>
        </w:rPr>
      </w:pPr>
      <w:r w:rsidRPr="00E76D38">
        <w:rPr>
          <w:rFonts w:ascii="Verdana" w:hAnsi="Verdana"/>
          <w:b/>
          <w:sz w:val="20"/>
        </w:rPr>
        <w:lastRenderedPageBreak/>
        <w:t xml:space="preserve">POR TANTO: </w:t>
      </w:r>
    </w:p>
    <w:p w14:paraId="0E622CB2" w14:textId="77777777" w:rsidR="00E76D38" w:rsidRPr="00E76D38" w:rsidRDefault="00E76D38" w:rsidP="00AE004E">
      <w:pPr>
        <w:pStyle w:val="Prrafodelista"/>
        <w:spacing w:before="120" w:after="120"/>
        <w:ind w:left="0"/>
        <w:jc w:val="both"/>
        <w:rPr>
          <w:rFonts w:ascii="Verdana" w:hAnsi="Verdana"/>
          <w:b/>
          <w:sz w:val="20"/>
        </w:rPr>
      </w:pPr>
      <w:r w:rsidRPr="00E76D38">
        <w:rPr>
          <w:rFonts w:ascii="Verdana" w:hAnsi="Verdana"/>
          <w:b/>
          <w:sz w:val="20"/>
        </w:rPr>
        <w:t xml:space="preserve">LA CORTE INTERAMERICANA DE DERECHOS HUMANOS, </w:t>
      </w:r>
    </w:p>
    <w:p w14:paraId="6AA3ABF1" w14:textId="77777777" w:rsidR="00E76D38" w:rsidRDefault="00E76D38" w:rsidP="00AE004E">
      <w:pPr>
        <w:pStyle w:val="Prrafodelista"/>
        <w:spacing w:before="120" w:after="120"/>
        <w:ind w:left="0"/>
        <w:jc w:val="both"/>
        <w:rPr>
          <w:rFonts w:ascii="Verdana" w:hAnsi="Verdana"/>
          <w:sz w:val="20"/>
        </w:rPr>
      </w:pPr>
      <w:r w:rsidRPr="00E76D38">
        <w:rPr>
          <w:rFonts w:ascii="Verdana" w:hAnsi="Verdana"/>
          <w:sz w:val="20"/>
        </w:rPr>
        <w:t xml:space="preserve">en el ejercicio de sus atribuciones de supervisión del cumplimiento de sus decisiones y de conformidad con los artículos 33, 62.1, 62.3, 65, 67 y 68.1 de la Convención Americana sobre Derechos Humanos, 24, 25 y 30 del Estatuto, y 31.2 y 69 de su Reglamento, </w:t>
      </w:r>
    </w:p>
    <w:p w14:paraId="240833FD" w14:textId="77777777" w:rsidR="00E76D38" w:rsidRDefault="00E76D38" w:rsidP="00AE004E">
      <w:pPr>
        <w:pStyle w:val="Prrafodelista"/>
        <w:spacing w:before="120" w:after="120"/>
        <w:ind w:left="0"/>
        <w:jc w:val="both"/>
        <w:rPr>
          <w:rFonts w:ascii="Verdana" w:hAnsi="Verdana"/>
          <w:sz w:val="20"/>
        </w:rPr>
      </w:pPr>
    </w:p>
    <w:p w14:paraId="69BF38EA" w14:textId="77777777" w:rsidR="00E76D38" w:rsidRPr="004031A5" w:rsidRDefault="00E76D38" w:rsidP="00AE004E">
      <w:pPr>
        <w:pStyle w:val="Prrafodelista"/>
        <w:spacing w:before="120" w:after="120"/>
        <w:ind w:left="0"/>
        <w:jc w:val="both"/>
        <w:rPr>
          <w:rFonts w:ascii="Verdana" w:hAnsi="Verdana"/>
          <w:b/>
          <w:sz w:val="20"/>
        </w:rPr>
      </w:pPr>
      <w:r w:rsidRPr="004031A5">
        <w:rPr>
          <w:rFonts w:ascii="Verdana" w:hAnsi="Verdana"/>
          <w:b/>
          <w:sz w:val="20"/>
        </w:rPr>
        <w:t xml:space="preserve">RESUELVE: </w:t>
      </w:r>
    </w:p>
    <w:p w14:paraId="16FF8BA6" w14:textId="16EA4AA4" w:rsidR="004031A5" w:rsidRPr="00815F89" w:rsidRDefault="00E76D38" w:rsidP="00140C7C">
      <w:pPr>
        <w:pStyle w:val="Prrafodelista"/>
        <w:numPr>
          <w:ilvl w:val="0"/>
          <w:numId w:val="5"/>
        </w:numPr>
        <w:spacing w:before="120" w:after="360"/>
        <w:ind w:left="0" w:firstLine="0"/>
        <w:jc w:val="both"/>
        <w:rPr>
          <w:rFonts w:ascii="Verdana" w:hAnsi="Verdana"/>
          <w:sz w:val="16"/>
        </w:rPr>
      </w:pPr>
      <w:r w:rsidRPr="00E76D38">
        <w:rPr>
          <w:rFonts w:ascii="Verdana" w:hAnsi="Verdana"/>
          <w:sz w:val="20"/>
        </w:rPr>
        <w:t xml:space="preserve">Declarar, de </w:t>
      </w:r>
      <w:r w:rsidRPr="00815F89">
        <w:rPr>
          <w:rFonts w:ascii="Verdana" w:hAnsi="Verdana"/>
          <w:sz w:val="20"/>
        </w:rPr>
        <w:t xml:space="preserve">conformidad con lo señalado en </w:t>
      </w:r>
      <w:r w:rsidR="006217A9">
        <w:rPr>
          <w:rFonts w:ascii="Verdana" w:hAnsi="Verdana"/>
          <w:sz w:val="20"/>
        </w:rPr>
        <w:t>e</w:t>
      </w:r>
      <w:r w:rsidRPr="00815F89">
        <w:rPr>
          <w:rFonts w:ascii="Verdana" w:hAnsi="Verdana"/>
          <w:sz w:val="20"/>
        </w:rPr>
        <w:t>l</w:t>
      </w:r>
      <w:r w:rsidR="00F24C7B">
        <w:rPr>
          <w:rFonts w:ascii="Verdana" w:hAnsi="Verdana"/>
          <w:sz w:val="20"/>
        </w:rPr>
        <w:t xml:space="preserve"> Considerando 7</w:t>
      </w:r>
      <w:r w:rsidRPr="00815F89">
        <w:rPr>
          <w:rFonts w:ascii="Verdana" w:hAnsi="Verdana"/>
          <w:sz w:val="20"/>
        </w:rPr>
        <w:t xml:space="preserve"> de la presente Resolución, que </w:t>
      </w:r>
      <w:r w:rsidR="004031A5" w:rsidRPr="00815F89">
        <w:rPr>
          <w:rFonts w:ascii="Verdana" w:hAnsi="Verdana"/>
          <w:sz w:val="20"/>
        </w:rPr>
        <w:t>el Estado ha dado cumplimiento total a las medidas de publicación y difusión de la Sentencia y su resumen oficial</w:t>
      </w:r>
      <w:r w:rsidRPr="00815F89">
        <w:rPr>
          <w:rFonts w:ascii="Verdana" w:hAnsi="Verdana"/>
          <w:sz w:val="20"/>
        </w:rPr>
        <w:t xml:space="preserve"> </w:t>
      </w:r>
      <w:r w:rsidRPr="00815F89">
        <w:rPr>
          <w:rFonts w:ascii="Verdana" w:hAnsi="Verdana"/>
          <w:i/>
          <w:sz w:val="20"/>
        </w:rPr>
        <w:t>(punto resolutivo séptimo de la Sentencia)</w:t>
      </w:r>
      <w:r w:rsidRPr="00815F89">
        <w:rPr>
          <w:rFonts w:ascii="Verdana" w:hAnsi="Verdana"/>
          <w:sz w:val="20"/>
        </w:rPr>
        <w:t xml:space="preserve">. </w:t>
      </w:r>
    </w:p>
    <w:p w14:paraId="7B0B5BA0" w14:textId="069D33B6" w:rsidR="004031A5" w:rsidRPr="00815F89" w:rsidRDefault="00E76D38" w:rsidP="00140C7C">
      <w:pPr>
        <w:pStyle w:val="Prrafodelista"/>
        <w:numPr>
          <w:ilvl w:val="0"/>
          <w:numId w:val="5"/>
        </w:numPr>
        <w:spacing w:before="120" w:after="360"/>
        <w:ind w:left="0" w:firstLine="0"/>
        <w:jc w:val="both"/>
        <w:rPr>
          <w:rFonts w:ascii="Verdana" w:hAnsi="Verdana"/>
          <w:sz w:val="20"/>
          <w:szCs w:val="20"/>
        </w:rPr>
      </w:pPr>
      <w:r w:rsidRPr="00815F89">
        <w:rPr>
          <w:rFonts w:ascii="Verdana" w:hAnsi="Verdana"/>
          <w:sz w:val="20"/>
          <w:szCs w:val="20"/>
        </w:rPr>
        <w:t>Mantener abierto el procedimiento de supervisión de cumplimiento respecto de las siguientes medidas</w:t>
      </w:r>
      <w:r w:rsidR="00315D4C" w:rsidRPr="00815F89">
        <w:rPr>
          <w:rFonts w:ascii="Verdana" w:hAnsi="Verdana"/>
          <w:sz w:val="20"/>
          <w:szCs w:val="20"/>
        </w:rPr>
        <w:t xml:space="preserve"> de reparación</w:t>
      </w:r>
      <w:r w:rsidR="00EA1319">
        <w:rPr>
          <w:rFonts w:ascii="Verdana" w:hAnsi="Verdana"/>
          <w:sz w:val="20"/>
          <w:szCs w:val="20"/>
        </w:rPr>
        <w:t>, que serán valoradas en una posterior resolución</w:t>
      </w:r>
      <w:r w:rsidRPr="00815F89">
        <w:rPr>
          <w:rFonts w:ascii="Verdana" w:hAnsi="Verdana"/>
          <w:sz w:val="20"/>
          <w:szCs w:val="20"/>
        </w:rPr>
        <w:t xml:space="preserve">: </w:t>
      </w:r>
    </w:p>
    <w:p w14:paraId="68573AF9" w14:textId="6A68663C" w:rsidR="006C0961" w:rsidRPr="00815F89" w:rsidRDefault="006217A9" w:rsidP="00140C7C">
      <w:pPr>
        <w:pStyle w:val="Prrafodelista"/>
        <w:numPr>
          <w:ilvl w:val="0"/>
          <w:numId w:val="6"/>
        </w:numPr>
        <w:spacing w:before="120" w:after="360"/>
        <w:jc w:val="both"/>
        <w:rPr>
          <w:rFonts w:ascii="Verdana" w:hAnsi="Verdana"/>
          <w:sz w:val="20"/>
          <w:szCs w:val="20"/>
        </w:rPr>
      </w:pPr>
      <w:r>
        <w:rPr>
          <w:rFonts w:ascii="Verdana" w:hAnsi="Verdana"/>
          <w:sz w:val="20"/>
          <w:szCs w:val="20"/>
        </w:rPr>
        <w:t>r</w:t>
      </w:r>
      <w:r w:rsidR="00815F89" w:rsidRPr="00815F89">
        <w:rPr>
          <w:rFonts w:ascii="Verdana" w:hAnsi="Verdana"/>
          <w:sz w:val="20"/>
          <w:szCs w:val="20"/>
        </w:rPr>
        <w:t>ealizar la adecuación de la normativa interna ordenada en el párrafo 150 de la Sentencia, consistente en “suprimir el numeral 4 del artículo 323 del Código Orgánico de Tribunales” (</w:t>
      </w:r>
      <w:r w:rsidR="00815F89" w:rsidRPr="006217A9">
        <w:rPr>
          <w:rFonts w:ascii="Verdana" w:hAnsi="Verdana"/>
          <w:i/>
          <w:sz w:val="20"/>
          <w:szCs w:val="20"/>
        </w:rPr>
        <w:t>punto resolutivo octavo de la Sentencia</w:t>
      </w:r>
      <w:r>
        <w:rPr>
          <w:rFonts w:ascii="Verdana" w:hAnsi="Verdana"/>
          <w:sz w:val="20"/>
          <w:szCs w:val="20"/>
        </w:rPr>
        <w:t>)</w:t>
      </w:r>
      <w:r w:rsidR="00EA1319">
        <w:rPr>
          <w:rFonts w:ascii="Verdana" w:hAnsi="Verdana"/>
          <w:sz w:val="20"/>
          <w:szCs w:val="20"/>
        </w:rPr>
        <w:t>;</w:t>
      </w:r>
      <w:r>
        <w:rPr>
          <w:rFonts w:ascii="Verdana" w:hAnsi="Verdana"/>
          <w:sz w:val="20"/>
          <w:szCs w:val="20"/>
        </w:rPr>
        <w:t xml:space="preserve"> </w:t>
      </w:r>
      <w:r w:rsidR="00815F89" w:rsidRPr="00815F89">
        <w:rPr>
          <w:rFonts w:ascii="Verdana" w:hAnsi="Verdana"/>
          <w:sz w:val="20"/>
          <w:szCs w:val="20"/>
        </w:rPr>
        <w:t xml:space="preserve"> </w:t>
      </w:r>
      <w:r w:rsidR="006C0961" w:rsidRPr="00815F89">
        <w:rPr>
          <w:rFonts w:ascii="Verdana" w:hAnsi="Verdana"/>
          <w:sz w:val="20"/>
          <w:szCs w:val="20"/>
        </w:rPr>
        <w:t xml:space="preserve"> </w:t>
      </w:r>
    </w:p>
    <w:p w14:paraId="78D893EF" w14:textId="3CA17A04" w:rsidR="00613DD8" w:rsidRPr="00613DD8" w:rsidRDefault="00E76D38" w:rsidP="00140C7C">
      <w:pPr>
        <w:pStyle w:val="Prrafodelista"/>
        <w:numPr>
          <w:ilvl w:val="0"/>
          <w:numId w:val="6"/>
        </w:numPr>
        <w:spacing w:before="120" w:after="360"/>
        <w:jc w:val="both"/>
        <w:rPr>
          <w:rFonts w:ascii="Verdana" w:hAnsi="Verdana"/>
          <w:sz w:val="20"/>
          <w:szCs w:val="20"/>
        </w:rPr>
      </w:pPr>
      <w:r w:rsidRPr="00613DD8">
        <w:rPr>
          <w:rFonts w:ascii="Verdana" w:hAnsi="Verdana"/>
          <w:sz w:val="20"/>
          <w:szCs w:val="20"/>
        </w:rPr>
        <w:t>pagar la cantidad fijada</w:t>
      </w:r>
      <w:r w:rsidR="002E6566">
        <w:rPr>
          <w:rFonts w:ascii="Verdana" w:hAnsi="Verdana"/>
          <w:sz w:val="20"/>
          <w:szCs w:val="20"/>
        </w:rPr>
        <w:t xml:space="preserve"> </w:t>
      </w:r>
      <w:r w:rsidR="006D2C43" w:rsidRPr="00613DD8">
        <w:rPr>
          <w:rFonts w:ascii="Verdana" w:hAnsi="Verdana"/>
          <w:sz w:val="20"/>
          <w:szCs w:val="20"/>
        </w:rPr>
        <w:t xml:space="preserve">en </w:t>
      </w:r>
      <w:r w:rsidR="00CD0549">
        <w:rPr>
          <w:rFonts w:ascii="Verdana" w:hAnsi="Verdana"/>
          <w:sz w:val="20"/>
          <w:szCs w:val="20"/>
        </w:rPr>
        <w:t>el</w:t>
      </w:r>
      <w:r w:rsidR="00CD0549" w:rsidRPr="00613DD8">
        <w:rPr>
          <w:rFonts w:ascii="Verdana" w:hAnsi="Verdana"/>
          <w:sz w:val="20"/>
          <w:szCs w:val="20"/>
        </w:rPr>
        <w:t xml:space="preserve"> </w:t>
      </w:r>
      <w:r w:rsidR="006D2C43" w:rsidRPr="00613DD8">
        <w:rPr>
          <w:rFonts w:ascii="Verdana" w:hAnsi="Verdana"/>
          <w:sz w:val="20"/>
          <w:szCs w:val="20"/>
        </w:rPr>
        <w:t xml:space="preserve">párrafo </w:t>
      </w:r>
      <w:r w:rsidR="00815F89" w:rsidRPr="00613DD8">
        <w:rPr>
          <w:rFonts w:ascii="Verdana" w:hAnsi="Verdana"/>
          <w:sz w:val="20"/>
          <w:szCs w:val="20"/>
        </w:rPr>
        <w:t xml:space="preserve">164 </w:t>
      </w:r>
      <w:r w:rsidR="006D2C43" w:rsidRPr="00613DD8">
        <w:rPr>
          <w:rFonts w:ascii="Verdana" w:hAnsi="Verdana"/>
          <w:sz w:val="20"/>
          <w:szCs w:val="20"/>
        </w:rPr>
        <w:t>de</w:t>
      </w:r>
      <w:r w:rsidRPr="00613DD8">
        <w:rPr>
          <w:rFonts w:ascii="Verdana" w:hAnsi="Verdana"/>
          <w:sz w:val="20"/>
          <w:szCs w:val="20"/>
        </w:rPr>
        <w:t xml:space="preserve"> la Sentencia por concepto de indemnizaci</w:t>
      </w:r>
      <w:r w:rsidR="00CD10CF">
        <w:rPr>
          <w:rFonts w:ascii="Verdana" w:hAnsi="Verdana"/>
          <w:sz w:val="20"/>
          <w:szCs w:val="20"/>
        </w:rPr>
        <w:t>ón</w:t>
      </w:r>
      <w:r w:rsidRPr="00613DD8">
        <w:rPr>
          <w:rFonts w:ascii="Verdana" w:hAnsi="Verdana"/>
          <w:sz w:val="20"/>
          <w:szCs w:val="20"/>
        </w:rPr>
        <w:t xml:space="preserve"> por daño</w:t>
      </w:r>
      <w:r w:rsidR="006D2C43" w:rsidRPr="00613DD8">
        <w:rPr>
          <w:rFonts w:ascii="Verdana" w:hAnsi="Verdana"/>
          <w:sz w:val="20"/>
          <w:szCs w:val="20"/>
        </w:rPr>
        <w:t xml:space="preserve"> </w:t>
      </w:r>
      <w:r w:rsidRPr="00613DD8">
        <w:rPr>
          <w:rFonts w:ascii="Verdana" w:hAnsi="Verdana"/>
          <w:sz w:val="20"/>
          <w:szCs w:val="20"/>
        </w:rPr>
        <w:t>inmaterial</w:t>
      </w:r>
      <w:r w:rsidR="00613DD8" w:rsidRPr="00613DD8">
        <w:rPr>
          <w:rFonts w:ascii="Verdana" w:hAnsi="Verdana"/>
          <w:sz w:val="20"/>
          <w:szCs w:val="20"/>
        </w:rPr>
        <w:t xml:space="preserve"> </w:t>
      </w:r>
      <w:r w:rsidR="00613DD8" w:rsidRPr="00613DD8">
        <w:rPr>
          <w:rFonts w:ascii="Verdana" w:hAnsi="Verdana"/>
          <w:i/>
          <w:sz w:val="20"/>
          <w:szCs w:val="20"/>
        </w:rPr>
        <w:t>(punto resolutivo noveno de la Sentencia)</w:t>
      </w:r>
      <w:r w:rsidR="00613DD8">
        <w:rPr>
          <w:rFonts w:ascii="Verdana" w:hAnsi="Verdana"/>
          <w:i/>
          <w:sz w:val="20"/>
          <w:szCs w:val="20"/>
        </w:rPr>
        <w:t>,</w:t>
      </w:r>
      <w:r w:rsidR="00613DD8" w:rsidRPr="00613DD8">
        <w:rPr>
          <w:rFonts w:ascii="Verdana" w:hAnsi="Verdana"/>
          <w:sz w:val="20"/>
          <w:szCs w:val="20"/>
        </w:rPr>
        <w:t xml:space="preserve"> y</w:t>
      </w:r>
    </w:p>
    <w:p w14:paraId="5B316D86" w14:textId="3F9C44D7" w:rsidR="006D2C43" w:rsidRPr="00815F89" w:rsidRDefault="00613DD8" w:rsidP="00140C7C">
      <w:pPr>
        <w:pStyle w:val="Prrafodelista"/>
        <w:numPr>
          <w:ilvl w:val="0"/>
          <w:numId w:val="6"/>
        </w:numPr>
        <w:spacing w:before="120" w:after="360"/>
        <w:jc w:val="both"/>
        <w:rPr>
          <w:rFonts w:ascii="Verdana" w:hAnsi="Verdana"/>
          <w:sz w:val="20"/>
          <w:szCs w:val="20"/>
        </w:rPr>
      </w:pPr>
      <w:r>
        <w:rPr>
          <w:rFonts w:ascii="Verdana" w:hAnsi="Verdana"/>
          <w:sz w:val="20"/>
          <w:szCs w:val="20"/>
        </w:rPr>
        <w:t>pagar la cantidad fijada</w:t>
      </w:r>
      <w:r w:rsidR="00CD0549">
        <w:rPr>
          <w:rFonts w:ascii="Verdana" w:hAnsi="Verdana"/>
          <w:sz w:val="20"/>
          <w:szCs w:val="20"/>
        </w:rPr>
        <w:t xml:space="preserve"> en el párrafo 166 de la Sentencia</w:t>
      </w:r>
      <w:r>
        <w:rPr>
          <w:rFonts w:ascii="Verdana" w:hAnsi="Verdana"/>
          <w:sz w:val="20"/>
          <w:szCs w:val="20"/>
        </w:rPr>
        <w:t xml:space="preserve"> por concepto de</w:t>
      </w:r>
      <w:r w:rsidR="006217A9">
        <w:rPr>
          <w:rFonts w:ascii="Verdana" w:hAnsi="Verdana"/>
          <w:sz w:val="20"/>
          <w:szCs w:val="20"/>
        </w:rPr>
        <w:t xml:space="preserve"> reintegro de costas y gastos</w:t>
      </w:r>
      <w:r w:rsidR="00E76D38" w:rsidRPr="00815F89">
        <w:rPr>
          <w:rFonts w:ascii="Verdana" w:hAnsi="Verdana"/>
          <w:sz w:val="20"/>
          <w:szCs w:val="20"/>
        </w:rPr>
        <w:t xml:space="preserve"> </w:t>
      </w:r>
      <w:r w:rsidR="006D2C43" w:rsidRPr="00815F89">
        <w:rPr>
          <w:rFonts w:ascii="Verdana" w:hAnsi="Verdana"/>
          <w:i/>
          <w:sz w:val="20"/>
          <w:szCs w:val="20"/>
        </w:rPr>
        <w:t>(punto resolutivo noveno de la Sentencia)</w:t>
      </w:r>
      <w:r w:rsidR="006217A9">
        <w:rPr>
          <w:rFonts w:ascii="Verdana" w:hAnsi="Verdana"/>
          <w:i/>
          <w:sz w:val="20"/>
          <w:szCs w:val="20"/>
        </w:rPr>
        <w:t>.</w:t>
      </w:r>
    </w:p>
    <w:p w14:paraId="7D3E6A6C" w14:textId="12E5E4B0" w:rsidR="004A7D66" w:rsidRPr="001B31AC" w:rsidRDefault="00E76D38" w:rsidP="00140C7C">
      <w:pPr>
        <w:pStyle w:val="Prrafodelista"/>
        <w:numPr>
          <w:ilvl w:val="0"/>
          <w:numId w:val="5"/>
        </w:numPr>
        <w:spacing w:before="120" w:after="360"/>
        <w:ind w:left="0" w:firstLine="0"/>
        <w:jc w:val="both"/>
        <w:rPr>
          <w:rFonts w:ascii="Verdana" w:hAnsi="Verdana"/>
          <w:sz w:val="16"/>
        </w:rPr>
      </w:pPr>
      <w:r w:rsidRPr="00E76D38">
        <w:rPr>
          <w:rFonts w:ascii="Verdana" w:hAnsi="Verdana"/>
          <w:sz w:val="20"/>
        </w:rPr>
        <w:t xml:space="preserve">Disponer que el </w:t>
      </w:r>
      <w:r w:rsidRPr="001B31AC">
        <w:rPr>
          <w:rFonts w:ascii="Verdana" w:hAnsi="Verdana"/>
          <w:sz w:val="20"/>
        </w:rPr>
        <w:t>Estado adopte, en definitiva y a la mayor brevedad, las medidas que sean necesarias para dar efectivo y pronto cumplimiento a los puntos pendie</w:t>
      </w:r>
      <w:r w:rsidR="008241FB">
        <w:rPr>
          <w:rFonts w:ascii="Verdana" w:hAnsi="Verdana"/>
          <w:sz w:val="20"/>
        </w:rPr>
        <w:t>ntes de la Sentencia de excepcio</w:t>
      </w:r>
      <w:r w:rsidRPr="001B31AC">
        <w:rPr>
          <w:rFonts w:ascii="Verdana" w:hAnsi="Verdana"/>
          <w:sz w:val="20"/>
        </w:rPr>
        <w:t>n</w:t>
      </w:r>
      <w:r w:rsidR="008241FB">
        <w:rPr>
          <w:rFonts w:ascii="Verdana" w:hAnsi="Verdana"/>
          <w:sz w:val="20"/>
        </w:rPr>
        <w:t>es</w:t>
      </w:r>
      <w:r w:rsidRPr="001B31AC">
        <w:rPr>
          <w:rFonts w:ascii="Verdana" w:hAnsi="Verdana"/>
          <w:sz w:val="20"/>
        </w:rPr>
        <w:t xml:space="preserve"> preliminar</w:t>
      </w:r>
      <w:r w:rsidR="008241FB">
        <w:rPr>
          <w:rFonts w:ascii="Verdana" w:hAnsi="Verdana"/>
          <w:sz w:val="20"/>
        </w:rPr>
        <w:t>es</w:t>
      </w:r>
      <w:r w:rsidRPr="001B31AC">
        <w:rPr>
          <w:rFonts w:ascii="Verdana" w:hAnsi="Verdana"/>
          <w:sz w:val="20"/>
        </w:rPr>
        <w:t>, fondo, reparaciones y costas emitida en el presente caso, de acuerdo con lo considerado en la presente Resolución, y con lo estipulado en el artículo 68.1 de la Convención Americana sobre Derechos Humanos.</w:t>
      </w:r>
    </w:p>
    <w:p w14:paraId="4D7B01AF" w14:textId="000BEEAB" w:rsidR="004A7D66" w:rsidRPr="001B31AC" w:rsidRDefault="004A7D66" w:rsidP="00140C7C">
      <w:pPr>
        <w:pStyle w:val="Prrafodelista"/>
        <w:numPr>
          <w:ilvl w:val="0"/>
          <w:numId w:val="5"/>
        </w:numPr>
        <w:spacing w:before="120" w:after="360"/>
        <w:ind w:left="0" w:firstLine="0"/>
        <w:jc w:val="both"/>
        <w:rPr>
          <w:rFonts w:ascii="Verdana" w:hAnsi="Verdana"/>
          <w:sz w:val="16"/>
        </w:rPr>
      </w:pPr>
      <w:r w:rsidRPr="001B31AC">
        <w:rPr>
          <w:rFonts w:ascii="Verdana" w:hAnsi="Verdana"/>
          <w:sz w:val="20"/>
        </w:rPr>
        <w:t xml:space="preserve">Recordar al Estado que, de conformidad con el punto resolutivo </w:t>
      </w:r>
      <w:r w:rsidR="00CD10CF">
        <w:rPr>
          <w:rFonts w:ascii="Verdana" w:hAnsi="Verdana"/>
          <w:sz w:val="20"/>
        </w:rPr>
        <w:t>décimo</w:t>
      </w:r>
      <w:r w:rsidRPr="001B31AC">
        <w:rPr>
          <w:rFonts w:ascii="Verdana" w:hAnsi="Verdana"/>
          <w:sz w:val="20"/>
        </w:rPr>
        <w:t xml:space="preserve"> de la Sentencia, </w:t>
      </w:r>
      <w:r w:rsidRPr="00212F2C">
        <w:rPr>
          <w:rFonts w:ascii="Verdana" w:hAnsi="Verdana"/>
          <w:sz w:val="20"/>
        </w:rPr>
        <w:t xml:space="preserve">el 9 </w:t>
      </w:r>
      <w:r w:rsidR="00212F2C" w:rsidRPr="00212F2C">
        <w:rPr>
          <w:rFonts w:ascii="Verdana" w:hAnsi="Verdana"/>
          <w:sz w:val="20"/>
        </w:rPr>
        <w:t>de noviembre de 2021</w:t>
      </w:r>
      <w:r w:rsidRPr="00212F2C">
        <w:rPr>
          <w:rFonts w:ascii="Verdana" w:hAnsi="Verdana"/>
          <w:sz w:val="20"/>
        </w:rPr>
        <w:t xml:space="preserve"> vence</w:t>
      </w:r>
      <w:r w:rsidRPr="001B31AC">
        <w:rPr>
          <w:rFonts w:ascii="Verdana" w:hAnsi="Verdana"/>
          <w:sz w:val="20"/>
        </w:rPr>
        <w:t xml:space="preserve"> el plazo de un año para que remita su primer informe sobre el cumplimiento de las medidas señaladas en el punto resolutivo </w:t>
      </w:r>
      <w:r w:rsidR="00CD10CF">
        <w:rPr>
          <w:rFonts w:ascii="Verdana" w:hAnsi="Verdana"/>
          <w:sz w:val="20"/>
        </w:rPr>
        <w:t>segundo</w:t>
      </w:r>
      <w:r w:rsidRPr="001B31AC">
        <w:rPr>
          <w:rFonts w:ascii="Verdana" w:hAnsi="Verdana"/>
          <w:sz w:val="20"/>
        </w:rPr>
        <w:t xml:space="preserve"> de la presente Resolución. </w:t>
      </w:r>
    </w:p>
    <w:p w14:paraId="6C1F5D5D" w14:textId="3B768938" w:rsidR="004031A5" w:rsidRPr="004A7D66" w:rsidRDefault="00E76D38" w:rsidP="00140C7C">
      <w:pPr>
        <w:pStyle w:val="Prrafodelista"/>
        <w:numPr>
          <w:ilvl w:val="0"/>
          <w:numId w:val="5"/>
        </w:numPr>
        <w:spacing w:before="120" w:after="360"/>
        <w:ind w:left="0" w:firstLine="0"/>
        <w:jc w:val="both"/>
        <w:rPr>
          <w:rFonts w:ascii="Verdana" w:hAnsi="Verdana"/>
          <w:sz w:val="16"/>
        </w:rPr>
      </w:pPr>
      <w:r w:rsidRPr="001B31AC">
        <w:rPr>
          <w:rFonts w:ascii="Verdana" w:hAnsi="Verdana"/>
          <w:sz w:val="20"/>
        </w:rPr>
        <w:t>Disponer que los representantes</w:t>
      </w:r>
      <w:r w:rsidRPr="004A7D66">
        <w:rPr>
          <w:rFonts w:ascii="Verdana" w:hAnsi="Verdana"/>
          <w:sz w:val="20"/>
        </w:rPr>
        <w:t xml:space="preserve"> de la víctima y la Comisión Interamericana de Derechos Humanos presenten observaciones al informe del Estado mencionado en el punto resolutivo anterior, en los plazos de </w:t>
      </w:r>
      <w:r w:rsidR="006D2C43" w:rsidRPr="004A7D66">
        <w:rPr>
          <w:rFonts w:ascii="Verdana" w:hAnsi="Verdana"/>
          <w:sz w:val="20"/>
        </w:rPr>
        <w:t xml:space="preserve">cuatro </w:t>
      </w:r>
      <w:r w:rsidRPr="004A7D66">
        <w:rPr>
          <w:rFonts w:ascii="Verdana" w:hAnsi="Verdana"/>
          <w:sz w:val="20"/>
        </w:rPr>
        <w:t xml:space="preserve">y </w:t>
      </w:r>
      <w:r w:rsidR="006D2C43" w:rsidRPr="004A7D66">
        <w:rPr>
          <w:rFonts w:ascii="Verdana" w:hAnsi="Verdana"/>
          <w:sz w:val="20"/>
        </w:rPr>
        <w:t xml:space="preserve">seis </w:t>
      </w:r>
      <w:r w:rsidRPr="004A7D66">
        <w:rPr>
          <w:rFonts w:ascii="Verdana" w:hAnsi="Verdana"/>
          <w:sz w:val="20"/>
        </w:rPr>
        <w:t>semanas, respectivamente, contados a parti</w:t>
      </w:r>
      <w:r w:rsidR="004031A5" w:rsidRPr="004A7D66">
        <w:rPr>
          <w:rFonts w:ascii="Verdana" w:hAnsi="Verdana"/>
          <w:sz w:val="20"/>
        </w:rPr>
        <w:t xml:space="preserve">r de la recepción del informe. </w:t>
      </w:r>
    </w:p>
    <w:p w14:paraId="60C1CA9F" w14:textId="4D0C03A0" w:rsidR="00E76D38" w:rsidRPr="00140C7C" w:rsidRDefault="00E76D38" w:rsidP="00140C7C">
      <w:pPr>
        <w:pStyle w:val="Prrafodelista"/>
        <w:numPr>
          <w:ilvl w:val="0"/>
          <w:numId w:val="5"/>
        </w:numPr>
        <w:spacing w:before="120" w:after="360"/>
        <w:ind w:left="0" w:firstLine="0"/>
        <w:jc w:val="both"/>
        <w:rPr>
          <w:rFonts w:ascii="Verdana" w:hAnsi="Verdana"/>
          <w:sz w:val="16"/>
        </w:rPr>
      </w:pPr>
      <w:r w:rsidRPr="00E76D38">
        <w:rPr>
          <w:rFonts w:ascii="Verdana" w:hAnsi="Verdana"/>
          <w:sz w:val="20"/>
        </w:rPr>
        <w:t>Disponer que la Secretaría de la Corte Interamericana de Derechos Humanos notifique la presente Resolución al Estado, a los representantes de la víctima y a la Comisión Interamericana de Derechos Humanos.</w:t>
      </w:r>
    </w:p>
    <w:p w14:paraId="60F3E3B2" w14:textId="5D61C71A" w:rsidR="00140C7C" w:rsidRDefault="00140C7C" w:rsidP="00140C7C">
      <w:pPr>
        <w:spacing w:before="120" w:after="360" w:line="240" w:lineRule="auto"/>
        <w:rPr>
          <w:rFonts w:ascii="Verdana" w:hAnsi="Verdana"/>
          <w:sz w:val="16"/>
        </w:rPr>
      </w:pPr>
      <w:r>
        <w:rPr>
          <w:rFonts w:ascii="Verdana" w:hAnsi="Verdana"/>
          <w:sz w:val="16"/>
        </w:rPr>
        <w:br w:type="page"/>
      </w:r>
    </w:p>
    <w:p w14:paraId="12CEB50B" w14:textId="562BC89D" w:rsidR="00140C7C" w:rsidRPr="00524FF7" w:rsidRDefault="00140C7C" w:rsidP="00140C7C">
      <w:pPr>
        <w:tabs>
          <w:tab w:val="left" w:pos="4215"/>
        </w:tabs>
        <w:spacing w:line="240" w:lineRule="auto"/>
        <w:jc w:val="both"/>
        <w:rPr>
          <w:rFonts w:ascii="Verdana" w:eastAsia="Times" w:hAnsi="Verdana" w:cs="Courier New"/>
          <w:sz w:val="20"/>
          <w:szCs w:val="20"/>
        </w:rPr>
      </w:pPr>
      <w:r w:rsidRPr="00524FF7">
        <w:rPr>
          <w:rFonts w:ascii="Verdana" w:eastAsia="Times" w:hAnsi="Verdana" w:cs="Courier New"/>
          <w:sz w:val="20"/>
          <w:szCs w:val="20"/>
        </w:rPr>
        <w:lastRenderedPageBreak/>
        <w:t xml:space="preserve">Corte IDH. </w:t>
      </w:r>
      <w:r w:rsidRPr="00D5147C">
        <w:rPr>
          <w:rFonts w:ascii="Verdana" w:eastAsia="Times" w:hAnsi="Verdana" w:cs="Courier New"/>
          <w:i/>
          <w:sz w:val="20"/>
          <w:szCs w:val="20"/>
        </w:rPr>
        <w:t>Caso Urrutia Laubreaux Vs. Chile</w:t>
      </w:r>
      <w:r w:rsidRPr="00524FF7">
        <w:rPr>
          <w:rFonts w:ascii="Verdana" w:eastAsia="Times" w:hAnsi="Verdana" w:cs="Courier New"/>
          <w:i/>
          <w:sz w:val="20"/>
          <w:szCs w:val="20"/>
        </w:rPr>
        <w:t>.</w:t>
      </w:r>
      <w:r w:rsidRPr="00524FF7">
        <w:rPr>
          <w:rFonts w:ascii="Verdana" w:eastAsia="Times" w:hAnsi="Verdana" w:cs="Courier New"/>
          <w:sz w:val="20"/>
          <w:szCs w:val="20"/>
        </w:rPr>
        <w:t xml:space="preserve"> Supervisión de Cumplimiento de Sentencia. Resolución de la Corte Interamericana de Derechos Humanos de 1 de </w:t>
      </w:r>
      <w:r>
        <w:rPr>
          <w:rFonts w:ascii="Verdana" w:eastAsia="Times" w:hAnsi="Verdana" w:cs="Courier New"/>
          <w:sz w:val="20"/>
          <w:szCs w:val="20"/>
        </w:rPr>
        <w:t>septiembre</w:t>
      </w:r>
      <w:r w:rsidRPr="00524FF7">
        <w:rPr>
          <w:rFonts w:ascii="Verdana" w:eastAsia="Times" w:hAnsi="Verdana" w:cs="Courier New"/>
          <w:sz w:val="20"/>
          <w:szCs w:val="20"/>
        </w:rPr>
        <w:t xml:space="preserve"> de 202</w:t>
      </w:r>
      <w:r>
        <w:rPr>
          <w:rFonts w:ascii="Verdana" w:eastAsia="Times" w:hAnsi="Verdana" w:cs="Courier New"/>
          <w:sz w:val="20"/>
          <w:szCs w:val="20"/>
        </w:rPr>
        <w:t>1</w:t>
      </w:r>
      <w:r w:rsidRPr="00524FF7">
        <w:rPr>
          <w:rFonts w:ascii="Verdana" w:eastAsia="Times" w:hAnsi="Verdana" w:cs="Courier New"/>
          <w:sz w:val="20"/>
          <w:szCs w:val="20"/>
        </w:rPr>
        <w:t>. Resolución adoptada en San José de Costa Rica por medio de sesión virtual.</w:t>
      </w:r>
    </w:p>
    <w:p w14:paraId="1F041514" w14:textId="77777777" w:rsidR="00140C7C" w:rsidRPr="00524FF7" w:rsidRDefault="00140C7C" w:rsidP="00140C7C">
      <w:pPr>
        <w:tabs>
          <w:tab w:val="left" w:pos="4215"/>
        </w:tabs>
        <w:spacing w:line="240" w:lineRule="auto"/>
        <w:jc w:val="both"/>
        <w:rPr>
          <w:rFonts w:ascii="Verdana" w:hAnsi="Verdana"/>
          <w:sz w:val="20"/>
          <w:szCs w:val="20"/>
        </w:rPr>
      </w:pPr>
    </w:p>
    <w:p w14:paraId="7AA96EF0" w14:textId="77777777" w:rsidR="00140C7C" w:rsidRDefault="00140C7C" w:rsidP="00140C7C">
      <w:pPr>
        <w:snapToGrid w:val="0"/>
        <w:spacing w:after="0" w:line="240" w:lineRule="auto"/>
        <w:jc w:val="center"/>
        <w:rPr>
          <w:rFonts w:ascii="Verdana" w:hAnsi="Verdana"/>
          <w:sz w:val="20"/>
          <w:szCs w:val="20"/>
          <w:lang w:val="pt-BR"/>
        </w:rPr>
      </w:pPr>
    </w:p>
    <w:p w14:paraId="5111E2C0" w14:textId="77777777" w:rsidR="00140C7C" w:rsidRDefault="00140C7C" w:rsidP="00140C7C">
      <w:pPr>
        <w:snapToGrid w:val="0"/>
        <w:spacing w:after="0" w:line="240" w:lineRule="auto"/>
        <w:jc w:val="center"/>
        <w:rPr>
          <w:rFonts w:ascii="Verdana" w:hAnsi="Verdana"/>
          <w:sz w:val="20"/>
          <w:szCs w:val="20"/>
          <w:lang w:val="pt-BR"/>
        </w:rPr>
      </w:pPr>
    </w:p>
    <w:p w14:paraId="3634B971" w14:textId="77777777" w:rsidR="00140C7C" w:rsidRDefault="00140C7C" w:rsidP="00140C7C">
      <w:pPr>
        <w:snapToGrid w:val="0"/>
        <w:spacing w:after="0" w:line="240" w:lineRule="auto"/>
        <w:jc w:val="center"/>
        <w:rPr>
          <w:rFonts w:ascii="Verdana" w:hAnsi="Verdana"/>
          <w:sz w:val="20"/>
          <w:szCs w:val="20"/>
          <w:lang w:val="pt-BR"/>
        </w:rPr>
      </w:pPr>
    </w:p>
    <w:p w14:paraId="1FBAE7CA" w14:textId="28574719" w:rsidR="00140C7C" w:rsidRPr="008D6226" w:rsidRDefault="00140C7C" w:rsidP="00140C7C">
      <w:pPr>
        <w:snapToGrid w:val="0"/>
        <w:spacing w:after="0" w:line="240" w:lineRule="auto"/>
        <w:jc w:val="center"/>
        <w:rPr>
          <w:rFonts w:ascii="Verdana" w:hAnsi="Verdana"/>
          <w:sz w:val="20"/>
          <w:szCs w:val="20"/>
          <w:lang w:val="pt-BR"/>
        </w:rPr>
      </w:pPr>
      <w:r w:rsidRPr="008D6226">
        <w:rPr>
          <w:rFonts w:ascii="Verdana" w:hAnsi="Verdana"/>
          <w:sz w:val="20"/>
          <w:szCs w:val="20"/>
          <w:lang w:val="pt-BR"/>
        </w:rPr>
        <w:t>Elizabeth Odio Benito</w:t>
      </w:r>
    </w:p>
    <w:p w14:paraId="605AEBA6" w14:textId="25BBBC68" w:rsidR="00140C7C" w:rsidRPr="008D6226" w:rsidRDefault="00140C7C" w:rsidP="00140C7C">
      <w:pPr>
        <w:snapToGrid w:val="0"/>
        <w:spacing w:after="0" w:line="240" w:lineRule="auto"/>
        <w:jc w:val="center"/>
        <w:rPr>
          <w:rFonts w:ascii="Verdana" w:hAnsi="Verdana"/>
          <w:sz w:val="20"/>
          <w:szCs w:val="20"/>
          <w:lang w:val="pt-BR"/>
        </w:rPr>
      </w:pPr>
      <w:r w:rsidRPr="008D6226">
        <w:rPr>
          <w:rFonts w:ascii="Verdana" w:hAnsi="Verdana"/>
          <w:sz w:val="20"/>
          <w:szCs w:val="20"/>
          <w:lang w:val="pt-BR"/>
        </w:rPr>
        <w:t>Presidenta</w:t>
      </w:r>
    </w:p>
    <w:p w14:paraId="1B0F3325" w14:textId="77777777" w:rsidR="00140C7C" w:rsidRPr="008D6226" w:rsidRDefault="00140C7C" w:rsidP="00140C7C">
      <w:pPr>
        <w:snapToGrid w:val="0"/>
        <w:spacing w:after="0" w:line="240" w:lineRule="auto"/>
        <w:jc w:val="both"/>
        <w:rPr>
          <w:rFonts w:ascii="Verdana" w:hAnsi="Verdana"/>
          <w:sz w:val="20"/>
          <w:szCs w:val="20"/>
          <w:lang w:val="pt-BR"/>
        </w:rPr>
      </w:pPr>
    </w:p>
    <w:p w14:paraId="3129E53D" w14:textId="77777777" w:rsidR="00140C7C" w:rsidRPr="008D6226" w:rsidRDefault="00140C7C" w:rsidP="00140C7C">
      <w:pPr>
        <w:snapToGrid w:val="0"/>
        <w:spacing w:after="0" w:line="240" w:lineRule="auto"/>
        <w:jc w:val="both"/>
        <w:rPr>
          <w:rFonts w:ascii="Verdana" w:hAnsi="Verdana"/>
          <w:sz w:val="20"/>
          <w:szCs w:val="20"/>
          <w:lang w:val="pt-BR"/>
        </w:rPr>
      </w:pPr>
    </w:p>
    <w:p w14:paraId="2F4C23FC" w14:textId="77777777" w:rsidR="00140C7C" w:rsidRPr="008D6226" w:rsidRDefault="00140C7C" w:rsidP="00140C7C">
      <w:pPr>
        <w:snapToGrid w:val="0"/>
        <w:spacing w:after="0" w:line="240" w:lineRule="auto"/>
        <w:jc w:val="both"/>
        <w:rPr>
          <w:rFonts w:ascii="Verdana" w:hAnsi="Verdana"/>
          <w:sz w:val="20"/>
          <w:szCs w:val="20"/>
          <w:lang w:val="pt-BR"/>
        </w:rPr>
      </w:pPr>
    </w:p>
    <w:p w14:paraId="170D57B0" w14:textId="77777777" w:rsidR="00140C7C" w:rsidRPr="008D6226" w:rsidRDefault="00140C7C" w:rsidP="00140C7C">
      <w:pPr>
        <w:snapToGrid w:val="0"/>
        <w:spacing w:after="0" w:line="240" w:lineRule="auto"/>
        <w:jc w:val="both"/>
        <w:rPr>
          <w:rFonts w:ascii="Verdana" w:hAnsi="Verdana"/>
          <w:sz w:val="20"/>
          <w:szCs w:val="20"/>
          <w:lang w:val="pt-BR"/>
        </w:rPr>
      </w:pPr>
    </w:p>
    <w:p w14:paraId="75E9A5F2" w14:textId="77777777" w:rsidR="00140C7C" w:rsidRPr="008D6226" w:rsidRDefault="00140C7C" w:rsidP="00140C7C">
      <w:pPr>
        <w:snapToGrid w:val="0"/>
        <w:spacing w:after="0" w:line="240" w:lineRule="auto"/>
        <w:jc w:val="both"/>
        <w:rPr>
          <w:rFonts w:ascii="Verdana" w:hAnsi="Verdana"/>
          <w:sz w:val="20"/>
          <w:szCs w:val="20"/>
          <w:lang w:val="pt-BR"/>
        </w:rPr>
      </w:pPr>
      <w:r w:rsidRPr="008D6226">
        <w:rPr>
          <w:rFonts w:ascii="Verdana" w:hAnsi="Verdana"/>
          <w:sz w:val="20"/>
          <w:szCs w:val="20"/>
          <w:lang w:val="pt-BR"/>
        </w:rPr>
        <w:t>L. Patricio Pazmiño Freire</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sidRPr="008D6226">
        <w:rPr>
          <w:rFonts w:ascii="Verdana" w:eastAsia="Times" w:hAnsi="Verdana"/>
          <w:sz w:val="20"/>
          <w:szCs w:val="20"/>
          <w:lang w:val="pt-BR"/>
        </w:rPr>
        <w:t>Humberto Antonio Sierra Porto</w:t>
      </w:r>
      <w:r w:rsidRPr="008D6226">
        <w:rPr>
          <w:rFonts w:ascii="Verdana" w:hAnsi="Verdana"/>
          <w:sz w:val="20"/>
          <w:szCs w:val="20"/>
          <w:lang w:val="pt-BR"/>
        </w:rPr>
        <w:t xml:space="preserve">         </w:t>
      </w:r>
    </w:p>
    <w:p w14:paraId="1F9018CC" w14:textId="5B4EA1AE" w:rsidR="00140C7C" w:rsidRPr="008D6226" w:rsidRDefault="00140C7C" w:rsidP="00140C7C">
      <w:pPr>
        <w:snapToGrid w:val="0"/>
        <w:spacing w:after="0" w:line="240" w:lineRule="auto"/>
        <w:jc w:val="both"/>
        <w:rPr>
          <w:rFonts w:ascii="Verdana" w:hAnsi="Verdana"/>
          <w:sz w:val="20"/>
          <w:szCs w:val="20"/>
          <w:lang w:val="pt-BR"/>
        </w:rPr>
      </w:pPr>
    </w:p>
    <w:p w14:paraId="76140287" w14:textId="77777777" w:rsidR="00140C7C" w:rsidRPr="008D6226" w:rsidRDefault="00140C7C" w:rsidP="00140C7C">
      <w:pPr>
        <w:snapToGrid w:val="0"/>
        <w:spacing w:after="0" w:line="240" w:lineRule="auto"/>
        <w:jc w:val="both"/>
        <w:rPr>
          <w:rFonts w:ascii="Verdana" w:hAnsi="Verdana"/>
          <w:sz w:val="20"/>
          <w:szCs w:val="20"/>
          <w:lang w:val="pt-BR"/>
        </w:rPr>
      </w:pPr>
    </w:p>
    <w:p w14:paraId="78B1ECA0" w14:textId="77777777" w:rsidR="00140C7C" w:rsidRPr="008D6226" w:rsidRDefault="00140C7C" w:rsidP="00140C7C">
      <w:pPr>
        <w:snapToGrid w:val="0"/>
        <w:spacing w:after="0" w:line="240" w:lineRule="auto"/>
        <w:jc w:val="both"/>
        <w:rPr>
          <w:rFonts w:ascii="Verdana" w:hAnsi="Verdana"/>
          <w:sz w:val="20"/>
          <w:szCs w:val="20"/>
          <w:lang w:val="pt-BR"/>
        </w:rPr>
      </w:pPr>
    </w:p>
    <w:p w14:paraId="5CCFB26E" w14:textId="77777777" w:rsidR="00140C7C" w:rsidRPr="008D6226" w:rsidRDefault="00140C7C" w:rsidP="00140C7C">
      <w:pPr>
        <w:snapToGrid w:val="0"/>
        <w:spacing w:after="0" w:line="240" w:lineRule="auto"/>
        <w:jc w:val="both"/>
        <w:rPr>
          <w:rFonts w:ascii="Verdana" w:hAnsi="Verdana"/>
          <w:sz w:val="20"/>
          <w:szCs w:val="20"/>
          <w:lang w:val="pt-BR"/>
        </w:rPr>
      </w:pPr>
    </w:p>
    <w:p w14:paraId="26FD0CFD" w14:textId="77777777" w:rsidR="00140C7C" w:rsidRPr="008D6226" w:rsidRDefault="00140C7C" w:rsidP="00140C7C">
      <w:pPr>
        <w:snapToGrid w:val="0"/>
        <w:spacing w:after="0" w:line="240" w:lineRule="auto"/>
        <w:jc w:val="both"/>
        <w:rPr>
          <w:rFonts w:ascii="Verdana" w:hAnsi="Verdana"/>
          <w:sz w:val="20"/>
          <w:szCs w:val="20"/>
          <w:lang w:val="pt-BR"/>
        </w:rPr>
      </w:pPr>
    </w:p>
    <w:p w14:paraId="54E81662" w14:textId="77777777" w:rsidR="00140C7C" w:rsidRPr="008D6226" w:rsidRDefault="00140C7C" w:rsidP="00140C7C">
      <w:pPr>
        <w:snapToGrid w:val="0"/>
        <w:spacing w:after="0" w:line="240" w:lineRule="auto"/>
        <w:jc w:val="both"/>
        <w:rPr>
          <w:rFonts w:ascii="Verdana" w:hAnsi="Verdana"/>
          <w:sz w:val="20"/>
          <w:szCs w:val="20"/>
          <w:lang w:val="pt-BR"/>
        </w:rPr>
      </w:pPr>
      <w:r w:rsidRPr="008D6226">
        <w:rPr>
          <w:rFonts w:ascii="Verdana" w:hAnsi="Verdana"/>
          <w:sz w:val="20"/>
          <w:szCs w:val="20"/>
          <w:lang w:val="pt-BR"/>
        </w:rPr>
        <w:t>Eduardo Ferrer Mac-Gregor Poisot</w:t>
      </w:r>
      <w:r w:rsidRPr="008B1697">
        <w:rPr>
          <w:rFonts w:ascii="Verdana" w:hAnsi="Verdana"/>
          <w:sz w:val="20"/>
          <w:szCs w:val="20"/>
          <w:lang w:val="pt-BR"/>
        </w:rPr>
        <w:t xml:space="preserve"> </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sidRPr="008D6226">
        <w:rPr>
          <w:rFonts w:ascii="Verdana" w:hAnsi="Verdana"/>
          <w:sz w:val="20"/>
          <w:szCs w:val="20"/>
          <w:lang w:val="pt-BR"/>
        </w:rPr>
        <w:t>Eugenio Raúl Zaffaroni</w:t>
      </w:r>
    </w:p>
    <w:p w14:paraId="66AF8A96" w14:textId="77777777" w:rsidR="00140C7C" w:rsidRPr="008D6226" w:rsidRDefault="00140C7C" w:rsidP="00140C7C">
      <w:pPr>
        <w:snapToGrid w:val="0"/>
        <w:spacing w:after="0" w:line="240" w:lineRule="auto"/>
        <w:jc w:val="both"/>
        <w:rPr>
          <w:rFonts w:ascii="Verdana" w:hAnsi="Verdana"/>
          <w:sz w:val="20"/>
          <w:szCs w:val="20"/>
          <w:lang w:val="pt-BR"/>
        </w:rPr>
      </w:pPr>
    </w:p>
    <w:p w14:paraId="7764864A" w14:textId="1D331514" w:rsidR="00140C7C" w:rsidRPr="008D6226" w:rsidRDefault="00140C7C" w:rsidP="00140C7C">
      <w:pPr>
        <w:snapToGrid w:val="0"/>
        <w:spacing w:after="0" w:line="240" w:lineRule="auto"/>
        <w:jc w:val="both"/>
        <w:rPr>
          <w:rFonts w:ascii="Verdana" w:hAnsi="Verdana"/>
          <w:sz w:val="20"/>
          <w:szCs w:val="20"/>
          <w:lang w:val="pt-BR"/>
        </w:rPr>
      </w:pPr>
    </w:p>
    <w:p w14:paraId="6680B101" w14:textId="77777777" w:rsidR="00140C7C" w:rsidRPr="008D6226" w:rsidRDefault="00140C7C" w:rsidP="00140C7C">
      <w:pPr>
        <w:snapToGrid w:val="0"/>
        <w:spacing w:after="0" w:line="240" w:lineRule="auto"/>
        <w:jc w:val="both"/>
        <w:rPr>
          <w:rFonts w:ascii="Verdana" w:hAnsi="Verdana"/>
          <w:sz w:val="20"/>
          <w:szCs w:val="20"/>
          <w:lang w:val="pt-BR"/>
        </w:rPr>
      </w:pPr>
    </w:p>
    <w:p w14:paraId="72135165" w14:textId="77777777" w:rsidR="00140C7C" w:rsidRPr="008D6226" w:rsidRDefault="00140C7C" w:rsidP="00140C7C">
      <w:pPr>
        <w:snapToGrid w:val="0"/>
        <w:spacing w:after="0" w:line="240" w:lineRule="auto"/>
        <w:jc w:val="both"/>
        <w:rPr>
          <w:rFonts w:ascii="Verdana" w:hAnsi="Verdana"/>
          <w:sz w:val="20"/>
          <w:szCs w:val="20"/>
          <w:lang w:val="pt-BR"/>
        </w:rPr>
      </w:pPr>
    </w:p>
    <w:p w14:paraId="6A268E51" w14:textId="77777777" w:rsidR="00140C7C" w:rsidRPr="008D6226" w:rsidRDefault="00140C7C" w:rsidP="00140C7C">
      <w:pPr>
        <w:snapToGrid w:val="0"/>
        <w:spacing w:after="0" w:line="240" w:lineRule="auto"/>
        <w:jc w:val="both"/>
        <w:rPr>
          <w:rFonts w:ascii="Verdana" w:hAnsi="Verdana"/>
          <w:sz w:val="20"/>
          <w:szCs w:val="20"/>
          <w:lang w:val="pt-BR"/>
        </w:rPr>
      </w:pPr>
    </w:p>
    <w:p w14:paraId="642EB8BA" w14:textId="1165BFC3" w:rsidR="00140C7C" w:rsidRPr="008D6226" w:rsidRDefault="00140C7C" w:rsidP="00140C7C">
      <w:pPr>
        <w:snapToGrid w:val="0"/>
        <w:spacing w:after="0" w:line="240" w:lineRule="auto"/>
        <w:ind w:left="2880" w:firstLine="720"/>
        <w:jc w:val="both"/>
        <w:rPr>
          <w:rFonts w:ascii="Verdana" w:hAnsi="Verdana"/>
          <w:sz w:val="20"/>
          <w:szCs w:val="20"/>
          <w:lang w:val="pt-BR"/>
        </w:rPr>
      </w:pPr>
      <w:r w:rsidRPr="008D6226">
        <w:rPr>
          <w:rFonts w:ascii="Verdana" w:hAnsi="Verdana"/>
          <w:sz w:val="20"/>
          <w:szCs w:val="20"/>
          <w:lang w:val="pt-BR"/>
        </w:rPr>
        <w:t>Ricardo C. Pérez Manrique</w:t>
      </w:r>
    </w:p>
    <w:p w14:paraId="6F71A8B6" w14:textId="42D4CA99" w:rsidR="00140C7C" w:rsidRPr="008D6226" w:rsidRDefault="00140C7C" w:rsidP="00140C7C">
      <w:pPr>
        <w:snapToGrid w:val="0"/>
        <w:spacing w:after="0" w:line="240" w:lineRule="auto"/>
        <w:jc w:val="both"/>
        <w:rPr>
          <w:rFonts w:ascii="Verdana" w:hAnsi="Verdana"/>
          <w:sz w:val="20"/>
          <w:szCs w:val="20"/>
          <w:lang w:val="pt-BR"/>
        </w:rPr>
      </w:pPr>
    </w:p>
    <w:p w14:paraId="76623298" w14:textId="6503AE35" w:rsidR="00140C7C" w:rsidRPr="008D6226" w:rsidRDefault="00140C7C" w:rsidP="00140C7C">
      <w:pPr>
        <w:snapToGrid w:val="0"/>
        <w:spacing w:after="0" w:line="240" w:lineRule="auto"/>
        <w:jc w:val="both"/>
        <w:rPr>
          <w:rFonts w:ascii="Verdana" w:hAnsi="Verdana"/>
          <w:sz w:val="20"/>
          <w:szCs w:val="20"/>
          <w:lang w:val="pt-BR"/>
        </w:rPr>
      </w:pPr>
    </w:p>
    <w:p w14:paraId="303BE163" w14:textId="285766C8" w:rsidR="00140C7C" w:rsidRPr="008D6226" w:rsidRDefault="00140C7C" w:rsidP="00140C7C">
      <w:pPr>
        <w:snapToGrid w:val="0"/>
        <w:spacing w:after="0" w:line="240" w:lineRule="auto"/>
        <w:rPr>
          <w:rFonts w:ascii="Verdana" w:eastAsia="Times" w:hAnsi="Verdana"/>
          <w:sz w:val="20"/>
          <w:szCs w:val="20"/>
          <w:lang w:val="pt-BR"/>
        </w:rPr>
      </w:pPr>
    </w:p>
    <w:p w14:paraId="044269A9" w14:textId="3C74CA5A" w:rsidR="00140C7C" w:rsidRPr="008D6226" w:rsidRDefault="00140C7C" w:rsidP="00140C7C">
      <w:pPr>
        <w:snapToGrid w:val="0"/>
        <w:spacing w:after="0" w:line="240" w:lineRule="auto"/>
        <w:jc w:val="both"/>
        <w:rPr>
          <w:rFonts w:ascii="Verdana" w:eastAsia="Times" w:hAnsi="Verdana"/>
          <w:sz w:val="20"/>
          <w:szCs w:val="20"/>
          <w:lang w:val="pt-BR"/>
        </w:rPr>
      </w:pPr>
    </w:p>
    <w:p w14:paraId="02DC31F2" w14:textId="77777777" w:rsidR="00140C7C" w:rsidRPr="008D6226" w:rsidRDefault="00140C7C" w:rsidP="00140C7C">
      <w:pPr>
        <w:snapToGrid w:val="0"/>
        <w:spacing w:after="0" w:line="240" w:lineRule="auto"/>
        <w:jc w:val="both"/>
        <w:rPr>
          <w:rFonts w:ascii="Verdana" w:eastAsia="Times" w:hAnsi="Verdana"/>
          <w:sz w:val="20"/>
          <w:szCs w:val="20"/>
          <w:lang w:val="pt-BR"/>
        </w:rPr>
      </w:pPr>
    </w:p>
    <w:p w14:paraId="5474B135" w14:textId="77777777" w:rsidR="00140C7C" w:rsidRPr="008D6226" w:rsidRDefault="00140C7C" w:rsidP="00140C7C">
      <w:pPr>
        <w:snapToGrid w:val="0"/>
        <w:spacing w:after="0" w:line="240" w:lineRule="auto"/>
        <w:jc w:val="both"/>
        <w:rPr>
          <w:rFonts w:ascii="Verdana" w:eastAsia="Times" w:hAnsi="Verdana"/>
          <w:sz w:val="20"/>
          <w:szCs w:val="20"/>
          <w:lang w:val="pt-BR"/>
        </w:rPr>
      </w:pPr>
    </w:p>
    <w:p w14:paraId="23009D09" w14:textId="77777777" w:rsidR="0027334D" w:rsidRPr="0027334D" w:rsidRDefault="0027334D" w:rsidP="0027334D">
      <w:pPr>
        <w:snapToGrid w:val="0"/>
        <w:spacing w:after="0" w:line="240" w:lineRule="auto"/>
        <w:jc w:val="center"/>
        <w:rPr>
          <w:rFonts w:ascii="Verdana" w:eastAsia="Times" w:hAnsi="Verdana"/>
          <w:sz w:val="20"/>
          <w:szCs w:val="20"/>
          <w:lang w:val="pt-BR"/>
        </w:rPr>
      </w:pPr>
      <w:r w:rsidRPr="0027334D">
        <w:rPr>
          <w:rFonts w:ascii="Verdana" w:eastAsia="Times" w:hAnsi="Verdana"/>
          <w:sz w:val="20"/>
          <w:szCs w:val="20"/>
          <w:lang w:val="pt-BR"/>
        </w:rPr>
        <w:t>Romina I. Sijniensky</w:t>
      </w:r>
    </w:p>
    <w:p w14:paraId="699539B5" w14:textId="549B78DD" w:rsidR="0027334D" w:rsidRPr="0027334D" w:rsidRDefault="0027334D" w:rsidP="0027334D">
      <w:pPr>
        <w:snapToGrid w:val="0"/>
        <w:spacing w:after="0" w:line="240" w:lineRule="auto"/>
        <w:jc w:val="center"/>
        <w:rPr>
          <w:rFonts w:ascii="Verdana" w:eastAsia="Times" w:hAnsi="Verdana"/>
          <w:sz w:val="20"/>
          <w:szCs w:val="20"/>
          <w:lang w:val="pt-BR"/>
        </w:rPr>
      </w:pPr>
      <w:r w:rsidRPr="0027334D">
        <w:rPr>
          <w:rFonts w:ascii="Verdana" w:eastAsia="Times" w:hAnsi="Verdana"/>
          <w:sz w:val="20"/>
          <w:szCs w:val="20"/>
          <w:lang w:val="pt-BR"/>
        </w:rPr>
        <w:t>Secretaria Adjunta</w:t>
      </w:r>
    </w:p>
    <w:p w14:paraId="7B7175F0" w14:textId="77777777" w:rsidR="00140C7C" w:rsidRPr="008D6226" w:rsidRDefault="00140C7C" w:rsidP="00140C7C">
      <w:pPr>
        <w:snapToGrid w:val="0"/>
        <w:spacing w:after="0" w:line="240" w:lineRule="auto"/>
        <w:jc w:val="both"/>
        <w:rPr>
          <w:rFonts w:ascii="Verdana" w:eastAsia="Times" w:hAnsi="Verdana"/>
          <w:sz w:val="20"/>
          <w:szCs w:val="20"/>
          <w:lang w:val="pt-BR"/>
        </w:rPr>
      </w:pPr>
    </w:p>
    <w:p w14:paraId="4AC67E4F" w14:textId="77777777" w:rsidR="00140C7C" w:rsidRPr="008D6226" w:rsidRDefault="00140C7C" w:rsidP="00140C7C">
      <w:pPr>
        <w:snapToGrid w:val="0"/>
        <w:spacing w:after="0" w:line="240" w:lineRule="auto"/>
        <w:jc w:val="both"/>
        <w:rPr>
          <w:rFonts w:ascii="Verdana" w:eastAsia="Times" w:hAnsi="Verdana"/>
          <w:sz w:val="20"/>
          <w:szCs w:val="20"/>
          <w:lang w:val="pt-BR"/>
        </w:rPr>
      </w:pPr>
      <w:r w:rsidRPr="008D6226">
        <w:rPr>
          <w:rFonts w:ascii="Verdana" w:eastAsia="Times" w:hAnsi="Verdana"/>
          <w:sz w:val="20"/>
          <w:szCs w:val="20"/>
          <w:lang w:val="pt-BR"/>
        </w:rPr>
        <w:t>Comuníquese y ejecútese,</w:t>
      </w:r>
    </w:p>
    <w:p w14:paraId="3BE87BEF" w14:textId="7483ABBC" w:rsidR="00140C7C" w:rsidRPr="008D6226" w:rsidRDefault="00140C7C" w:rsidP="00140C7C">
      <w:pPr>
        <w:snapToGrid w:val="0"/>
        <w:spacing w:after="0" w:line="240" w:lineRule="auto"/>
        <w:jc w:val="both"/>
        <w:rPr>
          <w:rFonts w:ascii="Verdana" w:eastAsia="Times" w:hAnsi="Verdana"/>
          <w:sz w:val="20"/>
          <w:szCs w:val="20"/>
          <w:lang w:val="pt-BR"/>
        </w:rPr>
      </w:pPr>
    </w:p>
    <w:p w14:paraId="60E7547E" w14:textId="77777777" w:rsidR="00140C7C" w:rsidRPr="008D6226" w:rsidRDefault="00140C7C" w:rsidP="00140C7C">
      <w:pPr>
        <w:snapToGrid w:val="0"/>
        <w:spacing w:after="0" w:line="240" w:lineRule="auto"/>
        <w:jc w:val="both"/>
        <w:rPr>
          <w:rFonts w:ascii="Verdana" w:eastAsia="Times" w:hAnsi="Verdana"/>
          <w:sz w:val="20"/>
          <w:szCs w:val="20"/>
          <w:lang w:val="pt-BR"/>
        </w:rPr>
      </w:pPr>
    </w:p>
    <w:p w14:paraId="25A1495B" w14:textId="77777777" w:rsidR="00140C7C" w:rsidRPr="008D6226" w:rsidRDefault="00140C7C" w:rsidP="00140C7C">
      <w:pPr>
        <w:snapToGrid w:val="0"/>
        <w:spacing w:after="0" w:line="240" w:lineRule="auto"/>
        <w:jc w:val="both"/>
        <w:rPr>
          <w:rFonts w:ascii="Verdana" w:eastAsia="Times" w:hAnsi="Verdana"/>
          <w:sz w:val="20"/>
          <w:szCs w:val="20"/>
          <w:lang w:val="pt-BR"/>
        </w:rPr>
      </w:pPr>
    </w:p>
    <w:p w14:paraId="3787EAE5" w14:textId="77777777" w:rsidR="00140C7C" w:rsidRPr="008D6226" w:rsidRDefault="00140C7C" w:rsidP="00140C7C">
      <w:pPr>
        <w:snapToGrid w:val="0"/>
        <w:spacing w:after="0" w:line="240" w:lineRule="auto"/>
        <w:jc w:val="both"/>
        <w:rPr>
          <w:rFonts w:ascii="Verdana" w:eastAsia="Times" w:hAnsi="Verdana"/>
          <w:sz w:val="20"/>
          <w:szCs w:val="20"/>
          <w:lang w:val="pt-BR"/>
        </w:rPr>
      </w:pPr>
    </w:p>
    <w:p w14:paraId="744B2DED" w14:textId="0128584B" w:rsidR="00140C7C" w:rsidRPr="008D6226" w:rsidRDefault="00140C7C" w:rsidP="00140C7C">
      <w:pPr>
        <w:snapToGrid w:val="0"/>
        <w:spacing w:after="0" w:line="240" w:lineRule="auto"/>
        <w:jc w:val="both"/>
        <w:rPr>
          <w:rFonts w:ascii="Verdana" w:eastAsia="Times" w:hAnsi="Verdana"/>
          <w:sz w:val="20"/>
          <w:szCs w:val="20"/>
          <w:lang w:val="pt-BR"/>
        </w:rPr>
      </w:pPr>
    </w:p>
    <w:p w14:paraId="032DDC08" w14:textId="77777777" w:rsidR="00140C7C" w:rsidRPr="008D6226" w:rsidRDefault="00140C7C" w:rsidP="00140C7C">
      <w:pPr>
        <w:snapToGrid w:val="0"/>
        <w:spacing w:after="0" w:line="240" w:lineRule="auto"/>
        <w:ind w:left="4248" w:firstLine="708"/>
        <w:jc w:val="center"/>
        <w:rPr>
          <w:rFonts w:ascii="Verdana" w:eastAsia="Times" w:hAnsi="Verdana"/>
          <w:sz w:val="20"/>
          <w:szCs w:val="20"/>
          <w:lang w:val="es-CO"/>
        </w:rPr>
      </w:pPr>
      <w:r w:rsidRPr="008D6226">
        <w:rPr>
          <w:rFonts w:ascii="Verdana" w:eastAsia="Times" w:hAnsi="Verdana"/>
          <w:sz w:val="20"/>
          <w:szCs w:val="20"/>
          <w:lang w:val="pt-BR"/>
        </w:rPr>
        <w:t>Elizabeth Odio Benito</w:t>
      </w:r>
    </w:p>
    <w:p w14:paraId="115EC6FF" w14:textId="77777777" w:rsidR="00140C7C" w:rsidRPr="008D6226" w:rsidRDefault="00140C7C" w:rsidP="00140C7C">
      <w:pPr>
        <w:snapToGrid w:val="0"/>
        <w:spacing w:after="0" w:line="240" w:lineRule="auto"/>
        <w:ind w:left="4248" w:firstLine="708"/>
        <w:jc w:val="center"/>
        <w:rPr>
          <w:rFonts w:ascii="Verdana" w:eastAsia="Times" w:hAnsi="Verdana"/>
          <w:sz w:val="20"/>
          <w:szCs w:val="20"/>
          <w:lang w:val="pt-BR"/>
        </w:rPr>
      </w:pPr>
      <w:r w:rsidRPr="008D6226">
        <w:rPr>
          <w:rFonts w:ascii="Verdana" w:eastAsia="Times" w:hAnsi="Verdana"/>
          <w:sz w:val="20"/>
          <w:szCs w:val="20"/>
          <w:lang w:val="pt-BR"/>
        </w:rPr>
        <w:t>Presidenta</w:t>
      </w:r>
    </w:p>
    <w:p w14:paraId="7C04DEEE" w14:textId="53192EB8" w:rsidR="00140C7C" w:rsidRPr="008D6226" w:rsidRDefault="00140C7C" w:rsidP="00140C7C">
      <w:pPr>
        <w:snapToGrid w:val="0"/>
        <w:spacing w:after="0" w:line="240" w:lineRule="auto"/>
        <w:jc w:val="both"/>
        <w:rPr>
          <w:rFonts w:ascii="Verdana" w:eastAsia="Times" w:hAnsi="Verdana"/>
          <w:sz w:val="20"/>
          <w:szCs w:val="20"/>
          <w:lang w:val="pt-BR"/>
        </w:rPr>
      </w:pPr>
    </w:p>
    <w:p w14:paraId="61E94D71" w14:textId="77777777" w:rsidR="00140C7C" w:rsidRPr="008D6226" w:rsidRDefault="00140C7C" w:rsidP="00140C7C">
      <w:pPr>
        <w:snapToGrid w:val="0"/>
        <w:spacing w:after="0" w:line="240" w:lineRule="auto"/>
        <w:jc w:val="both"/>
        <w:rPr>
          <w:rFonts w:ascii="Verdana" w:eastAsia="Times" w:hAnsi="Verdana"/>
          <w:sz w:val="20"/>
          <w:szCs w:val="20"/>
          <w:lang w:val="pt-BR"/>
        </w:rPr>
      </w:pPr>
    </w:p>
    <w:p w14:paraId="4E4CC0FD" w14:textId="4BEBD98A" w:rsidR="00140C7C" w:rsidRPr="008D6226" w:rsidRDefault="00140C7C" w:rsidP="00140C7C">
      <w:pPr>
        <w:snapToGrid w:val="0"/>
        <w:spacing w:after="0" w:line="240" w:lineRule="auto"/>
        <w:jc w:val="both"/>
        <w:rPr>
          <w:rFonts w:ascii="Verdana" w:eastAsia="Times" w:hAnsi="Verdana"/>
          <w:sz w:val="20"/>
          <w:szCs w:val="20"/>
          <w:lang w:val="pt-BR"/>
        </w:rPr>
      </w:pPr>
    </w:p>
    <w:p w14:paraId="71949B0D" w14:textId="49DB1190" w:rsidR="00140C7C" w:rsidRPr="008D6226" w:rsidRDefault="00140C7C" w:rsidP="0027334D">
      <w:pPr>
        <w:snapToGrid w:val="0"/>
        <w:spacing w:after="0" w:line="240" w:lineRule="auto"/>
        <w:jc w:val="both"/>
        <w:rPr>
          <w:rFonts w:ascii="Verdana" w:eastAsia="Times" w:hAnsi="Verdana"/>
          <w:sz w:val="20"/>
          <w:szCs w:val="20"/>
          <w:lang w:val="pt-BR"/>
        </w:rPr>
      </w:pPr>
    </w:p>
    <w:p w14:paraId="641356DC" w14:textId="701CED77" w:rsidR="0027334D" w:rsidRPr="0027334D" w:rsidRDefault="0027334D" w:rsidP="0027334D">
      <w:pPr>
        <w:snapToGrid w:val="0"/>
        <w:spacing w:after="0" w:line="240" w:lineRule="auto"/>
        <w:jc w:val="both"/>
        <w:rPr>
          <w:rFonts w:ascii="Verdana" w:eastAsia="Times" w:hAnsi="Verdana"/>
          <w:sz w:val="20"/>
          <w:szCs w:val="20"/>
          <w:lang w:val="pt-BR"/>
        </w:rPr>
      </w:pPr>
      <w:r w:rsidRPr="0027334D">
        <w:rPr>
          <w:rFonts w:ascii="Verdana" w:eastAsia="Times" w:hAnsi="Verdana"/>
          <w:sz w:val="20"/>
          <w:szCs w:val="20"/>
          <w:lang w:val="pt-BR"/>
        </w:rPr>
        <w:t>Romina I. Sijniensky</w:t>
      </w:r>
    </w:p>
    <w:p w14:paraId="54F821AB" w14:textId="4DE4BDD5" w:rsidR="0027334D" w:rsidRPr="0027334D" w:rsidRDefault="0027334D" w:rsidP="0027334D">
      <w:pPr>
        <w:snapToGrid w:val="0"/>
        <w:spacing w:after="0" w:line="240" w:lineRule="auto"/>
        <w:jc w:val="both"/>
        <w:rPr>
          <w:rFonts w:ascii="Verdana" w:eastAsia="Times" w:hAnsi="Verdana"/>
          <w:sz w:val="20"/>
          <w:szCs w:val="20"/>
          <w:lang w:val="pt-BR"/>
        </w:rPr>
      </w:pPr>
      <w:r>
        <w:rPr>
          <w:rFonts w:ascii="Verdana" w:eastAsia="Times" w:hAnsi="Verdana"/>
          <w:sz w:val="20"/>
          <w:szCs w:val="20"/>
          <w:lang w:val="pt-BR"/>
        </w:rPr>
        <w:t xml:space="preserve"> </w:t>
      </w:r>
      <w:r w:rsidRPr="0027334D">
        <w:rPr>
          <w:rFonts w:ascii="Verdana" w:eastAsia="Times" w:hAnsi="Verdana"/>
          <w:sz w:val="20"/>
          <w:szCs w:val="20"/>
          <w:lang w:val="pt-BR"/>
        </w:rPr>
        <w:t>Secretaria Adjunta</w:t>
      </w:r>
    </w:p>
    <w:p w14:paraId="0B20087D" w14:textId="77777777" w:rsidR="00140C7C" w:rsidRPr="00140C7C" w:rsidRDefault="00140C7C" w:rsidP="00140C7C">
      <w:pPr>
        <w:spacing w:before="120" w:after="120"/>
        <w:jc w:val="both"/>
        <w:rPr>
          <w:rFonts w:ascii="Verdana" w:hAnsi="Verdana"/>
          <w:sz w:val="16"/>
        </w:rPr>
      </w:pPr>
    </w:p>
    <w:sectPr w:rsidR="00140C7C" w:rsidRPr="00140C7C" w:rsidSect="00390ACB">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BEAA4" w14:textId="77777777" w:rsidR="00050403" w:rsidRDefault="00050403" w:rsidP="004D4BE7">
      <w:pPr>
        <w:spacing w:after="0" w:line="240" w:lineRule="auto"/>
      </w:pPr>
      <w:r>
        <w:separator/>
      </w:r>
    </w:p>
  </w:endnote>
  <w:endnote w:type="continuationSeparator" w:id="0">
    <w:p w14:paraId="122C806D" w14:textId="77777777" w:rsidR="00050403" w:rsidRDefault="00050403" w:rsidP="004D4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8BAD" w14:textId="34A6F2B0" w:rsidR="004D4BE7" w:rsidRPr="004D4BE7" w:rsidRDefault="004D4BE7" w:rsidP="004D4BE7">
    <w:pPr>
      <w:pStyle w:val="Piedepgina"/>
      <w:jc w:val="center"/>
      <w:rPr>
        <w:rFonts w:ascii="Verdana" w:hAnsi="Verdana"/>
        <w:sz w:val="20"/>
        <w:szCs w:val="20"/>
      </w:rPr>
    </w:pPr>
    <w:r>
      <w:rPr>
        <w:rFonts w:ascii="Verdana" w:hAnsi="Verdana"/>
        <w:sz w:val="20"/>
        <w:szCs w:val="20"/>
      </w:rPr>
      <w:t>-</w:t>
    </w:r>
    <w:r w:rsidRPr="004D4BE7">
      <w:rPr>
        <w:rFonts w:ascii="Verdana" w:hAnsi="Verdana"/>
        <w:sz w:val="20"/>
        <w:szCs w:val="20"/>
      </w:rPr>
      <w:fldChar w:fldCharType="begin"/>
    </w:r>
    <w:r w:rsidRPr="004D4BE7">
      <w:rPr>
        <w:rFonts w:ascii="Verdana" w:hAnsi="Verdana"/>
        <w:sz w:val="20"/>
        <w:szCs w:val="20"/>
      </w:rPr>
      <w:instrText>PAGE   \* MERGEFORMAT</w:instrText>
    </w:r>
    <w:r w:rsidRPr="004D4BE7">
      <w:rPr>
        <w:rFonts w:ascii="Verdana" w:hAnsi="Verdana"/>
        <w:sz w:val="20"/>
        <w:szCs w:val="20"/>
      </w:rPr>
      <w:fldChar w:fldCharType="separate"/>
    </w:r>
    <w:r w:rsidR="00F37456">
      <w:rPr>
        <w:rFonts w:ascii="Verdana" w:hAnsi="Verdana"/>
        <w:noProof/>
        <w:sz w:val="20"/>
        <w:szCs w:val="20"/>
      </w:rPr>
      <w:t>1</w:t>
    </w:r>
    <w:r w:rsidRPr="004D4BE7">
      <w:rPr>
        <w:rFonts w:ascii="Verdana" w:hAnsi="Verdana"/>
        <w:sz w:val="20"/>
        <w:szCs w:val="20"/>
      </w:rPr>
      <w:fldChar w:fldCharType="end"/>
    </w:r>
    <w:r>
      <w:rPr>
        <w:rFonts w:ascii="Verdana" w:hAnsi="Verdana"/>
        <w:sz w:val="20"/>
        <w:szCs w:val="20"/>
      </w:rPr>
      <w:t>-</w:t>
    </w:r>
  </w:p>
  <w:p w14:paraId="6C5B3C78" w14:textId="77777777" w:rsidR="004D4BE7" w:rsidRDefault="004D4B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25928" w14:textId="77777777" w:rsidR="00050403" w:rsidRDefault="00050403" w:rsidP="004D4BE7">
      <w:pPr>
        <w:spacing w:after="0" w:line="240" w:lineRule="auto"/>
      </w:pPr>
      <w:r>
        <w:separator/>
      </w:r>
    </w:p>
  </w:footnote>
  <w:footnote w:type="continuationSeparator" w:id="0">
    <w:p w14:paraId="1D706D56" w14:textId="77777777" w:rsidR="00050403" w:rsidRDefault="00050403" w:rsidP="004D4BE7">
      <w:pPr>
        <w:spacing w:after="0" w:line="240" w:lineRule="auto"/>
      </w:pPr>
      <w:r>
        <w:continuationSeparator/>
      </w:r>
    </w:p>
  </w:footnote>
  <w:footnote w:id="1">
    <w:p w14:paraId="5CCF6EF8" w14:textId="311F867A" w:rsidR="00DA4805" w:rsidRPr="006217A9" w:rsidRDefault="004D4BE7" w:rsidP="004D4BE7">
      <w:pPr>
        <w:pStyle w:val="Textonotapie"/>
        <w:jc w:val="both"/>
        <w:rPr>
          <w:rFonts w:ascii="Verdana" w:hAnsi="Verdana"/>
          <w:sz w:val="16"/>
          <w:szCs w:val="16"/>
        </w:rPr>
      </w:pPr>
      <w:r w:rsidRPr="006217A9">
        <w:rPr>
          <w:rFonts w:ascii="Verdana" w:hAnsi="Verdana"/>
          <w:sz w:val="16"/>
          <w:szCs w:val="16"/>
          <w:vertAlign w:val="superscript"/>
        </w:rPr>
        <w:t>*</w:t>
      </w:r>
      <w:r w:rsidRPr="006217A9">
        <w:rPr>
          <w:rFonts w:ascii="Verdana" w:hAnsi="Verdana"/>
          <w:sz w:val="16"/>
          <w:szCs w:val="16"/>
        </w:rPr>
        <w:tab/>
        <w:t xml:space="preserve">El Juez </w:t>
      </w:r>
      <w:r w:rsidR="00301FE1" w:rsidRPr="006217A9">
        <w:rPr>
          <w:rFonts w:ascii="Verdana" w:hAnsi="Verdana"/>
          <w:sz w:val="16"/>
          <w:szCs w:val="16"/>
        </w:rPr>
        <w:t>Eduardo Vio Grossi, de nacionalidad chilena</w:t>
      </w:r>
      <w:r w:rsidRPr="006217A9">
        <w:rPr>
          <w:rFonts w:ascii="Verdana" w:hAnsi="Verdana"/>
          <w:sz w:val="16"/>
          <w:szCs w:val="16"/>
        </w:rPr>
        <w:t>, no participó en la deliberación y firma de la Sentencia de este caso, ni en el conocimiento y deliberación de la presente Resolución, de conformidad con lo dispuesto en el artículo 19.1 del Reglamento de la Corte. Debido a las circunstancias excepcionales ocasionadas por la pandemia COVID-19, esta Resolución fue deliberada y aprobada durante el 14</w:t>
      </w:r>
      <w:r w:rsidR="00301FE1" w:rsidRPr="006217A9">
        <w:rPr>
          <w:rFonts w:ascii="Verdana" w:hAnsi="Verdana"/>
          <w:sz w:val="16"/>
          <w:szCs w:val="16"/>
        </w:rPr>
        <w:t>3</w:t>
      </w:r>
      <w:r w:rsidRPr="006217A9">
        <w:rPr>
          <w:rFonts w:ascii="Verdana" w:hAnsi="Verdana"/>
          <w:sz w:val="16"/>
          <w:szCs w:val="16"/>
        </w:rPr>
        <w:t xml:space="preserve"> Período Ordinario de Sesiones, el cual se llevó a cabo de forma no presencial utilizando medios tecnológicos de conformidad con lo establecido en el Reglamento de la Corte.</w:t>
      </w:r>
    </w:p>
    <w:p w14:paraId="1CE109E5" w14:textId="0ED5F8F6" w:rsidR="00DA4805" w:rsidRPr="006217A9" w:rsidRDefault="004D4BE7" w:rsidP="004D4BE7">
      <w:pPr>
        <w:pStyle w:val="Textonotapie"/>
        <w:jc w:val="both"/>
        <w:rPr>
          <w:rFonts w:ascii="Verdana" w:hAnsi="Verdana"/>
          <w:sz w:val="16"/>
          <w:szCs w:val="16"/>
        </w:rPr>
      </w:pPr>
      <w:r w:rsidRPr="006217A9">
        <w:rPr>
          <w:rStyle w:val="Refdenotaalpie"/>
          <w:rFonts w:ascii="Verdana" w:hAnsi="Verdana"/>
          <w:sz w:val="16"/>
          <w:szCs w:val="16"/>
        </w:rPr>
        <w:footnoteRef/>
      </w:r>
      <w:r w:rsidRPr="006217A9">
        <w:rPr>
          <w:rFonts w:ascii="Verdana" w:hAnsi="Verdana"/>
          <w:sz w:val="16"/>
          <w:szCs w:val="16"/>
        </w:rPr>
        <w:t xml:space="preserve"> </w:t>
      </w:r>
      <w:r w:rsidRPr="006217A9">
        <w:rPr>
          <w:rFonts w:ascii="Verdana" w:hAnsi="Verdana"/>
          <w:sz w:val="16"/>
          <w:szCs w:val="16"/>
        </w:rPr>
        <w:tab/>
      </w:r>
      <w:r w:rsidRPr="006217A9">
        <w:rPr>
          <w:rFonts w:ascii="Verdana" w:hAnsi="Verdana"/>
          <w:i/>
          <w:sz w:val="16"/>
          <w:szCs w:val="16"/>
        </w:rPr>
        <w:t xml:space="preserve">Cfr. </w:t>
      </w:r>
      <w:r w:rsidR="00066A96" w:rsidRPr="006217A9">
        <w:rPr>
          <w:rFonts w:ascii="Verdana" w:hAnsi="Verdana"/>
          <w:i/>
          <w:sz w:val="16"/>
          <w:szCs w:val="16"/>
        </w:rPr>
        <w:t xml:space="preserve">Caso </w:t>
      </w:r>
      <w:r w:rsidR="00301FE1" w:rsidRPr="006217A9">
        <w:rPr>
          <w:rFonts w:ascii="Verdana" w:hAnsi="Verdana"/>
          <w:i/>
          <w:sz w:val="16"/>
          <w:szCs w:val="16"/>
        </w:rPr>
        <w:t>Urrutia Laubreaux</w:t>
      </w:r>
      <w:r w:rsidR="00066A96" w:rsidRPr="006217A9">
        <w:rPr>
          <w:rFonts w:ascii="Verdana" w:hAnsi="Verdana"/>
          <w:i/>
          <w:sz w:val="16"/>
          <w:szCs w:val="16"/>
        </w:rPr>
        <w:t xml:space="preserve"> Vs. </w:t>
      </w:r>
      <w:r w:rsidR="00301FE1" w:rsidRPr="006217A9">
        <w:rPr>
          <w:rFonts w:ascii="Verdana" w:hAnsi="Verdana"/>
          <w:i/>
          <w:sz w:val="16"/>
          <w:szCs w:val="16"/>
        </w:rPr>
        <w:t>Chile. Excepciones</w:t>
      </w:r>
      <w:r w:rsidR="00066A96" w:rsidRPr="006217A9">
        <w:rPr>
          <w:rFonts w:ascii="Verdana" w:hAnsi="Verdana"/>
          <w:i/>
          <w:sz w:val="16"/>
          <w:szCs w:val="16"/>
        </w:rPr>
        <w:t xml:space="preserve"> Preliminar</w:t>
      </w:r>
      <w:r w:rsidR="00301FE1" w:rsidRPr="006217A9">
        <w:rPr>
          <w:rFonts w:ascii="Verdana" w:hAnsi="Verdana"/>
          <w:i/>
          <w:sz w:val="16"/>
          <w:szCs w:val="16"/>
        </w:rPr>
        <w:t>es</w:t>
      </w:r>
      <w:r w:rsidR="00066A96" w:rsidRPr="006217A9">
        <w:rPr>
          <w:rFonts w:ascii="Verdana" w:hAnsi="Verdana"/>
          <w:i/>
          <w:sz w:val="16"/>
          <w:szCs w:val="16"/>
        </w:rPr>
        <w:t xml:space="preserve">, Fondo, Reparaciones y Costas. </w:t>
      </w:r>
      <w:r w:rsidR="00066A96" w:rsidRPr="006217A9">
        <w:rPr>
          <w:rFonts w:ascii="Verdana" w:hAnsi="Verdana"/>
          <w:sz w:val="16"/>
          <w:szCs w:val="16"/>
        </w:rPr>
        <w:t>Sentencia de 2</w:t>
      </w:r>
      <w:r w:rsidR="00301FE1" w:rsidRPr="006217A9">
        <w:rPr>
          <w:rFonts w:ascii="Verdana" w:hAnsi="Verdana"/>
          <w:sz w:val="16"/>
          <w:szCs w:val="16"/>
        </w:rPr>
        <w:t>7</w:t>
      </w:r>
      <w:r w:rsidR="00066A96" w:rsidRPr="006217A9">
        <w:rPr>
          <w:rFonts w:ascii="Verdana" w:hAnsi="Verdana"/>
          <w:sz w:val="16"/>
          <w:szCs w:val="16"/>
        </w:rPr>
        <w:t xml:space="preserve"> de </w:t>
      </w:r>
      <w:r w:rsidR="00301FE1" w:rsidRPr="006217A9">
        <w:rPr>
          <w:rFonts w:ascii="Verdana" w:hAnsi="Verdana"/>
          <w:sz w:val="16"/>
          <w:szCs w:val="16"/>
        </w:rPr>
        <w:t>agosto</w:t>
      </w:r>
      <w:r w:rsidR="00066A96" w:rsidRPr="006217A9">
        <w:rPr>
          <w:rFonts w:ascii="Verdana" w:hAnsi="Verdana"/>
          <w:sz w:val="16"/>
          <w:szCs w:val="16"/>
        </w:rPr>
        <w:t xml:space="preserve"> de 20</w:t>
      </w:r>
      <w:r w:rsidR="00301FE1" w:rsidRPr="006217A9">
        <w:rPr>
          <w:rFonts w:ascii="Verdana" w:hAnsi="Verdana"/>
          <w:sz w:val="16"/>
          <w:szCs w:val="16"/>
        </w:rPr>
        <w:t>20</w:t>
      </w:r>
      <w:r w:rsidR="00066A96" w:rsidRPr="006217A9">
        <w:rPr>
          <w:rFonts w:ascii="Verdana" w:hAnsi="Verdana"/>
          <w:sz w:val="16"/>
          <w:szCs w:val="16"/>
        </w:rPr>
        <w:t xml:space="preserve">. Serie C No. </w:t>
      </w:r>
      <w:r w:rsidR="00301FE1" w:rsidRPr="006217A9">
        <w:rPr>
          <w:rFonts w:ascii="Verdana" w:hAnsi="Verdana"/>
          <w:sz w:val="16"/>
          <w:szCs w:val="16"/>
        </w:rPr>
        <w:t>409</w:t>
      </w:r>
      <w:r w:rsidR="00066A96" w:rsidRPr="006217A9">
        <w:rPr>
          <w:rFonts w:ascii="Verdana" w:hAnsi="Verdana"/>
          <w:sz w:val="16"/>
          <w:szCs w:val="16"/>
        </w:rPr>
        <w:t xml:space="preserve">. </w:t>
      </w:r>
      <w:r w:rsidRPr="006217A9">
        <w:rPr>
          <w:rFonts w:ascii="Verdana" w:hAnsi="Verdana"/>
          <w:sz w:val="16"/>
          <w:szCs w:val="16"/>
        </w:rPr>
        <w:t xml:space="preserve">El texto íntegro de la Sentencia se encuentra disponible en: </w:t>
      </w:r>
      <w:hyperlink r:id="rId1" w:history="1">
        <w:r w:rsidR="00301FE1" w:rsidRPr="006217A9">
          <w:rPr>
            <w:rStyle w:val="Hipervnculo"/>
            <w:rFonts w:ascii="Verdana" w:hAnsi="Verdana"/>
            <w:sz w:val="16"/>
            <w:szCs w:val="16"/>
          </w:rPr>
          <w:t>http://www.corteidh.or.cr/docs/casos/articulos/seriec_409_esp.pdf</w:t>
        </w:r>
      </w:hyperlink>
      <w:r w:rsidR="00066A96" w:rsidRPr="006217A9">
        <w:rPr>
          <w:rFonts w:ascii="Verdana" w:hAnsi="Verdana"/>
          <w:sz w:val="16"/>
          <w:szCs w:val="16"/>
        </w:rPr>
        <w:t>.</w:t>
      </w:r>
      <w:r w:rsidRPr="006217A9">
        <w:rPr>
          <w:rFonts w:ascii="Verdana" w:hAnsi="Verdana"/>
          <w:sz w:val="16"/>
          <w:szCs w:val="16"/>
        </w:rPr>
        <w:t xml:space="preserve"> La Sentencia se notificó el </w:t>
      </w:r>
      <w:r w:rsidR="00301FE1" w:rsidRPr="006217A9">
        <w:rPr>
          <w:rFonts w:ascii="Verdana" w:hAnsi="Verdana"/>
          <w:sz w:val="16"/>
          <w:szCs w:val="16"/>
        </w:rPr>
        <w:t>6</w:t>
      </w:r>
      <w:r w:rsidR="00DA4805" w:rsidRPr="006217A9">
        <w:rPr>
          <w:rFonts w:ascii="Verdana" w:hAnsi="Verdana"/>
          <w:sz w:val="16"/>
          <w:szCs w:val="16"/>
        </w:rPr>
        <w:t xml:space="preserve"> de </w:t>
      </w:r>
      <w:r w:rsidR="00301FE1" w:rsidRPr="006217A9">
        <w:rPr>
          <w:rFonts w:ascii="Verdana" w:hAnsi="Verdana"/>
          <w:sz w:val="16"/>
          <w:szCs w:val="16"/>
        </w:rPr>
        <w:t>noviembre de 2020</w:t>
      </w:r>
      <w:r w:rsidRPr="006217A9">
        <w:rPr>
          <w:rFonts w:ascii="Verdana" w:hAnsi="Verdana"/>
          <w:sz w:val="16"/>
          <w:szCs w:val="16"/>
        </w:rPr>
        <w:t xml:space="preserve">. </w:t>
      </w:r>
    </w:p>
  </w:footnote>
  <w:footnote w:id="2">
    <w:p w14:paraId="412F5FD3" w14:textId="218566B8" w:rsidR="00F65045" w:rsidRPr="00654E82" w:rsidRDefault="00F65045" w:rsidP="00654E82">
      <w:pPr>
        <w:pStyle w:val="Textonotapie"/>
        <w:jc w:val="both"/>
        <w:rPr>
          <w:rFonts w:ascii="Verdana" w:hAnsi="Verdana" w:cs="Times New Roman"/>
          <w:sz w:val="16"/>
          <w:szCs w:val="16"/>
        </w:rPr>
      </w:pPr>
      <w:r>
        <w:rPr>
          <w:rStyle w:val="Refdenotaalpie"/>
        </w:rPr>
        <w:footnoteRef/>
      </w:r>
      <w:r>
        <w:t xml:space="preserve"> </w:t>
      </w:r>
      <w:r>
        <w:tab/>
      </w:r>
      <w:r w:rsidR="00C5720A" w:rsidRPr="00654E82">
        <w:rPr>
          <w:rFonts w:ascii="Verdana" w:hAnsi="Verdana" w:cs="Times New Roman"/>
          <w:sz w:val="16"/>
          <w:szCs w:val="16"/>
        </w:rPr>
        <w:t xml:space="preserve">El 31 de marzo de 2005 la Corte de Apelaciones de la Serena sancionó al señor Urrutia Laubreaux con una medida disciplinaria de “censura por escrito”, en aplicación de los numerales 1 y 4 del artículo 323 del Código Orgánico de Tribunales.  </w:t>
      </w:r>
      <w:r w:rsidR="00654E82" w:rsidRPr="00654E82">
        <w:rPr>
          <w:rFonts w:ascii="Verdana" w:hAnsi="Verdana" w:cs="Times New Roman"/>
          <w:sz w:val="16"/>
          <w:szCs w:val="16"/>
        </w:rPr>
        <w:t xml:space="preserve">Posteriormente, el 5 de abril de 2005, el señor Urrutia Laubreaux interpuso un recurso de apelación ante la Corte Suprema de Justicia de Chile contra la resolución sancionatoria, solicitando la revocación de la sanción disciplinaria. El 6 de mayo del 2005 la Corte Suprema confirmó la resolución impugnada, pero redujo la condena a una “amonestación privada” y ordenó que se registrara en la hoja de vida del </w:t>
      </w:r>
      <w:r w:rsidR="00421543">
        <w:rPr>
          <w:rFonts w:ascii="Verdana" w:hAnsi="Verdana" w:cs="Times New Roman"/>
          <w:sz w:val="16"/>
          <w:szCs w:val="16"/>
        </w:rPr>
        <w:t>j</w:t>
      </w:r>
      <w:r w:rsidR="00654E82" w:rsidRPr="00654E82">
        <w:rPr>
          <w:rFonts w:ascii="Verdana" w:hAnsi="Verdana" w:cs="Times New Roman"/>
          <w:sz w:val="16"/>
          <w:szCs w:val="16"/>
        </w:rPr>
        <w:t xml:space="preserve">uez Urrutia Laubreaux la sanción impuesta. </w:t>
      </w:r>
      <w:r w:rsidR="00654E82" w:rsidRPr="00390ACB">
        <w:rPr>
          <w:rFonts w:ascii="Verdana" w:hAnsi="Verdana" w:cs="Times New Roman"/>
          <w:i/>
          <w:sz w:val="16"/>
          <w:szCs w:val="16"/>
        </w:rPr>
        <w:t>Cfr.</w:t>
      </w:r>
      <w:r w:rsidR="00654E82" w:rsidRPr="00654E82">
        <w:rPr>
          <w:rFonts w:ascii="Verdana" w:hAnsi="Verdana" w:cs="Times New Roman"/>
          <w:sz w:val="16"/>
          <w:szCs w:val="16"/>
        </w:rPr>
        <w:t xml:space="preserve"> </w:t>
      </w:r>
      <w:r w:rsidR="00654E82" w:rsidRPr="00654E82">
        <w:rPr>
          <w:rFonts w:ascii="Verdana" w:hAnsi="Verdana" w:cs="Times New Roman"/>
          <w:i/>
          <w:sz w:val="16"/>
          <w:szCs w:val="16"/>
        </w:rPr>
        <w:t xml:space="preserve">Caso Urrutia Laubreaux Vs. Chile, </w:t>
      </w:r>
      <w:r w:rsidR="00654E82" w:rsidRPr="009B37B0">
        <w:rPr>
          <w:rFonts w:ascii="Verdana" w:hAnsi="Verdana" w:cs="Times New Roman"/>
          <w:i/>
          <w:sz w:val="16"/>
          <w:szCs w:val="16"/>
        </w:rPr>
        <w:t>supra</w:t>
      </w:r>
      <w:r w:rsidR="00654E82" w:rsidRPr="00654E82">
        <w:rPr>
          <w:rFonts w:ascii="Verdana" w:hAnsi="Verdana" w:cs="Times New Roman"/>
          <w:sz w:val="16"/>
          <w:szCs w:val="16"/>
        </w:rPr>
        <w:t xml:space="preserve"> nota 1, párrs. 62 a 64. </w:t>
      </w:r>
    </w:p>
  </w:footnote>
  <w:footnote w:id="3">
    <w:p w14:paraId="6E1017B0" w14:textId="6605C968" w:rsidR="00806967" w:rsidRDefault="00806967" w:rsidP="00390ACB">
      <w:pPr>
        <w:pStyle w:val="Textocomentario"/>
        <w:spacing w:after="0"/>
        <w:jc w:val="both"/>
      </w:pPr>
      <w:r>
        <w:rPr>
          <w:rStyle w:val="Refdenotaalpie"/>
        </w:rPr>
        <w:footnoteRef/>
      </w:r>
      <w:r>
        <w:t xml:space="preserve"> </w:t>
      </w:r>
      <w:r w:rsidR="001A1190">
        <w:tab/>
      </w:r>
      <w:r w:rsidR="00654E82" w:rsidRPr="001A1190">
        <w:rPr>
          <w:rFonts w:ascii="Verdana" w:hAnsi="Verdana"/>
          <w:sz w:val="16"/>
        </w:rPr>
        <w:t>El 29 de mayo de 2018, y en cumplimiento de las recomendaciones del Informe de Fondo, la Corte</w:t>
      </w:r>
      <w:r w:rsidR="001A1190">
        <w:rPr>
          <w:rFonts w:ascii="Verdana" w:hAnsi="Verdana"/>
          <w:sz w:val="16"/>
        </w:rPr>
        <w:t xml:space="preserve"> Suprema </w:t>
      </w:r>
      <w:r w:rsidR="00654E82" w:rsidRPr="001A1190">
        <w:rPr>
          <w:rFonts w:ascii="Verdana" w:hAnsi="Verdana"/>
          <w:sz w:val="16"/>
        </w:rPr>
        <w:t>de Justicia de Chile dejó sin</w:t>
      </w:r>
      <w:r w:rsidR="001A1190">
        <w:rPr>
          <w:rFonts w:ascii="Verdana" w:hAnsi="Verdana"/>
          <w:sz w:val="16"/>
        </w:rPr>
        <w:t xml:space="preserve"> efecto </w:t>
      </w:r>
      <w:r w:rsidR="00654E82" w:rsidRPr="001A1190">
        <w:rPr>
          <w:rFonts w:ascii="Verdana" w:hAnsi="Verdana"/>
          <w:sz w:val="16"/>
        </w:rPr>
        <w:t xml:space="preserve">la sanción impuesta al </w:t>
      </w:r>
      <w:r w:rsidR="00421543">
        <w:rPr>
          <w:rFonts w:ascii="Verdana" w:hAnsi="Verdana"/>
          <w:sz w:val="16"/>
        </w:rPr>
        <w:t>j</w:t>
      </w:r>
      <w:r w:rsidR="00654E82" w:rsidRPr="001A1190">
        <w:rPr>
          <w:rFonts w:ascii="Verdana" w:hAnsi="Verdana"/>
          <w:sz w:val="16"/>
        </w:rPr>
        <w:t>uez Urrutia Laubreaux en el año 2005</w:t>
      </w:r>
      <w:r w:rsidR="001A1190">
        <w:rPr>
          <w:rFonts w:ascii="Verdana" w:hAnsi="Verdana"/>
          <w:sz w:val="16"/>
        </w:rPr>
        <w:t xml:space="preserve"> y ordenó su eliminación de la hoja de vida de la víctima. </w:t>
      </w:r>
      <w:r w:rsidR="00654E82" w:rsidRPr="001A1190">
        <w:rPr>
          <w:rFonts w:ascii="Verdana" w:hAnsi="Verdana"/>
          <w:sz w:val="16"/>
        </w:rPr>
        <w:t xml:space="preserve">La Corte Interamericana consideró que esa decisión cesó y reparó parcialmente la violación. </w:t>
      </w:r>
      <w:r w:rsidR="001A1190" w:rsidRPr="00390ACB">
        <w:rPr>
          <w:rFonts w:ascii="Verdana" w:hAnsi="Verdana" w:cs="Times New Roman"/>
          <w:i/>
          <w:sz w:val="16"/>
          <w:szCs w:val="16"/>
        </w:rPr>
        <w:t>Cfr.</w:t>
      </w:r>
      <w:r w:rsidR="001A1190" w:rsidRPr="00654E82">
        <w:rPr>
          <w:rFonts w:ascii="Verdana" w:hAnsi="Verdana" w:cs="Times New Roman"/>
          <w:sz w:val="16"/>
          <w:szCs w:val="16"/>
        </w:rPr>
        <w:t xml:space="preserve"> </w:t>
      </w:r>
      <w:r w:rsidR="001A1190" w:rsidRPr="00654E82">
        <w:rPr>
          <w:rFonts w:ascii="Verdana" w:hAnsi="Verdana" w:cs="Times New Roman"/>
          <w:i/>
          <w:sz w:val="16"/>
          <w:szCs w:val="16"/>
        </w:rPr>
        <w:t xml:space="preserve">Caso Urrutia Laubreaux Vs. Chile, </w:t>
      </w:r>
      <w:r w:rsidR="001A1190" w:rsidRPr="009B37B0">
        <w:rPr>
          <w:rFonts w:ascii="Verdana" w:hAnsi="Verdana" w:cs="Times New Roman"/>
          <w:i/>
          <w:sz w:val="16"/>
          <w:szCs w:val="16"/>
        </w:rPr>
        <w:t>supra</w:t>
      </w:r>
      <w:r w:rsidR="001A1190" w:rsidRPr="00654E82">
        <w:rPr>
          <w:rFonts w:ascii="Verdana" w:hAnsi="Verdana" w:cs="Times New Roman"/>
          <w:sz w:val="16"/>
          <w:szCs w:val="16"/>
        </w:rPr>
        <w:t xml:space="preserve"> nota 1, párrs. </w:t>
      </w:r>
      <w:r w:rsidR="001A1190">
        <w:rPr>
          <w:rFonts w:ascii="Verdana" w:hAnsi="Verdana" w:cs="Times New Roman"/>
          <w:sz w:val="16"/>
          <w:szCs w:val="16"/>
        </w:rPr>
        <w:t xml:space="preserve">94 a 96. </w:t>
      </w:r>
    </w:p>
  </w:footnote>
  <w:footnote w:id="4">
    <w:p w14:paraId="60D08030" w14:textId="4427CCD9" w:rsidR="001A1190" w:rsidRPr="001A1190" w:rsidRDefault="001A1190" w:rsidP="00390ACB">
      <w:pPr>
        <w:pStyle w:val="Textonotapie"/>
        <w:jc w:val="both"/>
        <w:rPr>
          <w:lang w:val="es-ES"/>
        </w:rPr>
      </w:pPr>
      <w:r>
        <w:rPr>
          <w:rStyle w:val="Refdenotaalpie"/>
        </w:rPr>
        <w:footnoteRef/>
      </w:r>
      <w:r>
        <w:t xml:space="preserve"> </w:t>
      </w:r>
      <w:r>
        <w:tab/>
      </w:r>
      <w:r w:rsidRPr="001A1190">
        <w:rPr>
          <w:rFonts w:ascii="Verdana" w:hAnsi="Verdana" w:cs="Times New Roman"/>
          <w:i/>
          <w:sz w:val="16"/>
          <w:szCs w:val="16"/>
        </w:rPr>
        <w:t>Cfr.</w:t>
      </w:r>
      <w:r w:rsidRPr="00654E82">
        <w:rPr>
          <w:rFonts w:ascii="Verdana" w:hAnsi="Verdana" w:cs="Times New Roman"/>
          <w:sz w:val="16"/>
          <w:szCs w:val="16"/>
        </w:rPr>
        <w:t xml:space="preserve"> </w:t>
      </w:r>
      <w:r w:rsidRPr="00654E82">
        <w:rPr>
          <w:rFonts w:ascii="Verdana" w:hAnsi="Verdana" w:cs="Times New Roman"/>
          <w:i/>
          <w:sz w:val="16"/>
          <w:szCs w:val="16"/>
        </w:rPr>
        <w:t>Caso Urrutia Laubreaux Vs. Chile,</w:t>
      </w:r>
      <w:r w:rsidR="00DC1862">
        <w:rPr>
          <w:rFonts w:ascii="Verdana" w:hAnsi="Verdana" w:cs="Times New Roman"/>
          <w:i/>
          <w:sz w:val="16"/>
          <w:szCs w:val="16"/>
        </w:rPr>
        <w:t xml:space="preserve"> </w:t>
      </w:r>
      <w:r w:rsidRPr="00DC1862">
        <w:rPr>
          <w:rFonts w:ascii="Verdana" w:hAnsi="Verdana" w:cs="Times New Roman"/>
          <w:i/>
          <w:sz w:val="16"/>
          <w:szCs w:val="16"/>
        </w:rPr>
        <w:t>supra</w:t>
      </w:r>
      <w:r w:rsidRPr="00654E82">
        <w:rPr>
          <w:rFonts w:ascii="Verdana" w:hAnsi="Verdana" w:cs="Times New Roman"/>
          <w:sz w:val="16"/>
          <w:szCs w:val="16"/>
        </w:rPr>
        <w:t xml:space="preserve"> nota 1, párrs. </w:t>
      </w:r>
      <w:r>
        <w:rPr>
          <w:rFonts w:ascii="Verdana" w:hAnsi="Verdana" w:cs="Times New Roman"/>
          <w:sz w:val="16"/>
          <w:szCs w:val="16"/>
        </w:rPr>
        <w:t>86 y 89.</w:t>
      </w:r>
    </w:p>
  </w:footnote>
  <w:footnote w:id="5">
    <w:p w14:paraId="1C509076" w14:textId="4BD4A569" w:rsidR="00DA4805" w:rsidRPr="006217A9" w:rsidRDefault="004D4BE7" w:rsidP="004D4BE7">
      <w:pPr>
        <w:pStyle w:val="Textonotapie"/>
        <w:jc w:val="both"/>
        <w:rPr>
          <w:rFonts w:ascii="Verdana" w:hAnsi="Verdana"/>
          <w:sz w:val="16"/>
          <w:szCs w:val="16"/>
        </w:rPr>
      </w:pPr>
      <w:r w:rsidRPr="006217A9">
        <w:rPr>
          <w:rStyle w:val="Refdenotaalpie"/>
          <w:rFonts w:ascii="Verdana" w:hAnsi="Verdana"/>
          <w:sz w:val="16"/>
          <w:szCs w:val="16"/>
        </w:rPr>
        <w:footnoteRef/>
      </w:r>
      <w:r w:rsidRPr="006217A9">
        <w:rPr>
          <w:rFonts w:ascii="Verdana" w:hAnsi="Verdana"/>
          <w:sz w:val="16"/>
          <w:szCs w:val="16"/>
        </w:rPr>
        <w:t xml:space="preserve"> </w:t>
      </w:r>
      <w:r w:rsidRPr="006217A9">
        <w:rPr>
          <w:rFonts w:ascii="Verdana" w:hAnsi="Verdana"/>
          <w:sz w:val="16"/>
          <w:szCs w:val="16"/>
        </w:rPr>
        <w:tab/>
        <w:t xml:space="preserve">Los representantes son los señores </w:t>
      </w:r>
      <w:r w:rsidR="00845EAF" w:rsidRPr="006217A9">
        <w:rPr>
          <w:rFonts w:ascii="Verdana" w:hAnsi="Verdana"/>
          <w:sz w:val="16"/>
          <w:szCs w:val="16"/>
        </w:rPr>
        <w:t>Fabián Sánchez Matus, Javier Cruz Angulo Nobara y José Antonio Caballero Juárez</w:t>
      </w:r>
      <w:r w:rsidRPr="006217A9">
        <w:rPr>
          <w:rFonts w:ascii="Verdana" w:hAnsi="Verdana"/>
          <w:sz w:val="16"/>
          <w:szCs w:val="16"/>
        </w:rPr>
        <w:t>.</w:t>
      </w:r>
    </w:p>
  </w:footnote>
  <w:footnote w:id="6">
    <w:p w14:paraId="59C2C3E0" w14:textId="77777777" w:rsidR="00DA4805" w:rsidRPr="006217A9" w:rsidRDefault="004D4BE7" w:rsidP="004D4BE7">
      <w:pPr>
        <w:pStyle w:val="Textonotapie"/>
        <w:jc w:val="both"/>
        <w:rPr>
          <w:rFonts w:ascii="Verdana" w:hAnsi="Verdana"/>
          <w:sz w:val="16"/>
          <w:szCs w:val="16"/>
        </w:rPr>
      </w:pPr>
      <w:r w:rsidRPr="006217A9">
        <w:rPr>
          <w:rStyle w:val="Refdenotaalpie"/>
          <w:rFonts w:ascii="Verdana" w:hAnsi="Verdana"/>
          <w:sz w:val="16"/>
          <w:szCs w:val="16"/>
        </w:rPr>
        <w:footnoteRef/>
      </w:r>
      <w:r w:rsidRPr="006217A9">
        <w:rPr>
          <w:rFonts w:ascii="Verdana" w:hAnsi="Verdana"/>
          <w:sz w:val="16"/>
          <w:szCs w:val="16"/>
        </w:rPr>
        <w:t xml:space="preserve"> </w:t>
      </w:r>
      <w:r w:rsidRPr="006217A9">
        <w:rPr>
          <w:rFonts w:ascii="Verdana" w:hAnsi="Verdana"/>
          <w:sz w:val="16"/>
          <w:szCs w:val="16"/>
        </w:rPr>
        <w:tab/>
        <w:t>Facultad que además se desprende de lo dispuesto en los artículos 33, 62.1, 62.3 y 65 de la Convención Americana sobre Derechos Humanos y 30 de su Estatuto y se encuentra regulada en el artículo 69 de su Reglamento.</w:t>
      </w:r>
    </w:p>
  </w:footnote>
  <w:footnote w:id="7">
    <w:p w14:paraId="1FE14D61" w14:textId="08DD201C" w:rsidR="00DA4805" w:rsidRPr="006217A9" w:rsidRDefault="004D4BE7" w:rsidP="004D4BE7">
      <w:pPr>
        <w:pStyle w:val="Textonotapie"/>
        <w:jc w:val="both"/>
        <w:rPr>
          <w:rFonts w:ascii="Verdana" w:hAnsi="Verdana"/>
          <w:sz w:val="16"/>
          <w:szCs w:val="16"/>
        </w:rPr>
      </w:pPr>
      <w:r w:rsidRPr="006217A9">
        <w:rPr>
          <w:rStyle w:val="Refdenotaalpie"/>
          <w:rFonts w:ascii="Verdana" w:hAnsi="Verdana"/>
          <w:sz w:val="16"/>
          <w:szCs w:val="16"/>
        </w:rPr>
        <w:footnoteRef/>
      </w:r>
      <w:r w:rsidRPr="006217A9">
        <w:rPr>
          <w:rFonts w:ascii="Verdana" w:hAnsi="Verdana"/>
          <w:sz w:val="16"/>
          <w:szCs w:val="16"/>
        </w:rPr>
        <w:t xml:space="preserve"> </w:t>
      </w:r>
      <w:r w:rsidRPr="006217A9">
        <w:rPr>
          <w:rFonts w:ascii="Verdana" w:hAnsi="Verdana"/>
          <w:sz w:val="16"/>
          <w:szCs w:val="16"/>
        </w:rPr>
        <w:tab/>
      </w:r>
      <w:r w:rsidRPr="006217A9">
        <w:rPr>
          <w:rFonts w:ascii="Verdana" w:hAnsi="Verdana"/>
          <w:i/>
          <w:sz w:val="16"/>
          <w:szCs w:val="16"/>
        </w:rPr>
        <w:t>Cfr. Caso Cinco Pensionistas Vs. Perú. Supervisión de cumplimiento de Sentencia.</w:t>
      </w:r>
      <w:r w:rsidRPr="006217A9">
        <w:rPr>
          <w:rFonts w:ascii="Verdana" w:hAnsi="Verdana"/>
          <w:sz w:val="16"/>
          <w:szCs w:val="16"/>
        </w:rPr>
        <w:t xml:space="preserve"> Resolución de la Corte Interamericana de Derechos Humanos de 17 de noviembre de 2004, Considerando 5, y </w:t>
      </w:r>
      <w:r w:rsidR="00EF2CD2" w:rsidRPr="006217A9">
        <w:rPr>
          <w:rFonts w:ascii="Verdana" w:hAnsi="Verdana"/>
          <w:i/>
          <w:sz w:val="16"/>
          <w:szCs w:val="16"/>
        </w:rPr>
        <w:t xml:space="preserve">Caso </w:t>
      </w:r>
      <w:r w:rsidR="005D23F3">
        <w:rPr>
          <w:rFonts w:ascii="Verdana" w:hAnsi="Verdana"/>
          <w:i/>
          <w:sz w:val="16"/>
          <w:szCs w:val="16"/>
        </w:rPr>
        <w:t>Juan Humberto Sánchez</w:t>
      </w:r>
      <w:r w:rsidR="005D23F3" w:rsidRPr="006217A9">
        <w:rPr>
          <w:rFonts w:ascii="Verdana" w:hAnsi="Verdana"/>
          <w:i/>
          <w:sz w:val="16"/>
          <w:szCs w:val="16"/>
        </w:rPr>
        <w:t xml:space="preserve"> </w:t>
      </w:r>
      <w:r w:rsidR="00EF2CD2" w:rsidRPr="006217A9">
        <w:rPr>
          <w:rFonts w:ascii="Verdana" w:hAnsi="Verdana"/>
          <w:i/>
          <w:sz w:val="16"/>
          <w:szCs w:val="16"/>
        </w:rPr>
        <w:t xml:space="preserve">Vs. </w:t>
      </w:r>
      <w:r w:rsidR="005D23F3">
        <w:rPr>
          <w:rFonts w:ascii="Verdana" w:hAnsi="Verdana"/>
          <w:i/>
          <w:sz w:val="16"/>
          <w:szCs w:val="16"/>
        </w:rPr>
        <w:t>Honduras</w:t>
      </w:r>
      <w:r w:rsidR="00EF2CD2" w:rsidRPr="006217A9">
        <w:rPr>
          <w:rFonts w:ascii="Verdana" w:hAnsi="Verdana"/>
          <w:i/>
          <w:sz w:val="16"/>
          <w:szCs w:val="16"/>
        </w:rPr>
        <w:t>. Supervisión de Cumplimiento de Sentencia</w:t>
      </w:r>
      <w:r w:rsidR="00EF2CD2" w:rsidRPr="006217A9">
        <w:rPr>
          <w:rFonts w:ascii="Verdana" w:hAnsi="Verdana"/>
          <w:sz w:val="16"/>
          <w:szCs w:val="16"/>
        </w:rPr>
        <w:t xml:space="preserve">. Resolución de la Corte Interamericana de Derechos Humanos de </w:t>
      </w:r>
      <w:r w:rsidR="005D23F3">
        <w:rPr>
          <w:rFonts w:ascii="Verdana" w:hAnsi="Verdana"/>
          <w:sz w:val="16"/>
          <w:szCs w:val="16"/>
        </w:rPr>
        <w:t>21</w:t>
      </w:r>
      <w:r w:rsidR="005D23F3" w:rsidRPr="006217A9">
        <w:rPr>
          <w:rFonts w:ascii="Verdana" w:hAnsi="Verdana"/>
          <w:sz w:val="16"/>
          <w:szCs w:val="16"/>
        </w:rPr>
        <w:t xml:space="preserve"> </w:t>
      </w:r>
      <w:r w:rsidR="00EF2CD2" w:rsidRPr="006217A9">
        <w:rPr>
          <w:rFonts w:ascii="Verdana" w:hAnsi="Verdana"/>
          <w:sz w:val="16"/>
          <w:szCs w:val="16"/>
        </w:rPr>
        <w:t xml:space="preserve">de </w:t>
      </w:r>
      <w:r w:rsidR="005D23F3">
        <w:rPr>
          <w:rFonts w:ascii="Verdana" w:hAnsi="Verdana"/>
          <w:sz w:val="16"/>
          <w:szCs w:val="16"/>
        </w:rPr>
        <w:t>junio</w:t>
      </w:r>
      <w:r w:rsidR="005D23F3" w:rsidRPr="006217A9">
        <w:rPr>
          <w:rFonts w:ascii="Verdana" w:hAnsi="Verdana"/>
          <w:sz w:val="16"/>
          <w:szCs w:val="16"/>
        </w:rPr>
        <w:t xml:space="preserve"> </w:t>
      </w:r>
      <w:r w:rsidR="00EF2CD2" w:rsidRPr="006217A9">
        <w:rPr>
          <w:rFonts w:ascii="Verdana" w:hAnsi="Verdana"/>
          <w:sz w:val="16"/>
          <w:szCs w:val="16"/>
        </w:rPr>
        <w:t>de 2021</w:t>
      </w:r>
      <w:r w:rsidRPr="006217A9">
        <w:rPr>
          <w:rFonts w:ascii="Verdana" w:hAnsi="Verdana"/>
          <w:sz w:val="16"/>
          <w:szCs w:val="16"/>
        </w:rPr>
        <w:t xml:space="preserve">, Considerando 2. </w:t>
      </w:r>
    </w:p>
  </w:footnote>
  <w:footnote w:id="8">
    <w:p w14:paraId="21625663" w14:textId="3B2BDF28" w:rsidR="004D4BE7" w:rsidRPr="006217A9" w:rsidRDefault="004D4BE7" w:rsidP="004D4BE7">
      <w:pPr>
        <w:pStyle w:val="Textonotapie"/>
        <w:jc w:val="both"/>
        <w:rPr>
          <w:rFonts w:ascii="Verdana" w:hAnsi="Verdana"/>
          <w:sz w:val="16"/>
          <w:szCs w:val="16"/>
        </w:rPr>
      </w:pPr>
      <w:r w:rsidRPr="006217A9">
        <w:rPr>
          <w:rStyle w:val="Refdenotaalpie"/>
          <w:rFonts w:ascii="Verdana" w:hAnsi="Verdana"/>
          <w:sz w:val="16"/>
          <w:szCs w:val="16"/>
        </w:rPr>
        <w:footnoteRef/>
      </w:r>
      <w:r w:rsidRPr="006217A9">
        <w:rPr>
          <w:rFonts w:ascii="Verdana" w:hAnsi="Verdana"/>
          <w:sz w:val="16"/>
          <w:szCs w:val="16"/>
        </w:rPr>
        <w:t xml:space="preserve"> </w:t>
      </w:r>
      <w:r w:rsidRPr="006217A9">
        <w:rPr>
          <w:rFonts w:ascii="Verdana" w:hAnsi="Verdana"/>
          <w:sz w:val="16"/>
          <w:szCs w:val="16"/>
        </w:rPr>
        <w:tab/>
      </w:r>
      <w:r w:rsidRPr="006217A9">
        <w:rPr>
          <w:rFonts w:ascii="Verdana" w:hAnsi="Verdana"/>
          <w:i/>
          <w:sz w:val="16"/>
          <w:szCs w:val="16"/>
        </w:rPr>
        <w:t>Cfr. Caso Ivcher Bronstein Vs. Perú. Competencia.</w:t>
      </w:r>
      <w:r w:rsidRPr="006217A9">
        <w:rPr>
          <w:rFonts w:ascii="Verdana" w:hAnsi="Verdana"/>
          <w:sz w:val="16"/>
          <w:szCs w:val="16"/>
        </w:rPr>
        <w:t xml:space="preserve"> Sentencia de la Corte Interamericana de Derechos Humanos de 24 de septiembre de 1999. Serie C No. 54, párr. 37, y </w:t>
      </w:r>
      <w:r w:rsidR="00EF2CD2" w:rsidRPr="006217A9">
        <w:rPr>
          <w:rFonts w:ascii="Verdana" w:hAnsi="Verdana"/>
          <w:i/>
          <w:sz w:val="16"/>
          <w:szCs w:val="16"/>
        </w:rPr>
        <w:t xml:space="preserve">Caso </w:t>
      </w:r>
      <w:r w:rsidR="005D23F3">
        <w:rPr>
          <w:rFonts w:ascii="Verdana" w:hAnsi="Verdana"/>
          <w:i/>
          <w:sz w:val="16"/>
          <w:szCs w:val="16"/>
        </w:rPr>
        <w:t>Juan Humberto Sánchez</w:t>
      </w:r>
      <w:r w:rsidR="005D23F3" w:rsidRPr="006217A9">
        <w:rPr>
          <w:rFonts w:ascii="Verdana" w:hAnsi="Verdana"/>
          <w:i/>
          <w:sz w:val="16"/>
          <w:szCs w:val="16"/>
        </w:rPr>
        <w:t xml:space="preserve"> </w:t>
      </w:r>
      <w:r w:rsidR="00EF2CD2" w:rsidRPr="006217A9">
        <w:rPr>
          <w:rFonts w:ascii="Verdana" w:hAnsi="Verdana"/>
          <w:i/>
          <w:sz w:val="16"/>
          <w:szCs w:val="16"/>
        </w:rPr>
        <w:t xml:space="preserve">Vs. </w:t>
      </w:r>
      <w:r w:rsidR="005D23F3">
        <w:rPr>
          <w:rFonts w:ascii="Verdana" w:hAnsi="Verdana"/>
          <w:i/>
          <w:sz w:val="16"/>
          <w:szCs w:val="16"/>
        </w:rPr>
        <w:t>Honduras</w:t>
      </w:r>
      <w:r w:rsidR="00EF2CD2" w:rsidRPr="006217A9">
        <w:rPr>
          <w:rFonts w:ascii="Verdana" w:hAnsi="Verdana"/>
          <w:sz w:val="16"/>
          <w:szCs w:val="16"/>
        </w:rPr>
        <w:t xml:space="preserve">, </w:t>
      </w:r>
      <w:r w:rsidR="00DB1900" w:rsidRPr="006217A9">
        <w:rPr>
          <w:rFonts w:ascii="Verdana" w:hAnsi="Verdana"/>
          <w:i/>
          <w:sz w:val="16"/>
          <w:szCs w:val="16"/>
        </w:rPr>
        <w:t xml:space="preserve">supra </w:t>
      </w:r>
      <w:r w:rsidR="00DB1900" w:rsidRPr="006217A9">
        <w:rPr>
          <w:rFonts w:ascii="Verdana" w:hAnsi="Verdana"/>
          <w:sz w:val="16"/>
          <w:szCs w:val="16"/>
        </w:rPr>
        <w:t xml:space="preserve">nota </w:t>
      </w:r>
      <w:r w:rsidR="001A1190">
        <w:rPr>
          <w:rFonts w:ascii="Verdana" w:hAnsi="Verdana"/>
          <w:sz w:val="16"/>
          <w:szCs w:val="16"/>
        </w:rPr>
        <w:t>7</w:t>
      </w:r>
      <w:r w:rsidR="00DB1900" w:rsidRPr="006217A9">
        <w:rPr>
          <w:rFonts w:ascii="Verdana" w:hAnsi="Verdana"/>
          <w:sz w:val="16"/>
          <w:szCs w:val="16"/>
        </w:rPr>
        <w:t>,</w:t>
      </w:r>
      <w:r w:rsidR="00DB1900" w:rsidRPr="006217A9">
        <w:rPr>
          <w:rFonts w:ascii="Verdana" w:hAnsi="Verdana"/>
          <w:i/>
          <w:sz w:val="16"/>
          <w:szCs w:val="16"/>
        </w:rPr>
        <w:t xml:space="preserve"> </w:t>
      </w:r>
      <w:r w:rsidR="00EF2CD2" w:rsidRPr="006217A9">
        <w:rPr>
          <w:rFonts w:ascii="Verdana" w:hAnsi="Verdana"/>
          <w:sz w:val="16"/>
          <w:szCs w:val="16"/>
        </w:rPr>
        <w:t xml:space="preserve">Considerando 2. </w:t>
      </w:r>
    </w:p>
  </w:footnote>
  <w:footnote w:id="9">
    <w:p w14:paraId="75B0E64C" w14:textId="0816393F" w:rsidR="00DC1862" w:rsidRPr="00DC1862" w:rsidRDefault="00DC1862" w:rsidP="00DC1862">
      <w:pPr>
        <w:pStyle w:val="Textonotapie"/>
        <w:jc w:val="both"/>
        <w:rPr>
          <w:rFonts w:ascii="Verdana" w:hAnsi="Verdana"/>
          <w:sz w:val="16"/>
          <w:lang w:val="es-ES"/>
        </w:rPr>
      </w:pPr>
      <w:r>
        <w:rPr>
          <w:rStyle w:val="Refdenotaalpie"/>
        </w:rPr>
        <w:footnoteRef/>
      </w:r>
      <w:r>
        <w:t xml:space="preserve"> </w:t>
      </w:r>
      <w:r>
        <w:tab/>
      </w:r>
      <w:r w:rsidRPr="00DC1862">
        <w:rPr>
          <w:rFonts w:ascii="Verdana" w:hAnsi="Verdana"/>
          <w:sz w:val="16"/>
          <w:lang w:val="es-ES"/>
        </w:rPr>
        <w:t xml:space="preserve">El Estado debe presentar el informe a más tardar el 9 de noviembre de 2021. </w:t>
      </w:r>
    </w:p>
  </w:footnote>
  <w:footnote w:id="10">
    <w:p w14:paraId="040E2CE4" w14:textId="330F2318" w:rsidR="008E247C" w:rsidRPr="006217A9" w:rsidRDefault="008E247C" w:rsidP="008E247C">
      <w:pPr>
        <w:pStyle w:val="Textonotapie"/>
        <w:jc w:val="both"/>
        <w:rPr>
          <w:rFonts w:ascii="Verdana" w:hAnsi="Verdana"/>
          <w:sz w:val="16"/>
          <w:szCs w:val="16"/>
        </w:rPr>
      </w:pPr>
      <w:r w:rsidRPr="006217A9">
        <w:rPr>
          <w:rStyle w:val="Refdenotaalpie"/>
          <w:rFonts w:ascii="Verdana" w:hAnsi="Verdana"/>
          <w:sz w:val="16"/>
          <w:szCs w:val="16"/>
        </w:rPr>
        <w:footnoteRef/>
      </w:r>
      <w:r w:rsidRPr="006217A9">
        <w:rPr>
          <w:rFonts w:ascii="Verdana" w:hAnsi="Verdana"/>
          <w:sz w:val="16"/>
          <w:szCs w:val="16"/>
        </w:rPr>
        <w:t xml:space="preserve"> </w:t>
      </w:r>
      <w:r w:rsidRPr="006217A9">
        <w:rPr>
          <w:rFonts w:ascii="Verdana" w:hAnsi="Verdana"/>
          <w:sz w:val="16"/>
          <w:szCs w:val="16"/>
        </w:rPr>
        <w:tab/>
      </w:r>
      <w:r w:rsidR="000A63C7" w:rsidRPr="006217A9">
        <w:rPr>
          <w:rFonts w:ascii="Verdana" w:hAnsi="Verdana"/>
          <w:sz w:val="16"/>
          <w:szCs w:val="16"/>
        </w:rPr>
        <w:t>Los representantes sostuvieron que no tenían observaciones con respecto a este punto de la Sentencia</w:t>
      </w:r>
      <w:r w:rsidRPr="006217A9">
        <w:rPr>
          <w:rFonts w:ascii="Verdana" w:hAnsi="Verdana"/>
          <w:sz w:val="16"/>
          <w:szCs w:val="16"/>
        </w:rPr>
        <w:t>.</w:t>
      </w:r>
      <w:r w:rsidR="000A63C7" w:rsidRPr="006217A9">
        <w:rPr>
          <w:rFonts w:ascii="Verdana" w:hAnsi="Verdana"/>
          <w:sz w:val="16"/>
          <w:szCs w:val="16"/>
        </w:rPr>
        <w:t xml:space="preserve"> La Comisión no formuló observaciones respecto a la referida medida de reparación.</w:t>
      </w:r>
    </w:p>
  </w:footnote>
  <w:footnote w:id="11">
    <w:p w14:paraId="2EDCD895" w14:textId="03065D2E" w:rsidR="007143B6" w:rsidRPr="006217A9" w:rsidRDefault="007143B6" w:rsidP="007143B6">
      <w:pPr>
        <w:pStyle w:val="Textonotapie"/>
        <w:jc w:val="both"/>
        <w:rPr>
          <w:rFonts w:ascii="Verdana" w:hAnsi="Verdana"/>
          <w:sz w:val="16"/>
          <w:szCs w:val="16"/>
        </w:rPr>
      </w:pPr>
      <w:r w:rsidRPr="006217A9">
        <w:rPr>
          <w:rStyle w:val="Refdenotaalpie"/>
          <w:rFonts w:ascii="Verdana" w:hAnsi="Verdana"/>
          <w:sz w:val="16"/>
          <w:szCs w:val="16"/>
        </w:rPr>
        <w:footnoteRef/>
      </w:r>
      <w:r w:rsidRPr="006217A9">
        <w:rPr>
          <w:rFonts w:ascii="Verdana" w:hAnsi="Verdana"/>
          <w:sz w:val="16"/>
          <w:szCs w:val="16"/>
        </w:rPr>
        <w:t xml:space="preserve"> </w:t>
      </w:r>
      <w:r w:rsidRPr="006217A9">
        <w:rPr>
          <w:rFonts w:ascii="Verdana" w:hAnsi="Verdana"/>
          <w:sz w:val="16"/>
          <w:szCs w:val="16"/>
        </w:rPr>
        <w:tab/>
      </w:r>
      <w:r w:rsidRPr="006217A9">
        <w:rPr>
          <w:rFonts w:ascii="Verdana" w:hAnsi="Verdana"/>
          <w:i/>
          <w:sz w:val="16"/>
          <w:szCs w:val="16"/>
        </w:rPr>
        <w:t>Cfr.</w:t>
      </w:r>
      <w:r w:rsidRPr="006217A9">
        <w:rPr>
          <w:rFonts w:ascii="Verdana" w:hAnsi="Verdana"/>
          <w:sz w:val="16"/>
          <w:szCs w:val="16"/>
        </w:rPr>
        <w:t xml:space="preserve"> Copia de la publicación del resumen oficial de la Sentencia en </w:t>
      </w:r>
      <w:r w:rsidR="006F6CE0" w:rsidRPr="006217A9">
        <w:rPr>
          <w:rFonts w:ascii="Verdana" w:hAnsi="Verdana"/>
          <w:sz w:val="16"/>
          <w:szCs w:val="16"/>
        </w:rPr>
        <w:t xml:space="preserve">el </w:t>
      </w:r>
      <w:r w:rsidR="005F2FDE" w:rsidRPr="006217A9">
        <w:rPr>
          <w:rFonts w:ascii="Verdana" w:hAnsi="Verdana"/>
          <w:sz w:val="16"/>
          <w:szCs w:val="16"/>
        </w:rPr>
        <w:t xml:space="preserve">Diario Oficial </w:t>
      </w:r>
      <w:r w:rsidR="006217A9" w:rsidRPr="006217A9">
        <w:rPr>
          <w:rFonts w:ascii="Verdana" w:hAnsi="Verdana"/>
          <w:sz w:val="16"/>
          <w:szCs w:val="16"/>
        </w:rPr>
        <w:t xml:space="preserve">No. 42858 </w:t>
      </w:r>
      <w:r w:rsidR="006C0961" w:rsidRPr="006217A9">
        <w:rPr>
          <w:rFonts w:ascii="Verdana" w:hAnsi="Verdana"/>
          <w:sz w:val="16"/>
          <w:szCs w:val="16"/>
        </w:rPr>
        <w:t xml:space="preserve">de 19 </w:t>
      </w:r>
      <w:r w:rsidR="006217A9" w:rsidRPr="006217A9">
        <w:rPr>
          <w:rFonts w:ascii="Verdana" w:hAnsi="Verdana"/>
          <w:sz w:val="16"/>
          <w:szCs w:val="16"/>
        </w:rPr>
        <w:t>d</w:t>
      </w:r>
      <w:r w:rsidR="006C0961" w:rsidRPr="006217A9">
        <w:rPr>
          <w:rFonts w:ascii="Verdana" w:hAnsi="Verdana"/>
          <w:sz w:val="16"/>
          <w:szCs w:val="16"/>
        </w:rPr>
        <w:t>e enero de 2021</w:t>
      </w:r>
      <w:r w:rsidR="005F2FDE" w:rsidRPr="006217A9">
        <w:rPr>
          <w:rFonts w:ascii="Verdana" w:hAnsi="Verdana"/>
          <w:sz w:val="16"/>
          <w:szCs w:val="16"/>
        </w:rPr>
        <w:t>, en la Sección I, Normas Generales</w:t>
      </w:r>
      <w:r w:rsidRPr="006217A9">
        <w:rPr>
          <w:rFonts w:ascii="Verdana" w:hAnsi="Verdana"/>
          <w:sz w:val="16"/>
          <w:szCs w:val="16"/>
        </w:rPr>
        <w:t xml:space="preserve">, disponible en: </w:t>
      </w:r>
      <w:r w:rsidR="005F2FDE" w:rsidRPr="006217A9">
        <w:rPr>
          <w:rFonts w:ascii="Verdana" w:hAnsi="Verdana"/>
          <w:sz w:val="16"/>
          <w:szCs w:val="16"/>
        </w:rPr>
        <w:t>https://www.diariooficial.interior.gob.cl/publicaciones/2021/01/19/42858/01/1881723.pdf</w:t>
      </w:r>
      <w:r w:rsidR="009A16DD" w:rsidRPr="006217A9">
        <w:rPr>
          <w:rFonts w:ascii="Verdana" w:hAnsi="Verdana"/>
          <w:sz w:val="16"/>
          <w:szCs w:val="16"/>
        </w:rPr>
        <w:t xml:space="preserve"> </w:t>
      </w:r>
      <w:r w:rsidRPr="006217A9">
        <w:rPr>
          <w:rFonts w:ascii="Verdana" w:hAnsi="Verdana"/>
          <w:sz w:val="16"/>
          <w:szCs w:val="16"/>
        </w:rPr>
        <w:t xml:space="preserve">(anexo al informe estatal de </w:t>
      </w:r>
      <w:r w:rsidR="005F2FDE" w:rsidRPr="006217A9">
        <w:rPr>
          <w:rFonts w:ascii="Verdana" w:hAnsi="Verdana"/>
          <w:sz w:val="16"/>
          <w:szCs w:val="16"/>
        </w:rPr>
        <w:t>6 de mayo de 2021</w:t>
      </w:r>
      <w:r w:rsidRPr="006217A9">
        <w:rPr>
          <w:rFonts w:ascii="Verdana" w:hAnsi="Verdana"/>
          <w:sz w:val="16"/>
          <w:szCs w:val="16"/>
        </w:rPr>
        <w:t>).</w:t>
      </w:r>
      <w:r w:rsidR="008A1D93" w:rsidRPr="006217A9">
        <w:rPr>
          <w:rFonts w:ascii="Verdana" w:hAnsi="Verdana"/>
          <w:sz w:val="16"/>
          <w:szCs w:val="16"/>
        </w:rPr>
        <w:t xml:space="preserve"> </w:t>
      </w:r>
    </w:p>
  </w:footnote>
  <w:footnote w:id="12">
    <w:p w14:paraId="696D96FB" w14:textId="38E35D71" w:rsidR="008A1D93" w:rsidRPr="006217A9" w:rsidRDefault="008A1D93" w:rsidP="008A1D93">
      <w:pPr>
        <w:pStyle w:val="Textonotapie"/>
        <w:jc w:val="both"/>
        <w:rPr>
          <w:rFonts w:ascii="Verdana" w:hAnsi="Verdana"/>
          <w:sz w:val="16"/>
          <w:szCs w:val="16"/>
        </w:rPr>
      </w:pPr>
      <w:r w:rsidRPr="006217A9">
        <w:rPr>
          <w:rStyle w:val="Refdenotaalpie"/>
          <w:rFonts w:ascii="Verdana" w:hAnsi="Verdana"/>
          <w:sz w:val="16"/>
          <w:szCs w:val="16"/>
        </w:rPr>
        <w:footnoteRef/>
      </w:r>
      <w:r w:rsidRPr="006217A9">
        <w:rPr>
          <w:rFonts w:ascii="Verdana" w:hAnsi="Verdana"/>
          <w:sz w:val="16"/>
          <w:szCs w:val="16"/>
        </w:rPr>
        <w:t xml:space="preserve"> </w:t>
      </w:r>
      <w:r w:rsidRPr="006217A9">
        <w:rPr>
          <w:rFonts w:ascii="Verdana" w:hAnsi="Verdana"/>
          <w:sz w:val="16"/>
          <w:szCs w:val="16"/>
        </w:rPr>
        <w:tab/>
      </w:r>
      <w:r w:rsidRPr="006217A9">
        <w:rPr>
          <w:rFonts w:ascii="Verdana" w:hAnsi="Verdana"/>
          <w:i/>
          <w:sz w:val="16"/>
          <w:szCs w:val="16"/>
        </w:rPr>
        <w:t>Cfr.</w:t>
      </w:r>
      <w:r w:rsidRPr="006217A9">
        <w:rPr>
          <w:rFonts w:ascii="Verdana" w:hAnsi="Verdana"/>
          <w:sz w:val="16"/>
          <w:szCs w:val="16"/>
        </w:rPr>
        <w:t xml:space="preserve"> Copia de la publicación del resumen oficial de la Sentencia en </w:t>
      </w:r>
      <w:r w:rsidR="006F6CE0" w:rsidRPr="006217A9">
        <w:rPr>
          <w:rFonts w:ascii="Verdana" w:hAnsi="Verdana"/>
          <w:sz w:val="16"/>
          <w:szCs w:val="16"/>
        </w:rPr>
        <w:t xml:space="preserve">el </w:t>
      </w:r>
      <w:r w:rsidRPr="006217A9">
        <w:rPr>
          <w:rFonts w:ascii="Verdana" w:hAnsi="Verdana"/>
          <w:sz w:val="16"/>
          <w:szCs w:val="16"/>
        </w:rPr>
        <w:t>diario “</w:t>
      </w:r>
      <w:r w:rsidR="006C0961" w:rsidRPr="006217A9">
        <w:rPr>
          <w:rFonts w:ascii="Verdana" w:hAnsi="Verdana"/>
          <w:sz w:val="16"/>
          <w:szCs w:val="16"/>
        </w:rPr>
        <w:t>La Tercera</w:t>
      </w:r>
      <w:r w:rsidRPr="006217A9">
        <w:rPr>
          <w:rFonts w:ascii="Verdana" w:hAnsi="Verdana"/>
          <w:sz w:val="16"/>
          <w:szCs w:val="16"/>
        </w:rPr>
        <w:t xml:space="preserve">” de </w:t>
      </w:r>
      <w:r w:rsidR="006C0961" w:rsidRPr="006217A9">
        <w:rPr>
          <w:rFonts w:ascii="Verdana" w:hAnsi="Verdana"/>
          <w:sz w:val="16"/>
          <w:szCs w:val="16"/>
        </w:rPr>
        <w:t>1</w:t>
      </w:r>
      <w:r w:rsidRPr="006217A9">
        <w:rPr>
          <w:rFonts w:ascii="Verdana" w:hAnsi="Verdana"/>
          <w:sz w:val="16"/>
          <w:szCs w:val="16"/>
        </w:rPr>
        <w:t xml:space="preserve"> de </w:t>
      </w:r>
      <w:r w:rsidR="006C0961" w:rsidRPr="006217A9">
        <w:rPr>
          <w:rFonts w:ascii="Verdana" w:hAnsi="Verdana"/>
          <w:sz w:val="16"/>
          <w:szCs w:val="16"/>
        </w:rPr>
        <w:t>mayo</w:t>
      </w:r>
      <w:r w:rsidRPr="006217A9">
        <w:rPr>
          <w:rFonts w:ascii="Verdana" w:hAnsi="Verdana"/>
          <w:sz w:val="16"/>
          <w:szCs w:val="16"/>
        </w:rPr>
        <w:t xml:space="preserve"> de 202</w:t>
      </w:r>
      <w:r w:rsidR="006C0961" w:rsidRPr="006217A9">
        <w:rPr>
          <w:rFonts w:ascii="Verdana" w:hAnsi="Verdana"/>
          <w:sz w:val="16"/>
          <w:szCs w:val="16"/>
        </w:rPr>
        <w:t>1</w:t>
      </w:r>
      <w:r w:rsidRPr="006217A9">
        <w:rPr>
          <w:rFonts w:ascii="Verdana" w:hAnsi="Verdana"/>
          <w:sz w:val="16"/>
          <w:szCs w:val="16"/>
        </w:rPr>
        <w:t xml:space="preserve"> (anexo</w:t>
      </w:r>
      <w:r w:rsidR="009431BC">
        <w:rPr>
          <w:rFonts w:ascii="Verdana" w:hAnsi="Verdana"/>
          <w:sz w:val="16"/>
          <w:szCs w:val="16"/>
        </w:rPr>
        <w:t>s</w:t>
      </w:r>
      <w:r w:rsidRPr="006217A9">
        <w:rPr>
          <w:rFonts w:ascii="Verdana" w:hAnsi="Verdana"/>
          <w:sz w:val="16"/>
          <w:szCs w:val="16"/>
        </w:rPr>
        <w:t xml:space="preserve"> a</w:t>
      </w:r>
      <w:r w:rsidR="009431BC">
        <w:rPr>
          <w:rFonts w:ascii="Verdana" w:hAnsi="Verdana"/>
          <w:sz w:val="16"/>
          <w:szCs w:val="16"/>
        </w:rPr>
        <w:t xml:space="preserve"> </w:t>
      </w:r>
      <w:r w:rsidRPr="006217A9">
        <w:rPr>
          <w:rFonts w:ascii="Verdana" w:hAnsi="Verdana"/>
          <w:sz w:val="16"/>
          <w:szCs w:val="16"/>
        </w:rPr>
        <w:t>l</w:t>
      </w:r>
      <w:r w:rsidR="009431BC">
        <w:rPr>
          <w:rFonts w:ascii="Verdana" w:hAnsi="Verdana"/>
          <w:sz w:val="16"/>
          <w:szCs w:val="16"/>
        </w:rPr>
        <w:t>os</w:t>
      </w:r>
      <w:r w:rsidRPr="006217A9">
        <w:rPr>
          <w:rFonts w:ascii="Verdana" w:hAnsi="Verdana"/>
          <w:sz w:val="16"/>
          <w:szCs w:val="16"/>
        </w:rPr>
        <w:t xml:space="preserve"> informe</w:t>
      </w:r>
      <w:r w:rsidR="009431BC">
        <w:rPr>
          <w:rFonts w:ascii="Verdana" w:hAnsi="Verdana"/>
          <w:sz w:val="16"/>
          <w:szCs w:val="16"/>
        </w:rPr>
        <w:t>s</w:t>
      </w:r>
      <w:r w:rsidRPr="006217A9">
        <w:rPr>
          <w:rFonts w:ascii="Verdana" w:hAnsi="Verdana"/>
          <w:sz w:val="16"/>
          <w:szCs w:val="16"/>
        </w:rPr>
        <w:t xml:space="preserve"> estatal</w:t>
      </w:r>
      <w:r w:rsidR="009431BC">
        <w:rPr>
          <w:rFonts w:ascii="Verdana" w:hAnsi="Verdana"/>
          <w:sz w:val="16"/>
          <w:szCs w:val="16"/>
        </w:rPr>
        <w:t>es</w:t>
      </w:r>
      <w:r w:rsidRPr="006217A9">
        <w:rPr>
          <w:rFonts w:ascii="Verdana" w:hAnsi="Verdana"/>
          <w:sz w:val="16"/>
          <w:szCs w:val="16"/>
        </w:rPr>
        <w:t xml:space="preserve"> de </w:t>
      </w:r>
      <w:r w:rsidR="006C0961" w:rsidRPr="006217A9">
        <w:rPr>
          <w:rFonts w:ascii="Verdana" w:hAnsi="Verdana"/>
          <w:sz w:val="16"/>
          <w:szCs w:val="16"/>
        </w:rPr>
        <w:t xml:space="preserve">6 </w:t>
      </w:r>
      <w:r w:rsidR="009431BC">
        <w:rPr>
          <w:rFonts w:ascii="Verdana" w:hAnsi="Verdana"/>
          <w:sz w:val="16"/>
          <w:szCs w:val="16"/>
        </w:rPr>
        <w:t xml:space="preserve">y 27 </w:t>
      </w:r>
      <w:r w:rsidR="006C0961" w:rsidRPr="006217A9">
        <w:rPr>
          <w:rFonts w:ascii="Verdana" w:hAnsi="Verdana"/>
          <w:sz w:val="16"/>
          <w:szCs w:val="16"/>
        </w:rPr>
        <w:t xml:space="preserve">de mayo </w:t>
      </w:r>
      <w:r w:rsidRPr="006217A9">
        <w:rPr>
          <w:rFonts w:ascii="Verdana" w:hAnsi="Verdana"/>
          <w:sz w:val="16"/>
          <w:szCs w:val="16"/>
        </w:rPr>
        <w:t>de 202</w:t>
      </w:r>
      <w:r w:rsidR="006C0961" w:rsidRPr="006217A9">
        <w:rPr>
          <w:rFonts w:ascii="Verdana" w:hAnsi="Verdana"/>
          <w:sz w:val="16"/>
          <w:szCs w:val="16"/>
        </w:rPr>
        <w:t>1</w:t>
      </w:r>
      <w:r w:rsidRPr="006217A9">
        <w:rPr>
          <w:rFonts w:ascii="Verdana" w:hAnsi="Verdana"/>
          <w:sz w:val="16"/>
          <w:szCs w:val="16"/>
        </w:rPr>
        <w:t>).</w:t>
      </w:r>
    </w:p>
  </w:footnote>
  <w:footnote w:id="13">
    <w:p w14:paraId="415A5FE5" w14:textId="2C624402" w:rsidR="000A63C7" w:rsidRPr="006217A9" w:rsidRDefault="000A63C7" w:rsidP="000A63C7">
      <w:pPr>
        <w:pStyle w:val="Textonotapie"/>
        <w:jc w:val="both"/>
        <w:rPr>
          <w:rFonts w:ascii="Verdana" w:hAnsi="Verdana"/>
          <w:sz w:val="16"/>
          <w:szCs w:val="16"/>
        </w:rPr>
      </w:pPr>
      <w:r w:rsidRPr="006217A9">
        <w:rPr>
          <w:rStyle w:val="Refdenotaalpie"/>
          <w:rFonts w:ascii="Verdana" w:hAnsi="Verdana"/>
          <w:sz w:val="16"/>
          <w:szCs w:val="16"/>
        </w:rPr>
        <w:footnoteRef/>
      </w:r>
      <w:r w:rsidRPr="006217A9">
        <w:rPr>
          <w:rFonts w:ascii="Verdana" w:hAnsi="Verdana"/>
          <w:sz w:val="16"/>
          <w:szCs w:val="16"/>
        </w:rPr>
        <w:t xml:space="preserve"> </w:t>
      </w:r>
      <w:r w:rsidRPr="006217A9">
        <w:rPr>
          <w:rFonts w:ascii="Verdana" w:hAnsi="Verdana"/>
          <w:sz w:val="16"/>
          <w:szCs w:val="16"/>
        </w:rPr>
        <w:tab/>
        <w:t xml:space="preserve">En el informe de </w:t>
      </w:r>
      <w:r w:rsidR="006C0961" w:rsidRPr="006217A9">
        <w:rPr>
          <w:rFonts w:ascii="Verdana" w:hAnsi="Verdana"/>
          <w:sz w:val="16"/>
          <w:szCs w:val="16"/>
        </w:rPr>
        <w:t>6 de mayo de 2021</w:t>
      </w:r>
      <w:r w:rsidRPr="006217A9">
        <w:rPr>
          <w:rFonts w:ascii="Verdana" w:hAnsi="Verdana"/>
          <w:sz w:val="16"/>
          <w:szCs w:val="16"/>
        </w:rPr>
        <w:t xml:space="preserve">, el Estado indicó que la publicación de la Sentencia en el sitio </w:t>
      </w:r>
      <w:r w:rsidRPr="006217A9">
        <w:rPr>
          <w:rFonts w:ascii="Verdana" w:hAnsi="Verdana"/>
          <w:i/>
          <w:sz w:val="16"/>
          <w:szCs w:val="16"/>
        </w:rPr>
        <w:t>web</w:t>
      </w:r>
      <w:r w:rsidRPr="006217A9">
        <w:rPr>
          <w:rFonts w:ascii="Verdana" w:hAnsi="Verdana"/>
          <w:sz w:val="16"/>
          <w:szCs w:val="16"/>
        </w:rPr>
        <w:t xml:space="preserve"> oficial del </w:t>
      </w:r>
      <w:r w:rsidR="006C0961" w:rsidRPr="006217A9">
        <w:rPr>
          <w:rFonts w:ascii="Verdana" w:hAnsi="Verdana"/>
          <w:sz w:val="16"/>
          <w:szCs w:val="16"/>
        </w:rPr>
        <w:t>Poder Judicial</w:t>
      </w:r>
      <w:r w:rsidRPr="006217A9">
        <w:rPr>
          <w:rFonts w:ascii="Verdana" w:hAnsi="Verdana"/>
          <w:sz w:val="16"/>
          <w:szCs w:val="16"/>
        </w:rPr>
        <w:t xml:space="preserve"> se encuentra disponible en el siguiente enlace: </w:t>
      </w:r>
      <w:r w:rsidR="006C0961" w:rsidRPr="006217A9">
        <w:rPr>
          <w:rFonts w:ascii="Verdana" w:hAnsi="Verdana"/>
          <w:sz w:val="16"/>
          <w:szCs w:val="16"/>
        </w:rPr>
        <w:t>https://www.pjud.cl/docs/download/7117</w:t>
      </w:r>
      <w:r w:rsidRPr="006217A9">
        <w:rPr>
          <w:rFonts w:ascii="Verdana" w:hAnsi="Verdana"/>
          <w:sz w:val="16"/>
          <w:szCs w:val="16"/>
        </w:rPr>
        <w:t xml:space="preserve">. La Corte constata que tal publicación se encuentra disponible hasta la fecha en el referido enlace (última consulta: </w:t>
      </w:r>
      <w:r w:rsidR="00390ACB">
        <w:rPr>
          <w:rFonts w:ascii="Verdana" w:hAnsi="Verdana"/>
          <w:sz w:val="16"/>
          <w:szCs w:val="16"/>
        </w:rPr>
        <w:t>31 de agosto</w:t>
      </w:r>
      <w:r w:rsidRPr="006217A9">
        <w:rPr>
          <w:rFonts w:ascii="Verdana" w:hAnsi="Verdana"/>
          <w:sz w:val="16"/>
          <w:szCs w:val="16"/>
        </w:rPr>
        <w:t xml:space="preserve"> de 2021).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25B6"/>
    <w:multiLevelType w:val="hybridMultilevel"/>
    <w:tmpl w:val="9620B0DE"/>
    <w:lvl w:ilvl="0" w:tplc="5DAE6F50">
      <w:start w:val="1"/>
      <w:numFmt w:val="decimal"/>
      <w:lvlText w:val="%1."/>
      <w:lvlJc w:val="left"/>
      <w:pPr>
        <w:ind w:left="72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88D2ED1"/>
    <w:multiLevelType w:val="hybridMultilevel"/>
    <w:tmpl w:val="993287E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0792C8D"/>
    <w:multiLevelType w:val="hybridMultilevel"/>
    <w:tmpl w:val="C68470F4"/>
    <w:lvl w:ilvl="0" w:tplc="5DAE6F50">
      <w:start w:val="1"/>
      <w:numFmt w:val="decimal"/>
      <w:lvlText w:val="%1."/>
      <w:lvlJc w:val="left"/>
      <w:pPr>
        <w:ind w:left="72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1C868A7"/>
    <w:multiLevelType w:val="hybridMultilevel"/>
    <w:tmpl w:val="CE321372"/>
    <w:lvl w:ilvl="0" w:tplc="FFEA5628">
      <w:start w:val="1"/>
      <w:numFmt w:val="decimal"/>
      <w:lvlText w:val="%1."/>
      <w:lvlJc w:val="left"/>
      <w:pPr>
        <w:ind w:left="3621" w:hanging="360"/>
      </w:pPr>
      <w:rPr>
        <w:rFonts w:ascii="Verdana" w:hAnsi="Verdana"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489E14D7"/>
    <w:multiLevelType w:val="hybridMultilevel"/>
    <w:tmpl w:val="CC6248DA"/>
    <w:lvl w:ilvl="0" w:tplc="46324B6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4575BCA"/>
    <w:multiLevelType w:val="hybridMultilevel"/>
    <w:tmpl w:val="3636140E"/>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AAE5C8A"/>
    <w:multiLevelType w:val="hybridMultilevel"/>
    <w:tmpl w:val="8A149C6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BE7"/>
    <w:rsid w:val="00050403"/>
    <w:rsid w:val="0006579F"/>
    <w:rsid w:val="00066A96"/>
    <w:rsid w:val="00080CA5"/>
    <w:rsid w:val="000A63C7"/>
    <w:rsid w:val="000B2D4B"/>
    <w:rsid w:val="000B699B"/>
    <w:rsid w:val="000B7534"/>
    <w:rsid w:val="000C0780"/>
    <w:rsid w:val="000D28D5"/>
    <w:rsid w:val="000F067F"/>
    <w:rsid w:val="00107A05"/>
    <w:rsid w:val="00122A26"/>
    <w:rsid w:val="00140C7C"/>
    <w:rsid w:val="00141AD2"/>
    <w:rsid w:val="001529F1"/>
    <w:rsid w:val="00177AF0"/>
    <w:rsid w:val="001956A4"/>
    <w:rsid w:val="001A1190"/>
    <w:rsid w:val="001B31AC"/>
    <w:rsid w:val="001E5BA4"/>
    <w:rsid w:val="001F0479"/>
    <w:rsid w:val="001F4B67"/>
    <w:rsid w:val="001F5E9F"/>
    <w:rsid w:val="00200A93"/>
    <w:rsid w:val="00203590"/>
    <w:rsid w:val="00212F2C"/>
    <w:rsid w:val="00225F5B"/>
    <w:rsid w:val="00236D73"/>
    <w:rsid w:val="00240383"/>
    <w:rsid w:val="00240B60"/>
    <w:rsid w:val="00246A5B"/>
    <w:rsid w:val="0027334D"/>
    <w:rsid w:val="0029539F"/>
    <w:rsid w:val="002A7815"/>
    <w:rsid w:val="002E6566"/>
    <w:rsid w:val="00301FE1"/>
    <w:rsid w:val="003123D8"/>
    <w:rsid w:val="00315D4C"/>
    <w:rsid w:val="003343F1"/>
    <w:rsid w:val="00381F39"/>
    <w:rsid w:val="00390ACB"/>
    <w:rsid w:val="003E0796"/>
    <w:rsid w:val="003E68B9"/>
    <w:rsid w:val="003F6C96"/>
    <w:rsid w:val="004031A5"/>
    <w:rsid w:val="00421543"/>
    <w:rsid w:val="00432EC0"/>
    <w:rsid w:val="00447674"/>
    <w:rsid w:val="00463B4C"/>
    <w:rsid w:val="00483E50"/>
    <w:rsid w:val="00485191"/>
    <w:rsid w:val="004A7D66"/>
    <w:rsid w:val="004B237D"/>
    <w:rsid w:val="004C0C59"/>
    <w:rsid w:val="004C5462"/>
    <w:rsid w:val="004D4BE7"/>
    <w:rsid w:val="004E17F4"/>
    <w:rsid w:val="004E56AB"/>
    <w:rsid w:val="004F3535"/>
    <w:rsid w:val="00544904"/>
    <w:rsid w:val="005B6384"/>
    <w:rsid w:val="005D23F3"/>
    <w:rsid w:val="005E5ACF"/>
    <w:rsid w:val="005F2FDE"/>
    <w:rsid w:val="005F3A0F"/>
    <w:rsid w:val="00604A87"/>
    <w:rsid w:val="00613DD8"/>
    <w:rsid w:val="006171D9"/>
    <w:rsid w:val="006217A9"/>
    <w:rsid w:val="00625930"/>
    <w:rsid w:val="00653425"/>
    <w:rsid w:val="00654E82"/>
    <w:rsid w:val="00671A00"/>
    <w:rsid w:val="00676F03"/>
    <w:rsid w:val="006C0961"/>
    <w:rsid w:val="006C6BA4"/>
    <w:rsid w:val="006D2C43"/>
    <w:rsid w:val="006D3E54"/>
    <w:rsid w:val="006F6CE0"/>
    <w:rsid w:val="007143B6"/>
    <w:rsid w:val="00721317"/>
    <w:rsid w:val="007272CD"/>
    <w:rsid w:val="00742BD2"/>
    <w:rsid w:val="00774626"/>
    <w:rsid w:val="007B3D61"/>
    <w:rsid w:val="007D535D"/>
    <w:rsid w:val="00806967"/>
    <w:rsid w:val="00815F89"/>
    <w:rsid w:val="008241FB"/>
    <w:rsid w:val="00845EAF"/>
    <w:rsid w:val="008A1D93"/>
    <w:rsid w:val="008A45FF"/>
    <w:rsid w:val="008E247C"/>
    <w:rsid w:val="009431BC"/>
    <w:rsid w:val="00974AA5"/>
    <w:rsid w:val="00981E4D"/>
    <w:rsid w:val="009823E4"/>
    <w:rsid w:val="009A16DD"/>
    <w:rsid w:val="009B37B0"/>
    <w:rsid w:val="009C3B92"/>
    <w:rsid w:val="009E48D5"/>
    <w:rsid w:val="009E51A5"/>
    <w:rsid w:val="009F1ED0"/>
    <w:rsid w:val="00A15D29"/>
    <w:rsid w:val="00A232C6"/>
    <w:rsid w:val="00A85FFA"/>
    <w:rsid w:val="00AA3565"/>
    <w:rsid w:val="00AB4CAA"/>
    <w:rsid w:val="00AD14C5"/>
    <w:rsid w:val="00AD44EC"/>
    <w:rsid w:val="00AE004E"/>
    <w:rsid w:val="00AF14C6"/>
    <w:rsid w:val="00B15EEC"/>
    <w:rsid w:val="00B44797"/>
    <w:rsid w:val="00B811D7"/>
    <w:rsid w:val="00B868EA"/>
    <w:rsid w:val="00BC024D"/>
    <w:rsid w:val="00BC6AF4"/>
    <w:rsid w:val="00C5720A"/>
    <w:rsid w:val="00C727C8"/>
    <w:rsid w:val="00C86E39"/>
    <w:rsid w:val="00CD0549"/>
    <w:rsid w:val="00CD10CF"/>
    <w:rsid w:val="00CE13C3"/>
    <w:rsid w:val="00D22C7E"/>
    <w:rsid w:val="00D81571"/>
    <w:rsid w:val="00DA4805"/>
    <w:rsid w:val="00DB1900"/>
    <w:rsid w:val="00DC1862"/>
    <w:rsid w:val="00DE3516"/>
    <w:rsid w:val="00DF3B59"/>
    <w:rsid w:val="00E05F9A"/>
    <w:rsid w:val="00E46611"/>
    <w:rsid w:val="00E5662D"/>
    <w:rsid w:val="00E629D6"/>
    <w:rsid w:val="00E72250"/>
    <w:rsid w:val="00E76D38"/>
    <w:rsid w:val="00EA1319"/>
    <w:rsid w:val="00EA2E84"/>
    <w:rsid w:val="00ED122A"/>
    <w:rsid w:val="00EE5FD1"/>
    <w:rsid w:val="00EF2CD2"/>
    <w:rsid w:val="00F0063F"/>
    <w:rsid w:val="00F04645"/>
    <w:rsid w:val="00F05E17"/>
    <w:rsid w:val="00F113D8"/>
    <w:rsid w:val="00F24C7B"/>
    <w:rsid w:val="00F3147C"/>
    <w:rsid w:val="00F37456"/>
    <w:rsid w:val="00F65045"/>
    <w:rsid w:val="00F710D9"/>
    <w:rsid w:val="00FC19A6"/>
    <w:rsid w:val="00FE1006"/>
    <w:rsid w:val="00FF34DE"/>
    <w:rsid w:val="00FF362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4CBCC"/>
  <w15:chartTrackingRefBased/>
  <w15:docId w15:val="{1B77111F-9526-4848-97B3-8EBD4191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34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D4BE7"/>
    <w:pPr>
      <w:spacing w:after="0" w:line="240" w:lineRule="auto"/>
      <w:ind w:left="720"/>
    </w:pPr>
    <w:rPr>
      <w:rFonts w:ascii="Calibri" w:hAnsi="Calibri" w:cs="Calibri"/>
    </w:rPr>
  </w:style>
  <w:style w:type="paragraph" w:styleId="NormalWeb">
    <w:name w:val="Normal (Web)"/>
    <w:basedOn w:val="Normal"/>
    <w:uiPriority w:val="99"/>
    <w:unhideWhenUsed/>
    <w:rsid w:val="004D4BE7"/>
    <w:pPr>
      <w:spacing w:after="0" w:line="240" w:lineRule="auto"/>
    </w:pPr>
    <w:rPr>
      <w:rFonts w:ascii="Times New Roman" w:hAnsi="Times New Roman" w:cs="Times New Roman"/>
      <w:sz w:val="24"/>
      <w:szCs w:val="24"/>
      <w:lang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w:basedOn w:val="Normal"/>
    <w:link w:val="TextonotapieCar"/>
    <w:unhideWhenUsed/>
    <w:qFormat/>
    <w:rsid w:val="004D4BE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rsid w:val="004D4BE7"/>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unhideWhenUsed/>
    <w:qFormat/>
    <w:rsid w:val="004D4BE7"/>
    <w:rPr>
      <w:vertAlign w:val="superscript"/>
    </w:rPr>
  </w:style>
  <w:style w:type="character" w:styleId="Hipervnculo">
    <w:name w:val="Hyperlink"/>
    <w:basedOn w:val="Fuentedeprrafopredeter"/>
    <w:uiPriority w:val="99"/>
    <w:unhideWhenUsed/>
    <w:rsid w:val="004D4BE7"/>
    <w:rPr>
      <w:color w:val="0563C1" w:themeColor="hyperlink"/>
      <w:u w:val="single"/>
    </w:rPr>
  </w:style>
  <w:style w:type="character" w:styleId="Refdecomentario">
    <w:name w:val="annotation reference"/>
    <w:basedOn w:val="Fuentedeprrafopredeter"/>
    <w:uiPriority w:val="99"/>
    <w:semiHidden/>
    <w:unhideWhenUsed/>
    <w:rsid w:val="004D4BE7"/>
    <w:rPr>
      <w:sz w:val="16"/>
      <w:szCs w:val="16"/>
    </w:rPr>
  </w:style>
  <w:style w:type="paragraph" w:styleId="Textocomentario">
    <w:name w:val="annotation text"/>
    <w:basedOn w:val="Normal"/>
    <w:link w:val="TextocomentarioCar"/>
    <w:uiPriority w:val="99"/>
    <w:unhideWhenUsed/>
    <w:rsid w:val="004D4BE7"/>
    <w:pPr>
      <w:spacing w:line="240" w:lineRule="auto"/>
    </w:pPr>
    <w:rPr>
      <w:sz w:val="20"/>
      <w:szCs w:val="20"/>
    </w:rPr>
  </w:style>
  <w:style w:type="character" w:customStyle="1" w:styleId="TextocomentarioCar">
    <w:name w:val="Texto comentario Car"/>
    <w:basedOn w:val="Fuentedeprrafopredeter"/>
    <w:link w:val="Textocomentario"/>
    <w:uiPriority w:val="99"/>
    <w:rsid w:val="004D4BE7"/>
    <w:rPr>
      <w:sz w:val="20"/>
      <w:szCs w:val="20"/>
    </w:rPr>
  </w:style>
  <w:style w:type="paragraph" w:styleId="Textodeglobo">
    <w:name w:val="Balloon Text"/>
    <w:basedOn w:val="Normal"/>
    <w:link w:val="TextodegloboCar"/>
    <w:uiPriority w:val="99"/>
    <w:semiHidden/>
    <w:unhideWhenUsed/>
    <w:rsid w:val="004D4B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4BE7"/>
    <w:rPr>
      <w:rFonts w:ascii="Segoe UI" w:hAnsi="Segoe UI" w:cs="Segoe UI"/>
      <w:sz w:val="18"/>
      <w:szCs w:val="18"/>
    </w:rPr>
  </w:style>
  <w:style w:type="paragraph" w:styleId="Encabezado">
    <w:name w:val="header"/>
    <w:basedOn w:val="Normal"/>
    <w:link w:val="EncabezadoCar"/>
    <w:uiPriority w:val="99"/>
    <w:unhideWhenUsed/>
    <w:rsid w:val="004D4B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4BE7"/>
  </w:style>
  <w:style w:type="paragraph" w:styleId="Piedepgina">
    <w:name w:val="footer"/>
    <w:basedOn w:val="Normal"/>
    <w:link w:val="PiedepginaCar"/>
    <w:uiPriority w:val="99"/>
    <w:unhideWhenUsed/>
    <w:rsid w:val="004D4B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4BE7"/>
  </w:style>
  <w:style w:type="paragraph" w:styleId="Asuntodelcomentario">
    <w:name w:val="annotation subject"/>
    <w:basedOn w:val="Textocomentario"/>
    <w:next w:val="Textocomentario"/>
    <w:link w:val="AsuntodelcomentarioCar"/>
    <w:uiPriority w:val="99"/>
    <w:semiHidden/>
    <w:unhideWhenUsed/>
    <w:rsid w:val="00177AF0"/>
    <w:rPr>
      <w:b/>
      <w:bCs/>
    </w:rPr>
  </w:style>
  <w:style w:type="character" w:customStyle="1" w:styleId="AsuntodelcomentarioCar">
    <w:name w:val="Asunto del comentario Car"/>
    <w:basedOn w:val="TextocomentarioCar"/>
    <w:link w:val="Asuntodelcomentario"/>
    <w:uiPriority w:val="99"/>
    <w:semiHidden/>
    <w:rsid w:val="00177AF0"/>
    <w:rPr>
      <w:b/>
      <w:bCs/>
      <w:sz w:val="20"/>
      <w:szCs w:val="20"/>
    </w:rPr>
  </w:style>
  <w:style w:type="character" w:styleId="Nmerodelnea">
    <w:name w:val="line number"/>
    <w:basedOn w:val="Fuentedeprrafopredeter"/>
    <w:uiPriority w:val="99"/>
    <w:semiHidden/>
    <w:unhideWhenUsed/>
    <w:rsid w:val="000F067F"/>
  </w:style>
  <w:style w:type="paragraph" w:customStyle="1" w:styleId="a">
    <w:basedOn w:val="Normal"/>
    <w:next w:val="Ttulo"/>
    <w:link w:val="PuestoCar"/>
    <w:uiPriority w:val="10"/>
    <w:qFormat/>
    <w:rsid w:val="00200A93"/>
    <w:pPr>
      <w:spacing w:after="0" w:line="240" w:lineRule="auto"/>
      <w:jc w:val="center"/>
    </w:pPr>
    <w:rPr>
      <w:rFonts w:ascii="Verdana" w:eastAsia="Times New Roman" w:hAnsi="Verdana" w:cs="Times New Roman"/>
      <w:b/>
      <w:smallCaps/>
      <w:sz w:val="20"/>
      <w:szCs w:val="24"/>
      <w:lang w:eastAsia="es-ES"/>
    </w:rPr>
  </w:style>
  <w:style w:type="character" w:customStyle="1" w:styleId="PuestoCar">
    <w:name w:val="Puesto Car"/>
    <w:link w:val="a"/>
    <w:uiPriority w:val="10"/>
    <w:rsid w:val="00200A93"/>
    <w:rPr>
      <w:rFonts w:ascii="Verdana" w:eastAsia="Times New Roman" w:hAnsi="Verdana" w:cs="Times New Roman"/>
      <w:b/>
      <w:smallCaps/>
      <w:sz w:val="20"/>
      <w:szCs w:val="24"/>
      <w:lang w:eastAsia="es-ES"/>
    </w:rPr>
  </w:style>
  <w:style w:type="paragraph" w:styleId="Ttulo">
    <w:name w:val="Title"/>
    <w:basedOn w:val="Normal"/>
    <w:next w:val="Normal"/>
    <w:link w:val="TtuloCar"/>
    <w:uiPriority w:val="10"/>
    <w:qFormat/>
    <w:rsid w:val="00200A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00A9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395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8A5F0-127E-4366-8628-8E1F5D687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1477</Words>
  <Characters>8124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2021-10-07T18:02:00Z</cp:lastPrinted>
  <dcterms:created xsi:type="dcterms:W3CDTF">2021-10-22T18:50:00Z</dcterms:created>
  <dcterms:modified xsi:type="dcterms:W3CDTF">2021-10-22T18:50:00Z</dcterms:modified>
</cp:coreProperties>
</file>