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6962" w14:textId="3F8FE0A7" w:rsidR="00BA723D" w:rsidRPr="006527FD" w:rsidRDefault="00BA723D" w:rsidP="00224977">
      <w:pPr>
        <w:tabs>
          <w:tab w:val="left" w:pos="720"/>
        </w:tabs>
        <w:jc w:val="center"/>
        <w:rPr>
          <w:rFonts w:ascii="Verdana" w:hAnsi="Verdana"/>
          <w:b/>
          <w:sz w:val="20"/>
          <w:szCs w:val="20"/>
          <w:lang w:val="es-ES"/>
        </w:rPr>
      </w:pPr>
      <w:r w:rsidRPr="006527FD">
        <w:rPr>
          <w:rFonts w:ascii="Verdana" w:hAnsi="Verdana"/>
          <w:b/>
          <w:sz w:val="20"/>
          <w:szCs w:val="20"/>
          <w:lang w:val="es-ES"/>
        </w:rPr>
        <w:t>RESOLUCIÓN DE LA</w:t>
      </w:r>
    </w:p>
    <w:p w14:paraId="06F18ED3" w14:textId="77777777" w:rsidR="00BA723D" w:rsidRPr="006527FD" w:rsidRDefault="00BA723D" w:rsidP="00224977">
      <w:pPr>
        <w:tabs>
          <w:tab w:val="left" w:pos="720"/>
        </w:tabs>
        <w:jc w:val="center"/>
        <w:rPr>
          <w:rFonts w:ascii="Verdana" w:hAnsi="Verdana"/>
          <w:b/>
          <w:sz w:val="20"/>
          <w:szCs w:val="20"/>
          <w:lang w:val="es-ES"/>
        </w:rPr>
      </w:pPr>
      <w:r w:rsidRPr="006527FD">
        <w:rPr>
          <w:rFonts w:ascii="Verdana" w:hAnsi="Verdana"/>
          <w:b/>
          <w:sz w:val="20"/>
          <w:szCs w:val="20"/>
          <w:lang w:val="es-ES"/>
        </w:rPr>
        <w:t>CORTE INTERAMERICANA DE DERECHOS HUMANOS</w:t>
      </w:r>
    </w:p>
    <w:p w14:paraId="7C00ED4B" w14:textId="77777777" w:rsidR="00BA723D" w:rsidRPr="006527FD" w:rsidRDefault="00BA723D" w:rsidP="00224977">
      <w:pPr>
        <w:tabs>
          <w:tab w:val="left" w:pos="720"/>
        </w:tabs>
        <w:jc w:val="center"/>
        <w:rPr>
          <w:rFonts w:ascii="Verdana" w:hAnsi="Verdana"/>
          <w:b/>
          <w:sz w:val="20"/>
          <w:szCs w:val="20"/>
          <w:lang w:val="es-ES"/>
        </w:rPr>
      </w:pPr>
    </w:p>
    <w:p w14:paraId="4A9C62BC" w14:textId="5BD165BF" w:rsidR="00BA723D" w:rsidRPr="006527FD" w:rsidRDefault="00BA723D" w:rsidP="00224977">
      <w:pPr>
        <w:tabs>
          <w:tab w:val="left" w:pos="720"/>
        </w:tabs>
        <w:jc w:val="center"/>
        <w:rPr>
          <w:rFonts w:ascii="Verdana" w:hAnsi="Verdana"/>
          <w:b/>
          <w:sz w:val="20"/>
          <w:szCs w:val="20"/>
          <w:lang w:val="es-ES"/>
        </w:rPr>
      </w:pPr>
      <w:r w:rsidRPr="006527FD">
        <w:rPr>
          <w:rFonts w:ascii="Verdana" w:hAnsi="Verdana"/>
          <w:b/>
          <w:sz w:val="20"/>
          <w:szCs w:val="20"/>
          <w:lang w:val="es-ES"/>
        </w:rPr>
        <w:t xml:space="preserve">DE </w:t>
      </w:r>
      <w:r w:rsidR="00E51AD5" w:rsidRPr="006527FD">
        <w:rPr>
          <w:rFonts w:ascii="Verdana" w:hAnsi="Verdana"/>
          <w:b/>
          <w:sz w:val="20"/>
          <w:szCs w:val="20"/>
          <w:lang w:val="es-ES"/>
        </w:rPr>
        <w:t>14</w:t>
      </w:r>
      <w:r w:rsidRPr="006527FD">
        <w:rPr>
          <w:rFonts w:ascii="Verdana" w:hAnsi="Verdana"/>
          <w:b/>
          <w:color w:val="C00000"/>
          <w:sz w:val="20"/>
          <w:szCs w:val="20"/>
          <w:lang w:val="es-ES"/>
        </w:rPr>
        <w:t xml:space="preserve"> </w:t>
      </w:r>
      <w:r w:rsidRPr="006527FD">
        <w:rPr>
          <w:rFonts w:ascii="Verdana" w:hAnsi="Verdana"/>
          <w:b/>
          <w:sz w:val="20"/>
          <w:szCs w:val="20"/>
          <w:lang w:val="es-ES"/>
        </w:rPr>
        <w:t xml:space="preserve">DE </w:t>
      </w:r>
      <w:r w:rsidR="00F1721F" w:rsidRPr="006527FD">
        <w:rPr>
          <w:rFonts w:ascii="Verdana" w:hAnsi="Verdana"/>
          <w:b/>
          <w:sz w:val="20"/>
          <w:szCs w:val="20"/>
          <w:lang w:val="es-ES"/>
        </w:rPr>
        <w:t>OCTUBRE</w:t>
      </w:r>
      <w:r w:rsidRPr="006527FD">
        <w:rPr>
          <w:rFonts w:ascii="Verdana" w:hAnsi="Verdana"/>
          <w:b/>
          <w:sz w:val="20"/>
          <w:szCs w:val="20"/>
          <w:lang w:val="es-ES"/>
        </w:rPr>
        <w:t xml:space="preserve"> DE </w:t>
      </w:r>
      <w:r w:rsidR="005F7A24" w:rsidRPr="006527FD">
        <w:rPr>
          <w:rFonts w:ascii="Verdana" w:hAnsi="Verdana"/>
          <w:b/>
          <w:sz w:val="20"/>
          <w:szCs w:val="20"/>
          <w:lang w:val="es-ES"/>
        </w:rPr>
        <w:t>2021</w:t>
      </w:r>
    </w:p>
    <w:p w14:paraId="6C84B650" w14:textId="77777777" w:rsidR="00BA723D" w:rsidRPr="006527FD" w:rsidRDefault="00BA723D" w:rsidP="00224977">
      <w:pPr>
        <w:tabs>
          <w:tab w:val="left" w:pos="720"/>
        </w:tabs>
        <w:jc w:val="center"/>
        <w:rPr>
          <w:rFonts w:ascii="Verdana" w:hAnsi="Verdana"/>
          <w:b/>
          <w:sz w:val="20"/>
          <w:szCs w:val="20"/>
          <w:lang w:val="es-ES"/>
        </w:rPr>
      </w:pPr>
    </w:p>
    <w:p w14:paraId="78F8C172" w14:textId="77777777" w:rsidR="004941FB" w:rsidRPr="006527FD" w:rsidRDefault="004941FB" w:rsidP="004941FB">
      <w:pPr>
        <w:tabs>
          <w:tab w:val="left" w:pos="720"/>
        </w:tabs>
        <w:jc w:val="center"/>
        <w:rPr>
          <w:rFonts w:ascii="Verdana" w:hAnsi="Verdana"/>
          <w:b/>
          <w:sz w:val="20"/>
          <w:szCs w:val="20"/>
          <w:lang w:val="es-ES"/>
        </w:rPr>
      </w:pPr>
      <w:r w:rsidRPr="006527FD">
        <w:rPr>
          <w:rFonts w:ascii="Verdana" w:hAnsi="Verdana"/>
          <w:b/>
          <w:sz w:val="20"/>
          <w:szCs w:val="20"/>
          <w:lang w:val="es-ES"/>
        </w:rPr>
        <w:t>MEDIDAS PROVISIONALES</w:t>
      </w:r>
    </w:p>
    <w:p w14:paraId="7A22194A" w14:textId="77777777" w:rsidR="004941FB" w:rsidRPr="006527FD" w:rsidRDefault="004941FB" w:rsidP="004941FB">
      <w:pPr>
        <w:tabs>
          <w:tab w:val="left" w:pos="720"/>
        </w:tabs>
        <w:jc w:val="center"/>
        <w:rPr>
          <w:rFonts w:ascii="Verdana" w:hAnsi="Verdana"/>
          <w:b/>
          <w:sz w:val="20"/>
          <w:szCs w:val="20"/>
          <w:lang w:val="es-ES"/>
        </w:rPr>
      </w:pPr>
    </w:p>
    <w:p w14:paraId="093114DC" w14:textId="77777777" w:rsidR="004941FB" w:rsidRPr="006527FD" w:rsidRDefault="004941FB" w:rsidP="004941FB">
      <w:pPr>
        <w:tabs>
          <w:tab w:val="left" w:pos="720"/>
        </w:tabs>
        <w:jc w:val="center"/>
        <w:rPr>
          <w:rFonts w:ascii="Verdana" w:hAnsi="Verdana"/>
          <w:b/>
          <w:sz w:val="20"/>
          <w:szCs w:val="20"/>
          <w:lang w:val="es-ES"/>
        </w:rPr>
      </w:pPr>
      <w:r w:rsidRPr="006527FD">
        <w:rPr>
          <w:rFonts w:ascii="Verdana" w:hAnsi="Verdana"/>
          <w:b/>
          <w:sz w:val="20"/>
          <w:szCs w:val="20"/>
          <w:lang w:val="es-ES"/>
        </w:rPr>
        <w:t xml:space="preserve">ASUNTO INTEGRANTES DEL CENTRO NICARAGÜENSE DE DERECHOS HUMANOS Y DE LA COMISIÓN PERMANENTE DE DERECHOS HUMANOS (CENIDH-CPDH) RESPECTO DE NICARAGUA </w:t>
      </w:r>
    </w:p>
    <w:p w14:paraId="391DEC7F" w14:textId="77777777" w:rsidR="00BA723D" w:rsidRPr="006527FD" w:rsidRDefault="00BA723D" w:rsidP="003E1931">
      <w:pPr>
        <w:jc w:val="both"/>
        <w:rPr>
          <w:rFonts w:ascii="Verdana" w:hAnsi="Verdana"/>
          <w:b/>
          <w:sz w:val="20"/>
          <w:szCs w:val="20"/>
          <w:lang w:val="es-ES"/>
        </w:rPr>
      </w:pPr>
    </w:p>
    <w:p w14:paraId="699DB0F5" w14:textId="77777777" w:rsidR="00684485" w:rsidRPr="006527FD" w:rsidRDefault="00684485" w:rsidP="003E1931">
      <w:pPr>
        <w:ind w:right="22"/>
        <w:jc w:val="both"/>
        <w:rPr>
          <w:rFonts w:ascii="Verdana" w:hAnsi="Verdana"/>
          <w:b/>
          <w:smallCaps/>
          <w:sz w:val="20"/>
          <w:szCs w:val="20"/>
        </w:rPr>
      </w:pPr>
    </w:p>
    <w:p w14:paraId="4C069D60" w14:textId="7B5B115C" w:rsidR="00BA723D" w:rsidRPr="006527FD" w:rsidRDefault="00684485" w:rsidP="003E1931">
      <w:pPr>
        <w:ind w:right="22"/>
        <w:jc w:val="both"/>
        <w:rPr>
          <w:rFonts w:ascii="Verdana" w:hAnsi="Verdana"/>
          <w:b/>
          <w:sz w:val="20"/>
          <w:szCs w:val="20"/>
        </w:rPr>
      </w:pPr>
      <w:r w:rsidRPr="006527FD">
        <w:rPr>
          <w:rFonts w:ascii="Verdana" w:hAnsi="Verdana"/>
          <w:b/>
          <w:sz w:val="20"/>
          <w:szCs w:val="20"/>
        </w:rPr>
        <w:t>VISTOS</w:t>
      </w:r>
      <w:r w:rsidR="00BA723D" w:rsidRPr="006527FD">
        <w:rPr>
          <w:rFonts w:ascii="Verdana" w:hAnsi="Verdana"/>
          <w:b/>
          <w:sz w:val="20"/>
          <w:szCs w:val="20"/>
        </w:rPr>
        <w:t>:</w:t>
      </w:r>
    </w:p>
    <w:p w14:paraId="34D05287" w14:textId="77777777" w:rsidR="00BA723D" w:rsidRPr="006527FD" w:rsidRDefault="00BA723D" w:rsidP="003E1931">
      <w:pPr>
        <w:pStyle w:val="Textoindependiente3"/>
        <w:ind w:right="0"/>
        <w:rPr>
          <w:rFonts w:ascii="Verdana" w:hAnsi="Verdana"/>
          <w:b/>
          <w:sz w:val="20"/>
        </w:rPr>
      </w:pPr>
    </w:p>
    <w:p w14:paraId="09DFCAF1" w14:textId="0989472D" w:rsidR="00E356A2" w:rsidRPr="006527FD" w:rsidRDefault="00E356A2" w:rsidP="00CB61DD">
      <w:pPr>
        <w:numPr>
          <w:ilvl w:val="0"/>
          <w:numId w:val="3"/>
        </w:numPr>
        <w:ind w:left="0" w:firstLine="0"/>
        <w:jc w:val="both"/>
        <w:rPr>
          <w:rFonts w:ascii="Verdana" w:hAnsi="Verdana"/>
        </w:rPr>
      </w:pPr>
      <w:r w:rsidRPr="006527FD">
        <w:rPr>
          <w:rFonts w:ascii="Verdana" w:hAnsi="Verdana"/>
          <w:sz w:val="20"/>
          <w:szCs w:val="20"/>
        </w:rPr>
        <w:t xml:space="preserve">La </w:t>
      </w:r>
      <w:r w:rsidR="00CB61DD" w:rsidRPr="006527FD">
        <w:rPr>
          <w:rFonts w:ascii="Verdana" w:hAnsi="Verdana"/>
          <w:sz w:val="20"/>
          <w:szCs w:val="20"/>
        </w:rPr>
        <w:t>Resolución</w:t>
      </w:r>
      <w:r w:rsidRPr="006527FD">
        <w:rPr>
          <w:rFonts w:ascii="Verdana" w:hAnsi="Verdana"/>
          <w:sz w:val="20"/>
          <w:szCs w:val="20"/>
        </w:rPr>
        <w:t xml:space="preserve"> de Medidas Provisionales de 14 de octubre de 2019</w:t>
      </w:r>
      <w:r w:rsidR="00CB61DD" w:rsidRPr="006527FD">
        <w:rPr>
          <w:rStyle w:val="Refdenotaalpie"/>
          <w:rFonts w:ascii="Verdana" w:hAnsi="Verdana"/>
          <w:sz w:val="20"/>
          <w:szCs w:val="20"/>
          <w:lang w:val="es-ES"/>
        </w:rPr>
        <w:footnoteReference w:id="1"/>
      </w:r>
      <w:r w:rsidRPr="006527FD">
        <w:rPr>
          <w:rFonts w:ascii="Verdana" w:hAnsi="Verdana"/>
          <w:sz w:val="20"/>
          <w:szCs w:val="20"/>
        </w:rPr>
        <w:t xml:space="preserve">, mediante la cual la Corte decidió </w:t>
      </w:r>
      <w:r w:rsidRPr="006527FD">
        <w:rPr>
          <w:rFonts w:ascii="Verdana" w:hAnsi="Verdana"/>
          <w:sz w:val="20"/>
          <w:szCs w:val="20"/>
          <w:lang w:val="es-ES"/>
        </w:rPr>
        <w:t>ratificar</w:t>
      </w:r>
      <w:r w:rsidRPr="006527FD">
        <w:rPr>
          <w:rFonts w:ascii="Verdana" w:hAnsi="Verdana"/>
          <w:sz w:val="20"/>
          <w:szCs w:val="20"/>
        </w:rPr>
        <w:t xml:space="preserve"> en todos sus términos la Resolución del entonces Presidente de 12 de julio de 2019</w:t>
      </w:r>
      <w:r w:rsidR="00CB61DD" w:rsidRPr="006527FD">
        <w:rPr>
          <w:rStyle w:val="Refdenotaalpie"/>
          <w:rFonts w:ascii="Verdana" w:hAnsi="Verdana"/>
          <w:sz w:val="20"/>
          <w:szCs w:val="20"/>
        </w:rPr>
        <w:footnoteReference w:id="2"/>
      </w:r>
      <w:r w:rsidR="00CB61DD" w:rsidRPr="006527FD">
        <w:rPr>
          <w:rFonts w:ascii="Verdana" w:hAnsi="Verdana"/>
          <w:position w:val="6"/>
          <w:sz w:val="12"/>
          <w:szCs w:val="12"/>
        </w:rPr>
        <w:t xml:space="preserve"> </w:t>
      </w:r>
      <w:r w:rsidRPr="006527FD">
        <w:rPr>
          <w:rFonts w:ascii="Verdana" w:hAnsi="Verdana"/>
          <w:sz w:val="20"/>
          <w:szCs w:val="20"/>
        </w:rPr>
        <w:t>y, por consiguiente</w:t>
      </w:r>
      <w:r w:rsidR="00CB61DD" w:rsidRPr="006527FD">
        <w:rPr>
          <w:rFonts w:ascii="Verdana" w:hAnsi="Verdana"/>
          <w:sz w:val="20"/>
          <w:szCs w:val="20"/>
          <w:lang w:val="es-CR"/>
        </w:rPr>
        <w:t>,</w:t>
      </w:r>
      <w:r w:rsidRPr="006527FD">
        <w:rPr>
          <w:rFonts w:ascii="Verdana" w:hAnsi="Verdana"/>
          <w:sz w:val="20"/>
          <w:szCs w:val="20"/>
          <w:lang w:val="es-ES"/>
        </w:rPr>
        <w:t xml:space="preserve"> acordó</w:t>
      </w:r>
      <w:r w:rsidRPr="006527FD">
        <w:rPr>
          <w:rFonts w:ascii="Verdana" w:hAnsi="Verdana"/>
          <w:sz w:val="20"/>
          <w:szCs w:val="20"/>
        </w:rPr>
        <w:t xml:space="preserve">: </w:t>
      </w:r>
    </w:p>
    <w:p w14:paraId="72229543" w14:textId="77777777" w:rsidR="00CB61DD" w:rsidRPr="006527FD" w:rsidRDefault="00CB61DD" w:rsidP="00CB61DD">
      <w:pPr>
        <w:jc w:val="both"/>
        <w:rPr>
          <w:rFonts w:ascii="Verdana" w:hAnsi="Verdana"/>
        </w:rPr>
      </w:pPr>
    </w:p>
    <w:p w14:paraId="69792370" w14:textId="2A0658AD" w:rsidR="00E356A2" w:rsidRPr="006527FD" w:rsidRDefault="00CB61DD" w:rsidP="00CB61DD">
      <w:pPr>
        <w:ind w:left="567" w:right="686"/>
        <w:jc w:val="both"/>
        <w:rPr>
          <w:rFonts w:ascii="Verdana" w:hAnsi="Verdana"/>
          <w:sz w:val="18"/>
          <w:szCs w:val="18"/>
        </w:rPr>
      </w:pPr>
      <w:r w:rsidRPr="006527FD">
        <w:rPr>
          <w:rFonts w:ascii="Verdana" w:hAnsi="Verdana"/>
          <w:sz w:val="18"/>
          <w:szCs w:val="18"/>
        </w:rPr>
        <w:t>[…] r</w:t>
      </w:r>
      <w:r w:rsidR="00E356A2" w:rsidRPr="006527FD">
        <w:rPr>
          <w:rFonts w:ascii="Verdana" w:hAnsi="Verdana"/>
          <w:sz w:val="18"/>
          <w:szCs w:val="18"/>
        </w:rPr>
        <w:t xml:space="preserve">equerir al </w:t>
      </w:r>
      <w:r w:rsidR="00E356A2" w:rsidRPr="006527FD">
        <w:rPr>
          <w:rFonts w:ascii="Verdana" w:hAnsi="Verdana"/>
          <w:sz w:val="18"/>
          <w:szCs w:val="18"/>
          <w:lang w:val="es-ES"/>
        </w:rPr>
        <w:t>Estado</w:t>
      </w:r>
      <w:r w:rsidR="00E356A2" w:rsidRPr="006527FD">
        <w:rPr>
          <w:rFonts w:ascii="Verdana" w:hAnsi="Verdana"/>
          <w:sz w:val="18"/>
          <w:szCs w:val="18"/>
        </w:rPr>
        <w:t xml:space="preserve"> que adopte de forma inmediata las medidas necesarias para proteger eficazmente la vida y la integridad personal de los y las integrantes del Centro Nicaragu</w:t>
      </w:r>
      <w:r w:rsidR="00E356A2" w:rsidRPr="006527FD">
        <w:rPr>
          <w:rFonts w:ascii="Verdana" w:hAnsi="Verdana" w:cs="Arial"/>
          <w:sz w:val="18"/>
          <w:szCs w:val="18"/>
        </w:rPr>
        <w:t>̈</w:t>
      </w:r>
      <w:r w:rsidR="00E356A2" w:rsidRPr="006527FD">
        <w:rPr>
          <w:rFonts w:ascii="Verdana" w:hAnsi="Verdana"/>
          <w:sz w:val="18"/>
          <w:szCs w:val="18"/>
        </w:rPr>
        <w:t xml:space="preserve">ense de Derechos Humanos (CENIDH) y de la Comisión Permanente de Derechos Humanos (CPDH), y asegurar la continuidad de sus labores en defensa de los derechos humanos sin ser objeto de hostigamientos, amenazas o agresiones. </w:t>
      </w:r>
    </w:p>
    <w:p w14:paraId="6531B58F" w14:textId="77777777" w:rsidR="00D26672" w:rsidRPr="006527FD" w:rsidRDefault="00D26672" w:rsidP="003E1931">
      <w:pPr>
        <w:autoSpaceDE w:val="0"/>
        <w:autoSpaceDN w:val="0"/>
        <w:adjustRightInd w:val="0"/>
        <w:contextualSpacing/>
        <w:jc w:val="both"/>
        <w:rPr>
          <w:rFonts w:ascii="Verdana" w:hAnsi="Verdana"/>
          <w:sz w:val="20"/>
          <w:szCs w:val="20"/>
        </w:rPr>
      </w:pPr>
    </w:p>
    <w:p w14:paraId="0B8583F2" w14:textId="06886A08" w:rsidR="00BA723D" w:rsidRPr="006527FD" w:rsidRDefault="00D26672" w:rsidP="00CB61DD">
      <w:pPr>
        <w:numPr>
          <w:ilvl w:val="0"/>
          <w:numId w:val="3"/>
        </w:numPr>
        <w:ind w:left="0" w:firstLine="0"/>
        <w:jc w:val="both"/>
        <w:rPr>
          <w:rFonts w:ascii="Verdana" w:hAnsi="Verdana"/>
          <w:sz w:val="20"/>
          <w:szCs w:val="20"/>
          <w:lang w:val="es-ES"/>
        </w:rPr>
      </w:pPr>
      <w:r w:rsidRPr="006527FD">
        <w:rPr>
          <w:rFonts w:ascii="Verdana" w:hAnsi="Verdana"/>
          <w:sz w:val="20"/>
          <w:szCs w:val="20"/>
          <w:lang w:val="es-ES"/>
        </w:rPr>
        <w:t>La Resolució</w:t>
      </w:r>
      <w:r w:rsidR="001E72D2" w:rsidRPr="006527FD">
        <w:rPr>
          <w:rFonts w:ascii="Verdana" w:hAnsi="Verdana"/>
          <w:sz w:val="20"/>
          <w:szCs w:val="20"/>
          <w:lang w:val="es-ES"/>
        </w:rPr>
        <w:t>n de Medidas Provisionales de 1 de septiembre de 2021</w:t>
      </w:r>
      <w:r w:rsidR="00CB61DD" w:rsidRPr="006527FD">
        <w:rPr>
          <w:rStyle w:val="Refdenotaalpie"/>
          <w:rFonts w:ascii="Verdana" w:hAnsi="Verdana"/>
          <w:sz w:val="20"/>
          <w:szCs w:val="20"/>
          <w:lang w:val="es-ES"/>
        </w:rPr>
        <w:footnoteReference w:id="3"/>
      </w:r>
      <w:r w:rsidR="00E356A2" w:rsidRPr="006527FD">
        <w:rPr>
          <w:rFonts w:ascii="Verdana" w:hAnsi="Verdana"/>
          <w:sz w:val="20"/>
          <w:szCs w:val="20"/>
          <w:lang w:val="es-ES"/>
        </w:rPr>
        <w:t xml:space="preserve"> </w:t>
      </w:r>
      <w:r w:rsidRPr="006527FD">
        <w:rPr>
          <w:rFonts w:ascii="Verdana" w:hAnsi="Verdana"/>
          <w:sz w:val="20"/>
          <w:szCs w:val="20"/>
          <w:lang w:val="es-ES"/>
        </w:rPr>
        <w:t xml:space="preserve">mediante la cual la Corte decidió </w:t>
      </w:r>
      <w:r w:rsidR="001E72D2" w:rsidRPr="006527FD">
        <w:rPr>
          <w:rFonts w:ascii="Verdana" w:hAnsi="Verdana"/>
          <w:sz w:val="20"/>
          <w:szCs w:val="20"/>
          <w:lang w:val="es-ES"/>
        </w:rPr>
        <w:t>mantener las medidas provisionales ordenadas al Estado mediante</w:t>
      </w:r>
      <w:r w:rsidR="00225CE2" w:rsidRPr="006527FD">
        <w:rPr>
          <w:rFonts w:ascii="Verdana" w:hAnsi="Verdana"/>
          <w:sz w:val="20"/>
          <w:szCs w:val="20"/>
          <w:lang w:val="es-ES"/>
        </w:rPr>
        <w:t xml:space="preserve"> la referida</w:t>
      </w:r>
      <w:r w:rsidR="001E72D2" w:rsidRPr="006527FD">
        <w:rPr>
          <w:rFonts w:ascii="Verdana" w:hAnsi="Verdana"/>
          <w:sz w:val="20"/>
          <w:szCs w:val="20"/>
          <w:lang w:val="es-ES"/>
        </w:rPr>
        <w:t xml:space="preserve"> Resolución de la Corte de 14 de octubre de 2019 </w:t>
      </w:r>
      <w:r w:rsidRPr="006527FD">
        <w:rPr>
          <w:rFonts w:ascii="Verdana" w:hAnsi="Verdana"/>
          <w:sz w:val="20"/>
          <w:szCs w:val="20"/>
          <w:lang w:val="es-ES"/>
        </w:rPr>
        <w:t>y, por consiguiente</w:t>
      </w:r>
      <w:r w:rsidR="00F1721F" w:rsidRPr="006527FD">
        <w:rPr>
          <w:rFonts w:ascii="Verdana" w:hAnsi="Verdana"/>
          <w:sz w:val="20"/>
          <w:szCs w:val="20"/>
          <w:lang w:val="es-ES"/>
        </w:rPr>
        <w:t>, acordó</w:t>
      </w:r>
      <w:r w:rsidRPr="006527FD">
        <w:rPr>
          <w:rFonts w:ascii="Verdana" w:hAnsi="Verdana"/>
          <w:sz w:val="20"/>
          <w:szCs w:val="20"/>
          <w:lang w:val="es-ES"/>
        </w:rPr>
        <w:t xml:space="preserve">: </w:t>
      </w:r>
    </w:p>
    <w:p w14:paraId="6540632B" w14:textId="77777777" w:rsidR="001E72D2" w:rsidRPr="006527FD" w:rsidRDefault="001E72D2" w:rsidP="001E72D2">
      <w:pPr>
        <w:pStyle w:val="Prrafodelista"/>
        <w:autoSpaceDE w:val="0"/>
        <w:autoSpaceDN w:val="0"/>
        <w:adjustRightInd w:val="0"/>
        <w:ind w:left="709" w:right="567"/>
        <w:contextualSpacing/>
        <w:jc w:val="both"/>
        <w:rPr>
          <w:rFonts w:ascii="Verdana" w:hAnsi="Verdana"/>
          <w:sz w:val="20"/>
          <w:szCs w:val="20"/>
          <w:lang w:val="es-ES"/>
        </w:rPr>
      </w:pPr>
    </w:p>
    <w:p w14:paraId="0CD26194" w14:textId="0C5C812F" w:rsidR="001E72D2" w:rsidRPr="006527FD" w:rsidRDefault="00CB61DD" w:rsidP="00CB61DD">
      <w:pPr>
        <w:pStyle w:val="Prrafodelista"/>
        <w:autoSpaceDE w:val="0"/>
        <w:autoSpaceDN w:val="0"/>
        <w:adjustRightInd w:val="0"/>
        <w:ind w:left="720" w:right="567"/>
        <w:contextualSpacing/>
        <w:jc w:val="both"/>
        <w:rPr>
          <w:rFonts w:ascii="Verdana" w:hAnsi="Verdana"/>
          <w:sz w:val="18"/>
          <w:szCs w:val="18"/>
          <w:lang w:val="es-ES"/>
        </w:rPr>
      </w:pPr>
      <w:r w:rsidRPr="006527FD">
        <w:rPr>
          <w:rFonts w:ascii="Verdana" w:hAnsi="Verdana"/>
          <w:sz w:val="18"/>
          <w:szCs w:val="18"/>
          <w:lang w:val="es-ES"/>
        </w:rPr>
        <w:t xml:space="preserve">2. </w:t>
      </w:r>
      <w:r w:rsidR="001E72D2" w:rsidRPr="006527FD">
        <w:rPr>
          <w:rFonts w:ascii="Verdana" w:hAnsi="Verdana"/>
          <w:sz w:val="18"/>
          <w:szCs w:val="18"/>
          <w:lang w:val="es-ES"/>
        </w:rPr>
        <w:t xml:space="preserve">Reiterar al Estado que implemente de manera inmediata las medidas que sean necesarias para proteger eficazmente la vida y la integridad personal de las personas beneficiarias de las presentes medidas provisionales en los términos de la Resolución de Medidas Provisionales de 14 de octubre de 2019. </w:t>
      </w:r>
    </w:p>
    <w:p w14:paraId="5B1C1048" w14:textId="77777777" w:rsidR="001E72D2" w:rsidRPr="006527FD" w:rsidRDefault="001E72D2" w:rsidP="001E72D2">
      <w:pPr>
        <w:pStyle w:val="Prrafodelista"/>
        <w:autoSpaceDE w:val="0"/>
        <w:autoSpaceDN w:val="0"/>
        <w:adjustRightInd w:val="0"/>
        <w:ind w:left="720" w:right="567"/>
        <w:contextualSpacing/>
        <w:jc w:val="both"/>
        <w:rPr>
          <w:rFonts w:ascii="Verdana" w:hAnsi="Verdana"/>
          <w:sz w:val="18"/>
          <w:szCs w:val="18"/>
          <w:lang w:val="es-ES"/>
        </w:rPr>
      </w:pPr>
    </w:p>
    <w:p w14:paraId="4DEB7FEF" w14:textId="4281CBEB" w:rsidR="001E72D2" w:rsidRPr="006527FD" w:rsidRDefault="00CB61DD" w:rsidP="00CB61DD">
      <w:pPr>
        <w:pStyle w:val="Prrafodelista"/>
        <w:autoSpaceDE w:val="0"/>
        <w:autoSpaceDN w:val="0"/>
        <w:adjustRightInd w:val="0"/>
        <w:ind w:left="720" w:right="567"/>
        <w:contextualSpacing/>
        <w:jc w:val="both"/>
        <w:rPr>
          <w:rFonts w:ascii="Verdana" w:hAnsi="Verdana"/>
          <w:sz w:val="18"/>
          <w:szCs w:val="18"/>
          <w:lang w:val="es-ES"/>
        </w:rPr>
      </w:pPr>
      <w:r w:rsidRPr="006527FD">
        <w:rPr>
          <w:rFonts w:ascii="Verdana" w:hAnsi="Verdana"/>
          <w:sz w:val="18"/>
          <w:szCs w:val="18"/>
          <w:lang w:val="es-ES"/>
        </w:rPr>
        <w:t xml:space="preserve">3. </w:t>
      </w:r>
      <w:r w:rsidR="001E72D2" w:rsidRPr="006527FD">
        <w:rPr>
          <w:rFonts w:ascii="Verdana" w:hAnsi="Verdana"/>
          <w:sz w:val="18"/>
          <w:szCs w:val="18"/>
          <w:lang w:val="es-ES"/>
        </w:rPr>
        <w:t xml:space="preserve">Requerir al Estado que garantice que las medidas específicas de protección se establezcan con la participación de las y los beneficiarios y se evite, en la medida de lo posible, que sean brindadas por los funcionarios de seguridad que, según las y los beneficiarios, están involucrados en los hechos. </w:t>
      </w:r>
    </w:p>
    <w:p w14:paraId="7DFB2783" w14:textId="4D7433B8" w:rsidR="001E72D2" w:rsidRPr="006527FD" w:rsidRDefault="001E72D2" w:rsidP="00FA021F">
      <w:pPr>
        <w:pStyle w:val="Prrafodelista"/>
        <w:autoSpaceDE w:val="0"/>
        <w:autoSpaceDN w:val="0"/>
        <w:adjustRightInd w:val="0"/>
        <w:ind w:left="709" w:right="567"/>
        <w:contextualSpacing/>
        <w:jc w:val="both"/>
        <w:rPr>
          <w:rFonts w:ascii="Verdana" w:hAnsi="Verdana"/>
          <w:sz w:val="18"/>
          <w:szCs w:val="18"/>
          <w:lang w:val="es-ES"/>
        </w:rPr>
      </w:pPr>
    </w:p>
    <w:p w14:paraId="7DF0EF2F" w14:textId="0A66C714" w:rsidR="001E72D2" w:rsidRPr="006527FD" w:rsidRDefault="001E72D2" w:rsidP="00FA021F">
      <w:pPr>
        <w:pStyle w:val="Prrafodelista"/>
        <w:autoSpaceDE w:val="0"/>
        <w:autoSpaceDN w:val="0"/>
        <w:adjustRightInd w:val="0"/>
        <w:ind w:left="709" w:right="567"/>
        <w:contextualSpacing/>
        <w:jc w:val="both"/>
        <w:rPr>
          <w:rFonts w:ascii="Verdana" w:hAnsi="Verdana"/>
          <w:sz w:val="18"/>
          <w:szCs w:val="18"/>
        </w:rPr>
      </w:pPr>
      <w:r w:rsidRPr="006527FD">
        <w:rPr>
          <w:rFonts w:ascii="Verdana" w:hAnsi="Verdana"/>
          <w:sz w:val="18"/>
          <w:szCs w:val="18"/>
          <w:lang w:val="es-ES"/>
        </w:rPr>
        <w:t>[…]</w:t>
      </w:r>
    </w:p>
    <w:p w14:paraId="73398CB3" w14:textId="77777777" w:rsidR="00425C21" w:rsidRPr="006527FD" w:rsidRDefault="00425C21" w:rsidP="003E1931">
      <w:pPr>
        <w:jc w:val="both"/>
        <w:rPr>
          <w:rFonts w:ascii="Verdana" w:hAnsi="Verdana"/>
          <w:sz w:val="18"/>
          <w:szCs w:val="18"/>
          <w:lang w:val="es-ES"/>
        </w:rPr>
      </w:pPr>
    </w:p>
    <w:p w14:paraId="7340A7CA" w14:textId="6C9A03E1" w:rsidR="00F778A8" w:rsidRPr="006527FD" w:rsidRDefault="00AF712E" w:rsidP="007B5A1C">
      <w:pPr>
        <w:numPr>
          <w:ilvl w:val="0"/>
          <w:numId w:val="3"/>
        </w:numPr>
        <w:ind w:left="0" w:firstLine="0"/>
        <w:jc w:val="both"/>
        <w:rPr>
          <w:rFonts w:ascii="Verdana" w:hAnsi="Verdana"/>
          <w:sz w:val="20"/>
          <w:szCs w:val="20"/>
          <w:lang w:val="es-ES"/>
        </w:rPr>
      </w:pPr>
      <w:r w:rsidRPr="006527FD">
        <w:rPr>
          <w:rFonts w:ascii="Verdana" w:hAnsi="Verdana"/>
          <w:sz w:val="20"/>
          <w:szCs w:val="20"/>
          <w:lang w:val="es-ES"/>
        </w:rPr>
        <w:t xml:space="preserve">Los escritos de 3 de septiembre de 2021 y </w:t>
      </w:r>
      <w:r w:rsidR="00222B31" w:rsidRPr="006527FD">
        <w:rPr>
          <w:rFonts w:ascii="Verdana" w:hAnsi="Verdana"/>
          <w:sz w:val="20"/>
          <w:szCs w:val="20"/>
          <w:lang w:val="es-ES"/>
        </w:rPr>
        <w:t xml:space="preserve">sus </w:t>
      </w:r>
      <w:r w:rsidRPr="006527FD">
        <w:rPr>
          <w:rFonts w:ascii="Verdana" w:hAnsi="Verdana"/>
          <w:sz w:val="20"/>
          <w:szCs w:val="20"/>
          <w:lang w:val="es-ES"/>
        </w:rPr>
        <w:t xml:space="preserve">anexos mediante los cuales </w:t>
      </w:r>
      <w:r w:rsidR="00F1721F" w:rsidRPr="006527FD">
        <w:rPr>
          <w:rFonts w:ascii="Verdana" w:hAnsi="Verdana"/>
          <w:sz w:val="20"/>
          <w:szCs w:val="20"/>
          <w:lang w:val="es-ES"/>
        </w:rPr>
        <w:t xml:space="preserve">los representantes, a través de </w:t>
      </w:r>
      <w:r w:rsidRPr="006527FD">
        <w:rPr>
          <w:rFonts w:ascii="Verdana" w:hAnsi="Verdana"/>
          <w:sz w:val="20"/>
          <w:szCs w:val="20"/>
          <w:lang w:val="es-ES"/>
        </w:rPr>
        <w:t>la Comisión Permanente de Derechos Humanos (en adelante “</w:t>
      </w:r>
      <w:r w:rsidR="00F778A8" w:rsidRPr="006527FD">
        <w:rPr>
          <w:rFonts w:ascii="Verdana" w:hAnsi="Verdana"/>
          <w:sz w:val="20"/>
          <w:szCs w:val="20"/>
          <w:lang w:val="es-ES"/>
        </w:rPr>
        <w:t xml:space="preserve">la </w:t>
      </w:r>
      <w:r w:rsidRPr="006527FD">
        <w:rPr>
          <w:rFonts w:ascii="Verdana" w:hAnsi="Verdana"/>
          <w:sz w:val="20"/>
          <w:szCs w:val="20"/>
          <w:lang w:val="es-ES"/>
        </w:rPr>
        <w:t>CPDH”) remiti</w:t>
      </w:r>
      <w:r w:rsidR="00B032AE">
        <w:rPr>
          <w:rFonts w:ascii="Verdana" w:hAnsi="Verdana"/>
          <w:sz w:val="20"/>
          <w:szCs w:val="20"/>
          <w:lang w:val="es-ES"/>
        </w:rPr>
        <w:t>eron</w:t>
      </w:r>
      <w:r w:rsidRPr="006527FD">
        <w:rPr>
          <w:rFonts w:ascii="Verdana" w:hAnsi="Verdana"/>
          <w:sz w:val="20"/>
          <w:szCs w:val="20"/>
          <w:lang w:val="es-ES"/>
        </w:rPr>
        <w:t xml:space="preserve"> un informe sobre la situación </w:t>
      </w:r>
      <w:r w:rsidR="00222B31" w:rsidRPr="006527FD">
        <w:rPr>
          <w:rFonts w:ascii="Verdana" w:hAnsi="Verdana"/>
          <w:sz w:val="20"/>
          <w:szCs w:val="20"/>
          <w:lang w:val="es-ES"/>
        </w:rPr>
        <w:t xml:space="preserve">de privación de libertad </w:t>
      </w:r>
      <w:r w:rsidRPr="006527FD">
        <w:rPr>
          <w:rFonts w:ascii="Verdana" w:hAnsi="Verdana"/>
          <w:sz w:val="20"/>
          <w:szCs w:val="20"/>
          <w:lang w:val="es-ES"/>
        </w:rPr>
        <w:t xml:space="preserve">de la señora María </w:t>
      </w:r>
      <w:r w:rsidRPr="006527FD">
        <w:rPr>
          <w:rFonts w:ascii="Verdana" w:hAnsi="Verdana"/>
          <w:sz w:val="20"/>
          <w:szCs w:val="20"/>
          <w:lang w:val="es-ES"/>
        </w:rPr>
        <w:lastRenderedPageBreak/>
        <w:t xml:space="preserve">del Socorro Oviedo Delgado, funcionaria de </w:t>
      </w:r>
      <w:r w:rsidR="00222B31" w:rsidRPr="006527FD">
        <w:rPr>
          <w:rFonts w:ascii="Verdana" w:hAnsi="Verdana"/>
          <w:sz w:val="20"/>
          <w:szCs w:val="20"/>
          <w:lang w:val="es-ES"/>
        </w:rPr>
        <w:t>dicha organización</w:t>
      </w:r>
      <w:r w:rsidRPr="006527FD">
        <w:rPr>
          <w:rFonts w:ascii="Verdana" w:hAnsi="Verdana"/>
          <w:sz w:val="20"/>
          <w:szCs w:val="20"/>
          <w:lang w:val="es-ES"/>
        </w:rPr>
        <w:t>, así como la nota de la Secretaría de la Corte (en adelante</w:t>
      </w:r>
      <w:r w:rsidR="00F778A8" w:rsidRPr="006527FD">
        <w:rPr>
          <w:rFonts w:ascii="Verdana" w:hAnsi="Verdana"/>
          <w:sz w:val="20"/>
          <w:szCs w:val="20"/>
          <w:lang w:val="es-ES"/>
        </w:rPr>
        <w:t xml:space="preserve"> “la Secretaría”) de 6 de septiembre de 2021, mediante la cual se acusó recibo del referido informe y se solicitó a la CPDH remitir toda la documentación disponible que sustentara lo alegado. </w:t>
      </w:r>
    </w:p>
    <w:p w14:paraId="7FB76389" w14:textId="77777777" w:rsidR="00225CE2" w:rsidRPr="006527FD" w:rsidRDefault="00225CE2" w:rsidP="00225CE2">
      <w:pPr>
        <w:jc w:val="both"/>
        <w:rPr>
          <w:rFonts w:ascii="Verdana" w:hAnsi="Verdana"/>
          <w:sz w:val="20"/>
          <w:szCs w:val="20"/>
          <w:lang w:val="es-ES"/>
        </w:rPr>
      </w:pPr>
    </w:p>
    <w:p w14:paraId="0C6B163E" w14:textId="6E80B12D" w:rsidR="00F778A8" w:rsidRPr="006527FD" w:rsidRDefault="00F778A8" w:rsidP="00AF712E">
      <w:pPr>
        <w:numPr>
          <w:ilvl w:val="0"/>
          <w:numId w:val="3"/>
        </w:numPr>
        <w:ind w:left="0" w:firstLine="0"/>
        <w:jc w:val="both"/>
        <w:rPr>
          <w:rFonts w:ascii="Verdana" w:hAnsi="Verdana"/>
          <w:b/>
          <w:sz w:val="20"/>
          <w:szCs w:val="20"/>
          <w:lang w:val="es-ES"/>
        </w:rPr>
      </w:pPr>
      <w:r w:rsidRPr="006527FD">
        <w:rPr>
          <w:rFonts w:ascii="Verdana" w:hAnsi="Verdana"/>
          <w:sz w:val="20"/>
          <w:szCs w:val="20"/>
          <w:lang w:val="es-ES"/>
        </w:rPr>
        <w:t xml:space="preserve">Las </w:t>
      </w:r>
      <w:r w:rsidR="00491B8E" w:rsidRPr="006527FD">
        <w:rPr>
          <w:rFonts w:ascii="Verdana" w:hAnsi="Verdana"/>
          <w:sz w:val="20"/>
          <w:szCs w:val="20"/>
          <w:lang w:val="es-ES"/>
        </w:rPr>
        <w:t xml:space="preserve">diversas </w:t>
      </w:r>
      <w:r w:rsidRPr="006527FD">
        <w:rPr>
          <w:rFonts w:ascii="Verdana" w:hAnsi="Verdana"/>
          <w:sz w:val="20"/>
          <w:szCs w:val="20"/>
          <w:lang w:val="es-ES"/>
        </w:rPr>
        <w:t>comunicaciones de 9 de septiembre de 2021</w:t>
      </w:r>
      <w:r w:rsidR="00B032AE">
        <w:rPr>
          <w:rFonts w:ascii="Verdana" w:hAnsi="Verdana"/>
          <w:sz w:val="20"/>
          <w:szCs w:val="20"/>
          <w:lang w:val="es-ES"/>
        </w:rPr>
        <w:t>,</w:t>
      </w:r>
      <w:r w:rsidRPr="006527FD">
        <w:rPr>
          <w:rFonts w:ascii="Verdana" w:hAnsi="Verdana"/>
          <w:sz w:val="20"/>
          <w:szCs w:val="20"/>
          <w:lang w:val="es-ES"/>
        </w:rPr>
        <w:t xml:space="preserve"> mediante las cuales la CPDH remitió </w:t>
      </w:r>
      <w:r w:rsidR="00222B31" w:rsidRPr="006527FD">
        <w:rPr>
          <w:rFonts w:ascii="Verdana" w:hAnsi="Verdana"/>
          <w:sz w:val="20"/>
          <w:szCs w:val="20"/>
          <w:lang w:val="es-ES"/>
        </w:rPr>
        <w:t>la documentación</w:t>
      </w:r>
      <w:r w:rsidRPr="006527FD">
        <w:rPr>
          <w:rFonts w:ascii="Verdana" w:hAnsi="Verdana"/>
          <w:sz w:val="20"/>
          <w:szCs w:val="20"/>
          <w:lang w:val="es-ES"/>
        </w:rPr>
        <w:t xml:space="preserve"> solicitada por el Tribunal, así como la nota de Secretaría de 16 de septiembre de 2021, mediante la cual se acusó recibo </w:t>
      </w:r>
      <w:r w:rsidR="00222B31" w:rsidRPr="006527FD">
        <w:rPr>
          <w:rFonts w:ascii="Verdana" w:hAnsi="Verdana"/>
          <w:sz w:val="20"/>
          <w:szCs w:val="20"/>
          <w:lang w:val="es-ES"/>
        </w:rPr>
        <w:t xml:space="preserve">de la referida información y fue transmitida </w:t>
      </w:r>
      <w:r w:rsidRPr="006527FD">
        <w:rPr>
          <w:rFonts w:ascii="Verdana" w:hAnsi="Verdana"/>
          <w:sz w:val="20"/>
          <w:szCs w:val="20"/>
          <w:lang w:val="es-ES"/>
        </w:rPr>
        <w:t xml:space="preserve">al Estado y a la Comisión Interamericana de Derechos Humanos (en la adelante “la Comisión” o “la Comisión Interamericana”) para que, a más tardar el 24 de septiembre de 2021, remitieran las observaciones que estimaran pertinentes. </w:t>
      </w:r>
    </w:p>
    <w:p w14:paraId="3A8AE632" w14:textId="2594C5AC" w:rsidR="00AF712E" w:rsidRPr="006527FD" w:rsidRDefault="00AF712E" w:rsidP="00AF712E">
      <w:pPr>
        <w:jc w:val="both"/>
        <w:rPr>
          <w:rFonts w:ascii="Verdana" w:hAnsi="Verdana"/>
          <w:sz w:val="20"/>
          <w:szCs w:val="20"/>
          <w:lang w:val="es-ES"/>
        </w:rPr>
      </w:pPr>
    </w:p>
    <w:p w14:paraId="4940493E" w14:textId="087681C9" w:rsidR="00AF712E" w:rsidRPr="006527FD" w:rsidRDefault="00F778A8" w:rsidP="00FE661A">
      <w:pPr>
        <w:numPr>
          <w:ilvl w:val="0"/>
          <w:numId w:val="3"/>
        </w:numPr>
        <w:ind w:left="0" w:firstLine="0"/>
        <w:jc w:val="both"/>
        <w:rPr>
          <w:rFonts w:ascii="Verdana" w:hAnsi="Verdana"/>
          <w:sz w:val="20"/>
          <w:szCs w:val="20"/>
          <w:lang w:val="es-ES"/>
        </w:rPr>
      </w:pPr>
      <w:r w:rsidRPr="006527FD">
        <w:rPr>
          <w:rFonts w:ascii="Verdana" w:hAnsi="Verdana"/>
          <w:sz w:val="20"/>
          <w:szCs w:val="20"/>
          <w:lang w:val="es-ES"/>
        </w:rPr>
        <w:t>Los</w:t>
      </w:r>
      <w:r w:rsidR="001E72D2" w:rsidRPr="006527FD">
        <w:rPr>
          <w:rFonts w:ascii="Verdana" w:hAnsi="Verdana"/>
          <w:sz w:val="20"/>
          <w:szCs w:val="20"/>
          <w:lang w:val="es-ES"/>
        </w:rPr>
        <w:t xml:space="preserve"> escrito</w:t>
      </w:r>
      <w:r w:rsidRPr="006527FD">
        <w:rPr>
          <w:rFonts w:ascii="Verdana" w:hAnsi="Verdana"/>
          <w:sz w:val="20"/>
          <w:szCs w:val="20"/>
          <w:lang w:val="es-ES"/>
        </w:rPr>
        <w:t>s</w:t>
      </w:r>
      <w:r w:rsidR="001E72D2" w:rsidRPr="006527FD">
        <w:rPr>
          <w:rFonts w:ascii="Verdana" w:hAnsi="Verdana"/>
          <w:sz w:val="20"/>
          <w:szCs w:val="20"/>
          <w:lang w:val="es-ES"/>
        </w:rPr>
        <w:t xml:space="preserve"> de 16</w:t>
      </w:r>
      <w:r w:rsidRPr="006527FD">
        <w:rPr>
          <w:rFonts w:ascii="Verdana" w:hAnsi="Verdana"/>
          <w:sz w:val="20"/>
          <w:szCs w:val="20"/>
          <w:lang w:val="es-ES"/>
        </w:rPr>
        <w:t xml:space="preserve"> y 20</w:t>
      </w:r>
      <w:r w:rsidR="001E72D2" w:rsidRPr="006527FD">
        <w:rPr>
          <w:rFonts w:ascii="Verdana" w:hAnsi="Verdana"/>
          <w:sz w:val="20"/>
          <w:szCs w:val="20"/>
          <w:lang w:val="es-ES"/>
        </w:rPr>
        <w:t xml:space="preserve"> de septiembre de 2021</w:t>
      </w:r>
      <w:r w:rsidR="00B032AE">
        <w:rPr>
          <w:rFonts w:ascii="Verdana" w:hAnsi="Verdana"/>
          <w:sz w:val="20"/>
          <w:szCs w:val="20"/>
          <w:lang w:val="es-ES"/>
        </w:rPr>
        <w:t>,</w:t>
      </w:r>
      <w:r w:rsidR="001E72D2" w:rsidRPr="006527FD">
        <w:rPr>
          <w:rFonts w:ascii="Verdana" w:hAnsi="Verdana"/>
          <w:sz w:val="20"/>
          <w:szCs w:val="20"/>
          <w:lang w:val="es-ES"/>
        </w:rPr>
        <w:t xml:space="preserve"> por medio de</w:t>
      </w:r>
      <w:r w:rsidRPr="006527FD">
        <w:rPr>
          <w:rFonts w:ascii="Verdana" w:hAnsi="Verdana"/>
          <w:sz w:val="20"/>
          <w:szCs w:val="20"/>
          <w:lang w:val="es-ES"/>
        </w:rPr>
        <w:t xml:space="preserve"> </w:t>
      </w:r>
      <w:r w:rsidR="001E72D2" w:rsidRPr="006527FD">
        <w:rPr>
          <w:rFonts w:ascii="Verdana" w:hAnsi="Verdana"/>
          <w:sz w:val="20"/>
          <w:szCs w:val="20"/>
          <w:lang w:val="es-ES"/>
        </w:rPr>
        <w:t>l</w:t>
      </w:r>
      <w:r w:rsidRPr="006527FD">
        <w:rPr>
          <w:rFonts w:ascii="Verdana" w:hAnsi="Verdana"/>
          <w:sz w:val="20"/>
          <w:szCs w:val="20"/>
          <w:lang w:val="es-ES"/>
        </w:rPr>
        <w:t>os</w:t>
      </w:r>
      <w:r w:rsidR="001E72D2" w:rsidRPr="006527FD">
        <w:rPr>
          <w:rFonts w:ascii="Verdana" w:hAnsi="Verdana"/>
          <w:sz w:val="20"/>
          <w:szCs w:val="20"/>
          <w:lang w:val="es-ES"/>
        </w:rPr>
        <w:t xml:space="preserve"> cual el Estado</w:t>
      </w:r>
      <w:r w:rsidRPr="006527FD">
        <w:rPr>
          <w:rFonts w:ascii="Verdana" w:hAnsi="Verdana"/>
          <w:sz w:val="20"/>
          <w:szCs w:val="20"/>
          <w:lang w:val="es-ES"/>
        </w:rPr>
        <w:t xml:space="preserve"> y la Comisión, respectivamente, remitieron sus observaciones con relación al informe e información remitida por la CPDH sobre la situación de la señora María del Socorro Oviedo Delgado.</w:t>
      </w:r>
      <w:r w:rsidR="001E72D2" w:rsidRPr="006527FD">
        <w:rPr>
          <w:rFonts w:ascii="Verdana" w:hAnsi="Verdana"/>
          <w:sz w:val="20"/>
          <w:szCs w:val="20"/>
          <w:lang w:val="es-ES"/>
        </w:rPr>
        <w:t xml:space="preserve"> </w:t>
      </w:r>
    </w:p>
    <w:p w14:paraId="37D88DCE" w14:textId="77777777" w:rsidR="00FE661A" w:rsidRPr="006527FD" w:rsidRDefault="00FE661A" w:rsidP="00FE661A">
      <w:pPr>
        <w:pStyle w:val="Prrafodelista"/>
        <w:rPr>
          <w:rFonts w:ascii="Verdana" w:hAnsi="Verdana"/>
          <w:sz w:val="20"/>
          <w:szCs w:val="20"/>
          <w:lang w:val="es-ES"/>
        </w:rPr>
      </w:pPr>
    </w:p>
    <w:p w14:paraId="4379C205" w14:textId="4188D098" w:rsidR="00FE661A" w:rsidRPr="006527FD" w:rsidRDefault="00FE661A" w:rsidP="00A60902">
      <w:pPr>
        <w:numPr>
          <w:ilvl w:val="0"/>
          <w:numId w:val="3"/>
        </w:numPr>
        <w:ind w:left="0" w:firstLine="0"/>
        <w:jc w:val="both"/>
        <w:rPr>
          <w:rFonts w:ascii="Verdana" w:hAnsi="Verdana"/>
          <w:sz w:val="20"/>
          <w:szCs w:val="20"/>
          <w:lang w:val="es-ES"/>
        </w:rPr>
      </w:pPr>
      <w:r w:rsidRPr="006527FD">
        <w:rPr>
          <w:rFonts w:ascii="Verdana" w:hAnsi="Verdana"/>
          <w:sz w:val="20"/>
          <w:szCs w:val="20"/>
          <w:lang w:val="es-ES"/>
        </w:rPr>
        <w:t xml:space="preserve">La comunicación de 20 de septiembre de 2021 y anexo, mediante la cual la CPDH presentó nueva documentación en relación con la </w:t>
      </w:r>
      <w:r w:rsidR="00491B8E" w:rsidRPr="006527FD">
        <w:rPr>
          <w:rFonts w:ascii="Verdana" w:hAnsi="Verdana"/>
          <w:sz w:val="20"/>
          <w:szCs w:val="20"/>
          <w:lang w:val="es-ES"/>
        </w:rPr>
        <w:t xml:space="preserve">situación de la </w:t>
      </w:r>
      <w:r w:rsidRPr="006527FD">
        <w:rPr>
          <w:rFonts w:ascii="Verdana" w:hAnsi="Verdana"/>
          <w:sz w:val="20"/>
          <w:szCs w:val="20"/>
          <w:lang w:val="es-ES"/>
        </w:rPr>
        <w:t xml:space="preserve">señora María del Socorro Oviedo Delgado. </w:t>
      </w:r>
    </w:p>
    <w:p w14:paraId="38B71CE7" w14:textId="77777777" w:rsidR="00225CE2" w:rsidRPr="006527FD" w:rsidRDefault="00225CE2" w:rsidP="00225CE2">
      <w:pPr>
        <w:jc w:val="both"/>
        <w:rPr>
          <w:rFonts w:ascii="Verdana" w:hAnsi="Verdana"/>
          <w:sz w:val="20"/>
          <w:szCs w:val="20"/>
          <w:lang w:val="es-ES"/>
        </w:rPr>
      </w:pPr>
    </w:p>
    <w:p w14:paraId="725C6F51" w14:textId="77BED692" w:rsidR="00FE661A" w:rsidRPr="006527FD" w:rsidRDefault="00FE661A" w:rsidP="00552FE8">
      <w:pPr>
        <w:numPr>
          <w:ilvl w:val="0"/>
          <w:numId w:val="3"/>
        </w:numPr>
        <w:ind w:left="0" w:firstLine="0"/>
        <w:jc w:val="both"/>
        <w:rPr>
          <w:rFonts w:ascii="Verdana" w:hAnsi="Verdana"/>
          <w:sz w:val="20"/>
          <w:szCs w:val="20"/>
          <w:lang w:val="es-ES"/>
        </w:rPr>
      </w:pPr>
      <w:r w:rsidRPr="006527FD">
        <w:rPr>
          <w:rFonts w:ascii="Verdana" w:hAnsi="Verdana"/>
          <w:sz w:val="20"/>
          <w:szCs w:val="20"/>
          <w:lang w:val="es-ES"/>
        </w:rPr>
        <w:t>La nota de Secretaría de 22 de septiembre de 2021</w:t>
      </w:r>
      <w:r w:rsidR="00B032AE">
        <w:rPr>
          <w:rFonts w:ascii="Verdana" w:hAnsi="Verdana"/>
          <w:sz w:val="20"/>
          <w:szCs w:val="20"/>
          <w:lang w:val="es-ES"/>
        </w:rPr>
        <w:t>,</w:t>
      </w:r>
      <w:r w:rsidRPr="006527FD">
        <w:rPr>
          <w:rFonts w:ascii="Verdana" w:hAnsi="Verdana"/>
          <w:sz w:val="20"/>
          <w:szCs w:val="20"/>
          <w:lang w:val="es-ES"/>
        </w:rPr>
        <w:t xml:space="preserve"> mediante la cual se acusó recibo de las observaciones remitidas por el Estado y la Comisión y se remitió a las partes y la Comisión la nueva documentación presentada por la CPDH. </w:t>
      </w:r>
    </w:p>
    <w:p w14:paraId="221B4B05" w14:textId="77777777" w:rsidR="00225CE2" w:rsidRPr="006527FD" w:rsidRDefault="00225CE2" w:rsidP="00225CE2">
      <w:pPr>
        <w:jc w:val="both"/>
        <w:rPr>
          <w:rFonts w:ascii="Verdana" w:hAnsi="Verdana"/>
          <w:sz w:val="20"/>
          <w:szCs w:val="20"/>
          <w:lang w:val="es-ES"/>
        </w:rPr>
      </w:pPr>
    </w:p>
    <w:p w14:paraId="4C287452" w14:textId="793E930B" w:rsidR="00FE661A" w:rsidRPr="006527FD" w:rsidRDefault="00FE661A" w:rsidP="00AF712E">
      <w:pPr>
        <w:numPr>
          <w:ilvl w:val="0"/>
          <w:numId w:val="3"/>
        </w:numPr>
        <w:ind w:left="0" w:firstLine="0"/>
        <w:jc w:val="both"/>
        <w:rPr>
          <w:rFonts w:ascii="Verdana" w:hAnsi="Verdana"/>
          <w:sz w:val="20"/>
          <w:szCs w:val="20"/>
          <w:lang w:val="es-ES"/>
        </w:rPr>
      </w:pPr>
      <w:r w:rsidRPr="006527FD">
        <w:rPr>
          <w:rFonts w:ascii="Verdana" w:hAnsi="Verdana"/>
          <w:sz w:val="20"/>
          <w:szCs w:val="20"/>
          <w:lang w:val="es-ES"/>
        </w:rPr>
        <w:t>El escrito de 22 de septiembre de 2021</w:t>
      </w:r>
      <w:r w:rsidR="00B032AE">
        <w:rPr>
          <w:rFonts w:ascii="Verdana" w:hAnsi="Verdana"/>
          <w:sz w:val="20"/>
          <w:szCs w:val="20"/>
          <w:lang w:val="es-ES"/>
        </w:rPr>
        <w:t>,</w:t>
      </w:r>
      <w:r w:rsidRPr="006527FD">
        <w:rPr>
          <w:rFonts w:ascii="Verdana" w:hAnsi="Verdana"/>
          <w:sz w:val="20"/>
          <w:szCs w:val="20"/>
          <w:lang w:val="es-ES"/>
        </w:rPr>
        <w:t xml:space="preserve"> mediante el cual el Estado se refirió a la solicitud de la CPDH con respecto a la señora María del Socorro Oviedo Delgado, así como la nota de Secretaría de 24 de septiembre de 2021, mediante la cual se acusó recibo del mencionado escrito y se transmitió a las partes y la Comisión. </w:t>
      </w:r>
    </w:p>
    <w:p w14:paraId="2A4C1A01" w14:textId="77777777" w:rsidR="00FE661A" w:rsidRPr="006527FD" w:rsidRDefault="00FE661A" w:rsidP="00FE661A">
      <w:pPr>
        <w:pStyle w:val="Prrafodelista"/>
        <w:rPr>
          <w:rFonts w:ascii="Verdana" w:hAnsi="Verdana"/>
          <w:sz w:val="20"/>
          <w:szCs w:val="20"/>
          <w:lang w:val="es-ES"/>
        </w:rPr>
      </w:pPr>
    </w:p>
    <w:p w14:paraId="3985CDFA" w14:textId="77777777" w:rsidR="007121D6" w:rsidRPr="006527FD" w:rsidRDefault="007121D6" w:rsidP="003E1931">
      <w:pPr>
        <w:jc w:val="both"/>
        <w:rPr>
          <w:rFonts w:ascii="Verdana" w:eastAsia="Verdana" w:hAnsi="Verdana" w:cs="Verdana"/>
          <w:b/>
          <w:bCs/>
          <w:sz w:val="20"/>
          <w:szCs w:val="20"/>
          <w:lang w:val="es-ES"/>
        </w:rPr>
      </w:pPr>
      <w:r w:rsidRPr="006527FD">
        <w:rPr>
          <w:rFonts w:ascii="Verdana" w:eastAsia="Verdana" w:hAnsi="Verdana" w:cs="Verdana"/>
          <w:b/>
          <w:bCs/>
          <w:sz w:val="20"/>
          <w:szCs w:val="20"/>
          <w:lang w:val="es-ES"/>
        </w:rPr>
        <w:t>CONSIDERANDO QUE:</w:t>
      </w:r>
    </w:p>
    <w:p w14:paraId="53E4B4F8" w14:textId="77777777" w:rsidR="00F744E6" w:rsidRPr="006527FD" w:rsidRDefault="00F744E6" w:rsidP="003E1931">
      <w:pPr>
        <w:jc w:val="both"/>
        <w:rPr>
          <w:rFonts w:ascii="Verdana" w:eastAsia="Verdana" w:hAnsi="Verdana" w:cs="Verdana"/>
          <w:b/>
          <w:bCs/>
          <w:sz w:val="20"/>
          <w:szCs w:val="20"/>
          <w:lang w:val="es-ES"/>
        </w:rPr>
      </w:pPr>
    </w:p>
    <w:p w14:paraId="792157BF" w14:textId="77777777" w:rsidR="009959E7" w:rsidRPr="006527FD" w:rsidRDefault="009959E7" w:rsidP="009959E7">
      <w:pPr>
        <w:numPr>
          <w:ilvl w:val="0"/>
          <w:numId w:val="25"/>
        </w:numPr>
        <w:ind w:left="0" w:firstLine="0"/>
        <w:jc w:val="both"/>
        <w:rPr>
          <w:rFonts w:ascii="Verdana" w:hAnsi="Verdana"/>
          <w:sz w:val="20"/>
          <w:szCs w:val="20"/>
        </w:rPr>
      </w:pPr>
      <w:r w:rsidRPr="006527FD">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La orden de adoptar medidas es aplicable siempre y cuando se reúnan los requisitos básicos de extrema gravedad y urgencia y de la necesidad de prevención de daños irreparables a las personas. Estos tres requisitos son coexistentes y deben persistir para que la Corte mantenga la protección ordenada</w:t>
      </w:r>
      <w:r w:rsidRPr="006527FD">
        <w:rPr>
          <w:rStyle w:val="Refdenotaalpie"/>
          <w:rFonts w:ascii="Verdana" w:hAnsi="Verdana"/>
          <w:sz w:val="20"/>
          <w:szCs w:val="20"/>
        </w:rPr>
        <w:footnoteReference w:id="4"/>
      </w:r>
      <w:r w:rsidRPr="006527FD">
        <w:rPr>
          <w:rFonts w:ascii="Verdana" w:hAnsi="Verdana"/>
          <w:sz w:val="20"/>
          <w:szCs w:val="20"/>
        </w:rPr>
        <w:t>.</w:t>
      </w:r>
    </w:p>
    <w:p w14:paraId="0F303606" w14:textId="77777777" w:rsidR="009959E7" w:rsidRPr="006527FD" w:rsidRDefault="009959E7" w:rsidP="009959E7">
      <w:pPr>
        <w:jc w:val="both"/>
        <w:rPr>
          <w:rFonts w:ascii="Verdana" w:hAnsi="Verdana"/>
          <w:sz w:val="20"/>
          <w:szCs w:val="20"/>
        </w:rPr>
      </w:pPr>
    </w:p>
    <w:p w14:paraId="47952C91" w14:textId="77777777" w:rsidR="009959E7" w:rsidRPr="006527FD" w:rsidRDefault="009959E7" w:rsidP="009959E7">
      <w:pPr>
        <w:numPr>
          <w:ilvl w:val="0"/>
          <w:numId w:val="25"/>
        </w:numPr>
        <w:ind w:left="0" w:firstLine="0"/>
        <w:jc w:val="both"/>
        <w:rPr>
          <w:rFonts w:ascii="Verdana" w:hAnsi="Verdana"/>
          <w:sz w:val="20"/>
          <w:szCs w:val="20"/>
        </w:rPr>
      </w:pPr>
      <w:r w:rsidRPr="006527FD">
        <w:rPr>
          <w:rFonts w:ascii="Verdana" w:hAnsi="Verdana"/>
          <w:sz w:val="20"/>
          <w:szCs w:val="20"/>
        </w:rPr>
        <w:t>La disposición establecida en el artículo 63.2 de la Convención confiere un carácter obligatorio a las medidas provisionales que ordena este Tribunal, ya que el principio básico del Derecho Internacional, respaldado por la jurisprudencia internacional, ha señalado que los Estados deben cumplir sus obligaciones convencionales de buena fe (</w:t>
      </w:r>
      <w:r w:rsidRPr="006527FD">
        <w:rPr>
          <w:rFonts w:ascii="Verdana" w:hAnsi="Verdana"/>
          <w:i/>
          <w:sz w:val="20"/>
          <w:szCs w:val="20"/>
        </w:rPr>
        <w:t>pacta sunt servanda</w:t>
      </w:r>
      <w:r w:rsidRPr="006527FD">
        <w:rPr>
          <w:rFonts w:ascii="Verdana" w:hAnsi="Verdana"/>
          <w:sz w:val="20"/>
          <w:szCs w:val="20"/>
        </w:rPr>
        <w:t>)</w:t>
      </w:r>
      <w:r w:rsidRPr="006527FD">
        <w:rPr>
          <w:rStyle w:val="Refdenotaalpie"/>
          <w:rFonts w:ascii="Verdana" w:hAnsi="Verdana"/>
          <w:sz w:val="20"/>
          <w:szCs w:val="20"/>
        </w:rPr>
        <w:footnoteReference w:id="5"/>
      </w:r>
      <w:r w:rsidRPr="006527FD">
        <w:rPr>
          <w:rFonts w:ascii="Verdana" w:hAnsi="Verdana"/>
          <w:sz w:val="20"/>
          <w:szCs w:val="20"/>
        </w:rPr>
        <w:t xml:space="preserve">. Estas órdenes implican un deber especial de protección de los beneficiarios de </w:t>
      </w:r>
      <w:r w:rsidRPr="006527FD">
        <w:rPr>
          <w:rFonts w:ascii="Verdana" w:hAnsi="Verdana"/>
          <w:sz w:val="20"/>
          <w:szCs w:val="20"/>
        </w:rPr>
        <w:lastRenderedPageBreak/>
        <w:t>las medidas, mientras se encuentren vigentes, y su incumplimiento puede generar responsabilidad internacional del Estado</w:t>
      </w:r>
      <w:r w:rsidRPr="006527FD">
        <w:rPr>
          <w:rStyle w:val="Refdenotaalpie"/>
          <w:rFonts w:ascii="Verdana" w:hAnsi="Verdana"/>
          <w:sz w:val="20"/>
          <w:szCs w:val="20"/>
        </w:rPr>
        <w:footnoteReference w:id="6"/>
      </w:r>
      <w:r w:rsidRPr="006527FD">
        <w:rPr>
          <w:rFonts w:ascii="Verdana" w:hAnsi="Verdana"/>
          <w:sz w:val="20"/>
          <w:szCs w:val="20"/>
        </w:rPr>
        <w:t>.</w:t>
      </w:r>
    </w:p>
    <w:p w14:paraId="40DB8CD8" w14:textId="77777777" w:rsidR="009959E7" w:rsidRPr="006527FD" w:rsidRDefault="009959E7" w:rsidP="009959E7">
      <w:pPr>
        <w:jc w:val="both"/>
        <w:rPr>
          <w:rFonts w:ascii="Verdana" w:hAnsi="Verdana"/>
          <w:sz w:val="20"/>
          <w:szCs w:val="20"/>
        </w:rPr>
      </w:pPr>
    </w:p>
    <w:p w14:paraId="41B70FF6" w14:textId="77777777" w:rsidR="009959E7" w:rsidRPr="006527FD" w:rsidRDefault="009959E7" w:rsidP="009959E7">
      <w:pPr>
        <w:numPr>
          <w:ilvl w:val="0"/>
          <w:numId w:val="25"/>
        </w:numPr>
        <w:ind w:left="0" w:firstLine="0"/>
        <w:jc w:val="both"/>
        <w:rPr>
          <w:rFonts w:ascii="Verdana" w:hAnsi="Verdana"/>
          <w:sz w:val="20"/>
          <w:szCs w:val="20"/>
        </w:rPr>
      </w:pPr>
      <w:r w:rsidRPr="006527FD">
        <w:rPr>
          <w:rFonts w:ascii="Verdana" w:hAnsi="Verdana"/>
          <w:sz w:val="20"/>
          <w:szCs w:val="20"/>
        </w:rPr>
        <w:t xml:space="preserve">El Tribunal recuerda que las medidas provisionales ordenadas por el Pleno de la Corte el 14 de octubre de 2019 (ver </w:t>
      </w:r>
      <w:r w:rsidRPr="006527FD">
        <w:rPr>
          <w:rFonts w:ascii="Verdana" w:hAnsi="Verdana"/>
          <w:i/>
          <w:sz w:val="20"/>
          <w:szCs w:val="20"/>
        </w:rPr>
        <w:t>supra</w:t>
      </w:r>
      <w:r w:rsidRPr="006527FD">
        <w:rPr>
          <w:rFonts w:ascii="Verdana" w:hAnsi="Verdana"/>
          <w:sz w:val="20"/>
          <w:szCs w:val="20"/>
        </w:rPr>
        <w:t xml:space="preserve"> Visto 1) tienen como objetivo garantizar eficazmente la vida y la integridad personal de las y los integrantes del </w:t>
      </w:r>
      <w:r w:rsidRPr="006527FD">
        <w:rPr>
          <w:rFonts w:ascii="Verdana" w:hAnsi="Verdana"/>
          <w:sz w:val="20"/>
          <w:szCs w:val="20"/>
          <w:lang w:val="es-ES"/>
        </w:rPr>
        <w:t xml:space="preserve">CENIDH y de la CPDH, así como asegurar la continuidad de sus labores en </w:t>
      </w:r>
      <w:r w:rsidRPr="006527FD">
        <w:rPr>
          <w:rFonts w:ascii="Verdana" w:eastAsia="Calibri" w:hAnsi="Verdana" w:cs="Cambria"/>
          <w:sz w:val="20"/>
          <w:szCs w:val="20"/>
          <w:lang w:val="es-CR"/>
        </w:rPr>
        <w:t>defensa</w:t>
      </w:r>
      <w:r w:rsidRPr="006527FD">
        <w:rPr>
          <w:rFonts w:ascii="Verdana" w:hAnsi="Verdana"/>
          <w:sz w:val="20"/>
          <w:szCs w:val="20"/>
          <w:lang w:val="es-ES"/>
        </w:rPr>
        <w:t xml:space="preserve"> de los derechos humanos sin ser objeto de hostigamientos, amenazas o agresiones.</w:t>
      </w:r>
    </w:p>
    <w:p w14:paraId="26EC33E0" w14:textId="77777777" w:rsidR="009959E7" w:rsidRPr="006527FD" w:rsidRDefault="009959E7" w:rsidP="009959E7">
      <w:pPr>
        <w:jc w:val="both"/>
        <w:rPr>
          <w:rFonts w:ascii="Verdana" w:hAnsi="Verdana"/>
          <w:sz w:val="20"/>
          <w:szCs w:val="20"/>
        </w:rPr>
      </w:pPr>
    </w:p>
    <w:p w14:paraId="1EC59077" w14:textId="763BAE56" w:rsidR="00F31662" w:rsidRPr="006527FD" w:rsidRDefault="009959E7" w:rsidP="009959E7">
      <w:pPr>
        <w:numPr>
          <w:ilvl w:val="0"/>
          <w:numId w:val="25"/>
        </w:numPr>
        <w:ind w:left="0" w:firstLine="0"/>
        <w:jc w:val="both"/>
        <w:rPr>
          <w:rFonts w:ascii="Verdana" w:hAnsi="Verdana"/>
          <w:sz w:val="20"/>
          <w:szCs w:val="20"/>
        </w:rPr>
      </w:pPr>
      <w:r w:rsidRPr="006527FD">
        <w:rPr>
          <w:rFonts w:ascii="Verdana" w:hAnsi="Verdana"/>
          <w:sz w:val="20"/>
          <w:szCs w:val="20"/>
        </w:rPr>
        <w:t xml:space="preserve">De conformidad con </w:t>
      </w:r>
      <w:r w:rsidR="00222B31" w:rsidRPr="006527FD">
        <w:rPr>
          <w:rFonts w:ascii="Verdana" w:hAnsi="Verdana"/>
          <w:sz w:val="20"/>
          <w:szCs w:val="20"/>
        </w:rPr>
        <w:t>el</w:t>
      </w:r>
      <w:r w:rsidRPr="006527FD">
        <w:rPr>
          <w:rFonts w:ascii="Verdana" w:hAnsi="Verdana"/>
          <w:sz w:val="20"/>
          <w:szCs w:val="20"/>
        </w:rPr>
        <w:t xml:space="preserve"> escrito de 3 de septiembre de 2021, así como con los posteriores presentados hasta la adopción de la presente Resolución (</w:t>
      </w:r>
      <w:r w:rsidRPr="006527FD">
        <w:rPr>
          <w:rFonts w:ascii="Verdana" w:hAnsi="Verdana"/>
          <w:i/>
          <w:sz w:val="20"/>
          <w:szCs w:val="20"/>
        </w:rPr>
        <w:t>supra</w:t>
      </w:r>
      <w:r w:rsidRPr="006527FD">
        <w:rPr>
          <w:rFonts w:ascii="Verdana" w:hAnsi="Verdana"/>
          <w:sz w:val="20"/>
          <w:szCs w:val="20"/>
        </w:rPr>
        <w:t xml:space="preserve"> Vistos 5 y 7), los representantes </w:t>
      </w:r>
      <w:r w:rsidR="00222B31" w:rsidRPr="006527FD">
        <w:rPr>
          <w:rFonts w:ascii="Verdana" w:hAnsi="Verdana"/>
          <w:sz w:val="20"/>
          <w:szCs w:val="20"/>
        </w:rPr>
        <w:t xml:space="preserve">de la CPDH </w:t>
      </w:r>
      <w:r w:rsidRPr="006527FD">
        <w:rPr>
          <w:rFonts w:ascii="Verdana" w:hAnsi="Verdana"/>
          <w:sz w:val="20"/>
          <w:szCs w:val="20"/>
        </w:rPr>
        <w:t xml:space="preserve">solicitaron que este Tribunal ordene al Estado la “liberación inmediata” de la señora María del Socorro Oviedo Delgado, integrante </w:t>
      </w:r>
      <w:r w:rsidR="00222B31" w:rsidRPr="006527FD">
        <w:rPr>
          <w:rFonts w:ascii="Verdana" w:hAnsi="Verdana"/>
          <w:sz w:val="20"/>
          <w:szCs w:val="20"/>
        </w:rPr>
        <w:t>de dicha organización</w:t>
      </w:r>
      <w:r w:rsidRPr="006527FD">
        <w:rPr>
          <w:rFonts w:ascii="Verdana" w:hAnsi="Verdana"/>
          <w:sz w:val="20"/>
          <w:szCs w:val="20"/>
        </w:rPr>
        <w:t>, así como la adopción de “las medidas necesarias para proteger eficazmente [su] vida, integridad y libertad personal”. La Comisión se adhirió a lo solicitado por los representantes. El Estado, por su parte, se opuso a la adopción de dicha medida. A continuación, se expone la información y argumentos expresados por los representantes y la Comisión, así como por el Estado nicaragüense, para finalmente abordar las consideraciones de la Corte al respecto</w:t>
      </w:r>
      <w:r w:rsidR="00853D26" w:rsidRPr="006527FD">
        <w:rPr>
          <w:rFonts w:ascii="Verdana" w:hAnsi="Verdana"/>
          <w:sz w:val="20"/>
          <w:szCs w:val="20"/>
        </w:rPr>
        <w:t>.</w:t>
      </w:r>
    </w:p>
    <w:p w14:paraId="39FB6627" w14:textId="77777777" w:rsidR="00853D26" w:rsidRPr="006527FD" w:rsidRDefault="00853D26" w:rsidP="00853D26">
      <w:pPr>
        <w:jc w:val="both"/>
        <w:rPr>
          <w:rFonts w:ascii="Verdana" w:hAnsi="Verdana"/>
          <w:sz w:val="20"/>
          <w:szCs w:val="20"/>
        </w:rPr>
      </w:pPr>
    </w:p>
    <w:p w14:paraId="69078D08" w14:textId="236D28CB" w:rsidR="00FB6C1B" w:rsidRPr="006527FD" w:rsidRDefault="00FB6C1B" w:rsidP="003E1931">
      <w:pPr>
        <w:pStyle w:val="Ttulo2"/>
        <w:spacing w:before="0" w:after="0"/>
        <w:rPr>
          <w:lang w:val="es-ES"/>
        </w:rPr>
      </w:pPr>
      <w:bookmarkStart w:id="0" w:name="_Toc76468430"/>
      <w:r w:rsidRPr="006527FD">
        <w:rPr>
          <w:lang w:val="es-ES"/>
        </w:rPr>
        <w:t>A.</w:t>
      </w:r>
      <w:r w:rsidRPr="006527FD">
        <w:rPr>
          <w:lang w:val="es-ES"/>
        </w:rPr>
        <w:tab/>
      </w:r>
      <w:bookmarkEnd w:id="0"/>
      <w:r w:rsidRPr="006527FD">
        <w:rPr>
          <w:lang w:val="es-ES"/>
        </w:rPr>
        <w:t xml:space="preserve">Alegatos y solicitudes de los </w:t>
      </w:r>
      <w:r w:rsidR="00862429" w:rsidRPr="006527FD">
        <w:rPr>
          <w:lang w:val="es-ES"/>
        </w:rPr>
        <w:t>representantes</w:t>
      </w:r>
    </w:p>
    <w:p w14:paraId="2DC2AE0B" w14:textId="77777777" w:rsidR="00AA40B7" w:rsidRPr="006527FD" w:rsidRDefault="00AA40B7" w:rsidP="00AA40B7">
      <w:pPr>
        <w:rPr>
          <w:rFonts w:ascii="Verdana" w:hAnsi="Verdana"/>
          <w:sz w:val="20"/>
          <w:szCs w:val="20"/>
          <w:lang w:val="es-ES" w:eastAsia="es-CR"/>
        </w:rPr>
      </w:pPr>
    </w:p>
    <w:p w14:paraId="646844CE" w14:textId="5ADB07C1" w:rsidR="0068309A" w:rsidRPr="006527FD" w:rsidRDefault="00853D26" w:rsidP="0068309A">
      <w:pPr>
        <w:numPr>
          <w:ilvl w:val="0"/>
          <w:numId w:val="25"/>
        </w:numPr>
        <w:ind w:left="0" w:firstLine="0"/>
        <w:jc w:val="both"/>
        <w:rPr>
          <w:rFonts w:ascii="Verdana" w:hAnsi="Verdana"/>
          <w:sz w:val="20"/>
          <w:szCs w:val="20"/>
        </w:rPr>
      </w:pPr>
      <w:r w:rsidRPr="006527FD">
        <w:rPr>
          <w:rFonts w:ascii="Verdana" w:hAnsi="Verdana"/>
          <w:sz w:val="20"/>
          <w:szCs w:val="20"/>
          <w:lang w:val="es-ES"/>
        </w:rPr>
        <w:t xml:space="preserve">Los </w:t>
      </w:r>
      <w:r w:rsidRPr="006527FD">
        <w:rPr>
          <w:rFonts w:ascii="Verdana" w:hAnsi="Verdana"/>
          <w:b/>
          <w:i/>
          <w:sz w:val="20"/>
          <w:szCs w:val="20"/>
          <w:lang w:val="es-ES"/>
        </w:rPr>
        <w:t>representantes</w:t>
      </w:r>
      <w:r w:rsidRPr="006527FD">
        <w:rPr>
          <w:rFonts w:ascii="Verdana" w:hAnsi="Verdana"/>
          <w:sz w:val="20"/>
          <w:szCs w:val="20"/>
          <w:lang w:val="es-ES"/>
        </w:rPr>
        <w:t xml:space="preserve"> </w:t>
      </w:r>
      <w:r w:rsidR="00013F89" w:rsidRPr="006527FD">
        <w:rPr>
          <w:rFonts w:ascii="Verdana" w:hAnsi="Verdana"/>
          <w:sz w:val="20"/>
          <w:szCs w:val="20"/>
          <w:lang w:val="es-ES"/>
        </w:rPr>
        <w:t xml:space="preserve">indicaron que el 29 de julio de 2021 un operativo policial entró en la vivienda de la madre de la señora María del Socorro Oviedo Delgado, </w:t>
      </w:r>
      <w:r w:rsidR="00222B31" w:rsidRPr="006527FD">
        <w:rPr>
          <w:rFonts w:ascii="Verdana" w:hAnsi="Verdana"/>
          <w:sz w:val="20"/>
          <w:szCs w:val="20"/>
          <w:lang w:val="es-ES"/>
        </w:rPr>
        <w:t>integrante</w:t>
      </w:r>
      <w:r w:rsidR="00013F89" w:rsidRPr="006527FD">
        <w:rPr>
          <w:rFonts w:ascii="Verdana" w:hAnsi="Verdana"/>
          <w:sz w:val="20"/>
          <w:szCs w:val="20"/>
          <w:lang w:val="es-ES"/>
        </w:rPr>
        <w:t xml:space="preserve"> de la CPDH, y “sin mediar palabras y sin presentar orden de allanamiento y/o captura, ingresaron a la vivienda y arrestaron” a la señora Oviedo</w:t>
      </w:r>
      <w:r w:rsidR="00222B31" w:rsidRPr="006527FD">
        <w:rPr>
          <w:rFonts w:ascii="Verdana" w:hAnsi="Verdana"/>
          <w:sz w:val="20"/>
          <w:szCs w:val="20"/>
          <w:lang w:val="es-ES"/>
        </w:rPr>
        <w:t>,</w:t>
      </w:r>
      <w:r w:rsidR="00013F89" w:rsidRPr="006527FD">
        <w:rPr>
          <w:rFonts w:ascii="Verdana" w:hAnsi="Verdana"/>
          <w:sz w:val="20"/>
          <w:szCs w:val="20"/>
          <w:lang w:val="es-ES"/>
        </w:rPr>
        <w:t xml:space="preserve"> “sin leerle ningún derecho consagrado en la Constitución Política de Nicaragua”. La señora Oviedo fue trasladada a la Delegación Policial de León y, posteriormente, a la Dirección de Auxilio Judicial Nacional Complejo Policial Evaristo Vásquez en la ciudad de Managua. Al día siguiente</w:t>
      </w:r>
      <w:r w:rsidR="00222B31" w:rsidRPr="006527FD">
        <w:rPr>
          <w:rFonts w:ascii="Verdana" w:hAnsi="Verdana"/>
          <w:sz w:val="20"/>
          <w:szCs w:val="20"/>
          <w:lang w:val="es-ES"/>
        </w:rPr>
        <w:t>,</w:t>
      </w:r>
      <w:r w:rsidR="00013F89" w:rsidRPr="006527FD">
        <w:rPr>
          <w:rFonts w:ascii="Verdana" w:hAnsi="Verdana"/>
          <w:sz w:val="20"/>
          <w:szCs w:val="20"/>
          <w:lang w:val="es-ES"/>
        </w:rPr>
        <w:t xml:space="preserve"> un equipo de la CPDH se presentó en la referida Dirección, donde un oficial de Policía les “expulsó” y les confirmó la presencia de la señora Oviedo en dichas instalaciones. </w:t>
      </w:r>
      <w:r w:rsidR="00222B31" w:rsidRPr="006527FD">
        <w:rPr>
          <w:rFonts w:ascii="Verdana" w:hAnsi="Verdana"/>
          <w:sz w:val="20"/>
          <w:szCs w:val="20"/>
          <w:lang w:val="es-ES"/>
        </w:rPr>
        <w:t>Además, dicho oficial les</w:t>
      </w:r>
      <w:r w:rsidR="00013F89" w:rsidRPr="006527FD">
        <w:rPr>
          <w:rFonts w:ascii="Verdana" w:hAnsi="Verdana"/>
          <w:sz w:val="20"/>
          <w:szCs w:val="20"/>
          <w:lang w:val="es-ES"/>
        </w:rPr>
        <w:t xml:space="preserve"> informó que podían llevarle “bebidas, insumos de higiene personal y medicamentos”</w:t>
      </w:r>
      <w:r w:rsidR="006B70D5" w:rsidRPr="006527FD">
        <w:rPr>
          <w:rFonts w:ascii="Verdana" w:hAnsi="Verdana"/>
          <w:sz w:val="20"/>
          <w:szCs w:val="20"/>
          <w:lang w:val="es-ES"/>
        </w:rPr>
        <w:t xml:space="preserve">. </w:t>
      </w:r>
      <w:r w:rsidR="00222B31" w:rsidRPr="006527FD">
        <w:rPr>
          <w:rFonts w:ascii="Verdana" w:hAnsi="Verdana"/>
          <w:sz w:val="20"/>
          <w:szCs w:val="20"/>
          <w:lang w:val="es-ES"/>
        </w:rPr>
        <w:t>Los representantes indicaron que, a raíz de estos hechos,</w:t>
      </w:r>
      <w:r w:rsidR="006B70D5" w:rsidRPr="006527FD">
        <w:rPr>
          <w:rFonts w:ascii="Verdana" w:hAnsi="Verdana"/>
          <w:sz w:val="20"/>
          <w:szCs w:val="20"/>
          <w:lang w:val="es-ES"/>
        </w:rPr>
        <w:t xml:space="preserve"> interpusieron varios Recursos de Exhibición Personal</w:t>
      </w:r>
      <w:r w:rsidR="008D6A21" w:rsidRPr="006527FD">
        <w:rPr>
          <w:rFonts w:ascii="Verdana" w:hAnsi="Verdana"/>
          <w:sz w:val="20"/>
          <w:szCs w:val="20"/>
          <w:lang w:val="es-ES"/>
        </w:rPr>
        <w:t xml:space="preserve"> </w:t>
      </w:r>
      <w:r w:rsidR="006B70D5" w:rsidRPr="006527FD">
        <w:rPr>
          <w:rFonts w:ascii="Verdana" w:hAnsi="Verdana"/>
          <w:sz w:val="20"/>
          <w:szCs w:val="20"/>
          <w:lang w:val="es-ES"/>
        </w:rPr>
        <w:t>ante la Sala Penal del Tribunal Apelaciones de Managua</w:t>
      </w:r>
      <w:r w:rsidR="006B70D5" w:rsidRPr="006527FD">
        <w:rPr>
          <w:rStyle w:val="Refdenotaalpie"/>
          <w:rFonts w:ascii="Verdana" w:hAnsi="Verdana"/>
          <w:sz w:val="20"/>
          <w:szCs w:val="20"/>
          <w:lang w:val="es-ES"/>
        </w:rPr>
        <w:footnoteReference w:id="7"/>
      </w:r>
      <w:r w:rsidR="006B70D5" w:rsidRPr="006527FD">
        <w:rPr>
          <w:rFonts w:ascii="Verdana" w:hAnsi="Verdana"/>
          <w:sz w:val="20"/>
          <w:szCs w:val="20"/>
          <w:lang w:val="es-ES"/>
        </w:rPr>
        <w:t xml:space="preserve">, así como </w:t>
      </w:r>
      <w:r w:rsidR="0068309A" w:rsidRPr="006527FD">
        <w:rPr>
          <w:rFonts w:ascii="Verdana" w:hAnsi="Verdana"/>
          <w:sz w:val="20"/>
          <w:szCs w:val="20"/>
          <w:lang w:val="es-ES"/>
        </w:rPr>
        <w:t>varios recursos de queja ante l</w:t>
      </w:r>
      <w:r w:rsidR="006B70D5" w:rsidRPr="006527FD">
        <w:rPr>
          <w:rFonts w:ascii="Verdana" w:hAnsi="Verdana"/>
          <w:sz w:val="20"/>
          <w:szCs w:val="20"/>
          <w:lang w:val="es-ES"/>
        </w:rPr>
        <w:t>a</w:t>
      </w:r>
      <w:r w:rsidR="0068309A" w:rsidRPr="006527FD">
        <w:rPr>
          <w:rFonts w:ascii="Verdana" w:hAnsi="Verdana"/>
          <w:sz w:val="20"/>
          <w:szCs w:val="20"/>
          <w:lang w:val="es-ES"/>
        </w:rPr>
        <w:t xml:space="preserve"> </w:t>
      </w:r>
      <w:r w:rsidR="006B70D5" w:rsidRPr="006527FD">
        <w:rPr>
          <w:rFonts w:ascii="Verdana" w:hAnsi="Verdana"/>
          <w:sz w:val="20"/>
          <w:szCs w:val="20"/>
          <w:lang w:val="es-ES"/>
        </w:rPr>
        <w:t>Sala Constitucional de la Corte Suprema de Justicia</w:t>
      </w:r>
      <w:r w:rsidR="006B70D5" w:rsidRPr="006527FD">
        <w:rPr>
          <w:rStyle w:val="Refdenotaalpie"/>
          <w:rFonts w:ascii="Verdana" w:hAnsi="Verdana"/>
          <w:sz w:val="20"/>
          <w:szCs w:val="20"/>
          <w:lang w:val="es-ES"/>
        </w:rPr>
        <w:footnoteReference w:id="8"/>
      </w:r>
      <w:r w:rsidR="006B70D5" w:rsidRPr="006527FD">
        <w:rPr>
          <w:rFonts w:ascii="Verdana" w:hAnsi="Verdana"/>
          <w:sz w:val="20"/>
          <w:szCs w:val="20"/>
          <w:lang w:val="es-ES"/>
        </w:rPr>
        <w:t>, los cuales fueron rechazados</w:t>
      </w:r>
      <w:r w:rsidR="006B70D5" w:rsidRPr="006527FD">
        <w:rPr>
          <w:rStyle w:val="Refdenotaalpie"/>
          <w:rFonts w:ascii="Verdana" w:hAnsi="Verdana"/>
          <w:sz w:val="20"/>
          <w:szCs w:val="20"/>
          <w:lang w:val="es-ES"/>
        </w:rPr>
        <w:footnoteReference w:id="9"/>
      </w:r>
      <w:r w:rsidR="006B70D5" w:rsidRPr="006527FD">
        <w:rPr>
          <w:rFonts w:ascii="Verdana" w:hAnsi="Verdana"/>
          <w:sz w:val="20"/>
          <w:szCs w:val="20"/>
          <w:lang w:val="es-ES"/>
        </w:rPr>
        <w:t>.</w:t>
      </w:r>
      <w:r w:rsidR="0068309A" w:rsidRPr="006527FD">
        <w:rPr>
          <w:rFonts w:ascii="Verdana" w:hAnsi="Verdana"/>
          <w:sz w:val="20"/>
          <w:szCs w:val="20"/>
          <w:lang w:val="es-ES"/>
        </w:rPr>
        <w:t xml:space="preserve"> </w:t>
      </w:r>
      <w:r w:rsidR="00222B31" w:rsidRPr="006527FD">
        <w:rPr>
          <w:rFonts w:ascii="Verdana" w:hAnsi="Verdana"/>
          <w:sz w:val="20"/>
          <w:szCs w:val="20"/>
          <w:lang w:val="es-ES"/>
        </w:rPr>
        <w:lastRenderedPageBreak/>
        <w:t>Añadieron</w:t>
      </w:r>
      <w:r w:rsidR="0068309A" w:rsidRPr="006527FD">
        <w:rPr>
          <w:rFonts w:ascii="Verdana" w:hAnsi="Verdana"/>
          <w:sz w:val="20"/>
          <w:szCs w:val="20"/>
          <w:lang w:val="es-ES"/>
        </w:rPr>
        <w:t xml:space="preserve"> que la señora Oviedo estuvo desde el primer momento de su detención privada de cualquier tipo de comunicación con sus familiares o el abogado que le fue asignad</w:t>
      </w:r>
      <w:r w:rsidR="00222B31" w:rsidRPr="006527FD">
        <w:rPr>
          <w:rFonts w:ascii="Verdana" w:hAnsi="Verdana"/>
          <w:sz w:val="20"/>
          <w:szCs w:val="20"/>
          <w:lang w:val="es-ES"/>
        </w:rPr>
        <w:t>o</w:t>
      </w:r>
      <w:r w:rsidR="0068309A" w:rsidRPr="006527FD">
        <w:rPr>
          <w:rFonts w:ascii="Verdana" w:hAnsi="Verdana"/>
          <w:sz w:val="20"/>
          <w:szCs w:val="20"/>
          <w:lang w:val="es-ES"/>
        </w:rPr>
        <w:t xml:space="preserve"> por la CPDH. </w:t>
      </w:r>
    </w:p>
    <w:p w14:paraId="0F106C9E" w14:textId="77777777" w:rsidR="0068309A" w:rsidRPr="006527FD" w:rsidRDefault="0068309A" w:rsidP="003C0848">
      <w:pPr>
        <w:jc w:val="both"/>
        <w:rPr>
          <w:rFonts w:ascii="Verdana" w:hAnsi="Verdana"/>
          <w:sz w:val="20"/>
          <w:szCs w:val="20"/>
        </w:rPr>
      </w:pPr>
    </w:p>
    <w:p w14:paraId="35D3E637" w14:textId="1B610DCC" w:rsidR="006C6741" w:rsidRPr="006527FD" w:rsidRDefault="00222B31" w:rsidP="00222B31">
      <w:pPr>
        <w:numPr>
          <w:ilvl w:val="0"/>
          <w:numId w:val="25"/>
        </w:numPr>
        <w:ind w:left="0" w:firstLine="0"/>
        <w:jc w:val="both"/>
        <w:rPr>
          <w:rFonts w:ascii="Verdana" w:eastAsiaTheme="minorHAnsi" w:hAnsi="Verdana" w:cs="Calibri"/>
          <w:sz w:val="20"/>
          <w:szCs w:val="20"/>
          <w:lang w:val="es-CR"/>
        </w:rPr>
      </w:pPr>
      <w:r w:rsidRPr="006527FD">
        <w:rPr>
          <w:rFonts w:ascii="Verdana" w:hAnsi="Verdana"/>
          <w:sz w:val="20"/>
          <w:szCs w:val="20"/>
        </w:rPr>
        <w:t>Adicionalmente, indicaron</w:t>
      </w:r>
      <w:r w:rsidR="0068309A" w:rsidRPr="006527FD">
        <w:rPr>
          <w:rFonts w:ascii="Verdana" w:hAnsi="Verdana"/>
          <w:sz w:val="20"/>
          <w:szCs w:val="20"/>
        </w:rPr>
        <w:t xml:space="preserve"> que </w:t>
      </w:r>
      <w:r w:rsidR="0068309A" w:rsidRPr="006527FD">
        <w:rPr>
          <w:rFonts w:ascii="Verdana" w:hAnsi="Verdana"/>
          <w:sz w:val="20"/>
          <w:szCs w:val="20"/>
          <w:lang w:val="es-ES"/>
        </w:rPr>
        <w:t>el</w:t>
      </w:r>
      <w:r w:rsidR="0068309A" w:rsidRPr="006527FD">
        <w:rPr>
          <w:rFonts w:ascii="Verdana" w:hAnsi="Verdana"/>
          <w:sz w:val="20"/>
          <w:szCs w:val="20"/>
        </w:rPr>
        <w:t xml:space="preserve"> 30 de julio </w:t>
      </w:r>
      <w:r w:rsidR="002E7EA6">
        <w:rPr>
          <w:rFonts w:ascii="Verdana" w:hAnsi="Verdana"/>
          <w:sz w:val="20"/>
          <w:szCs w:val="20"/>
        </w:rPr>
        <w:t xml:space="preserve">de </w:t>
      </w:r>
      <w:r w:rsidR="0068309A" w:rsidRPr="006527FD">
        <w:rPr>
          <w:rFonts w:ascii="Verdana" w:hAnsi="Verdana"/>
          <w:sz w:val="20"/>
          <w:szCs w:val="20"/>
        </w:rPr>
        <w:t xml:space="preserve">2021 el Ministerio Público emitió </w:t>
      </w:r>
      <w:r w:rsidR="002E7EA6">
        <w:rPr>
          <w:rFonts w:ascii="Verdana" w:hAnsi="Verdana"/>
          <w:sz w:val="20"/>
          <w:szCs w:val="20"/>
        </w:rPr>
        <w:t xml:space="preserve">el </w:t>
      </w:r>
      <w:r w:rsidR="0068309A" w:rsidRPr="006527FD">
        <w:rPr>
          <w:rFonts w:ascii="Verdana" w:hAnsi="Verdana"/>
          <w:sz w:val="20"/>
          <w:szCs w:val="20"/>
        </w:rPr>
        <w:t>comunicado</w:t>
      </w:r>
      <w:r w:rsidR="003C0848" w:rsidRPr="006527FD">
        <w:rPr>
          <w:rFonts w:ascii="Verdana" w:hAnsi="Verdana"/>
          <w:sz w:val="20"/>
          <w:szCs w:val="20"/>
        </w:rPr>
        <w:t xml:space="preserve"> </w:t>
      </w:r>
      <w:r w:rsidR="002E7EA6">
        <w:rPr>
          <w:rFonts w:ascii="Verdana" w:hAnsi="Verdana"/>
          <w:sz w:val="20"/>
          <w:szCs w:val="20"/>
        </w:rPr>
        <w:t>N</w:t>
      </w:r>
      <w:r w:rsidR="003C0848" w:rsidRPr="006527FD">
        <w:rPr>
          <w:rFonts w:ascii="Verdana" w:hAnsi="Verdana"/>
          <w:sz w:val="20"/>
          <w:szCs w:val="20"/>
        </w:rPr>
        <w:t>o.</w:t>
      </w:r>
      <w:r w:rsidR="0068309A" w:rsidRPr="006527FD">
        <w:rPr>
          <w:rFonts w:ascii="Verdana" w:hAnsi="Verdana"/>
          <w:sz w:val="20"/>
          <w:szCs w:val="20"/>
        </w:rPr>
        <w:t xml:space="preserve"> 048-2021 en donde </w:t>
      </w:r>
      <w:r w:rsidR="003C0848" w:rsidRPr="006527FD">
        <w:rPr>
          <w:rFonts w:ascii="Verdana" w:hAnsi="Verdana"/>
          <w:sz w:val="20"/>
          <w:szCs w:val="20"/>
        </w:rPr>
        <w:t>anunció</w:t>
      </w:r>
      <w:r w:rsidR="0068309A" w:rsidRPr="006527FD">
        <w:rPr>
          <w:rFonts w:ascii="Verdana" w:hAnsi="Verdana"/>
          <w:sz w:val="20"/>
          <w:szCs w:val="20"/>
        </w:rPr>
        <w:t xml:space="preserve"> la realización de audiencia de g</w:t>
      </w:r>
      <w:r w:rsidR="003C0848" w:rsidRPr="006527FD">
        <w:rPr>
          <w:rFonts w:ascii="Verdana" w:hAnsi="Verdana"/>
          <w:sz w:val="20"/>
          <w:szCs w:val="20"/>
        </w:rPr>
        <w:t xml:space="preserve">arantía y tutela constitucional, tras la cual se acordó </w:t>
      </w:r>
      <w:r w:rsidR="0068309A" w:rsidRPr="006527FD">
        <w:rPr>
          <w:rFonts w:ascii="Verdana" w:hAnsi="Verdana"/>
          <w:sz w:val="20"/>
          <w:szCs w:val="20"/>
        </w:rPr>
        <w:t>la detención judicial de la señora Oviedo por 90 días. Precisaron que dicha audiencia se realizó sin la presencia de su abogado defensor.</w:t>
      </w:r>
      <w:r w:rsidR="0068309A" w:rsidRPr="006527FD">
        <w:rPr>
          <w:rFonts w:ascii="Verdana" w:hAnsi="Verdana"/>
          <w:b/>
          <w:sz w:val="20"/>
          <w:szCs w:val="20"/>
          <w:lang w:val="es-ES"/>
        </w:rPr>
        <w:t xml:space="preserve"> </w:t>
      </w:r>
      <w:r w:rsidR="0068309A" w:rsidRPr="006527FD">
        <w:rPr>
          <w:rFonts w:ascii="Verdana" w:hAnsi="Verdana"/>
          <w:sz w:val="20"/>
          <w:szCs w:val="20"/>
          <w:lang w:val="es-ES"/>
        </w:rPr>
        <w:t xml:space="preserve">A este respecto, indicaron que </w:t>
      </w:r>
      <w:r w:rsidR="0068309A" w:rsidRPr="006527FD">
        <w:rPr>
          <w:rFonts w:ascii="Verdana" w:eastAsiaTheme="minorHAnsi" w:hAnsi="Verdana" w:cs="Calibri"/>
          <w:sz w:val="20"/>
          <w:szCs w:val="20"/>
          <w:lang w:val="es-CR"/>
        </w:rPr>
        <w:t>se interpusieron varias peticiones ante la autoridad judicial a cargo para ver satisfecho el derecho</w:t>
      </w:r>
      <w:r w:rsidRPr="006527FD">
        <w:rPr>
          <w:rFonts w:ascii="Verdana" w:eastAsiaTheme="minorHAnsi" w:hAnsi="Verdana" w:cs="Calibri"/>
          <w:sz w:val="20"/>
          <w:szCs w:val="20"/>
          <w:lang w:val="es-CR"/>
        </w:rPr>
        <w:t xml:space="preserve"> de la señora Oviedo</w:t>
      </w:r>
      <w:r w:rsidR="0068309A" w:rsidRPr="006527FD">
        <w:rPr>
          <w:rFonts w:ascii="Verdana" w:eastAsiaTheme="minorHAnsi" w:hAnsi="Verdana" w:cs="Calibri"/>
          <w:sz w:val="20"/>
          <w:szCs w:val="20"/>
          <w:lang w:val="es-CR"/>
        </w:rPr>
        <w:t xml:space="preserve"> a ser entrevistada por su abogado </w:t>
      </w:r>
      <w:r w:rsidR="0068309A" w:rsidRPr="006527FD">
        <w:rPr>
          <w:rFonts w:ascii="Verdana" w:hAnsi="Verdana"/>
          <w:sz w:val="20"/>
          <w:szCs w:val="20"/>
          <w:lang w:val="es-ES"/>
        </w:rPr>
        <w:t>defensor</w:t>
      </w:r>
      <w:r w:rsidR="0068309A" w:rsidRPr="006527FD">
        <w:rPr>
          <w:rFonts w:ascii="Verdana" w:eastAsiaTheme="minorHAnsi" w:hAnsi="Verdana" w:cs="Calibri"/>
          <w:sz w:val="20"/>
          <w:szCs w:val="20"/>
          <w:lang w:val="es-CR"/>
        </w:rPr>
        <w:t xml:space="preserve"> y acceder a una copia del expediente</w:t>
      </w:r>
      <w:r w:rsidR="003D368B" w:rsidRPr="006527FD">
        <w:rPr>
          <w:rStyle w:val="Refdenotaalpie"/>
          <w:rFonts w:ascii="Verdana" w:eastAsiaTheme="minorHAnsi" w:hAnsi="Verdana" w:cs="Calibri"/>
          <w:sz w:val="20"/>
          <w:szCs w:val="20"/>
          <w:lang w:val="es-CR"/>
        </w:rPr>
        <w:footnoteReference w:id="10"/>
      </w:r>
      <w:r w:rsidR="0068309A" w:rsidRPr="006527FD">
        <w:rPr>
          <w:rFonts w:ascii="Verdana" w:eastAsiaTheme="minorHAnsi" w:hAnsi="Verdana" w:cs="Calibri"/>
          <w:sz w:val="20"/>
          <w:szCs w:val="20"/>
          <w:lang w:val="es-CR"/>
        </w:rPr>
        <w:t>, si bien todas esas solicitudes fueron “ignorada</w:t>
      </w:r>
      <w:r w:rsidRPr="006527FD">
        <w:rPr>
          <w:rFonts w:ascii="Verdana" w:eastAsiaTheme="minorHAnsi" w:hAnsi="Verdana" w:cs="Calibri"/>
          <w:sz w:val="20"/>
          <w:szCs w:val="20"/>
          <w:lang w:val="es-CR"/>
        </w:rPr>
        <w:t>s</w:t>
      </w:r>
      <w:r w:rsidR="0068309A" w:rsidRPr="006527FD">
        <w:rPr>
          <w:rFonts w:ascii="Verdana" w:eastAsiaTheme="minorHAnsi" w:hAnsi="Verdana" w:cs="Calibri"/>
          <w:sz w:val="20"/>
          <w:szCs w:val="20"/>
          <w:lang w:val="es-CR"/>
        </w:rPr>
        <w:t>”.</w:t>
      </w:r>
      <w:r w:rsidR="003C0848" w:rsidRPr="006527FD">
        <w:rPr>
          <w:rFonts w:ascii="Verdana" w:eastAsiaTheme="minorHAnsi" w:hAnsi="Verdana" w:cs="Calibri"/>
          <w:sz w:val="20"/>
          <w:szCs w:val="20"/>
          <w:lang w:val="es-CR"/>
        </w:rPr>
        <w:t xml:space="preserve"> </w:t>
      </w:r>
      <w:r w:rsidR="006C6741" w:rsidRPr="006527FD">
        <w:rPr>
          <w:rFonts w:ascii="Verdana" w:eastAsiaTheme="minorHAnsi" w:hAnsi="Verdana" w:cs="Calibri"/>
          <w:sz w:val="20"/>
          <w:szCs w:val="20"/>
          <w:lang w:val="es-CR"/>
        </w:rPr>
        <w:t xml:space="preserve">Asimismo, precisaron que la señora Oviedo estaba siendo procesada por ser presunta autora del delito de conspiración para cometer menoscabo a la integridad nacional, de conformidad con los artículos 410 y 412 </w:t>
      </w:r>
      <w:r w:rsidR="006C6741" w:rsidRPr="006527FD">
        <w:rPr>
          <w:rFonts w:ascii="Verdana" w:hAnsi="Verdana"/>
          <w:sz w:val="20"/>
          <w:szCs w:val="20"/>
          <w:lang w:val="es-ES"/>
        </w:rPr>
        <w:t>del</w:t>
      </w:r>
      <w:r w:rsidR="006C6741" w:rsidRPr="006527FD">
        <w:rPr>
          <w:rFonts w:ascii="Verdana" w:eastAsiaTheme="minorHAnsi" w:hAnsi="Verdana" w:cs="Calibri"/>
          <w:sz w:val="20"/>
          <w:szCs w:val="20"/>
          <w:lang w:val="es-CR"/>
        </w:rPr>
        <w:t xml:space="preserve"> Código Penal, en perjuicio de la sociedad nicaragüense y del Estado de Nicaragua</w:t>
      </w:r>
      <w:r w:rsidR="003C0848" w:rsidRPr="006527FD">
        <w:rPr>
          <w:rFonts w:ascii="Verdana" w:eastAsiaTheme="minorHAnsi" w:hAnsi="Verdana" w:cs="Calibri"/>
          <w:sz w:val="20"/>
          <w:szCs w:val="20"/>
          <w:lang w:val="es-CR"/>
        </w:rPr>
        <w:t>.</w:t>
      </w:r>
    </w:p>
    <w:p w14:paraId="77278EFF" w14:textId="77777777" w:rsidR="0068309A" w:rsidRPr="006527FD" w:rsidRDefault="0068309A" w:rsidP="0068309A">
      <w:pPr>
        <w:autoSpaceDE w:val="0"/>
        <w:autoSpaceDN w:val="0"/>
        <w:adjustRightInd w:val="0"/>
        <w:jc w:val="both"/>
        <w:rPr>
          <w:rFonts w:ascii="Verdana" w:eastAsiaTheme="minorHAnsi" w:hAnsi="Verdana" w:cs="Calibri"/>
          <w:sz w:val="20"/>
          <w:szCs w:val="20"/>
          <w:lang w:val="es-CR"/>
        </w:rPr>
      </w:pPr>
    </w:p>
    <w:p w14:paraId="2E0DB975" w14:textId="62FEA316" w:rsidR="006B70D5" w:rsidRPr="006527FD" w:rsidRDefault="00222B31" w:rsidP="003C0848">
      <w:pPr>
        <w:numPr>
          <w:ilvl w:val="0"/>
          <w:numId w:val="25"/>
        </w:numPr>
        <w:ind w:left="0" w:firstLine="0"/>
        <w:jc w:val="both"/>
        <w:rPr>
          <w:rFonts w:ascii="Verdana" w:hAnsi="Verdana"/>
          <w:sz w:val="20"/>
          <w:szCs w:val="20"/>
        </w:rPr>
      </w:pPr>
      <w:r w:rsidRPr="006527FD">
        <w:rPr>
          <w:rFonts w:ascii="Verdana" w:hAnsi="Verdana"/>
          <w:sz w:val="20"/>
          <w:szCs w:val="20"/>
        </w:rPr>
        <w:t>Asimismo, indicaron</w:t>
      </w:r>
      <w:r w:rsidR="0068309A" w:rsidRPr="006527FD">
        <w:rPr>
          <w:rFonts w:ascii="Verdana" w:hAnsi="Verdana"/>
          <w:sz w:val="20"/>
          <w:szCs w:val="20"/>
        </w:rPr>
        <w:t xml:space="preserve"> </w:t>
      </w:r>
      <w:r w:rsidRPr="006527FD">
        <w:rPr>
          <w:rFonts w:ascii="Verdana" w:hAnsi="Verdana"/>
          <w:sz w:val="20"/>
          <w:szCs w:val="20"/>
        </w:rPr>
        <w:t xml:space="preserve">que </w:t>
      </w:r>
      <w:r w:rsidR="0068309A" w:rsidRPr="006527FD">
        <w:rPr>
          <w:rFonts w:ascii="Verdana" w:hAnsi="Verdana"/>
          <w:sz w:val="20"/>
          <w:szCs w:val="20"/>
        </w:rPr>
        <w:t>el 1 de septiembre de 2021 se autorizó que la madre de la señora Oviedo la visitara en las instalaciones de Auxilio Judicial Nacional Complejo Policial Evaristo Vásquez</w:t>
      </w:r>
      <w:r w:rsidRPr="006527FD">
        <w:rPr>
          <w:rFonts w:ascii="Verdana" w:hAnsi="Verdana"/>
          <w:sz w:val="20"/>
          <w:szCs w:val="20"/>
        </w:rPr>
        <w:t>, quien advirtió</w:t>
      </w:r>
      <w:r w:rsidR="0068309A" w:rsidRPr="006527FD">
        <w:rPr>
          <w:rFonts w:ascii="Verdana" w:hAnsi="Verdana"/>
          <w:sz w:val="20"/>
          <w:szCs w:val="20"/>
        </w:rPr>
        <w:t xml:space="preserve"> que habría visto a su hija “más delgada y pálida”, si bien </w:t>
      </w:r>
      <w:r w:rsidRPr="006527FD">
        <w:rPr>
          <w:rFonts w:ascii="Verdana" w:hAnsi="Verdana"/>
          <w:sz w:val="20"/>
          <w:szCs w:val="20"/>
        </w:rPr>
        <w:t>esta le había manifestado</w:t>
      </w:r>
      <w:r w:rsidR="0068309A" w:rsidRPr="006527FD">
        <w:rPr>
          <w:rFonts w:ascii="Verdana" w:hAnsi="Verdana"/>
          <w:sz w:val="20"/>
          <w:szCs w:val="20"/>
        </w:rPr>
        <w:t xml:space="preserve"> que “no ha[bía] sufrido maltrato físico”</w:t>
      </w:r>
      <w:r w:rsidRPr="006527FD">
        <w:rPr>
          <w:rFonts w:ascii="Verdana" w:hAnsi="Verdana"/>
          <w:sz w:val="20"/>
          <w:szCs w:val="20"/>
        </w:rPr>
        <w:t>,</w:t>
      </w:r>
      <w:r w:rsidR="0068309A" w:rsidRPr="006527FD">
        <w:rPr>
          <w:rFonts w:ascii="Verdana" w:hAnsi="Verdana"/>
          <w:sz w:val="20"/>
          <w:szCs w:val="20"/>
        </w:rPr>
        <w:t xml:space="preserve"> pero que le causaba “angustia” </w:t>
      </w:r>
      <w:r w:rsidRPr="006527FD">
        <w:rPr>
          <w:rFonts w:ascii="Verdana" w:hAnsi="Verdana"/>
          <w:sz w:val="20"/>
          <w:szCs w:val="20"/>
        </w:rPr>
        <w:t xml:space="preserve">el </w:t>
      </w:r>
      <w:r w:rsidR="0068309A" w:rsidRPr="006527FD">
        <w:rPr>
          <w:rFonts w:ascii="Verdana" w:hAnsi="Verdana"/>
          <w:sz w:val="20"/>
          <w:szCs w:val="20"/>
        </w:rPr>
        <w:t xml:space="preserve">no saber si su casa había sido allanada por la policía y el riesgo que podrían correr sus dos hijos menores de edad. </w:t>
      </w:r>
      <w:r w:rsidR="008E5662" w:rsidRPr="006527FD">
        <w:rPr>
          <w:rFonts w:ascii="Verdana" w:hAnsi="Verdana"/>
          <w:sz w:val="20"/>
          <w:szCs w:val="20"/>
          <w:lang w:val="es-ES"/>
        </w:rPr>
        <w:t xml:space="preserve">Adicionalmente, </w:t>
      </w:r>
      <w:r w:rsidR="003C0848" w:rsidRPr="006527FD">
        <w:rPr>
          <w:rFonts w:ascii="Verdana" w:hAnsi="Verdana"/>
          <w:sz w:val="20"/>
          <w:szCs w:val="20"/>
          <w:lang w:val="es-ES"/>
        </w:rPr>
        <w:t xml:space="preserve">en virtud de los anexos adjuntados al escrito de 20 de septiembre de 2021, los representantes </w:t>
      </w:r>
      <w:r w:rsidR="008E5662" w:rsidRPr="006527FD">
        <w:rPr>
          <w:rFonts w:ascii="Verdana" w:hAnsi="Verdana"/>
          <w:sz w:val="20"/>
          <w:szCs w:val="20"/>
          <w:lang w:val="es-ES"/>
        </w:rPr>
        <w:t xml:space="preserve">informaron que el 13 de septiembre de 2021 el Juzgado Décimo Distrito de lo Penal de Audiencia, Circunscripción Managua, acordó </w:t>
      </w:r>
      <w:r w:rsidR="008E5662" w:rsidRPr="00DD3CE2">
        <w:rPr>
          <w:rFonts w:ascii="Verdana" w:hAnsi="Verdana"/>
          <w:sz w:val="20"/>
          <w:szCs w:val="20"/>
          <w:lang w:val="es-ES"/>
        </w:rPr>
        <w:t>haber</w:t>
      </w:r>
      <w:r w:rsidR="008E5662" w:rsidRPr="006527FD">
        <w:rPr>
          <w:rFonts w:ascii="Verdana" w:hAnsi="Verdana"/>
          <w:sz w:val="20"/>
          <w:szCs w:val="20"/>
          <w:lang w:val="es-ES"/>
        </w:rPr>
        <w:t xml:space="preserve"> lugar a la solicitud de designación de abogado defensor privado </w:t>
      </w:r>
      <w:r w:rsidR="003C0848" w:rsidRPr="006527FD">
        <w:rPr>
          <w:rFonts w:ascii="Verdana" w:hAnsi="Verdana"/>
          <w:sz w:val="20"/>
          <w:szCs w:val="20"/>
          <w:lang w:val="es-ES"/>
        </w:rPr>
        <w:t>y se ordenó brindarle “la debida intervención de ley” para que ejerciera la defensa técnica de la señora Oviedo</w:t>
      </w:r>
      <w:r w:rsidR="003C0848" w:rsidRPr="006527FD">
        <w:rPr>
          <w:rStyle w:val="Refdenotaalpie"/>
          <w:rFonts w:ascii="Verdana" w:hAnsi="Verdana"/>
          <w:sz w:val="20"/>
          <w:szCs w:val="20"/>
          <w:lang w:val="es-ES"/>
        </w:rPr>
        <w:footnoteReference w:id="11"/>
      </w:r>
      <w:r w:rsidR="003C0848" w:rsidRPr="006527FD">
        <w:rPr>
          <w:rFonts w:ascii="Verdana" w:hAnsi="Verdana"/>
          <w:sz w:val="20"/>
          <w:szCs w:val="20"/>
          <w:lang w:val="es-ES"/>
        </w:rPr>
        <w:t>.</w:t>
      </w:r>
      <w:r w:rsidR="008E5662" w:rsidRPr="006527FD">
        <w:rPr>
          <w:rFonts w:ascii="Verdana" w:hAnsi="Verdana"/>
          <w:sz w:val="20"/>
          <w:szCs w:val="20"/>
          <w:lang w:val="es-ES"/>
        </w:rPr>
        <w:t xml:space="preserve"> </w:t>
      </w:r>
    </w:p>
    <w:p w14:paraId="2964A8B0" w14:textId="77777777" w:rsidR="00125549" w:rsidRPr="006527FD" w:rsidRDefault="00125549" w:rsidP="003E1931">
      <w:pPr>
        <w:jc w:val="both"/>
        <w:rPr>
          <w:rFonts w:ascii="Verdana" w:eastAsia="Cambria" w:hAnsi="Verdana" w:cs="Cambria"/>
          <w:sz w:val="20"/>
          <w:szCs w:val="20"/>
          <w:u w:color="000000"/>
          <w:lang w:val="es-MX" w:eastAsia="es-ES"/>
        </w:rPr>
      </w:pPr>
    </w:p>
    <w:p w14:paraId="68205B36" w14:textId="31976820" w:rsidR="00FB6C1B" w:rsidRPr="006527FD" w:rsidRDefault="0092644F" w:rsidP="003E1931">
      <w:pPr>
        <w:pStyle w:val="Ttulo2"/>
        <w:spacing w:before="0" w:after="0"/>
        <w:rPr>
          <w:lang w:val="es-ES"/>
        </w:rPr>
      </w:pPr>
      <w:r w:rsidRPr="006527FD">
        <w:rPr>
          <w:lang w:val="es-ES"/>
        </w:rPr>
        <w:t>B</w:t>
      </w:r>
      <w:r w:rsidR="00FB6C1B" w:rsidRPr="006527FD">
        <w:rPr>
          <w:lang w:val="es-ES"/>
        </w:rPr>
        <w:t>.</w:t>
      </w:r>
      <w:r w:rsidR="00FB6C1B" w:rsidRPr="006527FD">
        <w:rPr>
          <w:lang w:val="es-ES"/>
        </w:rPr>
        <w:tab/>
        <w:t>Alegatos del Estado</w:t>
      </w:r>
    </w:p>
    <w:p w14:paraId="17C8A9CD" w14:textId="77777777" w:rsidR="00222B31" w:rsidRPr="006527FD" w:rsidRDefault="00222B31" w:rsidP="00222B31">
      <w:pPr>
        <w:jc w:val="both"/>
        <w:rPr>
          <w:rFonts w:ascii="Verdana" w:hAnsi="Verdana"/>
          <w:sz w:val="20"/>
          <w:szCs w:val="20"/>
        </w:rPr>
      </w:pPr>
    </w:p>
    <w:p w14:paraId="3DFA6F5D" w14:textId="7D2309A8" w:rsidR="00F47C52" w:rsidRPr="006527FD" w:rsidRDefault="00853D26" w:rsidP="00853D26">
      <w:pPr>
        <w:numPr>
          <w:ilvl w:val="0"/>
          <w:numId w:val="25"/>
        </w:numPr>
        <w:ind w:left="0" w:firstLine="0"/>
        <w:jc w:val="both"/>
        <w:rPr>
          <w:rFonts w:ascii="Verdana" w:hAnsi="Verdana"/>
          <w:sz w:val="20"/>
          <w:szCs w:val="20"/>
        </w:rPr>
      </w:pPr>
      <w:r w:rsidRPr="006527FD">
        <w:rPr>
          <w:rFonts w:ascii="Verdana" w:hAnsi="Verdana"/>
          <w:sz w:val="20"/>
          <w:szCs w:val="20"/>
          <w:lang w:val="es-ES"/>
        </w:rPr>
        <w:t xml:space="preserve">El </w:t>
      </w:r>
      <w:r w:rsidRPr="006527FD">
        <w:rPr>
          <w:rFonts w:ascii="Verdana" w:hAnsi="Verdana"/>
          <w:b/>
          <w:i/>
          <w:sz w:val="20"/>
          <w:szCs w:val="20"/>
          <w:lang w:val="es-ES"/>
        </w:rPr>
        <w:t>Estado</w:t>
      </w:r>
      <w:r w:rsidRPr="006527FD">
        <w:rPr>
          <w:rFonts w:ascii="Verdana" w:hAnsi="Verdana"/>
          <w:sz w:val="20"/>
          <w:szCs w:val="20"/>
          <w:lang w:val="es-ES"/>
        </w:rPr>
        <w:t xml:space="preserve">, por su parte, indicó que la señora Oviedo estaba “comprometida con actividades delictivas, cometidas contra la Paz, la Seguridad y los Derechos Humanos del Pueblo </w:t>
      </w:r>
      <w:r w:rsidRPr="006527FD">
        <w:rPr>
          <w:rFonts w:ascii="Verdana" w:hAnsi="Verdana"/>
          <w:sz w:val="20"/>
          <w:szCs w:val="20"/>
        </w:rPr>
        <w:t>Nicaragüense</w:t>
      </w:r>
      <w:r w:rsidRPr="006527FD">
        <w:rPr>
          <w:rFonts w:ascii="Verdana" w:hAnsi="Verdana"/>
          <w:sz w:val="20"/>
          <w:szCs w:val="20"/>
          <w:lang w:val="es-ES"/>
        </w:rPr>
        <w:t xml:space="preserve">” y que estaba siendo investigada y procesada de “acuerdo a los Códigos vigentes de la Justicia Nicaragüense”. Solicitó a la Corte que “se abst[uviera] de continuar con esta agenda dirigida por los Estados Unidos de Norteamérica, para </w:t>
      </w:r>
      <w:r w:rsidRPr="006527FD">
        <w:rPr>
          <w:rFonts w:ascii="Verdana" w:hAnsi="Verdana"/>
          <w:sz w:val="20"/>
          <w:szCs w:val="20"/>
        </w:rPr>
        <w:t>entrometerse</w:t>
      </w:r>
      <w:r w:rsidRPr="006527FD">
        <w:rPr>
          <w:rFonts w:ascii="Verdana" w:hAnsi="Verdana"/>
          <w:sz w:val="20"/>
          <w:szCs w:val="20"/>
          <w:lang w:val="es-ES"/>
        </w:rPr>
        <w:t xml:space="preserve"> en [sus] asuntos”. Finalizó indicando que</w:t>
      </w:r>
      <w:r w:rsidRPr="006527FD">
        <w:rPr>
          <w:rFonts w:ascii="Verdana" w:hAnsi="Verdana"/>
          <w:b/>
          <w:sz w:val="20"/>
          <w:szCs w:val="20"/>
          <w:lang w:val="es-ES"/>
        </w:rPr>
        <w:t xml:space="preserve"> </w:t>
      </w:r>
      <w:r w:rsidRPr="006527FD">
        <w:rPr>
          <w:rFonts w:ascii="Verdana" w:hAnsi="Verdana"/>
          <w:sz w:val="20"/>
          <w:szCs w:val="20"/>
          <w:lang w:val="es-ES"/>
        </w:rPr>
        <w:t xml:space="preserve">Nicaragua tienen sus propios órganos y que no “acept[an] (ni compete a esta Corte imponerlos), </w:t>
      </w:r>
      <w:r w:rsidR="00222B31" w:rsidRPr="006527FD">
        <w:rPr>
          <w:rFonts w:ascii="Verdana" w:hAnsi="Verdana"/>
          <w:sz w:val="20"/>
          <w:szCs w:val="20"/>
          <w:lang w:val="es-ES"/>
        </w:rPr>
        <w:t xml:space="preserve">[que] </w:t>
      </w:r>
      <w:r w:rsidRPr="006527FD">
        <w:rPr>
          <w:rFonts w:ascii="Verdana" w:hAnsi="Verdana"/>
          <w:sz w:val="20"/>
          <w:szCs w:val="20"/>
          <w:lang w:val="es-ES"/>
        </w:rPr>
        <w:t>se implementen órganos paralelos que busquen irrespetar la institucional</w:t>
      </w:r>
      <w:r w:rsidR="00C93286" w:rsidRPr="006527FD">
        <w:rPr>
          <w:rFonts w:ascii="Verdana" w:hAnsi="Verdana"/>
          <w:sz w:val="20"/>
          <w:szCs w:val="20"/>
          <w:lang w:val="es-ES"/>
        </w:rPr>
        <w:t>idad de las enti</w:t>
      </w:r>
      <w:r w:rsidRPr="006527FD">
        <w:rPr>
          <w:rFonts w:ascii="Verdana" w:hAnsi="Verdana"/>
          <w:sz w:val="20"/>
          <w:szCs w:val="20"/>
          <w:lang w:val="es-ES"/>
        </w:rPr>
        <w:t xml:space="preserve">dades estatales y la Soberanía de </w:t>
      </w:r>
      <w:r w:rsidR="00222B31" w:rsidRPr="006527FD">
        <w:rPr>
          <w:rFonts w:ascii="Verdana" w:hAnsi="Verdana"/>
          <w:sz w:val="20"/>
          <w:szCs w:val="20"/>
          <w:lang w:val="es-ES"/>
        </w:rPr>
        <w:t>[su]</w:t>
      </w:r>
      <w:r w:rsidRPr="006527FD">
        <w:rPr>
          <w:rFonts w:ascii="Verdana" w:hAnsi="Verdana"/>
          <w:sz w:val="20"/>
          <w:szCs w:val="20"/>
          <w:lang w:val="es-ES"/>
        </w:rPr>
        <w:t xml:space="preserve"> país, mediante el oto</w:t>
      </w:r>
      <w:r w:rsidR="00222B31" w:rsidRPr="006527FD">
        <w:rPr>
          <w:rFonts w:ascii="Verdana" w:hAnsi="Verdana"/>
          <w:sz w:val="20"/>
          <w:szCs w:val="20"/>
          <w:lang w:val="es-ES"/>
        </w:rPr>
        <w:t>rgamiento de medidas unilateral</w:t>
      </w:r>
      <w:r w:rsidRPr="006527FD">
        <w:rPr>
          <w:rFonts w:ascii="Verdana" w:hAnsi="Verdana"/>
          <w:sz w:val="20"/>
          <w:szCs w:val="20"/>
          <w:lang w:val="es-ES"/>
        </w:rPr>
        <w:t xml:space="preserve">es, sesgadas y lesivas para </w:t>
      </w:r>
      <w:r w:rsidR="00222B31" w:rsidRPr="006527FD">
        <w:rPr>
          <w:rFonts w:ascii="Verdana" w:hAnsi="Verdana"/>
          <w:sz w:val="20"/>
          <w:szCs w:val="20"/>
          <w:lang w:val="es-ES"/>
        </w:rPr>
        <w:t xml:space="preserve">[su] </w:t>
      </w:r>
      <w:r w:rsidRPr="006527FD">
        <w:rPr>
          <w:rFonts w:ascii="Verdana" w:hAnsi="Verdana"/>
          <w:sz w:val="20"/>
          <w:szCs w:val="20"/>
          <w:lang w:val="es-ES"/>
        </w:rPr>
        <w:t>Nación</w:t>
      </w:r>
      <w:r w:rsidR="00C93286" w:rsidRPr="006527FD">
        <w:rPr>
          <w:rFonts w:ascii="Verdana" w:hAnsi="Verdana"/>
          <w:sz w:val="20"/>
          <w:szCs w:val="20"/>
          <w:lang w:val="es-ES"/>
        </w:rPr>
        <w:t>”</w:t>
      </w:r>
      <w:r w:rsidRPr="006527FD">
        <w:rPr>
          <w:rFonts w:ascii="Verdana" w:hAnsi="Verdana"/>
          <w:sz w:val="20"/>
          <w:szCs w:val="20"/>
          <w:lang w:val="es-ES"/>
        </w:rPr>
        <w:t>.</w:t>
      </w:r>
      <w:r w:rsidRPr="006527FD">
        <w:rPr>
          <w:rFonts w:ascii="Verdana" w:hAnsi="Verdana"/>
          <w:b/>
          <w:sz w:val="20"/>
          <w:szCs w:val="20"/>
          <w:lang w:val="es-ES"/>
        </w:rPr>
        <w:t xml:space="preserve"> </w:t>
      </w:r>
    </w:p>
    <w:p w14:paraId="0990E171" w14:textId="77777777" w:rsidR="00FE661A" w:rsidRPr="006527FD" w:rsidRDefault="00FE661A" w:rsidP="00FE661A">
      <w:pPr>
        <w:jc w:val="both"/>
        <w:rPr>
          <w:rFonts w:ascii="Verdana" w:hAnsi="Verdana"/>
          <w:sz w:val="20"/>
          <w:szCs w:val="20"/>
        </w:rPr>
      </w:pPr>
    </w:p>
    <w:p w14:paraId="53BD6543" w14:textId="3D5BDAA5" w:rsidR="0092644F" w:rsidRPr="006527FD" w:rsidRDefault="0092644F" w:rsidP="005953DB">
      <w:pPr>
        <w:pStyle w:val="Ttulo2"/>
        <w:spacing w:before="0" w:after="0"/>
        <w:rPr>
          <w:lang w:val="es-ES"/>
        </w:rPr>
      </w:pPr>
      <w:r w:rsidRPr="006527FD">
        <w:rPr>
          <w:lang w:val="es-ES"/>
        </w:rPr>
        <w:t>C.</w:t>
      </w:r>
      <w:r w:rsidRPr="006527FD">
        <w:rPr>
          <w:lang w:val="es-ES"/>
        </w:rPr>
        <w:tab/>
        <w:t xml:space="preserve">Observaciones de la Comisión </w:t>
      </w:r>
    </w:p>
    <w:p w14:paraId="07DFB11B" w14:textId="77777777" w:rsidR="005953DB" w:rsidRPr="006527FD" w:rsidRDefault="005953DB" w:rsidP="005953DB">
      <w:pPr>
        <w:rPr>
          <w:rFonts w:ascii="Verdana" w:hAnsi="Verdana"/>
          <w:lang w:val="es-ES" w:eastAsia="es-CR"/>
        </w:rPr>
      </w:pPr>
    </w:p>
    <w:p w14:paraId="4500E388" w14:textId="1FB18F5E" w:rsidR="005953DB" w:rsidRPr="006527FD" w:rsidRDefault="00853D26" w:rsidP="00F430C5">
      <w:pPr>
        <w:numPr>
          <w:ilvl w:val="0"/>
          <w:numId w:val="25"/>
        </w:numPr>
        <w:ind w:left="0" w:firstLine="0"/>
        <w:jc w:val="both"/>
        <w:rPr>
          <w:rFonts w:ascii="Verdana" w:hAnsi="Verdana"/>
          <w:lang w:val="es-ES"/>
        </w:rPr>
      </w:pPr>
      <w:r w:rsidRPr="006527FD">
        <w:rPr>
          <w:rFonts w:ascii="Verdana" w:hAnsi="Verdana"/>
          <w:sz w:val="20"/>
          <w:szCs w:val="20"/>
        </w:rPr>
        <w:t xml:space="preserve">La </w:t>
      </w:r>
      <w:r w:rsidRPr="006527FD">
        <w:rPr>
          <w:rFonts w:ascii="Verdana" w:hAnsi="Verdana"/>
          <w:b/>
          <w:i/>
          <w:sz w:val="20"/>
          <w:szCs w:val="20"/>
        </w:rPr>
        <w:t>Comisión</w:t>
      </w:r>
      <w:r w:rsidRPr="006527FD">
        <w:rPr>
          <w:rFonts w:ascii="Verdana" w:hAnsi="Verdana"/>
          <w:sz w:val="20"/>
          <w:szCs w:val="20"/>
        </w:rPr>
        <w:t xml:space="preserve"> advirtió </w:t>
      </w:r>
      <w:r w:rsidR="00222B31" w:rsidRPr="006527FD">
        <w:rPr>
          <w:rFonts w:ascii="Verdana" w:hAnsi="Verdana"/>
          <w:sz w:val="20"/>
          <w:szCs w:val="20"/>
        </w:rPr>
        <w:t>que</w:t>
      </w:r>
      <w:r w:rsidRPr="006527FD">
        <w:rPr>
          <w:rFonts w:ascii="Verdana" w:hAnsi="Verdana"/>
          <w:sz w:val="20"/>
          <w:szCs w:val="20"/>
        </w:rPr>
        <w:t xml:space="preserve"> </w:t>
      </w:r>
      <w:r w:rsidRPr="006527FD">
        <w:rPr>
          <w:rFonts w:ascii="Verdana" w:eastAsiaTheme="minorHAnsi" w:hAnsi="Verdana" w:cs="Cambria"/>
          <w:sz w:val="20"/>
          <w:szCs w:val="20"/>
          <w:lang w:val="es-CR"/>
        </w:rPr>
        <w:t xml:space="preserve">la situación de riesgo extremo de la señora Oviedo guardaba similitudes fácticas con la situación de las actuales personas beneficiarias en el </w:t>
      </w:r>
      <w:r w:rsidRPr="006527FD">
        <w:rPr>
          <w:rFonts w:ascii="Verdana" w:eastAsiaTheme="minorHAnsi" w:hAnsi="Verdana" w:cs="Cambria-Italic"/>
          <w:i/>
          <w:iCs/>
          <w:sz w:val="20"/>
          <w:szCs w:val="20"/>
          <w:lang w:val="es-CR"/>
        </w:rPr>
        <w:t xml:space="preserve">Asunto </w:t>
      </w:r>
      <w:r w:rsidRPr="006527FD">
        <w:rPr>
          <w:rFonts w:ascii="Verdana" w:eastAsiaTheme="minorHAnsi" w:hAnsi="Verdana" w:cs="Cambria-Italic"/>
          <w:i/>
          <w:iCs/>
          <w:sz w:val="20"/>
          <w:szCs w:val="20"/>
          <w:lang w:val="es-CR"/>
        </w:rPr>
        <w:lastRenderedPageBreak/>
        <w:t>Chamorro y otros respecto de Nicaragua</w:t>
      </w:r>
      <w:r w:rsidRPr="006527FD">
        <w:rPr>
          <w:rStyle w:val="Refdenotaalpie"/>
          <w:rFonts w:ascii="Verdana" w:eastAsiaTheme="minorHAnsi" w:hAnsi="Verdana" w:cs="Cambria-Italic"/>
          <w:iCs/>
          <w:sz w:val="20"/>
          <w:szCs w:val="20"/>
          <w:lang w:val="es-CR"/>
        </w:rPr>
        <w:footnoteReference w:id="12"/>
      </w:r>
      <w:r w:rsidRPr="006527FD">
        <w:rPr>
          <w:rFonts w:ascii="Verdana" w:eastAsiaTheme="minorHAnsi" w:hAnsi="Verdana" w:cs="Cambria"/>
          <w:sz w:val="20"/>
          <w:szCs w:val="20"/>
          <w:lang w:val="es-CR"/>
        </w:rPr>
        <w:t xml:space="preserve">. En ese sentido, indicó que el Tribunal podría analizar la situación particular e </w:t>
      </w:r>
      <w:r w:rsidRPr="006527FD">
        <w:rPr>
          <w:rFonts w:ascii="Verdana" w:hAnsi="Verdana"/>
          <w:sz w:val="20"/>
          <w:szCs w:val="20"/>
        </w:rPr>
        <w:t>individualizada</w:t>
      </w:r>
      <w:r w:rsidRPr="006527FD">
        <w:rPr>
          <w:rFonts w:ascii="Verdana" w:eastAsiaTheme="minorHAnsi" w:hAnsi="Verdana" w:cs="Cambria"/>
          <w:sz w:val="20"/>
          <w:szCs w:val="20"/>
          <w:lang w:val="es-CR"/>
        </w:rPr>
        <w:t xml:space="preserve"> de riesgo extremo en la que se encuentra la señora Oviedo tras su detención en el contexto actual que enfrenta el Estado de Nicaragua. Concluyó que el Tribunal podría </w:t>
      </w:r>
      <w:r w:rsidRPr="006527FD">
        <w:rPr>
          <w:rFonts w:ascii="Verdana" w:hAnsi="Verdana"/>
          <w:sz w:val="20"/>
          <w:szCs w:val="20"/>
        </w:rPr>
        <w:t>solicitar</w:t>
      </w:r>
      <w:r w:rsidRPr="006527FD">
        <w:rPr>
          <w:rFonts w:ascii="Verdana" w:eastAsiaTheme="minorHAnsi" w:hAnsi="Verdana" w:cs="Cambria"/>
          <w:sz w:val="20"/>
          <w:szCs w:val="20"/>
          <w:lang w:val="es-CR"/>
        </w:rPr>
        <w:t xml:space="preserve"> expresamente la liberación de la </w:t>
      </w:r>
      <w:r w:rsidR="00222B31" w:rsidRPr="006527FD">
        <w:rPr>
          <w:rFonts w:ascii="Verdana" w:eastAsiaTheme="minorHAnsi" w:hAnsi="Verdana" w:cs="Cambria"/>
          <w:sz w:val="20"/>
          <w:szCs w:val="20"/>
          <w:lang w:val="es-CR"/>
        </w:rPr>
        <w:t>señora</w:t>
      </w:r>
      <w:r w:rsidRPr="006527FD">
        <w:rPr>
          <w:rFonts w:ascii="Verdana" w:eastAsiaTheme="minorHAnsi" w:hAnsi="Verdana" w:cs="Cambria"/>
          <w:sz w:val="20"/>
          <w:szCs w:val="20"/>
          <w:lang w:val="es-CR"/>
        </w:rPr>
        <w:t xml:space="preserve"> Oviedo. </w:t>
      </w:r>
    </w:p>
    <w:p w14:paraId="59D407EE" w14:textId="4D643F30" w:rsidR="005953DB" w:rsidRPr="006527FD" w:rsidRDefault="005953DB" w:rsidP="005953DB">
      <w:pPr>
        <w:jc w:val="both"/>
        <w:rPr>
          <w:rFonts w:ascii="Verdana" w:hAnsi="Verdana"/>
          <w:lang w:val="es-ES"/>
        </w:rPr>
      </w:pPr>
    </w:p>
    <w:p w14:paraId="2900A42C" w14:textId="167D23D3" w:rsidR="00FB6C1B" w:rsidRPr="006527FD" w:rsidRDefault="00FB6C1B" w:rsidP="005953DB">
      <w:pPr>
        <w:pStyle w:val="Ttulo2"/>
        <w:spacing w:before="0" w:after="0"/>
        <w:rPr>
          <w:lang w:val="es-ES"/>
        </w:rPr>
      </w:pPr>
      <w:r w:rsidRPr="006527FD">
        <w:rPr>
          <w:lang w:val="es-ES"/>
        </w:rPr>
        <w:t>D.</w:t>
      </w:r>
      <w:r w:rsidRPr="006527FD">
        <w:rPr>
          <w:lang w:val="es-ES"/>
        </w:rPr>
        <w:tab/>
        <w:t>Consideraciones de la Corte</w:t>
      </w:r>
    </w:p>
    <w:p w14:paraId="16491C33" w14:textId="09ACEA30" w:rsidR="00B13B8A" w:rsidRPr="006527FD" w:rsidRDefault="00B13B8A" w:rsidP="00013F89">
      <w:pPr>
        <w:jc w:val="both"/>
        <w:rPr>
          <w:rFonts w:ascii="Verdana" w:hAnsi="Verdana"/>
          <w:sz w:val="20"/>
          <w:szCs w:val="20"/>
          <w:lang w:val="es-ES" w:eastAsia="es-CR"/>
        </w:rPr>
      </w:pPr>
    </w:p>
    <w:p w14:paraId="730AB96C" w14:textId="5F179F1C" w:rsidR="00EF64C5" w:rsidRPr="006527FD" w:rsidRDefault="00E51AD5" w:rsidP="0091088A">
      <w:pPr>
        <w:numPr>
          <w:ilvl w:val="0"/>
          <w:numId w:val="25"/>
        </w:numPr>
        <w:ind w:left="0" w:firstLine="0"/>
        <w:jc w:val="both"/>
        <w:rPr>
          <w:rFonts w:ascii="Verdana" w:eastAsiaTheme="minorHAnsi" w:hAnsi="Verdana" w:cs="Cambria"/>
          <w:sz w:val="20"/>
          <w:szCs w:val="20"/>
        </w:rPr>
      </w:pPr>
      <w:r w:rsidRPr="006527FD">
        <w:rPr>
          <w:rFonts w:ascii="Verdana" w:hAnsi="Verdana"/>
          <w:sz w:val="20"/>
          <w:szCs w:val="20"/>
          <w:lang w:val="es-ES"/>
        </w:rPr>
        <w:t xml:space="preserve">En primer lugar, </w:t>
      </w:r>
      <w:r w:rsidR="00224B74" w:rsidRPr="00AE56B2">
        <w:rPr>
          <w:rFonts w:ascii="Verdana" w:eastAsiaTheme="minorHAnsi" w:hAnsi="Verdana" w:cs="Verdana"/>
          <w:b/>
          <w:i/>
          <w:sz w:val="20"/>
          <w:szCs w:val="20"/>
          <w:lang w:val="es-CR"/>
        </w:rPr>
        <w:t>Tribunal</w:t>
      </w:r>
      <w:r w:rsidR="00224B74" w:rsidRPr="006527FD">
        <w:rPr>
          <w:rFonts w:ascii="Verdana" w:eastAsiaTheme="minorHAnsi" w:hAnsi="Verdana" w:cs="Verdana"/>
          <w:sz w:val="20"/>
          <w:szCs w:val="20"/>
          <w:lang w:val="es-CR"/>
        </w:rPr>
        <w:t xml:space="preserve"> obser</w:t>
      </w:r>
      <w:r w:rsidR="005F3398" w:rsidRPr="006527FD">
        <w:rPr>
          <w:rFonts w:ascii="Verdana" w:eastAsiaTheme="minorHAnsi" w:hAnsi="Verdana" w:cs="Verdana"/>
          <w:sz w:val="20"/>
          <w:szCs w:val="20"/>
          <w:lang w:val="es-CR"/>
        </w:rPr>
        <w:t>va</w:t>
      </w:r>
      <w:r w:rsidR="00B275FE" w:rsidRPr="006527FD">
        <w:rPr>
          <w:rFonts w:ascii="Verdana" w:eastAsiaTheme="minorHAnsi" w:hAnsi="Verdana" w:cs="Verdana"/>
          <w:sz w:val="20"/>
          <w:szCs w:val="20"/>
          <w:lang w:val="es-CR"/>
        </w:rPr>
        <w:t xml:space="preserve"> que,</w:t>
      </w:r>
      <w:r w:rsidR="005F3398" w:rsidRPr="006527FD">
        <w:rPr>
          <w:rFonts w:ascii="Verdana" w:eastAsiaTheme="minorHAnsi" w:hAnsi="Verdana" w:cs="Verdana"/>
          <w:sz w:val="20"/>
          <w:szCs w:val="20"/>
          <w:lang w:val="es-CR"/>
        </w:rPr>
        <w:t xml:space="preserve"> según lo indicado por los representantes</w:t>
      </w:r>
      <w:r w:rsidRPr="006527FD">
        <w:rPr>
          <w:rFonts w:ascii="Verdana" w:eastAsiaTheme="minorHAnsi" w:hAnsi="Verdana" w:cs="Verdana"/>
          <w:sz w:val="20"/>
          <w:szCs w:val="20"/>
          <w:lang w:val="es-CR"/>
        </w:rPr>
        <w:t xml:space="preserve"> y que no ha sido desvirtuado por el Estado</w:t>
      </w:r>
      <w:r w:rsidR="00224B74" w:rsidRPr="006527FD">
        <w:rPr>
          <w:rFonts w:ascii="Verdana" w:eastAsiaTheme="minorHAnsi" w:hAnsi="Verdana" w:cs="Verdana"/>
          <w:sz w:val="20"/>
          <w:szCs w:val="20"/>
          <w:lang w:val="es-CR"/>
        </w:rPr>
        <w:t xml:space="preserve">, </w:t>
      </w:r>
      <w:r w:rsidR="005F3398" w:rsidRPr="006527FD">
        <w:rPr>
          <w:rFonts w:ascii="Verdana" w:eastAsiaTheme="minorHAnsi" w:hAnsi="Verdana" w:cs="Verdana"/>
          <w:sz w:val="20"/>
          <w:szCs w:val="20"/>
          <w:lang w:val="es-CR"/>
        </w:rPr>
        <w:t xml:space="preserve">la detención de la señora Oviedo </w:t>
      </w:r>
      <w:r w:rsidR="00224B74" w:rsidRPr="006527FD">
        <w:rPr>
          <w:rFonts w:ascii="Verdana" w:eastAsiaTheme="minorHAnsi" w:hAnsi="Verdana" w:cs="Verdana"/>
          <w:sz w:val="20"/>
          <w:szCs w:val="20"/>
          <w:lang w:val="es-CR"/>
        </w:rPr>
        <w:t>se habr</w:t>
      </w:r>
      <w:r w:rsidRPr="006527FD">
        <w:rPr>
          <w:rFonts w:ascii="Verdana" w:eastAsiaTheme="minorHAnsi" w:hAnsi="Verdana" w:cs="Verdana"/>
          <w:sz w:val="20"/>
          <w:szCs w:val="20"/>
          <w:lang w:val="es-CR"/>
        </w:rPr>
        <w:t xml:space="preserve">ía realizado sin orden judicial, tras la cual </w:t>
      </w:r>
      <w:r w:rsidR="005F3398" w:rsidRPr="006527FD">
        <w:rPr>
          <w:rFonts w:ascii="Verdana" w:eastAsiaTheme="minorHAnsi" w:hAnsi="Verdana" w:cs="Verdana"/>
          <w:sz w:val="20"/>
          <w:szCs w:val="20"/>
          <w:lang w:val="es-CR"/>
        </w:rPr>
        <w:t xml:space="preserve">habría permanecido sin contacto con el exterior, al menos, </w:t>
      </w:r>
      <w:r w:rsidR="00B827F1" w:rsidRPr="006527FD">
        <w:rPr>
          <w:rFonts w:ascii="Verdana" w:eastAsiaTheme="minorHAnsi" w:hAnsi="Verdana" w:cs="Verdana"/>
          <w:sz w:val="20"/>
          <w:szCs w:val="20"/>
          <w:lang w:val="es-CR"/>
        </w:rPr>
        <w:t xml:space="preserve">hasta el </w:t>
      </w:r>
      <w:r w:rsidR="005F3398" w:rsidRPr="006527FD">
        <w:rPr>
          <w:rFonts w:ascii="Verdana" w:eastAsiaTheme="minorHAnsi" w:hAnsi="Verdana" w:cs="Verdana"/>
          <w:sz w:val="20"/>
          <w:szCs w:val="20"/>
          <w:lang w:val="es-CR"/>
        </w:rPr>
        <w:t>30 de septiembre de 2021 –esto es, casi dos meses desde su detención–</w:t>
      </w:r>
      <w:r w:rsidR="00224B74" w:rsidRPr="006527FD">
        <w:rPr>
          <w:rFonts w:ascii="Verdana" w:eastAsiaTheme="minorHAnsi" w:hAnsi="Verdana" w:cs="Verdana"/>
          <w:sz w:val="20"/>
          <w:szCs w:val="20"/>
          <w:lang w:val="es-CR"/>
        </w:rPr>
        <w:t xml:space="preserve">. </w:t>
      </w:r>
      <w:r w:rsidR="00B275FE" w:rsidRPr="006527FD">
        <w:rPr>
          <w:rFonts w:ascii="Verdana" w:eastAsiaTheme="minorHAnsi" w:hAnsi="Verdana" w:cs="Verdana"/>
          <w:sz w:val="20"/>
          <w:szCs w:val="20"/>
          <w:lang w:val="es-CR"/>
        </w:rPr>
        <w:t>En el marco de esta situación de aislamiento</w:t>
      </w:r>
      <w:r w:rsidR="00845E50">
        <w:rPr>
          <w:rFonts w:ascii="Verdana" w:eastAsiaTheme="minorHAnsi" w:hAnsi="Verdana" w:cs="Verdana"/>
          <w:sz w:val="20"/>
          <w:szCs w:val="20"/>
          <w:lang w:val="es-CR"/>
        </w:rPr>
        <w:t>,</w:t>
      </w:r>
      <w:r w:rsidR="00B275FE" w:rsidRPr="006527FD">
        <w:rPr>
          <w:rFonts w:ascii="Verdana" w:eastAsiaTheme="minorHAnsi" w:hAnsi="Verdana" w:cs="Verdana"/>
          <w:sz w:val="20"/>
          <w:szCs w:val="20"/>
          <w:lang w:val="es-CR"/>
        </w:rPr>
        <w:t xml:space="preserve"> tuvo lugar una audiencia de garantía y tutela constitucional</w:t>
      </w:r>
      <w:r w:rsidR="00AE56B2">
        <w:rPr>
          <w:rFonts w:ascii="Verdana" w:eastAsiaTheme="minorHAnsi" w:hAnsi="Verdana" w:cs="Verdana"/>
          <w:sz w:val="20"/>
          <w:szCs w:val="20"/>
          <w:lang w:val="es-CR"/>
        </w:rPr>
        <w:t>,</w:t>
      </w:r>
      <w:r w:rsidR="00B275FE" w:rsidRPr="006527FD">
        <w:rPr>
          <w:rFonts w:ascii="Verdana" w:eastAsiaTheme="minorHAnsi" w:hAnsi="Verdana" w:cs="Verdana"/>
          <w:sz w:val="20"/>
          <w:szCs w:val="20"/>
          <w:lang w:val="es-CR"/>
        </w:rPr>
        <w:t xml:space="preserve"> </w:t>
      </w:r>
      <w:r w:rsidR="00805675" w:rsidRPr="006527FD">
        <w:rPr>
          <w:rFonts w:ascii="Verdana" w:eastAsiaTheme="minorHAnsi" w:hAnsi="Verdana" w:cs="Verdana"/>
          <w:sz w:val="20"/>
          <w:szCs w:val="20"/>
          <w:lang w:val="es-CR"/>
        </w:rPr>
        <w:t xml:space="preserve">tras la que se acordó la prolongación de la situación de privación de libertad. La Corte advierte que en dicha audiencia </w:t>
      </w:r>
      <w:r w:rsidR="00B275FE" w:rsidRPr="006527FD">
        <w:rPr>
          <w:rFonts w:ascii="Verdana" w:eastAsiaTheme="minorHAnsi" w:hAnsi="Verdana" w:cs="Verdana"/>
          <w:sz w:val="20"/>
          <w:szCs w:val="20"/>
          <w:lang w:val="es-CR"/>
        </w:rPr>
        <w:t>no pudo participar su representante legal, y ello a pesar de los múltiples requerimientos efectuados para ello (</w:t>
      </w:r>
      <w:r w:rsidR="00B275FE" w:rsidRPr="006527FD">
        <w:rPr>
          <w:rFonts w:ascii="Verdana" w:eastAsiaTheme="minorHAnsi" w:hAnsi="Verdana" w:cs="Verdana"/>
          <w:i/>
          <w:sz w:val="20"/>
          <w:szCs w:val="20"/>
          <w:lang w:val="es-CR"/>
        </w:rPr>
        <w:t>supra</w:t>
      </w:r>
      <w:r w:rsidR="00B275FE" w:rsidRPr="006527FD">
        <w:rPr>
          <w:rFonts w:ascii="Verdana" w:eastAsiaTheme="minorHAnsi" w:hAnsi="Verdana" w:cs="Verdana"/>
          <w:sz w:val="20"/>
          <w:szCs w:val="20"/>
          <w:lang w:val="es-CR"/>
        </w:rPr>
        <w:t xml:space="preserve"> parr.</w:t>
      </w:r>
      <w:r w:rsidR="006527FD" w:rsidRPr="006527FD">
        <w:rPr>
          <w:rFonts w:ascii="Verdana" w:eastAsiaTheme="minorHAnsi" w:hAnsi="Verdana" w:cs="Verdana"/>
          <w:sz w:val="20"/>
          <w:szCs w:val="20"/>
          <w:lang w:val="es-CR"/>
        </w:rPr>
        <w:t>5</w:t>
      </w:r>
      <w:r w:rsidR="00B275FE" w:rsidRPr="006527FD">
        <w:rPr>
          <w:rFonts w:ascii="Verdana" w:eastAsiaTheme="minorHAnsi" w:hAnsi="Verdana" w:cs="Verdana"/>
          <w:sz w:val="20"/>
          <w:szCs w:val="20"/>
          <w:lang w:val="es-CR"/>
        </w:rPr>
        <w:t>)</w:t>
      </w:r>
      <w:r w:rsidR="00524601" w:rsidRPr="006527FD">
        <w:rPr>
          <w:rFonts w:ascii="Verdana" w:eastAsiaTheme="minorHAnsi" w:hAnsi="Verdana" w:cs="Verdana"/>
          <w:sz w:val="20"/>
          <w:szCs w:val="20"/>
          <w:lang w:val="es-CR"/>
        </w:rPr>
        <w:t>. A día de hoy, el Tribunal desconoce si el abogado de la señora Oviedo ha podido finalmente tener acceso al expediente y a poder entrevistarse con ella.</w:t>
      </w:r>
      <w:r w:rsidR="00B275FE" w:rsidRPr="006527FD">
        <w:rPr>
          <w:rFonts w:ascii="Verdana" w:eastAsiaTheme="minorHAnsi" w:hAnsi="Verdana" w:cs="Verdana"/>
          <w:sz w:val="20"/>
          <w:szCs w:val="20"/>
          <w:lang w:val="es-CR"/>
        </w:rPr>
        <w:t xml:space="preserve"> </w:t>
      </w:r>
    </w:p>
    <w:p w14:paraId="5D5657DE" w14:textId="77777777" w:rsidR="0091088A" w:rsidRPr="006527FD" w:rsidRDefault="0091088A" w:rsidP="0091088A">
      <w:pPr>
        <w:jc w:val="both"/>
        <w:rPr>
          <w:rFonts w:ascii="Verdana" w:eastAsiaTheme="minorHAnsi" w:hAnsi="Verdana" w:cs="Cambria"/>
          <w:sz w:val="20"/>
          <w:szCs w:val="20"/>
        </w:rPr>
      </w:pPr>
    </w:p>
    <w:p w14:paraId="424987F1" w14:textId="0EB3D58B" w:rsidR="00B64A1E" w:rsidRPr="006527FD" w:rsidRDefault="00B64A1E" w:rsidP="00B64A1E">
      <w:pPr>
        <w:numPr>
          <w:ilvl w:val="0"/>
          <w:numId w:val="25"/>
        </w:numPr>
        <w:ind w:left="0" w:firstLine="0"/>
        <w:jc w:val="both"/>
        <w:rPr>
          <w:rFonts w:ascii="Verdana" w:eastAsiaTheme="minorHAnsi" w:hAnsi="Verdana" w:cs="Cambria"/>
          <w:sz w:val="20"/>
          <w:szCs w:val="20"/>
        </w:rPr>
      </w:pPr>
      <w:r w:rsidRPr="006527FD">
        <w:rPr>
          <w:rFonts w:ascii="Verdana" w:hAnsi="Verdana"/>
          <w:sz w:val="20"/>
          <w:szCs w:val="20"/>
        </w:rPr>
        <w:t>Asimismo, el Tribunal advierte</w:t>
      </w:r>
      <w:r w:rsidR="00524601" w:rsidRPr="006527FD">
        <w:rPr>
          <w:rFonts w:ascii="Verdana" w:hAnsi="Verdana"/>
          <w:sz w:val="20"/>
          <w:szCs w:val="20"/>
        </w:rPr>
        <w:t>,</w:t>
      </w:r>
      <w:r w:rsidRPr="006527FD">
        <w:rPr>
          <w:rFonts w:ascii="Verdana" w:hAnsi="Verdana"/>
          <w:sz w:val="20"/>
          <w:szCs w:val="20"/>
        </w:rPr>
        <w:t xml:space="preserve"> con preocupación</w:t>
      </w:r>
      <w:r w:rsidR="00524601" w:rsidRPr="006527FD">
        <w:rPr>
          <w:rFonts w:ascii="Verdana" w:hAnsi="Verdana"/>
          <w:sz w:val="20"/>
          <w:szCs w:val="20"/>
        </w:rPr>
        <w:t>,</w:t>
      </w:r>
      <w:r w:rsidRPr="006527FD">
        <w:rPr>
          <w:rFonts w:ascii="Verdana" w:hAnsi="Verdana"/>
          <w:sz w:val="20"/>
          <w:szCs w:val="20"/>
        </w:rPr>
        <w:t xml:space="preserve"> que esta detenci</w:t>
      </w:r>
      <w:r w:rsidR="00653D77" w:rsidRPr="006527FD">
        <w:rPr>
          <w:rFonts w:ascii="Verdana" w:hAnsi="Verdana"/>
          <w:sz w:val="20"/>
          <w:szCs w:val="20"/>
        </w:rPr>
        <w:t>ón se ha</w:t>
      </w:r>
      <w:r w:rsidRPr="006527FD">
        <w:rPr>
          <w:rFonts w:ascii="Verdana" w:hAnsi="Verdana"/>
          <w:sz w:val="20"/>
          <w:szCs w:val="20"/>
        </w:rPr>
        <w:t xml:space="preserve"> realizado en un contexto que ya ha sido objeto de análisis en varias Resoluciones de medidas provisionales de este T</w:t>
      </w:r>
      <w:r w:rsidR="00B275FE" w:rsidRPr="006527FD">
        <w:rPr>
          <w:rFonts w:ascii="Verdana" w:hAnsi="Verdana"/>
          <w:sz w:val="20"/>
          <w:szCs w:val="20"/>
        </w:rPr>
        <w:t xml:space="preserve">ribunal, donde se ha advertido </w:t>
      </w:r>
      <w:r w:rsidR="00653D77" w:rsidRPr="006527FD">
        <w:rPr>
          <w:rFonts w:ascii="Verdana" w:hAnsi="Verdana"/>
          <w:sz w:val="20"/>
          <w:szCs w:val="20"/>
        </w:rPr>
        <w:t xml:space="preserve">la existencia de una </w:t>
      </w:r>
      <w:r w:rsidRPr="006527FD">
        <w:rPr>
          <w:rFonts w:ascii="Verdana" w:hAnsi="Verdana"/>
          <w:sz w:val="20"/>
          <w:szCs w:val="20"/>
        </w:rPr>
        <w:t>“situación de especial riesgo y vulnerabilidad de las personas pertenecientes a la oposición o identificadas como opositoras al actual Gobierno del país”, siendo estas personas “objeto de persecuciones y amenazas desde abril de 2018, en un contexto de hostigamiento, a través de diferentes mecanismos como seguimientos, amenazas y privaciones de facto de la libertad”</w:t>
      </w:r>
      <w:r w:rsidRPr="006527FD">
        <w:rPr>
          <w:rStyle w:val="Refdenotaalpie"/>
          <w:rFonts w:ascii="Verdana" w:hAnsi="Verdana"/>
          <w:sz w:val="20"/>
          <w:szCs w:val="20"/>
        </w:rPr>
        <w:footnoteReference w:id="13"/>
      </w:r>
      <w:r w:rsidRPr="006527FD">
        <w:rPr>
          <w:rFonts w:ascii="Verdana" w:hAnsi="Verdana"/>
          <w:sz w:val="20"/>
          <w:szCs w:val="20"/>
        </w:rPr>
        <w:t>. Además, el Tribunal también destaca lo señalado en su Resolución de 1 de septiembre de 2021 relativa al presente asunto, donde observó con preocupación “la relativamente reciente aprobación de ciertas leyes, tales como la Ley No. 1040, de Regulación de Agentes Extranjeros y la Ley Especial de Ciberdelitos, cuya compatibilidad con estándares internacionales de derechos humanos ha sido puesta en duda por varios Relatores Especiales de la Organización de las Naciones Unidas y ha sido abiertamente cuestionada por la Comisión Interamericana, así como por ONGs nacionales e internacionales” y consideró que dicho marco jurídico “puede obstaculizar el derecho a defender los derechos humanos en Nicaragua y contribuir a la creación de un clima hostil de hostigamiento y persecución contra organizaciones de derechos humanos”</w:t>
      </w:r>
      <w:r w:rsidRPr="006527FD">
        <w:rPr>
          <w:rStyle w:val="Refdenotaalpie"/>
          <w:rFonts w:ascii="Verdana" w:hAnsi="Verdana"/>
          <w:sz w:val="20"/>
          <w:szCs w:val="20"/>
        </w:rPr>
        <w:footnoteReference w:id="14"/>
      </w:r>
      <w:r w:rsidRPr="006527FD">
        <w:rPr>
          <w:rFonts w:ascii="Verdana" w:hAnsi="Verdana"/>
          <w:sz w:val="20"/>
          <w:szCs w:val="20"/>
        </w:rPr>
        <w:t>.</w:t>
      </w:r>
    </w:p>
    <w:p w14:paraId="0D716887" w14:textId="2851E03D" w:rsidR="00562B3C" w:rsidRPr="006527FD" w:rsidRDefault="00562B3C" w:rsidP="00562B3C">
      <w:pPr>
        <w:jc w:val="both"/>
        <w:rPr>
          <w:rFonts w:ascii="Verdana" w:hAnsi="Verdana"/>
          <w:sz w:val="20"/>
          <w:szCs w:val="20"/>
        </w:rPr>
      </w:pPr>
    </w:p>
    <w:p w14:paraId="2F246A04" w14:textId="0152652A" w:rsidR="008C35C4" w:rsidRPr="006527FD" w:rsidRDefault="008C35C4" w:rsidP="00562B3C">
      <w:pPr>
        <w:numPr>
          <w:ilvl w:val="0"/>
          <w:numId w:val="25"/>
        </w:numPr>
        <w:ind w:left="0" w:firstLine="0"/>
        <w:jc w:val="both"/>
        <w:rPr>
          <w:rFonts w:ascii="Verdana" w:hAnsi="Verdana"/>
          <w:sz w:val="20"/>
          <w:szCs w:val="20"/>
        </w:rPr>
      </w:pPr>
      <w:r w:rsidRPr="006527FD">
        <w:rPr>
          <w:rFonts w:ascii="Verdana" w:hAnsi="Verdana"/>
          <w:sz w:val="20"/>
          <w:szCs w:val="20"/>
        </w:rPr>
        <w:t>E</w:t>
      </w:r>
      <w:r w:rsidR="00224B74" w:rsidRPr="006527FD">
        <w:rPr>
          <w:rFonts w:ascii="Verdana" w:hAnsi="Verdana"/>
          <w:sz w:val="20"/>
          <w:szCs w:val="20"/>
        </w:rPr>
        <w:t xml:space="preserve">l Tribunal advierte </w:t>
      </w:r>
      <w:r w:rsidR="005F3398" w:rsidRPr="006527FD">
        <w:rPr>
          <w:rFonts w:ascii="Verdana" w:hAnsi="Verdana"/>
          <w:sz w:val="20"/>
          <w:szCs w:val="20"/>
        </w:rPr>
        <w:t>que la señora Oviedo es miembro de la ONG CPDH, organización</w:t>
      </w:r>
      <w:r w:rsidR="008D6A21" w:rsidRPr="006527FD">
        <w:rPr>
          <w:rFonts w:ascii="Verdana" w:hAnsi="Verdana"/>
          <w:sz w:val="20"/>
          <w:szCs w:val="20"/>
        </w:rPr>
        <w:t xml:space="preserve"> cuyos integrantes ya son beneficiarios </w:t>
      </w:r>
      <w:r w:rsidR="005F3398" w:rsidRPr="006527FD">
        <w:rPr>
          <w:rFonts w:ascii="Verdana" w:hAnsi="Verdana"/>
          <w:sz w:val="20"/>
          <w:szCs w:val="20"/>
        </w:rPr>
        <w:t>de medidas provisionales</w:t>
      </w:r>
      <w:r w:rsidR="00EF64C5" w:rsidRPr="006527FD">
        <w:rPr>
          <w:rFonts w:ascii="Verdana" w:hAnsi="Verdana"/>
          <w:sz w:val="20"/>
          <w:szCs w:val="20"/>
        </w:rPr>
        <w:t xml:space="preserve">. </w:t>
      </w:r>
      <w:r w:rsidR="00AE56B2">
        <w:rPr>
          <w:rFonts w:ascii="Verdana" w:hAnsi="Verdana"/>
          <w:sz w:val="20"/>
          <w:szCs w:val="20"/>
        </w:rPr>
        <w:t xml:space="preserve">El </w:t>
      </w:r>
      <w:r w:rsidRPr="006527FD">
        <w:rPr>
          <w:rFonts w:ascii="Verdana" w:hAnsi="Verdana"/>
          <w:sz w:val="20"/>
          <w:szCs w:val="20"/>
        </w:rPr>
        <w:t>Tribunal observa</w:t>
      </w:r>
      <w:r w:rsidR="00AE56B2">
        <w:rPr>
          <w:rFonts w:ascii="Verdana" w:hAnsi="Verdana"/>
          <w:sz w:val="20"/>
          <w:szCs w:val="20"/>
        </w:rPr>
        <w:t>, además,</w:t>
      </w:r>
      <w:r w:rsidRPr="006527FD">
        <w:rPr>
          <w:rFonts w:ascii="Verdana" w:hAnsi="Verdana"/>
          <w:sz w:val="20"/>
          <w:szCs w:val="20"/>
        </w:rPr>
        <w:t xml:space="preserve"> que la detención de la señora Oviedo viene precedida de años de campañas de </w:t>
      </w:r>
      <w:r w:rsidRPr="006527FD">
        <w:rPr>
          <w:rFonts w:ascii="Verdana" w:hAnsi="Verdana"/>
          <w:sz w:val="20"/>
          <w:szCs w:val="20"/>
        </w:rPr>
        <w:lastRenderedPageBreak/>
        <w:t xml:space="preserve">estigmatización y desacreditación contra las y los integrantes de la CPDH, así como de graves actos de </w:t>
      </w:r>
      <w:r w:rsidRPr="006527FD">
        <w:rPr>
          <w:rFonts w:ascii="Verdana" w:hAnsi="Verdana"/>
          <w:sz w:val="20"/>
          <w:szCs w:val="20"/>
          <w:lang w:val="es-ES"/>
        </w:rPr>
        <w:t>amedrentamiento</w:t>
      </w:r>
      <w:r w:rsidRPr="006527FD">
        <w:rPr>
          <w:rFonts w:ascii="Verdana" w:hAnsi="Verdana"/>
          <w:sz w:val="20"/>
          <w:szCs w:val="20"/>
        </w:rPr>
        <w:t>. A pesar de todo, la señora Oviedo ha continuado con su actividad como defensora de derechos humanos hasta el día de su detención, siendo este acto de privación de la libertad una muestra más extrema de este proceso de hostigamiento y persecución dirigido en contra de ella en particular, y de las personas defensoras de derechos humanos en Nicaragua en general.</w:t>
      </w:r>
    </w:p>
    <w:p w14:paraId="2AA03DE0" w14:textId="77777777" w:rsidR="008C35C4" w:rsidRPr="006527FD" w:rsidRDefault="008C35C4" w:rsidP="008C35C4">
      <w:pPr>
        <w:jc w:val="both"/>
        <w:rPr>
          <w:rFonts w:ascii="Verdana" w:hAnsi="Verdana"/>
          <w:sz w:val="20"/>
          <w:szCs w:val="20"/>
        </w:rPr>
      </w:pPr>
    </w:p>
    <w:p w14:paraId="248BDA4C" w14:textId="1D3F15AA" w:rsidR="00EF64C5" w:rsidRPr="006527FD" w:rsidRDefault="00AE56B2" w:rsidP="008C35C4">
      <w:pPr>
        <w:numPr>
          <w:ilvl w:val="0"/>
          <w:numId w:val="25"/>
        </w:numPr>
        <w:ind w:left="0" w:firstLine="0"/>
        <w:jc w:val="both"/>
        <w:rPr>
          <w:rFonts w:ascii="Verdana" w:hAnsi="Verdana"/>
          <w:sz w:val="20"/>
          <w:szCs w:val="20"/>
        </w:rPr>
      </w:pPr>
      <w:r>
        <w:rPr>
          <w:rFonts w:ascii="Verdana" w:hAnsi="Verdana"/>
          <w:sz w:val="20"/>
          <w:szCs w:val="20"/>
        </w:rPr>
        <w:t>Adicionalmente, e</w:t>
      </w:r>
      <w:r w:rsidR="008C35C4" w:rsidRPr="006527FD">
        <w:rPr>
          <w:rFonts w:ascii="Verdana" w:hAnsi="Verdana"/>
          <w:sz w:val="20"/>
          <w:szCs w:val="20"/>
        </w:rPr>
        <w:t>l Tribunal o</w:t>
      </w:r>
      <w:r w:rsidR="00EF64C5" w:rsidRPr="006527FD">
        <w:rPr>
          <w:rFonts w:ascii="Verdana" w:hAnsi="Verdana"/>
          <w:sz w:val="20"/>
          <w:szCs w:val="20"/>
        </w:rPr>
        <w:t>bserva que a la señora Oviedo</w:t>
      </w:r>
      <w:r w:rsidR="005F3398" w:rsidRPr="006527FD">
        <w:rPr>
          <w:rFonts w:ascii="Verdana" w:hAnsi="Verdana"/>
          <w:sz w:val="20"/>
          <w:szCs w:val="20"/>
        </w:rPr>
        <w:t xml:space="preserve"> se le imputan los delitos de “conspiración para acometer menoscabo a la integridad nacional y propagación de noticias falas a través de la tecnología de la información y la comunicación”</w:t>
      </w:r>
      <w:r w:rsidR="00562B3C" w:rsidRPr="006527FD">
        <w:rPr>
          <w:rStyle w:val="Refdenotaalpie"/>
          <w:rFonts w:ascii="Verdana" w:hAnsi="Verdana"/>
          <w:sz w:val="20"/>
          <w:szCs w:val="20"/>
        </w:rPr>
        <w:footnoteReference w:id="15"/>
      </w:r>
      <w:r w:rsidR="00F7131A" w:rsidRPr="006527FD">
        <w:rPr>
          <w:rFonts w:ascii="Verdana" w:hAnsi="Verdana"/>
          <w:sz w:val="20"/>
          <w:szCs w:val="20"/>
        </w:rPr>
        <w:t>,</w:t>
      </w:r>
      <w:r w:rsidR="005F3398" w:rsidRPr="006527FD">
        <w:rPr>
          <w:rFonts w:ascii="Verdana" w:hAnsi="Verdana"/>
          <w:sz w:val="20"/>
          <w:szCs w:val="20"/>
        </w:rPr>
        <w:t xml:space="preserve"> y </w:t>
      </w:r>
      <w:r w:rsidR="005F3398" w:rsidRPr="006527FD">
        <w:rPr>
          <w:rFonts w:ascii="Verdana" w:hAnsi="Verdana"/>
          <w:sz w:val="20"/>
          <w:szCs w:val="20"/>
          <w:lang w:val="es-ES"/>
        </w:rPr>
        <w:t>ello</w:t>
      </w:r>
      <w:r w:rsidR="005F3398" w:rsidRPr="006527FD">
        <w:rPr>
          <w:rFonts w:ascii="Verdana" w:hAnsi="Verdana"/>
          <w:sz w:val="20"/>
          <w:szCs w:val="20"/>
        </w:rPr>
        <w:t xml:space="preserve"> por haber vertido declaraciones en los </w:t>
      </w:r>
      <w:r w:rsidR="00562B3C" w:rsidRPr="006527FD">
        <w:rPr>
          <w:rFonts w:ascii="Verdana" w:hAnsi="Verdana"/>
          <w:sz w:val="20"/>
          <w:szCs w:val="20"/>
        </w:rPr>
        <w:t>medios</w:t>
      </w:r>
      <w:r w:rsidR="005F3398" w:rsidRPr="006527FD">
        <w:rPr>
          <w:rFonts w:ascii="Verdana" w:hAnsi="Verdana"/>
          <w:sz w:val="20"/>
          <w:szCs w:val="20"/>
        </w:rPr>
        <w:t xml:space="preserve"> de comunicación, televisión y redes sociales en las que </w:t>
      </w:r>
      <w:r w:rsidR="00562B3C" w:rsidRPr="006527FD">
        <w:rPr>
          <w:rFonts w:ascii="Verdana" w:hAnsi="Verdana"/>
          <w:sz w:val="20"/>
          <w:szCs w:val="20"/>
        </w:rPr>
        <w:t xml:space="preserve">emitió su opinión crítica sobre las recientes leyes aprobadas </w:t>
      </w:r>
      <w:r w:rsidR="008D6A21" w:rsidRPr="006527FD">
        <w:rPr>
          <w:rFonts w:ascii="Verdana" w:hAnsi="Verdana"/>
          <w:sz w:val="20"/>
          <w:szCs w:val="20"/>
        </w:rPr>
        <w:t xml:space="preserve">en Nicaragua. En particular, según el escrito de Acusación Fiscal de 7 de septiembre de 2021, la señora Oviedo opinó que dichas leyes </w:t>
      </w:r>
      <w:r w:rsidR="00B827F1" w:rsidRPr="006527FD">
        <w:rPr>
          <w:rFonts w:ascii="Verdana" w:hAnsi="Verdana"/>
          <w:sz w:val="20"/>
          <w:szCs w:val="20"/>
        </w:rPr>
        <w:t xml:space="preserve">fueron </w:t>
      </w:r>
      <w:r w:rsidR="00562B3C" w:rsidRPr="006527FD">
        <w:rPr>
          <w:rFonts w:ascii="Verdana" w:hAnsi="Verdana"/>
          <w:sz w:val="20"/>
          <w:szCs w:val="20"/>
        </w:rPr>
        <w:t>hechas “para perseguir al sector de oposición”, “en un contexto de represión de violación</w:t>
      </w:r>
      <w:r w:rsidR="008D6A21" w:rsidRPr="006527FD">
        <w:rPr>
          <w:rFonts w:ascii="Verdana" w:hAnsi="Verdana"/>
          <w:sz w:val="20"/>
          <w:szCs w:val="20"/>
        </w:rPr>
        <w:t xml:space="preserve"> </w:t>
      </w:r>
      <w:r w:rsidR="00562B3C" w:rsidRPr="006527FD">
        <w:rPr>
          <w:rFonts w:ascii="Verdana" w:hAnsi="Verdana"/>
          <w:sz w:val="20"/>
          <w:szCs w:val="20"/>
        </w:rPr>
        <w:t>al derecho humano, a la libertad de expresión, a la libertad de prensa, la libertad de asociación” y que Nicaragua “vive una dictadura donde es evidente el irrespeto al Estado de derecho y la violación sistemática de los derechos humanos de los ciudadanos”</w:t>
      </w:r>
      <w:r w:rsidR="00562B3C" w:rsidRPr="006527FD">
        <w:rPr>
          <w:rStyle w:val="Refdenotaalpie"/>
          <w:rFonts w:ascii="Verdana" w:hAnsi="Verdana"/>
          <w:sz w:val="20"/>
          <w:szCs w:val="20"/>
        </w:rPr>
        <w:footnoteReference w:id="16"/>
      </w:r>
      <w:r w:rsidR="00562B3C" w:rsidRPr="006527FD">
        <w:rPr>
          <w:rFonts w:ascii="Verdana" w:hAnsi="Verdana"/>
          <w:sz w:val="20"/>
          <w:szCs w:val="20"/>
        </w:rPr>
        <w:t xml:space="preserve">. </w:t>
      </w:r>
      <w:r w:rsidR="00EF64C5" w:rsidRPr="006527FD">
        <w:rPr>
          <w:rFonts w:ascii="Verdana" w:hAnsi="Verdana"/>
          <w:sz w:val="20"/>
          <w:szCs w:val="20"/>
        </w:rPr>
        <w:t xml:space="preserve">A lo anterior se une el hecho de la señora Oviedo está siendo procesada, entre otros, por la violación del artículo 30 de la Ley Especial de Ciberdelitos, ley que, como se ha indicado </w:t>
      </w:r>
      <w:r w:rsidR="00EF64C5" w:rsidRPr="006527FD">
        <w:rPr>
          <w:rFonts w:ascii="Verdana" w:hAnsi="Verdana"/>
          <w:i/>
          <w:sz w:val="20"/>
          <w:szCs w:val="20"/>
        </w:rPr>
        <w:t>supra</w:t>
      </w:r>
      <w:r w:rsidR="00EF64C5" w:rsidRPr="006527FD">
        <w:rPr>
          <w:rFonts w:ascii="Verdana" w:hAnsi="Verdana"/>
          <w:sz w:val="20"/>
          <w:szCs w:val="20"/>
        </w:rPr>
        <w:t>, ha sido objeto de amplias críticas por parte de organismos internacionales y organizaciones de la sociedad civil.</w:t>
      </w:r>
    </w:p>
    <w:p w14:paraId="396B0D8A" w14:textId="77777777" w:rsidR="00EF64C5" w:rsidRPr="006527FD" w:rsidRDefault="00EF64C5" w:rsidP="00EF64C5">
      <w:pPr>
        <w:jc w:val="both"/>
        <w:rPr>
          <w:rFonts w:ascii="Verdana" w:hAnsi="Verdana"/>
          <w:sz w:val="20"/>
          <w:szCs w:val="20"/>
        </w:rPr>
      </w:pPr>
    </w:p>
    <w:p w14:paraId="742D52C0" w14:textId="64C8660E" w:rsidR="00F7131A" w:rsidRPr="006527FD" w:rsidRDefault="00EF64C5" w:rsidP="00E52DED">
      <w:pPr>
        <w:numPr>
          <w:ilvl w:val="0"/>
          <w:numId w:val="25"/>
        </w:numPr>
        <w:ind w:left="0" w:firstLine="0"/>
        <w:jc w:val="both"/>
        <w:rPr>
          <w:rFonts w:ascii="Verdana" w:hAnsi="Verdana"/>
          <w:sz w:val="20"/>
          <w:szCs w:val="20"/>
        </w:rPr>
      </w:pPr>
      <w:r w:rsidRPr="006527FD">
        <w:rPr>
          <w:rFonts w:ascii="Verdana" w:hAnsi="Verdana"/>
          <w:sz w:val="20"/>
          <w:szCs w:val="20"/>
        </w:rPr>
        <w:t>A la vista de lo anterior, la Corte</w:t>
      </w:r>
      <w:r w:rsidR="00562B3C" w:rsidRPr="006527FD">
        <w:rPr>
          <w:rFonts w:ascii="Verdana" w:hAnsi="Verdana"/>
          <w:sz w:val="20"/>
          <w:szCs w:val="20"/>
        </w:rPr>
        <w:t xml:space="preserve"> </w:t>
      </w:r>
      <w:r w:rsidRPr="006527FD">
        <w:rPr>
          <w:rFonts w:ascii="Verdana" w:hAnsi="Verdana"/>
          <w:sz w:val="20"/>
          <w:szCs w:val="20"/>
        </w:rPr>
        <w:t>considera</w:t>
      </w:r>
      <w:r w:rsidR="00562B3C" w:rsidRPr="006527FD">
        <w:rPr>
          <w:rFonts w:ascii="Verdana" w:hAnsi="Verdana"/>
          <w:sz w:val="20"/>
          <w:szCs w:val="20"/>
        </w:rPr>
        <w:t xml:space="preserve"> que, </w:t>
      </w:r>
      <w:r w:rsidR="00562B3C" w:rsidRPr="006527FD">
        <w:rPr>
          <w:rFonts w:ascii="Verdana" w:hAnsi="Verdana"/>
          <w:i/>
          <w:sz w:val="20"/>
          <w:szCs w:val="20"/>
        </w:rPr>
        <w:t>prima facie</w:t>
      </w:r>
      <w:r w:rsidR="00562B3C" w:rsidRPr="006527FD">
        <w:rPr>
          <w:rFonts w:ascii="Verdana" w:hAnsi="Verdana"/>
          <w:sz w:val="20"/>
          <w:szCs w:val="20"/>
        </w:rPr>
        <w:t xml:space="preserve">, </w:t>
      </w:r>
      <w:r w:rsidRPr="006527FD">
        <w:rPr>
          <w:rFonts w:ascii="Verdana" w:hAnsi="Verdana"/>
          <w:sz w:val="20"/>
          <w:szCs w:val="20"/>
        </w:rPr>
        <w:t>la detención de la señora Oviedo</w:t>
      </w:r>
      <w:r w:rsidR="008D6A21" w:rsidRPr="006527FD">
        <w:rPr>
          <w:rFonts w:ascii="Verdana" w:hAnsi="Verdana"/>
          <w:sz w:val="20"/>
          <w:szCs w:val="20"/>
        </w:rPr>
        <w:t xml:space="preserve"> y </w:t>
      </w:r>
      <w:r w:rsidR="006527FD">
        <w:rPr>
          <w:rFonts w:ascii="Verdana" w:hAnsi="Verdana"/>
          <w:sz w:val="20"/>
          <w:szCs w:val="20"/>
        </w:rPr>
        <w:t xml:space="preserve">el </w:t>
      </w:r>
      <w:r w:rsidR="008D6A21" w:rsidRPr="006527FD">
        <w:rPr>
          <w:rFonts w:ascii="Verdana" w:hAnsi="Verdana"/>
          <w:sz w:val="20"/>
          <w:szCs w:val="20"/>
        </w:rPr>
        <w:t>procesamiento judicial</w:t>
      </w:r>
      <w:r w:rsidR="00562B3C" w:rsidRPr="006527FD">
        <w:rPr>
          <w:rFonts w:ascii="Verdana" w:hAnsi="Verdana"/>
          <w:sz w:val="20"/>
          <w:szCs w:val="20"/>
        </w:rPr>
        <w:t xml:space="preserve"> </w:t>
      </w:r>
      <w:r w:rsidRPr="006527FD">
        <w:rPr>
          <w:rFonts w:ascii="Verdana" w:hAnsi="Verdana"/>
          <w:sz w:val="20"/>
          <w:szCs w:val="20"/>
        </w:rPr>
        <w:t xml:space="preserve">seguido en su contra </w:t>
      </w:r>
      <w:r w:rsidR="00562B3C" w:rsidRPr="006527FD">
        <w:rPr>
          <w:rFonts w:ascii="Verdana" w:hAnsi="Verdana"/>
          <w:sz w:val="20"/>
          <w:szCs w:val="20"/>
        </w:rPr>
        <w:t>se enmarca</w:t>
      </w:r>
      <w:r w:rsidRPr="006527FD">
        <w:rPr>
          <w:rFonts w:ascii="Verdana" w:hAnsi="Verdana"/>
          <w:sz w:val="20"/>
          <w:szCs w:val="20"/>
        </w:rPr>
        <w:t>n</w:t>
      </w:r>
      <w:r w:rsidR="00224B74" w:rsidRPr="006527FD">
        <w:rPr>
          <w:rFonts w:ascii="Verdana" w:hAnsi="Verdana"/>
          <w:sz w:val="20"/>
          <w:szCs w:val="20"/>
        </w:rPr>
        <w:t xml:space="preserve"> en un contexto de hostigamiento </w:t>
      </w:r>
      <w:r w:rsidR="00562B3C" w:rsidRPr="006527FD">
        <w:rPr>
          <w:rFonts w:ascii="Verdana" w:hAnsi="Verdana"/>
          <w:sz w:val="20"/>
          <w:szCs w:val="20"/>
        </w:rPr>
        <w:t>a toda aquella persona que es identificada como opositora</w:t>
      </w:r>
      <w:r w:rsidR="00224B74" w:rsidRPr="006527FD">
        <w:rPr>
          <w:rFonts w:ascii="Verdana" w:hAnsi="Verdana"/>
          <w:sz w:val="20"/>
          <w:szCs w:val="20"/>
        </w:rPr>
        <w:t xml:space="preserve"> en Nicaragua, </w:t>
      </w:r>
      <w:r w:rsidR="008C35C4" w:rsidRPr="006527FD">
        <w:rPr>
          <w:rFonts w:ascii="Verdana" w:hAnsi="Verdana"/>
          <w:sz w:val="20"/>
          <w:szCs w:val="20"/>
        </w:rPr>
        <w:t xml:space="preserve">contexto </w:t>
      </w:r>
      <w:r w:rsidR="00224B74" w:rsidRPr="006527FD">
        <w:rPr>
          <w:rFonts w:ascii="Verdana" w:hAnsi="Verdana"/>
          <w:sz w:val="20"/>
          <w:szCs w:val="20"/>
        </w:rPr>
        <w:t xml:space="preserve">el cual se ha </w:t>
      </w:r>
      <w:r w:rsidR="00224B74" w:rsidRPr="006527FD">
        <w:rPr>
          <w:rFonts w:ascii="Verdana" w:hAnsi="Verdana" w:cs="Arial"/>
          <w:sz w:val="20"/>
          <w:szCs w:val="20"/>
          <w:shd w:val="clear" w:color="auto" w:fill="FFFFFF"/>
        </w:rPr>
        <w:t>visto</w:t>
      </w:r>
      <w:r w:rsidR="00224B74" w:rsidRPr="006527FD">
        <w:rPr>
          <w:rFonts w:ascii="Verdana" w:hAnsi="Verdana"/>
          <w:sz w:val="20"/>
          <w:szCs w:val="20"/>
        </w:rPr>
        <w:t xml:space="preserve"> </w:t>
      </w:r>
      <w:r w:rsidR="00224B74" w:rsidRPr="006527FD">
        <w:rPr>
          <w:rFonts w:ascii="Verdana" w:hAnsi="Verdana"/>
          <w:sz w:val="20"/>
          <w:szCs w:val="20"/>
          <w:lang w:val="es-ES"/>
        </w:rPr>
        <w:t>exacerbado</w:t>
      </w:r>
      <w:r w:rsidR="00224B74" w:rsidRPr="006527FD">
        <w:rPr>
          <w:rFonts w:ascii="Verdana" w:hAnsi="Verdana"/>
          <w:sz w:val="20"/>
          <w:szCs w:val="20"/>
        </w:rPr>
        <w:t xml:space="preserve"> este año ante la inminencia de las elecciones generales que tendrán lugar en noviembre.</w:t>
      </w:r>
      <w:r w:rsidRPr="006527FD">
        <w:rPr>
          <w:rFonts w:ascii="Verdana" w:hAnsi="Verdana"/>
          <w:sz w:val="20"/>
          <w:szCs w:val="20"/>
        </w:rPr>
        <w:t xml:space="preserve"> No en vano, el Tribunal ya se ha pronunciado en Resoluciones anteriores sobre situaciones similares a la que es objeto de análisis en el presente asunto, ordenando al Estado nicaragüense la liberación inmediata de las personas detenidas</w:t>
      </w:r>
      <w:r w:rsidRPr="006527FD">
        <w:rPr>
          <w:rStyle w:val="Refdenotaalpie"/>
          <w:rFonts w:ascii="Verdana" w:hAnsi="Verdana"/>
          <w:sz w:val="20"/>
          <w:szCs w:val="20"/>
        </w:rPr>
        <w:footnoteReference w:id="17"/>
      </w:r>
      <w:r w:rsidRPr="006527FD">
        <w:rPr>
          <w:rFonts w:ascii="Verdana" w:hAnsi="Verdana"/>
          <w:sz w:val="20"/>
          <w:szCs w:val="20"/>
        </w:rPr>
        <w:t xml:space="preserve">. A este respecto, el Tribunal recuerda que </w:t>
      </w:r>
      <w:r w:rsidR="00224B74" w:rsidRPr="006527FD">
        <w:rPr>
          <w:rFonts w:ascii="Verdana" w:hAnsi="Verdana"/>
          <w:sz w:val="20"/>
          <w:szCs w:val="20"/>
        </w:rPr>
        <w:t xml:space="preserve">esta serie de detenciones de personas pertenecientes a la oposición </w:t>
      </w:r>
      <w:r w:rsidR="008D6A21" w:rsidRPr="006527FD">
        <w:rPr>
          <w:rFonts w:ascii="Verdana" w:hAnsi="Verdana"/>
          <w:sz w:val="20"/>
          <w:szCs w:val="20"/>
        </w:rPr>
        <w:t xml:space="preserve">o identificadas como opositoras </w:t>
      </w:r>
      <w:r w:rsidR="00224B74" w:rsidRPr="006527FD">
        <w:rPr>
          <w:rFonts w:ascii="Verdana" w:hAnsi="Verdana"/>
          <w:sz w:val="20"/>
          <w:szCs w:val="20"/>
        </w:rPr>
        <w:t>en Nicaragua ha sido ampliamente recogida y rechazada por organismos internacionales como la Oficina de la Alta Comisionada de Naciones Unidas para los Derechos Humanos</w:t>
      </w:r>
      <w:r w:rsidR="00224B74" w:rsidRPr="006527FD">
        <w:rPr>
          <w:rStyle w:val="Refdenotaalpie"/>
          <w:rFonts w:ascii="Verdana" w:hAnsi="Verdana"/>
          <w:sz w:val="20"/>
          <w:szCs w:val="20"/>
        </w:rPr>
        <w:footnoteReference w:id="18"/>
      </w:r>
      <w:r w:rsidR="00224B74" w:rsidRPr="006527FD">
        <w:rPr>
          <w:rFonts w:ascii="Verdana" w:hAnsi="Verdana"/>
          <w:sz w:val="20"/>
          <w:szCs w:val="20"/>
        </w:rPr>
        <w:t>, la Relatora Especial de la ONU sobre la situación de los defensores y defensoras de derechos humanos</w:t>
      </w:r>
      <w:r w:rsidR="00224B74" w:rsidRPr="006527FD">
        <w:rPr>
          <w:rStyle w:val="Refdenotaalpie"/>
          <w:rFonts w:ascii="Verdana" w:hAnsi="Verdana"/>
          <w:sz w:val="20"/>
          <w:szCs w:val="20"/>
        </w:rPr>
        <w:footnoteReference w:id="19"/>
      </w:r>
      <w:r w:rsidR="00224B74" w:rsidRPr="006527FD">
        <w:rPr>
          <w:rFonts w:ascii="Verdana" w:hAnsi="Verdana"/>
          <w:sz w:val="20"/>
          <w:szCs w:val="20"/>
        </w:rPr>
        <w:t xml:space="preserve"> y la Comisión </w:t>
      </w:r>
      <w:r w:rsidR="00224B74" w:rsidRPr="006527FD">
        <w:rPr>
          <w:rFonts w:ascii="Verdana" w:hAnsi="Verdana"/>
          <w:sz w:val="20"/>
          <w:szCs w:val="20"/>
        </w:rPr>
        <w:lastRenderedPageBreak/>
        <w:t>Interamericana</w:t>
      </w:r>
      <w:r w:rsidR="00224B74" w:rsidRPr="006527FD">
        <w:rPr>
          <w:rStyle w:val="Refdenotaalpie"/>
          <w:rFonts w:ascii="Verdana" w:hAnsi="Verdana"/>
          <w:sz w:val="20"/>
          <w:szCs w:val="20"/>
        </w:rPr>
        <w:footnoteReference w:id="20"/>
      </w:r>
      <w:r w:rsidR="00224B74" w:rsidRPr="006527FD">
        <w:rPr>
          <w:rFonts w:ascii="Verdana" w:hAnsi="Verdana"/>
          <w:sz w:val="20"/>
          <w:szCs w:val="20"/>
        </w:rPr>
        <w:t xml:space="preserve">. </w:t>
      </w:r>
      <w:r w:rsidR="00224B74" w:rsidRPr="00AE56B2">
        <w:rPr>
          <w:rFonts w:ascii="Verdana" w:hAnsi="Verdana"/>
          <w:sz w:val="20"/>
          <w:szCs w:val="20"/>
        </w:rPr>
        <w:t>También ha sido reportada por la prensa internacional</w:t>
      </w:r>
      <w:r w:rsidR="00224B74" w:rsidRPr="00AE56B2">
        <w:rPr>
          <w:rStyle w:val="Refdenotaalpie"/>
          <w:rFonts w:ascii="Verdana" w:hAnsi="Verdana"/>
          <w:sz w:val="20"/>
          <w:szCs w:val="20"/>
        </w:rPr>
        <w:footnoteReference w:id="21"/>
      </w:r>
      <w:r w:rsidR="00224B74" w:rsidRPr="00AE56B2">
        <w:rPr>
          <w:rFonts w:ascii="Verdana" w:hAnsi="Verdana"/>
          <w:sz w:val="20"/>
          <w:szCs w:val="20"/>
        </w:rPr>
        <w:t>.</w:t>
      </w:r>
      <w:r w:rsidR="008D6A21" w:rsidRPr="00AE56B2">
        <w:rPr>
          <w:rFonts w:ascii="Verdana" w:hAnsi="Verdana"/>
          <w:sz w:val="20"/>
          <w:szCs w:val="20"/>
        </w:rPr>
        <w:t xml:space="preserve"> </w:t>
      </w:r>
      <w:r w:rsidR="00524601" w:rsidRPr="00AE56B2">
        <w:rPr>
          <w:rFonts w:ascii="Verdana" w:hAnsi="Verdana"/>
          <w:sz w:val="20"/>
          <w:szCs w:val="20"/>
        </w:rPr>
        <w:t xml:space="preserve">En consecuencia, el Tribunal concluye que la actual situación de detención de la señora Oviedo dimana de un procedimiento que, </w:t>
      </w:r>
      <w:r w:rsidR="00524601" w:rsidRPr="00AE56B2">
        <w:rPr>
          <w:rFonts w:ascii="Verdana" w:hAnsi="Verdana"/>
          <w:i/>
          <w:sz w:val="20"/>
          <w:szCs w:val="20"/>
        </w:rPr>
        <w:t>prima facie</w:t>
      </w:r>
      <w:r w:rsidR="00524601" w:rsidRPr="00AE56B2">
        <w:rPr>
          <w:rFonts w:ascii="Verdana" w:hAnsi="Verdana"/>
          <w:sz w:val="20"/>
          <w:szCs w:val="20"/>
        </w:rPr>
        <w:t xml:space="preserve">, se ha realizado en ausencia del estricto respeto de la legislación nacional y en contravención con los estándares </w:t>
      </w:r>
      <w:r w:rsidR="00524601" w:rsidRPr="006527FD">
        <w:rPr>
          <w:rFonts w:ascii="Verdana" w:hAnsi="Verdana"/>
          <w:sz w:val="20"/>
          <w:szCs w:val="20"/>
        </w:rPr>
        <w:t>interamericanos en la materia</w:t>
      </w:r>
      <w:r w:rsidR="00524601" w:rsidRPr="006527FD">
        <w:rPr>
          <w:rStyle w:val="Refdenotaalpie"/>
          <w:rFonts w:ascii="Verdana" w:hAnsi="Verdana"/>
          <w:sz w:val="20"/>
          <w:szCs w:val="20"/>
        </w:rPr>
        <w:footnoteReference w:id="22"/>
      </w:r>
      <w:r w:rsidR="00524601" w:rsidRPr="006527FD">
        <w:rPr>
          <w:rFonts w:ascii="Verdana" w:hAnsi="Verdana"/>
          <w:sz w:val="20"/>
          <w:szCs w:val="20"/>
        </w:rPr>
        <w:t xml:space="preserve">, todo lo cual, dadas las características del caso, abonan la situación de urgencia y gravedad, susceptible de consecuencias irreparables, que fundan la necesidad de adoptar medidas provisionales. A su vez, la privación de libertad de la señora Oviedo conlleva implícito un mensaje intimidatorio orientado a disuadir y silenciar a toda persona que ejerza una crítica contra el régimen nicaragüense en legítimo ejercicio de su derecho a la libertad de expresión, situación que, de persistir, estaría erosionando las reglas del juego democrático y del Estado de Derecho. La Corte recuerda que “[e]n una sociedad democrática los derechos y libertades </w:t>
      </w:r>
      <w:r w:rsidR="00524601" w:rsidRPr="006527FD">
        <w:rPr>
          <w:rFonts w:ascii="Verdana" w:hAnsi="Verdana"/>
          <w:sz w:val="20"/>
          <w:szCs w:val="20"/>
        </w:rPr>
        <w:br/>
        <w:t xml:space="preserve">inherentes a la persona, sus garantías y el Estado de Derecho constituyen una tríada, </w:t>
      </w:r>
      <w:r w:rsidR="00524601" w:rsidRPr="006527FD">
        <w:rPr>
          <w:rFonts w:ascii="Verdana" w:hAnsi="Verdana"/>
          <w:sz w:val="20"/>
          <w:szCs w:val="20"/>
        </w:rPr>
        <w:br/>
        <w:t xml:space="preserve">cada uno de cuyos componentes se define, completa y adquiere sentido en función de </w:t>
      </w:r>
      <w:r w:rsidR="00524601" w:rsidRPr="006527FD">
        <w:rPr>
          <w:rFonts w:ascii="Verdana" w:hAnsi="Verdana"/>
          <w:sz w:val="20"/>
          <w:szCs w:val="20"/>
        </w:rPr>
        <w:br/>
        <w:t>los otros”</w:t>
      </w:r>
      <w:r w:rsidR="00524601" w:rsidRPr="006527FD">
        <w:rPr>
          <w:rStyle w:val="Refdenotaalpie"/>
          <w:rFonts w:ascii="Verdana" w:hAnsi="Verdana"/>
          <w:sz w:val="20"/>
          <w:szCs w:val="20"/>
        </w:rPr>
        <w:footnoteReference w:id="23"/>
      </w:r>
      <w:r w:rsidR="00524601" w:rsidRPr="006527FD">
        <w:rPr>
          <w:rFonts w:ascii="Verdana" w:hAnsi="Verdana"/>
          <w:sz w:val="20"/>
          <w:szCs w:val="20"/>
        </w:rPr>
        <w:t>.</w:t>
      </w:r>
    </w:p>
    <w:p w14:paraId="54AF4AC1" w14:textId="02BBD7C2" w:rsidR="00EF64C5" w:rsidRPr="006527FD" w:rsidRDefault="00EF64C5" w:rsidP="00EF64C5">
      <w:pPr>
        <w:jc w:val="both"/>
        <w:rPr>
          <w:rFonts w:ascii="Verdana" w:hAnsi="Verdana"/>
          <w:sz w:val="20"/>
          <w:szCs w:val="20"/>
        </w:rPr>
      </w:pPr>
    </w:p>
    <w:p w14:paraId="4F2F5DA8" w14:textId="4F0F2306" w:rsidR="00F7131A" w:rsidRPr="006527FD" w:rsidRDefault="00F7131A" w:rsidP="00F7131A">
      <w:pPr>
        <w:numPr>
          <w:ilvl w:val="0"/>
          <w:numId w:val="25"/>
        </w:numPr>
        <w:ind w:left="0" w:firstLine="0"/>
        <w:jc w:val="both"/>
        <w:rPr>
          <w:rFonts w:ascii="Verdana" w:hAnsi="Verdana"/>
          <w:sz w:val="20"/>
          <w:szCs w:val="20"/>
        </w:rPr>
      </w:pPr>
      <w:r w:rsidRPr="006527FD">
        <w:rPr>
          <w:rFonts w:ascii="Verdana" w:hAnsi="Verdana"/>
          <w:sz w:val="20"/>
          <w:szCs w:val="20"/>
        </w:rPr>
        <w:t xml:space="preserve">A la </w:t>
      </w:r>
      <w:r w:rsidRPr="006527FD">
        <w:rPr>
          <w:rFonts w:ascii="Verdana" w:hAnsi="Verdana"/>
          <w:sz w:val="20"/>
          <w:szCs w:val="20"/>
          <w:lang w:val="es-ES"/>
        </w:rPr>
        <w:t>vista</w:t>
      </w:r>
      <w:r w:rsidRPr="006527FD">
        <w:rPr>
          <w:rFonts w:ascii="Verdana" w:hAnsi="Verdana"/>
          <w:sz w:val="20"/>
          <w:szCs w:val="20"/>
        </w:rPr>
        <w:t xml:space="preserve"> de todo lo anterior, el Tribunal considera necesario, </w:t>
      </w:r>
      <w:r w:rsidR="0054617D" w:rsidRPr="006527FD">
        <w:rPr>
          <w:rFonts w:ascii="Verdana" w:hAnsi="Verdana"/>
          <w:sz w:val="20"/>
          <w:szCs w:val="20"/>
        </w:rPr>
        <w:t>debido a las circunstancias particulares</w:t>
      </w:r>
      <w:r w:rsidR="0078047A" w:rsidRPr="006527FD">
        <w:rPr>
          <w:rFonts w:ascii="Verdana" w:hAnsi="Verdana"/>
          <w:sz w:val="20"/>
          <w:szCs w:val="20"/>
        </w:rPr>
        <w:t xml:space="preserve"> por las cuales </w:t>
      </w:r>
      <w:r w:rsidR="0054617D" w:rsidRPr="006527FD">
        <w:rPr>
          <w:rFonts w:ascii="Verdana" w:hAnsi="Verdana"/>
          <w:sz w:val="20"/>
          <w:szCs w:val="20"/>
        </w:rPr>
        <w:t>la señora Oviedo</w:t>
      </w:r>
      <w:r w:rsidR="0078047A" w:rsidRPr="006527FD">
        <w:rPr>
          <w:rFonts w:ascii="Verdana" w:hAnsi="Verdana"/>
          <w:sz w:val="20"/>
          <w:szCs w:val="20"/>
        </w:rPr>
        <w:t xml:space="preserve"> fue y</w:t>
      </w:r>
      <w:r w:rsidR="0054617D" w:rsidRPr="006527FD">
        <w:rPr>
          <w:rFonts w:ascii="Verdana" w:hAnsi="Verdana"/>
          <w:sz w:val="20"/>
          <w:szCs w:val="20"/>
        </w:rPr>
        <w:t xml:space="preserve"> permanece detenida, así como el contexto en el que esta detención se enmarca, </w:t>
      </w:r>
      <w:r w:rsidR="008A766C" w:rsidRPr="006527FD">
        <w:rPr>
          <w:rFonts w:ascii="Verdana" w:hAnsi="Verdana"/>
          <w:sz w:val="20"/>
          <w:szCs w:val="20"/>
        </w:rPr>
        <w:t xml:space="preserve">ordenar su </w:t>
      </w:r>
      <w:r w:rsidRPr="006527FD">
        <w:rPr>
          <w:rFonts w:ascii="Verdana" w:hAnsi="Verdana"/>
          <w:sz w:val="20"/>
          <w:szCs w:val="20"/>
        </w:rPr>
        <w:t>liberación inmediata</w:t>
      </w:r>
      <w:r w:rsidR="008A766C" w:rsidRPr="006527FD">
        <w:rPr>
          <w:rFonts w:ascii="Verdana" w:hAnsi="Verdana"/>
          <w:sz w:val="20"/>
          <w:szCs w:val="20"/>
        </w:rPr>
        <w:t xml:space="preserve"> </w:t>
      </w:r>
      <w:r w:rsidR="008A766C" w:rsidRPr="006527FD">
        <w:rPr>
          <w:rFonts w:ascii="Verdana" w:hAnsi="Verdana"/>
          <w:sz w:val="20"/>
          <w:szCs w:val="20"/>
          <w:lang w:val="es-ES" w:eastAsia="es-ES"/>
        </w:rPr>
        <w:t xml:space="preserve">y </w:t>
      </w:r>
      <w:r w:rsidR="008A766C" w:rsidRPr="006527FD">
        <w:rPr>
          <w:rFonts w:ascii="Verdana" w:hAnsi="Verdana"/>
          <w:sz w:val="20"/>
          <w:szCs w:val="20"/>
        </w:rPr>
        <w:t>seguir</w:t>
      </w:r>
      <w:r w:rsidR="008A766C" w:rsidRPr="006527FD">
        <w:rPr>
          <w:rFonts w:ascii="Verdana" w:hAnsi="Verdana"/>
          <w:sz w:val="20"/>
          <w:szCs w:val="20"/>
          <w:lang w:val="es-ES" w:eastAsia="es-ES"/>
        </w:rPr>
        <w:t xml:space="preserve"> protegiendo su derecho a la vida en integridad personal en libertad</w:t>
      </w:r>
      <w:r w:rsidRPr="006527FD">
        <w:rPr>
          <w:rFonts w:ascii="Verdana" w:eastAsia="Times" w:hAnsi="Verdana"/>
          <w:sz w:val="20"/>
          <w:szCs w:val="20"/>
          <w:lang w:eastAsia="es-ES"/>
        </w:rPr>
        <w:t xml:space="preserve">. </w:t>
      </w:r>
    </w:p>
    <w:p w14:paraId="06FE928E" w14:textId="77777777" w:rsidR="00F7131A" w:rsidRPr="006527FD" w:rsidRDefault="00F7131A" w:rsidP="00F7131A">
      <w:pPr>
        <w:jc w:val="both"/>
        <w:rPr>
          <w:rFonts w:ascii="Verdana" w:hAnsi="Verdana"/>
          <w:sz w:val="20"/>
          <w:szCs w:val="20"/>
        </w:rPr>
      </w:pPr>
    </w:p>
    <w:p w14:paraId="508CFD09" w14:textId="7C37F5B5" w:rsidR="00F7131A" w:rsidRPr="006527FD" w:rsidRDefault="00F7131A" w:rsidP="00F7131A">
      <w:pPr>
        <w:numPr>
          <w:ilvl w:val="0"/>
          <w:numId w:val="25"/>
        </w:numPr>
        <w:ind w:left="0" w:firstLine="0"/>
        <w:jc w:val="both"/>
        <w:rPr>
          <w:rFonts w:ascii="Verdana" w:hAnsi="Verdana"/>
          <w:sz w:val="20"/>
          <w:szCs w:val="20"/>
        </w:rPr>
      </w:pPr>
      <w:r w:rsidRPr="006527FD">
        <w:rPr>
          <w:rFonts w:ascii="Verdana" w:eastAsia="Times" w:hAnsi="Verdana"/>
          <w:sz w:val="20"/>
          <w:szCs w:val="20"/>
          <w:lang w:eastAsia="es-ES"/>
        </w:rPr>
        <w:t xml:space="preserve"> </w:t>
      </w:r>
      <w:r w:rsidRPr="006527FD">
        <w:rPr>
          <w:rFonts w:ascii="Verdana" w:hAnsi="Verdana"/>
          <w:sz w:val="20"/>
          <w:szCs w:val="20"/>
        </w:rPr>
        <w:t xml:space="preserve">El Tribunal recuerda que la adopción de estas medidas provisionales no prejuzga la </w:t>
      </w:r>
      <w:r w:rsidR="0087188C" w:rsidRPr="006527FD">
        <w:rPr>
          <w:rFonts w:ascii="Verdana" w:hAnsi="Verdana"/>
          <w:sz w:val="20"/>
          <w:szCs w:val="20"/>
        </w:rPr>
        <w:t xml:space="preserve">responsabilidad </w:t>
      </w:r>
      <w:r w:rsidR="00DD3CE2">
        <w:rPr>
          <w:rFonts w:ascii="Verdana" w:hAnsi="Verdana"/>
          <w:sz w:val="20"/>
          <w:szCs w:val="20"/>
        </w:rPr>
        <w:t>estatal por los hechos</w:t>
      </w:r>
      <w:r w:rsidRPr="006527FD">
        <w:rPr>
          <w:rFonts w:ascii="Verdana" w:hAnsi="Verdana"/>
          <w:sz w:val="20"/>
          <w:szCs w:val="20"/>
        </w:rPr>
        <w:t xml:space="preserve"> informados.  </w:t>
      </w:r>
    </w:p>
    <w:p w14:paraId="58A13C38" w14:textId="77777777" w:rsidR="00013F89" w:rsidRPr="006527FD" w:rsidRDefault="00013F89" w:rsidP="000F33C7">
      <w:pPr>
        <w:jc w:val="both"/>
        <w:rPr>
          <w:rFonts w:ascii="Verdana" w:hAnsi="Verdana"/>
          <w:sz w:val="20"/>
          <w:szCs w:val="20"/>
        </w:rPr>
      </w:pPr>
    </w:p>
    <w:p w14:paraId="77D3F885" w14:textId="118C03D7" w:rsidR="00013F89" w:rsidRPr="006527FD" w:rsidRDefault="00013F89" w:rsidP="00013F89">
      <w:pPr>
        <w:jc w:val="center"/>
        <w:rPr>
          <w:rFonts w:ascii="Verdana" w:hAnsi="Verdana"/>
          <w:b/>
          <w:color w:val="FF0000"/>
          <w:sz w:val="20"/>
          <w:szCs w:val="20"/>
        </w:rPr>
      </w:pPr>
    </w:p>
    <w:p w14:paraId="688C33EC" w14:textId="77777777" w:rsidR="00492F23" w:rsidRPr="006527FD" w:rsidRDefault="00492F23" w:rsidP="003E1931">
      <w:pPr>
        <w:ind w:right="22"/>
        <w:jc w:val="both"/>
        <w:rPr>
          <w:rFonts w:ascii="Verdana" w:hAnsi="Verdana"/>
          <w:b/>
          <w:sz w:val="20"/>
          <w:szCs w:val="20"/>
        </w:rPr>
      </w:pPr>
      <w:r w:rsidRPr="006527FD">
        <w:rPr>
          <w:rFonts w:ascii="Verdana" w:hAnsi="Verdana"/>
          <w:b/>
          <w:sz w:val="20"/>
          <w:szCs w:val="20"/>
        </w:rPr>
        <w:t>POR TANTO:</w:t>
      </w:r>
    </w:p>
    <w:p w14:paraId="65B0E529" w14:textId="77777777" w:rsidR="00492F23" w:rsidRPr="006527FD" w:rsidRDefault="00492F23" w:rsidP="003E1931">
      <w:pPr>
        <w:ind w:right="22"/>
        <w:jc w:val="both"/>
        <w:rPr>
          <w:rFonts w:ascii="Verdana" w:hAnsi="Verdana"/>
          <w:b/>
          <w:sz w:val="20"/>
          <w:szCs w:val="20"/>
        </w:rPr>
      </w:pPr>
      <w:r w:rsidRPr="006527FD">
        <w:rPr>
          <w:rFonts w:ascii="Verdana" w:hAnsi="Verdana"/>
          <w:b/>
          <w:sz w:val="20"/>
          <w:szCs w:val="20"/>
        </w:rPr>
        <w:lastRenderedPageBreak/>
        <w:t>LA CORTE INTERAMERICANA DE DERECHOS HUMANOS,</w:t>
      </w:r>
    </w:p>
    <w:p w14:paraId="4E543C79" w14:textId="77777777" w:rsidR="00492F23" w:rsidRPr="006527FD" w:rsidRDefault="00492F23" w:rsidP="003E1931">
      <w:pPr>
        <w:ind w:right="22"/>
        <w:jc w:val="both"/>
        <w:rPr>
          <w:rFonts w:ascii="Verdana" w:hAnsi="Verdana"/>
          <w:sz w:val="20"/>
          <w:szCs w:val="20"/>
        </w:rPr>
      </w:pPr>
    </w:p>
    <w:p w14:paraId="013224E6" w14:textId="72D99B56" w:rsidR="00492F23" w:rsidRPr="006527FD" w:rsidRDefault="00492F23" w:rsidP="003E1931">
      <w:pPr>
        <w:ind w:right="22"/>
        <w:jc w:val="both"/>
        <w:rPr>
          <w:rFonts w:ascii="Verdana" w:hAnsi="Verdana"/>
          <w:b/>
          <w:sz w:val="20"/>
          <w:szCs w:val="20"/>
        </w:rPr>
      </w:pPr>
      <w:r w:rsidRPr="006527FD">
        <w:rPr>
          <w:rFonts w:ascii="Verdana" w:hAnsi="Verdana"/>
          <w:sz w:val="20"/>
          <w:szCs w:val="20"/>
        </w:rPr>
        <w:t>en uso de las atribuciones que le confieren el artículo 63.2</w:t>
      </w:r>
      <w:r w:rsidR="00812796" w:rsidRPr="006527FD">
        <w:rPr>
          <w:rFonts w:ascii="Verdana" w:hAnsi="Verdana"/>
          <w:sz w:val="20"/>
          <w:szCs w:val="20"/>
        </w:rPr>
        <w:t xml:space="preserve"> de la Convención Americana, </w:t>
      </w:r>
      <w:r w:rsidRPr="006527FD">
        <w:rPr>
          <w:rFonts w:ascii="Verdana" w:hAnsi="Verdana"/>
          <w:sz w:val="20"/>
          <w:szCs w:val="20"/>
        </w:rPr>
        <w:t>y los artículos</w:t>
      </w:r>
      <w:r w:rsidR="006527FD">
        <w:rPr>
          <w:rFonts w:ascii="Verdana" w:hAnsi="Verdana"/>
          <w:sz w:val="20"/>
          <w:szCs w:val="20"/>
        </w:rPr>
        <w:t xml:space="preserve"> 27, 31 </w:t>
      </w:r>
      <w:r w:rsidRPr="006527FD">
        <w:rPr>
          <w:rFonts w:ascii="Verdana" w:hAnsi="Verdana"/>
          <w:sz w:val="20"/>
          <w:szCs w:val="20"/>
        </w:rPr>
        <w:t xml:space="preserve">y </w:t>
      </w:r>
      <w:r w:rsidR="00812796" w:rsidRPr="006527FD">
        <w:rPr>
          <w:rFonts w:ascii="Verdana" w:hAnsi="Verdana"/>
          <w:sz w:val="20"/>
          <w:szCs w:val="20"/>
        </w:rPr>
        <w:t>69</w:t>
      </w:r>
      <w:r w:rsidRPr="006527FD">
        <w:rPr>
          <w:rFonts w:ascii="Verdana" w:hAnsi="Verdana"/>
          <w:sz w:val="20"/>
          <w:szCs w:val="20"/>
        </w:rPr>
        <w:t xml:space="preserve"> del Reglamento de la Corte,</w:t>
      </w:r>
    </w:p>
    <w:p w14:paraId="7BBE4CBD" w14:textId="77777777" w:rsidR="00492F23" w:rsidRPr="006527FD" w:rsidRDefault="00492F23" w:rsidP="003E1931">
      <w:pPr>
        <w:ind w:right="22"/>
        <w:jc w:val="both"/>
        <w:rPr>
          <w:rFonts w:ascii="Verdana" w:hAnsi="Verdana"/>
          <w:sz w:val="20"/>
          <w:szCs w:val="20"/>
        </w:rPr>
      </w:pPr>
    </w:p>
    <w:p w14:paraId="760AAFC2" w14:textId="77777777" w:rsidR="00492F23" w:rsidRPr="006527FD" w:rsidRDefault="00492F23" w:rsidP="003E1931">
      <w:pPr>
        <w:ind w:right="22"/>
        <w:jc w:val="both"/>
        <w:rPr>
          <w:rFonts w:ascii="Verdana" w:hAnsi="Verdana"/>
          <w:b/>
          <w:sz w:val="20"/>
          <w:szCs w:val="20"/>
        </w:rPr>
      </w:pPr>
      <w:r w:rsidRPr="006527FD">
        <w:rPr>
          <w:rFonts w:ascii="Verdana" w:hAnsi="Verdana"/>
          <w:b/>
          <w:sz w:val="20"/>
          <w:szCs w:val="20"/>
        </w:rPr>
        <w:t>RESUELVE:</w:t>
      </w:r>
    </w:p>
    <w:p w14:paraId="52E1E2FC" w14:textId="58789B26" w:rsidR="00491B8E" w:rsidRPr="006527FD" w:rsidRDefault="00491B8E" w:rsidP="00B23867">
      <w:pPr>
        <w:ind w:right="22"/>
        <w:jc w:val="both"/>
        <w:rPr>
          <w:rFonts w:ascii="Verdana" w:eastAsia="Times" w:hAnsi="Verdana"/>
          <w:sz w:val="20"/>
          <w:szCs w:val="20"/>
          <w:lang w:eastAsia="es-ES"/>
        </w:rPr>
      </w:pPr>
    </w:p>
    <w:p w14:paraId="25E4DDDE" w14:textId="77777777" w:rsidR="0054617D" w:rsidRPr="006527FD" w:rsidRDefault="0054617D" w:rsidP="00B23867">
      <w:pPr>
        <w:ind w:right="22"/>
        <w:jc w:val="both"/>
        <w:rPr>
          <w:rFonts w:ascii="Verdana" w:eastAsia="Times" w:hAnsi="Verdana"/>
          <w:sz w:val="20"/>
          <w:szCs w:val="20"/>
          <w:lang w:eastAsia="es-ES"/>
        </w:rPr>
      </w:pPr>
    </w:p>
    <w:p w14:paraId="7D63830F" w14:textId="330FA944" w:rsidR="00491B8E" w:rsidRPr="006527FD" w:rsidRDefault="00491B8E" w:rsidP="00491B8E">
      <w:pPr>
        <w:pStyle w:val="Prrafodelista"/>
        <w:numPr>
          <w:ilvl w:val="0"/>
          <w:numId w:val="26"/>
        </w:numPr>
        <w:ind w:left="0" w:right="22" w:firstLine="0"/>
        <w:jc w:val="both"/>
        <w:rPr>
          <w:rFonts w:ascii="Verdana" w:eastAsia="Times" w:hAnsi="Verdana"/>
          <w:sz w:val="20"/>
          <w:szCs w:val="20"/>
          <w:lang w:eastAsia="es-ES"/>
        </w:rPr>
      </w:pPr>
      <w:r w:rsidRPr="006527FD">
        <w:rPr>
          <w:rFonts w:ascii="Verdana" w:eastAsia="Times" w:hAnsi="Verdana"/>
          <w:sz w:val="20"/>
          <w:szCs w:val="20"/>
          <w:lang w:eastAsia="es-ES"/>
        </w:rPr>
        <w:t xml:space="preserve">Requerir al Estado que proceda a la liberación inmediata de la señora María del Socorro Oviedo Delgado. </w:t>
      </w:r>
    </w:p>
    <w:p w14:paraId="208C4BBA" w14:textId="77777777" w:rsidR="00491B8E" w:rsidRPr="006527FD" w:rsidRDefault="00491B8E" w:rsidP="00491B8E">
      <w:pPr>
        <w:pStyle w:val="Prrafodelista"/>
        <w:ind w:left="0" w:right="22"/>
        <w:jc w:val="both"/>
        <w:rPr>
          <w:rFonts w:ascii="Verdana" w:eastAsia="Times" w:hAnsi="Verdana"/>
          <w:sz w:val="20"/>
          <w:szCs w:val="20"/>
          <w:lang w:eastAsia="es-ES"/>
        </w:rPr>
      </w:pPr>
    </w:p>
    <w:p w14:paraId="6DA7CFFB" w14:textId="279A830E" w:rsidR="00491B8E" w:rsidRPr="006527FD" w:rsidRDefault="00491B8E" w:rsidP="00491B8E">
      <w:pPr>
        <w:pStyle w:val="Prrafodelista"/>
        <w:numPr>
          <w:ilvl w:val="0"/>
          <w:numId w:val="26"/>
        </w:numPr>
        <w:ind w:left="0" w:right="22" w:firstLine="0"/>
        <w:jc w:val="both"/>
        <w:rPr>
          <w:rFonts w:ascii="Verdana" w:eastAsia="Times" w:hAnsi="Verdana"/>
          <w:sz w:val="20"/>
          <w:szCs w:val="20"/>
          <w:lang w:eastAsia="es-ES"/>
        </w:rPr>
      </w:pPr>
      <w:r w:rsidRPr="006527FD">
        <w:rPr>
          <w:rFonts w:ascii="Verdana" w:eastAsia="Times" w:hAnsi="Verdana"/>
          <w:sz w:val="20"/>
          <w:szCs w:val="20"/>
          <w:lang w:eastAsia="es-ES"/>
        </w:rPr>
        <w:t>Requerir al Estado que adopte de forma inmediata las medidas necesarias para proteger eficazmente la vida, la integridad y libertad personal de la señora María del Socorro Oviedo Delgado y de su</w:t>
      </w:r>
      <w:r w:rsidR="008D6A21" w:rsidRPr="006527FD">
        <w:rPr>
          <w:rFonts w:ascii="Verdana" w:eastAsia="Times" w:hAnsi="Verdana"/>
          <w:sz w:val="20"/>
          <w:szCs w:val="20"/>
          <w:lang w:eastAsia="es-ES"/>
        </w:rPr>
        <w:t xml:space="preserve"> </w:t>
      </w:r>
      <w:r w:rsidRPr="006527FD">
        <w:rPr>
          <w:rFonts w:ascii="Verdana" w:eastAsia="Times" w:hAnsi="Verdana"/>
          <w:sz w:val="20"/>
          <w:szCs w:val="20"/>
          <w:lang w:eastAsia="es-ES"/>
        </w:rPr>
        <w:t>núcleo</w:t>
      </w:r>
      <w:r w:rsidR="008D6A21" w:rsidRPr="006527FD">
        <w:rPr>
          <w:rFonts w:ascii="Verdana" w:eastAsia="Times" w:hAnsi="Verdana"/>
          <w:sz w:val="20"/>
          <w:szCs w:val="20"/>
          <w:lang w:eastAsia="es-ES"/>
        </w:rPr>
        <w:t xml:space="preserve"> familiar</w:t>
      </w:r>
      <w:r w:rsidRPr="006527FD">
        <w:rPr>
          <w:rFonts w:ascii="Verdana" w:eastAsia="Times" w:hAnsi="Verdana"/>
          <w:sz w:val="20"/>
          <w:szCs w:val="20"/>
          <w:lang w:eastAsia="es-ES"/>
        </w:rPr>
        <w:t xml:space="preserve">. </w:t>
      </w:r>
    </w:p>
    <w:p w14:paraId="59E2C200" w14:textId="77777777" w:rsidR="00491B8E" w:rsidRPr="006527FD" w:rsidRDefault="00491B8E" w:rsidP="00491B8E">
      <w:pPr>
        <w:ind w:right="22"/>
        <w:jc w:val="both"/>
        <w:rPr>
          <w:rFonts w:ascii="Verdana" w:eastAsia="Times" w:hAnsi="Verdana"/>
          <w:sz w:val="20"/>
          <w:szCs w:val="20"/>
          <w:lang w:eastAsia="es-ES"/>
        </w:rPr>
      </w:pPr>
      <w:r w:rsidRPr="006527FD">
        <w:rPr>
          <w:rFonts w:ascii="Verdana" w:eastAsia="Times" w:hAnsi="Verdana"/>
          <w:sz w:val="20"/>
          <w:szCs w:val="20"/>
          <w:lang w:eastAsia="es-ES"/>
        </w:rPr>
        <w:t xml:space="preserve"> </w:t>
      </w:r>
    </w:p>
    <w:p w14:paraId="392242C5" w14:textId="5EF5CA78" w:rsidR="009959E7" w:rsidRPr="006527FD" w:rsidRDefault="009959E7" w:rsidP="009959E7">
      <w:pPr>
        <w:pStyle w:val="Prrafodelista"/>
        <w:numPr>
          <w:ilvl w:val="0"/>
          <w:numId w:val="26"/>
        </w:numPr>
        <w:ind w:left="0" w:right="22" w:firstLine="0"/>
        <w:jc w:val="both"/>
        <w:rPr>
          <w:rFonts w:ascii="Verdana" w:eastAsia="Times" w:hAnsi="Verdana"/>
          <w:sz w:val="20"/>
          <w:szCs w:val="20"/>
          <w:lang w:eastAsia="es-ES"/>
        </w:rPr>
      </w:pPr>
      <w:r w:rsidRPr="006527FD">
        <w:rPr>
          <w:rFonts w:ascii="Verdana" w:hAnsi="Verdana"/>
          <w:sz w:val="20"/>
          <w:szCs w:val="20"/>
        </w:rPr>
        <w:t>Requerir</w:t>
      </w:r>
      <w:r w:rsidRPr="006527FD">
        <w:rPr>
          <w:rFonts w:ascii="Verdana" w:eastAsia="Times" w:hAnsi="Verdana"/>
          <w:sz w:val="20"/>
          <w:szCs w:val="20"/>
          <w:lang w:eastAsia="es-ES"/>
        </w:rPr>
        <w:t xml:space="preserve"> al Estado que informe a la Corte Interamericana de Derechos Humanos a más tardar el </w:t>
      </w:r>
      <w:r w:rsidR="00AE56B2">
        <w:rPr>
          <w:rFonts w:ascii="Verdana" w:eastAsia="Times" w:hAnsi="Verdana"/>
          <w:sz w:val="20"/>
          <w:szCs w:val="20"/>
          <w:lang w:eastAsia="es-ES"/>
        </w:rPr>
        <w:t>29</w:t>
      </w:r>
      <w:r w:rsidRPr="006527FD">
        <w:rPr>
          <w:rFonts w:ascii="Verdana" w:eastAsia="Times" w:hAnsi="Verdana"/>
          <w:sz w:val="20"/>
          <w:szCs w:val="20"/>
          <w:lang w:eastAsia="es-ES"/>
        </w:rPr>
        <w:t xml:space="preserve"> de octubre de 2021 sobre las medidas adoptadas para dar cumplimiento a esta decisión. Con posterioridad, el Estado deberá presentar la información correspondiente en el marco del informe periódico que debe presentar en razón de lo ordenado en la Resolución de 1 de septiembre de 2021</w:t>
      </w:r>
      <w:r w:rsidRPr="006527FD">
        <w:rPr>
          <w:rStyle w:val="Refdenotaalpie"/>
          <w:rFonts w:ascii="Verdana" w:eastAsia="Times" w:hAnsi="Verdana"/>
          <w:sz w:val="20"/>
          <w:szCs w:val="20"/>
          <w:lang w:eastAsia="es-ES"/>
        </w:rPr>
        <w:footnoteReference w:id="24"/>
      </w:r>
      <w:r w:rsidRPr="006527FD">
        <w:rPr>
          <w:rFonts w:ascii="Verdana" w:eastAsia="Times" w:hAnsi="Verdana"/>
          <w:sz w:val="20"/>
          <w:szCs w:val="20"/>
          <w:lang w:eastAsia="es-ES"/>
        </w:rPr>
        <w:t xml:space="preserve">. </w:t>
      </w:r>
    </w:p>
    <w:p w14:paraId="2DFEBE43" w14:textId="77777777" w:rsidR="009959E7" w:rsidRPr="006527FD" w:rsidRDefault="009959E7" w:rsidP="009959E7">
      <w:pPr>
        <w:pStyle w:val="Prrafodelista"/>
        <w:ind w:left="0" w:right="22"/>
        <w:jc w:val="both"/>
        <w:rPr>
          <w:rFonts w:ascii="Verdana" w:eastAsia="Times" w:hAnsi="Verdana"/>
          <w:sz w:val="20"/>
          <w:szCs w:val="20"/>
          <w:lang w:eastAsia="es-ES"/>
        </w:rPr>
      </w:pPr>
    </w:p>
    <w:p w14:paraId="6879E33B" w14:textId="77777777" w:rsidR="009959E7" w:rsidRPr="006527FD" w:rsidRDefault="009959E7" w:rsidP="009959E7">
      <w:pPr>
        <w:pStyle w:val="Prrafodelista"/>
        <w:numPr>
          <w:ilvl w:val="0"/>
          <w:numId w:val="26"/>
        </w:numPr>
        <w:ind w:left="0" w:right="22" w:firstLine="0"/>
        <w:jc w:val="both"/>
        <w:rPr>
          <w:rFonts w:ascii="Verdana" w:eastAsia="Times" w:hAnsi="Verdana"/>
          <w:sz w:val="20"/>
          <w:szCs w:val="20"/>
          <w:lang w:eastAsia="es-ES"/>
        </w:rPr>
      </w:pPr>
      <w:r w:rsidRPr="006527FD">
        <w:rPr>
          <w:rFonts w:ascii="Verdana" w:eastAsia="Times" w:hAnsi="Verdana"/>
          <w:sz w:val="20"/>
          <w:szCs w:val="20"/>
          <w:lang w:eastAsia="es-ES"/>
        </w:rPr>
        <w:t xml:space="preserve">Requerir a los representantes de la persona beneficiaria y a la Comisión Interamericana que </w:t>
      </w:r>
      <w:r w:rsidRPr="006527FD">
        <w:rPr>
          <w:rFonts w:ascii="Verdana" w:hAnsi="Verdana"/>
          <w:sz w:val="20"/>
          <w:szCs w:val="20"/>
        </w:rPr>
        <w:t>presenten</w:t>
      </w:r>
      <w:r w:rsidRPr="006527FD">
        <w:rPr>
          <w:rFonts w:ascii="Verdana" w:eastAsia="Times" w:hAnsi="Verdana"/>
          <w:sz w:val="20"/>
          <w:szCs w:val="20"/>
          <w:lang w:eastAsia="es-ES"/>
        </w:rPr>
        <w:t xml:space="preserve"> sus observaciones dentro de un plazo de una y dos semanas, respectivamente, contadas a partir de la notificación del primer informe del Estado. </w:t>
      </w:r>
    </w:p>
    <w:p w14:paraId="5C379B7A" w14:textId="77777777" w:rsidR="009959E7" w:rsidRPr="006527FD" w:rsidRDefault="009959E7" w:rsidP="009959E7">
      <w:pPr>
        <w:pStyle w:val="Prrafodelista"/>
        <w:ind w:left="0" w:right="22"/>
        <w:jc w:val="both"/>
        <w:rPr>
          <w:rFonts w:ascii="Verdana" w:eastAsia="Times" w:hAnsi="Verdana"/>
          <w:sz w:val="20"/>
          <w:szCs w:val="20"/>
          <w:lang w:eastAsia="es-ES"/>
        </w:rPr>
      </w:pPr>
    </w:p>
    <w:p w14:paraId="66D7717D" w14:textId="77777777" w:rsidR="00491B8E" w:rsidRPr="006527FD" w:rsidRDefault="00491B8E" w:rsidP="00171121">
      <w:pPr>
        <w:pStyle w:val="Prrafodelista"/>
        <w:numPr>
          <w:ilvl w:val="0"/>
          <w:numId w:val="26"/>
        </w:numPr>
        <w:spacing w:after="160" w:line="259" w:lineRule="auto"/>
        <w:ind w:left="0" w:right="22" w:firstLine="0"/>
        <w:jc w:val="both"/>
        <w:rPr>
          <w:rFonts w:ascii="Verdana" w:eastAsiaTheme="minorHAnsi" w:hAnsi="Verdana"/>
          <w:sz w:val="20"/>
          <w:szCs w:val="20"/>
          <w:lang w:val="es-419"/>
        </w:rPr>
      </w:pPr>
      <w:r w:rsidRPr="006527FD">
        <w:rPr>
          <w:rFonts w:ascii="Verdana" w:eastAsia="Times" w:hAnsi="Verdana"/>
          <w:sz w:val="20"/>
          <w:szCs w:val="20"/>
          <w:lang w:eastAsia="es-ES"/>
        </w:rPr>
        <w:t>Disponer que la Secretaría de la Corte notifique la presente Resolución al Estado, a la Comisión Interamericana y a los representantes de los beneficiarios.</w:t>
      </w:r>
    </w:p>
    <w:p w14:paraId="5EEBB19E" w14:textId="4FE1BEB1" w:rsidR="00491B8E" w:rsidRPr="006527FD" w:rsidRDefault="00491B8E" w:rsidP="00491B8E">
      <w:pPr>
        <w:pStyle w:val="Prrafodelista"/>
        <w:spacing w:after="160" w:line="259" w:lineRule="auto"/>
        <w:ind w:left="0" w:right="22"/>
        <w:jc w:val="both"/>
        <w:rPr>
          <w:rFonts w:ascii="Verdana" w:eastAsiaTheme="minorHAnsi" w:hAnsi="Verdana"/>
          <w:sz w:val="20"/>
          <w:szCs w:val="20"/>
          <w:lang w:val="es-419"/>
        </w:rPr>
      </w:pPr>
    </w:p>
    <w:p w14:paraId="225D59DB" w14:textId="3C94F920" w:rsidR="00491B8E" w:rsidRPr="006527FD" w:rsidRDefault="00491B8E" w:rsidP="00491B8E">
      <w:pPr>
        <w:pStyle w:val="Prrafodelista"/>
        <w:spacing w:after="160" w:line="259" w:lineRule="auto"/>
        <w:ind w:left="0" w:right="22"/>
        <w:jc w:val="both"/>
        <w:rPr>
          <w:rFonts w:ascii="Verdana" w:eastAsiaTheme="minorHAnsi" w:hAnsi="Verdana"/>
          <w:sz w:val="20"/>
          <w:szCs w:val="20"/>
          <w:lang w:val="es-419"/>
        </w:rPr>
      </w:pPr>
    </w:p>
    <w:p w14:paraId="626A6C8D" w14:textId="77777777" w:rsidR="00491B8E" w:rsidRPr="006527FD" w:rsidRDefault="00491B8E" w:rsidP="00491B8E">
      <w:pPr>
        <w:pStyle w:val="Prrafodelista"/>
        <w:spacing w:after="160" w:line="259" w:lineRule="auto"/>
        <w:ind w:left="0" w:right="22"/>
        <w:jc w:val="both"/>
        <w:rPr>
          <w:rFonts w:ascii="Verdana" w:eastAsiaTheme="minorHAnsi" w:hAnsi="Verdana"/>
          <w:sz w:val="20"/>
          <w:szCs w:val="20"/>
          <w:lang w:val="es-419"/>
        </w:rPr>
      </w:pPr>
    </w:p>
    <w:p w14:paraId="16F0C3AD" w14:textId="77777777" w:rsidR="00845E50" w:rsidRDefault="00845E50" w:rsidP="00491B8E">
      <w:pPr>
        <w:pStyle w:val="Prrafodelista"/>
        <w:spacing w:after="160" w:line="259" w:lineRule="auto"/>
        <w:ind w:left="0" w:right="22"/>
        <w:jc w:val="both"/>
        <w:rPr>
          <w:rFonts w:ascii="Verdana" w:eastAsia="Times" w:hAnsi="Verdana"/>
          <w:sz w:val="20"/>
          <w:szCs w:val="20"/>
          <w:lang w:val="es-419" w:eastAsia="es-ES"/>
        </w:rPr>
      </w:pPr>
    </w:p>
    <w:p w14:paraId="39916F79" w14:textId="77777777" w:rsidR="00845E50" w:rsidRDefault="00845E50" w:rsidP="00491B8E">
      <w:pPr>
        <w:pStyle w:val="Prrafodelista"/>
        <w:spacing w:after="160" w:line="259" w:lineRule="auto"/>
        <w:ind w:left="0" w:right="22"/>
        <w:jc w:val="both"/>
        <w:rPr>
          <w:rFonts w:ascii="Verdana" w:eastAsia="Times" w:hAnsi="Verdana"/>
          <w:sz w:val="20"/>
          <w:szCs w:val="20"/>
          <w:lang w:val="es-419" w:eastAsia="es-ES"/>
        </w:rPr>
      </w:pPr>
    </w:p>
    <w:p w14:paraId="129D8645" w14:textId="77777777" w:rsidR="00845E50" w:rsidRDefault="00845E50" w:rsidP="00491B8E">
      <w:pPr>
        <w:pStyle w:val="Prrafodelista"/>
        <w:spacing w:after="160" w:line="259" w:lineRule="auto"/>
        <w:ind w:left="0" w:right="22"/>
        <w:jc w:val="both"/>
        <w:rPr>
          <w:rFonts w:ascii="Verdana" w:eastAsia="Times" w:hAnsi="Verdana"/>
          <w:sz w:val="20"/>
          <w:szCs w:val="20"/>
          <w:lang w:val="es-419" w:eastAsia="es-ES"/>
        </w:rPr>
      </w:pPr>
    </w:p>
    <w:p w14:paraId="0C043638"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1C31DF4B"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6E106602"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71338245"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20E08E72"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6F22D367" w14:textId="77777777" w:rsidR="00DD3CE2" w:rsidRDefault="00DD3CE2" w:rsidP="00491B8E">
      <w:pPr>
        <w:pStyle w:val="Prrafodelista"/>
        <w:spacing w:after="160" w:line="259" w:lineRule="auto"/>
        <w:ind w:left="0" w:right="22"/>
        <w:jc w:val="both"/>
        <w:rPr>
          <w:rFonts w:ascii="Verdana" w:eastAsia="Times" w:hAnsi="Verdana"/>
          <w:sz w:val="20"/>
          <w:szCs w:val="20"/>
          <w:lang w:val="es-419" w:eastAsia="es-ES"/>
        </w:rPr>
      </w:pPr>
    </w:p>
    <w:p w14:paraId="4F148CE9" w14:textId="77777777" w:rsidR="00685F46" w:rsidRPr="006527FD" w:rsidRDefault="00685F46" w:rsidP="00685F46">
      <w:pPr>
        <w:pStyle w:val="Prrafodelista"/>
        <w:ind w:left="0" w:right="22"/>
        <w:jc w:val="both"/>
        <w:rPr>
          <w:rFonts w:ascii="Verdana" w:hAnsi="Verdana"/>
          <w:sz w:val="20"/>
          <w:szCs w:val="20"/>
          <w:lang w:val="es-419"/>
        </w:rPr>
      </w:pPr>
      <w:r w:rsidRPr="006527FD">
        <w:rPr>
          <w:rFonts w:ascii="Verdana" w:eastAsia="Times" w:hAnsi="Verdana"/>
          <w:sz w:val="20"/>
          <w:szCs w:val="20"/>
          <w:lang w:val="es-419" w:eastAsia="es-ES"/>
        </w:rPr>
        <w:lastRenderedPageBreak/>
        <w:t>Co</w:t>
      </w:r>
      <w:r w:rsidRPr="006527FD">
        <w:rPr>
          <w:rFonts w:ascii="Verdana" w:hAnsi="Verdana"/>
          <w:sz w:val="20"/>
          <w:szCs w:val="20"/>
          <w:lang w:val="es-419"/>
        </w:rPr>
        <w:t>rte IDH. Asunto Integrantes del Centro Nicaragüense de Derechos Humanos y de la Comisión Permanente de Derechos Humanos (CENIDH-CPDH) respecto de Nicaragua. Medidas Provisionales. Resolución de la Corte Interamericana de Derechos Humanos de 14 octubre de 2021.</w:t>
      </w:r>
    </w:p>
    <w:p w14:paraId="626EB65C" w14:textId="0F827514" w:rsidR="00685F46" w:rsidRPr="00F7096F" w:rsidRDefault="00685F46" w:rsidP="00685F46">
      <w:pPr>
        <w:spacing w:before="120"/>
        <w:rPr>
          <w:color w:val="000000"/>
          <w:spacing w:val="-2"/>
          <w:szCs w:val="20"/>
          <w:lang w:eastAsia="es-CR"/>
        </w:rPr>
      </w:pPr>
    </w:p>
    <w:p w14:paraId="4C56E0F5" w14:textId="77777777" w:rsidR="00685F46" w:rsidRDefault="00685F46" w:rsidP="00685F46">
      <w:pPr>
        <w:keepNext/>
        <w:spacing w:before="120"/>
        <w:outlineLvl w:val="0"/>
        <w:rPr>
          <w:color w:val="000000"/>
          <w:spacing w:val="-2"/>
          <w:szCs w:val="20"/>
          <w:lang w:eastAsia="es-CR"/>
        </w:rPr>
      </w:pPr>
    </w:p>
    <w:p w14:paraId="3C00E24F" w14:textId="77777777" w:rsidR="00685F46" w:rsidRDefault="00685F46" w:rsidP="00685F46">
      <w:pPr>
        <w:ind w:left="4253"/>
        <w:rPr>
          <w:color w:val="000000"/>
          <w:spacing w:val="-2"/>
          <w:szCs w:val="20"/>
          <w:lang w:eastAsia="es-CR"/>
        </w:rPr>
      </w:pPr>
    </w:p>
    <w:p w14:paraId="08F6B93C" w14:textId="77777777" w:rsidR="00685F46" w:rsidRPr="00F7096F" w:rsidRDefault="00685F46" w:rsidP="00685F46">
      <w:pPr>
        <w:ind w:left="4253"/>
        <w:rPr>
          <w:color w:val="000000"/>
          <w:spacing w:val="-2"/>
          <w:szCs w:val="20"/>
          <w:lang w:eastAsia="es-CR"/>
        </w:rPr>
      </w:pPr>
    </w:p>
    <w:p w14:paraId="7C2CDFAD" w14:textId="4D8AE52E" w:rsidR="00685F46" w:rsidRDefault="00685F46" w:rsidP="00685F46">
      <w:pPr>
        <w:jc w:val="center"/>
      </w:pPr>
    </w:p>
    <w:p w14:paraId="608DE87B" w14:textId="2CDC77C9" w:rsidR="00685F46" w:rsidRDefault="00685F46" w:rsidP="00685F46">
      <w:pPr>
        <w:jc w:val="center"/>
        <w:rPr>
          <w:lang w:val="es-CR"/>
        </w:rPr>
      </w:pPr>
      <w:r>
        <w:rPr>
          <w:lang w:val="es-CR"/>
        </w:rPr>
        <w:t>Elizabeth Odio Benito</w:t>
      </w:r>
    </w:p>
    <w:p w14:paraId="3F1CA19B" w14:textId="77777777" w:rsidR="00685F46" w:rsidRDefault="00685F46" w:rsidP="00685F46">
      <w:pPr>
        <w:jc w:val="center"/>
      </w:pPr>
      <w:r>
        <w:t>Presidenta</w:t>
      </w:r>
    </w:p>
    <w:p w14:paraId="487098DD" w14:textId="77777777" w:rsidR="00685F46" w:rsidRDefault="00685F46" w:rsidP="00685F46"/>
    <w:p w14:paraId="22A54328" w14:textId="77777777" w:rsidR="00685F46" w:rsidRDefault="00685F46" w:rsidP="00685F46"/>
    <w:p w14:paraId="390E2C73" w14:textId="77777777" w:rsidR="00685F46" w:rsidRDefault="00685F46" w:rsidP="00685F46"/>
    <w:p w14:paraId="6FCC063A" w14:textId="77777777" w:rsidR="00685F46" w:rsidRDefault="00685F46" w:rsidP="00685F46">
      <w:r>
        <w:tab/>
      </w:r>
      <w:r>
        <w:tab/>
      </w:r>
      <w:r>
        <w:tab/>
      </w:r>
      <w:r>
        <w:tab/>
      </w:r>
      <w:r>
        <w:tab/>
      </w:r>
      <w:r>
        <w:tab/>
      </w:r>
      <w:r>
        <w:tab/>
      </w:r>
      <w:r>
        <w:tab/>
      </w:r>
      <w:r>
        <w:tab/>
      </w:r>
      <w:r>
        <w:tab/>
      </w:r>
    </w:p>
    <w:p w14:paraId="0117BFBB" w14:textId="797E5568" w:rsidR="00685F46" w:rsidRPr="00DE3516" w:rsidRDefault="00685F46" w:rsidP="00685F46">
      <w:r>
        <w:rPr>
          <w:lang w:val="es-CR"/>
        </w:rPr>
        <w:t>L. Patricio Pazmiño Freire</w:t>
      </w:r>
      <w:r>
        <w:rPr>
          <w:lang w:val="es-CR"/>
        </w:rPr>
        <w:tab/>
      </w:r>
      <w:r>
        <w:rPr>
          <w:lang w:val="es-CR"/>
        </w:rPr>
        <w:tab/>
      </w:r>
      <w:r>
        <w:rPr>
          <w:lang w:val="es-CR"/>
        </w:rPr>
        <w:tab/>
      </w:r>
      <w:r>
        <w:rPr>
          <w:lang w:val="es-CR"/>
        </w:rPr>
        <w:tab/>
      </w:r>
      <w:r>
        <w:rPr>
          <w:lang w:val="es-CR"/>
        </w:rPr>
        <w:tab/>
      </w:r>
      <w:r>
        <w:rPr>
          <w:lang w:val="es-CR"/>
        </w:rPr>
        <w:tab/>
        <w:t xml:space="preserve">        Eduardo Vio Grossi</w:t>
      </w:r>
    </w:p>
    <w:p w14:paraId="072328B4" w14:textId="77777777" w:rsidR="00685F46" w:rsidRDefault="00685F46" w:rsidP="00685F46"/>
    <w:p w14:paraId="6ADD249B" w14:textId="77777777" w:rsidR="00685F46" w:rsidRDefault="00685F46" w:rsidP="00685F46"/>
    <w:p w14:paraId="40D241E3" w14:textId="77777777" w:rsidR="00685F46" w:rsidRDefault="00685F46" w:rsidP="00685F46"/>
    <w:p w14:paraId="5D366F2A" w14:textId="77777777" w:rsidR="00685F46" w:rsidRDefault="00685F46" w:rsidP="00685F46"/>
    <w:p w14:paraId="0C5385F6" w14:textId="77777777" w:rsidR="00685F46" w:rsidRDefault="00685F46" w:rsidP="00685F46"/>
    <w:p w14:paraId="7B46F0D3" w14:textId="77777777" w:rsidR="00685F46" w:rsidRDefault="00685F46" w:rsidP="00685F46"/>
    <w:p w14:paraId="6B91D346" w14:textId="77777777" w:rsidR="00685F46" w:rsidRDefault="00685F46" w:rsidP="00685F46">
      <w:pPr>
        <w:rPr>
          <w:lang w:val="es-CR"/>
        </w:rPr>
      </w:pPr>
      <w:r>
        <w:rPr>
          <w:lang w:val="es-CR"/>
        </w:rPr>
        <w:t>Humberto Antonio Sierra Porto</w:t>
      </w:r>
      <w:r>
        <w:rPr>
          <w:lang w:val="es-CR"/>
        </w:rPr>
        <w:tab/>
      </w:r>
      <w:r>
        <w:rPr>
          <w:lang w:val="es-CR"/>
        </w:rPr>
        <w:tab/>
      </w:r>
      <w:r>
        <w:rPr>
          <w:lang w:val="es-CR"/>
        </w:rPr>
        <w:tab/>
        <w:t xml:space="preserve">       Eduardo Ferrer Mac-Gregor Poisot</w:t>
      </w:r>
    </w:p>
    <w:p w14:paraId="546311C0" w14:textId="67A3936A" w:rsidR="00685F46" w:rsidRDefault="00685F46" w:rsidP="00685F46">
      <w:pPr>
        <w:rPr>
          <w:lang w:val="es-CR"/>
        </w:rPr>
      </w:pPr>
    </w:p>
    <w:p w14:paraId="77ACCD2F" w14:textId="4930238D" w:rsidR="00685F46" w:rsidRDefault="00685F46" w:rsidP="00685F46">
      <w:pPr>
        <w:rPr>
          <w:lang w:val="es-CR"/>
        </w:rPr>
      </w:pPr>
    </w:p>
    <w:p w14:paraId="3B488D7E" w14:textId="77777777" w:rsidR="00685F46" w:rsidRDefault="00685F46" w:rsidP="00685F46">
      <w:pPr>
        <w:rPr>
          <w:lang w:val="es-CR"/>
        </w:rPr>
      </w:pPr>
    </w:p>
    <w:p w14:paraId="6968F9B5" w14:textId="77777777" w:rsidR="00685F46" w:rsidRDefault="00685F46" w:rsidP="00685F46">
      <w:pPr>
        <w:rPr>
          <w:lang w:val="es-CR"/>
        </w:rPr>
      </w:pPr>
    </w:p>
    <w:p w14:paraId="7B4073E9" w14:textId="77777777" w:rsidR="00685F46" w:rsidRDefault="00685F46" w:rsidP="00685F46">
      <w:pPr>
        <w:rPr>
          <w:lang w:val="es-CR"/>
        </w:rPr>
      </w:pPr>
    </w:p>
    <w:p w14:paraId="72ABA5B5" w14:textId="77777777" w:rsidR="00685F46" w:rsidRDefault="00685F46" w:rsidP="00685F46">
      <w:pPr>
        <w:rPr>
          <w:lang w:val="es-CR"/>
        </w:rPr>
      </w:pPr>
    </w:p>
    <w:p w14:paraId="3E00F888" w14:textId="704953A8" w:rsidR="00685F46" w:rsidRDefault="00685F46" w:rsidP="00685F46">
      <w:pPr>
        <w:rPr>
          <w:lang w:val="es-CR"/>
        </w:rPr>
      </w:pPr>
      <w:r>
        <w:rPr>
          <w:lang w:val="es-CR"/>
        </w:rPr>
        <w:t>Eugenio Raúl Zaffaroni</w:t>
      </w:r>
      <w:r>
        <w:rPr>
          <w:lang w:val="es-CR"/>
        </w:rPr>
        <w:tab/>
      </w:r>
      <w:r>
        <w:rPr>
          <w:lang w:val="es-CR"/>
        </w:rPr>
        <w:tab/>
      </w:r>
      <w:r>
        <w:rPr>
          <w:lang w:val="es-CR"/>
        </w:rPr>
        <w:tab/>
      </w:r>
      <w:r>
        <w:rPr>
          <w:lang w:val="es-CR"/>
        </w:rPr>
        <w:tab/>
      </w:r>
      <w:r>
        <w:rPr>
          <w:lang w:val="es-CR"/>
        </w:rPr>
        <w:tab/>
        <w:t xml:space="preserve">        Ricardo </w:t>
      </w:r>
      <w:r w:rsidRPr="00433F2D">
        <w:rPr>
          <w:lang w:val="es-CR"/>
        </w:rPr>
        <w:t>C.</w:t>
      </w:r>
      <w:r>
        <w:rPr>
          <w:lang w:val="es-CR"/>
        </w:rPr>
        <w:t xml:space="preserve"> Pérez Manrique</w:t>
      </w:r>
    </w:p>
    <w:p w14:paraId="464B42E9" w14:textId="77777777" w:rsidR="00685F46" w:rsidRDefault="00685F46" w:rsidP="00685F46">
      <w:pPr>
        <w:rPr>
          <w:lang w:val="es-CR"/>
        </w:rPr>
      </w:pPr>
    </w:p>
    <w:p w14:paraId="5052C5C0" w14:textId="77777777" w:rsidR="00685F46" w:rsidRDefault="00685F46" w:rsidP="00685F46">
      <w:pPr>
        <w:tabs>
          <w:tab w:val="left" w:pos="8460"/>
          <w:tab w:val="left" w:pos="8640"/>
        </w:tabs>
        <w:rPr>
          <w:lang w:val="es-CR"/>
        </w:rPr>
      </w:pPr>
    </w:p>
    <w:p w14:paraId="509FC7A0" w14:textId="5B9B7EC6" w:rsidR="00685F46" w:rsidRDefault="00685F46" w:rsidP="00685F46">
      <w:pPr>
        <w:tabs>
          <w:tab w:val="left" w:pos="8460"/>
          <w:tab w:val="left" w:pos="8640"/>
        </w:tabs>
        <w:rPr>
          <w:lang w:val="es-CR"/>
        </w:rPr>
      </w:pPr>
    </w:p>
    <w:p w14:paraId="1CBA37B1" w14:textId="77777777" w:rsidR="00685F46" w:rsidRPr="00274D2F" w:rsidRDefault="00685F46" w:rsidP="00685F46">
      <w:pPr>
        <w:tabs>
          <w:tab w:val="left" w:pos="8460"/>
          <w:tab w:val="left" w:pos="8640"/>
        </w:tabs>
        <w:rPr>
          <w:lang w:val="es-CR"/>
        </w:rPr>
      </w:pPr>
    </w:p>
    <w:p w14:paraId="2EF750BA" w14:textId="77777777" w:rsidR="00685F46" w:rsidRDefault="00685F46" w:rsidP="00685F46">
      <w:pPr>
        <w:tabs>
          <w:tab w:val="left" w:pos="8460"/>
          <w:tab w:val="left" w:pos="8640"/>
        </w:tabs>
        <w:jc w:val="center"/>
      </w:pPr>
      <w:r>
        <w:t>Pablo Saavedra Alessandri</w:t>
      </w:r>
    </w:p>
    <w:p w14:paraId="60E0B7B9" w14:textId="77777777" w:rsidR="00685F46" w:rsidRDefault="00685F46" w:rsidP="00685F46">
      <w:pPr>
        <w:tabs>
          <w:tab w:val="left" w:pos="8460"/>
          <w:tab w:val="left" w:pos="8640"/>
        </w:tabs>
        <w:jc w:val="center"/>
      </w:pPr>
      <w:r>
        <w:t>Secretario</w:t>
      </w:r>
    </w:p>
    <w:p w14:paraId="27F53157" w14:textId="77777777" w:rsidR="00685F46" w:rsidRDefault="00685F46" w:rsidP="00685F46">
      <w:pPr>
        <w:tabs>
          <w:tab w:val="left" w:pos="8460"/>
          <w:tab w:val="left" w:pos="8640"/>
        </w:tabs>
      </w:pPr>
    </w:p>
    <w:p w14:paraId="0472971F" w14:textId="342C0CE8" w:rsidR="00685F46" w:rsidRDefault="00685F46" w:rsidP="00685F46">
      <w:pPr>
        <w:tabs>
          <w:tab w:val="left" w:pos="8460"/>
          <w:tab w:val="left" w:pos="8640"/>
        </w:tabs>
      </w:pPr>
      <w:r>
        <w:t>Comuníquese y ejecútese,</w:t>
      </w:r>
    </w:p>
    <w:p w14:paraId="3B1C42CC" w14:textId="77777777" w:rsidR="00685F46" w:rsidRDefault="00685F46" w:rsidP="00685F46">
      <w:pPr>
        <w:tabs>
          <w:tab w:val="left" w:pos="8460"/>
          <w:tab w:val="left" w:pos="8640"/>
        </w:tabs>
      </w:pPr>
    </w:p>
    <w:p w14:paraId="463B7156" w14:textId="77777777" w:rsidR="00685F46" w:rsidRDefault="00685F46" w:rsidP="00685F46">
      <w:pPr>
        <w:tabs>
          <w:tab w:val="left" w:pos="8460"/>
          <w:tab w:val="left" w:pos="8640"/>
        </w:tabs>
      </w:pPr>
    </w:p>
    <w:p w14:paraId="7177D94A" w14:textId="77777777" w:rsidR="00685F46" w:rsidRDefault="00685F46" w:rsidP="00685F46">
      <w:pPr>
        <w:tabs>
          <w:tab w:val="left" w:pos="8460"/>
          <w:tab w:val="left" w:pos="8640"/>
        </w:tabs>
      </w:pPr>
    </w:p>
    <w:p w14:paraId="1DD7DF0D" w14:textId="77777777" w:rsidR="00685F46" w:rsidRDefault="00685F46" w:rsidP="00685F46">
      <w:pPr>
        <w:jc w:val="right"/>
        <w:rPr>
          <w:lang w:val="es-CR"/>
        </w:rPr>
      </w:pPr>
      <w:r>
        <w:rPr>
          <w:lang w:val="es-CR"/>
        </w:rPr>
        <w:t>Elizabeth Odio Benito</w:t>
      </w:r>
      <w:r>
        <w:rPr>
          <w:lang w:val="es-CR"/>
        </w:rPr>
        <w:tab/>
      </w:r>
    </w:p>
    <w:p w14:paraId="7D94B03D" w14:textId="77777777" w:rsidR="00685F46" w:rsidRDefault="00685F46" w:rsidP="00685F46">
      <w:pPr>
        <w:ind w:right="1183"/>
        <w:jc w:val="right"/>
      </w:pPr>
      <w:r>
        <w:t>Presidenta</w:t>
      </w:r>
    </w:p>
    <w:p w14:paraId="7D52D4A7" w14:textId="6BE40558" w:rsidR="00685F46" w:rsidRDefault="00685F46" w:rsidP="00685F46">
      <w:pPr>
        <w:tabs>
          <w:tab w:val="left" w:pos="8460"/>
          <w:tab w:val="left" w:pos="8640"/>
        </w:tabs>
      </w:pPr>
      <w:r>
        <w:t>Pablo Saavedra Alessandri</w:t>
      </w:r>
    </w:p>
    <w:p w14:paraId="6DB50B05" w14:textId="77777777" w:rsidR="00685F46" w:rsidRDefault="00685F46" w:rsidP="00685F46">
      <w:pPr>
        <w:tabs>
          <w:tab w:val="left" w:pos="8640"/>
        </w:tabs>
        <w:ind w:left="720"/>
      </w:pPr>
      <w:r>
        <w:t xml:space="preserve">  Secretario</w:t>
      </w:r>
    </w:p>
    <w:p w14:paraId="25CA8E62" w14:textId="3E144068" w:rsidR="00154CEF" w:rsidRPr="006527FD" w:rsidRDefault="00154CEF" w:rsidP="00685F46">
      <w:pPr>
        <w:rPr>
          <w:rFonts w:ascii="Verdana" w:hAnsi="Verdana"/>
          <w:sz w:val="20"/>
          <w:szCs w:val="20"/>
        </w:rPr>
      </w:pPr>
    </w:p>
    <w:sectPr w:rsidR="00154CEF" w:rsidRPr="006527FD" w:rsidSect="009959E7">
      <w:footerReference w:type="default" r:id="rId8"/>
      <w:headerReference w:type="first" r:id="rId9"/>
      <w:footerReference w:type="first" r:id="rId10"/>
      <w:pgSz w:w="12240" w:h="15840"/>
      <w:pgMar w:top="1440" w:right="146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F96EF" w14:textId="77777777" w:rsidR="0045334B" w:rsidRDefault="0045334B" w:rsidP="00BA723D">
      <w:r>
        <w:separator/>
      </w:r>
    </w:p>
  </w:endnote>
  <w:endnote w:type="continuationSeparator" w:id="0">
    <w:p w14:paraId="42D6EA66" w14:textId="77777777" w:rsidR="0045334B" w:rsidRDefault="0045334B" w:rsidP="00BA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ant Garde">
    <w:altName w:val="Century Gothic"/>
    <w:charset w:val="4D"/>
    <w:family w:val="auto"/>
    <w:pitch w:val="variable"/>
    <w:sig w:usb0="03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AE3D" w14:textId="30F2D4D4" w:rsidR="00222B31" w:rsidRPr="00F11502" w:rsidRDefault="00222B31">
    <w:pPr>
      <w:pStyle w:val="Piedepgina"/>
      <w:jc w:val="center"/>
      <w:rPr>
        <w:rFonts w:ascii="Verdana" w:hAnsi="Verdana"/>
        <w:caps/>
        <w:sz w:val="20"/>
        <w:szCs w:val="20"/>
      </w:rPr>
    </w:pPr>
    <w:r w:rsidRPr="00F11502">
      <w:rPr>
        <w:rFonts w:ascii="Verdana" w:hAnsi="Verdana"/>
        <w:caps/>
        <w:sz w:val="20"/>
        <w:szCs w:val="20"/>
      </w:rPr>
      <w:fldChar w:fldCharType="begin"/>
    </w:r>
    <w:r w:rsidRPr="00F11502">
      <w:rPr>
        <w:rFonts w:ascii="Verdana" w:hAnsi="Verdana"/>
        <w:caps/>
        <w:sz w:val="20"/>
        <w:szCs w:val="20"/>
      </w:rPr>
      <w:instrText>PAGE   \* MERGEFORMAT</w:instrText>
    </w:r>
    <w:r w:rsidRPr="00F11502">
      <w:rPr>
        <w:rFonts w:ascii="Verdana" w:hAnsi="Verdana"/>
        <w:caps/>
        <w:sz w:val="20"/>
        <w:szCs w:val="20"/>
      </w:rPr>
      <w:fldChar w:fldCharType="separate"/>
    </w:r>
    <w:r w:rsidR="00685F46" w:rsidRPr="00685F46">
      <w:rPr>
        <w:rFonts w:ascii="Verdana" w:hAnsi="Verdana"/>
        <w:caps/>
        <w:noProof/>
        <w:sz w:val="20"/>
        <w:szCs w:val="20"/>
        <w:lang w:val="es-ES"/>
      </w:rPr>
      <w:t>1</w:t>
    </w:r>
    <w:r w:rsidRPr="00F11502">
      <w:rPr>
        <w:rFonts w:ascii="Verdana" w:hAnsi="Verdana"/>
        <w:caps/>
        <w:sz w:val="20"/>
        <w:szCs w:val="20"/>
      </w:rPr>
      <w:fldChar w:fldCharType="end"/>
    </w:r>
  </w:p>
  <w:p w14:paraId="542C817C" w14:textId="77777777" w:rsidR="00222B31" w:rsidRDefault="00222B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8544" w14:textId="77777777" w:rsidR="00222B31" w:rsidRPr="00B3077C" w:rsidRDefault="00222B31">
    <w:pPr>
      <w:pStyle w:val="Piedepgina"/>
      <w:jc w:val="center"/>
      <w:rPr>
        <w:rFonts w:ascii="Verdana" w:hAnsi="Verdana"/>
        <w:caps/>
        <w:sz w:val="20"/>
        <w:szCs w:val="20"/>
      </w:rPr>
    </w:pPr>
    <w:r w:rsidRPr="00B3077C">
      <w:rPr>
        <w:rFonts w:ascii="Verdana" w:hAnsi="Verdana"/>
        <w:caps/>
        <w:sz w:val="20"/>
        <w:szCs w:val="20"/>
      </w:rPr>
      <w:fldChar w:fldCharType="begin"/>
    </w:r>
    <w:r w:rsidRPr="00B3077C">
      <w:rPr>
        <w:rFonts w:ascii="Verdana" w:hAnsi="Verdana"/>
        <w:caps/>
        <w:sz w:val="20"/>
        <w:szCs w:val="20"/>
      </w:rPr>
      <w:instrText>PAGE   \* MERGEFORMAT</w:instrText>
    </w:r>
    <w:r w:rsidRPr="00B3077C">
      <w:rPr>
        <w:rFonts w:ascii="Verdana" w:hAnsi="Verdana"/>
        <w:caps/>
        <w:sz w:val="20"/>
        <w:szCs w:val="20"/>
      </w:rPr>
      <w:fldChar w:fldCharType="separate"/>
    </w:r>
    <w:r w:rsidRPr="00F11502">
      <w:rPr>
        <w:rFonts w:ascii="Verdana" w:hAnsi="Verdana"/>
        <w:caps/>
        <w:noProof/>
        <w:sz w:val="20"/>
        <w:szCs w:val="20"/>
        <w:lang w:val="es-ES"/>
      </w:rPr>
      <w:t>1</w:t>
    </w:r>
    <w:r w:rsidRPr="00B3077C">
      <w:rPr>
        <w:rFonts w:ascii="Verdana" w:hAnsi="Verdana"/>
        <w:caps/>
        <w:sz w:val="20"/>
        <w:szCs w:val="20"/>
      </w:rPr>
      <w:fldChar w:fldCharType="end"/>
    </w:r>
  </w:p>
  <w:p w14:paraId="71E87DC3" w14:textId="77777777" w:rsidR="00222B31" w:rsidRDefault="00222B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7815" w14:textId="77777777" w:rsidR="0045334B" w:rsidRDefault="0045334B" w:rsidP="00BA723D">
      <w:r>
        <w:separator/>
      </w:r>
    </w:p>
  </w:footnote>
  <w:footnote w:type="continuationSeparator" w:id="0">
    <w:p w14:paraId="1E967779" w14:textId="77777777" w:rsidR="0045334B" w:rsidRDefault="0045334B" w:rsidP="00BA723D">
      <w:r>
        <w:continuationSeparator/>
      </w:r>
    </w:p>
  </w:footnote>
  <w:footnote w:id="1">
    <w:p w14:paraId="727C5014" w14:textId="0A9DD461" w:rsidR="00CB61DD" w:rsidRPr="008E5662" w:rsidRDefault="00CB61DD" w:rsidP="00CB61DD">
      <w:pPr>
        <w:pStyle w:val="Textonotapie"/>
        <w:spacing w:before="60" w:after="60"/>
        <w:rPr>
          <w:szCs w:val="16"/>
          <w:lang w:val="es-ES"/>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B032AE">
        <w:rPr>
          <w:szCs w:val="16"/>
        </w:rPr>
        <w:t xml:space="preserve">. </w:t>
      </w:r>
      <w:r w:rsidRPr="00B032AE">
        <w:rPr>
          <w:i/>
          <w:szCs w:val="16"/>
        </w:rPr>
        <w:t>Asunto Integrantes del Centro Nicaragüense de Derechos Humanos y de la Comisión Permanente de Derechos Humanos (CENIDH-CPDH) respecto de Nicaragua. Medidas Provisionales.</w:t>
      </w:r>
      <w:r w:rsidRPr="008E5662">
        <w:rPr>
          <w:szCs w:val="16"/>
        </w:rPr>
        <w:t xml:space="preserve"> Resolución de la Corte Interamericana de Derechos Humanos de 14 de octubre de 2019. Disponible aquí: </w:t>
      </w:r>
      <w:hyperlink r:id="rId1" w:history="1">
        <w:r w:rsidR="00225CE2" w:rsidRPr="009D4C7E">
          <w:rPr>
            <w:rStyle w:val="Hipervnculo"/>
            <w:szCs w:val="16"/>
          </w:rPr>
          <w:t>http://www.corteidh.or.cr/docs/medidas/integrantes_centro_ni_se_02.pdf</w:t>
        </w:r>
      </w:hyperlink>
      <w:r w:rsidR="00225CE2">
        <w:rPr>
          <w:rStyle w:val="Hipervnculo"/>
          <w:szCs w:val="16"/>
        </w:rPr>
        <w:t xml:space="preserve"> </w:t>
      </w:r>
      <w:r>
        <w:rPr>
          <w:szCs w:val="16"/>
        </w:rPr>
        <w:t xml:space="preserve"> </w:t>
      </w:r>
    </w:p>
  </w:footnote>
  <w:footnote w:id="2">
    <w:p w14:paraId="445A91AC" w14:textId="7E65EE2B" w:rsidR="00CB61DD" w:rsidRPr="00CB61DD" w:rsidRDefault="00CB61DD">
      <w:pPr>
        <w:pStyle w:val="Textonotapie"/>
      </w:pPr>
      <w:r>
        <w:rPr>
          <w:rStyle w:val="Refdenotaalpie"/>
        </w:rPr>
        <w:footnoteRef/>
      </w:r>
      <w:r>
        <w:t xml:space="preserve"> </w:t>
      </w:r>
      <w:r>
        <w:tab/>
      </w:r>
      <w:r w:rsidRPr="008E5662">
        <w:rPr>
          <w:i/>
          <w:szCs w:val="16"/>
        </w:rPr>
        <w:t xml:space="preserve">Cfr. </w:t>
      </w:r>
      <w:r w:rsidRPr="00B032AE">
        <w:rPr>
          <w:i/>
          <w:szCs w:val="16"/>
        </w:rPr>
        <w:t xml:space="preserve">Asunto </w:t>
      </w:r>
      <w:r w:rsidRPr="00B032AE">
        <w:rPr>
          <w:i/>
        </w:rPr>
        <w:t>Integrantes del Centro Nicaragüense de Derechos Humanos y de la Comisión Permanente de Derechos Humanos (CENIDH-CPDH) respecto de Nicaragua. Adopción de Medidas Provisionales Urgentes</w:t>
      </w:r>
      <w:r>
        <w:t xml:space="preserve">. Resolución del Presidente de la Corte Interamericana de Derechos Humanos de 12 de julio de 2019. Disponible aquí: </w:t>
      </w:r>
      <w:hyperlink r:id="rId2" w:history="1">
        <w:r w:rsidRPr="009D4C7E">
          <w:rPr>
            <w:rStyle w:val="Hipervnculo"/>
          </w:rPr>
          <w:t>http://www.corteidh.or.cr/docs/medidas/integrantes_centro_ni_se_01.pdf</w:t>
        </w:r>
      </w:hyperlink>
      <w:r>
        <w:t xml:space="preserve"> </w:t>
      </w:r>
    </w:p>
  </w:footnote>
  <w:footnote w:id="3">
    <w:p w14:paraId="0229E176" w14:textId="126C599B" w:rsidR="00CB61DD" w:rsidRPr="00CB61DD" w:rsidRDefault="00CB61DD" w:rsidP="00CB61DD">
      <w:pPr>
        <w:pStyle w:val="Textonotapie"/>
        <w:spacing w:before="60" w:after="60"/>
        <w:rPr>
          <w:lang w:val="es-ES"/>
        </w:rPr>
      </w:pPr>
      <w:r>
        <w:rPr>
          <w:rStyle w:val="Refdenotaalpie"/>
        </w:rPr>
        <w:footnoteRef/>
      </w:r>
      <w:r>
        <w:t xml:space="preserve"> </w:t>
      </w:r>
      <w:r>
        <w:tab/>
      </w:r>
      <w:r w:rsidRPr="008E5662">
        <w:rPr>
          <w:i/>
          <w:szCs w:val="16"/>
        </w:rPr>
        <w:t xml:space="preserve">Cfr. </w:t>
      </w:r>
      <w:r w:rsidRPr="008E5662">
        <w:rPr>
          <w:rFonts w:cs="Arial"/>
          <w:i/>
          <w:szCs w:val="16"/>
          <w:shd w:val="clear" w:color="auto" w:fill="FFFFFF"/>
        </w:rPr>
        <w:t>Asunto Integrantes del Centro Nicaragüense de Derechos Humanos y de la Comisión Permanente de Derechos Humanos (CENIDH-CPDH) respecto de Nicaragua. Medidas Provisionales.</w:t>
      </w:r>
      <w:r w:rsidRPr="008E5662">
        <w:rPr>
          <w:rFonts w:cs="Arial"/>
          <w:szCs w:val="16"/>
          <w:shd w:val="clear" w:color="auto" w:fill="FFFFFF"/>
        </w:rPr>
        <w:t xml:space="preserve"> Resolución de la Corte Interamericana de Derechos Humanos de 1 de septiembre de 2021. Disponible aquí: </w:t>
      </w:r>
      <w:hyperlink r:id="rId3" w:history="1">
        <w:r w:rsidRPr="008E5662">
          <w:rPr>
            <w:rStyle w:val="Hipervnculo"/>
            <w:rFonts w:cs="Arial"/>
            <w:szCs w:val="16"/>
            <w:shd w:val="clear" w:color="auto" w:fill="FFFFFF"/>
          </w:rPr>
          <w:t>https://www.corteidh.or.cr/docs/medidas/integrantes_centro_ni_se_03.pdf</w:t>
        </w:r>
      </w:hyperlink>
      <w:r>
        <w:rPr>
          <w:rFonts w:cs="Arial"/>
          <w:szCs w:val="16"/>
          <w:shd w:val="clear" w:color="auto" w:fill="FFFFFF"/>
        </w:rPr>
        <w:t xml:space="preserve"> </w:t>
      </w:r>
    </w:p>
  </w:footnote>
  <w:footnote w:id="4">
    <w:p w14:paraId="58712D62" w14:textId="41949341"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xml:space="preserve">. </w:t>
      </w:r>
      <w:r w:rsidRPr="008E5662">
        <w:rPr>
          <w:i/>
          <w:szCs w:val="16"/>
        </w:rPr>
        <w:t>Asunto Álvarez y otros. Medidas provisionales respecto de Colombia</w:t>
      </w:r>
      <w:r w:rsidRPr="008E5662">
        <w:rPr>
          <w:szCs w:val="16"/>
        </w:rPr>
        <w:t xml:space="preserve">. Resolución de la Corte Interamericana de Derechos Humanos de 22 de mayo de 2013, Considerando 2, y </w:t>
      </w:r>
      <w:r w:rsidR="00B032AE" w:rsidRPr="00DD3CE2">
        <w:rPr>
          <w:rFonts w:cs="Arial"/>
          <w:i/>
          <w:szCs w:val="16"/>
          <w:shd w:val="clear" w:color="auto" w:fill="FFFFFF"/>
        </w:rPr>
        <w:t xml:space="preserve">Asunto Integrantes del Centro Nicaragüense de Derechos Humanos y de la Comisión Permanente de Derechos Humanos (CENIDH-CPDH) respecto de Nicaragua. Medidas Provisionales. </w:t>
      </w:r>
      <w:r w:rsidR="00B032AE" w:rsidRPr="00DD3CE2">
        <w:rPr>
          <w:rFonts w:cs="Arial"/>
          <w:szCs w:val="16"/>
          <w:shd w:val="clear" w:color="auto" w:fill="FFFFFF"/>
        </w:rPr>
        <w:t>Resolución de la Corte Interamericana de Derechos Humanos de 1 de septiembre de 2021</w:t>
      </w:r>
      <w:r w:rsidRPr="00DD3CE2">
        <w:rPr>
          <w:szCs w:val="16"/>
        </w:rPr>
        <w:t xml:space="preserve">, </w:t>
      </w:r>
      <w:r w:rsidRPr="008E5662">
        <w:rPr>
          <w:szCs w:val="16"/>
        </w:rPr>
        <w:t>Considerando 1.</w:t>
      </w:r>
    </w:p>
  </w:footnote>
  <w:footnote w:id="5">
    <w:p w14:paraId="08E6E0CC" w14:textId="104894B8"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 Asunto James y otros</w:t>
      </w:r>
      <w:r w:rsidRPr="008E5662">
        <w:rPr>
          <w:szCs w:val="16"/>
        </w:rPr>
        <w:t xml:space="preserve">. </w:t>
      </w:r>
      <w:r w:rsidRPr="008E5662">
        <w:rPr>
          <w:i/>
          <w:szCs w:val="16"/>
        </w:rPr>
        <w:t>Medidas Provisionales respecto de Trinidad y Tobago</w:t>
      </w:r>
      <w:r w:rsidRPr="008E5662">
        <w:rPr>
          <w:szCs w:val="16"/>
        </w:rPr>
        <w:t xml:space="preserve">. Resolución de la Corte Interamericana de Derechos Humanos de 14 de junio de 1998, Considerando 6, y </w:t>
      </w:r>
      <w:r w:rsidR="00B032AE" w:rsidRPr="00DD3CE2">
        <w:rPr>
          <w:rFonts w:cs="Arial"/>
          <w:i/>
          <w:szCs w:val="16"/>
          <w:shd w:val="clear" w:color="auto" w:fill="FFFFFF"/>
        </w:rPr>
        <w:t xml:space="preserve">Asunto Integrantes del Centro Nicaragüense de Derechos Humanos y de la Comisión Permanente de Derechos Humanos (CENIDH-CPDH) respecto de Nicaragua. Medidas Provisionales. </w:t>
      </w:r>
      <w:r w:rsidR="00B032AE" w:rsidRPr="00DD3CE2">
        <w:rPr>
          <w:rFonts w:cs="Arial"/>
          <w:szCs w:val="16"/>
          <w:shd w:val="clear" w:color="auto" w:fill="FFFFFF"/>
        </w:rPr>
        <w:t>Resolución de la Corte Interamericana de Derechos Humanos de 1 de septiembre de 2021</w:t>
      </w:r>
      <w:r w:rsidR="00B032AE" w:rsidRPr="00DD3CE2">
        <w:rPr>
          <w:szCs w:val="16"/>
        </w:rPr>
        <w:t xml:space="preserve">, </w:t>
      </w:r>
      <w:r w:rsidR="00B032AE">
        <w:rPr>
          <w:szCs w:val="16"/>
        </w:rPr>
        <w:t>Considerando 2.</w:t>
      </w:r>
    </w:p>
  </w:footnote>
  <w:footnote w:id="6">
    <w:p w14:paraId="1C4A9D92" w14:textId="6F956DC2"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 Asunto Eloisa Barrios y otros.</w:t>
      </w:r>
      <w:r w:rsidRPr="008E5662">
        <w:rPr>
          <w:szCs w:val="16"/>
        </w:rPr>
        <w:t xml:space="preserve"> </w:t>
      </w:r>
      <w:r w:rsidRPr="008E5662">
        <w:rPr>
          <w:i/>
          <w:szCs w:val="16"/>
        </w:rPr>
        <w:t>Medidas provisionales respecto de Venezuela</w:t>
      </w:r>
      <w:r w:rsidRPr="008E5662">
        <w:rPr>
          <w:szCs w:val="16"/>
        </w:rPr>
        <w:t xml:space="preserve">. Resolución de la Corte Interamericana de Derechos Humanos de 23 de noviembre de 2004, Considerando 12, y </w:t>
      </w:r>
      <w:r w:rsidR="002E7EA6" w:rsidRPr="00DD3CE2">
        <w:rPr>
          <w:rFonts w:cs="Arial"/>
          <w:i/>
          <w:szCs w:val="16"/>
          <w:shd w:val="clear" w:color="auto" w:fill="FFFFFF"/>
        </w:rPr>
        <w:t xml:space="preserve">Asunto Integrantes del Centro Nicaragüense de Derechos Humanos y de la Comisión Permanente de Derechos Humanos (CENIDH-CPDH) respecto de Nicaragua. Medidas Provisionales. </w:t>
      </w:r>
      <w:r w:rsidR="002E7EA6" w:rsidRPr="00DD3CE2">
        <w:rPr>
          <w:rFonts w:cs="Arial"/>
          <w:szCs w:val="16"/>
          <w:shd w:val="clear" w:color="auto" w:fill="FFFFFF"/>
        </w:rPr>
        <w:t>Resolución de la Corte Interamericana de Derechos Humanos de 1 de septiembre de 2021</w:t>
      </w:r>
      <w:r w:rsidR="002E7EA6" w:rsidRPr="00DD3CE2">
        <w:rPr>
          <w:szCs w:val="16"/>
        </w:rPr>
        <w:t>,</w:t>
      </w:r>
      <w:r w:rsidR="00DD3CE2">
        <w:rPr>
          <w:szCs w:val="16"/>
        </w:rPr>
        <w:t xml:space="preserve"> Considerando 2</w:t>
      </w:r>
      <w:r w:rsidRPr="008E5662">
        <w:rPr>
          <w:szCs w:val="16"/>
        </w:rPr>
        <w:t>.</w:t>
      </w:r>
    </w:p>
  </w:footnote>
  <w:footnote w:id="7">
    <w:p w14:paraId="1506C7F2" w14:textId="0EEB4678"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xml:space="preserve">. Recurso de Exhibición Personal interpuesto el 30 de julio de 2021 (anexo al escrito de los representantes de fecha 9 de septiembre de 2021, folio 1485), </w:t>
      </w:r>
      <w:r w:rsidR="002E7EA6">
        <w:rPr>
          <w:szCs w:val="16"/>
        </w:rPr>
        <w:t xml:space="preserve">y </w:t>
      </w:r>
      <w:r w:rsidRPr="008E5662">
        <w:rPr>
          <w:szCs w:val="16"/>
        </w:rPr>
        <w:t>Recurso de Exhibición Personal interpuesto el 6 de agosto de 2021 (anexo al escrito de los representantes de fecha 9 de septiembre de 2021, folio 1502).</w:t>
      </w:r>
    </w:p>
  </w:footnote>
  <w:footnote w:id="8">
    <w:p w14:paraId="6F640349" w14:textId="72FB169F"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Recurso de queja de 6 de agosto de 2021 (anexo al escrito de los representantes de fecha 9 de septiembre de 2021, folio 1496)</w:t>
      </w:r>
      <w:r w:rsidR="002E7EA6">
        <w:rPr>
          <w:szCs w:val="16"/>
        </w:rPr>
        <w:t>, y</w:t>
      </w:r>
      <w:r w:rsidRPr="008E5662">
        <w:rPr>
          <w:szCs w:val="16"/>
        </w:rPr>
        <w:t xml:space="preserve"> Recurso de queja de 24 de agosto de 2021 (anexo al escrito de los representantes de fecha 9 de septiembre de 2021, folios 1520 a 1523).</w:t>
      </w:r>
    </w:p>
  </w:footnote>
  <w:footnote w:id="9">
    <w:p w14:paraId="30CB0A1E" w14:textId="259FD856"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xml:space="preserve">. </w:t>
      </w:r>
      <w:r w:rsidRPr="008E5662">
        <w:rPr>
          <w:szCs w:val="16"/>
          <w:lang w:val="es-ES"/>
        </w:rPr>
        <w:t xml:space="preserve">Sala Penal II del Tribunal Apelaciones de Managua, Resolución de 2 de agosto de 2021 </w:t>
      </w:r>
      <w:r w:rsidRPr="008E5662">
        <w:rPr>
          <w:szCs w:val="16"/>
        </w:rPr>
        <w:t>(anexo al escrito de los representantes de fecha 9 de septiembre de 2021, folio 1493)</w:t>
      </w:r>
      <w:r w:rsidRPr="008E5662">
        <w:rPr>
          <w:szCs w:val="16"/>
          <w:lang w:val="es-ES"/>
        </w:rPr>
        <w:t xml:space="preserve">; Sala Constitucional de la Corte Suprema de Justicia, Resolución de 9 de agosto de 2021 </w:t>
      </w:r>
      <w:r w:rsidRPr="008E5662">
        <w:rPr>
          <w:szCs w:val="16"/>
        </w:rPr>
        <w:t xml:space="preserve">(anexo al escrito de los representantes de fecha 9 de septiembre de 2021, folio 1512); </w:t>
      </w:r>
      <w:r w:rsidRPr="008E5662">
        <w:rPr>
          <w:szCs w:val="16"/>
          <w:lang w:val="es-ES"/>
        </w:rPr>
        <w:t xml:space="preserve">Sala Penal I del Tribunal Apelaciones de Managua, Resolución de 9 de agosto de 2021 </w:t>
      </w:r>
      <w:r w:rsidRPr="008E5662">
        <w:rPr>
          <w:szCs w:val="16"/>
        </w:rPr>
        <w:t>(anexo al escrito de los representantes de fecha 9 de septiembre de 2021, folio 1509)</w:t>
      </w:r>
      <w:r w:rsidR="002E7EA6">
        <w:rPr>
          <w:szCs w:val="16"/>
        </w:rPr>
        <w:t>, y</w:t>
      </w:r>
      <w:r w:rsidRPr="008E5662">
        <w:rPr>
          <w:szCs w:val="16"/>
        </w:rPr>
        <w:t xml:space="preserve"> </w:t>
      </w:r>
      <w:r w:rsidRPr="008E5662">
        <w:rPr>
          <w:szCs w:val="16"/>
          <w:lang w:val="es-ES"/>
        </w:rPr>
        <w:t xml:space="preserve">Sala Constitucional de la Corte Suprema de Justicia, Resolución de 25 de agosto de 2021 </w:t>
      </w:r>
      <w:r w:rsidRPr="008E5662">
        <w:rPr>
          <w:szCs w:val="16"/>
        </w:rPr>
        <w:t>(anexo al escrito de los representantes de fecha 9 de septiembre de 2021, folio 1532).</w:t>
      </w:r>
    </w:p>
  </w:footnote>
  <w:footnote w:id="10">
    <w:p w14:paraId="7CE5B392" w14:textId="003B176A"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Solicitud de “autorización judicial para otorgar el derecho a entrevista con mi defendida”, de 2 de agosto de 2021, (anexo al escrito de los representantes de fecha 9 de septiembre de 2021, folio 1492); Solicitud de copia íntegra del expediente judicial 016351-ORM4-2021-PN, de 2 de agosto de 2021 (anexo al escrito de los representantes de fecha 9 de septiembre de 2021, folio 1506); Solicitud del “derecho del alcance del ejercicio de la defensa”, de 9 de agosto de 2021 (anexo al escrito de los representantes de fecha 9 de septiembre de 2021, folio 1508)</w:t>
      </w:r>
      <w:r w:rsidR="002E7EA6">
        <w:rPr>
          <w:szCs w:val="16"/>
        </w:rPr>
        <w:t>, y</w:t>
      </w:r>
      <w:r w:rsidRPr="008E5662">
        <w:rPr>
          <w:szCs w:val="16"/>
        </w:rPr>
        <w:t xml:space="preserve"> “Segundo escrito solicitando autorización judicial para otorgar el derecho a entrevista con mi defendida”, de 12 de agosto de 2021 (anexo al escrito de los representantes de fecha 9 de septiembre de 2021, folio 1511).</w:t>
      </w:r>
    </w:p>
  </w:footnote>
  <w:footnote w:id="11">
    <w:p w14:paraId="62BA7B00" w14:textId="525FC909" w:rsidR="00222B31" w:rsidRPr="003C0848" w:rsidRDefault="00222B31" w:rsidP="00EB00DD">
      <w:pPr>
        <w:pStyle w:val="Textonotapie"/>
        <w:spacing w:before="60" w:after="60"/>
      </w:pPr>
      <w:r>
        <w:rPr>
          <w:rStyle w:val="Refdenotaalpie"/>
        </w:rPr>
        <w:footnoteRef/>
      </w:r>
      <w:r>
        <w:t xml:space="preserve"> </w:t>
      </w:r>
      <w:r>
        <w:tab/>
      </w:r>
      <w:r w:rsidRPr="008E5662">
        <w:rPr>
          <w:i/>
          <w:szCs w:val="16"/>
        </w:rPr>
        <w:t>Cfr</w:t>
      </w:r>
      <w:r w:rsidRPr="008E5662">
        <w:rPr>
          <w:szCs w:val="16"/>
        </w:rPr>
        <w:t xml:space="preserve">. </w:t>
      </w:r>
      <w:r w:rsidRPr="003C0848">
        <w:rPr>
          <w:szCs w:val="16"/>
        </w:rPr>
        <w:t>Juzgado Décimo Distrito de lo Penal de Audiencia, Circunscripción Managua</w:t>
      </w:r>
      <w:r>
        <w:rPr>
          <w:szCs w:val="16"/>
        </w:rPr>
        <w:t>, Resolución de 13 de septiembre de 2021</w:t>
      </w:r>
      <w:r w:rsidRPr="008E5662">
        <w:rPr>
          <w:szCs w:val="16"/>
        </w:rPr>
        <w:t xml:space="preserve"> (anexo al escrito de los representantes de fecha </w:t>
      </w:r>
      <w:r>
        <w:rPr>
          <w:szCs w:val="16"/>
        </w:rPr>
        <w:t>20</w:t>
      </w:r>
      <w:r w:rsidRPr="008E5662">
        <w:rPr>
          <w:szCs w:val="16"/>
        </w:rPr>
        <w:t xml:space="preserve"> de septiembre de 2021, folio </w:t>
      </w:r>
      <w:r>
        <w:rPr>
          <w:szCs w:val="16"/>
        </w:rPr>
        <w:t>1602</w:t>
      </w:r>
      <w:r w:rsidRPr="008E5662">
        <w:rPr>
          <w:szCs w:val="16"/>
        </w:rPr>
        <w:t>)</w:t>
      </w:r>
      <w:r>
        <w:rPr>
          <w:szCs w:val="16"/>
        </w:rPr>
        <w:t>.</w:t>
      </w:r>
    </w:p>
  </w:footnote>
  <w:footnote w:id="12">
    <w:p w14:paraId="34DAB86E" w14:textId="1C7D19D6"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t xml:space="preserve">A este respecto, ver: </w:t>
      </w:r>
      <w:r w:rsidRPr="008E5662">
        <w:rPr>
          <w:rFonts w:cs="Arial"/>
          <w:i/>
          <w:szCs w:val="16"/>
          <w:shd w:val="clear" w:color="auto" w:fill="FFFFFF"/>
        </w:rPr>
        <w:t>Asunto Juan Sebastián Chamorro y otros respecto de Nicaragua. Medidas Provisionales</w:t>
      </w:r>
      <w:r w:rsidRPr="008E5662">
        <w:rPr>
          <w:rFonts w:cs="Arial"/>
          <w:szCs w:val="16"/>
          <w:shd w:val="clear" w:color="auto" w:fill="FFFFFF"/>
        </w:rPr>
        <w:t xml:space="preserve">. Resolución de la Corte Interamericana de Derechos Humanos de 24 de junio de 2021; </w:t>
      </w:r>
      <w:r w:rsidRPr="008E5662">
        <w:rPr>
          <w:rFonts w:cs="Arial"/>
          <w:i/>
          <w:szCs w:val="16"/>
          <w:shd w:val="clear" w:color="auto" w:fill="FFFFFF"/>
        </w:rPr>
        <w:t>Asunto Juan Sebastián Chamorro y otros respecto de Nicaragua. Adopción de Medidas Urgentes en favor de Deisy Tamara Dávila Rivas y su núcleo familiar, en el marco de las Medidas Provisionales adoptadas en el asunto Juan Sebastián Chamorro y otros respecto de Nicaragua.</w:t>
      </w:r>
      <w:r w:rsidRPr="008E5662">
        <w:rPr>
          <w:rFonts w:cs="Arial"/>
          <w:szCs w:val="16"/>
          <w:shd w:val="clear" w:color="auto" w:fill="FFFFFF"/>
        </w:rPr>
        <w:t xml:space="preserve"> Resolución de la Presidenta de la Corte Interamericana de Derechos Humanos de 19 de julio de 2021, y </w:t>
      </w:r>
      <w:r w:rsidRPr="008E5662">
        <w:rPr>
          <w:rFonts w:cs="Arial"/>
          <w:i/>
          <w:szCs w:val="16"/>
          <w:shd w:val="clear" w:color="auto" w:fill="FFFFFF"/>
        </w:rPr>
        <w:t>Asunto Juan Sebastián Chamorro y otros respecto de Nicaragua. Ratificación, ampliación y seguimiento de Medidas Provisionales.</w:t>
      </w:r>
      <w:r w:rsidRPr="008E5662">
        <w:rPr>
          <w:rFonts w:cs="Arial"/>
          <w:szCs w:val="16"/>
          <w:shd w:val="clear" w:color="auto" w:fill="FFFFFF"/>
        </w:rPr>
        <w:t xml:space="preserve"> Resolución de la Corte Interamericana de Derechos Humanos de 9 de septiembre de 2021.</w:t>
      </w:r>
    </w:p>
  </w:footnote>
  <w:footnote w:id="13">
    <w:p w14:paraId="32A374DF" w14:textId="77B632A7" w:rsidR="00B64A1E" w:rsidRPr="00653D77" w:rsidRDefault="00B64A1E">
      <w:pPr>
        <w:pStyle w:val="Textonotapie"/>
        <w:rPr>
          <w:lang w:val="es-CR"/>
        </w:rPr>
      </w:pPr>
      <w:r>
        <w:rPr>
          <w:rStyle w:val="Refdenotaalpie"/>
        </w:rPr>
        <w:footnoteRef/>
      </w:r>
      <w:r>
        <w:t xml:space="preserve"> </w:t>
      </w:r>
      <w:r>
        <w:tab/>
      </w:r>
      <w:r w:rsidRPr="00B64A1E">
        <w:rPr>
          <w:i/>
        </w:rPr>
        <w:t>Cfr</w:t>
      </w:r>
      <w:r>
        <w:t>.</w:t>
      </w:r>
      <w:r w:rsidRPr="00EB00DD">
        <w:rPr>
          <w:i/>
          <w:szCs w:val="16"/>
        </w:rPr>
        <w:t xml:space="preserve"> </w:t>
      </w:r>
      <w:r w:rsidRPr="00EB00DD">
        <w:rPr>
          <w:rFonts w:cs="Arial"/>
          <w:i/>
          <w:szCs w:val="16"/>
          <w:shd w:val="clear" w:color="auto" w:fill="FFFFFF"/>
        </w:rPr>
        <w:t>Asunto Juan Sebastián Chamorro y otros respecto de Nicaragua. Medidas Provisionales</w:t>
      </w:r>
      <w:r w:rsidRPr="00EB00DD">
        <w:rPr>
          <w:rFonts w:cs="Arial"/>
          <w:szCs w:val="16"/>
          <w:shd w:val="clear" w:color="auto" w:fill="FFFFFF"/>
        </w:rPr>
        <w:t>. Resolución de la Corte Interamericana de Derechos Humanos de 24 de junio de 2021, Considerando 24</w:t>
      </w:r>
      <w:r w:rsidR="00653D77">
        <w:rPr>
          <w:rFonts w:cs="Arial"/>
          <w:szCs w:val="16"/>
          <w:shd w:val="clear" w:color="auto" w:fill="FFFFFF"/>
        </w:rPr>
        <w:t>, y</w:t>
      </w:r>
      <w:r w:rsidR="00653D77" w:rsidRPr="00653D77">
        <w:rPr>
          <w:rFonts w:cs="Arial"/>
          <w:szCs w:val="16"/>
          <w:shd w:val="clear" w:color="auto" w:fill="FFFFFF"/>
        </w:rPr>
        <w:t xml:space="preserve"> </w:t>
      </w:r>
      <w:r w:rsidR="00653D77" w:rsidRPr="00653D77">
        <w:rPr>
          <w:rFonts w:cs="Arial"/>
          <w:i/>
          <w:szCs w:val="16"/>
          <w:shd w:val="clear" w:color="auto" w:fill="FFFFFF"/>
        </w:rPr>
        <w:t>Asunto Integrantes del Centro Nicaragüense de Derechos Humanos y de la Comisión Permanente de Derechos Humanos (CENIDH-CPDH) respecto de Nicaragua.</w:t>
      </w:r>
      <w:r w:rsidR="00653D77" w:rsidRPr="00653D77">
        <w:rPr>
          <w:rFonts w:cs="Arial"/>
          <w:szCs w:val="16"/>
          <w:shd w:val="clear" w:color="auto" w:fill="FFFFFF"/>
        </w:rPr>
        <w:t xml:space="preserve"> Medidas Provisionales. Resolución de la Corte Interamericana de Derechos Humanos de 1 de septiembre de 202</w:t>
      </w:r>
      <w:r w:rsidR="00653D77">
        <w:rPr>
          <w:rFonts w:cs="Arial"/>
          <w:szCs w:val="16"/>
          <w:shd w:val="clear" w:color="auto" w:fill="FFFFFF"/>
        </w:rPr>
        <w:t>1, Considerando 21.</w:t>
      </w:r>
    </w:p>
  </w:footnote>
  <w:footnote w:id="14">
    <w:p w14:paraId="647C29A9" w14:textId="63338D03" w:rsidR="00B64A1E" w:rsidRPr="00EF64C5" w:rsidRDefault="00B64A1E">
      <w:pPr>
        <w:pStyle w:val="Textonotapie"/>
        <w:rPr>
          <w:szCs w:val="16"/>
        </w:rPr>
      </w:pPr>
      <w:r>
        <w:rPr>
          <w:rStyle w:val="Refdenotaalpie"/>
        </w:rPr>
        <w:footnoteRef/>
      </w:r>
      <w:r>
        <w:t xml:space="preserve"> </w:t>
      </w:r>
      <w:r>
        <w:tab/>
      </w:r>
      <w:r w:rsidRPr="00EF64C5">
        <w:rPr>
          <w:i/>
          <w:szCs w:val="16"/>
        </w:rPr>
        <w:t>Cfr. Asunto Integrantes del Centro Nicaragüense de Derechos Humanos y de la Comisión Permanente de Derechos Humanos (CENIDH-CPDH) respecto de Nicaragua. Medidas Provisionales</w:t>
      </w:r>
      <w:r w:rsidRPr="00EF64C5">
        <w:rPr>
          <w:szCs w:val="16"/>
        </w:rPr>
        <w:t>. Resolución de la Corte Interamericana de Derechos Humanos de 1 de septiembre de 2021, Considerando 21.</w:t>
      </w:r>
    </w:p>
  </w:footnote>
  <w:footnote w:id="15">
    <w:p w14:paraId="6CA2DE43" w14:textId="410AF1C6" w:rsidR="00222B31" w:rsidRPr="00EF64C5" w:rsidRDefault="00222B31" w:rsidP="00562B3C">
      <w:pPr>
        <w:pStyle w:val="Textonotapie"/>
        <w:rPr>
          <w:szCs w:val="16"/>
        </w:rPr>
      </w:pPr>
      <w:r w:rsidRPr="00EF64C5">
        <w:rPr>
          <w:rStyle w:val="Refdenotaalpie"/>
          <w:szCs w:val="16"/>
        </w:rPr>
        <w:footnoteRef/>
      </w:r>
      <w:r w:rsidRPr="00EF64C5">
        <w:rPr>
          <w:szCs w:val="16"/>
        </w:rPr>
        <w:t xml:space="preserve"> </w:t>
      </w:r>
      <w:r w:rsidRPr="00EF64C5">
        <w:rPr>
          <w:szCs w:val="16"/>
        </w:rPr>
        <w:tab/>
        <w:t>Recogido en los artículos 410 y 412 del Código Penal y el artículo 30 de la Ley No. 1042, Especial de</w:t>
      </w:r>
      <w:r w:rsidR="008D6A21" w:rsidRPr="00EF64C5">
        <w:rPr>
          <w:szCs w:val="16"/>
        </w:rPr>
        <w:t xml:space="preserve"> </w:t>
      </w:r>
      <w:r w:rsidRPr="00EF64C5">
        <w:rPr>
          <w:szCs w:val="16"/>
        </w:rPr>
        <w:t>Ciberdelitos, aprobada el 27 de octubre de 2020 y Publicada en La Gaceta, Diario Oficial No. 201, el 30 de octubre de 2020. Disponible aquí:</w:t>
      </w:r>
    </w:p>
    <w:p w14:paraId="11BEBD87" w14:textId="560B4036" w:rsidR="00222B31" w:rsidRPr="00EF64C5" w:rsidRDefault="0045334B" w:rsidP="00562B3C">
      <w:pPr>
        <w:pStyle w:val="Textonotapie"/>
        <w:rPr>
          <w:szCs w:val="16"/>
          <w:lang w:val="es-ES"/>
        </w:rPr>
      </w:pPr>
      <w:hyperlink r:id="rId4" w:history="1">
        <w:r w:rsidR="00222B31" w:rsidRPr="00EF64C5">
          <w:rPr>
            <w:rStyle w:val="Hipervnculo"/>
            <w:szCs w:val="16"/>
          </w:rPr>
          <w:t>http://legislacion.asamblea.gob.ni/normaweb.nsf/($All)/803E7C7FBCF44D7706258611007C6D87?OpenDocument</w:t>
        </w:r>
      </w:hyperlink>
      <w:r w:rsidR="00222B31" w:rsidRPr="00EF64C5">
        <w:rPr>
          <w:szCs w:val="16"/>
        </w:rPr>
        <w:t xml:space="preserve"> </w:t>
      </w:r>
    </w:p>
  </w:footnote>
  <w:footnote w:id="16">
    <w:p w14:paraId="07D6734E" w14:textId="10407B6F" w:rsidR="00222B31" w:rsidRPr="00EF64C5" w:rsidRDefault="00222B31" w:rsidP="00562B3C">
      <w:pPr>
        <w:pStyle w:val="Textonotapie"/>
        <w:spacing w:before="60" w:after="60"/>
        <w:rPr>
          <w:szCs w:val="16"/>
        </w:rPr>
      </w:pPr>
      <w:r w:rsidRPr="00EF64C5">
        <w:rPr>
          <w:rStyle w:val="Refdenotaalpie"/>
          <w:szCs w:val="16"/>
        </w:rPr>
        <w:footnoteRef/>
      </w:r>
      <w:r w:rsidRPr="00EF64C5">
        <w:rPr>
          <w:szCs w:val="16"/>
        </w:rPr>
        <w:t xml:space="preserve"> </w:t>
      </w:r>
      <w:r w:rsidRPr="00EF64C5">
        <w:rPr>
          <w:szCs w:val="16"/>
        </w:rPr>
        <w:tab/>
      </w:r>
      <w:r w:rsidRPr="00EF64C5">
        <w:rPr>
          <w:i/>
          <w:szCs w:val="16"/>
        </w:rPr>
        <w:t>Cfr</w:t>
      </w:r>
      <w:r w:rsidRPr="00EF64C5">
        <w:rPr>
          <w:szCs w:val="16"/>
        </w:rPr>
        <w:t>. Ministerio Público de Nicaragua, Acusación Fiscal, No. Expediente Fiscal 1866-240-2021-JD, de 7 de septiembre de 2021 (anexo al escrito de los representantes de fecha 20 de septiembre de 2021, folio 1581)</w:t>
      </w:r>
      <w:r w:rsidRPr="00EF64C5">
        <w:rPr>
          <w:szCs w:val="16"/>
          <w:lang w:val="es-ES"/>
        </w:rPr>
        <w:t>.</w:t>
      </w:r>
    </w:p>
  </w:footnote>
  <w:footnote w:id="17">
    <w:p w14:paraId="49A1F744" w14:textId="324E0DE0" w:rsidR="00EF64C5" w:rsidRPr="00EF64C5" w:rsidRDefault="00EF64C5">
      <w:pPr>
        <w:pStyle w:val="Textonotapie"/>
      </w:pPr>
      <w:r w:rsidRPr="00EF64C5">
        <w:rPr>
          <w:rStyle w:val="Refdenotaalpie"/>
          <w:szCs w:val="16"/>
        </w:rPr>
        <w:footnoteRef/>
      </w:r>
      <w:r w:rsidRPr="00EF64C5">
        <w:rPr>
          <w:szCs w:val="16"/>
        </w:rPr>
        <w:t xml:space="preserve"> </w:t>
      </w:r>
      <w:r w:rsidRPr="00EF64C5">
        <w:rPr>
          <w:szCs w:val="16"/>
        </w:rPr>
        <w:tab/>
      </w:r>
      <w:r w:rsidRPr="00EF64C5">
        <w:rPr>
          <w:i/>
          <w:szCs w:val="16"/>
        </w:rPr>
        <w:t>Cfr</w:t>
      </w:r>
      <w:r w:rsidRPr="00EF64C5">
        <w:rPr>
          <w:szCs w:val="16"/>
        </w:rPr>
        <w:t xml:space="preserve">. </w:t>
      </w:r>
      <w:r w:rsidRPr="00EF64C5">
        <w:rPr>
          <w:rFonts w:cs="Arial"/>
          <w:i/>
          <w:szCs w:val="16"/>
          <w:shd w:val="clear" w:color="auto" w:fill="FFFFFF"/>
        </w:rPr>
        <w:t>Asunto Juan Sebastián Chamorro y otros respecto de Nicaragua. Medidas Provisionales</w:t>
      </w:r>
      <w:r w:rsidRPr="00EF64C5">
        <w:rPr>
          <w:rFonts w:cs="Arial"/>
          <w:szCs w:val="16"/>
          <w:shd w:val="clear" w:color="auto" w:fill="FFFFFF"/>
        </w:rPr>
        <w:t xml:space="preserve">. Resolución de la Corte Interamericana de Derechos Humanos de 24 de junio de 2021; </w:t>
      </w:r>
      <w:r w:rsidRPr="00EF64C5">
        <w:rPr>
          <w:rFonts w:cs="Arial"/>
          <w:i/>
          <w:szCs w:val="16"/>
          <w:shd w:val="clear" w:color="auto" w:fill="FFFFFF"/>
        </w:rPr>
        <w:t xml:space="preserve">Asunto Juan Sebastián Chamorro y otros respecto de Nicaragua. Adopción de Medidas Urgentes en favor de Deisy Tamara Dávila Rivas y su núcleo familiar, en el marco de las Medidas Provisionales adoptadas en el asunto Juan Sebastián Chamorro y otros respecto de Nicaragua. </w:t>
      </w:r>
      <w:r w:rsidRPr="00EF64C5">
        <w:rPr>
          <w:rFonts w:cs="Arial"/>
          <w:szCs w:val="16"/>
          <w:shd w:val="clear" w:color="auto" w:fill="FFFFFF"/>
        </w:rPr>
        <w:t xml:space="preserve">Resolución de la Presidenta de la Corte Interamericana de Derechos Humanos de 19 de julio de 2021, y </w:t>
      </w:r>
      <w:r w:rsidRPr="006D7152">
        <w:rPr>
          <w:rFonts w:cs="Arial"/>
          <w:i/>
          <w:szCs w:val="16"/>
          <w:shd w:val="clear" w:color="auto" w:fill="FFFFFF"/>
        </w:rPr>
        <w:t>Asunto Juan Sebastián Chamorro y otros respecto de Nicaragua. Ratificación, ampliación y seguimiento de Medidas Provisionales</w:t>
      </w:r>
      <w:r w:rsidRPr="00EF64C5">
        <w:rPr>
          <w:rFonts w:cs="Arial"/>
          <w:szCs w:val="16"/>
          <w:shd w:val="clear" w:color="auto" w:fill="FFFFFF"/>
        </w:rPr>
        <w:t>. Resolución de la Corte Interamericana de Derechos Humanos de 9 de septiembre de 2021</w:t>
      </w:r>
      <w:r w:rsidRPr="00EF64C5">
        <w:rPr>
          <w:rFonts w:cs="Arial"/>
          <w:color w:val="494848"/>
          <w:szCs w:val="16"/>
          <w:shd w:val="clear" w:color="auto" w:fill="FFFFFF"/>
        </w:rPr>
        <w:t>.</w:t>
      </w:r>
    </w:p>
  </w:footnote>
  <w:footnote w:id="18">
    <w:p w14:paraId="2D08EDEE" w14:textId="6FF2C758"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006D7152" w:rsidRPr="008E5662">
        <w:rPr>
          <w:i/>
          <w:szCs w:val="16"/>
        </w:rPr>
        <w:t>Cfr.</w:t>
      </w:r>
      <w:r w:rsidR="006D7152">
        <w:rPr>
          <w:i/>
          <w:szCs w:val="16"/>
        </w:rPr>
        <w:t xml:space="preserve"> </w:t>
      </w:r>
      <w:r w:rsidRPr="008E5662">
        <w:rPr>
          <w:szCs w:val="16"/>
        </w:rPr>
        <w:t xml:space="preserve">Noticias ONU, “Bachelet emplazó al gobierno nicaragüense a adoptar un cambio urgente en su curso de acción de cara a las elecciones de noviembre. Precisó que eso implica, por lo menos, liberar de inmediato a todas las personas detenidas arbitrariamente; cesar todo acto de persecución en contra de las voces disidentes; reestablecer los derechos y libertades </w:t>
      </w:r>
      <w:r w:rsidRPr="008E5662">
        <w:rPr>
          <w:szCs w:val="16"/>
          <w:shd w:val="clear" w:color="auto" w:fill="FFFFFF"/>
        </w:rPr>
        <w:t xml:space="preserve">que hacen posible un proceso electoral libre, creíble y equitativo; y derogar la legislación restrictiva del espacio cívico y democrático”, 22 de junio de 2021, disponible en: </w:t>
      </w:r>
      <w:hyperlink r:id="rId5" w:history="1">
        <w:r w:rsidR="008D6A21" w:rsidRPr="00C877A9">
          <w:rPr>
            <w:rStyle w:val="Hipervnculo"/>
            <w:szCs w:val="16"/>
            <w:shd w:val="clear" w:color="auto" w:fill="FFFFFF"/>
          </w:rPr>
          <w:t>https://news.un.org/es/story/2021/06/1493602</w:t>
        </w:r>
      </w:hyperlink>
      <w:r w:rsidR="008D6A21">
        <w:rPr>
          <w:rStyle w:val="Hipervnculo"/>
          <w:color w:val="auto"/>
          <w:szCs w:val="16"/>
          <w:shd w:val="clear" w:color="auto" w:fill="FFFFFF"/>
        </w:rPr>
        <w:t xml:space="preserve"> </w:t>
      </w:r>
    </w:p>
  </w:footnote>
  <w:footnote w:id="19">
    <w:p w14:paraId="4A9C8639" w14:textId="2A341283" w:rsidR="00222B31" w:rsidRPr="008D6A21"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006D7152" w:rsidRPr="008E5662">
        <w:rPr>
          <w:i/>
          <w:szCs w:val="16"/>
        </w:rPr>
        <w:t>Cfr.</w:t>
      </w:r>
      <w:r w:rsidR="006D7152">
        <w:rPr>
          <w:i/>
          <w:szCs w:val="16"/>
        </w:rPr>
        <w:t xml:space="preserve"> </w:t>
      </w:r>
      <w:r w:rsidRPr="008E5662">
        <w:rPr>
          <w:szCs w:val="16"/>
        </w:rPr>
        <w:t xml:space="preserve">OACNUDH, Comunicado de prensa, "Nicaragua: Experta de la ONU lamenta crecientes ataques y detenciones de defensores y defensoras de derechos humanos", de 3 de junio de 2021. Disponible en: </w:t>
      </w:r>
      <w:hyperlink r:id="rId6" w:history="1">
        <w:r w:rsidR="008D6A21" w:rsidRPr="00C877A9">
          <w:rPr>
            <w:rStyle w:val="Hipervnculo"/>
            <w:szCs w:val="16"/>
          </w:rPr>
          <w:t>http://www.oacnudh.org/nicaragua-experta-de-la-onu-lamenta-crecientes-ataques-y-detenciones-de-defensores-y-defensoras-de-derechos-humanos/</w:t>
        </w:r>
      </w:hyperlink>
      <w:r w:rsidR="008D6A21">
        <w:rPr>
          <w:szCs w:val="16"/>
        </w:rPr>
        <w:t xml:space="preserve"> </w:t>
      </w:r>
    </w:p>
  </w:footnote>
  <w:footnote w:id="20">
    <w:p w14:paraId="71D60C79" w14:textId="77777777" w:rsidR="00222B31" w:rsidRPr="008E5662" w:rsidRDefault="00222B31" w:rsidP="00EB00DD">
      <w:pPr>
        <w:pStyle w:val="Textonotapie"/>
        <w:spacing w:before="60" w:after="60"/>
        <w:rPr>
          <w:szCs w:val="16"/>
          <w:shd w:val="clear" w:color="auto" w:fill="FFFFFF"/>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xml:space="preserve"> </w:t>
      </w:r>
      <w:r w:rsidRPr="008E5662">
        <w:rPr>
          <w:szCs w:val="16"/>
          <w:shd w:val="clear" w:color="auto" w:fill="FFFFFF"/>
        </w:rPr>
        <w:t>CIDH. “La CIDH y la OACNUDH condenan categóricamente la persecución penal en contra de precandidatos y precandidatas presidenciales e instan al Estado de Nicaragua a su inmediata liberación”, 9 de junio de 2021, disponible en:</w:t>
      </w:r>
    </w:p>
    <w:p w14:paraId="3BA98102" w14:textId="50BF87C1" w:rsidR="00222B31" w:rsidRPr="008E5662" w:rsidRDefault="0045334B" w:rsidP="00EB00DD">
      <w:pPr>
        <w:pStyle w:val="Textonotapie"/>
        <w:spacing w:before="60" w:after="60"/>
        <w:rPr>
          <w:szCs w:val="16"/>
        </w:rPr>
      </w:pPr>
      <w:hyperlink r:id="rId7" w:history="1">
        <w:r w:rsidR="008D6A21" w:rsidRPr="00C877A9">
          <w:rPr>
            <w:rStyle w:val="Hipervnculo"/>
            <w:szCs w:val="16"/>
            <w:shd w:val="clear" w:color="auto" w:fill="FFFFFF"/>
          </w:rPr>
          <w:t>https://www.oas.org/es/CIDH/jsForm/?File=/es/cidh/prensa/comunicados/2021/145.asp</w:t>
        </w:r>
      </w:hyperlink>
      <w:r w:rsidR="00222B31" w:rsidRPr="008E5662">
        <w:rPr>
          <w:szCs w:val="16"/>
          <w:shd w:val="clear" w:color="auto" w:fill="FFFFFF"/>
        </w:rPr>
        <w:t>, y C</w:t>
      </w:r>
      <w:r w:rsidR="00222B31" w:rsidRPr="008E5662">
        <w:rPr>
          <w:szCs w:val="16"/>
        </w:rPr>
        <w:t xml:space="preserve">IDH, “La CIDH condena el grave escalamiento de la represión en Nicaragua: la CIDH condenó el reciente escalamiento de la represión en contra de personas y organizaciones opositoras”, 18 de junio de 2021, disponible en: </w:t>
      </w:r>
      <w:hyperlink r:id="rId8" w:history="1">
        <w:r w:rsidR="008D6A21" w:rsidRPr="00C877A9">
          <w:rPr>
            <w:rStyle w:val="Hipervnculo"/>
            <w:szCs w:val="16"/>
          </w:rPr>
          <w:t>https://www.oas.org/es/CIDH/jsForm/?File=/es/cidh/prensa/comunicados/2021/152.asp</w:t>
        </w:r>
      </w:hyperlink>
      <w:r w:rsidR="008D6A21">
        <w:rPr>
          <w:szCs w:val="16"/>
        </w:rPr>
        <w:t xml:space="preserve"> </w:t>
      </w:r>
    </w:p>
  </w:footnote>
  <w:footnote w:id="21">
    <w:p w14:paraId="70C6F7B9" w14:textId="68DA15CC" w:rsidR="00222B31" w:rsidRPr="008E5662" w:rsidRDefault="00222B31" w:rsidP="00EB00DD">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006D7152" w:rsidRPr="008E5662">
        <w:rPr>
          <w:i/>
          <w:szCs w:val="16"/>
        </w:rPr>
        <w:t>Cfr.</w:t>
      </w:r>
      <w:r w:rsidR="006D7152">
        <w:rPr>
          <w:i/>
          <w:szCs w:val="16"/>
        </w:rPr>
        <w:t xml:space="preserve"> </w:t>
      </w:r>
      <w:r w:rsidRPr="008E5662">
        <w:rPr>
          <w:szCs w:val="16"/>
        </w:rPr>
        <w:t xml:space="preserve">Deutsche Welle, “LA CIDH urge a Nicaragua ubicación de opositora detenida: Violeta Granera se encuentra detenida en un lugar desconocido, luego de que fuera sacada de su residencia”, 13 de junio de 2021, disponible en </w:t>
      </w:r>
      <w:hyperlink r:id="rId9" w:history="1">
        <w:r w:rsidR="008D6A21" w:rsidRPr="00C877A9">
          <w:rPr>
            <w:rStyle w:val="Hipervnculo"/>
            <w:szCs w:val="16"/>
          </w:rPr>
          <w:t>https://www.dw.com/es/la-cidh-urge-a-nicaragua-ubicaci%C3%B3n-de-opositora-detenida/a-578705456</w:t>
        </w:r>
      </w:hyperlink>
      <w:r w:rsidR="008D6A21">
        <w:rPr>
          <w:szCs w:val="16"/>
        </w:rPr>
        <w:t xml:space="preserve"> </w:t>
      </w:r>
      <w:r w:rsidRPr="008E5662">
        <w:rPr>
          <w:szCs w:val="16"/>
        </w:rPr>
        <w:t xml:space="preserve">; Deutsche Welle, “Casi 60 países piden la liberación de opositores detenidos en Nicaragua”, 22 de junio de 2021, disponible en </w:t>
      </w:r>
      <w:hyperlink r:id="rId10" w:history="1">
        <w:r w:rsidR="008D6A21" w:rsidRPr="00C877A9">
          <w:rPr>
            <w:rStyle w:val="Hipervnculo"/>
            <w:szCs w:val="16"/>
          </w:rPr>
          <w:t>https://www.dw.com/es/casi-60-pa%C3%ADses-piden-la-liberaci%C3%B3n-de-opositores-detenidos-en-nicaragua/a-58004675</w:t>
        </w:r>
      </w:hyperlink>
      <w:r w:rsidRPr="008E5662">
        <w:rPr>
          <w:szCs w:val="16"/>
        </w:rPr>
        <w:t xml:space="preserve">; BBC News Mundo, “Ya son 4 los líderes opositores detenidos en Nicaragua los últimos días a pocos meses de las elecciones contra el presidente Daniel Ortega”, 9 de junio de 2021, disponible en </w:t>
      </w:r>
      <w:hyperlink r:id="rId11" w:history="1">
        <w:r w:rsidR="008D6A21" w:rsidRPr="00C877A9">
          <w:rPr>
            <w:rStyle w:val="Hipervnculo"/>
            <w:szCs w:val="16"/>
          </w:rPr>
          <w:t>https://www.bbc.com/mundo/noticias-america-latina-57408662</w:t>
        </w:r>
      </w:hyperlink>
      <w:r w:rsidRPr="008E5662">
        <w:rPr>
          <w:szCs w:val="16"/>
        </w:rPr>
        <w:t xml:space="preserve">, y France24, “Nicaragua: fin de semana de detenciones contra líderes opositores”, 14 de junio de 2021, disponible en </w:t>
      </w:r>
      <w:hyperlink r:id="rId12" w:history="1">
        <w:r w:rsidR="008D6A21" w:rsidRPr="00C877A9">
          <w:rPr>
            <w:rStyle w:val="Hipervnculo"/>
            <w:szCs w:val="16"/>
          </w:rPr>
          <w:t>https://www.france24.com/es/am%C3%A9rica-latina/20210613-nicaragua-detenciones-lideresas-opositoras</w:t>
        </w:r>
      </w:hyperlink>
      <w:r w:rsidR="008D6A21">
        <w:rPr>
          <w:szCs w:val="16"/>
        </w:rPr>
        <w:t xml:space="preserve"> </w:t>
      </w:r>
    </w:p>
  </w:footnote>
  <w:footnote w:id="22">
    <w:p w14:paraId="2BAD21EF" w14:textId="77777777" w:rsidR="00524601" w:rsidRPr="008E5662" w:rsidRDefault="00524601" w:rsidP="00524601">
      <w:pPr>
        <w:pStyle w:val="Textonotapie"/>
        <w:spacing w:before="60" w:after="60"/>
        <w:rPr>
          <w:szCs w:val="16"/>
        </w:rPr>
      </w:pPr>
      <w:r w:rsidRPr="008E5662">
        <w:rPr>
          <w:rStyle w:val="Refdenotaalpie"/>
          <w:szCs w:val="16"/>
        </w:rPr>
        <w:footnoteRef/>
      </w:r>
      <w:r w:rsidRPr="008E5662">
        <w:rPr>
          <w:szCs w:val="16"/>
        </w:rPr>
        <w:t xml:space="preserve"> </w:t>
      </w:r>
      <w:r w:rsidRPr="008E5662">
        <w:rPr>
          <w:szCs w:val="16"/>
        </w:rPr>
        <w:tab/>
      </w:r>
      <w:r w:rsidRPr="008E5662">
        <w:rPr>
          <w:i/>
          <w:szCs w:val="16"/>
        </w:rPr>
        <w:t>Cfr</w:t>
      </w:r>
      <w:r w:rsidRPr="008E5662">
        <w:rPr>
          <w:szCs w:val="16"/>
        </w:rPr>
        <w:t xml:space="preserve">. </w:t>
      </w:r>
      <w:r w:rsidRPr="008E5662">
        <w:rPr>
          <w:i/>
          <w:szCs w:val="16"/>
        </w:rPr>
        <w:t xml:space="preserve">Caso Juan Humberto Sánchez Vs. Honduras. Excepción Preliminar, Fondo, Reparaciones y Costas. </w:t>
      </w:r>
      <w:r w:rsidRPr="008E5662">
        <w:rPr>
          <w:szCs w:val="16"/>
        </w:rPr>
        <w:t xml:space="preserve">Sentencia de 7 de junio de 2003. Serie C No. 99, párr. 84; </w:t>
      </w:r>
      <w:r w:rsidRPr="008E5662">
        <w:rPr>
          <w:i/>
          <w:szCs w:val="16"/>
        </w:rPr>
        <w:t>Caso Servellón García y otros Vs. Honduras.</w:t>
      </w:r>
      <w:r w:rsidRPr="008E5662">
        <w:rPr>
          <w:szCs w:val="16"/>
        </w:rPr>
        <w:t xml:space="preserve"> Sentencia de 21 de septiembre de 2006. Serie C No. 152, párrs. 86 y 87; </w:t>
      </w:r>
      <w:r w:rsidRPr="008E5662">
        <w:rPr>
          <w:i/>
          <w:szCs w:val="16"/>
        </w:rPr>
        <w:t>Caso Chaparro Álvarez y Lapo Íñiguez Vs. Ecuador. Excepciones Preliminares, Fondo, Reparaciones y Costas</w:t>
      </w:r>
      <w:r w:rsidRPr="008E5662">
        <w:rPr>
          <w:szCs w:val="16"/>
        </w:rPr>
        <w:t xml:space="preserve">. Sentencia de 21 de noviembre de 2007. Serie C No. 170, párr. 54; </w:t>
      </w:r>
      <w:r w:rsidRPr="008E5662">
        <w:rPr>
          <w:i/>
          <w:szCs w:val="16"/>
        </w:rPr>
        <w:t>Caso Azul Rojas Marín y otra Vs. Perú. Excepciones Preliminares, Fondo, Reparaciones y Costas</w:t>
      </w:r>
      <w:r w:rsidRPr="008E5662">
        <w:rPr>
          <w:szCs w:val="16"/>
        </w:rPr>
        <w:t xml:space="preserve">. Sentencia de 12 de marzo de 2020. Serie C No. 402, párr. 100; </w:t>
      </w:r>
      <w:r w:rsidRPr="008E5662">
        <w:rPr>
          <w:rFonts w:cs="Arial"/>
          <w:i/>
          <w:szCs w:val="16"/>
          <w:shd w:val="clear" w:color="auto" w:fill="FFFFFF"/>
        </w:rPr>
        <w:t>Caso Acosta Martínez y otros Vs. Argentina. Fondo, Reparaciones y Costas</w:t>
      </w:r>
      <w:r w:rsidRPr="008E5662">
        <w:rPr>
          <w:rFonts w:cs="Arial"/>
          <w:szCs w:val="16"/>
          <w:shd w:val="clear" w:color="auto" w:fill="FFFFFF"/>
        </w:rPr>
        <w:t>. Sentencia de 31 de agosto de 2020. Serie C No. 410, párr. 79,</w:t>
      </w:r>
      <w:r w:rsidRPr="008E5662">
        <w:rPr>
          <w:szCs w:val="16"/>
        </w:rPr>
        <w:t xml:space="preserve"> y </w:t>
      </w:r>
      <w:r w:rsidRPr="008E5662">
        <w:rPr>
          <w:rFonts w:cs="Arial"/>
          <w:i/>
          <w:szCs w:val="16"/>
          <w:shd w:val="clear" w:color="auto" w:fill="FFFFFF"/>
        </w:rPr>
        <w:t>Caso Fernández Prieto y Tumbeiro Vs. Argentina. Fondo y Reparaciones</w:t>
      </w:r>
      <w:r w:rsidRPr="008E5662">
        <w:rPr>
          <w:rFonts w:cs="Arial"/>
          <w:szCs w:val="16"/>
          <w:shd w:val="clear" w:color="auto" w:fill="FFFFFF"/>
        </w:rPr>
        <w:t>. Sentencia de 1 de septiembre de 2020. Serie C No. 411, párrs. 64 a 66.</w:t>
      </w:r>
    </w:p>
  </w:footnote>
  <w:footnote w:id="23">
    <w:p w14:paraId="4377C17E" w14:textId="77777777" w:rsidR="00524601" w:rsidRPr="008E334B" w:rsidRDefault="00524601" w:rsidP="00524601">
      <w:pPr>
        <w:pStyle w:val="Textonotapie"/>
        <w:rPr>
          <w:szCs w:val="16"/>
        </w:rPr>
      </w:pPr>
      <w:r w:rsidRPr="008E334B">
        <w:rPr>
          <w:rStyle w:val="Refdenotaalpie"/>
          <w:szCs w:val="16"/>
        </w:rPr>
        <w:footnoteRef/>
      </w:r>
      <w:r w:rsidRPr="008E334B">
        <w:rPr>
          <w:szCs w:val="16"/>
        </w:rPr>
        <w:t xml:space="preserve"> </w:t>
      </w:r>
      <w:r w:rsidRPr="008E334B">
        <w:rPr>
          <w:szCs w:val="16"/>
        </w:rPr>
        <w:tab/>
      </w:r>
      <w:r w:rsidRPr="008E334B">
        <w:rPr>
          <w:rStyle w:val="markedcontent"/>
          <w:rFonts w:cs="Arial"/>
          <w:i/>
          <w:szCs w:val="16"/>
        </w:rPr>
        <w:t xml:space="preserve">Cfr. El hábeas corpus bajo suspensión de garantías (Arts. 27.2, 25.1 y 7.6 Convención Americana </w:t>
      </w:r>
      <w:r w:rsidRPr="008E334B">
        <w:rPr>
          <w:i/>
          <w:szCs w:val="16"/>
        </w:rPr>
        <w:br/>
      </w:r>
      <w:r w:rsidRPr="008E334B">
        <w:rPr>
          <w:rStyle w:val="markedcontent"/>
          <w:rFonts w:cs="Arial"/>
          <w:i/>
          <w:szCs w:val="16"/>
        </w:rPr>
        <w:t>sobre Derechos Humanos). Opinión Consultiva OC-8/87 de 30 de enero de 1987.</w:t>
      </w:r>
      <w:r w:rsidRPr="008E334B">
        <w:rPr>
          <w:rStyle w:val="markedcontent"/>
          <w:rFonts w:cs="Arial"/>
          <w:szCs w:val="16"/>
        </w:rPr>
        <w:t xml:space="preserve"> Serie A No. 8, y </w:t>
      </w:r>
      <w:r w:rsidRPr="008E334B">
        <w:rPr>
          <w:rFonts w:cs="Arial"/>
          <w:i/>
          <w:szCs w:val="16"/>
          <w:shd w:val="clear" w:color="auto" w:fill="FFFFFF"/>
        </w:rPr>
        <w:t>Asunto Juan Sebastián Chamorro y otros respecto de Nicaragua. Medidas Provisionales</w:t>
      </w:r>
      <w:r w:rsidRPr="008E334B">
        <w:rPr>
          <w:rFonts w:cs="Arial"/>
          <w:szCs w:val="16"/>
          <w:shd w:val="clear" w:color="auto" w:fill="FFFFFF"/>
        </w:rPr>
        <w:t>. Resolución de la Corte Interamericana de Derechos Humanos de 24 de junio de 2021, Considerando 41.</w:t>
      </w:r>
    </w:p>
  </w:footnote>
  <w:footnote w:id="24">
    <w:p w14:paraId="72684074" w14:textId="77777777" w:rsidR="00222B31" w:rsidRPr="008E5662" w:rsidRDefault="00222B31" w:rsidP="00EB00DD">
      <w:pPr>
        <w:pStyle w:val="Textonotapie"/>
        <w:spacing w:before="60" w:after="60"/>
        <w:rPr>
          <w:szCs w:val="16"/>
          <w:lang w:val="es-ES"/>
        </w:rPr>
      </w:pPr>
      <w:r w:rsidRPr="008E5662">
        <w:rPr>
          <w:rStyle w:val="Refdenotaalpie"/>
          <w:szCs w:val="16"/>
        </w:rPr>
        <w:footnoteRef/>
      </w:r>
      <w:r w:rsidRPr="008E5662">
        <w:rPr>
          <w:szCs w:val="16"/>
        </w:rPr>
        <w:t xml:space="preserve"> </w:t>
      </w:r>
      <w:r w:rsidRPr="008E5662">
        <w:rPr>
          <w:szCs w:val="16"/>
        </w:rPr>
        <w:tab/>
      </w:r>
      <w:r w:rsidRPr="008E5662">
        <w:rPr>
          <w:rFonts w:cs="Arial"/>
          <w:i/>
          <w:szCs w:val="16"/>
          <w:shd w:val="clear" w:color="auto" w:fill="FFFFFF"/>
        </w:rPr>
        <w:t>Cfr. Asunto Integrantes del Centro Nicaragüense de Derechos Humanos y de la Comisión Permanente de Derechos Humanos (CENIDH-CPDH) respecto de Nicaragua</w:t>
      </w:r>
      <w:r w:rsidRPr="008E5662">
        <w:rPr>
          <w:rFonts w:cs="Arial"/>
          <w:szCs w:val="16"/>
          <w:shd w:val="clear" w:color="auto" w:fill="FFFFFF"/>
        </w:rPr>
        <w:t>. Medidas Provisionales. Resolución de la Corte Interamericana de Derechos Humanos de 1 de septiembre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B949" w14:textId="01C918DF" w:rsidR="00222B31" w:rsidRPr="00BA723D" w:rsidRDefault="00222B31" w:rsidP="00BA723D">
    <w:pPr>
      <w:pStyle w:val="Encabezado"/>
      <w:rPr>
        <w:rFonts w:ascii="Verdana" w:hAnsi="Verdana"/>
        <w:b/>
        <w:sz w:val="16"/>
      </w:rPr>
    </w:pPr>
    <w:r w:rsidRPr="00BA723D">
      <w:rPr>
        <w:rFonts w:ascii="Verdana" w:hAnsi="Verdana"/>
        <w:b/>
        <w:sz w:val="16"/>
      </w:rPr>
      <w:t>Versión para Deliberación 20/08/2019</w:t>
    </w:r>
    <w:r w:rsidR="008D6A21">
      <w:rPr>
        <w:rFonts w:ascii="Verdana" w:hAnsi="Verdana"/>
        <w:b/>
        <w:sz w:val="16"/>
      </w:rPr>
      <w:t xml:space="preserve">  </w:t>
    </w:r>
    <w:r w:rsidRPr="00BA723D">
      <w:rPr>
        <w:rFonts w:ascii="Verdana" w:hAnsi="Verdana"/>
        <w:b/>
        <w:sz w:val="16"/>
      </w:rPr>
      <w:t xml:space="preserve">Proyecto de Resolución </w:t>
    </w:r>
  </w:p>
  <w:p w14:paraId="09AB1504" w14:textId="77777777" w:rsidR="00222B31" w:rsidRPr="00BA723D" w:rsidRDefault="00222B31" w:rsidP="00BA723D">
    <w:pPr>
      <w:pStyle w:val="Encabezado"/>
      <w:jc w:val="right"/>
      <w:rPr>
        <w:rFonts w:ascii="Verdana" w:hAnsi="Verdana"/>
        <w:sz w:val="16"/>
      </w:rPr>
    </w:pPr>
    <w:r w:rsidRPr="00BA723D">
      <w:rPr>
        <w:rFonts w:ascii="Verdana" w:hAnsi="Verdana"/>
        <w:b/>
        <w:sz w:val="16"/>
      </w:rPr>
      <w:t>Equipo a cargo:</w:t>
    </w:r>
    <w:r w:rsidRPr="00BA723D">
      <w:rPr>
        <w:rFonts w:ascii="Verdana" w:hAnsi="Verdana"/>
        <w:sz w:val="16"/>
      </w:rPr>
      <w:t xml:space="preserve"> Marta </w:t>
    </w:r>
    <w:r>
      <w:rPr>
        <w:rFonts w:ascii="Verdana" w:hAnsi="Verdana"/>
        <w:sz w:val="16"/>
      </w:rPr>
      <w:t>Cabrera</w:t>
    </w:r>
    <w:r w:rsidRPr="00BA723D">
      <w:rPr>
        <w:rFonts w:ascii="Verdana" w:hAnsi="Verdana"/>
        <w:sz w:val="16"/>
      </w:rPr>
      <w:t xml:space="preserve"> </w:t>
    </w:r>
  </w:p>
  <w:p w14:paraId="0351F8B9" w14:textId="77777777" w:rsidR="00222B31" w:rsidRPr="00BA723D" w:rsidRDefault="00222B31" w:rsidP="00BA723D">
    <w:pPr>
      <w:pStyle w:val="Encabezado"/>
      <w:jc w:val="right"/>
      <w:rPr>
        <w:rFonts w:ascii="Verdana" w:hAnsi="Verdana"/>
        <w:sz w:val="16"/>
      </w:rPr>
    </w:pPr>
    <w:r w:rsidRPr="00BA723D">
      <w:rPr>
        <w:rFonts w:ascii="Verdana" w:hAnsi="Verdana"/>
        <w:b/>
        <w:sz w:val="16"/>
      </w:rPr>
      <w:t>Colaboró:</w:t>
    </w:r>
    <w:r w:rsidRPr="00BA723D">
      <w:rPr>
        <w:rFonts w:ascii="Verdana" w:hAnsi="Verdana"/>
        <w:sz w:val="16"/>
      </w:rPr>
      <w:t xml:space="preserve"> Cristhian Molina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DA3"/>
    <w:multiLevelType w:val="hybridMultilevel"/>
    <w:tmpl w:val="3438BA60"/>
    <w:lvl w:ilvl="0" w:tplc="83AE308E">
      <w:start w:val="4"/>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3D0C21"/>
    <w:multiLevelType w:val="hybridMultilevel"/>
    <w:tmpl w:val="3D8A30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92D71"/>
    <w:multiLevelType w:val="hybridMultilevel"/>
    <w:tmpl w:val="BB9C07C0"/>
    <w:lvl w:ilvl="0" w:tplc="0F1AC554">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0BCA6A97"/>
    <w:multiLevelType w:val="hybridMultilevel"/>
    <w:tmpl w:val="D8A84F4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6335B2"/>
    <w:multiLevelType w:val="hybridMultilevel"/>
    <w:tmpl w:val="5678C6F0"/>
    <w:lvl w:ilvl="0" w:tplc="A830DE0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47564E"/>
    <w:multiLevelType w:val="hybridMultilevel"/>
    <w:tmpl w:val="A53C970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B23730"/>
    <w:multiLevelType w:val="hybridMultilevel"/>
    <w:tmpl w:val="D5E0A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F1A52"/>
    <w:multiLevelType w:val="hybridMultilevel"/>
    <w:tmpl w:val="A936E78C"/>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6AD4A608">
      <w:start w:val="4"/>
      <w:numFmt w:val="bullet"/>
      <w:lvlText w:val="-"/>
      <w:lvlJc w:val="left"/>
      <w:pPr>
        <w:ind w:left="2340" w:hanging="360"/>
      </w:pPr>
      <w:rPr>
        <w:rFonts w:ascii="Times New Roman" w:eastAsia="MS Mincho" w:hAnsi="Times New Roman" w:cs="Times New Roman"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5B31E0B"/>
    <w:multiLevelType w:val="hybridMultilevel"/>
    <w:tmpl w:val="85C8B3D6"/>
    <w:lvl w:ilvl="0" w:tplc="90E4EC10">
      <w:start w:val="1"/>
      <w:numFmt w:val="decimal"/>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786912"/>
    <w:multiLevelType w:val="hybridMultilevel"/>
    <w:tmpl w:val="85BE591A"/>
    <w:lvl w:ilvl="0" w:tplc="D66226FC">
      <w:start w:val="1"/>
      <w:numFmt w:val="decimal"/>
      <w:lvlText w:val="%1."/>
      <w:lvlJc w:val="left"/>
      <w:pPr>
        <w:ind w:left="72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2F230420"/>
    <w:multiLevelType w:val="hybridMultilevel"/>
    <w:tmpl w:val="B152267E"/>
    <w:lvl w:ilvl="0" w:tplc="90E4EC10">
      <w:start w:val="1"/>
      <w:numFmt w:val="decimal"/>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21F187F"/>
    <w:multiLevelType w:val="hybridMultilevel"/>
    <w:tmpl w:val="E8DE121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26E718F"/>
    <w:multiLevelType w:val="hybridMultilevel"/>
    <w:tmpl w:val="0E30A8C8"/>
    <w:lvl w:ilvl="0" w:tplc="83AE308E">
      <w:start w:val="4"/>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A7A1A06"/>
    <w:multiLevelType w:val="hybridMultilevel"/>
    <w:tmpl w:val="2A066DEC"/>
    <w:lvl w:ilvl="0" w:tplc="FF4CB7BE">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5DB3552"/>
    <w:multiLevelType w:val="hybridMultilevel"/>
    <w:tmpl w:val="5678C6F0"/>
    <w:lvl w:ilvl="0" w:tplc="A830DE0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5E179B7"/>
    <w:multiLevelType w:val="hybridMultilevel"/>
    <w:tmpl w:val="F1D2A574"/>
    <w:lvl w:ilvl="0" w:tplc="EEFE417E">
      <w:start w:val="1"/>
      <w:numFmt w:val="lowerLetter"/>
      <w:lvlText w:val="%1)"/>
      <w:lvlJc w:val="left"/>
      <w:pPr>
        <w:ind w:left="644" w:hanging="360"/>
      </w:pPr>
      <w:rPr>
        <w:rFonts w:cs="Cambria,Bold" w:hint="default"/>
        <w:b w:val="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7" w15:restartNumberingAfterBreak="0">
    <w:nsid w:val="4A32173D"/>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8A87000"/>
    <w:multiLevelType w:val="hybridMultilevel"/>
    <w:tmpl w:val="1742B9DA"/>
    <w:lvl w:ilvl="0" w:tplc="6CBE4998">
      <w:start w:val="1"/>
      <w:numFmt w:val="decimal"/>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0" w15:restartNumberingAfterBreak="0">
    <w:nsid w:val="603E6D78"/>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22E5007"/>
    <w:multiLevelType w:val="hybridMultilevel"/>
    <w:tmpl w:val="D428B0A6"/>
    <w:lvl w:ilvl="0" w:tplc="140A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136EC"/>
    <w:multiLevelType w:val="hybridMultilevel"/>
    <w:tmpl w:val="D5E0A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F55A1"/>
    <w:multiLevelType w:val="hybridMultilevel"/>
    <w:tmpl w:val="6EE4AE98"/>
    <w:lvl w:ilvl="0" w:tplc="768E91EA">
      <w:start w:val="1"/>
      <w:numFmt w:val="decimal"/>
      <w:lvlText w:val="%1."/>
      <w:lvlJc w:val="left"/>
      <w:pPr>
        <w:ind w:left="72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0070AE1"/>
    <w:multiLevelType w:val="hybridMultilevel"/>
    <w:tmpl w:val="2996B6F6"/>
    <w:lvl w:ilvl="0" w:tplc="0409001B">
      <w:start w:val="1"/>
      <w:numFmt w:val="lowerRoman"/>
      <w:lvlText w:val="%1."/>
      <w:lvlJc w:val="righ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720446B9"/>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C7C7425"/>
    <w:multiLevelType w:val="hybridMultilevel"/>
    <w:tmpl w:val="0248FB72"/>
    <w:lvl w:ilvl="0" w:tplc="E93412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7207B4"/>
    <w:multiLevelType w:val="hybridMultilevel"/>
    <w:tmpl w:val="DBC47B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16"/>
  </w:num>
  <w:num w:numId="5">
    <w:abstractNumId w:val="8"/>
  </w:num>
  <w:num w:numId="6">
    <w:abstractNumId w:val="0"/>
  </w:num>
  <w:num w:numId="7">
    <w:abstractNumId w:val="4"/>
  </w:num>
  <w:num w:numId="8">
    <w:abstractNumId w:val="11"/>
  </w:num>
  <w:num w:numId="9">
    <w:abstractNumId w:val="6"/>
  </w:num>
  <w:num w:numId="10">
    <w:abstractNumId w:val="22"/>
  </w:num>
  <w:num w:numId="11">
    <w:abstractNumId w:val="17"/>
  </w:num>
  <w:num w:numId="12">
    <w:abstractNumId w:val="21"/>
  </w:num>
  <w:num w:numId="13">
    <w:abstractNumId w:val="24"/>
  </w:num>
  <w:num w:numId="14">
    <w:abstractNumId w:val="20"/>
  </w:num>
  <w:num w:numId="15">
    <w:abstractNumId w:val="25"/>
  </w:num>
  <w:num w:numId="16">
    <w:abstractNumId w:val="13"/>
  </w:num>
  <w:num w:numId="17">
    <w:abstractNumId w:val="14"/>
  </w:num>
  <w:num w:numId="18">
    <w:abstractNumId w:val="19"/>
  </w:num>
  <w:num w:numId="19">
    <w:abstractNumId w:val="19"/>
  </w:num>
  <w:num w:numId="20">
    <w:abstractNumId w:val="26"/>
  </w:num>
  <w:num w:numId="21">
    <w:abstractNumId w:val="7"/>
  </w:num>
  <w:num w:numId="22">
    <w:abstractNumId w:val="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3"/>
  </w:num>
  <w:num w:numId="26">
    <w:abstractNumId w:val="15"/>
  </w:num>
  <w:num w:numId="27">
    <w:abstractNumId w:val="18"/>
  </w:num>
  <w:num w:numId="28">
    <w:abstractNumId w:val="1"/>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pt-BR" w:vendorID="64" w:dllVersion="6" w:nlCheck="1" w:checkStyle="0"/>
  <w:activeWritingStyle w:appName="MSWord" w:lang="es-AR" w:vendorID="64" w:dllVersion="6" w:nlCheck="1" w:checkStyle="0"/>
  <w:activeWritingStyle w:appName="MSWord" w:lang="es-419" w:vendorID="64" w:dllVersion="6" w:nlCheck="1" w:checkStyle="0"/>
  <w:activeWritingStyle w:appName="MSWord" w:lang="es-ES" w:vendorID="64" w:dllVersion="0" w:nlCheck="1" w:checkStyle="0"/>
  <w:activeWritingStyle w:appName="MSWord" w:lang="es-ES_tradnl" w:vendorID="64" w:dllVersion="0" w:nlCheck="1" w:checkStyle="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3D"/>
    <w:rsid w:val="00013F89"/>
    <w:rsid w:val="000147D0"/>
    <w:rsid w:val="00024C21"/>
    <w:rsid w:val="00026BAD"/>
    <w:rsid w:val="00046A3F"/>
    <w:rsid w:val="0005189C"/>
    <w:rsid w:val="0005208C"/>
    <w:rsid w:val="0005532C"/>
    <w:rsid w:val="00065017"/>
    <w:rsid w:val="000668A9"/>
    <w:rsid w:val="00066C95"/>
    <w:rsid w:val="00067876"/>
    <w:rsid w:val="00075C4B"/>
    <w:rsid w:val="00080AD4"/>
    <w:rsid w:val="00092405"/>
    <w:rsid w:val="000A303B"/>
    <w:rsid w:val="000A41AC"/>
    <w:rsid w:val="000C2874"/>
    <w:rsid w:val="000E2C5D"/>
    <w:rsid w:val="000E40BB"/>
    <w:rsid w:val="000F1A33"/>
    <w:rsid w:val="000F1E25"/>
    <w:rsid w:val="000F33C7"/>
    <w:rsid w:val="000F609E"/>
    <w:rsid w:val="000F7D10"/>
    <w:rsid w:val="00114235"/>
    <w:rsid w:val="00116D16"/>
    <w:rsid w:val="00123A73"/>
    <w:rsid w:val="00125549"/>
    <w:rsid w:val="00131A77"/>
    <w:rsid w:val="00144C44"/>
    <w:rsid w:val="00154CEF"/>
    <w:rsid w:val="00161CBE"/>
    <w:rsid w:val="00164D77"/>
    <w:rsid w:val="00171121"/>
    <w:rsid w:val="001732A4"/>
    <w:rsid w:val="0017617A"/>
    <w:rsid w:val="0018516A"/>
    <w:rsid w:val="001A12F0"/>
    <w:rsid w:val="001A2331"/>
    <w:rsid w:val="001B7705"/>
    <w:rsid w:val="001C65FB"/>
    <w:rsid w:val="001C738D"/>
    <w:rsid w:val="001D3445"/>
    <w:rsid w:val="001E51B0"/>
    <w:rsid w:val="001E72D2"/>
    <w:rsid w:val="0020298E"/>
    <w:rsid w:val="00207383"/>
    <w:rsid w:val="00212B62"/>
    <w:rsid w:val="00222B31"/>
    <w:rsid w:val="00224977"/>
    <w:rsid w:val="00224B74"/>
    <w:rsid w:val="00225068"/>
    <w:rsid w:val="00225AEB"/>
    <w:rsid w:val="00225CE2"/>
    <w:rsid w:val="00234E3B"/>
    <w:rsid w:val="00237D83"/>
    <w:rsid w:val="00243EEC"/>
    <w:rsid w:val="0024559C"/>
    <w:rsid w:val="00250537"/>
    <w:rsid w:val="002511AC"/>
    <w:rsid w:val="0025157D"/>
    <w:rsid w:val="00260FC4"/>
    <w:rsid w:val="00262B26"/>
    <w:rsid w:val="0026675E"/>
    <w:rsid w:val="0027075F"/>
    <w:rsid w:val="00281C04"/>
    <w:rsid w:val="00282869"/>
    <w:rsid w:val="002A42CB"/>
    <w:rsid w:val="002A4410"/>
    <w:rsid w:val="002A5A9A"/>
    <w:rsid w:val="002A6164"/>
    <w:rsid w:val="002A63B2"/>
    <w:rsid w:val="002C09BC"/>
    <w:rsid w:val="002C305C"/>
    <w:rsid w:val="002C4A6C"/>
    <w:rsid w:val="002D5A9E"/>
    <w:rsid w:val="002D7252"/>
    <w:rsid w:val="002D7313"/>
    <w:rsid w:val="002E0737"/>
    <w:rsid w:val="002E176A"/>
    <w:rsid w:val="002E3736"/>
    <w:rsid w:val="002E7EA6"/>
    <w:rsid w:val="003044C7"/>
    <w:rsid w:val="003058F2"/>
    <w:rsid w:val="003072E7"/>
    <w:rsid w:val="00320191"/>
    <w:rsid w:val="0032419F"/>
    <w:rsid w:val="00325630"/>
    <w:rsid w:val="00325F9D"/>
    <w:rsid w:val="00327AEA"/>
    <w:rsid w:val="00331825"/>
    <w:rsid w:val="003376F0"/>
    <w:rsid w:val="00341B0E"/>
    <w:rsid w:val="00341C65"/>
    <w:rsid w:val="0034201E"/>
    <w:rsid w:val="00342C18"/>
    <w:rsid w:val="003528AE"/>
    <w:rsid w:val="003603A5"/>
    <w:rsid w:val="00382174"/>
    <w:rsid w:val="0038264E"/>
    <w:rsid w:val="0039356F"/>
    <w:rsid w:val="00395755"/>
    <w:rsid w:val="003B7C11"/>
    <w:rsid w:val="003C0848"/>
    <w:rsid w:val="003C13AD"/>
    <w:rsid w:val="003C24E1"/>
    <w:rsid w:val="003D368B"/>
    <w:rsid w:val="003E1931"/>
    <w:rsid w:val="003E1D77"/>
    <w:rsid w:val="003F5148"/>
    <w:rsid w:val="0041455D"/>
    <w:rsid w:val="00425C21"/>
    <w:rsid w:val="00443E2E"/>
    <w:rsid w:val="00451255"/>
    <w:rsid w:val="0045162D"/>
    <w:rsid w:val="0045334B"/>
    <w:rsid w:val="0046170D"/>
    <w:rsid w:val="00477C00"/>
    <w:rsid w:val="00480671"/>
    <w:rsid w:val="00482E5C"/>
    <w:rsid w:val="00485790"/>
    <w:rsid w:val="004878FE"/>
    <w:rsid w:val="004906B7"/>
    <w:rsid w:val="00491B8E"/>
    <w:rsid w:val="004927A5"/>
    <w:rsid w:val="00492F23"/>
    <w:rsid w:val="004941FB"/>
    <w:rsid w:val="0049716D"/>
    <w:rsid w:val="004A68DF"/>
    <w:rsid w:val="004A73CD"/>
    <w:rsid w:val="004A773D"/>
    <w:rsid w:val="004A78AE"/>
    <w:rsid w:val="004A7F8F"/>
    <w:rsid w:val="004B76AD"/>
    <w:rsid w:val="004C298F"/>
    <w:rsid w:val="004C379A"/>
    <w:rsid w:val="004F1A4C"/>
    <w:rsid w:val="004F4ACA"/>
    <w:rsid w:val="00502D27"/>
    <w:rsid w:val="00503DA8"/>
    <w:rsid w:val="005128C6"/>
    <w:rsid w:val="00524601"/>
    <w:rsid w:val="005317EC"/>
    <w:rsid w:val="00534525"/>
    <w:rsid w:val="00536810"/>
    <w:rsid w:val="0054617D"/>
    <w:rsid w:val="00546B44"/>
    <w:rsid w:val="005523BB"/>
    <w:rsid w:val="00562B3C"/>
    <w:rsid w:val="00564F2E"/>
    <w:rsid w:val="005770BA"/>
    <w:rsid w:val="00582241"/>
    <w:rsid w:val="00585878"/>
    <w:rsid w:val="005953DB"/>
    <w:rsid w:val="005A1C5B"/>
    <w:rsid w:val="005A609C"/>
    <w:rsid w:val="005B0C00"/>
    <w:rsid w:val="005B2A2F"/>
    <w:rsid w:val="005B6E1B"/>
    <w:rsid w:val="005C1ADB"/>
    <w:rsid w:val="005C467F"/>
    <w:rsid w:val="005C7C69"/>
    <w:rsid w:val="005D3598"/>
    <w:rsid w:val="005D6F47"/>
    <w:rsid w:val="005E2F61"/>
    <w:rsid w:val="005E5D87"/>
    <w:rsid w:val="005F089F"/>
    <w:rsid w:val="005F24D8"/>
    <w:rsid w:val="005F3398"/>
    <w:rsid w:val="005F7A24"/>
    <w:rsid w:val="0060280B"/>
    <w:rsid w:val="006044D6"/>
    <w:rsid w:val="0060760F"/>
    <w:rsid w:val="0061001B"/>
    <w:rsid w:val="00615AED"/>
    <w:rsid w:val="006207AD"/>
    <w:rsid w:val="00626D57"/>
    <w:rsid w:val="00637F54"/>
    <w:rsid w:val="0064250D"/>
    <w:rsid w:val="006527FD"/>
    <w:rsid w:val="00653D77"/>
    <w:rsid w:val="006579AA"/>
    <w:rsid w:val="006656DA"/>
    <w:rsid w:val="006657D5"/>
    <w:rsid w:val="006677D4"/>
    <w:rsid w:val="0067197A"/>
    <w:rsid w:val="006719C7"/>
    <w:rsid w:val="00676F26"/>
    <w:rsid w:val="0068309A"/>
    <w:rsid w:val="00684485"/>
    <w:rsid w:val="00685F46"/>
    <w:rsid w:val="0068633C"/>
    <w:rsid w:val="00692041"/>
    <w:rsid w:val="00693ED0"/>
    <w:rsid w:val="006A05BB"/>
    <w:rsid w:val="006B29F5"/>
    <w:rsid w:val="006B4082"/>
    <w:rsid w:val="006B7050"/>
    <w:rsid w:val="006B70D5"/>
    <w:rsid w:val="006C53A4"/>
    <w:rsid w:val="006C64E2"/>
    <w:rsid w:val="006C6741"/>
    <w:rsid w:val="006D65F9"/>
    <w:rsid w:val="006D7152"/>
    <w:rsid w:val="006F19AA"/>
    <w:rsid w:val="0070002E"/>
    <w:rsid w:val="00700BCD"/>
    <w:rsid w:val="00702EC6"/>
    <w:rsid w:val="00705E00"/>
    <w:rsid w:val="007075F2"/>
    <w:rsid w:val="007121D6"/>
    <w:rsid w:val="007135EB"/>
    <w:rsid w:val="00725EDA"/>
    <w:rsid w:val="007476D0"/>
    <w:rsid w:val="00754AC3"/>
    <w:rsid w:val="007616E4"/>
    <w:rsid w:val="00762879"/>
    <w:rsid w:val="00764B7E"/>
    <w:rsid w:val="00775428"/>
    <w:rsid w:val="00775DF9"/>
    <w:rsid w:val="0078047A"/>
    <w:rsid w:val="00780D49"/>
    <w:rsid w:val="00782CA3"/>
    <w:rsid w:val="0078565D"/>
    <w:rsid w:val="007A1FA2"/>
    <w:rsid w:val="007A3005"/>
    <w:rsid w:val="007B799B"/>
    <w:rsid w:val="007C3311"/>
    <w:rsid w:val="007C5985"/>
    <w:rsid w:val="007F57A0"/>
    <w:rsid w:val="00805675"/>
    <w:rsid w:val="00806A95"/>
    <w:rsid w:val="00812796"/>
    <w:rsid w:val="008402C5"/>
    <w:rsid w:val="008430A5"/>
    <w:rsid w:val="00845E50"/>
    <w:rsid w:val="00853D26"/>
    <w:rsid w:val="00862429"/>
    <w:rsid w:val="008631FA"/>
    <w:rsid w:val="00866C48"/>
    <w:rsid w:val="0087188C"/>
    <w:rsid w:val="0089246A"/>
    <w:rsid w:val="0089474D"/>
    <w:rsid w:val="008A3E9A"/>
    <w:rsid w:val="008A55B5"/>
    <w:rsid w:val="008A766C"/>
    <w:rsid w:val="008B36C5"/>
    <w:rsid w:val="008B71EF"/>
    <w:rsid w:val="008C35C4"/>
    <w:rsid w:val="008D0456"/>
    <w:rsid w:val="008D2207"/>
    <w:rsid w:val="008D4D13"/>
    <w:rsid w:val="008D67DE"/>
    <w:rsid w:val="008D6A21"/>
    <w:rsid w:val="008E244C"/>
    <w:rsid w:val="008E334B"/>
    <w:rsid w:val="008E38BA"/>
    <w:rsid w:val="008E3A10"/>
    <w:rsid w:val="008E3B51"/>
    <w:rsid w:val="008E5662"/>
    <w:rsid w:val="008F26AE"/>
    <w:rsid w:val="009031A8"/>
    <w:rsid w:val="00907423"/>
    <w:rsid w:val="00907B6E"/>
    <w:rsid w:val="0091088A"/>
    <w:rsid w:val="0091699A"/>
    <w:rsid w:val="00922890"/>
    <w:rsid w:val="0092644F"/>
    <w:rsid w:val="0093305E"/>
    <w:rsid w:val="009331FA"/>
    <w:rsid w:val="00953FA6"/>
    <w:rsid w:val="009563E0"/>
    <w:rsid w:val="0097157E"/>
    <w:rsid w:val="009751FA"/>
    <w:rsid w:val="0099233F"/>
    <w:rsid w:val="009959E7"/>
    <w:rsid w:val="009B5325"/>
    <w:rsid w:val="009D4E11"/>
    <w:rsid w:val="009E6C24"/>
    <w:rsid w:val="009F0160"/>
    <w:rsid w:val="00A003D9"/>
    <w:rsid w:val="00A01569"/>
    <w:rsid w:val="00A01E3C"/>
    <w:rsid w:val="00A03D3A"/>
    <w:rsid w:val="00A25E5E"/>
    <w:rsid w:val="00A266B8"/>
    <w:rsid w:val="00A33C7E"/>
    <w:rsid w:val="00A41EE3"/>
    <w:rsid w:val="00A42E5D"/>
    <w:rsid w:val="00A46CBB"/>
    <w:rsid w:val="00A53951"/>
    <w:rsid w:val="00A63644"/>
    <w:rsid w:val="00A63E00"/>
    <w:rsid w:val="00A702D2"/>
    <w:rsid w:val="00A71DF2"/>
    <w:rsid w:val="00A80983"/>
    <w:rsid w:val="00A84518"/>
    <w:rsid w:val="00A8521A"/>
    <w:rsid w:val="00A9455F"/>
    <w:rsid w:val="00AA40B7"/>
    <w:rsid w:val="00AA7C71"/>
    <w:rsid w:val="00AD36BC"/>
    <w:rsid w:val="00AE218D"/>
    <w:rsid w:val="00AE558A"/>
    <w:rsid w:val="00AE56B2"/>
    <w:rsid w:val="00AF1265"/>
    <w:rsid w:val="00AF1D0C"/>
    <w:rsid w:val="00AF712E"/>
    <w:rsid w:val="00B00983"/>
    <w:rsid w:val="00B032AE"/>
    <w:rsid w:val="00B10111"/>
    <w:rsid w:val="00B12CC5"/>
    <w:rsid w:val="00B13B8A"/>
    <w:rsid w:val="00B17733"/>
    <w:rsid w:val="00B215A1"/>
    <w:rsid w:val="00B23867"/>
    <w:rsid w:val="00B257BE"/>
    <w:rsid w:val="00B275FE"/>
    <w:rsid w:val="00B3077C"/>
    <w:rsid w:val="00B31D94"/>
    <w:rsid w:val="00B52BA7"/>
    <w:rsid w:val="00B53EAB"/>
    <w:rsid w:val="00B54795"/>
    <w:rsid w:val="00B60787"/>
    <w:rsid w:val="00B64A1E"/>
    <w:rsid w:val="00B70F86"/>
    <w:rsid w:val="00B827F1"/>
    <w:rsid w:val="00B90ECA"/>
    <w:rsid w:val="00B9349B"/>
    <w:rsid w:val="00B96F90"/>
    <w:rsid w:val="00BA723D"/>
    <w:rsid w:val="00BA7F2B"/>
    <w:rsid w:val="00BB20F3"/>
    <w:rsid w:val="00BC69DA"/>
    <w:rsid w:val="00BD0067"/>
    <w:rsid w:val="00BD3121"/>
    <w:rsid w:val="00BE63D6"/>
    <w:rsid w:val="00BF241F"/>
    <w:rsid w:val="00C051DA"/>
    <w:rsid w:val="00C138CC"/>
    <w:rsid w:val="00C1450C"/>
    <w:rsid w:val="00C26CD2"/>
    <w:rsid w:val="00C304ED"/>
    <w:rsid w:val="00C83BC2"/>
    <w:rsid w:val="00C93286"/>
    <w:rsid w:val="00C9378A"/>
    <w:rsid w:val="00C9527E"/>
    <w:rsid w:val="00C95AC5"/>
    <w:rsid w:val="00C965DB"/>
    <w:rsid w:val="00CA1490"/>
    <w:rsid w:val="00CB0077"/>
    <w:rsid w:val="00CB61DD"/>
    <w:rsid w:val="00CB74E5"/>
    <w:rsid w:val="00CC2F44"/>
    <w:rsid w:val="00CD1349"/>
    <w:rsid w:val="00CD5971"/>
    <w:rsid w:val="00CE388B"/>
    <w:rsid w:val="00CE496A"/>
    <w:rsid w:val="00CE5A0B"/>
    <w:rsid w:val="00CE6088"/>
    <w:rsid w:val="00CF6F10"/>
    <w:rsid w:val="00D004EB"/>
    <w:rsid w:val="00D059EB"/>
    <w:rsid w:val="00D24F8F"/>
    <w:rsid w:val="00D2626E"/>
    <w:rsid w:val="00D26672"/>
    <w:rsid w:val="00D266EE"/>
    <w:rsid w:val="00D26E7B"/>
    <w:rsid w:val="00D35854"/>
    <w:rsid w:val="00D43BDD"/>
    <w:rsid w:val="00D46275"/>
    <w:rsid w:val="00D5044F"/>
    <w:rsid w:val="00D53085"/>
    <w:rsid w:val="00D649C5"/>
    <w:rsid w:val="00D67FF1"/>
    <w:rsid w:val="00D75045"/>
    <w:rsid w:val="00D75ED7"/>
    <w:rsid w:val="00D83C3E"/>
    <w:rsid w:val="00D85E8D"/>
    <w:rsid w:val="00D90CB8"/>
    <w:rsid w:val="00D928D6"/>
    <w:rsid w:val="00D9573A"/>
    <w:rsid w:val="00DB4B69"/>
    <w:rsid w:val="00DC1829"/>
    <w:rsid w:val="00DC2758"/>
    <w:rsid w:val="00DC276C"/>
    <w:rsid w:val="00DC6C73"/>
    <w:rsid w:val="00DD0DD5"/>
    <w:rsid w:val="00DD3CE2"/>
    <w:rsid w:val="00DF50C8"/>
    <w:rsid w:val="00E031C2"/>
    <w:rsid w:val="00E112C4"/>
    <w:rsid w:val="00E13898"/>
    <w:rsid w:val="00E157BF"/>
    <w:rsid w:val="00E16F5A"/>
    <w:rsid w:val="00E318CA"/>
    <w:rsid w:val="00E32EF5"/>
    <w:rsid w:val="00E356A2"/>
    <w:rsid w:val="00E460EF"/>
    <w:rsid w:val="00E51AD5"/>
    <w:rsid w:val="00E621E5"/>
    <w:rsid w:val="00E62BFA"/>
    <w:rsid w:val="00E67632"/>
    <w:rsid w:val="00E71092"/>
    <w:rsid w:val="00E7319D"/>
    <w:rsid w:val="00E77E00"/>
    <w:rsid w:val="00E85642"/>
    <w:rsid w:val="00E913ED"/>
    <w:rsid w:val="00E923F1"/>
    <w:rsid w:val="00E9315C"/>
    <w:rsid w:val="00E97E5F"/>
    <w:rsid w:val="00EA03C5"/>
    <w:rsid w:val="00EA05AE"/>
    <w:rsid w:val="00EA249D"/>
    <w:rsid w:val="00EB00DD"/>
    <w:rsid w:val="00EB01FE"/>
    <w:rsid w:val="00EB22B8"/>
    <w:rsid w:val="00EB2D6B"/>
    <w:rsid w:val="00EC28A6"/>
    <w:rsid w:val="00EC4A28"/>
    <w:rsid w:val="00EC55D2"/>
    <w:rsid w:val="00ED78DB"/>
    <w:rsid w:val="00EE5D0B"/>
    <w:rsid w:val="00EF64C5"/>
    <w:rsid w:val="00F05B78"/>
    <w:rsid w:val="00F1065C"/>
    <w:rsid w:val="00F11502"/>
    <w:rsid w:val="00F11E5F"/>
    <w:rsid w:val="00F1721F"/>
    <w:rsid w:val="00F214AD"/>
    <w:rsid w:val="00F31662"/>
    <w:rsid w:val="00F40296"/>
    <w:rsid w:val="00F47C52"/>
    <w:rsid w:val="00F5311B"/>
    <w:rsid w:val="00F65FA7"/>
    <w:rsid w:val="00F662DC"/>
    <w:rsid w:val="00F66BEA"/>
    <w:rsid w:val="00F7131A"/>
    <w:rsid w:val="00F744E6"/>
    <w:rsid w:val="00F778A8"/>
    <w:rsid w:val="00FA021F"/>
    <w:rsid w:val="00FA564D"/>
    <w:rsid w:val="00FB6C1B"/>
    <w:rsid w:val="00FC1C9B"/>
    <w:rsid w:val="00FD040E"/>
    <w:rsid w:val="00FD1236"/>
    <w:rsid w:val="00FD2545"/>
    <w:rsid w:val="00FD578B"/>
    <w:rsid w:val="00FD64D2"/>
    <w:rsid w:val="00FD6743"/>
    <w:rsid w:val="00FE5129"/>
    <w:rsid w:val="00FE547C"/>
    <w:rsid w:val="00FE661A"/>
    <w:rsid w:val="00FF1C66"/>
    <w:rsid w:val="00FF3C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F2E7C"/>
  <w15:chartTrackingRefBased/>
  <w15:docId w15:val="{A7C2EDD7-770A-41DA-AD12-E7DF9151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3D"/>
    <w:pPr>
      <w:spacing w:after="0" w:line="240" w:lineRule="auto"/>
    </w:pPr>
    <w:rPr>
      <w:rFonts w:ascii="Times New Roman" w:eastAsia="MS Mincho" w:hAnsi="Times New Roman" w:cs="Times New Roman"/>
      <w:sz w:val="24"/>
      <w:szCs w:val="24"/>
      <w:lang w:val="es-ES_tradnl"/>
    </w:rPr>
  </w:style>
  <w:style w:type="paragraph" w:styleId="Ttulo1">
    <w:name w:val="heading 1"/>
    <w:basedOn w:val="Normal"/>
    <w:next w:val="Normal"/>
    <w:link w:val="Ttulo1Car"/>
    <w:uiPriority w:val="9"/>
    <w:qFormat/>
    <w:rsid w:val="00260FC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B6C1B"/>
    <w:pPr>
      <w:keepNext/>
      <w:keepLines/>
      <w:widowControl w:val="0"/>
      <w:tabs>
        <w:tab w:val="left" w:pos="1134"/>
      </w:tabs>
      <w:adjustRightInd w:val="0"/>
      <w:spacing w:before="240" w:after="240"/>
      <w:ind w:left="562"/>
      <w:jc w:val="both"/>
      <w:textAlignment w:val="baseline"/>
      <w:outlineLvl w:val="1"/>
    </w:pPr>
    <w:rPr>
      <w:rFonts w:ascii="Verdana" w:hAnsi="Verdana"/>
      <w:b/>
      <w:bCs/>
      <w:i/>
      <w:sz w:val="20"/>
      <w:szCs w:val="20"/>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723D"/>
    <w:pPr>
      <w:tabs>
        <w:tab w:val="center" w:pos="4419"/>
        <w:tab w:val="right" w:pos="8838"/>
      </w:tabs>
    </w:pPr>
  </w:style>
  <w:style w:type="character" w:customStyle="1" w:styleId="EncabezadoCar">
    <w:name w:val="Encabezado Car"/>
    <w:basedOn w:val="Fuentedeprrafopredeter"/>
    <w:link w:val="Encabezado"/>
    <w:uiPriority w:val="99"/>
    <w:rsid w:val="00BA723D"/>
  </w:style>
  <w:style w:type="paragraph" w:styleId="Piedepgina">
    <w:name w:val="footer"/>
    <w:basedOn w:val="Normal"/>
    <w:link w:val="PiedepginaCar"/>
    <w:uiPriority w:val="99"/>
    <w:unhideWhenUsed/>
    <w:rsid w:val="00BA723D"/>
    <w:pPr>
      <w:tabs>
        <w:tab w:val="center" w:pos="4419"/>
        <w:tab w:val="right" w:pos="8838"/>
      </w:tabs>
    </w:pPr>
  </w:style>
  <w:style w:type="character" w:customStyle="1" w:styleId="PiedepginaCar">
    <w:name w:val="Pie de página Car"/>
    <w:basedOn w:val="Fuentedeprrafopredeter"/>
    <w:link w:val="Piedepgina"/>
    <w:uiPriority w:val="99"/>
    <w:rsid w:val="00BA723D"/>
  </w:style>
  <w:style w:type="paragraph" w:styleId="Textoindependiente3">
    <w:name w:val="Body Text 3"/>
    <w:basedOn w:val="Normal"/>
    <w:link w:val="Textoindependiente3Car"/>
    <w:semiHidden/>
    <w:rsid w:val="00BA723D"/>
    <w:pPr>
      <w:ind w:right="-72"/>
      <w:jc w:val="both"/>
    </w:pPr>
    <w:rPr>
      <w:rFonts w:ascii="Garamond" w:eastAsia="Times" w:hAnsi="Garamond"/>
      <w:szCs w:val="20"/>
      <w:lang w:eastAsia="es-ES"/>
    </w:rPr>
  </w:style>
  <w:style w:type="character" w:customStyle="1" w:styleId="Textoindependiente3Car">
    <w:name w:val="Texto independiente 3 Car"/>
    <w:basedOn w:val="Fuentedeprrafopredeter"/>
    <w:link w:val="Textoindependiente3"/>
    <w:semiHidden/>
    <w:rsid w:val="00BA723D"/>
    <w:rPr>
      <w:rFonts w:ascii="Garamond" w:eastAsia="Times" w:hAnsi="Garamond" w:cs="Times New Roman"/>
      <w:sz w:val="24"/>
      <w:szCs w:val="20"/>
      <w:lang w:val="es-ES_tradnl" w:eastAsia="es-ES"/>
    </w:rPr>
  </w:style>
  <w:style w:type="paragraph" w:styleId="Textoindependiente2">
    <w:name w:val="Body Text 2"/>
    <w:basedOn w:val="Normal"/>
    <w:link w:val="Textoindependiente2Car"/>
    <w:semiHidden/>
    <w:rsid w:val="00BA723D"/>
    <w:pPr>
      <w:jc w:val="both"/>
    </w:pPr>
    <w:rPr>
      <w:rFonts w:ascii="Avant Garde" w:eastAsia="Times" w:hAnsi="Avant Garde"/>
      <w:szCs w:val="20"/>
      <w:lang w:eastAsia="es-ES"/>
    </w:rPr>
  </w:style>
  <w:style w:type="character" w:customStyle="1" w:styleId="Textoindependiente2Car">
    <w:name w:val="Texto independiente 2 Car"/>
    <w:basedOn w:val="Fuentedeprrafopredeter"/>
    <w:link w:val="Textoindependiente2"/>
    <w:semiHidden/>
    <w:rsid w:val="00BA723D"/>
    <w:rPr>
      <w:rFonts w:ascii="Avant Garde" w:eastAsia="Times" w:hAnsi="Avant Garde" w:cs="Times New Roman"/>
      <w:sz w:val="24"/>
      <w:szCs w:val="20"/>
      <w:lang w:val="es-ES_tradnl" w:eastAsia="es-ES"/>
    </w:rPr>
  </w:style>
  <w:style w:type="paragraph" w:styleId="Textoindependiente">
    <w:name w:val="Body Text"/>
    <w:basedOn w:val="Normal"/>
    <w:link w:val="TextoindependienteCar"/>
    <w:semiHidden/>
    <w:rsid w:val="00BA723D"/>
    <w:pPr>
      <w:ind w:right="22"/>
      <w:jc w:val="both"/>
    </w:pPr>
    <w:rPr>
      <w:rFonts w:ascii="Garamond" w:eastAsia="Times" w:hAnsi="Garamond"/>
      <w:szCs w:val="20"/>
      <w:lang w:eastAsia="es-ES"/>
    </w:rPr>
  </w:style>
  <w:style w:type="character" w:customStyle="1" w:styleId="TextoindependienteCar">
    <w:name w:val="Texto independiente Car"/>
    <w:basedOn w:val="Fuentedeprrafopredeter"/>
    <w:link w:val="Textoindependiente"/>
    <w:semiHidden/>
    <w:rsid w:val="00BA723D"/>
    <w:rPr>
      <w:rFonts w:ascii="Garamond" w:eastAsia="Times" w:hAnsi="Garamond" w:cs="Times New Roman"/>
      <w:sz w:val="24"/>
      <w:szCs w:val="20"/>
      <w:lang w:val="es-ES_tradnl" w:eastAsia="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BA723D"/>
    <w:rPr>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Texto nota pie Car"/>
    <w:basedOn w:val="Normal"/>
    <w:link w:val="TextonotapieCar2"/>
    <w:qFormat/>
    <w:rsid w:val="00BA723D"/>
    <w:pPr>
      <w:jc w:val="both"/>
    </w:pPr>
    <w:rPr>
      <w:rFonts w:ascii="Verdana" w:eastAsia="Times" w:hAnsi="Verdana"/>
      <w:sz w:val="16"/>
      <w:szCs w:val="20"/>
      <w:lang w:eastAsia="es-ES"/>
    </w:rPr>
  </w:style>
  <w:style w:type="character" w:customStyle="1" w:styleId="TextonotapieCar2">
    <w:name w:val="Texto nota pie Car2"/>
    <w:aliases w:val="Footnote Text Char Char Char Char Char Car,Footnote Text Char Char Char Char Car,Footnote reference Car,FA Fu Car2,Footnote Text Char Char Char Car,FA Fu Car Car2,FA Fu Car Car Car1,Footnote Text Cha Car,FA Fußnotentext Car,Ca Car"/>
    <w:basedOn w:val="Fuentedeprrafopredeter"/>
    <w:link w:val="Textonotapie"/>
    <w:qFormat/>
    <w:rsid w:val="00BA723D"/>
    <w:rPr>
      <w:rFonts w:ascii="Verdana" w:eastAsia="Times" w:hAnsi="Verdana" w:cs="Times New Roman"/>
      <w:sz w:val="16"/>
      <w:szCs w:val="20"/>
      <w:lang w:val="es-ES_tradnl" w:eastAsia="es-ES"/>
    </w:rPr>
  </w:style>
  <w:style w:type="paragraph" w:styleId="Prrafodelista">
    <w:name w:val="List Paragraph"/>
    <w:aliases w:val="Cuadrícula clara - Énfasis 31,Footnote,List Paragraph2,List Paragraph1,Lista vistosa - Énfasis 11,Colorful List - Accent 11,Subtle Emphasis1,Footnote1"/>
    <w:basedOn w:val="Normal"/>
    <w:link w:val="PrrafodelistaCar"/>
    <w:uiPriority w:val="34"/>
    <w:qFormat/>
    <w:rsid w:val="00BA723D"/>
    <w:pPr>
      <w:ind w:left="708"/>
    </w:pPr>
  </w:style>
  <w:style w:type="character" w:customStyle="1" w:styleId="PrrafodelistaCar">
    <w:name w:val="Párrafo de lista Car"/>
    <w:aliases w:val="Cuadrícula clara - Énfasis 31 Car,Footnote Car,List Paragraph2 Car,List Paragraph1 Car,Lista vistosa - Énfasis 11 Car,Colorful List - Accent 11 Car,Subtle Emphasis1 Car,Footnote1 Car"/>
    <w:link w:val="Prrafodelista"/>
    <w:uiPriority w:val="34"/>
    <w:locked/>
    <w:rsid w:val="00BA723D"/>
    <w:rPr>
      <w:rFonts w:ascii="Times New Roman" w:eastAsia="MS Mincho" w:hAnsi="Times New Roman" w:cs="Times New Roman"/>
      <w:sz w:val="24"/>
      <w:szCs w:val="24"/>
      <w:lang w:val="es-ES_tradnl"/>
    </w:rPr>
  </w:style>
  <w:style w:type="character" w:styleId="Textoennegrita">
    <w:name w:val="Strong"/>
    <w:aliases w:val="Heading 2.1"/>
    <w:uiPriority w:val="22"/>
    <w:qFormat/>
    <w:rsid w:val="007121D6"/>
    <w:rPr>
      <w:b/>
      <w:bCs/>
    </w:rPr>
  </w:style>
  <w:style w:type="paragraph" w:customStyle="1" w:styleId="Prrafodelista1">
    <w:name w:val="Párrafo de lista1"/>
    <w:basedOn w:val="Normal"/>
    <w:qFormat/>
    <w:rsid w:val="007121D6"/>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121D6"/>
    <w:pPr>
      <w:jc w:val="both"/>
    </w:pPr>
    <w:rPr>
      <w:rFonts w:asciiTheme="minorHAnsi" w:eastAsiaTheme="minorHAnsi" w:hAnsiTheme="minorHAnsi" w:cstheme="minorBidi"/>
      <w:sz w:val="22"/>
      <w:szCs w:val="22"/>
      <w:vertAlign w:val="superscript"/>
      <w:lang w:val="es-CR"/>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uiPriority w:val="99"/>
    <w:rsid w:val="007121D6"/>
    <w:rPr>
      <w:rFonts w:eastAsia="MS Mincho"/>
      <w:lang w:val="es-ES_tradnl" w:eastAsia="en-US"/>
    </w:rPr>
  </w:style>
  <w:style w:type="character" w:styleId="Nmerodepgina">
    <w:name w:val="page number"/>
    <w:basedOn w:val="Fuentedeprrafopredeter"/>
    <w:semiHidden/>
    <w:rsid w:val="007121D6"/>
  </w:style>
  <w:style w:type="character" w:styleId="Refdecomentario">
    <w:name w:val="annotation reference"/>
    <w:basedOn w:val="Fuentedeprrafopredeter"/>
    <w:uiPriority w:val="99"/>
    <w:semiHidden/>
    <w:unhideWhenUsed/>
    <w:rsid w:val="00492F23"/>
    <w:rPr>
      <w:sz w:val="16"/>
      <w:szCs w:val="16"/>
    </w:rPr>
  </w:style>
  <w:style w:type="paragraph" w:styleId="Textocomentario">
    <w:name w:val="annotation text"/>
    <w:basedOn w:val="Normal"/>
    <w:link w:val="TextocomentarioCar"/>
    <w:uiPriority w:val="99"/>
    <w:semiHidden/>
    <w:unhideWhenUsed/>
    <w:rsid w:val="00492F23"/>
    <w:rPr>
      <w:sz w:val="20"/>
      <w:szCs w:val="20"/>
    </w:rPr>
  </w:style>
  <w:style w:type="character" w:customStyle="1" w:styleId="TextocomentarioCar">
    <w:name w:val="Texto comentario Car"/>
    <w:basedOn w:val="Fuentedeprrafopredeter"/>
    <w:link w:val="Textocomentario"/>
    <w:uiPriority w:val="99"/>
    <w:semiHidden/>
    <w:rsid w:val="00492F23"/>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92F23"/>
    <w:rPr>
      <w:b/>
      <w:bCs/>
    </w:rPr>
  </w:style>
  <w:style w:type="character" w:customStyle="1" w:styleId="AsuntodelcomentarioCar">
    <w:name w:val="Asunto del comentario Car"/>
    <w:basedOn w:val="TextocomentarioCar"/>
    <w:link w:val="Asuntodelcomentario"/>
    <w:uiPriority w:val="99"/>
    <w:semiHidden/>
    <w:rsid w:val="00492F23"/>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semiHidden/>
    <w:unhideWhenUsed/>
    <w:rsid w:val="00492F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2F23"/>
    <w:rPr>
      <w:rFonts w:ascii="Segoe UI" w:eastAsia="MS Mincho" w:hAnsi="Segoe UI" w:cs="Segoe UI"/>
      <w:sz w:val="18"/>
      <w:szCs w:val="18"/>
      <w:lang w:val="es-ES_tradnl"/>
    </w:rPr>
  </w:style>
  <w:style w:type="character" w:styleId="Nmerodelnea">
    <w:name w:val="line number"/>
    <w:basedOn w:val="Fuentedeprrafopredeter"/>
    <w:uiPriority w:val="99"/>
    <w:semiHidden/>
    <w:unhideWhenUsed/>
    <w:rsid w:val="00B3077C"/>
  </w:style>
  <w:style w:type="character" w:customStyle="1" w:styleId="FootnoteTextChar1">
    <w:name w:val="Footnote Text Char1"/>
    <w:aliases w:val="Footnote Text Char Char Char Char Char Char1,Footnote Text Char Char Char Char Char2,Footnote reference Char1,FA Fu Char1,Footnote Text Char Char Char Char2,Texto nota pie Car Char1,FA Fu Car Char1,FA Fu Car Car Char1,Ca Char,C Char"/>
    <w:uiPriority w:val="99"/>
    <w:rsid w:val="00AF1D0C"/>
    <w:rPr>
      <w:rFonts w:eastAsia="MS Mincho"/>
      <w:lang w:val="es-ES_tradnl" w:eastAsia="en-US"/>
    </w:rPr>
  </w:style>
  <w:style w:type="character" w:customStyle="1" w:styleId="highlight">
    <w:name w:val="highlight"/>
    <w:rsid w:val="00AF1D0C"/>
  </w:style>
  <w:style w:type="paragraph" w:styleId="Sinespaciado">
    <w:name w:val="No Spacing"/>
    <w:basedOn w:val="Prrafodelista"/>
    <w:uiPriority w:val="1"/>
    <w:qFormat/>
    <w:rsid w:val="006657D5"/>
    <w:pPr>
      <w:widowControl w:val="0"/>
      <w:numPr>
        <w:numId w:val="18"/>
      </w:numPr>
      <w:tabs>
        <w:tab w:val="left" w:pos="0"/>
        <w:tab w:val="left" w:pos="567"/>
      </w:tabs>
      <w:autoSpaceDE w:val="0"/>
      <w:autoSpaceDN w:val="0"/>
      <w:adjustRightInd w:val="0"/>
      <w:ind w:right="22"/>
      <w:contextualSpacing/>
      <w:jc w:val="both"/>
    </w:pPr>
    <w:rPr>
      <w:rFonts w:ascii="Verdana" w:eastAsiaTheme="minorHAnsi" w:hAnsi="Verdana" w:cstheme="minorBidi"/>
      <w:bCs/>
      <w:iCs/>
      <w:sz w:val="20"/>
      <w:szCs w:val="20"/>
      <w:lang w:val="es-CR"/>
    </w:rPr>
  </w:style>
  <w:style w:type="paragraph" w:customStyle="1" w:styleId="Default">
    <w:name w:val="Default"/>
    <w:rsid w:val="008B71EF"/>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FB6C1B"/>
    <w:rPr>
      <w:rFonts w:ascii="Verdana" w:eastAsia="MS Mincho" w:hAnsi="Verdana" w:cs="Times New Roman"/>
      <w:b/>
      <w:bCs/>
      <w:i/>
      <w:sz w:val="20"/>
      <w:szCs w:val="20"/>
      <w:lang w:eastAsia="es-CR"/>
    </w:rPr>
  </w:style>
  <w:style w:type="character" w:customStyle="1" w:styleId="ColorfulList-Accent1Char">
    <w:name w:val="Colorful List - Accent 1 Char"/>
    <w:aliases w:val="Footnote Char,Párrafo de lista1 Char"/>
    <w:uiPriority w:val="34"/>
    <w:locked/>
    <w:rsid w:val="00FD64D2"/>
    <w:rPr>
      <w:rFonts w:ascii="Times" w:eastAsia="Times" w:hAnsi="Times" w:cs="Times"/>
      <w:lang w:val="es-ES_tradnl"/>
    </w:rPr>
  </w:style>
  <w:style w:type="character" w:customStyle="1" w:styleId="Ttulo1Car">
    <w:name w:val="Título 1 Car"/>
    <w:basedOn w:val="Fuentedeprrafopredeter"/>
    <w:link w:val="Ttulo1"/>
    <w:uiPriority w:val="9"/>
    <w:rsid w:val="00260FC4"/>
    <w:rPr>
      <w:rFonts w:asciiTheme="majorHAnsi" w:eastAsiaTheme="majorEastAsia" w:hAnsiTheme="majorHAnsi" w:cstheme="majorBidi"/>
      <w:color w:val="2E74B5" w:themeColor="accent1" w:themeShade="BF"/>
      <w:sz w:val="32"/>
      <w:szCs w:val="32"/>
      <w:lang w:val="es-ES_tradnl"/>
    </w:rPr>
  </w:style>
  <w:style w:type="character" w:styleId="Hipervnculo">
    <w:name w:val="Hyperlink"/>
    <w:basedOn w:val="Fuentedeprrafopredeter"/>
    <w:uiPriority w:val="99"/>
    <w:unhideWhenUsed/>
    <w:rsid w:val="00260FC4"/>
    <w:rPr>
      <w:color w:val="0563C1" w:themeColor="hyperlink"/>
      <w:u w:val="single"/>
    </w:rPr>
  </w:style>
  <w:style w:type="character" w:styleId="Hipervnculovisitado">
    <w:name w:val="FollowedHyperlink"/>
    <w:basedOn w:val="Fuentedeprrafopredeter"/>
    <w:uiPriority w:val="99"/>
    <w:semiHidden/>
    <w:unhideWhenUsed/>
    <w:rsid w:val="000A41AC"/>
    <w:rPr>
      <w:color w:val="954F72" w:themeColor="followedHyperlink"/>
      <w:u w:val="single"/>
    </w:rPr>
  </w:style>
  <w:style w:type="character" w:customStyle="1" w:styleId="markedcontent">
    <w:name w:val="markedcontent"/>
    <w:basedOn w:val="Fuentedeprrafopredeter"/>
    <w:rsid w:val="00F7131A"/>
  </w:style>
  <w:style w:type="paragraph" w:styleId="NormalWeb">
    <w:name w:val="Normal (Web)"/>
    <w:basedOn w:val="Normal"/>
    <w:uiPriority w:val="99"/>
    <w:semiHidden/>
    <w:unhideWhenUsed/>
    <w:rsid w:val="00E356A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3689">
      <w:bodyDiv w:val="1"/>
      <w:marLeft w:val="0"/>
      <w:marRight w:val="0"/>
      <w:marTop w:val="0"/>
      <w:marBottom w:val="0"/>
      <w:divBdr>
        <w:top w:val="none" w:sz="0" w:space="0" w:color="auto"/>
        <w:left w:val="none" w:sz="0" w:space="0" w:color="auto"/>
        <w:bottom w:val="none" w:sz="0" w:space="0" w:color="auto"/>
        <w:right w:val="none" w:sz="0" w:space="0" w:color="auto"/>
      </w:divBdr>
    </w:div>
    <w:div w:id="129058617">
      <w:bodyDiv w:val="1"/>
      <w:marLeft w:val="0"/>
      <w:marRight w:val="0"/>
      <w:marTop w:val="0"/>
      <w:marBottom w:val="0"/>
      <w:divBdr>
        <w:top w:val="none" w:sz="0" w:space="0" w:color="auto"/>
        <w:left w:val="none" w:sz="0" w:space="0" w:color="auto"/>
        <w:bottom w:val="none" w:sz="0" w:space="0" w:color="auto"/>
        <w:right w:val="none" w:sz="0" w:space="0" w:color="auto"/>
      </w:divBdr>
    </w:div>
    <w:div w:id="281151353">
      <w:bodyDiv w:val="1"/>
      <w:marLeft w:val="0"/>
      <w:marRight w:val="0"/>
      <w:marTop w:val="0"/>
      <w:marBottom w:val="0"/>
      <w:divBdr>
        <w:top w:val="none" w:sz="0" w:space="0" w:color="auto"/>
        <w:left w:val="none" w:sz="0" w:space="0" w:color="auto"/>
        <w:bottom w:val="none" w:sz="0" w:space="0" w:color="auto"/>
        <w:right w:val="none" w:sz="0" w:space="0" w:color="auto"/>
      </w:divBdr>
    </w:div>
    <w:div w:id="348485886">
      <w:bodyDiv w:val="1"/>
      <w:marLeft w:val="0"/>
      <w:marRight w:val="0"/>
      <w:marTop w:val="0"/>
      <w:marBottom w:val="0"/>
      <w:divBdr>
        <w:top w:val="none" w:sz="0" w:space="0" w:color="auto"/>
        <w:left w:val="none" w:sz="0" w:space="0" w:color="auto"/>
        <w:bottom w:val="none" w:sz="0" w:space="0" w:color="auto"/>
        <w:right w:val="none" w:sz="0" w:space="0" w:color="auto"/>
      </w:divBdr>
    </w:div>
    <w:div w:id="405880554">
      <w:bodyDiv w:val="1"/>
      <w:marLeft w:val="0"/>
      <w:marRight w:val="0"/>
      <w:marTop w:val="0"/>
      <w:marBottom w:val="0"/>
      <w:divBdr>
        <w:top w:val="none" w:sz="0" w:space="0" w:color="auto"/>
        <w:left w:val="none" w:sz="0" w:space="0" w:color="auto"/>
        <w:bottom w:val="none" w:sz="0" w:space="0" w:color="auto"/>
        <w:right w:val="none" w:sz="0" w:space="0" w:color="auto"/>
      </w:divBdr>
    </w:div>
    <w:div w:id="583027758">
      <w:bodyDiv w:val="1"/>
      <w:marLeft w:val="0"/>
      <w:marRight w:val="0"/>
      <w:marTop w:val="0"/>
      <w:marBottom w:val="0"/>
      <w:divBdr>
        <w:top w:val="none" w:sz="0" w:space="0" w:color="auto"/>
        <w:left w:val="none" w:sz="0" w:space="0" w:color="auto"/>
        <w:bottom w:val="none" w:sz="0" w:space="0" w:color="auto"/>
        <w:right w:val="none" w:sz="0" w:space="0" w:color="auto"/>
      </w:divBdr>
    </w:div>
    <w:div w:id="624191003">
      <w:bodyDiv w:val="1"/>
      <w:marLeft w:val="0"/>
      <w:marRight w:val="0"/>
      <w:marTop w:val="0"/>
      <w:marBottom w:val="0"/>
      <w:divBdr>
        <w:top w:val="none" w:sz="0" w:space="0" w:color="auto"/>
        <w:left w:val="none" w:sz="0" w:space="0" w:color="auto"/>
        <w:bottom w:val="none" w:sz="0" w:space="0" w:color="auto"/>
        <w:right w:val="none" w:sz="0" w:space="0" w:color="auto"/>
      </w:divBdr>
    </w:div>
    <w:div w:id="632755729">
      <w:bodyDiv w:val="1"/>
      <w:marLeft w:val="0"/>
      <w:marRight w:val="0"/>
      <w:marTop w:val="0"/>
      <w:marBottom w:val="0"/>
      <w:divBdr>
        <w:top w:val="none" w:sz="0" w:space="0" w:color="auto"/>
        <w:left w:val="none" w:sz="0" w:space="0" w:color="auto"/>
        <w:bottom w:val="none" w:sz="0" w:space="0" w:color="auto"/>
        <w:right w:val="none" w:sz="0" w:space="0" w:color="auto"/>
      </w:divBdr>
    </w:div>
    <w:div w:id="718359009">
      <w:bodyDiv w:val="1"/>
      <w:marLeft w:val="0"/>
      <w:marRight w:val="0"/>
      <w:marTop w:val="0"/>
      <w:marBottom w:val="0"/>
      <w:divBdr>
        <w:top w:val="none" w:sz="0" w:space="0" w:color="auto"/>
        <w:left w:val="none" w:sz="0" w:space="0" w:color="auto"/>
        <w:bottom w:val="none" w:sz="0" w:space="0" w:color="auto"/>
        <w:right w:val="none" w:sz="0" w:space="0" w:color="auto"/>
      </w:divBdr>
    </w:div>
    <w:div w:id="792404796">
      <w:bodyDiv w:val="1"/>
      <w:marLeft w:val="0"/>
      <w:marRight w:val="0"/>
      <w:marTop w:val="0"/>
      <w:marBottom w:val="0"/>
      <w:divBdr>
        <w:top w:val="none" w:sz="0" w:space="0" w:color="auto"/>
        <w:left w:val="none" w:sz="0" w:space="0" w:color="auto"/>
        <w:bottom w:val="none" w:sz="0" w:space="0" w:color="auto"/>
        <w:right w:val="none" w:sz="0" w:space="0" w:color="auto"/>
      </w:divBdr>
    </w:div>
    <w:div w:id="797801347">
      <w:bodyDiv w:val="1"/>
      <w:marLeft w:val="0"/>
      <w:marRight w:val="0"/>
      <w:marTop w:val="0"/>
      <w:marBottom w:val="0"/>
      <w:divBdr>
        <w:top w:val="none" w:sz="0" w:space="0" w:color="auto"/>
        <w:left w:val="none" w:sz="0" w:space="0" w:color="auto"/>
        <w:bottom w:val="none" w:sz="0" w:space="0" w:color="auto"/>
        <w:right w:val="none" w:sz="0" w:space="0" w:color="auto"/>
      </w:divBdr>
    </w:div>
    <w:div w:id="988482128">
      <w:bodyDiv w:val="1"/>
      <w:marLeft w:val="0"/>
      <w:marRight w:val="0"/>
      <w:marTop w:val="0"/>
      <w:marBottom w:val="0"/>
      <w:divBdr>
        <w:top w:val="none" w:sz="0" w:space="0" w:color="auto"/>
        <w:left w:val="none" w:sz="0" w:space="0" w:color="auto"/>
        <w:bottom w:val="none" w:sz="0" w:space="0" w:color="auto"/>
        <w:right w:val="none" w:sz="0" w:space="0" w:color="auto"/>
      </w:divBdr>
    </w:div>
    <w:div w:id="1794783540">
      <w:bodyDiv w:val="1"/>
      <w:marLeft w:val="0"/>
      <w:marRight w:val="0"/>
      <w:marTop w:val="0"/>
      <w:marBottom w:val="0"/>
      <w:divBdr>
        <w:top w:val="none" w:sz="0" w:space="0" w:color="auto"/>
        <w:left w:val="none" w:sz="0" w:space="0" w:color="auto"/>
        <w:bottom w:val="none" w:sz="0" w:space="0" w:color="auto"/>
        <w:right w:val="none" w:sz="0" w:space="0" w:color="auto"/>
      </w:divBdr>
    </w:div>
    <w:div w:id="1837501994">
      <w:bodyDiv w:val="1"/>
      <w:marLeft w:val="0"/>
      <w:marRight w:val="0"/>
      <w:marTop w:val="0"/>
      <w:marBottom w:val="0"/>
      <w:divBdr>
        <w:top w:val="none" w:sz="0" w:space="0" w:color="auto"/>
        <w:left w:val="none" w:sz="0" w:space="0" w:color="auto"/>
        <w:bottom w:val="none" w:sz="0" w:space="0" w:color="auto"/>
        <w:right w:val="none" w:sz="0" w:space="0" w:color="auto"/>
      </w:divBdr>
    </w:div>
    <w:div w:id="1909682209">
      <w:bodyDiv w:val="1"/>
      <w:marLeft w:val="0"/>
      <w:marRight w:val="0"/>
      <w:marTop w:val="0"/>
      <w:marBottom w:val="0"/>
      <w:divBdr>
        <w:top w:val="none" w:sz="0" w:space="0" w:color="auto"/>
        <w:left w:val="none" w:sz="0" w:space="0" w:color="auto"/>
        <w:bottom w:val="none" w:sz="0" w:space="0" w:color="auto"/>
        <w:right w:val="none" w:sz="0" w:space="0" w:color="auto"/>
      </w:divBdr>
      <w:divsChild>
        <w:div w:id="732042448">
          <w:marLeft w:val="0"/>
          <w:marRight w:val="0"/>
          <w:marTop w:val="0"/>
          <w:marBottom w:val="0"/>
          <w:divBdr>
            <w:top w:val="none" w:sz="0" w:space="0" w:color="auto"/>
            <w:left w:val="none" w:sz="0" w:space="0" w:color="auto"/>
            <w:bottom w:val="none" w:sz="0" w:space="0" w:color="auto"/>
            <w:right w:val="none" w:sz="0" w:space="0" w:color="auto"/>
          </w:divBdr>
          <w:divsChild>
            <w:div w:id="180096729">
              <w:marLeft w:val="0"/>
              <w:marRight w:val="0"/>
              <w:marTop w:val="0"/>
              <w:marBottom w:val="0"/>
              <w:divBdr>
                <w:top w:val="none" w:sz="0" w:space="0" w:color="auto"/>
                <w:left w:val="none" w:sz="0" w:space="0" w:color="auto"/>
                <w:bottom w:val="none" w:sz="0" w:space="0" w:color="auto"/>
                <w:right w:val="none" w:sz="0" w:space="0" w:color="auto"/>
              </w:divBdr>
              <w:divsChild>
                <w:div w:id="18661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as.org/es/CIDH/jsForm/?File=/es/cidh/prensa/comunicados/2021/152.asp" TargetMode="External"/><Relationship Id="rId3" Type="http://schemas.openxmlformats.org/officeDocument/2006/relationships/hyperlink" Target="https://www.corteidh.or.cr/docs/medidas/integrantes_centro_ni_se_03.pdf" TargetMode="External"/><Relationship Id="rId7" Type="http://schemas.openxmlformats.org/officeDocument/2006/relationships/hyperlink" Target="https://www.oas.org/es/CIDH/jsForm/?File=/es/cidh/prensa/comunicados/2021/145.asp" TargetMode="External"/><Relationship Id="rId12" Type="http://schemas.openxmlformats.org/officeDocument/2006/relationships/hyperlink" Target="https://www.france24.com/es/am%C3%A9rica-latina/20210613-nicaragua-detenciones-lideresas-opositoras" TargetMode="External"/><Relationship Id="rId2" Type="http://schemas.openxmlformats.org/officeDocument/2006/relationships/hyperlink" Target="http://www.corteidh.or.cr/docs/medidas/integrantes_centro_ni_se_01.pdf" TargetMode="External"/><Relationship Id="rId1" Type="http://schemas.openxmlformats.org/officeDocument/2006/relationships/hyperlink" Target="http://www.corteidh.or.cr/docs/medidas/integrantes_centro_ni_se_02.pdf" TargetMode="External"/><Relationship Id="rId6" Type="http://schemas.openxmlformats.org/officeDocument/2006/relationships/hyperlink" Target="http://www.oacnudh.org/nicaragua-experta-de-la-onu-lamenta-crecientes-ataques-y-detenciones-de-defensores-y-defensoras-de-derechos-humanos/" TargetMode="External"/><Relationship Id="rId11" Type="http://schemas.openxmlformats.org/officeDocument/2006/relationships/hyperlink" Target="https://www.bbc.com/mundo/noticias-america-latina-57408662" TargetMode="External"/><Relationship Id="rId5" Type="http://schemas.openxmlformats.org/officeDocument/2006/relationships/hyperlink" Target="https://news.un.org/es/story/2021/06/1493602" TargetMode="External"/><Relationship Id="rId10" Type="http://schemas.openxmlformats.org/officeDocument/2006/relationships/hyperlink" Target="https://www.dw.com/es/casi-60-pa%C3%ADses-piden-la-liberaci%C3%B3n-de-opositores-detenidos-en-nicaragua/a-58004675" TargetMode="External"/><Relationship Id="rId4" Type="http://schemas.openxmlformats.org/officeDocument/2006/relationships/hyperlink" Target="http://legislacion.asamblea.gob.ni/normaweb.nsf/($All)/803E7C7FBCF44D7706258611007C6D87?OpenDocument" TargetMode="External"/><Relationship Id="rId9" Type="http://schemas.openxmlformats.org/officeDocument/2006/relationships/hyperlink" Target="https://www.dw.com/es/la-cidh-urge-a-nicaragua-ubicaci%C3%B3n-de-opositora-detenida/a-5787054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553AB-8211-4482-A49D-F8E88912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3077</Words>
  <Characters>16928</Characters>
  <Application>Microsoft Office Word</Application>
  <DocSecurity>0</DocSecurity>
  <Lines>141</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2021-10-18T20:07:00Z</cp:lastPrinted>
  <dcterms:created xsi:type="dcterms:W3CDTF">2021-10-22T18:40:00Z</dcterms:created>
  <dcterms:modified xsi:type="dcterms:W3CDTF">2021-10-22T18:40:00Z</dcterms:modified>
  <cp:contentStatus/>
</cp:coreProperties>
</file>