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606A" w14:textId="6ABB7905" w:rsidR="00E60373" w:rsidRDefault="00E60373" w:rsidP="00BE0EFF">
      <w:pPr>
        <w:tabs>
          <w:tab w:val="left" w:pos="720"/>
        </w:tabs>
        <w:jc w:val="center"/>
        <w:rPr>
          <w:rFonts w:ascii="Verdana" w:hAnsi="Verdana"/>
          <w:b/>
          <w:sz w:val="20"/>
          <w:szCs w:val="20"/>
          <w:lang w:val="es-ES"/>
        </w:rPr>
      </w:pPr>
    </w:p>
    <w:p w14:paraId="7AD8F5CF" w14:textId="77777777" w:rsidR="00E60373" w:rsidRDefault="00E60373" w:rsidP="00BE0EFF">
      <w:pPr>
        <w:tabs>
          <w:tab w:val="left" w:pos="720"/>
        </w:tabs>
        <w:jc w:val="center"/>
        <w:rPr>
          <w:rFonts w:ascii="Verdana" w:hAnsi="Verdana"/>
          <w:b/>
          <w:sz w:val="20"/>
          <w:szCs w:val="20"/>
          <w:lang w:val="es-ES"/>
        </w:rPr>
      </w:pPr>
    </w:p>
    <w:p w14:paraId="04AAA9DB" w14:textId="4DC78779" w:rsidR="00D84A28" w:rsidRDefault="00D84A28" w:rsidP="00BE0EFF">
      <w:pPr>
        <w:tabs>
          <w:tab w:val="left" w:pos="720"/>
        </w:tabs>
        <w:jc w:val="center"/>
        <w:rPr>
          <w:rFonts w:ascii="Verdana" w:hAnsi="Verdana"/>
          <w:b/>
          <w:sz w:val="20"/>
          <w:szCs w:val="20"/>
          <w:lang w:val="es-ES"/>
        </w:rPr>
      </w:pPr>
    </w:p>
    <w:p w14:paraId="7AA51AE0" w14:textId="299657F1" w:rsidR="00D84A28" w:rsidRDefault="00D84A28" w:rsidP="00BE0EFF">
      <w:pPr>
        <w:tabs>
          <w:tab w:val="left" w:pos="720"/>
        </w:tabs>
        <w:jc w:val="center"/>
        <w:rPr>
          <w:rFonts w:ascii="Verdana" w:hAnsi="Verdana"/>
          <w:b/>
          <w:sz w:val="20"/>
          <w:szCs w:val="20"/>
          <w:lang w:val="es-ES"/>
        </w:rPr>
      </w:pPr>
    </w:p>
    <w:p w14:paraId="07B88941" w14:textId="77777777" w:rsidR="00D84A28" w:rsidRDefault="00D84A28" w:rsidP="00BE0EFF">
      <w:pPr>
        <w:tabs>
          <w:tab w:val="left" w:pos="720"/>
        </w:tabs>
        <w:jc w:val="center"/>
        <w:rPr>
          <w:rFonts w:ascii="Verdana" w:hAnsi="Verdana"/>
          <w:b/>
          <w:sz w:val="20"/>
          <w:szCs w:val="20"/>
          <w:lang w:val="es-ES"/>
        </w:rPr>
      </w:pPr>
    </w:p>
    <w:p w14:paraId="4367AA94" w14:textId="7B5BDE92" w:rsidR="00D84A28" w:rsidRDefault="00D84A28" w:rsidP="00BE0EFF">
      <w:pPr>
        <w:tabs>
          <w:tab w:val="left" w:pos="720"/>
        </w:tabs>
        <w:jc w:val="center"/>
        <w:rPr>
          <w:rFonts w:ascii="Verdana" w:hAnsi="Verdana"/>
          <w:b/>
          <w:sz w:val="20"/>
          <w:szCs w:val="20"/>
          <w:lang w:val="es-ES"/>
        </w:rPr>
      </w:pPr>
    </w:p>
    <w:p w14:paraId="0E768D9D" w14:textId="77777777" w:rsidR="00D84A28" w:rsidRDefault="00D84A28" w:rsidP="00BE0EFF">
      <w:pPr>
        <w:tabs>
          <w:tab w:val="left" w:pos="720"/>
        </w:tabs>
        <w:jc w:val="center"/>
        <w:rPr>
          <w:rFonts w:ascii="Verdana" w:hAnsi="Verdana"/>
          <w:b/>
          <w:sz w:val="20"/>
          <w:szCs w:val="20"/>
          <w:lang w:val="es-ES"/>
        </w:rPr>
      </w:pPr>
    </w:p>
    <w:p w14:paraId="6C286EAC" w14:textId="77777777" w:rsidR="00E60373" w:rsidRDefault="00E60373" w:rsidP="00BE0EFF">
      <w:pPr>
        <w:tabs>
          <w:tab w:val="left" w:pos="720"/>
        </w:tabs>
        <w:jc w:val="center"/>
        <w:rPr>
          <w:rFonts w:ascii="Verdana" w:hAnsi="Verdana"/>
          <w:b/>
          <w:sz w:val="20"/>
          <w:szCs w:val="20"/>
          <w:lang w:val="es-ES"/>
        </w:rPr>
      </w:pPr>
    </w:p>
    <w:p w14:paraId="662A9C8A" w14:textId="77777777" w:rsidR="00E60373" w:rsidRDefault="00E60373" w:rsidP="00BE0EFF">
      <w:pPr>
        <w:tabs>
          <w:tab w:val="left" w:pos="720"/>
        </w:tabs>
        <w:jc w:val="center"/>
        <w:rPr>
          <w:rFonts w:ascii="Verdana" w:hAnsi="Verdana"/>
          <w:b/>
          <w:sz w:val="20"/>
          <w:szCs w:val="20"/>
          <w:lang w:val="es-ES"/>
        </w:rPr>
      </w:pPr>
    </w:p>
    <w:p w14:paraId="0BC4553E" w14:textId="77777777" w:rsidR="00B53EF0" w:rsidRPr="00B660E9" w:rsidRDefault="00B53EF0" w:rsidP="00BE0EFF">
      <w:pPr>
        <w:tabs>
          <w:tab w:val="left" w:pos="720"/>
        </w:tabs>
        <w:jc w:val="center"/>
        <w:rPr>
          <w:rFonts w:ascii="Verdana" w:hAnsi="Verdana"/>
          <w:b/>
          <w:sz w:val="20"/>
          <w:szCs w:val="20"/>
          <w:lang w:val="es-ES"/>
        </w:rPr>
      </w:pPr>
    </w:p>
    <w:p w14:paraId="0606EFB6" w14:textId="77777777" w:rsidR="00B53EF0" w:rsidRPr="00B660E9" w:rsidRDefault="00B53EF0" w:rsidP="00BE0EFF">
      <w:pPr>
        <w:tabs>
          <w:tab w:val="left" w:pos="720"/>
        </w:tabs>
        <w:jc w:val="center"/>
        <w:rPr>
          <w:rFonts w:ascii="Verdana" w:hAnsi="Verdana"/>
          <w:b/>
          <w:sz w:val="20"/>
          <w:szCs w:val="20"/>
          <w:lang w:val="es-ES"/>
        </w:rPr>
      </w:pPr>
      <w:r w:rsidRPr="00B660E9">
        <w:rPr>
          <w:rFonts w:ascii="Verdana" w:hAnsi="Verdana"/>
          <w:b/>
          <w:sz w:val="20"/>
          <w:szCs w:val="20"/>
          <w:lang w:val="es-ES"/>
        </w:rPr>
        <w:t>RESOLUCIÓN DE LA</w:t>
      </w:r>
    </w:p>
    <w:p w14:paraId="5326D7D5" w14:textId="77777777" w:rsidR="00B53EF0" w:rsidRPr="00B660E9" w:rsidRDefault="00B53EF0" w:rsidP="00BE0EFF">
      <w:pPr>
        <w:tabs>
          <w:tab w:val="left" w:pos="720"/>
        </w:tabs>
        <w:jc w:val="center"/>
        <w:rPr>
          <w:rFonts w:ascii="Verdana" w:hAnsi="Verdana"/>
          <w:b/>
          <w:sz w:val="20"/>
          <w:szCs w:val="20"/>
          <w:lang w:val="es-ES"/>
        </w:rPr>
      </w:pPr>
      <w:r w:rsidRPr="00B660E9">
        <w:rPr>
          <w:rFonts w:ascii="Verdana" w:hAnsi="Verdana"/>
          <w:b/>
          <w:sz w:val="20"/>
          <w:szCs w:val="20"/>
          <w:lang w:val="es-ES"/>
        </w:rPr>
        <w:t>CORTE INTERAMERICANA DE DERECHOS HUMANOS*</w:t>
      </w:r>
    </w:p>
    <w:p w14:paraId="1432E17F" w14:textId="77777777" w:rsidR="00B53EF0" w:rsidRPr="00B660E9" w:rsidRDefault="00B53EF0" w:rsidP="00BE0EFF">
      <w:pPr>
        <w:tabs>
          <w:tab w:val="left" w:pos="720"/>
        </w:tabs>
        <w:jc w:val="center"/>
        <w:rPr>
          <w:rFonts w:ascii="Verdana" w:hAnsi="Verdana"/>
          <w:b/>
          <w:sz w:val="20"/>
          <w:szCs w:val="20"/>
          <w:lang w:val="es-ES"/>
        </w:rPr>
      </w:pPr>
    </w:p>
    <w:p w14:paraId="7F0173D0" w14:textId="77777777" w:rsidR="00B53EF0" w:rsidRPr="00B660E9" w:rsidRDefault="00B53EF0" w:rsidP="00BE0EFF">
      <w:pPr>
        <w:tabs>
          <w:tab w:val="left" w:pos="720"/>
        </w:tabs>
        <w:jc w:val="center"/>
        <w:rPr>
          <w:rFonts w:ascii="Verdana" w:hAnsi="Verdana"/>
          <w:b/>
          <w:sz w:val="20"/>
          <w:szCs w:val="20"/>
          <w:lang w:val="es-ES"/>
        </w:rPr>
      </w:pPr>
      <w:r w:rsidRPr="00B660E9">
        <w:rPr>
          <w:rFonts w:ascii="Verdana" w:hAnsi="Verdana"/>
          <w:b/>
          <w:sz w:val="20"/>
          <w:szCs w:val="20"/>
          <w:lang w:val="es-ES"/>
        </w:rPr>
        <w:t xml:space="preserve">DE </w:t>
      </w:r>
      <w:r w:rsidR="00E60373">
        <w:rPr>
          <w:rFonts w:ascii="Verdana" w:hAnsi="Verdana"/>
          <w:b/>
          <w:sz w:val="20"/>
          <w:szCs w:val="20"/>
          <w:lang w:val="es-ES"/>
        </w:rPr>
        <w:t>23</w:t>
      </w:r>
      <w:r w:rsidRPr="00B660E9">
        <w:rPr>
          <w:rFonts w:ascii="Verdana" w:hAnsi="Verdana"/>
          <w:b/>
          <w:sz w:val="20"/>
          <w:szCs w:val="20"/>
          <w:lang w:val="es-ES"/>
        </w:rPr>
        <w:t xml:space="preserve"> DE SEPTIEMBRE DE 2021</w:t>
      </w:r>
    </w:p>
    <w:p w14:paraId="75C4F8FB" w14:textId="77777777" w:rsidR="00B53EF0" w:rsidRPr="00B660E9" w:rsidRDefault="00B53EF0" w:rsidP="00BE0EFF">
      <w:pPr>
        <w:tabs>
          <w:tab w:val="left" w:pos="720"/>
        </w:tabs>
        <w:jc w:val="center"/>
        <w:rPr>
          <w:rFonts w:ascii="Verdana" w:hAnsi="Verdana"/>
          <w:b/>
          <w:sz w:val="20"/>
          <w:szCs w:val="20"/>
          <w:lang w:val="es-ES"/>
        </w:rPr>
      </w:pPr>
    </w:p>
    <w:p w14:paraId="2090B04B" w14:textId="77777777" w:rsidR="00B53EF0" w:rsidRPr="00B660E9" w:rsidRDefault="00B53EF0" w:rsidP="00BE0EFF">
      <w:pPr>
        <w:tabs>
          <w:tab w:val="left" w:pos="720"/>
        </w:tabs>
        <w:jc w:val="center"/>
        <w:rPr>
          <w:rFonts w:ascii="Verdana" w:hAnsi="Verdana"/>
          <w:b/>
          <w:sz w:val="20"/>
          <w:szCs w:val="20"/>
          <w:lang w:val="es-ES"/>
        </w:rPr>
      </w:pPr>
      <w:r w:rsidRPr="00B660E9">
        <w:rPr>
          <w:rFonts w:ascii="Verdana" w:hAnsi="Verdana"/>
          <w:b/>
          <w:sz w:val="20"/>
          <w:szCs w:val="20"/>
          <w:lang w:val="es-ES"/>
        </w:rPr>
        <w:t>MEDIDAS PROVISIONALES Y</w:t>
      </w:r>
    </w:p>
    <w:p w14:paraId="69C7F181" w14:textId="77777777" w:rsidR="00B53EF0" w:rsidRPr="00B660E9" w:rsidRDefault="00B53EF0" w:rsidP="00BE0EFF">
      <w:pPr>
        <w:tabs>
          <w:tab w:val="left" w:pos="720"/>
        </w:tabs>
        <w:jc w:val="center"/>
        <w:rPr>
          <w:rFonts w:ascii="Verdana" w:hAnsi="Verdana"/>
          <w:b/>
          <w:sz w:val="20"/>
          <w:szCs w:val="20"/>
          <w:u w:val="single"/>
          <w:lang w:val="es-ES"/>
        </w:rPr>
      </w:pPr>
      <w:r w:rsidRPr="00B660E9">
        <w:rPr>
          <w:rFonts w:ascii="Verdana" w:hAnsi="Verdana"/>
          <w:b/>
          <w:sz w:val="20"/>
          <w:szCs w:val="20"/>
          <w:lang w:val="es-ES"/>
        </w:rPr>
        <w:t>SUPERVISIÓN DE CUMPLIMIENTO DE SENTENCIA</w:t>
      </w:r>
      <w:r w:rsidR="00B65863">
        <w:rPr>
          <w:rFonts w:ascii="Verdana" w:hAnsi="Verdana"/>
          <w:b/>
          <w:sz w:val="20"/>
          <w:szCs w:val="20"/>
          <w:lang w:val="es-ES"/>
        </w:rPr>
        <w:t>S</w:t>
      </w:r>
    </w:p>
    <w:p w14:paraId="3688CDE9" w14:textId="77777777" w:rsidR="00B53EF0" w:rsidRPr="00B660E9" w:rsidRDefault="00B53EF0" w:rsidP="00BE0EFF">
      <w:pPr>
        <w:tabs>
          <w:tab w:val="left" w:pos="720"/>
        </w:tabs>
        <w:jc w:val="center"/>
        <w:rPr>
          <w:rFonts w:ascii="Verdana" w:hAnsi="Verdana"/>
          <w:b/>
          <w:sz w:val="20"/>
          <w:szCs w:val="20"/>
          <w:lang w:val="es-ES"/>
        </w:rPr>
      </w:pPr>
    </w:p>
    <w:p w14:paraId="39503AA3" w14:textId="7EC5F8CE" w:rsidR="00B53EF0" w:rsidRPr="00B660E9" w:rsidRDefault="00B53EF0" w:rsidP="00BE0EFF">
      <w:pPr>
        <w:tabs>
          <w:tab w:val="left" w:pos="720"/>
        </w:tabs>
        <w:jc w:val="center"/>
        <w:rPr>
          <w:rFonts w:ascii="Verdana" w:hAnsi="Verdana"/>
          <w:b/>
          <w:i/>
          <w:sz w:val="20"/>
          <w:szCs w:val="20"/>
          <w:lang w:val="es-AR"/>
        </w:rPr>
      </w:pPr>
      <w:r w:rsidRPr="00B660E9">
        <w:rPr>
          <w:rFonts w:ascii="Verdana" w:hAnsi="Verdana"/>
          <w:b/>
          <w:i/>
          <w:sz w:val="20"/>
          <w:szCs w:val="20"/>
          <w:lang w:val="es-AR"/>
        </w:rPr>
        <w:t>CASO VALENZUELA ÁVILA</w:t>
      </w:r>
      <w:r w:rsidR="00EF4CF9">
        <w:rPr>
          <w:rFonts w:ascii="Verdana" w:hAnsi="Verdana"/>
          <w:b/>
          <w:i/>
          <w:sz w:val="20"/>
          <w:szCs w:val="20"/>
          <w:lang w:val="es-AR"/>
        </w:rPr>
        <w:t>,</w:t>
      </w:r>
      <w:r w:rsidRPr="00B660E9">
        <w:rPr>
          <w:rFonts w:ascii="Verdana" w:hAnsi="Verdana"/>
          <w:b/>
          <w:i/>
          <w:sz w:val="20"/>
          <w:szCs w:val="20"/>
          <w:lang w:val="es-AR"/>
        </w:rPr>
        <w:t xml:space="preserve"> Y CASO RUIZ FUENTES Y OTRA VS. GUATEMALA</w:t>
      </w:r>
    </w:p>
    <w:p w14:paraId="55E654A2" w14:textId="77777777" w:rsidR="00B53EF0" w:rsidRPr="00B660E9" w:rsidRDefault="00B53EF0" w:rsidP="00BE0EFF">
      <w:pPr>
        <w:jc w:val="both"/>
        <w:rPr>
          <w:rFonts w:ascii="Verdana" w:hAnsi="Verdana"/>
          <w:b/>
          <w:sz w:val="20"/>
          <w:szCs w:val="20"/>
          <w:lang w:val="pt-BR"/>
        </w:rPr>
      </w:pPr>
    </w:p>
    <w:p w14:paraId="0049A764" w14:textId="77777777" w:rsidR="00B53EF0" w:rsidRPr="00B660E9" w:rsidRDefault="00B53EF0" w:rsidP="00BE0EFF">
      <w:pPr>
        <w:jc w:val="both"/>
        <w:rPr>
          <w:rFonts w:ascii="Verdana" w:hAnsi="Verdana"/>
          <w:b/>
          <w:caps/>
          <w:sz w:val="20"/>
          <w:szCs w:val="20"/>
          <w:lang w:val="pt-BR"/>
        </w:rPr>
      </w:pPr>
    </w:p>
    <w:p w14:paraId="24A76752" w14:textId="77777777" w:rsidR="00B53EF0" w:rsidRPr="00B660E9" w:rsidRDefault="00B53EF0" w:rsidP="00BE0EFF">
      <w:pPr>
        <w:spacing w:before="120" w:after="120"/>
        <w:jc w:val="both"/>
        <w:rPr>
          <w:rFonts w:ascii="Verdana" w:hAnsi="Verdana"/>
          <w:b/>
          <w:smallCaps/>
          <w:sz w:val="20"/>
          <w:szCs w:val="20"/>
          <w:lang w:val="es-ES"/>
        </w:rPr>
      </w:pPr>
      <w:r w:rsidRPr="00B660E9">
        <w:rPr>
          <w:rFonts w:ascii="Verdana" w:hAnsi="Verdana"/>
          <w:b/>
          <w:caps/>
          <w:sz w:val="20"/>
          <w:szCs w:val="20"/>
          <w:lang w:val="es-ES"/>
        </w:rPr>
        <w:t>Visto</w:t>
      </w:r>
      <w:r w:rsidR="00BE0EFF" w:rsidRPr="00B660E9">
        <w:rPr>
          <w:rFonts w:ascii="Verdana" w:hAnsi="Verdana"/>
          <w:b/>
          <w:smallCaps/>
          <w:sz w:val="20"/>
          <w:szCs w:val="20"/>
          <w:lang w:val="es-ES"/>
        </w:rPr>
        <w:t xml:space="preserve">: </w:t>
      </w:r>
    </w:p>
    <w:p w14:paraId="45336CE9" w14:textId="11FCB8E0" w:rsidR="00B53EF0" w:rsidRPr="00B660E9" w:rsidRDefault="00B53EF0" w:rsidP="00BE0EFF">
      <w:pPr>
        <w:numPr>
          <w:ilvl w:val="0"/>
          <w:numId w:val="1"/>
        </w:numPr>
        <w:spacing w:before="120" w:after="120"/>
        <w:ind w:left="0" w:firstLine="0"/>
        <w:jc w:val="both"/>
        <w:rPr>
          <w:rFonts w:ascii="Verdana" w:eastAsia="Calibri" w:hAnsi="Verdana" w:cs="Verdana"/>
          <w:color w:val="000000"/>
          <w:sz w:val="20"/>
          <w:szCs w:val="20"/>
          <w:lang w:val="es-CR"/>
        </w:rPr>
      </w:pPr>
      <w:r w:rsidRPr="00B660E9">
        <w:rPr>
          <w:rFonts w:ascii="Verdana" w:hAnsi="Verdana"/>
          <w:sz w:val="20"/>
          <w:szCs w:val="20"/>
        </w:rPr>
        <w:t xml:space="preserve">Las Sentencias emitidas por la Corte Interamericana de Derechos Humanos (en adelante “la Corte Interamericana”, “la Corte” o “el Tribunal”) </w:t>
      </w:r>
      <w:r w:rsidR="00B055FC">
        <w:rPr>
          <w:rFonts w:ascii="Verdana" w:hAnsi="Verdana"/>
          <w:sz w:val="20"/>
          <w:szCs w:val="20"/>
        </w:rPr>
        <w:t xml:space="preserve">en </w:t>
      </w:r>
      <w:r w:rsidRPr="00B660E9">
        <w:rPr>
          <w:rFonts w:ascii="Verdana" w:hAnsi="Verdana"/>
          <w:sz w:val="20"/>
          <w:szCs w:val="20"/>
        </w:rPr>
        <w:t xml:space="preserve">octubre de 2019 en </w:t>
      </w:r>
      <w:r w:rsidR="00B035F9">
        <w:rPr>
          <w:rFonts w:ascii="Verdana" w:hAnsi="Verdana"/>
          <w:sz w:val="20"/>
          <w:szCs w:val="20"/>
        </w:rPr>
        <w:t>los</w:t>
      </w:r>
      <w:r w:rsidRPr="00B660E9">
        <w:rPr>
          <w:rFonts w:ascii="Verdana" w:hAnsi="Verdana"/>
          <w:sz w:val="20"/>
          <w:szCs w:val="20"/>
        </w:rPr>
        <w:t xml:space="preserve"> caso</w:t>
      </w:r>
      <w:r w:rsidR="00B035F9">
        <w:rPr>
          <w:rFonts w:ascii="Verdana" w:hAnsi="Verdana"/>
          <w:sz w:val="20"/>
          <w:szCs w:val="20"/>
        </w:rPr>
        <w:t>s</w:t>
      </w:r>
      <w:r w:rsidRPr="00B660E9">
        <w:rPr>
          <w:rFonts w:ascii="Verdana" w:hAnsi="Verdana"/>
          <w:sz w:val="20"/>
          <w:szCs w:val="20"/>
        </w:rPr>
        <w:t xml:space="preserve"> </w:t>
      </w:r>
      <w:r w:rsidRPr="00B660E9">
        <w:rPr>
          <w:rFonts w:ascii="Verdana" w:hAnsi="Verdana"/>
          <w:i/>
          <w:sz w:val="20"/>
          <w:szCs w:val="20"/>
        </w:rPr>
        <w:t>Valenzuela Ávila</w:t>
      </w:r>
      <w:r w:rsidRPr="00B660E9">
        <w:rPr>
          <w:rStyle w:val="Refdenotaalpie"/>
          <w:sz w:val="20"/>
          <w:szCs w:val="20"/>
        </w:rPr>
        <w:footnoteReference w:id="1"/>
      </w:r>
      <w:r w:rsidR="00EF4CF9">
        <w:rPr>
          <w:rFonts w:ascii="Verdana" w:hAnsi="Verdana"/>
          <w:sz w:val="20"/>
          <w:szCs w:val="20"/>
        </w:rPr>
        <w:t>,</w:t>
      </w:r>
      <w:r w:rsidRPr="00B660E9">
        <w:rPr>
          <w:rFonts w:ascii="Verdana" w:hAnsi="Verdana"/>
          <w:sz w:val="20"/>
          <w:szCs w:val="20"/>
        </w:rPr>
        <w:t xml:space="preserve"> y </w:t>
      </w:r>
      <w:r w:rsidRPr="00B660E9">
        <w:rPr>
          <w:rFonts w:ascii="Verdana" w:eastAsia="Calibri" w:hAnsi="Verdana" w:cs="Verdana"/>
          <w:i/>
          <w:color w:val="000000"/>
          <w:sz w:val="20"/>
          <w:szCs w:val="20"/>
          <w:lang w:val="es-CR"/>
        </w:rPr>
        <w:t>Ruiz Fuentes y otra</w:t>
      </w:r>
      <w:r w:rsidRPr="00B660E9">
        <w:rPr>
          <w:rStyle w:val="Refdenotaalpie"/>
          <w:rFonts w:eastAsia="Calibri" w:cs="Verdana"/>
          <w:color w:val="000000"/>
          <w:sz w:val="20"/>
          <w:szCs w:val="20"/>
          <w:lang w:val="es-CR"/>
        </w:rPr>
        <w:footnoteReference w:id="2"/>
      </w:r>
      <w:r w:rsidRPr="00B660E9">
        <w:rPr>
          <w:rFonts w:ascii="Verdana" w:eastAsia="Calibri" w:hAnsi="Verdana" w:cs="Verdana"/>
          <w:color w:val="000000"/>
          <w:sz w:val="20"/>
          <w:szCs w:val="20"/>
          <w:lang w:val="es-CR"/>
        </w:rPr>
        <w:t xml:space="preserve"> (en adelante “los casos”), ambos contra la República de Guatemala (en adelante “el Estado” o “Guatemala”). En las referidas Sentencias, la Corte determinó que el Estado era responsable</w:t>
      </w:r>
      <w:r w:rsidRPr="00D84A28">
        <w:rPr>
          <w:rFonts w:ascii="Verdana" w:eastAsia="Calibri" w:hAnsi="Verdana" w:cs="Verdana"/>
          <w:color w:val="000000"/>
          <w:spacing w:val="-6"/>
          <w:sz w:val="20"/>
          <w:szCs w:val="20"/>
          <w:lang w:val="es-CR"/>
        </w:rPr>
        <w:t xml:space="preserve"> internacionalmente por, entre otras, </w:t>
      </w:r>
      <w:r w:rsidRPr="00B660E9">
        <w:rPr>
          <w:rFonts w:ascii="Verdana" w:eastAsia="Calibri" w:hAnsi="Verdana" w:cs="Verdana"/>
          <w:color w:val="000000"/>
          <w:sz w:val="20"/>
          <w:szCs w:val="20"/>
          <w:lang w:val="es-CR"/>
        </w:rPr>
        <w:t>la violación a los derechos a la vida, a la integridad personal, a las garantías judiciales y a la protección judicial en perjuicio de los señores</w:t>
      </w:r>
      <w:r w:rsidRPr="00B660E9">
        <w:rPr>
          <w:rFonts w:ascii="Verdana" w:hAnsi="Verdana"/>
          <w:sz w:val="20"/>
          <w:szCs w:val="20"/>
        </w:rPr>
        <w:t xml:space="preserve"> Tirso Román Valenzuela Ávila y Hugo Humberto Ruiz Fuentes (en adelante “los señores Valenzuela Ávila y Ruiz Fuentes”). </w:t>
      </w:r>
      <w:r w:rsidR="00B055FC">
        <w:rPr>
          <w:rFonts w:ascii="Verdana" w:hAnsi="Verdana"/>
          <w:sz w:val="20"/>
          <w:szCs w:val="20"/>
        </w:rPr>
        <w:t xml:space="preserve">En ambos casos </w:t>
      </w:r>
      <w:r w:rsidR="00926C30">
        <w:rPr>
          <w:rFonts w:ascii="Verdana" w:hAnsi="Verdana"/>
          <w:sz w:val="20"/>
          <w:szCs w:val="20"/>
        </w:rPr>
        <w:t>la Corte encontró al Estado responsable por</w:t>
      </w:r>
      <w:r w:rsidR="00B055FC" w:rsidRPr="00B660E9">
        <w:rPr>
          <w:rFonts w:ascii="Verdana" w:hAnsi="Verdana"/>
          <w:sz w:val="20"/>
          <w:szCs w:val="20"/>
        </w:rPr>
        <w:t xml:space="preserve"> la ejecución extrajudicial de </w:t>
      </w:r>
      <w:r w:rsidR="00926C30">
        <w:rPr>
          <w:rFonts w:ascii="Verdana" w:hAnsi="Verdana"/>
          <w:sz w:val="20"/>
          <w:szCs w:val="20"/>
        </w:rPr>
        <w:t xml:space="preserve">los señores </w:t>
      </w:r>
      <w:r w:rsidR="00926C30" w:rsidRPr="00B660E9">
        <w:rPr>
          <w:rFonts w:ascii="Verdana" w:hAnsi="Verdana"/>
          <w:sz w:val="20"/>
          <w:szCs w:val="20"/>
        </w:rPr>
        <w:t xml:space="preserve">Valenzuela Ávila y Ruiz Fuentes </w:t>
      </w:r>
      <w:r w:rsidR="00EF4CF9">
        <w:rPr>
          <w:rFonts w:ascii="Verdana" w:hAnsi="Verdana"/>
          <w:sz w:val="20"/>
          <w:szCs w:val="20"/>
        </w:rPr>
        <w:t>tras fugarse de la cárcel</w:t>
      </w:r>
      <w:r w:rsidR="00B055FC" w:rsidRPr="00B660E9">
        <w:rPr>
          <w:rFonts w:ascii="Verdana" w:hAnsi="Verdana"/>
          <w:sz w:val="20"/>
          <w:szCs w:val="20"/>
        </w:rPr>
        <w:t xml:space="preserve"> “</w:t>
      </w:r>
      <w:r w:rsidR="00926C30">
        <w:rPr>
          <w:rFonts w:ascii="Verdana" w:hAnsi="Verdana"/>
          <w:sz w:val="20"/>
          <w:szCs w:val="20"/>
        </w:rPr>
        <w:t xml:space="preserve">El Infiernito” en el año 2005, </w:t>
      </w:r>
      <w:r w:rsidR="00000778">
        <w:rPr>
          <w:rFonts w:ascii="Verdana" w:hAnsi="Verdana"/>
          <w:sz w:val="20"/>
          <w:szCs w:val="20"/>
        </w:rPr>
        <w:t xml:space="preserve">y </w:t>
      </w:r>
      <w:r w:rsidR="00926C30">
        <w:rPr>
          <w:rFonts w:ascii="Verdana" w:hAnsi="Verdana"/>
          <w:sz w:val="20"/>
          <w:szCs w:val="20"/>
        </w:rPr>
        <w:t xml:space="preserve">por la falta de </w:t>
      </w:r>
      <w:r w:rsidR="00B055FC" w:rsidRPr="00B660E9">
        <w:rPr>
          <w:rFonts w:ascii="Verdana" w:hAnsi="Verdana"/>
          <w:sz w:val="20"/>
          <w:szCs w:val="20"/>
        </w:rPr>
        <w:t>investigación de su</w:t>
      </w:r>
      <w:r w:rsidR="00926C30">
        <w:rPr>
          <w:rFonts w:ascii="Verdana" w:hAnsi="Verdana"/>
          <w:sz w:val="20"/>
          <w:szCs w:val="20"/>
        </w:rPr>
        <w:t>s</w:t>
      </w:r>
      <w:r w:rsidR="00B055FC" w:rsidRPr="00B660E9">
        <w:rPr>
          <w:rFonts w:ascii="Verdana" w:hAnsi="Verdana"/>
          <w:sz w:val="20"/>
          <w:szCs w:val="20"/>
        </w:rPr>
        <w:t xml:space="preserve"> muerte</w:t>
      </w:r>
      <w:r w:rsidR="00926C30">
        <w:rPr>
          <w:rFonts w:ascii="Verdana" w:hAnsi="Verdana"/>
          <w:sz w:val="20"/>
          <w:szCs w:val="20"/>
        </w:rPr>
        <w:t>s</w:t>
      </w:r>
      <w:r w:rsidR="00B055FC" w:rsidRPr="00B660E9">
        <w:rPr>
          <w:rFonts w:ascii="Verdana" w:hAnsi="Verdana"/>
          <w:sz w:val="20"/>
          <w:szCs w:val="20"/>
        </w:rPr>
        <w:t xml:space="preserve"> y de las torturas sufridas </w:t>
      </w:r>
      <w:r w:rsidR="00926C30">
        <w:rPr>
          <w:rFonts w:ascii="Verdana" w:hAnsi="Verdana"/>
          <w:sz w:val="20"/>
          <w:szCs w:val="20"/>
        </w:rPr>
        <w:t>durante su detención. Asimismo, e</w:t>
      </w:r>
      <w:r w:rsidRPr="00B660E9">
        <w:rPr>
          <w:rFonts w:ascii="Verdana" w:hAnsi="Verdana"/>
          <w:sz w:val="20"/>
          <w:szCs w:val="20"/>
        </w:rPr>
        <w:t xml:space="preserve">n el </w:t>
      </w:r>
      <w:r w:rsidRPr="00371068">
        <w:rPr>
          <w:rFonts w:ascii="Verdana" w:hAnsi="Verdana"/>
          <w:i/>
          <w:sz w:val="20"/>
          <w:szCs w:val="20"/>
        </w:rPr>
        <w:t>caso Valenzuela Ávila</w:t>
      </w:r>
      <w:r w:rsidRPr="00B660E9">
        <w:rPr>
          <w:rFonts w:ascii="Verdana" w:hAnsi="Verdana"/>
          <w:sz w:val="20"/>
          <w:szCs w:val="20"/>
        </w:rPr>
        <w:t xml:space="preserve">, la Corte </w:t>
      </w:r>
      <w:r w:rsidR="00926C30">
        <w:rPr>
          <w:rFonts w:ascii="Verdana" w:hAnsi="Verdana"/>
          <w:sz w:val="20"/>
          <w:szCs w:val="20"/>
        </w:rPr>
        <w:t xml:space="preserve">también concluyó que las </w:t>
      </w:r>
      <w:r w:rsidRPr="00B660E9">
        <w:rPr>
          <w:rFonts w:ascii="Verdana" w:hAnsi="Verdana"/>
          <w:sz w:val="20"/>
          <w:szCs w:val="20"/>
        </w:rPr>
        <w:t xml:space="preserve">violaciones se debieron a: i) el marco del procedimiento que culminó con la pena de muerte del señor Valenzuela Ávila; </w:t>
      </w:r>
      <w:proofErr w:type="spellStart"/>
      <w:r w:rsidRPr="00B660E9">
        <w:rPr>
          <w:rFonts w:ascii="Verdana" w:hAnsi="Verdana"/>
          <w:sz w:val="20"/>
          <w:szCs w:val="20"/>
        </w:rPr>
        <w:t>ii</w:t>
      </w:r>
      <w:proofErr w:type="spellEnd"/>
      <w:r w:rsidRPr="00B660E9">
        <w:rPr>
          <w:rFonts w:ascii="Verdana" w:hAnsi="Verdana"/>
          <w:sz w:val="20"/>
          <w:szCs w:val="20"/>
        </w:rPr>
        <w:t xml:space="preserve">) la condena del señor Valenzuela Ávila a la pena de muerte con fundamento en la figura de “peligrosidad futura”; </w:t>
      </w:r>
      <w:proofErr w:type="spellStart"/>
      <w:r w:rsidRPr="00B660E9">
        <w:rPr>
          <w:rFonts w:ascii="Verdana" w:hAnsi="Verdana"/>
          <w:sz w:val="20"/>
          <w:szCs w:val="20"/>
        </w:rPr>
        <w:t>iii</w:t>
      </w:r>
      <w:proofErr w:type="spellEnd"/>
      <w:r w:rsidRPr="00B660E9">
        <w:rPr>
          <w:rFonts w:ascii="Verdana" w:hAnsi="Verdana"/>
          <w:sz w:val="20"/>
          <w:szCs w:val="20"/>
        </w:rPr>
        <w:t xml:space="preserve">) la afectación a su integridad por el fenómeno del “corredor de la muerte”; </w:t>
      </w:r>
      <w:proofErr w:type="spellStart"/>
      <w:r w:rsidRPr="00B660E9">
        <w:rPr>
          <w:rFonts w:ascii="Verdana" w:hAnsi="Verdana"/>
          <w:sz w:val="20"/>
          <w:szCs w:val="20"/>
        </w:rPr>
        <w:t>iv</w:t>
      </w:r>
      <w:proofErr w:type="spellEnd"/>
      <w:r w:rsidRPr="00B660E9">
        <w:rPr>
          <w:rFonts w:ascii="Verdana" w:hAnsi="Verdana"/>
          <w:sz w:val="20"/>
          <w:szCs w:val="20"/>
        </w:rPr>
        <w:t xml:space="preserve">) los actos de tortura a los que fue sometido al momento de su detención el 27 de mayo de 1998 y los días 17 y 18 de junio de 2001, y por los tratos crueles, inhumanos y degradantes que sufrió al no haber recibido tratamiento médico adecuado; </w:t>
      </w:r>
      <w:r w:rsidR="00A8255C">
        <w:rPr>
          <w:rFonts w:ascii="Verdana" w:hAnsi="Verdana"/>
          <w:sz w:val="20"/>
          <w:szCs w:val="20"/>
        </w:rPr>
        <w:t xml:space="preserve">y </w:t>
      </w:r>
      <w:r w:rsidRPr="00B660E9">
        <w:rPr>
          <w:rFonts w:ascii="Verdana" w:hAnsi="Verdana"/>
          <w:sz w:val="20"/>
          <w:szCs w:val="20"/>
        </w:rPr>
        <w:t>v) la vulneración a la intimidad personal por la violación sexual que sufrió el 27 de mayo de 1998</w:t>
      </w:r>
      <w:r w:rsidR="00A8255C">
        <w:rPr>
          <w:rFonts w:ascii="Verdana" w:hAnsi="Verdana"/>
          <w:sz w:val="20"/>
          <w:szCs w:val="20"/>
        </w:rPr>
        <w:t>.</w:t>
      </w:r>
      <w:r w:rsidRPr="00B660E9">
        <w:rPr>
          <w:rFonts w:ascii="Verdana" w:hAnsi="Verdana"/>
          <w:sz w:val="20"/>
          <w:szCs w:val="20"/>
        </w:rPr>
        <w:t xml:space="preserve"> En el </w:t>
      </w:r>
      <w:r w:rsidRPr="00A8255C">
        <w:rPr>
          <w:rFonts w:ascii="Verdana" w:hAnsi="Verdana"/>
          <w:sz w:val="20"/>
          <w:szCs w:val="20"/>
        </w:rPr>
        <w:t>caso</w:t>
      </w:r>
      <w:r w:rsidRPr="00A8255C">
        <w:rPr>
          <w:rFonts w:ascii="Verdana" w:hAnsi="Verdana"/>
          <w:i/>
          <w:sz w:val="20"/>
          <w:szCs w:val="20"/>
        </w:rPr>
        <w:t xml:space="preserve"> Ruiz Fuentes y otra</w:t>
      </w:r>
      <w:r w:rsidRPr="00B660E9">
        <w:rPr>
          <w:rFonts w:ascii="Verdana" w:hAnsi="Verdana"/>
          <w:sz w:val="20"/>
          <w:szCs w:val="20"/>
        </w:rPr>
        <w:t xml:space="preserve">, dichas </w:t>
      </w:r>
      <w:r w:rsidRPr="00B660E9">
        <w:rPr>
          <w:rFonts w:ascii="Verdana" w:eastAsia="Calibri" w:hAnsi="Verdana" w:cs="Verdana"/>
          <w:color w:val="000000"/>
          <w:sz w:val="20"/>
          <w:szCs w:val="20"/>
          <w:lang w:val="es-CR"/>
        </w:rPr>
        <w:t xml:space="preserve">violaciones se declararon por: i) los actos de tortura a los que fue sometido </w:t>
      </w:r>
      <w:r w:rsidR="00371068">
        <w:rPr>
          <w:rFonts w:ascii="Verdana" w:eastAsia="Calibri" w:hAnsi="Verdana" w:cs="Verdana"/>
          <w:color w:val="000000"/>
          <w:sz w:val="20"/>
          <w:szCs w:val="20"/>
          <w:lang w:val="es-CR"/>
        </w:rPr>
        <w:t xml:space="preserve">el </w:t>
      </w:r>
      <w:r w:rsidR="00371068">
        <w:rPr>
          <w:rFonts w:ascii="Verdana" w:eastAsia="Calibri" w:hAnsi="Verdana" w:cs="Verdana"/>
          <w:color w:val="000000"/>
          <w:sz w:val="20"/>
          <w:szCs w:val="20"/>
          <w:lang w:val="es-CR"/>
        </w:rPr>
        <w:lastRenderedPageBreak/>
        <w:t xml:space="preserve">señor Ruiz Fuentes </w:t>
      </w:r>
      <w:r w:rsidRPr="00B660E9">
        <w:rPr>
          <w:rFonts w:ascii="Verdana" w:eastAsia="Calibri" w:hAnsi="Verdana" w:cs="Verdana"/>
          <w:color w:val="000000"/>
          <w:sz w:val="20"/>
          <w:szCs w:val="20"/>
          <w:lang w:val="es-CR"/>
        </w:rPr>
        <w:t xml:space="preserve">al momento de su detención el 6 de agosto de 1997; </w:t>
      </w:r>
      <w:proofErr w:type="spellStart"/>
      <w:r w:rsidRPr="00B660E9">
        <w:rPr>
          <w:rFonts w:ascii="Verdana" w:eastAsia="Calibri" w:hAnsi="Verdana" w:cs="Verdana"/>
          <w:color w:val="000000"/>
          <w:sz w:val="20"/>
          <w:szCs w:val="20"/>
          <w:lang w:val="es-CR"/>
        </w:rPr>
        <w:t>ii</w:t>
      </w:r>
      <w:proofErr w:type="spellEnd"/>
      <w:r w:rsidRPr="00B660E9">
        <w:rPr>
          <w:rFonts w:ascii="Verdana" w:eastAsia="Calibri" w:hAnsi="Verdana" w:cs="Verdana"/>
          <w:color w:val="000000"/>
          <w:sz w:val="20"/>
          <w:szCs w:val="20"/>
          <w:lang w:val="es-CR"/>
        </w:rPr>
        <w:t>) la imposición de la pena de muerte</w:t>
      </w:r>
      <w:r w:rsidR="007E2110">
        <w:rPr>
          <w:rFonts w:ascii="Verdana" w:eastAsia="Calibri" w:hAnsi="Verdana" w:cs="Verdana"/>
          <w:color w:val="000000"/>
          <w:sz w:val="20"/>
          <w:szCs w:val="20"/>
          <w:lang w:val="es-CR"/>
        </w:rPr>
        <w:t>,</w:t>
      </w:r>
      <w:r w:rsidRPr="00B660E9">
        <w:rPr>
          <w:rFonts w:ascii="Verdana" w:eastAsia="Calibri" w:hAnsi="Verdana" w:cs="Verdana"/>
          <w:color w:val="000000"/>
          <w:sz w:val="20"/>
          <w:szCs w:val="20"/>
          <w:lang w:val="es-CR"/>
        </w:rPr>
        <w:t xml:space="preserve"> y el trato cruel, inhumano y degradante proveniente de la angustia de encontrarse en el “corredor de la muerte”; </w:t>
      </w:r>
      <w:r w:rsidR="00A8255C">
        <w:rPr>
          <w:rFonts w:ascii="Verdana" w:eastAsia="Calibri" w:hAnsi="Verdana" w:cs="Verdana"/>
          <w:color w:val="000000"/>
          <w:sz w:val="20"/>
          <w:szCs w:val="20"/>
          <w:lang w:val="es-CR"/>
        </w:rPr>
        <w:t xml:space="preserve">y </w:t>
      </w:r>
      <w:proofErr w:type="spellStart"/>
      <w:r w:rsidRPr="00B660E9">
        <w:rPr>
          <w:rFonts w:ascii="Verdana" w:eastAsia="Calibri" w:hAnsi="Verdana" w:cs="Verdana"/>
          <w:color w:val="000000"/>
          <w:sz w:val="20"/>
          <w:szCs w:val="20"/>
          <w:lang w:val="es-CR"/>
        </w:rPr>
        <w:t>iii</w:t>
      </w:r>
      <w:proofErr w:type="spellEnd"/>
      <w:r w:rsidRPr="00B660E9">
        <w:rPr>
          <w:rFonts w:ascii="Verdana" w:eastAsia="Calibri" w:hAnsi="Verdana" w:cs="Verdana"/>
          <w:color w:val="000000"/>
          <w:sz w:val="20"/>
          <w:szCs w:val="20"/>
          <w:lang w:val="es-CR"/>
        </w:rPr>
        <w:t xml:space="preserve">) </w:t>
      </w:r>
      <w:r w:rsidRPr="00B660E9">
        <w:rPr>
          <w:rFonts w:ascii="Verdana" w:hAnsi="Verdana"/>
          <w:sz w:val="20"/>
          <w:szCs w:val="20"/>
        </w:rPr>
        <w:t>la violación del derecho a las garantías judiciales en el marco del procedimiento que culminó co</w:t>
      </w:r>
      <w:r w:rsidR="00A8255C">
        <w:rPr>
          <w:rFonts w:ascii="Verdana" w:hAnsi="Verdana"/>
          <w:sz w:val="20"/>
          <w:szCs w:val="20"/>
        </w:rPr>
        <w:t>n la sentencia a pena de muerte</w:t>
      </w:r>
      <w:r w:rsidRPr="00B660E9">
        <w:rPr>
          <w:rStyle w:val="Refdenotaalpie"/>
          <w:sz w:val="20"/>
          <w:szCs w:val="20"/>
        </w:rPr>
        <w:footnoteReference w:id="3"/>
      </w:r>
      <w:r w:rsidRPr="00B660E9">
        <w:rPr>
          <w:rFonts w:ascii="Verdana" w:hAnsi="Verdana"/>
          <w:sz w:val="20"/>
          <w:szCs w:val="20"/>
        </w:rPr>
        <w:t>. Entre otras reparaciones, la Corte ordenó en los dos casos que</w:t>
      </w:r>
      <w:r w:rsidRPr="00B660E9">
        <w:rPr>
          <w:rFonts w:ascii="Verdana" w:eastAsia="Calibri" w:hAnsi="Verdana" w:cs="Verdana"/>
          <w:color w:val="000000"/>
          <w:sz w:val="20"/>
          <w:szCs w:val="20"/>
          <w:lang w:val="es-CR"/>
        </w:rPr>
        <w:t xml:space="preserve"> </w:t>
      </w:r>
      <w:r w:rsidRPr="00B660E9">
        <w:rPr>
          <w:rFonts w:ascii="Verdana" w:hAnsi="Verdana"/>
          <w:sz w:val="20"/>
          <w:szCs w:val="20"/>
        </w:rPr>
        <w:t>el Estado debe investigar, identificar, juzgar y, en su caso, sancionar a los responsables de</w:t>
      </w:r>
      <w:r w:rsidRPr="00B660E9">
        <w:rPr>
          <w:rFonts w:ascii="Verdana" w:eastAsia="Calibri" w:hAnsi="Verdana" w:cs="Verdana"/>
          <w:color w:val="000000"/>
          <w:sz w:val="20"/>
          <w:szCs w:val="20"/>
          <w:lang w:val="es-CR"/>
        </w:rPr>
        <w:t xml:space="preserve"> </w:t>
      </w:r>
      <w:r w:rsidRPr="00B660E9">
        <w:rPr>
          <w:rFonts w:ascii="Verdana" w:hAnsi="Verdana"/>
          <w:sz w:val="20"/>
          <w:szCs w:val="20"/>
        </w:rPr>
        <w:t xml:space="preserve">la muerte </w:t>
      </w:r>
      <w:r w:rsidRPr="00B660E9">
        <w:rPr>
          <w:rFonts w:ascii="Verdana" w:eastAsia="Calibri" w:hAnsi="Verdana" w:cs="Verdana"/>
          <w:color w:val="000000"/>
          <w:sz w:val="20"/>
          <w:szCs w:val="20"/>
          <w:lang w:val="es-CR"/>
        </w:rPr>
        <w:t xml:space="preserve">de </w:t>
      </w:r>
      <w:r w:rsidRPr="00B660E9">
        <w:rPr>
          <w:rFonts w:ascii="Verdana" w:hAnsi="Verdana"/>
          <w:sz w:val="20"/>
          <w:szCs w:val="20"/>
        </w:rPr>
        <w:t>los señores Valenzuela Ávila y Ruiz Fuentes, y que dicha obligación contempla que debe asegurar “que</w:t>
      </w:r>
      <w:r w:rsidRPr="00B660E9">
        <w:rPr>
          <w:rFonts w:ascii="Verdana" w:eastAsia="Calibri" w:hAnsi="Verdana" w:cs="Verdana"/>
          <w:color w:val="000000"/>
          <w:sz w:val="20"/>
          <w:szCs w:val="20"/>
          <w:lang w:val="es-CR"/>
        </w:rPr>
        <w:t xml:space="preserve"> </w:t>
      </w:r>
      <w:r w:rsidRPr="00B660E9">
        <w:rPr>
          <w:rFonts w:ascii="Verdana" w:hAnsi="Verdana"/>
          <w:sz w:val="20"/>
          <w:szCs w:val="20"/>
        </w:rPr>
        <w:t>las personas que participen en la investigación, entre ellas, […] operadores de justicia,</w:t>
      </w:r>
      <w:r w:rsidRPr="00B660E9">
        <w:rPr>
          <w:rFonts w:ascii="Verdana" w:eastAsia="Calibri" w:hAnsi="Verdana" w:cs="Verdana"/>
          <w:color w:val="000000"/>
          <w:sz w:val="20"/>
          <w:szCs w:val="20"/>
          <w:lang w:val="es-CR"/>
        </w:rPr>
        <w:t xml:space="preserve"> </w:t>
      </w:r>
      <w:r w:rsidRPr="00B660E9">
        <w:rPr>
          <w:rFonts w:ascii="Verdana" w:hAnsi="Verdana"/>
          <w:sz w:val="20"/>
          <w:szCs w:val="20"/>
        </w:rPr>
        <w:t>cuenten con las debidas garantías de seguridad”</w:t>
      </w:r>
      <w:r w:rsidRPr="00B660E9">
        <w:rPr>
          <w:rStyle w:val="Refdenotaalpie"/>
          <w:sz w:val="20"/>
          <w:szCs w:val="20"/>
        </w:rPr>
        <w:footnoteReference w:id="4"/>
      </w:r>
      <w:r w:rsidRPr="00B660E9">
        <w:rPr>
          <w:rFonts w:ascii="Verdana" w:hAnsi="Verdana"/>
          <w:sz w:val="20"/>
          <w:szCs w:val="20"/>
        </w:rPr>
        <w:t>.</w:t>
      </w:r>
    </w:p>
    <w:p w14:paraId="60E610BE" w14:textId="77777777" w:rsidR="00B53EF0" w:rsidRPr="00B660E9" w:rsidRDefault="00B53EF0" w:rsidP="00BE0EFF">
      <w:pPr>
        <w:numPr>
          <w:ilvl w:val="0"/>
          <w:numId w:val="1"/>
        </w:numPr>
        <w:spacing w:before="120" w:after="120"/>
        <w:ind w:left="0" w:firstLine="0"/>
        <w:jc w:val="both"/>
        <w:rPr>
          <w:rFonts w:ascii="Verdana" w:hAnsi="Verdana"/>
          <w:sz w:val="20"/>
          <w:szCs w:val="20"/>
        </w:rPr>
      </w:pPr>
      <w:r w:rsidRPr="00B660E9">
        <w:rPr>
          <w:rFonts w:ascii="Verdana" w:hAnsi="Verdana"/>
          <w:sz w:val="20"/>
          <w:szCs w:val="20"/>
        </w:rPr>
        <w:t>La Resolución de solicitud de medidas provisionales y supervisión de cumplimiento de Sentencia emitida por la Corte el 2 de se</w:t>
      </w:r>
      <w:r w:rsidR="00DD18F9">
        <w:rPr>
          <w:rFonts w:ascii="Verdana" w:hAnsi="Verdana"/>
          <w:sz w:val="20"/>
          <w:szCs w:val="20"/>
        </w:rPr>
        <w:t>p</w:t>
      </w:r>
      <w:r w:rsidRPr="00B660E9">
        <w:rPr>
          <w:rFonts w:ascii="Verdana" w:hAnsi="Verdana"/>
          <w:sz w:val="20"/>
          <w:szCs w:val="20"/>
        </w:rPr>
        <w:t xml:space="preserve">tiembre de 2020 en el caso </w:t>
      </w:r>
      <w:r w:rsidRPr="00B660E9">
        <w:rPr>
          <w:rFonts w:ascii="Verdana" w:hAnsi="Verdana"/>
          <w:i/>
          <w:sz w:val="20"/>
          <w:szCs w:val="20"/>
        </w:rPr>
        <w:t xml:space="preserve">Ruiz Fuentes y otra, </w:t>
      </w:r>
      <w:r w:rsidRPr="00B660E9">
        <w:rPr>
          <w:rFonts w:ascii="Verdana" w:hAnsi="Verdana"/>
          <w:sz w:val="20"/>
          <w:szCs w:val="20"/>
        </w:rPr>
        <w:t>mediante la cual resolvió</w:t>
      </w:r>
      <w:r w:rsidRPr="00B660E9">
        <w:rPr>
          <w:rFonts w:ascii="Verdana" w:eastAsia="Calibri" w:hAnsi="Verdana" w:cs="Verdana"/>
          <w:color w:val="000000"/>
          <w:sz w:val="20"/>
          <w:szCs w:val="20"/>
          <w:lang w:val="es-CR"/>
        </w:rPr>
        <w:t xml:space="preserve"> “[d]</w:t>
      </w:r>
      <w:proofErr w:type="spellStart"/>
      <w:r w:rsidRPr="00B660E9">
        <w:rPr>
          <w:rFonts w:ascii="Verdana" w:eastAsia="Calibri" w:hAnsi="Verdana" w:cs="Verdana"/>
          <w:color w:val="000000"/>
          <w:sz w:val="20"/>
          <w:szCs w:val="20"/>
          <w:lang w:val="es-CR"/>
        </w:rPr>
        <w:t>esestimar</w:t>
      </w:r>
      <w:proofErr w:type="spellEnd"/>
      <w:r w:rsidRPr="00B660E9">
        <w:rPr>
          <w:rFonts w:ascii="Verdana" w:eastAsia="Calibri" w:hAnsi="Verdana" w:cs="Verdana"/>
          <w:color w:val="000000"/>
          <w:sz w:val="20"/>
          <w:szCs w:val="20"/>
          <w:lang w:val="es-CR"/>
        </w:rPr>
        <w:t xml:space="preserve"> la solicitud de medidas provisionales y realizar una supervisión reforzada respecto de la medida relativa a investigar, identificar, juzgar y, en su caso, sancionar a los responsables de la muerte del señor Hugo Humberto Ruiz Fuentes ordenada en la Sentencia, en lo que respecta al deber de asegurar que los operadores de justicia (Fiscales “A”, “B” y Auxiliar Fiscal “C”) vinculados a las investigaciones cuenten con las debidas garantías de seguridad”. </w:t>
      </w:r>
      <w:r w:rsidR="00DD18F9">
        <w:rPr>
          <w:rFonts w:ascii="Verdana" w:eastAsia="Calibri" w:hAnsi="Verdana" w:cs="Verdana"/>
          <w:color w:val="000000"/>
          <w:sz w:val="20"/>
          <w:szCs w:val="20"/>
          <w:lang w:val="es-CR"/>
        </w:rPr>
        <w:t>A tal fin</w:t>
      </w:r>
      <w:r w:rsidRPr="00B660E9">
        <w:rPr>
          <w:rFonts w:ascii="Verdana" w:eastAsia="Calibri" w:hAnsi="Verdana" w:cs="Verdana"/>
          <w:color w:val="000000"/>
          <w:sz w:val="20"/>
          <w:szCs w:val="20"/>
          <w:lang w:val="es-CR"/>
        </w:rPr>
        <w:t>, solicitó al Estado</w:t>
      </w:r>
      <w:r w:rsidRPr="00B660E9">
        <w:rPr>
          <w:rFonts w:ascii="Verdana" w:hAnsi="Verdana"/>
          <w:sz w:val="20"/>
          <w:szCs w:val="20"/>
        </w:rPr>
        <w:t xml:space="preserve"> </w:t>
      </w:r>
      <w:r w:rsidR="00DD18F9">
        <w:rPr>
          <w:rFonts w:ascii="Verdana" w:hAnsi="Verdana"/>
          <w:sz w:val="20"/>
          <w:szCs w:val="20"/>
        </w:rPr>
        <w:t xml:space="preserve">que </w:t>
      </w:r>
      <w:r w:rsidRPr="00B660E9">
        <w:rPr>
          <w:rFonts w:ascii="Verdana" w:hAnsi="Verdana"/>
          <w:sz w:val="20"/>
          <w:szCs w:val="20"/>
        </w:rPr>
        <w:t>present</w:t>
      </w:r>
      <w:r w:rsidR="00DD18F9">
        <w:rPr>
          <w:rFonts w:ascii="Verdana" w:hAnsi="Verdana"/>
          <w:sz w:val="20"/>
          <w:szCs w:val="20"/>
        </w:rPr>
        <w:t>ara</w:t>
      </w:r>
      <w:r w:rsidRPr="00B660E9">
        <w:rPr>
          <w:rFonts w:ascii="Verdana" w:hAnsi="Verdana"/>
          <w:sz w:val="20"/>
          <w:szCs w:val="20"/>
        </w:rPr>
        <w:t xml:space="preserve"> un informe sobre el cumplimiento de tal medida, a más tardar el 6 de noviembre de 2020, y que debía “continuar presentando informes cada cuatro semanas, por el tiempo que esta Corte considere necesario”</w:t>
      </w:r>
      <w:r w:rsidRPr="00B660E9">
        <w:rPr>
          <w:rStyle w:val="Refdenotaalpie"/>
          <w:sz w:val="20"/>
          <w:szCs w:val="20"/>
        </w:rPr>
        <w:footnoteReference w:id="5"/>
      </w:r>
      <w:r w:rsidRPr="00B660E9">
        <w:rPr>
          <w:rFonts w:ascii="Verdana" w:hAnsi="Verdana"/>
          <w:sz w:val="20"/>
          <w:szCs w:val="20"/>
        </w:rPr>
        <w:t>.</w:t>
      </w:r>
    </w:p>
    <w:p w14:paraId="751D2AA7" w14:textId="5966B9AE" w:rsidR="00B53EF0" w:rsidRPr="00B660E9" w:rsidRDefault="00A205F7" w:rsidP="00620820">
      <w:pPr>
        <w:numPr>
          <w:ilvl w:val="0"/>
          <w:numId w:val="1"/>
        </w:numPr>
        <w:spacing w:before="120" w:after="120"/>
        <w:ind w:left="0" w:firstLine="0"/>
        <w:jc w:val="both"/>
        <w:rPr>
          <w:rFonts w:ascii="Verdana" w:eastAsia="Calibri" w:hAnsi="Verdana" w:cs="Verdana"/>
          <w:color w:val="000000"/>
          <w:sz w:val="20"/>
          <w:szCs w:val="20"/>
          <w:lang w:val="es-CR"/>
        </w:rPr>
      </w:pPr>
      <w:r w:rsidRPr="00B660E9">
        <w:rPr>
          <w:rFonts w:ascii="Verdana" w:hAnsi="Verdana"/>
          <w:sz w:val="20"/>
          <w:szCs w:val="20"/>
        </w:rPr>
        <w:t>Los</w:t>
      </w:r>
      <w:r w:rsidR="00620820" w:rsidRPr="00B660E9">
        <w:rPr>
          <w:rFonts w:ascii="Verdana" w:hAnsi="Verdana"/>
          <w:sz w:val="20"/>
          <w:szCs w:val="20"/>
        </w:rPr>
        <w:t xml:space="preserve"> escrito</w:t>
      </w:r>
      <w:r w:rsidRPr="00B660E9">
        <w:rPr>
          <w:rFonts w:ascii="Verdana" w:hAnsi="Verdana"/>
          <w:sz w:val="20"/>
          <w:szCs w:val="20"/>
        </w:rPr>
        <w:t>s</w:t>
      </w:r>
      <w:r w:rsidR="00620820" w:rsidRPr="00B660E9">
        <w:rPr>
          <w:rFonts w:ascii="Verdana" w:hAnsi="Verdana"/>
          <w:sz w:val="20"/>
          <w:szCs w:val="20"/>
        </w:rPr>
        <w:t xml:space="preserve"> presentado</w:t>
      </w:r>
      <w:r w:rsidR="00D842E2" w:rsidRPr="00B660E9">
        <w:rPr>
          <w:rFonts w:ascii="Verdana" w:hAnsi="Verdana"/>
          <w:sz w:val="20"/>
          <w:szCs w:val="20"/>
        </w:rPr>
        <w:t>s</w:t>
      </w:r>
      <w:r w:rsidR="00620820" w:rsidRPr="00B660E9">
        <w:rPr>
          <w:rFonts w:ascii="Verdana" w:hAnsi="Verdana"/>
          <w:sz w:val="20"/>
          <w:szCs w:val="20"/>
        </w:rPr>
        <w:t xml:space="preserve"> por el Estado entre noviembre de 2020 y </w:t>
      </w:r>
      <w:r w:rsidR="00620878">
        <w:rPr>
          <w:rFonts w:ascii="Verdana" w:hAnsi="Verdana"/>
          <w:sz w:val="20"/>
          <w:szCs w:val="20"/>
        </w:rPr>
        <w:t>septiembre</w:t>
      </w:r>
      <w:r w:rsidR="00620820" w:rsidRPr="00B660E9">
        <w:rPr>
          <w:rFonts w:ascii="Verdana" w:hAnsi="Verdana"/>
          <w:sz w:val="20"/>
          <w:szCs w:val="20"/>
        </w:rPr>
        <w:t xml:space="preserve"> de 2021, mediante los cuales remitió los informes requeridos en la Resolución de 2 de se</w:t>
      </w:r>
      <w:r w:rsidR="00DD18F9">
        <w:rPr>
          <w:rFonts w:ascii="Verdana" w:hAnsi="Verdana"/>
          <w:sz w:val="20"/>
          <w:szCs w:val="20"/>
        </w:rPr>
        <w:t>p</w:t>
      </w:r>
      <w:r w:rsidR="00620820" w:rsidRPr="00B660E9">
        <w:rPr>
          <w:rFonts w:ascii="Verdana" w:hAnsi="Verdana"/>
          <w:sz w:val="20"/>
          <w:szCs w:val="20"/>
        </w:rPr>
        <w:t xml:space="preserve">tiembre de 2020 </w:t>
      </w:r>
      <w:r w:rsidR="00B53EF0" w:rsidRPr="00B660E9">
        <w:rPr>
          <w:rFonts w:ascii="Verdana" w:eastAsia="Calibri" w:hAnsi="Verdana" w:cs="Verdana"/>
          <w:color w:val="000000"/>
          <w:sz w:val="20"/>
          <w:szCs w:val="20"/>
          <w:lang w:val="es-CR"/>
        </w:rPr>
        <w:t>(</w:t>
      </w:r>
      <w:r w:rsidR="00B53EF0" w:rsidRPr="00B660E9">
        <w:rPr>
          <w:rFonts w:ascii="Verdana" w:eastAsia="Calibri" w:hAnsi="Verdana" w:cs="Verdana"/>
          <w:i/>
          <w:color w:val="000000"/>
          <w:sz w:val="20"/>
          <w:szCs w:val="20"/>
          <w:lang w:val="es-CR"/>
        </w:rPr>
        <w:t>supra</w:t>
      </w:r>
      <w:r w:rsidR="00B53EF0" w:rsidRPr="00B660E9">
        <w:rPr>
          <w:rFonts w:ascii="Verdana" w:eastAsia="Calibri" w:hAnsi="Verdana" w:cs="Verdana"/>
          <w:color w:val="000000"/>
          <w:sz w:val="20"/>
          <w:szCs w:val="20"/>
          <w:lang w:val="es-CR"/>
        </w:rPr>
        <w:t xml:space="preserve"> Visto </w:t>
      </w:r>
      <w:r w:rsidR="001C46F9">
        <w:rPr>
          <w:rFonts w:ascii="Verdana" w:eastAsia="Calibri" w:hAnsi="Verdana" w:cs="Verdana"/>
          <w:color w:val="000000"/>
          <w:sz w:val="20"/>
          <w:szCs w:val="20"/>
          <w:lang w:val="es-CR"/>
        </w:rPr>
        <w:t>2</w:t>
      </w:r>
      <w:r w:rsidR="00B53EF0" w:rsidRPr="00B660E9">
        <w:rPr>
          <w:rFonts w:ascii="Verdana" w:eastAsia="Calibri" w:hAnsi="Verdana" w:cs="Verdana"/>
          <w:color w:val="000000"/>
          <w:sz w:val="20"/>
          <w:szCs w:val="20"/>
          <w:lang w:val="es-CR"/>
        </w:rPr>
        <w:t>)</w:t>
      </w:r>
      <w:r w:rsidR="007B3952" w:rsidRPr="00B660E9">
        <w:rPr>
          <w:rFonts w:ascii="Verdana" w:hAnsi="Verdana"/>
          <w:sz w:val="20"/>
          <w:szCs w:val="20"/>
        </w:rPr>
        <w:t>, así como l</w:t>
      </w:r>
      <w:r w:rsidR="00B53EF0" w:rsidRPr="00B660E9">
        <w:rPr>
          <w:rFonts w:ascii="Verdana" w:hAnsi="Verdana"/>
          <w:sz w:val="20"/>
          <w:szCs w:val="20"/>
        </w:rPr>
        <w:t xml:space="preserve">os escritos </w:t>
      </w:r>
      <w:r w:rsidR="00620820" w:rsidRPr="00B660E9">
        <w:rPr>
          <w:rFonts w:ascii="Verdana" w:hAnsi="Verdana"/>
          <w:sz w:val="20"/>
          <w:szCs w:val="20"/>
        </w:rPr>
        <w:t xml:space="preserve">presentados por las representantes de las víctimas del caso </w:t>
      </w:r>
      <w:r w:rsidR="00620820" w:rsidRPr="00B660E9">
        <w:rPr>
          <w:rFonts w:ascii="Verdana" w:hAnsi="Verdana"/>
          <w:i/>
          <w:sz w:val="20"/>
          <w:szCs w:val="20"/>
        </w:rPr>
        <w:t>Ruiz Fuentes</w:t>
      </w:r>
      <w:r w:rsidR="009B2D76">
        <w:rPr>
          <w:rFonts w:ascii="Verdana" w:hAnsi="Verdana"/>
          <w:i/>
          <w:sz w:val="20"/>
          <w:szCs w:val="20"/>
        </w:rPr>
        <w:t xml:space="preserve"> y otra</w:t>
      </w:r>
      <w:r w:rsidR="00620820" w:rsidRPr="00B660E9">
        <w:rPr>
          <w:rFonts w:ascii="Verdana" w:hAnsi="Verdana"/>
          <w:i/>
          <w:sz w:val="20"/>
          <w:szCs w:val="20"/>
        </w:rPr>
        <w:t xml:space="preserve"> </w:t>
      </w:r>
      <w:r w:rsidR="00483D66">
        <w:rPr>
          <w:rFonts w:ascii="Verdana" w:hAnsi="Verdana"/>
          <w:sz w:val="20"/>
          <w:szCs w:val="20"/>
        </w:rPr>
        <w:t>(en adelante “la</w:t>
      </w:r>
      <w:r w:rsidR="00620820" w:rsidRPr="00B660E9">
        <w:rPr>
          <w:rFonts w:ascii="Verdana" w:hAnsi="Verdana"/>
          <w:sz w:val="20"/>
          <w:szCs w:val="20"/>
        </w:rPr>
        <w:t xml:space="preserve">s representantes del caso </w:t>
      </w:r>
      <w:r w:rsidR="00620820" w:rsidRPr="00B660E9">
        <w:rPr>
          <w:rFonts w:ascii="Verdana" w:hAnsi="Verdana"/>
          <w:i/>
          <w:sz w:val="20"/>
          <w:szCs w:val="20"/>
        </w:rPr>
        <w:t>Ruiz Fuentes</w:t>
      </w:r>
      <w:r w:rsidR="009B2D76">
        <w:rPr>
          <w:rFonts w:ascii="Verdana" w:hAnsi="Verdana"/>
          <w:i/>
          <w:sz w:val="20"/>
          <w:szCs w:val="20"/>
        </w:rPr>
        <w:t xml:space="preserve"> y otra</w:t>
      </w:r>
      <w:r w:rsidR="00620820" w:rsidRPr="00B660E9">
        <w:rPr>
          <w:rFonts w:ascii="Verdana" w:hAnsi="Verdana"/>
          <w:sz w:val="20"/>
          <w:szCs w:val="20"/>
        </w:rPr>
        <w:t>”)</w:t>
      </w:r>
      <w:r w:rsidR="00620820" w:rsidRPr="00B660E9">
        <w:rPr>
          <w:rStyle w:val="Refdenotaalpie"/>
          <w:sz w:val="20"/>
          <w:szCs w:val="20"/>
        </w:rPr>
        <w:footnoteReference w:id="6"/>
      </w:r>
      <w:r w:rsidR="00620820" w:rsidRPr="00B660E9">
        <w:rPr>
          <w:rFonts w:ascii="Verdana" w:hAnsi="Verdana"/>
          <w:sz w:val="20"/>
          <w:szCs w:val="20"/>
        </w:rPr>
        <w:t xml:space="preserve"> entre </w:t>
      </w:r>
      <w:r w:rsidR="001C46F9">
        <w:rPr>
          <w:rFonts w:ascii="Verdana" w:hAnsi="Verdana"/>
          <w:sz w:val="20"/>
          <w:szCs w:val="20"/>
        </w:rPr>
        <w:t xml:space="preserve">diciembre </w:t>
      </w:r>
      <w:r w:rsidR="00620820" w:rsidRPr="00B660E9">
        <w:rPr>
          <w:rFonts w:ascii="Verdana" w:hAnsi="Verdana"/>
          <w:sz w:val="20"/>
          <w:szCs w:val="20"/>
        </w:rPr>
        <w:t>de 2020 y agosto de 2021, mediante los cuales remitieron sus observaciones a tales informes estatales.</w:t>
      </w:r>
    </w:p>
    <w:p w14:paraId="7AFA3C81" w14:textId="2E37709D" w:rsidR="00B53EF0" w:rsidRPr="00B660E9" w:rsidRDefault="00B53EF0" w:rsidP="00BE0EFF">
      <w:pPr>
        <w:numPr>
          <w:ilvl w:val="0"/>
          <w:numId w:val="1"/>
        </w:numPr>
        <w:spacing w:before="120" w:after="120"/>
        <w:ind w:left="0" w:firstLine="0"/>
        <w:jc w:val="both"/>
        <w:rPr>
          <w:rFonts w:ascii="Verdana" w:eastAsia="Calibri" w:hAnsi="Verdana" w:cs="Verdana"/>
          <w:color w:val="000000"/>
          <w:sz w:val="20"/>
          <w:szCs w:val="20"/>
          <w:lang w:val="es-CR"/>
        </w:rPr>
      </w:pPr>
      <w:r w:rsidRPr="00B660E9">
        <w:rPr>
          <w:rFonts w:ascii="Verdana" w:eastAsia="Calibri" w:hAnsi="Verdana" w:cs="Verdana"/>
          <w:color w:val="000000"/>
          <w:sz w:val="20"/>
          <w:szCs w:val="20"/>
          <w:lang w:val="es-CR"/>
        </w:rPr>
        <w:t xml:space="preserve">El escrito de </w:t>
      </w:r>
      <w:r w:rsidRPr="00A05D01">
        <w:rPr>
          <w:rFonts w:ascii="Verdana" w:eastAsia="Calibri" w:hAnsi="Verdana" w:cs="Verdana"/>
          <w:color w:val="000000"/>
          <w:sz w:val="20"/>
          <w:szCs w:val="20"/>
          <w:lang w:val="es-CR"/>
        </w:rPr>
        <w:t>las</w:t>
      </w:r>
      <w:r w:rsidRPr="00B660E9">
        <w:rPr>
          <w:rFonts w:ascii="Verdana" w:eastAsia="Calibri" w:hAnsi="Verdana" w:cs="Verdana"/>
          <w:color w:val="000000"/>
          <w:sz w:val="20"/>
          <w:szCs w:val="20"/>
          <w:lang w:val="es-CR"/>
        </w:rPr>
        <w:t xml:space="preserve"> representantes de las víctimas </w:t>
      </w:r>
      <w:r w:rsidRPr="00B660E9">
        <w:rPr>
          <w:rFonts w:ascii="Verdana" w:hAnsi="Verdana"/>
          <w:sz w:val="20"/>
          <w:szCs w:val="20"/>
        </w:rPr>
        <w:t>del caso</w:t>
      </w:r>
      <w:r w:rsidRPr="00B660E9">
        <w:rPr>
          <w:rFonts w:ascii="Verdana" w:hAnsi="Verdana"/>
          <w:i/>
          <w:sz w:val="20"/>
          <w:szCs w:val="20"/>
        </w:rPr>
        <w:t xml:space="preserve"> Valenzuela Ávila</w:t>
      </w:r>
      <w:r w:rsidRPr="00B660E9">
        <w:rPr>
          <w:rStyle w:val="Refdenotaalpie"/>
          <w:sz w:val="20"/>
          <w:szCs w:val="20"/>
        </w:rPr>
        <w:footnoteReference w:id="7"/>
      </w:r>
      <w:r w:rsidRPr="00B660E9">
        <w:rPr>
          <w:rFonts w:ascii="Verdana" w:eastAsia="Calibri" w:hAnsi="Verdana" w:cs="Verdana"/>
          <w:color w:val="000000"/>
          <w:sz w:val="20"/>
          <w:szCs w:val="20"/>
          <w:lang w:val="es-CR"/>
        </w:rPr>
        <w:t xml:space="preserve"> (en adelante “l</w:t>
      </w:r>
      <w:r w:rsidR="00483D66">
        <w:rPr>
          <w:rFonts w:ascii="Verdana" w:eastAsia="Calibri" w:hAnsi="Verdana" w:cs="Verdana"/>
          <w:color w:val="000000"/>
          <w:sz w:val="20"/>
          <w:szCs w:val="20"/>
          <w:lang w:val="es-CR"/>
        </w:rPr>
        <w:t>a</w:t>
      </w:r>
      <w:r w:rsidRPr="00B660E9">
        <w:rPr>
          <w:rFonts w:ascii="Verdana" w:eastAsia="Calibri" w:hAnsi="Verdana" w:cs="Verdana"/>
          <w:color w:val="000000"/>
          <w:sz w:val="20"/>
          <w:szCs w:val="20"/>
          <w:lang w:val="es-CR"/>
        </w:rPr>
        <w:t xml:space="preserve">s representantes </w:t>
      </w:r>
      <w:r w:rsidRPr="00B660E9">
        <w:rPr>
          <w:rFonts w:ascii="Verdana" w:hAnsi="Verdana"/>
          <w:sz w:val="20"/>
          <w:szCs w:val="20"/>
        </w:rPr>
        <w:t>del caso</w:t>
      </w:r>
      <w:r w:rsidRPr="00B660E9">
        <w:rPr>
          <w:rFonts w:ascii="Verdana" w:hAnsi="Verdana"/>
          <w:i/>
          <w:sz w:val="20"/>
          <w:szCs w:val="20"/>
        </w:rPr>
        <w:t xml:space="preserve"> Valenzuela Ávila</w:t>
      </w:r>
      <w:r w:rsidRPr="00B660E9">
        <w:rPr>
          <w:rFonts w:ascii="Verdana" w:eastAsia="Calibri" w:hAnsi="Verdana" w:cs="Verdana"/>
          <w:color w:val="000000"/>
          <w:sz w:val="20"/>
          <w:szCs w:val="20"/>
          <w:lang w:val="es-CR"/>
        </w:rPr>
        <w:t>”) presentado el 25 de julio de 2021, mediante el cual sometieron a la Corte una solicitud de medidas provisionales, de conformidad con los artículos 63.2 de la Convención Americana sobre Derechos Humanos (en adelante “la Convención Americana” o “la Convención”) y 27.3 del Reglamento de la Corte (en adelante “el Reglamento”), con el propósito de que el Tribunal requiera a Guatemala implement</w:t>
      </w:r>
      <w:r w:rsidR="0090356D">
        <w:rPr>
          <w:rFonts w:ascii="Verdana" w:eastAsia="Calibri" w:hAnsi="Verdana" w:cs="Verdana"/>
          <w:color w:val="000000"/>
          <w:sz w:val="20"/>
          <w:szCs w:val="20"/>
          <w:lang w:val="es-CR"/>
        </w:rPr>
        <w:t>ar</w:t>
      </w:r>
      <w:r w:rsidRPr="00B660E9">
        <w:rPr>
          <w:rFonts w:ascii="Verdana" w:eastAsia="Calibri" w:hAnsi="Verdana" w:cs="Verdana"/>
          <w:color w:val="000000"/>
          <w:sz w:val="20"/>
          <w:szCs w:val="20"/>
          <w:lang w:val="es-CR"/>
        </w:rPr>
        <w:t xml:space="preserve"> medidas de protección a favor del ex </w:t>
      </w:r>
      <w:r w:rsidRPr="00B660E9">
        <w:rPr>
          <w:rFonts w:ascii="Verdana" w:eastAsiaTheme="minorHAnsi" w:hAnsi="Verdana" w:cs="Verdana"/>
          <w:sz w:val="20"/>
          <w:szCs w:val="20"/>
          <w:lang w:val="es-CR"/>
        </w:rPr>
        <w:t>Fiscal Juan Francisco Sandoval Alfaro</w:t>
      </w:r>
      <w:r w:rsidRPr="00B660E9">
        <w:rPr>
          <w:rStyle w:val="Refdenotaalpie"/>
          <w:rFonts w:eastAsiaTheme="minorHAnsi" w:cs="Verdana"/>
          <w:sz w:val="20"/>
          <w:szCs w:val="20"/>
          <w:lang w:val="es-CR"/>
        </w:rPr>
        <w:footnoteReference w:id="8"/>
      </w:r>
      <w:r w:rsidRPr="00B660E9">
        <w:rPr>
          <w:rFonts w:ascii="Verdana" w:eastAsiaTheme="minorHAnsi" w:hAnsi="Verdana" w:cs="Verdana"/>
          <w:sz w:val="20"/>
          <w:szCs w:val="20"/>
          <w:lang w:val="es-CR"/>
        </w:rPr>
        <w:t>, el Fiscal “B” y el Auxiliar Fiscal “C”</w:t>
      </w:r>
      <w:r w:rsidRPr="00B660E9">
        <w:rPr>
          <w:rFonts w:ascii="Verdana" w:eastAsia="Calibri" w:hAnsi="Verdana" w:cs="Verdana"/>
          <w:color w:val="000000"/>
          <w:sz w:val="20"/>
          <w:szCs w:val="20"/>
          <w:lang w:val="es-CR"/>
        </w:rPr>
        <w:t>, miembros de la Fiscalía Especial Contra la Impunidad en Guatemala (en adelante “la FECI”)</w:t>
      </w:r>
      <w:r w:rsidRPr="00B660E9">
        <w:rPr>
          <w:rFonts w:ascii="Verdana" w:eastAsiaTheme="minorHAnsi" w:hAnsi="Verdana" w:cs="Verdana"/>
          <w:sz w:val="20"/>
          <w:szCs w:val="20"/>
          <w:lang w:val="es-CR"/>
        </w:rPr>
        <w:t xml:space="preserve">, </w:t>
      </w:r>
      <w:r w:rsidRPr="00B660E9">
        <w:rPr>
          <w:rFonts w:ascii="Verdana" w:eastAsia="Calibri" w:hAnsi="Verdana" w:cs="Verdana"/>
          <w:color w:val="000000"/>
          <w:sz w:val="20"/>
          <w:szCs w:val="20"/>
          <w:lang w:val="es-CR"/>
        </w:rPr>
        <w:t xml:space="preserve">involucrados en el proceso de investigación por la ejecución del señor </w:t>
      </w:r>
      <w:r w:rsidRPr="00B660E9">
        <w:rPr>
          <w:rFonts w:ascii="Verdana" w:hAnsi="Verdana"/>
          <w:sz w:val="20"/>
          <w:szCs w:val="20"/>
        </w:rPr>
        <w:t>Tirso Román Valenzuela Ávila,</w:t>
      </w:r>
      <w:r w:rsidRPr="00B660E9">
        <w:rPr>
          <w:rFonts w:ascii="Verdana" w:eastAsiaTheme="minorHAnsi" w:hAnsi="Verdana" w:cs="Verdana"/>
          <w:sz w:val="20"/>
          <w:szCs w:val="20"/>
          <w:lang w:val="es-CR"/>
        </w:rPr>
        <w:t xml:space="preserve"> “a fin de evitar daños irreparables a los derechos a la vida, integridad personal, el derecho a vivir una vida libre de violencia, derecho</w:t>
      </w:r>
      <w:r w:rsidRPr="00B660E9">
        <w:rPr>
          <w:rFonts w:ascii="Verdana" w:hAnsi="Verdana"/>
          <w:sz w:val="20"/>
          <w:szCs w:val="20"/>
        </w:rPr>
        <w:t xml:space="preserve"> </w:t>
      </w:r>
      <w:r w:rsidRPr="00B660E9">
        <w:rPr>
          <w:rFonts w:ascii="Verdana" w:eastAsiaTheme="minorHAnsi" w:hAnsi="Verdana" w:cs="Verdana"/>
          <w:sz w:val="20"/>
          <w:szCs w:val="20"/>
          <w:lang w:val="es-CR"/>
        </w:rPr>
        <w:t xml:space="preserve">a la libertad y </w:t>
      </w:r>
      <w:r w:rsidRPr="00B660E9">
        <w:rPr>
          <w:rFonts w:ascii="Verdana" w:eastAsiaTheme="minorHAnsi" w:hAnsi="Verdana" w:cs="Verdana"/>
          <w:sz w:val="20"/>
          <w:szCs w:val="20"/>
          <w:lang w:val="es-CR"/>
        </w:rPr>
        <w:lastRenderedPageBreak/>
        <w:t>seguridad personales, de estabilidad en el ejercicio del cargo y las garantías judiciales</w:t>
      </w:r>
      <w:r w:rsidR="0090356D">
        <w:rPr>
          <w:rFonts w:ascii="Verdana" w:eastAsiaTheme="minorHAnsi" w:hAnsi="Verdana" w:cs="Verdana"/>
          <w:sz w:val="20"/>
          <w:szCs w:val="20"/>
          <w:lang w:val="es-CR"/>
        </w:rPr>
        <w:t xml:space="preserve"> mínimas</w:t>
      </w:r>
      <w:r w:rsidRPr="00B660E9">
        <w:rPr>
          <w:rFonts w:ascii="Verdana" w:eastAsiaTheme="minorHAnsi" w:hAnsi="Verdana" w:cs="Verdana"/>
          <w:sz w:val="20"/>
          <w:szCs w:val="20"/>
          <w:lang w:val="es-CR"/>
        </w:rPr>
        <w:t>”</w:t>
      </w:r>
      <w:r w:rsidRPr="00B660E9">
        <w:rPr>
          <w:rFonts w:ascii="Verdana" w:eastAsia="Calibri" w:hAnsi="Verdana" w:cs="Verdana"/>
          <w:color w:val="000000"/>
          <w:sz w:val="20"/>
          <w:szCs w:val="20"/>
          <w:lang w:val="es-CR"/>
        </w:rPr>
        <w:t>.</w:t>
      </w:r>
    </w:p>
    <w:p w14:paraId="6CF01A2B" w14:textId="77777777" w:rsidR="00B53EF0" w:rsidRPr="00B660E9" w:rsidRDefault="00B53EF0" w:rsidP="00BE0EFF">
      <w:pPr>
        <w:numPr>
          <w:ilvl w:val="0"/>
          <w:numId w:val="1"/>
        </w:numPr>
        <w:spacing w:before="120" w:after="120"/>
        <w:ind w:left="0" w:firstLine="0"/>
        <w:jc w:val="both"/>
        <w:rPr>
          <w:rFonts w:ascii="Verdana" w:eastAsia="Calibri" w:hAnsi="Verdana" w:cs="Verdana"/>
          <w:color w:val="000000"/>
          <w:sz w:val="20"/>
          <w:szCs w:val="20"/>
          <w:lang w:val="es-CR"/>
        </w:rPr>
      </w:pPr>
      <w:r w:rsidRPr="00B660E9">
        <w:rPr>
          <w:rFonts w:ascii="Verdana" w:hAnsi="Verdana"/>
          <w:sz w:val="20"/>
          <w:szCs w:val="20"/>
        </w:rPr>
        <w:t>La nota de la Secretaría de la Corte</w:t>
      </w:r>
      <w:r w:rsidRPr="00B660E9">
        <w:rPr>
          <w:rFonts w:ascii="Verdana" w:eastAsia="Calibri" w:hAnsi="Verdana" w:cs="Verdana"/>
          <w:color w:val="000000"/>
          <w:sz w:val="20"/>
          <w:szCs w:val="20"/>
          <w:lang w:val="es-CR"/>
        </w:rPr>
        <w:t xml:space="preserve"> </w:t>
      </w:r>
      <w:r w:rsidRPr="00B660E9">
        <w:rPr>
          <w:rFonts w:ascii="Verdana" w:hAnsi="Verdana"/>
          <w:sz w:val="20"/>
          <w:szCs w:val="20"/>
        </w:rPr>
        <w:t>(en adelante “la Secretaría”) de</w:t>
      </w:r>
      <w:r w:rsidRPr="00B660E9">
        <w:rPr>
          <w:rFonts w:ascii="Verdana" w:eastAsiaTheme="minorHAnsi" w:hAnsi="Verdana" w:cs="Verdana"/>
          <w:sz w:val="20"/>
          <w:szCs w:val="20"/>
          <w:lang w:val="es-CR"/>
        </w:rPr>
        <w:t xml:space="preserve"> 28 de julio de 2021</w:t>
      </w:r>
      <w:r w:rsidRPr="00B660E9">
        <w:rPr>
          <w:rFonts w:ascii="Verdana" w:hAnsi="Verdana"/>
          <w:sz w:val="20"/>
          <w:szCs w:val="20"/>
        </w:rPr>
        <w:t>, mediante la cual, de conformidad con el artículo 27.5 del Reglamento y siguiendo</w:t>
      </w:r>
      <w:r w:rsidRPr="00B660E9">
        <w:rPr>
          <w:rFonts w:ascii="Verdana" w:eastAsia="Calibri" w:hAnsi="Verdana" w:cs="Verdana"/>
          <w:color w:val="000000"/>
          <w:sz w:val="20"/>
          <w:szCs w:val="20"/>
          <w:lang w:val="es-CR"/>
        </w:rPr>
        <w:t xml:space="preserve"> </w:t>
      </w:r>
      <w:r w:rsidRPr="00B660E9">
        <w:rPr>
          <w:rFonts w:ascii="Verdana" w:hAnsi="Verdana"/>
          <w:sz w:val="20"/>
          <w:szCs w:val="20"/>
        </w:rPr>
        <w:t>instrucciones de la Presidenta de la Corte, se solicitó al Estado y a la Comisión</w:t>
      </w:r>
      <w:r w:rsidRPr="00B660E9">
        <w:rPr>
          <w:rFonts w:ascii="Verdana" w:eastAsia="Calibri" w:hAnsi="Verdana" w:cs="Verdana"/>
          <w:color w:val="000000"/>
          <w:sz w:val="20"/>
          <w:szCs w:val="20"/>
          <w:lang w:val="es-CR"/>
        </w:rPr>
        <w:t xml:space="preserve"> </w:t>
      </w:r>
      <w:r w:rsidRPr="00B660E9">
        <w:rPr>
          <w:rFonts w:ascii="Verdana" w:hAnsi="Verdana"/>
          <w:sz w:val="20"/>
          <w:szCs w:val="20"/>
        </w:rPr>
        <w:t>Interamericana de Derechos Humanos (en adelante “la Comisión Interamericana” o “la</w:t>
      </w:r>
      <w:r w:rsidRPr="00B660E9">
        <w:rPr>
          <w:rFonts w:ascii="Verdana" w:eastAsia="Calibri" w:hAnsi="Verdana" w:cs="Verdana"/>
          <w:color w:val="000000"/>
          <w:sz w:val="20"/>
          <w:szCs w:val="20"/>
          <w:lang w:val="es-CR"/>
        </w:rPr>
        <w:t xml:space="preserve"> </w:t>
      </w:r>
      <w:r w:rsidRPr="00B660E9">
        <w:rPr>
          <w:rFonts w:ascii="Verdana" w:hAnsi="Verdana"/>
          <w:sz w:val="20"/>
          <w:szCs w:val="20"/>
        </w:rPr>
        <w:t>Comisión”) que, a más tardar el 5 de agosto de 2021, remitieran sus observaciones sobre la</w:t>
      </w:r>
      <w:r w:rsidRPr="00B660E9">
        <w:rPr>
          <w:rFonts w:ascii="Verdana" w:eastAsia="Calibri" w:hAnsi="Verdana" w:cs="Verdana"/>
          <w:color w:val="000000"/>
          <w:sz w:val="20"/>
          <w:szCs w:val="20"/>
          <w:lang w:val="es-CR"/>
        </w:rPr>
        <w:t xml:space="preserve"> </w:t>
      </w:r>
      <w:r w:rsidRPr="00B660E9">
        <w:rPr>
          <w:rFonts w:ascii="Verdana" w:hAnsi="Verdana"/>
          <w:sz w:val="20"/>
          <w:szCs w:val="20"/>
        </w:rPr>
        <w:t>solicitud de medidas provisiona</w:t>
      </w:r>
      <w:r w:rsidR="00483D66">
        <w:rPr>
          <w:rFonts w:ascii="Verdana" w:hAnsi="Verdana"/>
          <w:sz w:val="20"/>
          <w:szCs w:val="20"/>
        </w:rPr>
        <w:t>les planteada por la</w:t>
      </w:r>
      <w:r w:rsidRPr="00B660E9">
        <w:rPr>
          <w:rFonts w:ascii="Verdana" w:hAnsi="Verdana"/>
          <w:sz w:val="20"/>
          <w:szCs w:val="20"/>
        </w:rPr>
        <w:t>s representantes (</w:t>
      </w:r>
      <w:r w:rsidRPr="00B660E9">
        <w:rPr>
          <w:rFonts w:ascii="Verdana" w:hAnsi="Verdana"/>
          <w:i/>
          <w:sz w:val="20"/>
          <w:szCs w:val="20"/>
        </w:rPr>
        <w:t>supra</w:t>
      </w:r>
      <w:r w:rsidRPr="00B660E9">
        <w:rPr>
          <w:rFonts w:ascii="Verdana" w:hAnsi="Verdana"/>
          <w:sz w:val="20"/>
          <w:szCs w:val="20"/>
        </w:rPr>
        <w:t xml:space="preserve"> Visto </w:t>
      </w:r>
      <w:r w:rsidR="0028276B">
        <w:rPr>
          <w:rFonts w:ascii="Verdana" w:hAnsi="Verdana"/>
          <w:sz w:val="20"/>
          <w:szCs w:val="20"/>
        </w:rPr>
        <w:t>4</w:t>
      </w:r>
      <w:r w:rsidRPr="00B660E9">
        <w:rPr>
          <w:rFonts w:ascii="Verdana" w:hAnsi="Verdana"/>
          <w:sz w:val="20"/>
          <w:szCs w:val="20"/>
        </w:rPr>
        <w:t>).</w:t>
      </w:r>
    </w:p>
    <w:p w14:paraId="5228E6D2" w14:textId="77777777" w:rsidR="00B53EF0" w:rsidRPr="0028276B" w:rsidRDefault="0077739C" w:rsidP="0028276B">
      <w:pPr>
        <w:numPr>
          <w:ilvl w:val="0"/>
          <w:numId w:val="1"/>
        </w:numPr>
        <w:spacing w:before="120" w:after="120"/>
        <w:ind w:left="0" w:firstLine="0"/>
        <w:jc w:val="both"/>
        <w:rPr>
          <w:rFonts w:ascii="Verdana" w:eastAsia="Calibri" w:hAnsi="Verdana" w:cs="Verdana"/>
          <w:color w:val="000000"/>
          <w:sz w:val="20"/>
          <w:szCs w:val="20"/>
          <w:lang w:val="es-CR"/>
        </w:rPr>
      </w:pPr>
      <w:r w:rsidRPr="0028276B">
        <w:rPr>
          <w:rFonts w:ascii="Verdana" w:hAnsi="Verdana"/>
          <w:sz w:val="20"/>
          <w:szCs w:val="20"/>
        </w:rPr>
        <w:t>Los</w:t>
      </w:r>
      <w:r w:rsidR="00B53EF0" w:rsidRPr="0028276B">
        <w:rPr>
          <w:rFonts w:ascii="Verdana" w:hAnsi="Verdana"/>
          <w:sz w:val="20"/>
          <w:szCs w:val="20"/>
        </w:rPr>
        <w:t xml:space="preserve"> escrito</w:t>
      </w:r>
      <w:r w:rsidRPr="0028276B">
        <w:rPr>
          <w:rFonts w:ascii="Verdana" w:hAnsi="Verdana"/>
          <w:sz w:val="20"/>
          <w:szCs w:val="20"/>
        </w:rPr>
        <w:t>s</w:t>
      </w:r>
      <w:r w:rsidR="00B53EF0" w:rsidRPr="0028276B">
        <w:rPr>
          <w:rFonts w:ascii="Verdana" w:hAnsi="Verdana"/>
          <w:sz w:val="20"/>
          <w:szCs w:val="20"/>
        </w:rPr>
        <w:t xml:space="preserve"> presentado</w:t>
      </w:r>
      <w:r w:rsidRPr="0028276B">
        <w:rPr>
          <w:rFonts w:ascii="Verdana" w:hAnsi="Verdana"/>
          <w:sz w:val="20"/>
          <w:szCs w:val="20"/>
        </w:rPr>
        <w:t>s</w:t>
      </w:r>
      <w:r w:rsidR="00B53EF0" w:rsidRPr="0028276B">
        <w:rPr>
          <w:rFonts w:ascii="Verdana" w:hAnsi="Verdana"/>
          <w:sz w:val="20"/>
          <w:szCs w:val="20"/>
        </w:rPr>
        <w:t xml:space="preserve"> </w:t>
      </w:r>
      <w:r w:rsidR="0028276B">
        <w:rPr>
          <w:rFonts w:ascii="Verdana" w:hAnsi="Verdana"/>
          <w:sz w:val="20"/>
          <w:szCs w:val="20"/>
        </w:rPr>
        <w:t xml:space="preserve">el </w:t>
      </w:r>
      <w:r w:rsidR="00B53EF0" w:rsidRPr="0028276B">
        <w:rPr>
          <w:rFonts w:ascii="Verdana" w:hAnsi="Verdana"/>
          <w:sz w:val="20"/>
          <w:szCs w:val="20"/>
        </w:rPr>
        <w:t xml:space="preserve">5 de agosto de 2021, </w:t>
      </w:r>
      <w:r w:rsidR="0028276B" w:rsidRPr="0028276B">
        <w:rPr>
          <w:rFonts w:ascii="Verdana" w:hAnsi="Verdana"/>
          <w:sz w:val="20"/>
          <w:szCs w:val="20"/>
        </w:rPr>
        <w:t>mediante los cuales el Estado y la</w:t>
      </w:r>
      <w:r w:rsidR="0028276B">
        <w:rPr>
          <w:rFonts w:ascii="Verdana" w:hAnsi="Verdana"/>
          <w:sz w:val="20"/>
          <w:szCs w:val="20"/>
        </w:rPr>
        <w:t xml:space="preserve"> Comisión</w:t>
      </w:r>
      <w:r w:rsidR="0028276B" w:rsidRPr="0028276B">
        <w:rPr>
          <w:rFonts w:ascii="Verdana" w:hAnsi="Verdana"/>
          <w:sz w:val="20"/>
          <w:szCs w:val="20"/>
        </w:rPr>
        <w:t xml:space="preserve"> remitieron, respectivamente, </w:t>
      </w:r>
      <w:r w:rsidR="00B53EF0" w:rsidRPr="0028276B">
        <w:rPr>
          <w:rFonts w:ascii="Verdana" w:hAnsi="Verdana"/>
          <w:sz w:val="20"/>
          <w:szCs w:val="20"/>
        </w:rPr>
        <w:t>sus observaciones a la solicitud de medidas provisionales (</w:t>
      </w:r>
      <w:r w:rsidR="00B53EF0" w:rsidRPr="0028276B">
        <w:rPr>
          <w:rFonts w:ascii="Verdana" w:hAnsi="Verdana"/>
          <w:i/>
          <w:sz w:val="20"/>
          <w:szCs w:val="20"/>
        </w:rPr>
        <w:t>supra</w:t>
      </w:r>
      <w:r w:rsidR="0028276B">
        <w:rPr>
          <w:rFonts w:ascii="Verdana" w:hAnsi="Verdana"/>
          <w:sz w:val="20"/>
          <w:szCs w:val="20"/>
        </w:rPr>
        <w:t xml:space="preserve"> Visto 4</w:t>
      </w:r>
      <w:r w:rsidR="00B53EF0" w:rsidRPr="0028276B">
        <w:rPr>
          <w:rFonts w:ascii="Verdana" w:hAnsi="Verdana"/>
          <w:sz w:val="20"/>
          <w:szCs w:val="20"/>
        </w:rPr>
        <w:t>).</w:t>
      </w:r>
    </w:p>
    <w:p w14:paraId="062BE23B" w14:textId="59B6B5C9" w:rsidR="00B53EF0" w:rsidRPr="00B660E9" w:rsidRDefault="00B53EF0" w:rsidP="00BE0EFF">
      <w:pPr>
        <w:numPr>
          <w:ilvl w:val="0"/>
          <w:numId w:val="1"/>
        </w:numPr>
        <w:spacing w:before="120" w:after="120"/>
        <w:ind w:left="0" w:firstLine="0"/>
        <w:jc w:val="both"/>
        <w:rPr>
          <w:rFonts w:ascii="Verdana" w:eastAsia="Calibri" w:hAnsi="Verdana" w:cs="Verdana"/>
          <w:color w:val="000000"/>
          <w:sz w:val="20"/>
          <w:szCs w:val="20"/>
          <w:lang w:val="es-CR"/>
        </w:rPr>
      </w:pPr>
      <w:r w:rsidRPr="00B660E9">
        <w:rPr>
          <w:rFonts w:ascii="Verdana" w:eastAsia="Calibri" w:hAnsi="Verdana" w:cs="Verdana"/>
          <w:color w:val="000000"/>
          <w:sz w:val="20"/>
          <w:szCs w:val="20"/>
          <w:lang w:val="es-CR"/>
        </w:rPr>
        <w:t xml:space="preserve">El escrito presentado por las representantes </w:t>
      </w:r>
      <w:r w:rsidR="007F5BF9">
        <w:rPr>
          <w:rFonts w:ascii="Verdana" w:eastAsia="Calibri" w:hAnsi="Verdana" w:cs="Verdana"/>
          <w:color w:val="000000"/>
          <w:sz w:val="20"/>
          <w:szCs w:val="20"/>
          <w:lang w:val="es-CR"/>
        </w:rPr>
        <w:t xml:space="preserve">de las víctimas </w:t>
      </w:r>
      <w:r w:rsidRPr="00B660E9">
        <w:rPr>
          <w:rFonts w:ascii="Verdana" w:eastAsia="Calibri" w:hAnsi="Verdana" w:cs="Verdana"/>
          <w:color w:val="000000"/>
          <w:sz w:val="20"/>
          <w:szCs w:val="20"/>
          <w:lang w:val="es-CR"/>
        </w:rPr>
        <w:t xml:space="preserve">del caso </w:t>
      </w:r>
      <w:r w:rsidRPr="00B660E9">
        <w:rPr>
          <w:rFonts w:ascii="Verdana" w:eastAsia="Calibri" w:hAnsi="Verdana" w:cs="Verdana"/>
          <w:i/>
          <w:color w:val="000000"/>
          <w:sz w:val="20"/>
          <w:szCs w:val="20"/>
          <w:lang w:val="es-CR"/>
        </w:rPr>
        <w:t xml:space="preserve">Ruiz </w:t>
      </w:r>
      <w:r w:rsidR="0048418F">
        <w:rPr>
          <w:rFonts w:ascii="Verdana" w:eastAsia="Calibri" w:hAnsi="Verdana" w:cs="Verdana"/>
          <w:i/>
          <w:color w:val="000000"/>
          <w:sz w:val="20"/>
          <w:szCs w:val="20"/>
          <w:lang w:val="es-CR"/>
        </w:rPr>
        <w:t>F</w:t>
      </w:r>
      <w:r w:rsidRPr="00B660E9">
        <w:rPr>
          <w:rFonts w:ascii="Verdana" w:eastAsia="Calibri" w:hAnsi="Verdana" w:cs="Verdana"/>
          <w:i/>
          <w:color w:val="000000"/>
          <w:sz w:val="20"/>
          <w:szCs w:val="20"/>
          <w:lang w:val="es-CR"/>
        </w:rPr>
        <w:t>uentes y otra</w:t>
      </w:r>
      <w:r w:rsidRPr="00B660E9">
        <w:rPr>
          <w:rFonts w:ascii="Verdana" w:eastAsia="Calibri" w:hAnsi="Verdana" w:cs="Verdana"/>
          <w:color w:val="000000"/>
          <w:sz w:val="20"/>
          <w:szCs w:val="20"/>
          <w:lang w:val="es-CR"/>
        </w:rPr>
        <w:t xml:space="preserve"> el 12 de agosto de 2021, mediante el cual se adhirieron a la solicitud de medidas provisionales presentada en el caso </w:t>
      </w:r>
      <w:r w:rsidRPr="00B660E9">
        <w:rPr>
          <w:rFonts w:ascii="Verdana" w:eastAsia="Calibri" w:hAnsi="Verdana" w:cs="Verdana"/>
          <w:i/>
          <w:color w:val="000000"/>
          <w:sz w:val="20"/>
          <w:szCs w:val="20"/>
          <w:lang w:val="es-CR"/>
        </w:rPr>
        <w:t>Valenzuela Ávila</w:t>
      </w:r>
      <w:r w:rsidRPr="00B660E9">
        <w:rPr>
          <w:rFonts w:ascii="Verdana" w:eastAsia="Calibri" w:hAnsi="Verdana" w:cs="Verdana"/>
          <w:color w:val="000000"/>
          <w:sz w:val="20"/>
          <w:szCs w:val="20"/>
          <w:lang w:val="es-CR"/>
        </w:rPr>
        <w:t xml:space="preserve"> (</w:t>
      </w:r>
      <w:r w:rsidRPr="0028276B">
        <w:rPr>
          <w:rFonts w:ascii="Verdana" w:eastAsia="Calibri" w:hAnsi="Verdana" w:cs="Verdana"/>
          <w:i/>
          <w:color w:val="000000"/>
          <w:sz w:val="20"/>
          <w:szCs w:val="20"/>
          <w:lang w:val="es-CR"/>
        </w:rPr>
        <w:t>supra</w:t>
      </w:r>
      <w:r w:rsidRPr="00B660E9">
        <w:rPr>
          <w:rFonts w:ascii="Verdana" w:eastAsia="Calibri" w:hAnsi="Verdana" w:cs="Verdana"/>
          <w:color w:val="000000"/>
          <w:sz w:val="20"/>
          <w:szCs w:val="20"/>
          <w:lang w:val="es-CR"/>
        </w:rPr>
        <w:t xml:space="preserve"> Visto </w:t>
      </w:r>
      <w:r w:rsidR="005B53CB">
        <w:rPr>
          <w:rFonts w:ascii="Verdana" w:eastAsia="Calibri" w:hAnsi="Verdana" w:cs="Verdana"/>
          <w:color w:val="000000"/>
          <w:sz w:val="20"/>
          <w:szCs w:val="20"/>
          <w:lang w:val="es-CR"/>
        </w:rPr>
        <w:t>4</w:t>
      </w:r>
      <w:r w:rsidRPr="00B660E9">
        <w:rPr>
          <w:rFonts w:ascii="Verdana" w:eastAsia="Calibri" w:hAnsi="Verdana" w:cs="Verdana"/>
          <w:color w:val="000000"/>
          <w:sz w:val="20"/>
          <w:szCs w:val="20"/>
          <w:lang w:val="es-CR"/>
        </w:rPr>
        <w:t xml:space="preserve">) y presentaron </w:t>
      </w:r>
      <w:r w:rsidR="00E132AC">
        <w:rPr>
          <w:rFonts w:ascii="Verdana" w:eastAsia="Calibri" w:hAnsi="Verdana" w:cs="Verdana"/>
          <w:color w:val="000000"/>
          <w:sz w:val="20"/>
          <w:szCs w:val="20"/>
          <w:lang w:val="es-CR"/>
        </w:rPr>
        <w:t xml:space="preserve">sus </w:t>
      </w:r>
      <w:r w:rsidRPr="00B660E9">
        <w:rPr>
          <w:rFonts w:ascii="Verdana" w:eastAsia="Calibri" w:hAnsi="Verdana" w:cs="Verdana"/>
          <w:color w:val="000000"/>
          <w:sz w:val="20"/>
          <w:szCs w:val="20"/>
          <w:lang w:val="es-CR"/>
        </w:rPr>
        <w:t>argumentos</w:t>
      </w:r>
      <w:r w:rsidR="0077739C">
        <w:rPr>
          <w:rFonts w:ascii="Verdana" w:eastAsia="Calibri" w:hAnsi="Verdana" w:cs="Verdana"/>
          <w:color w:val="000000"/>
          <w:sz w:val="20"/>
          <w:szCs w:val="20"/>
          <w:lang w:val="es-CR"/>
        </w:rPr>
        <w:t xml:space="preserve"> </w:t>
      </w:r>
      <w:r w:rsidR="00E132AC">
        <w:rPr>
          <w:rFonts w:ascii="Verdana" w:eastAsia="Calibri" w:hAnsi="Verdana" w:cs="Verdana"/>
          <w:color w:val="000000"/>
          <w:sz w:val="20"/>
          <w:szCs w:val="20"/>
          <w:lang w:val="es-CR"/>
        </w:rPr>
        <w:t>(</w:t>
      </w:r>
      <w:r w:rsidR="00E132AC" w:rsidRPr="00E132AC">
        <w:rPr>
          <w:rFonts w:ascii="Verdana" w:eastAsia="Calibri" w:hAnsi="Verdana" w:cs="Verdana"/>
          <w:i/>
          <w:color w:val="000000"/>
          <w:sz w:val="20"/>
          <w:szCs w:val="20"/>
          <w:lang w:val="es-CR"/>
        </w:rPr>
        <w:t>infra</w:t>
      </w:r>
      <w:r w:rsidR="00E132AC">
        <w:rPr>
          <w:rFonts w:ascii="Verdana" w:eastAsia="Calibri" w:hAnsi="Verdana" w:cs="Verdana"/>
          <w:color w:val="000000"/>
          <w:sz w:val="20"/>
          <w:szCs w:val="20"/>
          <w:lang w:val="es-CR"/>
        </w:rPr>
        <w:t xml:space="preserve"> Considerando</w:t>
      </w:r>
      <w:r w:rsidR="006665E9">
        <w:rPr>
          <w:rFonts w:ascii="Verdana" w:eastAsia="Calibri" w:hAnsi="Verdana" w:cs="Verdana"/>
          <w:color w:val="000000"/>
          <w:sz w:val="20"/>
          <w:szCs w:val="20"/>
          <w:lang w:val="es-CR"/>
        </w:rPr>
        <w:t>s 9 a 14</w:t>
      </w:r>
      <w:r w:rsidR="00E132AC">
        <w:rPr>
          <w:rFonts w:ascii="Verdana" w:eastAsia="Calibri" w:hAnsi="Verdana" w:cs="Verdana"/>
          <w:color w:val="000000"/>
          <w:sz w:val="20"/>
          <w:szCs w:val="20"/>
          <w:lang w:val="es-CR"/>
        </w:rPr>
        <w:t>)</w:t>
      </w:r>
      <w:r w:rsidRPr="00B660E9">
        <w:rPr>
          <w:rFonts w:ascii="Verdana" w:eastAsia="Calibri" w:hAnsi="Verdana" w:cs="Verdana"/>
          <w:color w:val="000000"/>
          <w:sz w:val="20"/>
          <w:szCs w:val="20"/>
          <w:lang w:val="es-CR"/>
        </w:rPr>
        <w:t>.</w:t>
      </w:r>
    </w:p>
    <w:p w14:paraId="5C92A00A" w14:textId="1491FEB5" w:rsidR="00B53EF0" w:rsidRPr="00B660E9" w:rsidRDefault="00B53EF0" w:rsidP="00BE0EFF">
      <w:pPr>
        <w:numPr>
          <w:ilvl w:val="0"/>
          <w:numId w:val="1"/>
        </w:numPr>
        <w:spacing w:before="120" w:after="120"/>
        <w:ind w:left="0" w:firstLine="0"/>
        <w:jc w:val="both"/>
        <w:rPr>
          <w:rFonts w:ascii="Verdana" w:eastAsia="Calibri" w:hAnsi="Verdana" w:cs="Verdana"/>
          <w:color w:val="000000"/>
          <w:sz w:val="20"/>
          <w:szCs w:val="20"/>
          <w:lang w:val="es-CR"/>
        </w:rPr>
      </w:pPr>
      <w:r w:rsidRPr="00B660E9">
        <w:rPr>
          <w:rFonts w:ascii="Verdana" w:hAnsi="Verdana"/>
          <w:sz w:val="20"/>
          <w:szCs w:val="20"/>
        </w:rPr>
        <w:t>La nota de la Secretaría de</w:t>
      </w:r>
      <w:r w:rsidRPr="00B660E9">
        <w:rPr>
          <w:rFonts w:ascii="Verdana" w:eastAsiaTheme="minorHAnsi" w:hAnsi="Verdana" w:cs="Verdana"/>
          <w:sz w:val="20"/>
          <w:szCs w:val="20"/>
          <w:lang w:val="es-CR"/>
        </w:rPr>
        <w:t xml:space="preserve"> 17 de agosto de 2021</w:t>
      </w:r>
      <w:r w:rsidRPr="00B660E9">
        <w:rPr>
          <w:rFonts w:ascii="Verdana" w:hAnsi="Verdana"/>
          <w:sz w:val="20"/>
          <w:szCs w:val="20"/>
        </w:rPr>
        <w:t>, mediante la cual</w:t>
      </w:r>
      <w:r w:rsidRPr="00B660E9">
        <w:rPr>
          <w:rFonts w:ascii="Verdana" w:eastAsia="Calibri" w:hAnsi="Verdana" w:cs="Verdana"/>
          <w:color w:val="000000"/>
          <w:sz w:val="20"/>
          <w:szCs w:val="20"/>
          <w:lang w:val="es-CR"/>
        </w:rPr>
        <w:t xml:space="preserve"> la </w:t>
      </w:r>
      <w:proofErr w:type="gramStart"/>
      <w:r w:rsidRPr="00B660E9">
        <w:rPr>
          <w:rFonts w:ascii="Verdana" w:eastAsia="Calibri" w:hAnsi="Verdana" w:cs="Verdana"/>
          <w:color w:val="000000"/>
          <w:sz w:val="20"/>
          <w:szCs w:val="20"/>
          <w:lang w:val="es-CR"/>
        </w:rPr>
        <w:t>Presidenta</w:t>
      </w:r>
      <w:proofErr w:type="gramEnd"/>
      <w:r w:rsidRPr="00B660E9">
        <w:rPr>
          <w:rFonts w:ascii="Verdana" w:eastAsia="Calibri" w:hAnsi="Verdana" w:cs="Verdana"/>
          <w:color w:val="000000"/>
          <w:sz w:val="20"/>
          <w:szCs w:val="20"/>
          <w:lang w:val="es-CR"/>
        </w:rPr>
        <w:t xml:space="preserve"> de la Corte autorizó que el caso </w:t>
      </w:r>
      <w:r w:rsidRPr="00B660E9">
        <w:rPr>
          <w:rFonts w:ascii="Verdana" w:eastAsia="Calibri" w:hAnsi="Verdana" w:cs="Verdana"/>
          <w:i/>
          <w:color w:val="000000"/>
          <w:sz w:val="20"/>
          <w:szCs w:val="20"/>
          <w:lang w:val="es-CR"/>
        </w:rPr>
        <w:t xml:space="preserve">Ruiz </w:t>
      </w:r>
      <w:r w:rsidR="00EC4C49">
        <w:rPr>
          <w:rFonts w:ascii="Verdana" w:eastAsia="Calibri" w:hAnsi="Verdana" w:cs="Verdana"/>
          <w:i/>
          <w:color w:val="000000"/>
          <w:sz w:val="20"/>
          <w:szCs w:val="20"/>
          <w:lang w:val="es-CR"/>
        </w:rPr>
        <w:t>F</w:t>
      </w:r>
      <w:r w:rsidRPr="00B660E9">
        <w:rPr>
          <w:rFonts w:ascii="Verdana" w:eastAsia="Calibri" w:hAnsi="Verdana" w:cs="Verdana"/>
          <w:i/>
          <w:color w:val="000000"/>
          <w:sz w:val="20"/>
          <w:szCs w:val="20"/>
          <w:lang w:val="es-CR"/>
        </w:rPr>
        <w:t>uentes y otra</w:t>
      </w:r>
      <w:r w:rsidRPr="00B660E9">
        <w:rPr>
          <w:rFonts w:ascii="Verdana" w:eastAsia="Calibri" w:hAnsi="Verdana" w:cs="Verdana"/>
          <w:color w:val="000000"/>
          <w:sz w:val="20"/>
          <w:szCs w:val="20"/>
          <w:lang w:val="es-CR"/>
        </w:rPr>
        <w:t xml:space="preserve"> también sea incorporado a la solicitud de medidas provisionales a </w:t>
      </w:r>
      <w:r w:rsidR="006665E9">
        <w:rPr>
          <w:rFonts w:ascii="Verdana" w:eastAsia="Calibri" w:hAnsi="Verdana" w:cs="Verdana"/>
          <w:color w:val="000000"/>
          <w:sz w:val="20"/>
          <w:szCs w:val="20"/>
          <w:lang w:val="es-CR"/>
        </w:rPr>
        <w:t xml:space="preserve">la </w:t>
      </w:r>
      <w:r w:rsidRPr="00B660E9">
        <w:rPr>
          <w:rFonts w:ascii="Verdana" w:eastAsia="Calibri" w:hAnsi="Verdana" w:cs="Verdana"/>
          <w:color w:val="000000"/>
          <w:sz w:val="20"/>
          <w:szCs w:val="20"/>
          <w:lang w:val="es-CR"/>
        </w:rPr>
        <w:t>que se adhirieron</w:t>
      </w:r>
      <w:r w:rsidR="00EC4C49">
        <w:rPr>
          <w:rFonts w:ascii="Verdana" w:eastAsia="Calibri" w:hAnsi="Verdana" w:cs="Verdana"/>
          <w:color w:val="000000"/>
          <w:sz w:val="20"/>
          <w:szCs w:val="20"/>
          <w:lang w:val="es-CR"/>
        </w:rPr>
        <w:t>, d</w:t>
      </w:r>
      <w:r w:rsidRPr="00B660E9">
        <w:rPr>
          <w:rFonts w:ascii="Verdana" w:eastAsia="Calibri" w:hAnsi="Verdana" w:cs="Verdana"/>
          <w:color w:val="000000"/>
          <w:sz w:val="20"/>
          <w:szCs w:val="20"/>
          <w:lang w:val="es-CR"/>
        </w:rPr>
        <w:t>e tal forma</w:t>
      </w:r>
      <w:r w:rsidR="006665E9">
        <w:rPr>
          <w:rFonts w:ascii="Verdana" w:eastAsia="Calibri" w:hAnsi="Verdana" w:cs="Verdana"/>
          <w:color w:val="000000"/>
          <w:sz w:val="20"/>
          <w:szCs w:val="20"/>
          <w:lang w:val="es-CR"/>
        </w:rPr>
        <w:t>,</w:t>
      </w:r>
      <w:r w:rsidRPr="00B660E9">
        <w:rPr>
          <w:rFonts w:ascii="Verdana" w:eastAsia="Calibri" w:hAnsi="Verdana" w:cs="Verdana"/>
          <w:color w:val="000000"/>
          <w:sz w:val="20"/>
          <w:szCs w:val="20"/>
          <w:lang w:val="es-CR"/>
        </w:rPr>
        <w:t xml:space="preserve"> que la solicitud de medidas provisionales se refiere a los casos </w:t>
      </w:r>
      <w:r w:rsidRPr="00B660E9">
        <w:rPr>
          <w:rFonts w:ascii="Verdana" w:eastAsia="Calibri" w:hAnsi="Verdana" w:cs="Verdana"/>
          <w:i/>
          <w:color w:val="000000"/>
          <w:sz w:val="20"/>
          <w:szCs w:val="20"/>
          <w:lang w:val="es-CR"/>
        </w:rPr>
        <w:t>Valenzuela Ávila</w:t>
      </w:r>
      <w:r w:rsidRPr="00B660E9">
        <w:rPr>
          <w:rFonts w:ascii="Verdana" w:eastAsia="Calibri" w:hAnsi="Verdana" w:cs="Verdana"/>
          <w:color w:val="000000"/>
          <w:sz w:val="20"/>
          <w:szCs w:val="20"/>
          <w:lang w:val="es-CR"/>
        </w:rPr>
        <w:t xml:space="preserve"> y </w:t>
      </w:r>
      <w:r w:rsidRPr="00B660E9">
        <w:rPr>
          <w:rFonts w:ascii="Verdana" w:eastAsia="Calibri" w:hAnsi="Verdana" w:cs="Verdana"/>
          <w:i/>
          <w:color w:val="000000"/>
          <w:sz w:val="20"/>
          <w:szCs w:val="20"/>
          <w:lang w:val="es-CR"/>
        </w:rPr>
        <w:t>Ruiz Fuentes y otra</w:t>
      </w:r>
      <w:r w:rsidRPr="00B660E9">
        <w:rPr>
          <w:rFonts w:ascii="Verdana" w:eastAsia="Calibri" w:hAnsi="Verdana" w:cs="Verdana"/>
          <w:color w:val="000000"/>
          <w:sz w:val="20"/>
          <w:szCs w:val="20"/>
          <w:lang w:val="es-CR"/>
        </w:rPr>
        <w:t>.</w:t>
      </w:r>
    </w:p>
    <w:p w14:paraId="001278BA" w14:textId="15F8EE3C" w:rsidR="00B53EF0" w:rsidRDefault="00B53EF0" w:rsidP="00BE0EFF">
      <w:pPr>
        <w:numPr>
          <w:ilvl w:val="0"/>
          <w:numId w:val="1"/>
        </w:numPr>
        <w:spacing w:before="120" w:after="120"/>
        <w:ind w:left="0" w:firstLine="0"/>
        <w:jc w:val="both"/>
        <w:rPr>
          <w:rFonts w:ascii="Verdana" w:hAnsi="Verdana"/>
          <w:sz w:val="20"/>
          <w:szCs w:val="20"/>
        </w:rPr>
      </w:pPr>
      <w:r w:rsidRPr="00B660E9">
        <w:rPr>
          <w:rFonts w:ascii="Verdana" w:eastAsia="Calibri" w:hAnsi="Verdana" w:cs="Verdana"/>
          <w:color w:val="000000"/>
          <w:sz w:val="20"/>
          <w:szCs w:val="20"/>
          <w:lang w:val="es-CR"/>
        </w:rPr>
        <w:t xml:space="preserve">La audiencia pública virtual </w:t>
      </w:r>
      <w:r w:rsidR="00EC4C49">
        <w:rPr>
          <w:rFonts w:ascii="Verdana" w:eastAsia="Calibri" w:hAnsi="Verdana" w:cs="Verdana"/>
          <w:color w:val="000000"/>
          <w:sz w:val="20"/>
          <w:szCs w:val="20"/>
        </w:rPr>
        <w:t>sobre la</w:t>
      </w:r>
      <w:r w:rsidR="00EC4C49" w:rsidRPr="00B660E9">
        <w:rPr>
          <w:rFonts w:ascii="Verdana" w:eastAsia="Calibri" w:hAnsi="Verdana" w:cs="Verdana"/>
          <w:color w:val="000000"/>
          <w:sz w:val="20"/>
          <w:szCs w:val="20"/>
          <w:lang w:val="es-CR"/>
        </w:rPr>
        <w:t xml:space="preserve"> </w:t>
      </w:r>
      <w:r w:rsidRPr="00B660E9">
        <w:rPr>
          <w:rFonts w:ascii="Verdana" w:eastAsia="Calibri" w:hAnsi="Verdana" w:cs="Verdana"/>
          <w:color w:val="000000"/>
          <w:sz w:val="20"/>
          <w:szCs w:val="20"/>
          <w:lang w:val="es-CR"/>
        </w:rPr>
        <w:t>solicitud de medidas provisionales</w:t>
      </w:r>
      <w:r w:rsidRPr="00B660E9">
        <w:rPr>
          <w:rStyle w:val="Refdenotaalpie"/>
          <w:rFonts w:eastAsia="Calibri" w:cs="Verdana"/>
          <w:color w:val="000000"/>
          <w:sz w:val="20"/>
          <w:szCs w:val="20"/>
          <w:lang w:val="es-CR"/>
        </w:rPr>
        <w:footnoteReference w:id="9"/>
      </w:r>
      <w:r w:rsidRPr="00B660E9">
        <w:rPr>
          <w:rFonts w:ascii="Verdana" w:eastAsia="Calibri" w:hAnsi="Verdana" w:cs="Verdana"/>
          <w:color w:val="000000"/>
          <w:sz w:val="20"/>
          <w:szCs w:val="20"/>
          <w:lang w:val="es-CR"/>
        </w:rPr>
        <w:t>, celebrada el 27 de agosto de 2021 durante el 143° Período Ordinario de Sesiones del Tribunal</w:t>
      </w:r>
      <w:r w:rsidRPr="00B660E9">
        <w:rPr>
          <w:rStyle w:val="Refdenotaalpie"/>
          <w:sz w:val="20"/>
          <w:szCs w:val="20"/>
        </w:rPr>
        <w:footnoteReference w:id="10"/>
      </w:r>
      <w:r w:rsidRPr="00B660E9">
        <w:rPr>
          <w:rFonts w:ascii="Verdana" w:hAnsi="Verdana"/>
          <w:sz w:val="20"/>
          <w:szCs w:val="20"/>
        </w:rPr>
        <w:t>.</w:t>
      </w:r>
    </w:p>
    <w:p w14:paraId="5FAE29EC" w14:textId="4D75BE3C" w:rsidR="00AE4249" w:rsidRPr="0077739C" w:rsidRDefault="0077739C" w:rsidP="0077739C">
      <w:pPr>
        <w:numPr>
          <w:ilvl w:val="0"/>
          <w:numId w:val="1"/>
        </w:numPr>
        <w:spacing w:before="120" w:after="120"/>
        <w:ind w:left="0" w:firstLine="0"/>
        <w:jc w:val="both"/>
        <w:rPr>
          <w:rFonts w:ascii="Verdana" w:hAnsi="Verdana"/>
          <w:sz w:val="20"/>
          <w:szCs w:val="20"/>
        </w:rPr>
      </w:pPr>
      <w:r>
        <w:rPr>
          <w:rFonts w:ascii="Verdana" w:hAnsi="Verdana"/>
          <w:sz w:val="20"/>
          <w:szCs w:val="20"/>
        </w:rPr>
        <w:lastRenderedPageBreak/>
        <w:t xml:space="preserve">Los </w:t>
      </w:r>
      <w:r w:rsidR="00AE4249" w:rsidRPr="00B660E9">
        <w:rPr>
          <w:rFonts w:ascii="Verdana" w:hAnsi="Verdana"/>
          <w:sz w:val="20"/>
          <w:szCs w:val="20"/>
        </w:rPr>
        <w:t>escrito</w:t>
      </w:r>
      <w:r>
        <w:rPr>
          <w:rFonts w:ascii="Verdana" w:hAnsi="Verdana"/>
          <w:sz w:val="20"/>
          <w:szCs w:val="20"/>
        </w:rPr>
        <w:t>s</w:t>
      </w:r>
      <w:r w:rsidR="00AE4249" w:rsidRPr="00B660E9">
        <w:rPr>
          <w:rFonts w:ascii="Verdana" w:hAnsi="Verdana"/>
          <w:sz w:val="20"/>
          <w:szCs w:val="20"/>
        </w:rPr>
        <w:t xml:space="preserve"> presentado</w:t>
      </w:r>
      <w:r>
        <w:rPr>
          <w:rFonts w:ascii="Verdana" w:hAnsi="Verdana"/>
          <w:sz w:val="20"/>
          <w:szCs w:val="20"/>
        </w:rPr>
        <w:t>s</w:t>
      </w:r>
      <w:r w:rsidR="00AE4249" w:rsidRPr="00B660E9">
        <w:rPr>
          <w:rFonts w:ascii="Verdana" w:hAnsi="Verdana"/>
          <w:sz w:val="20"/>
          <w:szCs w:val="20"/>
        </w:rPr>
        <w:t xml:space="preserve"> el </w:t>
      </w:r>
      <w:r w:rsidR="00AE4249">
        <w:rPr>
          <w:rFonts w:ascii="Verdana" w:hAnsi="Verdana"/>
          <w:sz w:val="20"/>
          <w:szCs w:val="20"/>
        </w:rPr>
        <w:t>3 de septiembre</w:t>
      </w:r>
      <w:r w:rsidR="00AE4249" w:rsidRPr="00B660E9">
        <w:rPr>
          <w:rFonts w:ascii="Verdana" w:hAnsi="Verdana"/>
          <w:sz w:val="20"/>
          <w:szCs w:val="20"/>
        </w:rPr>
        <w:t xml:space="preserve"> de 2021, mediante </w:t>
      </w:r>
      <w:r>
        <w:rPr>
          <w:rFonts w:ascii="Verdana" w:hAnsi="Verdana"/>
          <w:sz w:val="20"/>
          <w:szCs w:val="20"/>
        </w:rPr>
        <w:t>los</w:t>
      </w:r>
      <w:r w:rsidR="00AE4249" w:rsidRPr="00B660E9">
        <w:rPr>
          <w:rFonts w:ascii="Verdana" w:hAnsi="Verdana"/>
          <w:sz w:val="20"/>
          <w:szCs w:val="20"/>
        </w:rPr>
        <w:t xml:space="preserve"> cual</w:t>
      </w:r>
      <w:r>
        <w:rPr>
          <w:rFonts w:ascii="Verdana" w:hAnsi="Verdana"/>
          <w:sz w:val="20"/>
          <w:szCs w:val="20"/>
        </w:rPr>
        <w:t xml:space="preserve">es </w:t>
      </w:r>
      <w:r w:rsidR="003B2F78">
        <w:rPr>
          <w:rFonts w:ascii="Verdana" w:hAnsi="Verdana"/>
          <w:sz w:val="20"/>
          <w:szCs w:val="20"/>
        </w:rPr>
        <w:t xml:space="preserve">tanto </w:t>
      </w:r>
      <w:r>
        <w:rPr>
          <w:rFonts w:ascii="Verdana" w:hAnsi="Verdana"/>
          <w:sz w:val="20"/>
          <w:szCs w:val="20"/>
        </w:rPr>
        <w:t xml:space="preserve">el Estado </w:t>
      </w:r>
      <w:r w:rsidR="003B2F78">
        <w:rPr>
          <w:rFonts w:ascii="Verdana" w:hAnsi="Verdana"/>
          <w:sz w:val="20"/>
          <w:szCs w:val="20"/>
        </w:rPr>
        <w:t>como</w:t>
      </w:r>
      <w:r>
        <w:rPr>
          <w:rFonts w:ascii="Verdana" w:hAnsi="Verdana"/>
          <w:sz w:val="20"/>
          <w:szCs w:val="20"/>
        </w:rPr>
        <w:t xml:space="preserve"> las representantes</w:t>
      </w:r>
      <w:r w:rsidR="00AE4249" w:rsidRPr="00B660E9">
        <w:rPr>
          <w:rFonts w:ascii="Verdana" w:hAnsi="Verdana"/>
          <w:sz w:val="20"/>
          <w:szCs w:val="20"/>
        </w:rPr>
        <w:t xml:space="preserve"> </w:t>
      </w:r>
      <w:r w:rsidR="00AE4249" w:rsidRPr="00AE4249">
        <w:rPr>
          <w:rFonts w:ascii="Verdana" w:hAnsi="Verdana"/>
          <w:sz w:val="20"/>
          <w:szCs w:val="20"/>
        </w:rPr>
        <w:t>present</w:t>
      </w:r>
      <w:r>
        <w:rPr>
          <w:rFonts w:ascii="Verdana" w:hAnsi="Verdana"/>
          <w:sz w:val="20"/>
          <w:szCs w:val="20"/>
        </w:rPr>
        <w:t>aron</w:t>
      </w:r>
      <w:r w:rsidR="007F5BF9">
        <w:rPr>
          <w:rFonts w:ascii="Verdana" w:hAnsi="Verdana"/>
          <w:sz w:val="20"/>
          <w:szCs w:val="20"/>
        </w:rPr>
        <w:t xml:space="preserve"> </w:t>
      </w:r>
      <w:r w:rsidR="00AE4249" w:rsidRPr="00AE4249">
        <w:rPr>
          <w:rFonts w:ascii="Verdana" w:hAnsi="Verdana"/>
          <w:sz w:val="20"/>
          <w:szCs w:val="20"/>
        </w:rPr>
        <w:t>“información adicional” sobre la sol</w:t>
      </w:r>
      <w:r>
        <w:rPr>
          <w:rFonts w:ascii="Verdana" w:hAnsi="Verdana"/>
          <w:sz w:val="20"/>
          <w:szCs w:val="20"/>
        </w:rPr>
        <w:t>icitud de medidas provisionales</w:t>
      </w:r>
      <w:r w:rsidR="00AE4249" w:rsidRPr="0077739C">
        <w:rPr>
          <w:rFonts w:ascii="Verdana" w:hAnsi="Verdana"/>
          <w:sz w:val="20"/>
          <w:szCs w:val="20"/>
        </w:rPr>
        <w:t>.</w:t>
      </w:r>
    </w:p>
    <w:p w14:paraId="378B1EF9" w14:textId="3F4E28D8" w:rsidR="006B2D23" w:rsidRPr="006B2D23" w:rsidRDefault="0077739C" w:rsidP="006B2D23">
      <w:pPr>
        <w:numPr>
          <w:ilvl w:val="0"/>
          <w:numId w:val="1"/>
        </w:numPr>
        <w:spacing w:before="120" w:after="120"/>
        <w:ind w:left="0" w:firstLine="0"/>
        <w:jc w:val="both"/>
        <w:rPr>
          <w:rFonts w:ascii="Verdana" w:hAnsi="Verdana"/>
          <w:sz w:val="20"/>
          <w:szCs w:val="20"/>
        </w:rPr>
      </w:pPr>
      <w:r>
        <w:rPr>
          <w:rFonts w:ascii="Verdana" w:hAnsi="Verdana"/>
          <w:sz w:val="20"/>
          <w:szCs w:val="20"/>
        </w:rPr>
        <w:t xml:space="preserve">Los </w:t>
      </w:r>
      <w:r w:rsidRPr="00B660E9">
        <w:rPr>
          <w:rFonts w:ascii="Verdana" w:hAnsi="Verdana"/>
          <w:sz w:val="20"/>
          <w:szCs w:val="20"/>
        </w:rPr>
        <w:t>escrito</w:t>
      </w:r>
      <w:r>
        <w:rPr>
          <w:rFonts w:ascii="Verdana" w:hAnsi="Verdana"/>
          <w:sz w:val="20"/>
          <w:szCs w:val="20"/>
        </w:rPr>
        <w:t>s</w:t>
      </w:r>
      <w:r w:rsidRPr="00B660E9">
        <w:rPr>
          <w:rFonts w:ascii="Verdana" w:hAnsi="Verdana"/>
          <w:sz w:val="20"/>
          <w:szCs w:val="20"/>
        </w:rPr>
        <w:t xml:space="preserve"> presentado</w:t>
      </w:r>
      <w:r>
        <w:rPr>
          <w:rFonts w:ascii="Verdana" w:hAnsi="Verdana"/>
          <w:sz w:val="20"/>
          <w:szCs w:val="20"/>
        </w:rPr>
        <w:t>s</w:t>
      </w:r>
      <w:r w:rsidRPr="00B660E9">
        <w:rPr>
          <w:rFonts w:ascii="Verdana" w:hAnsi="Verdana"/>
          <w:sz w:val="20"/>
          <w:szCs w:val="20"/>
        </w:rPr>
        <w:t xml:space="preserve"> el </w:t>
      </w:r>
      <w:r>
        <w:rPr>
          <w:rFonts w:ascii="Verdana" w:hAnsi="Verdana"/>
          <w:sz w:val="20"/>
          <w:szCs w:val="20"/>
        </w:rPr>
        <w:t>10 de septiembre</w:t>
      </w:r>
      <w:r w:rsidRPr="00B660E9">
        <w:rPr>
          <w:rFonts w:ascii="Verdana" w:hAnsi="Verdana"/>
          <w:sz w:val="20"/>
          <w:szCs w:val="20"/>
        </w:rPr>
        <w:t xml:space="preserve"> de 2021, mediante </w:t>
      </w:r>
      <w:r>
        <w:rPr>
          <w:rFonts w:ascii="Verdana" w:hAnsi="Verdana"/>
          <w:sz w:val="20"/>
          <w:szCs w:val="20"/>
        </w:rPr>
        <w:t>los</w:t>
      </w:r>
      <w:r w:rsidRPr="00B660E9">
        <w:rPr>
          <w:rFonts w:ascii="Verdana" w:hAnsi="Verdana"/>
          <w:sz w:val="20"/>
          <w:szCs w:val="20"/>
        </w:rPr>
        <w:t xml:space="preserve"> cual</w:t>
      </w:r>
      <w:r>
        <w:rPr>
          <w:rFonts w:ascii="Verdana" w:hAnsi="Verdana"/>
          <w:sz w:val="20"/>
          <w:szCs w:val="20"/>
        </w:rPr>
        <w:t>es el Estado y las representantes</w:t>
      </w:r>
      <w:r w:rsidRPr="00B660E9">
        <w:rPr>
          <w:rFonts w:ascii="Verdana" w:hAnsi="Verdana"/>
          <w:sz w:val="20"/>
          <w:szCs w:val="20"/>
        </w:rPr>
        <w:t xml:space="preserve"> </w:t>
      </w:r>
      <w:r w:rsidR="00ED3E4C">
        <w:rPr>
          <w:rFonts w:ascii="Verdana" w:hAnsi="Verdana"/>
          <w:sz w:val="20"/>
          <w:szCs w:val="20"/>
        </w:rPr>
        <w:t>remitieron</w:t>
      </w:r>
      <w:r w:rsidR="007F5BF9">
        <w:rPr>
          <w:rFonts w:ascii="Verdana" w:hAnsi="Verdana"/>
          <w:sz w:val="20"/>
          <w:szCs w:val="20"/>
        </w:rPr>
        <w:t xml:space="preserve"> </w:t>
      </w:r>
      <w:r w:rsidRPr="0077739C">
        <w:rPr>
          <w:rFonts w:ascii="Verdana" w:hAnsi="Verdana"/>
          <w:sz w:val="20"/>
          <w:szCs w:val="20"/>
        </w:rPr>
        <w:t xml:space="preserve">sus </w:t>
      </w:r>
      <w:r w:rsidR="003B2F78">
        <w:rPr>
          <w:rFonts w:ascii="Verdana" w:hAnsi="Verdana"/>
          <w:sz w:val="20"/>
          <w:szCs w:val="20"/>
        </w:rPr>
        <w:t xml:space="preserve">respectivas </w:t>
      </w:r>
      <w:r w:rsidRPr="0077739C">
        <w:rPr>
          <w:rFonts w:ascii="Verdana" w:hAnsi="Verdana"/>
          <w:sz w:val="20"/>
          <w:szCs w:val="20"/>
        </w:rPr>
        <w:t xml:space="preserve">observaciones a </w:t>
      </w:r>
      <w:r>
        <w:rPr>
          <w:rFonts w:ascii="Verdana" w:hAnsi="Verdana"/>
          <w:sz w:val="20"/>
          <w:szCs w:val="20"/>
        </w:rPr>
        <w:t>los</w:t>
      </w:r>
      <w:r w:rsidRPr="0077739C">
        <w:rPr>
          <w:rFonts w:ascii="Verdana" w:hAnsi="Verdana"/>
          <w:sz w:val="20"/>
          <w:szCs w:val="20"/>
        </w:rPr>
        <w:t xml:space="preserve"> escritos</w:t>
      </w:r>
      <w:r>
        <w:rPr>
          <w:rFonts w:ascii="Verdana" w:hAnsi="Verdana"/>
          <w:sz w:val="20"/>
          <w:szCs w:val="20"/>
        </w:rPr>
        <w:t xml:space="preserve"> de 3 de septiembre (</w:t>
      </w:r>
      <w:r w:rsidRPr="0077739C">
        <w:rPr>
          <w:rFonts w:ascii="Verdana" w:hAnsi="Verdana"/>
          <w:i/>
          <w:sz w:val="20"/>
          <w:szCs w:val="20"/>
        </w:rPr>
        <w:t>supra</w:t>
      </w:r>
      <w:r>
        <w:rPr>
          <w:rFonts w:ascii="Verdana" w:hAnsi="Verdana"/>
          <w:sz w:val="20"/>
          <w:szCs w:val="20"/>
        </w:rPr>
        <w:t xml:space="preserve"> Visto </w:t>
      </w:r>
      <w:r w:rsidR="0028276B">
        <w:rPr>
          <w:rFonts w:ascii="Verdana" w:hAnsi="Verdana"/>
          <w:sz w:val="20"/>
          <w:szCs w:val="20"/>
        </w:rPr>
        <w:t>10</w:t>
      </w:r>
      <w:r w:rsidR="00A05D01">
        <w:rPr>
          <w:rFonts w:ascii="Verdana" w:hAnsi="Verdana"/>
          <w:sz w:val="20"/>
          <w:szCs w:val="20"/>
        </w:rPr>
        <w:t>), así como el escrito presentado el 10 de septiembre</w:t>
      </w:r>
      <w:r w:rsidR="00F30FB9">
        <w:rPr>
          <w:rFonts w:ascii="Verdana" w:hAnsi="Verdana"/>
          <w:sz w:val="20"/>
          <w:szCs w:val="20"/>
        </w:rPr>
        <w:t xml:space="preserve"> de 2021</w:t>
      </w:r>
      <w:r w:rsidR="00A05D01">
        <w:rPr>
          <w:rFonts w:ascii="Verdana" w:hAnsi="Verdana"/>
          <w:sz w:val="20"/>
          <w:szCs w:val="20"/>
        </w:rPr>
        <w:t xml:space="preserve">, mediante el cual la Comisión </w:t>
      </w:r>
      <w:r w:rsidR="006B2D23" w:rsidRPr="006B2D23">
        <w:rPr>
          <w:rFonts w:ascii="Verdana" w:hAnsi="Verdana"/>
          <w:sz w:val="20"/>
          <w:szCs w:val="20"/>
        </w:rPr>
        <w:t>reiteró sus</w:t>
      </w:r>
      <w:r w:rsidR="006B2D23">
        <w:rPr>
          <w:rFonts w:ascii="Verdana" w:hAnsi="Verdana"/>
          <w:sz w:val="20"/>
          <w:szCs w:val="20"/>
        </w:rPr>
        <w:t xml:space="preserve"> </w:t>
      </w:r>
      <w:r w:rsidR="006B2D23" w:rsidRPr="006B2D23">
        <w:rPr>
          <w:rFonts w:ascii="Verdana" w:hAnsi="Verdana"/>
          <w:sz w:val="20"/>
          <w:szCs w:val="20"/>
        </w:rPr>
        <w:t>“observaciones previamente presentadas en la fase escrita de esta solicitud</w:t>
      </w:r>
      <w:r w:rsidR="006B2D23">
        <w:rPr>
          <w:rFonts w:ascii="Verdana" w:hAnsi="Verdana"/>
          <w:sz w:val="20"/>
          <w:szCs w:val="20"/>
        </w:rPr>
        <w:t>” y</w:t>
      </w:r>
      <w:r w:rsidR="006B2D23" w:rsidRPr="006B2D23">
        <w:rPr>
          <w:rFonts w:ascii="Verdana" w:hAnsi="Verdana"/>
          <w:sz w:val="20"/>
          <w:szCs w:val="20"/>
        </w:rPr>
        <w:t xml:space="preserve"> </w:t>
      </w:r>
      <w:r w:rsidR="006B2D23">
        <w:rPr>
          <w:rFonts w:ascii="Verdana" w:hAnsi="Verdana"/>
          <w:sz w:val="20"/>
          <w:szCs w:val="20"/>
        </w:rPr>
        <w:t>“</w:t>
      </w:r>
      <w:r w:rsidR="006B2D23" w:rsidRPr="006B2D23">
        <w:rPr>
          <w:rFonts w:ascii="Verdana" w:hAnsi="Verdana"/>
          <w:sz w:val="20"/>
          <w:szCs w:val="20"/>
        </w:rPr>
        <w:t>las observaciones</w:t>
      </w:r>
      <w:r w:rsidR="006B2D23">
        <w:rPr>
          <w:rFonts w:ascii="Verdana" w:hAnsi="Verdana"/>
          <w:sz w:val="20"/>
          <w:szCs w:val="20"/>
        </w:rPr>
        <w:t xml:space="preserve"> </w:t>
      </w:r>
      <w:r w:rsidR="006B2D23" w:rsidRPr="006B2D23">
        <w:rPr>
          <w:rFonts w:ascii="Verdana" w:hAnsi="Verdana"/>
          <w:sz w:val="20"/>
          <w:szCs w:val="20"/>
        </w:rPr>
        <w:t>orales presentadas</w:t>
      </w:r>
      <w:r w:rsidR="006B2D23">
        <w:rPr>
          <w:rFonts w:ascii="Verdana" w:hAnsi="Verdana"/>
          <w:sz w:val="20"/>
          <w:szCs w:val="20"/>
        </w:rPr>
        <w:t>” en la audiencia (</w:t>
      </w:r>
      <w:r w:rsidR="006B2D23" w:rsidRPr="0077739C">
        <w:rPr>
          <w:rFonts w:ascii="Verdana" w:hAnsi="Verdana"/>
          <w:i/>
          <w:sz w:val="20"/>
          <w:szCs w:val="20"/>
        </w:rPr>
        <w:t>supra</w:t>
      </w:r>
      <w:r w:rsidR="006B2D23">
        <w:rPr>
          <w:rFonts w:ascii="Verdana" w:hAnsi="Verdana"/>
          <w:sz w:val="20"/>
          <w:szCs w:val="20"/>
        </w:rPr>
        <w:t xml:space="preserve"> Vistos 6 y 9).</w:t>
      </w:r>
    </w:p>
    <w:p w14:paraId="6F300E92" w14:textId="13574053" w:rsidR="00B53EF0" w:rsidRPr="00B660E9" w:rsidRDefault="00B53EF0" w:rsidP="00BE0EFF">
      <w:pPr>
        <w:numPr>
          <w:ilvl w:val="0"/>
          <w:numId w:val="1"/>
        </w:numPr>
        <w:spacing w:before="120" w:after="120"/>
        <w:ind w:left="0" w:firstLine="0"/>
        <w:jc w:val="both"/>
        <w:rPr>
          <w:rFonts w:ascii="Verdana" w:hAnsi="Verdana"/>
          <w:sz w:val="20"/>
          <w:szCs w:val="20"/>
        </w:rPr>
      </w:pPr>
      <w:r w:rsidRPr="00B660E9">
        <w:rPr>
          <w:rFonts w:ascii="Verdana" w:hAnsi="Verdana"/>
          <w:sz w:val="20"/>
          <w:szCs w:val="20"/>
        </w:rPr>
        <w:t>La información presentada en la etapa de supervisión de cumplimiento sobre la reparación ordenada en los</w:t>
      </w:r>
      <w:r w:rsidR="00376794">
        <w:rPr>
          <w:rFonts w:ascii="Verdana" w:hAnsi="Verdana"/>
          <w:sz w:val="20"/>
          <w:szCs w:val="20"/>
        </w:rPr>
        <w:t xml:space="preserve"> respectivos</w:t>
      </w:r>
      <w:r w:rsidRPr="00B660E9">
        <w:rPr>
          <w:rFonts w:ascii="Verdana" w:hAnsi="Verdana"/>
          <w:sz w:val="20"/>
          <w:szCs w:val="20"/>
        </w:rPr>
        <w:t xml:space="preserve"> puntos resolutivos décimo y undécimo de las </w:t>
      </w:r>
      <w:r w:rsidR="00376794">
        <w:rPr>
          <w:rFonts w:ascii="Verdana" w:hAnsi="Verdana"/>
          <w:sz w:val="20"/>
          <w:szCs w:val="20"/>
        </w:rPr>
        <w:t>s</w:t>
      </w:r>
      <w:r w:rsidRPr="00B660E9">
        <w:rPr>
          <w:rFonts w:ascii="Verdana" w:hAnsi="Verdana"/>
          <w:sz w:val="20"/>
          <w:szCs w:val="20"/>
        </w:rPr>
        <w:t xml:space="preserve">entencias de los casos </w:t>
      </w:r>
      <w:r w:rsidRPr="00B660E9">
        <w:rPr>
          <w:rFonts w:ascii="Verdana" w:hAnsi="Verdana"/>
          <w:i/>
          <w:sz w:val="20"/>
          <w:szCs w:val="20"/>
          <w:lang w:val="es-MX"/>
        </w:rPr>
        <w:t>Ruiz Fuentes y otra</w:t>
      </w:r>
      <w:r w:rsidR="00376794" w:rsidRPr="00376794">
        <w:rPr>
          <w:rFonts w:ascii="Verdana" w:hAnsi="Verdana"/>
          <w:sz w:val="20"/>
          <w:szCs w:val="20"/>
          <w:lang w:val="es-MX"/>
        </w:rPr>
        <w:t>,</w:t>
      </w:r>
      <w:r w:rsidRPr="00376794">
        <w:rPr>
          <w:rFonts w:ascii="Verdana" w:hAnsi="Verdana"/>
          <w:sz w:val="20"/>
          <w:szCs w:val="20"/>
          <w:lang w:val="es-MX"/>
        </w:rPr>
        <w:t xml:space="preserve"> y</w:t>
      </w:r>
      <w:r w:rsidRPr="00B660E9">
        <w:rPr>
          <w:rFonts w:ascii="Verdana" w:hAnsi="Verdana"/>
          <w:i/>
          <w:sz w:val="20"/>
          <w:szCs w:val="20"/>
          <w:lang w:val="es-MX"/>
        </w:rPr>
        <w:t xml:space="preserve"> </w:t>
      </w:r>
      <w:r w:rsidRPr="00B660E9">
        <w:rPr>
          <w:rFonts w:ascii="Verdana" w:hAnsi="Verdana" w:cs="Arial"/>
          <w:i/>
          <w:sz w:val="20"/>
          <w:szCs w:val="20"/>
          <w:shd w:val="clear" w:color="auto" w:fill="FFFFFF"/>
        </w:rPr>
        <w:t>Valenzuela Ávila</w:t>
      </w:r>
      <w:r w:rsidR="00376794">
        <w:rPr>
          <w:rFonts w:ascii="Verdana" w:hAnsi="Verdana" w:cs="Arial"/>
          <w:i/>
          <w:sz w:val="20"/>
          <w:szCs w:val="20"/>
          <w:shd w:val="clear" w:color="auto" w:fill="FFFFFF"/>
        </w:rPr>
        <w:t xml:space="preserve"> </w:t>
      </w:r>
      <w:r w:rsidR="00376794" w:rsidRPr="00B660E9">
        <w:rPr>
          <w:rFonts w:ascii="Verdana" w:hAnsi="Verdana" w:cs="Arial"/>
          <w:sz w:val="20"/>
          <w:szCs w:val="20"/>
          <w:lang w:val="es-CR"/>
        </w:rPr>
        <w:t>(</w:t>
      </w:r>
      <w:r w:rsidR="007F5BF9">
        <w:rPr>
          <w:rFonts w:ascii="Verdana" w:hAnsi="Verdana" w:cs="Arial"/>
          <w:i/>
          <w:sz w:val="20"/>
          <w:szCs w:val="20"/>
          <w:lang w:val="es-CR"/>
        </w:rPr>
        <w:t>infra</w:t>
      </w:r>
      <w:r w:rsidR="00376794" w:rsidRPr="00B660E9">
        <w:rPr>
          <w:rFonts w:ascii="Verdana" w:hAnsi="Verdana" w:cs="Arial"/>
          <w:sz w:val="20"/>
          <w:szCs w:val="20"/>
          <w:lang w:val="es-CR"/>
        </w:rPr>
        <w:t xml:space="preserve"> </w:t>
      </w:r>
      <w:r w:rsidR="00376794" w:rsidRPr="007C45C4">
        <w:rPr>
          <w:rFonts w:ascii="Verdana" w:hAnsi="Verdana" w:cs="Arial"/>
          <w:sz w:val="20"/>
          <w:szCs w:val="20"/>
          <w:lang w:val="es-CR"/>
        </w:rPr>
        <w:t>Considerando</w:t>
      </w:r>
      <w:r w:rsidR="00376794">
        <w:rPr>
          <w:rFonts w:ascii="Verdana" w:hAnsi="Verdana" w:cs="Arial"/>
          <w:sz w:val="20"/>
          <w:szCs w:val="20"/>
          <w:lang w:val="es-CR"/>
        </w:rPr>
        <w:t xml:space="preserve"> 30</w:t>
      </w:r>
      <w:r w:rsidR="00376794" w:rsidRPr="00B660E9">
        <w:rPr>
          <w:rFonts w:ascii="Verdana" w:hAnsi="Verdana" w:cs="Arial"/>
          <w:sz w:val="20"/>
          <w:szCs w:val="20"/>
          <w:lang w:val="es-CR"/>
        </w:rPr>
        <w:t>)</w:t>
      </w:r>
      <w:r w:rsidRPr="00376794">
        <w:rPr>
          <w:rFonts w:ascii="Verdana" w:hAnsi="Verdana" w:cs="Arial"/>
          <w:sz w:val="20"/>
          <w:szCs w:val="20"/>
          <w:shd w:val="clear" w:color="auto" w:fill="FFFFFF"/>
        </w:rPr>
        <w:t>.</w:t>
      </w:r>
    </w:p>
    <w:p w14:paraId="21ABE842" w14:textId="77777777" w:rsidR="00B53EF0" w:rsidRPr="00B660E9" w:rsidRDefault="00B53EF0" w:rsidP="00BE0EFF">
      <w:pPr>
        <w:spacing w:before="120" w:after="120"/>
        <w:jc w:val="both"/>
        <w:rPr>
          <w:rFonts w:ascii="Verdana" w:eastAsia="Times" w:hAnsi="Verdana"/>
          <w:sz w:val="20"/>
          <w:szCs w:val="20"/>
          <w:lang w:val="es-ES"/>
        </w:rPr>
      </w:pPr>
    </w:p>
    <w:p w14:paraId="5AF9F122" w14:textId="77777777" w:rsidR="00B53EF0" w:rsidRPr="00B660E9" w:rsidRDefault="00BE0EFF" w:rsidP="00BE0EFF">
      <w:pPr>
        <w:spacing w:before="120" w:after="120"/>
        <w:jc w:val="both"/>
        <w:rPr>
          <w:rFonts w:ascii="Verdana" w:eastAsia="Verdana" w:hAnsi="Verdana" w:cs="Verdana"/>
          <w:b/>
          <w:bCs/>
          <w:sz w:val="20"/>
          <w:szCs w:val="20"/>
          <w:lang w:val="es-ES"/>
        </w:rPr>
      </w:pPr>
      <w:r w:rsidRPr="00B660E9">
        <w:rPr>
          <w:rFonts w:ascii="Verdana" w:eastAsia="Verdana" w:hAnsi="Verdana" w:cs="Verdana"/>
          <w:b/>
          <w:bCs/>
          <w:sz w:val="20"/>
          <w:szCs w:val="20"/>
          <w:lang w:val="es-ES"/>
        </w:rPr>
        <w:t>CONSIDERANDO QUE:</w:t>
      </w:r>
    </w:p>
    <w:p w14:paraId="41A4984B" w14:textId="77777777" w:rsidR="00B53EF0" w:rsidRPr="00B660E9" w:rsidRDefault="00B53EF0" w:rsidP="00BE0EFF">
      <w:pPr>
        <w:numPr>
          <w:ilvl w:val="0"/>
          <w:numId w:val="2"/>
        </w:numPr>
        <w:spacing w:before="120" w:after="120"/>
        <w:ind w:left="0" w:firstLine="0"/>
        <w:jc w:val="both"/>
        <w:rPr>
          <w:rFonts w:ascii="Verdana" w:hAnsi="Verdana"/>
          <w:sz w:val="20"/>
          <w:szCs w:val="20"/>
        </w:rPr>
      </w:pPr>
      <w:r w:rsidRPr="00B660E9">
        <w:rPr>
          <w:rFonts w:ascii="Verdana" w:hAnsi="Verdana"/>
          <w:sz w:val="20"/>
          <w:szCs w:val="20"/>
          <w:lang w:val="es-CR"/>
        </w:rPr>
        <w:t>El artículo 63.2 de la Convención Americana sobre Derechos Humanos dispone que, “[e]n casos de extrema gravedad y urgencia, y cuando se haga necesario evitar daños irreparables a las personas, la Corte, en los asuntos que esté conociendo, podrá tomar las medidas provisionales que considere pertinentes”.</w:t>
      </w:r>
      <w:r w:rsidRPr="00B660E9">
        <w:rPr>
          <w:rFonts w:ascii="Verdana" w:hAnsi="Verdana"/>
          <w:sz w:val="20"/>
          <w:szCs w:val="20"/>
        </w:rPr>
        <w:t xml:space="preserve"> Asimismo, el artículo 27.3 del Reglamento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w:t>
      </w:r>
    </w:p>
    <w:p w14:paraId="62734126" w14:textId="6BC5D08A" w:rsidR="00B53EF0" w:rsidRPr="00B660E9" w:rsidRDefault="00B53EF0" w:rsidP="00BE0EFF">
      <w:pPr>
        <w:numPr>
          <w:ilvl w:val="0"/>
          <w:numId w:val="2"/>
        </w:numPr>
        <w:spacing w:before="120" w:after="120"/>
        <w:ind w:left="0" w:firstLine="0"/>
        <w:jc w:val="both"/>
        <w:rPr>
          <w:rFonts w:ascii="Verdana" w:hAnsi="Verdana"/>
          <w:sz w:val="20"/>
          <w:szCs w:val="20"/>
        </w:rPr>
      </w:pPr>
      <w:r w:rsidRPr="00B660E9">
        <w:rPr>
          <w:rFonts w:ascii="Verdana" w:hAnsi="Verdana"/>
          <w:sz w:val="20"/>
          <w:szCs w:val="20"/>
          <w:lang w:val="es-CR"/>
        </w:rPr>
        <w:t>La solicitud de medidas provisionales fue presentada por las representantes de las víctimas de los casos</w:t>
      </w:r>
      <w:r w:rsidRPr="00B660E9">
        <w:rPr>
          <w:rFonts w:ascii="Verdana" w:hAnsi="Verdana"/>
          <w:i/>
          <w:sz w:val="20"/>
          <w:szCs w:val="20"/>
          <w:lang w:val="es-CR"/>
        </w:rPr>
        <w:t xml:space="preserve"> </w:t>
      </w:r>
      <w:r w:rsidRPr="00B660E9">
        <w:rPr>
          <w:rFonts w:ascii="Verdana" w:eastAsia="Calibri" w:hAnsi="Verdana" w:cs="Verdana"/>
          <w:i/>
          <w:color w:val="000000"/>
          <w:sz w:val="20"/>
          <w:szCs w:val="20"/>
          <w:lang w:val="es-CR"/>
        </w:rPr>
        <w:t>Valenzuela Ávila</w:t>
      </w:r>
      <w:r w:rsidRPr="00B660E9">
        <w:rPr>
          <w:rFonts w:ascii="Verdana" w:eastAsia="Calibri" w:hAnsi="Verdana" w:cs="Verdana"/>
          <w:color w:val="000000"/>
          <w:sz w:val="20"/>
          <w:szCs w:val="20"/>
          <w:lang w:val="es-CR"/>
        </w:rPr>
        <w:t xml:space="preserve"> y </w:t>
      </w:r>
      <w:r w:rsidRPr="00B660E9">
        <w:rPr>
          <w:rFonts w:ascii="Verdana" w:eastAsia="Calibri" w:hAnsi="Verdana" w:cs="Verdana"/>
          <w:i/>
          <w:color w:val="000000"/>
          <w:sz w:val="20"/>
          <w:szCs w:val="20"/>
          <w:lang w:val="es-CR"/>
        </w:rPr>
        <w:t>Ruiz Fuentes y otra</w:t>
      </w:r>
      <w:r w:rsidRPr="00B660E9">
        <w:rPr>
          <w:rFonts w:ascii="Verdana" w:hAnsi="Verdana"/>
          <w:sz w:val="20"/>
          <w:szCs w:val="20"/>
          <w:lang w:val="es-CR"/>
        </w:rPr>
        <w:t xml:space="preserve">, los cuales se encuentran actualmente en etapa de supervisión de cumplimiento de </w:t>
      </w:r>
      <w:r w:rsidR="00E77AF3">
        <w:rPr>
          <w:rFonts w:ascii="Verdana" w:hAnsi="Verdana"/>
          <w:sz w:val="20"/>
          <w:szCs w:val="20"/>
          <w:lang w:val="es-CR"/>
        </w:rPr>
        <w:t>s</w:t>
      </w:r>
      <w:r w:rsidRPr="00B660E9">
        <w:rPr>
          <w:rFonts w:ascii="Verdana" w:hAnsi="Verdana"/>
          <w:sz w:val="20"/>
          <w:szCs w:val="20"/>
          <w:lang w:val="es-CR"/>
        </w:rPr>
        <w:t xml:space="preserve">entencias, </w:t>
      </w:r>
      <w:r w:rsidRPr="00B660E9">
        <w:rPr>
          <w:rFonts w:ascii="Verdana" w:hAnsi="Verdana"/>
          <w:sz w:val="20"/>
          <w:szCs w:val="20"/>
        </w:rPr>
        <w:t>con lo cual se cumple con lo requerido en dicho artículo 27.3 en lo que respecta a la legitimación para presentar la solicitud</w:t>
      </w:r>
      <w:r w:rsidRPr="00B660E9">
        <w:rPr>
          <w:rFonts w:ascii="Verdana" w:hAnsi="Verdana"/>
          <w:sz w:val="20"/>
          <w:szCs w:val="20"/>
          <w:lang w:val="es-CR"/>
        </w:rPr>
        <w:t>.</w:t>
      </w:r>
    </w:p>
    <w:p w14:paraId="7A9728B7" w14:textId="6C4A8D5D" w:rsidR="00FF2C90" w:rsidRPr="00C25120" w:rsidRDefault="0028276B" w:rsidP="00C25120">
      <w:pPr>
        <w:numPr>
          <w:ilvl w:val="0"/>
          <w:numId w:val="2"/>
        </w:numPr>
        <w:spacing w:before="120" w:after="120"/>
        <w:ind w:left="0" w:firstLine="0"/>
        <w:jc w:val="both"/>
        <w:rPr>
          <w:rFonts w:ascii="Verdana" w:hAnsi="Verdana"/>
          <w:sz w:val="20"/>
          <w:szCs w:val="20"/>
          <w:lang w:val="es-CR"/>
        </w:rPr>
      </w:pPr>
      <w:r w:rsidRPr="000E6041">
        <w:rPr>
          <w:rFonts w:ascii="Verdana" w:hAnsi="Verdana"/>
          <w:sz w:val="20"/>
          <w:szCs w:val="20"/>
          <w:lang w:val="es-CR"/>
        </w:rPr>
        <w:t>Seguidamente, se resumen los principales argumentos expuestos por l</w:t>
      </w:r>
      <w:r w:rsidR="000E6041">
        <w:rPr>
          <w:rFonts w:ascii="Verdana" w:hAnsi="Verdana"/>
          <w:sz w:val="20"/>
          <w:szCs w:val="20"/>
          <w:lang w:val="es-CR"/>
        </w:rPr>
        <w:t>a</w:t>
      </w:r>
      <w:r w:rsidRPr="000E6041">
        <w:rPr>
          <w:rFonts w:ascii="Verdana" w:hAnsi="Verdana"/>
          <w:sz w:val="20"/>
          <w:szCs w:val="20"/>
          <w:lang w:val="es-CR"/>
        </w:rPr>
        <w:t>s</w:t>
      </w:r>
      <w:r w:rsidR="000E6041">
        <w:rPr>
          <w:rFonts w:ascii="Verdana" w:hAnsi="Verdana"/>
          <w:sz w:val="20"/>
          <w:szCs w:val="20"/>
          <w:lang w:val="es-CR"/>
        </w:rPr>
        <w:t xml:space="preserve"> representantes </w:t>
      </w:r>
      <w:r w:rsidRPr="000E6041">
        <w:rPr>
          <w:rFonts w:ascii="Verdana" w:hAnsi="Verdana"/>
          <w:sz w:val="20"/>
          <w:szCs w:val="20"/>
          <w:lang w:val="es-CR"/>
        </w:rPr>
        <w:t>en la solicitud de medidas provisionales y en escritos posteriores</w:t>
      </w:r>
      <w:r w:rsidR="000E6041">
        <w:rPr>
          <w:rFonts w:ascii="Verdana" w:hAnsi="Verdana"/>
          <w:sz w:val="20"/>
          <w:szCs w:val="20"/>
          <w:lang w:val="es-CR"/>
        </w:rPr>
        <w:t xml:space="preserve"> </w:t>
      </w:r>
      <w:r w:rsidRPr="000E6041">
        <w:rPr>
          <w:rFonts w:ascii="Verdana" w:hAnsi="Verdana"/>
          <w:sz w:val="20"/>
          <w:szCs w:val="20"/>
          <w:lang w:val="es-CR"/>
        </w:rPr>
        <w:t>(</w:t>
      </w:r>
      <w:r w:rsidRPr="000E6041">
        <w:rPr>
          <w:rFonts w:ascii="Verdana" w:hAnsi="Verdana"/>
          <w:i/>
          <w:sz w:val="20"/>
          <w:szCs w:val="20"/>
          <w:lang w:val="es-CR"/>
        </w:rPr>
        <w:t>infra</w:t>
      </w:r>
      <w:r w:rsidRPr="000E6041">
        <w:rPr>
          <w:rFonts w:ascii="Verdana" w:hAnsi="Verdana"/>
          <w:sz w:val="20"/>
          <w:szCs w:val="20"/>
          <w:lang w:val="es-CR"/>
        </w:rPr>
        <w:t xml:space="preserve"> Considerandos </w:t>
      </w:r>
      <w:r w:rsidR="00E951F7">
        <w:rPr>
          <w:rFonts w:ascii="Verdana" w:hAnsi="Verdana"/>
          <w:sz w:val="20"/>
          <w:szCs w:val="20"/>
          <w:lang w:val="es-CR"/>
        </w:rPr>
        <w:t xml:space="preserve">4 a </w:t>
      </w:r>
      <w:r w:rsidR="00D96F49">
        <w:rPr>
          <w:rFonts w:ascii="Verdana" w:hAnsi="Verdana"/>
          <w:sz w:val="20"/>
          <w:szCs w:val="20"/>
          <w:lang w:val="es-CR"/>
        </w:rPr>
        <w:t>15</w:t>
      </w:r>
      <w:r w:rsidRPr="000E6041">
        <w:rPr>
          <w:rFonts w:ascii="Verdana" w:hAnsi="Verdana"/>
          <w:sz w:val="20"/>
          <w:szCs w:val="20"/>
          <w:lang w:val="es-CR"/>
        </w:rPr>
        <w:t xml:space="preserve">); </w:t>
      </w:r>
      <w:r w:rsidRPr="0028276B">
        <w:rPr>
          <w:rFonts w:ascii="Verdana" w:hAnsi="Verdana"/>
          <w:sz w:val="20"/>
          <w:szCs w:val="20"/>
          <w:lang w:val="es-CR"/>
        </w:rPr>
        <w:t>las observaciones realizadas por la Comisión Interamericana (</w:t>
      </w:r>
      <w:r w:rsidRPr="000E6041">
        <w:rPr>
          <w:rFonts w:ascii="Verdana" w:hAnsi="Verdana"/>
          <w:i/>
          <w:sz w:val="20"/>
          <w:szCs w:val="20"/>
          <w:lang w:val="es-CR"/>
        </w:rPr>
        <w:t>infra</w:t>
      </w:r>
      <w:r w:rsidR="000E6041">
        <w:rPr>
          <w:rFonts w:ascii="Verdana" w:hAnsi="Verdana"/>
          <w:sz w:val="20"/>
          <w:szCs w:val="20"/>
          <w:lang w:val="es-CR"/>
        </w:rPr>
        <w:t xml:space="preserve"> </w:t>
      </w:r>
      <w:r w:rsidRPr="000E6041">
        <w:rPr>
          <w:rFonts w:ascii="Verdana" w:hAnsi="Verdana"/>
          <w:sz w:val="20"/>
          <w:szCs w:val="20"/>
          <w:lang w:val="es-CR"/>
        </w:rPr>
        <w:t>Considerando</w:t>
      </w:r>
      <w:r w:rsidR="000E6041">
        <w:rPr>
          <w:rFonts w:ascii="Verdana" w:hAnsi="Verdana"/>
          <w:sz w:val="20"/>
          <w:szCs w:val="20"/>
          <w:lang w:val="es-CR"/>
        </w:rPr>
        <w:t>s</w:t>
      </w:r>
      <w:r w:rsidRPr="000E6041">
        <w:rPr>
          <w:rFonts w:ascii="Verdana" w:hAnsi="Verdana"/>
          <w:sz w:val="20"/>
          <w:szCs w:val="20"/>
          <w:lang w:val="es-CR"/>
        </w:rPr>
        <w:t xml:space="preserve"> </w:t>
      </w:r>
      <w:r w:rsidR="00D96F49">
        <w:rPr>
          <w:rFonts w:ascii="Verdana" w:hAnsi="Verdana"/>
          <w:sz w:val="20"/>
          <w:szCs w:val="20"/>
          <w:lang w:val="es-CR"/>
        </w:rPr>
        <w:t>16 y 17</w:t>
      </w:r>
      <w:r w:rsidRPr="000E6041">
        <w:rPr>
          <w:rFonts w:ascii="Verdana" w:hAnsi="Verdana"/>
          <w:sz w:val="20"/>
          <w:szCs w:val="20"/>
          <w:lang w:val="es-CR"/>
        </w:rPr>
        <w:t>)</w:t>
      </w:r>
      <w:r w:rsidR="00FF2C90">
        <w:rPr>
          <w:rFonts w:ascii="Verdana" w:hAnsi="Verdana"/>
          <w:sz w:val="20"/>
          <w:szCs w:val="20"/>
          <w:lang w:val="es-CR"/>
        </w:rPr>
        <w:t xml:space="preserve">, la información presentada por la </w:t>
      </w:r>
      <w:r w:rsidR="00FF2C90" w:rsidRPr="00FF2C90">
        <w:rPr>
          <w:rFonts w:ascii="Verdana" w:hAnsi="Verdana"/>
          <w:sz w:val="20"/>
          <w:szCs w:val="20"/>
          <w:lang w:val="es-CR"/>
        </w:rPr>
        <w:t>Procuraduría de los Derechos Humanos de Guatemala</w:t>
      </w:r>
      <w:r w:rsidR="00736E09" w:rsidRPr="00C25120">
        <w:rPr>
          <w:rStyle w:val="Refdenotaalpie"/>
          <w:sz w:val="20"/>
          <w:szCs w:val="20"/>
          <w:lang w:val="es-CR"/>
        </w:rPr>
        <w:footnoteReference w:id="11"/>
      </w:r>
      <w:r w:rsidR="00FF2C90">
        <w:rPr>
          <w:rFonts w:ascii="Verdana" w:hAnsi="Verdana"/>
          <w:sz w:val="20"/>
          <w:szCs w:val="20"/>
          <w:lang w:val="es-CR"/>
        </w:rPr>
        <w:t xml:space="preserve"> </w:t>
      </w:r>
      <w:r w:rsidR="00FF2C90" w:rsidRPr="0028276B">
        <w:rPr>
          <w:rFonts w:ascii="Verdana" w:hAnsi="Verdana"/>
          <w:sz w:val="20"/>
          <w:szCs w:val="20"/>
          <w:lang w:val="es-CR"/>
        </w:rPr>
        <w:t>(</w:t>
      </w:r>
      <w:r w:rsidR="00FF2C90" w:rsidRPr="000E6041">
        <w:rPr>
          <w:rFonts w:ascii="Verdana" w:hAnsi="Verdana"/>
          <w:i/>
          <w:sz w:val="20"/>
          <w:szCs w:val="20"/>
          <w:lang w:val="es-CR"/>
        </w:rPr>
        <w:t>infra</w:t>
      </w:r>
      <w:r w:rsidR="00FF2C90">
        <w:rPr>
          <w:rFonts w:ascii="Verdana" w:hAnsi="Verdana"/>
          <w:sz w:val="20"/>
          <w:szCs w:val="20"/>
          <w:lang w:val="es-CR"/>
        </w:rPr>
        <w:t xml:space="preserve"> </w:t>
      </w:r>
      <w:r w:rsidR="00FF2C90" w:rsidRPr="000E6041">
        <w:rPr>
          <w:rFonts w:ascii="Verdana" w:hAnsi="Verdana"/>
          <w:sz w:val="20"/>
          <w:szCs w:val="20"/>
          <w:lang w:val="es-CR"/>
        </w:rPr>
        <w:t>Considerando</w:t>
      </w:r>
      <w:r w:rsidR="00D96F49">
        <w:rPr>
          <w:rFonts w:ascii="Verdana" w:hAnsi="Verdana"/>
          <w:sz w:val="20"/>
          <w:szCs w:val="20"/>
          <w:lang w:val="es-CR"/>
        </w:rPr>
        <w:t xml:space="preserve"> 18</w:t>
      </w:r>
      <w:r w:rsidR="00FF2C90" w:rsidRPr="000E6041">
        <w:rPr>
          <w:rFonts w:ascii="Verdana" w:hAnsi="Verdana"/>
          <w:sz w:val="20"/>
          <w:szCs w:val="20"/>
          <w:lang w:val="es-CR"/>
        </w:rPr>
        <w:t>)</w:t>
      </w:r>
      <w:r w:rsidR="00C25120">
        <w:rPr>
          <w:rFonts w:ascii="Verdana" w:hAnsi="Verdana"/>
          <w:sz w:val="20"/>
          <w:szCs w:val="20"/>
          <w:lang w:val="es-CR"/>
        </w:rPr>
        <w:t xml:space="preserve">; </w:t>
      </w:r>
      <w:r w:rsidR="00C25120" w:rsidRPr="000E6041">
        <w:rPr>
          <w:rFonts w:ascii="Verdana" w:hAnsi="Verdana"/>
          <w:sz w:val="20"/>
          <w:szCs w:val="20"/>
          <w:lang w:val="es-CR"/>
        </w:rPr>
        <w:t>los argumentos efectuados por el Estado en sus observaciones</w:t>
      </w:r>
      <w:r w:rsidR="00C25120">
        <w:rPr>
          <w:rFonts w:ascii="Verdana" w:hAnsi="Verdana"/>
          <w:sz w:val="20"/>
          <w:szCs w:val="20"/>
          <w:lang w:val="es-CR"/>
        </w:rPr>
        <w:t xml:space="preserve"> </w:t>
      </w:r>
      <w:r w:rsidR="00C25120" w:rsidRPr="000E6041">
        <w:rPr>
          <w:rFonts w:ascii="Verdana" w:hAnsi="Verdana"/>
          <w:sz w:val="20"/>
          <w:szCs w:val="20"/>
          <w:lang w:val="es-CR"/>
        </w:rPr>
        <w:t>y en escritos posteriores (</w:t>
      </w:r>
      <w:r w:rsidR="00C25120" w:rsidRPr="000E6041">
        <w:rPr>
          <w:rFonts w:ascii="Verdana" w:hAnsi="Verdana"/>
          <w:i/>
          <w:sz w:val="20"/>
          <w:szCs w:val="20"/>
          <w:lang w:val="es-CR"/>
        </w:rPr>
        <w:t>infra</w:t>
      </w:r>
      <w:r w:rsidR="00C25120" w:rsidRPr="000E6041">
        <w:rPr>
          <w:rFonts w:ascii="Verdana" w:hAnsi="Verdana"/>
          <w:sz w:val="20"/>
          <w:szCs w:val="20"/>
          <w:lang w:val="es-CR"/>
        </w:rPr>
        <w:t xml:space="preserve"> Considerandos </w:t>
      </w:r>
      <w:r w:rsidR="00D96F49">
        <w:rPr>
          <w:rFonts w:ascii="Verdana" w:hAnsi="Verdana"/>
          <w:sz w:val="20"/>
          <w:szCs w:val="20"/>
          <w:lang w:val="es-CR"/>
        </w:rPr>
        <w:t>19 a 25</w:t>
      </w:r>
      <w:r w:rsidR="00C25120" w:rsidRPr="0028276B">
        <w:rPr>
          <w:rFonts w:ascii="Verdana" w:hAnsi="Verdana"/>
          <w:sz w:val="20"/>
          <w:szCs w:val="20"/>
          <w:lang w:val="es-CR"/>
        </w:rPr>
        <w:t>)</w:t>
      </w:r>
      <w:r w:rsidR="00C25120">
        <w:rPr>
          <w:rFonts w:ascii="Verdana" w:hAnsi="Verdana"/>
          <w:sz w:val="20"/>
          <w:szCs w:val="20"/>
          <w:lang w:val="es-CR"/>
        </w:rPr>
        <w:t>,</w:t>
      </w:r>
      <w:r w:rsidR="00C25120" w:rsidRPr="0028276B">
        <w:rPr>
          <w:rFonts w:ascii="Verdana" w:hAnsi="Verdana"/>
          <w:sz w:val="20"/>
          <w:szCs w:val="20"/>
          <w:lang w:val="es-CR"/>
        </w:rPr>
        <w:t xml:space="preserve"> así como</w:t>
      </w:r>
      <w:r w:rsidR="00C25120">
        <w:rPr>
          <w:rFonts w:ascii="Verdana" w:hAnsi="Verdana"/>
          <w:sz w:val="20"/>
          <w:szCs w:val="20"/>
          <w:lang w:val="es-CR"/>
        </w:rPr>
        <w:t xml:space="preserve"> la i</w:t>
      </w:r>
      <w:r w:rsidR="00C25120" w:rsidRPr="00C25120">
        <w:rPr>
          <w:rFonts w:ascii="Verdana" w:hAnsi="Verdana"/>
          <w:sz w:val="20"/>
          <w:szCs w:val="20"/>
          <w:lang w:val="es-CR"/>
        </w:rPr>
        <w:t>nformación presentada en la supervisión de cumplimiento de las sentencias</w:t>
      </w:r>
      <w:r w:rsidR="00D96F49">
        <w:rPr>
          <w:rFonts w:ascii="Verdana" w:hAnsi="Verdana"/>
          <w:sz w:val="20"/>
          <w:szCs w:val="20"/>
          <w:lang w:val="es-CR"/>
        </w:rPr>
        <w:t xml:space="preserve"> (</w:t>
      </w:r>
      <w:r w:rsidR="00266308">
        <w:rPr>
          <w:rFonts w:ascii="Verdana" w:hAnsi="Verdana"/>
          <w:i/>
          <w:sz w:val="20"/>
          <w:szCs w:val="20"/>
          <w:lang w:val="es-CR"/>
        </w:rPr>
        <w:t>infra</w:t>
      </w:r>
      <w:r w:rsidR="00D96F49">
        <w:rPr>
          <w:rFonts w:ascii="Verdana" w:hAnsi="Verdana"/>
          <w:i/>
          <w:sz w:val="20"/>
          <w:szCs w:val="20"/>
          <w:lang w:val="es-CR"/>
        </w:rPr>
        <w:t xml:space="preserve"> </w:t>
      </w:r>
      <w:r w:rsidR="00D96F49">
        <w:rPr>
          <w:rFonts w:ascii="Verdana" w:hAnsi="Verdana"/>
          <w:sz w:val="20"/>
          <w:szCs w:val="20"/>
          <w:lang w:val="es-CR"/>
        </w:rPr>
        <w:t>Considerandos 26 a 29)</w:t>
      </w:r>
      <w:r w:rsidRPr="00C25120">
        <w:rPr>
          <w:rFonts w:ascii="Verdana" w:hAnsi="Verdana"/>
          <w:sz w:val="20"/>
          <w:szCs w:val="20"/>
          <w:lang w:val="es-CR"/>
        </w:rPr>
        <w:t>. Luego de ello, se pasará a examinar si se configuran los requisitos</w:t>
      </w:r>
      <w:r w:rsidR="000E6041" w:rsidRPr="00C25120">
        <w:rPr>
          <w:rFonts w:ascii="Verdana" w:hAnsi="Verdana"/>
          <w:sz w:val="20"/>
          <w:szCs w:val="20"/>
          <w:lang w:val="es-CR"/>
        </w:rPr>
        <w:t xml:space="preserve"> </w:t>
      </w:r>
      <w:r w:rsidRPr="00C25120">
        <w:rPr>
          <w:rFonts w:ascii="Verdana" w:hAnsi="Verdana"/>
          <w:sz w:val="20"/>
          <w:szCs w:val="20"/>
          <w:lang w:val="es-CR"/>
        </w:rPr>
        <w:t>convencionales y reglamentarios para la adopción de medidas provisionales (</w:t>
      </w:r>
      <w:r w:rsidRPr="00C25120">
        <w:rPr>
          <w:rFonts w:ascii="Verdana" w:hAnsi="Verdana"/>
          <w:i/>
          <w:sz w:val="20"/>
          <w:szCs w:val="20"/>
          <w:lang w:val="es-CR"/>
        </w:rPr>
        <w:t>infra</w:t>
      </w:r>
      <w:r w:rsidR="000E6041" w:rsidRPr="00C25120">
        <w:rPr>
          <w:rFonts w:ascii="Verdana" w:hAnsi="Verdana"/>
          <w:sz w:val="20"/>
          <w:szCs w:val="20"/>
          <w:lang w:val="es-CR"/>
        </w:rPr>
        <w:t xml:space="preserve"> </w:t>
      </w:r>
      <w:r w:rsidRPr="00C25120">
        <w:rPr>
          <w:rFonts w:ascii="Verdana" w:hAnsi="Verdana"/>
          <w:sz w:val="20"/>
          <w:szCs w:val="20"/>
          <w:lang w:val="es-CR"/>
        </w:rPr>
        <w:t xml:space="preserve">Considerandos </w:t>
      </w:r>
      <w:r w:rsidR="00D96F49">
        <w:rPr>
          <w:rFonts w:ascii="Verdana" w:hAnsi="Verdana"/>
          <w:sz w:val="20"/>
          <w:szCs w:val="20"/>
          <w:lang w:val="es-CR"/>
        </w:rPr>
        <w:t>30 a 6</w:t>
      </w:r>
      <w:r w:rsidR="00266308">
        <w:rPr>
          <w:rFonts w:ascii="Verdana" w:hAnsi="Verdana"/>
          <w:sz w:val="20"/>
          <w:szCs w:val="20"/>
          <w:lang w:val="es-CR"/>
        </w:rPr>
        <w:t>2</w:t>
      </w:r>
      <w:r w:rsidRPr="00C25120">
        <w:rPr>
          <w:rFonts w:ascii="Verdana" w:hAnsi="Verdana"/>
          <w:sz w:val="20"/>
          <w:szCs w:val="20"/>
          <w:lang w:val="es-CR"/>
        </w:rPr>
        <w:t>).</w:t>
      </w:r>
    </w:p>
    <w:p w14:paraId="1401F37D" w14:textId="77777777" w:rsidR="00B53EF0" w:rsidRPr="00B660E9" w:rsidRDefault="00F71713" w:rsidP="005D370D">
      <w:pPr>
        <w:spacing w:before="120" w:after="120"/>
        <w:ind w:left="567"/>
        <w:jc w:val="both"/>
        <w:rPr>
          <w:rFonts w:ascii="Verdana" w:eastAsia="Calibri" w:hAnsi="Verdana"/>
          <w:b/>
          <w:i/>
          <w:sz w:val="20"/>
          <w:szCs w:val="20"/>
        </w:rPr>
      </w:pPr>
      <w:bookmarkStart w:id="0" w:name="_Toc80273243"/>
      <w:r w:rsidRPr="00B660E9">
        <w:rPr>
          <w:rFonts w:ascii="Verdana" w:eastAsia="Calibri" w:hAnsi="Verdana"/>
          <w:b/>
          <w:i/>
          <w:sz w:val="20"/>
          <w:szCs w:val="20"/>
        </w:rPr>
        <w:t>A) Solicitudes presentada</w:t>
      </w:r>
      <w:r w:rsidR="00B53EF0" w:rsidRPr="00B660E9">
        <w:rPr>
          <w:rFonts w:ascii="Verdana" w:eastAsia="Calibri" w:hAnsi="Verdana"/>
          <w:b/>
          <w:i/>
          <w:sz w:val="20"/>
          <w:szCs w:val="20"/>
        </w:rPr>
        <w:t xml:space="preserve">s por las </w:t>
      </w:r>
      <w:r w:rsidRPr="00B660E9">
        <w:rPr>
          <w:rFonts w:ascii="Verdana" w:eastAsia="Calibri" w:hAnsi="Verdana"/>
          <w:b/>
          <w:i/>
          <w:sz w:val="20"/>
          <w:szCs w:val="20"/>
        </w:rPr>
        <w:t>representantes de la</w:t>
      </w:r>
      <w:r w:rsidR="00B53EF0" w:rsidRPr="00B660E9">
        <w:rPr>
          <w:rFonts w:ascii="Verdana" w:eastAsia="Calibri" w:hAnsi="Verdana"/>
          <w:b/>
          <w:i/>
          <w:sz w:val="20"/>
          <w:szCs w:val="20"/>
        </w:rPr>
        <w:t>s</w:t>
      </w:r>
      <w:r w:rsidRPr="00B660E9">
        <w:rPr>
          <w:rFonts w:ascii="Verdana" w:eastAsia="Calibri" w:hAnsi="Verdana"/>
          <w:b/>
          <w:i/>
          <w:sz w:val="20"/>
          <w:szCs w:val="20"/>
        </w:rPr>
        <w:t xml:space="preserve"> víctima</w:t>
      </w:r>
      <w:r w:rsidR="00B53EF0" w:rsidRPr="00B660E9">
        <w:rPr>
          <w:rFonts w:ascii="Verdana" w:eastAsia="Calibri" w:hAnsi="Verdana"/>
          <w:b/>
          <w:i/>
          <w:sz w:val="20"/>
          <w:szCs w:val="20"/>
        </w:rPr>
        <w:t>s</w:t>
      </w:r>
    </w:p>
    <w:p w14:paraId="29E6B164" w14:textId="77777777" w:rsidR="00FB50B7" w:rsidRPr="00B660E9" w:rsidRDefault="00E80C3E" w:rsidP="00BE0EFF">
      <w:pPr>
        <w:pStyle w:val="Prrafodelista"/>
        <w:numPr>
          <w:ilvl w:val="0"/>
          <w:numId w:val="23"/>
        </w:numPr>
        <w:spacing w:before="120" w:after="120"/>
        <w:contextualSpacing w:val="0"/>
        <w:jc w:val="both"/>
        <w:rPr>
          <w:rFonts w:ascii="Verdana" w:eastAsia="Calibri" w:hAnsi="Verdana"/>
          <w:i/>
          <w:sz w:val="20"/>
          <w:szCs w:val="20"/>
        </w:rPr>
      </w:pPr>
      <w:r w:rsidRPr="00B660E9">
        <w:rPr>
          <w:rFonts w:ascii="Verdana" w:eastAsia="Calibri" w:hAnsi="Verdana"/>
          <w:i/>
          <w:sz w:val="20"/>
          <w:szCs w:val="20"/>
        </w:rPr>
        <w:t>Solicitud presentada por l</w:t>
      </w:r>
      <w:r w:rsidR="00B53EF0" w:rsidRPr="00B660E9">
        <w:rPr>
          <w:rFonts w:ascii="Verdana" w:eastAsia="Calibri" w:hAnsi="Verdana"/>
          <w:i/>
          <w:sz w:val="20"/>
          <w:szCs w:val="20"/>
        </w:rPr>
        <w:t>a</w:t>
      </w:r>
      <w:r w:rsidRPr="00B660E9">
        <w:rPr>
          <w:rFonts w:ascii="Verdana" w:eastAsia="Calibri" w:hAnsi="Verdana"/>
          <w:i/>
          <w:sz w:val="20"/>
          <w:szCs w:val="20"/>
        </w:rPr>
        <w:t>s representantes</w:t>
      </w:r>
      <w:r w:rsidR="0062353B" w:rsidRPr="00B660E9">
        <w:rPr>
          <w:rFonts w:ascii="Verdana" w:eastAsia="Calibri" w:hAnsi="Verdana"/>
          <w:i/>
          <w:sz w:val="20"/>
          <w:szCs w:val="20"/>
        </w:rPr>
        <w:t xml:space="preserve"> del c</w:t>
      </w:r>
      <w:r w:rsidR="00591A49" w:rsidRPr="00B660E9">
        <w:rPr>
          <w:rFonts w:ascii="Verdana" w:eastAsia="Calibri" w:hAnsi="Verdana"/>
          <w:i/>
          <w:sz w:val="20"/>
          <w:szCs w:val="20"/>
        </w:rPr>
        <w:t>aso Valenzuela Ávila</w:t>
      </w:r>
      <w:bookmarkEnd w:id="0"/>
    </w:p>
    <w:p w14:paraId="12301EE6" w14:textId="38377915" w:rsidR="00B53EF0" w:rsidRPr="00B660E9" w:rsidRDefault="00B53EF0" w:rsidP="00BE0EFF">
      <w:pPr>
        <w:numPr>
          <w:ilvl w:val="0"/>
          <w:numId w:val="2"/>
        </w:numPr>
        <w:spacing w:before="120" w:after="120"/>
        <w:ind w:left="0" w:firstLine="0"/>
        <w:jc w:val="both"/>
        <w:rPr>
          <w:rFonts w:ascii="Verdana" w:eastAsia="Calibri" w:hAnsi="Verdana" w:cs="Verdana"/>
          <w:color w:val="000000"/>
          <w:sz w:val="20"/>
          <w:szCs w:val="20"/>
          <w:lang w:val="es-CR"/>
        </w:rPr>
      </w:pPr>
      <w:r w:rsidRPr="00B660E9">
        <w:rPr>
          <w:rFonts w:ascii="Verdana" w:hAnsi="Verdana"/>
          <w:sz w:val="20"/>
          <w:szCs w:val="20"/>
        </w:rPr>
        <w:t xml:space="preserve">En su escrito de 25 de julio de 2021, las representantes solicitaron la adopción de medidas provisionales en </w:t>
      </w:r>
      <w:r w:rsidRPr="00B660E9">
        <w:rPr>
          <w:rFonts w:ascii="Verdana" w:eastAsia="Calibri" w:hAnsi="Verdana" w:cs="Verdana"/>
          <w:color w:val="000000"/>
          <w:sz w:val="20"/>
          <w:szCs w:val="20"/>
          <w:lang w:val="es-CR"/>
        </w:rPr>
        <w:t xml:space="preserve">favor del </w:t>
      </w:r>
      <w:r w:rsidR="004329FE">
        <w:rPr>
          <w:rFonts w:ascii="Verdana" w:eastAsia="Calibri" w:hAnsi="Verdana" w:cs="Verdana"/>
          <w:color w:val="000000"/>
          <w:sz w:val="20"/>
          <w:szCs w:val="20"/>
          <w:lang w:val="es-CR"/>
        </w:rPr>
        <w:t>ex</w:t>
      </w:r>
      <w:r w:rsidR="00CC768A">
        <w:rPr>
          <w:rFonts w:ascii="Verdana" w:eastAsia="Calibri" w:hAnsi="Verdana" w:cs="Verdana"/>
          <w:color w:val="000000"/>
          <w:sz w:val="20"/>
          <w:szCs w:val="20"/>
          <w:lang w:val="es-CR"/>
        </w:rPr>
        <w:t xml:space="preserve"> </w:t>
      </w:r>
      <w:r w:rsidRPr="00B660E9">
        <w:rPr>
          <w:rFonts w:ascii="Verdana" w:eastAsiaTheme="minorHAnsi" w:hAnsi="Verdana" w:cs="Verdana"/>
          <w:sz w:val="20"/>
          <w:szCs w:val="20"/>
          <w:lang w:val="es-CR"/>
        </w:rPr>
        <w:t xml:space="preserve">Fiscal Juan Francisco Sandoval Alfaro, el Fiscal “B” y el </w:t>
      </w:r>
      <w:r w:rsidRPr="00B660E9">
        <w:rPr>
          <w:rFonts w:ascii="Verdana" w:eastAsiaTheme="minorHAnsi" w:hAnsi="Verdana" w:cs="Verdana"/>
          <w:sz w:val="20"/>
          <w:szCs w:val="20"/>
          <w:lang w:val="es-CR"/>
        </w:rPr>
        <w:lastRenderedPageBreak/>
        <w:t>Auxiliar Fiscal “C”</w:t>
      </w:r>
      <w:r w:rsidRPr="00B660E9">
        <w:rPr>
          <w:rFonts w:ascii="Verdana" w:eastAsia="Calibri" w:hAnsi="Verdana" w:cs="Verdana"/>
          <w:color w:val="000000"/>
          <w:sz w:val="20"/>
          <w:szCs w:val="20"/>
          <w:lang w:val="es-CR"/>
        </w:rPr>
        <w:t>, miembros de la FECI</w:t>
      </w:r>
      <w:r w:rsidR="00033E85" w:rsidRPr="00B660E9">
        <w:rPr>
          <w:rFonts w:ascii="Verdana" w:eastAsia="Calibri" w:hAnsi="Verdana" w:cs="Verdana"/>
          <w:color w:val="000000"/>
          <w:sz w:val="20"/>
          <w:szCs w:val="20"/>
          <w:lang w:val="es-CR"/>
        </w:rPr>
        <w:t>,</w:t>
      </w:r>
      <w:r w:rsidRPr="00B660E9">
        <w:rPr>
          <w:rFonts w:ascii="Verdana" w:eastAsiaTheme="minorHAnsi" w:hAnsi="Verdana" w:cs="Verdana"/>
          <w:sz w:val="20"/>
          <w:szCs w:val="20"/>
          <w:lang w:val="es-CR"/>
        </w:rPr>
        <w:t xml:space="preserve"> </w:t>
      </w:r>
      <w:r w:rsidRPr="00B660E9">
        <w:rPr>
          <w:rFonts w:ascii="Verdana" w:eastAsia="Calibri" w:hAnsi="Verdana" w:cs="Verdana"/>
          <w:color w:val="000000"/>
          <w:sz w:val="20"/>
          <w:szCs w:val="20"/>
          <w:lang w:val="es-CR"/>
        </w:rPr>
        <w:t xml:space="preserve">involucrados en el proceso de investigación por la ejecución del señor </w:t>
      </w:r>
      <w:r w:rsidRPr="00B660E9">
        <w:rPr>
          <w:rFonts w:ascii="Verdana" w:hAnsi="Verdana"/>
          <w:sz w:val="20"/>
          <w:szCs w:val="20"/>
        </w:rPr>
        <w:t>Tirso Román Valenzuela Ávila</w:t>
      </w:r>
      <w:r w:rsidR="00033E85" w:rsidRPr="00B660E9">
        <w:rPr>
          <w:rFonts w:ascii="Verdana" w:hAnsi="Verdana"/>
          <w:sz w:val="20"/>
          <w:szCs w:val="20"/>
        </w:rPr>
        <w:t>,</w:t>
      </w:r>
      <w:r w:rsidRPr="00B660E9">
        <w:rPr>
          <w:rFonts w:ascii="Verdana" w:eastAsiaTheme="minorHAnsi" w:hAnsi="Verdana" w:cs="Verdana"/>
          <w:sz w:val="20"/>
          <w:szCs w:val="20"/>
          <w:lang w:val="es-CR"/>
        </w:rPr>
        <w:t xml:space="preserve"> “a fin de evitar daños irreparables a los derechos a la vida, integridad personal, el derecho a vivir una vida libre de violencia, derecho</w:t>
      </w:r>
      <w:r w:rsidRPr="00B660E9">
        <w:rPr>
          <w:rFonts w:ascii="Verdana" w:hAnsi="Verdana"/>
          <w:sz w:val="20"/>
          <w:szCs w:val="20"/>
        </w:rPr>
        <w:t xml:space="preserve"> </w:t>
      </w:r>
      <w:r w:rsidRPr="00B660E9">
        <w:rPr>
          <w:rFonts w:ascii="Verdana" w:eastAsiaTheme="minorHAnsi" w:hAnsi="Verdana" w:cs="Verdana"/>
          <w:sz w:val="20"/>
          <w:szCs w:val="20"/>
          <w:lang w:val="es-CR"/>
        </w:rPr>
        <w:t>a la libertad y seguridad personales, de estabilidad en el ejercicio del cargo y las garantías judiciales</w:t>
      </w:r>
      <w:r w:rsidR="00207E19">
        <w:rPr>
          <w:rFonts w:ascii="Verdana" w:eastAsiaTheme="minorHAnsi" w:hAnsi="Verdana" w:cs="Verdana"/>
          <w:sz w:val="20"/>
          <w:szCs w:val="20"/>
          <w:lang w:val="es-CR"/>
        </w:rPr>
        <w:t xml:space="preserve"> mínimas</w:t>
      </w:r>
      <w:r w:rsidRPr="00B660E9">
        <w:rPr>
          <w:rFonts w:ascii="Verdana" w:eastAsiaTheme="minorHAnsi" w:hAnsi="Verdana" w:cs="Verdana"/>
          <w:sz w:val="20"/>
          <w:szCs w:val="20"/>
          <w:lang w:val="es-CR"/>
        </w:rPr>
        <w:t>”</w:t>
      </w:r>
      <w:r w:rsidRPr="00B660E9">
        <w:rPr>
          <w:rFonts w:ascii="Verdana" w:eastAsia="Calibri" w:hAnsi="Verdana" w:cs="Verdana"/>
          <w:color w:val="000000"/>
          <w:sz w:val="20"/>
          <w:szCs w:val="20"/>
          <w:lang w:val="es-CR"/>
        </w:rPr>
        <w:t>, debido al “marco de hostigamiento”</w:t>
      </w:r>
      <w:r w:rsidRPr="00B660E9">
        <w:rPr>
          <w:rFonts w:ascii="Verdana" w:hAnsi="Verdana"/>
          <w:sz w:val="20"/>
          <w:szCs w:val="20"/>
        </w:rPr>
        <w:t xml:space="preserve"> e “</w:t>
      </w:r>
      <w:r w:rsidRPr="00B660E9">
        <w:rPr>
          <w:rFonts w:ascii="Verdana" w:eastAsia="Calibri" w:hAnsi="Verdana" w:cs="Verdana"/>
          <w:color w:val="000000"/>
          <w:sz w:val="20"/>
          <w:szCs w:val="20"/>
          <w:lang w:val="es-CR"/>
        </w:rPr>
        <w:t>intimidaciones permanentes a que son sometidos los fiscales a través de acciones penales</w:t>
      </w:r>
      <w:r w:rsidRPr="00B660E9">
        <w:rPr>
          <w:rFonts w:ascii="Verdana" w:hAnsi="Verdana"/>
          <w:sz w:val="20"/>
          <w:szCs w:val="20"/>
        </w:rPr>
        <w:t xml:space="preserve"> </w:t>
      </w:r>
      <w:r w:rsidRPr="00B660E9">
        <w:rPr>
          <w:rFonts w:ascii="Verdana" w:eastAsia="Calibri" w:hAnsi="Verdana" w:cs="Verdana"/>
          <w:color w:val="000000"/>
          <w:sz w:val="20"/>
          <w:szCs w:val="20"/>
          <w:lang w:val="es-CR"/>
        </w:rPr>
        <w:t>infundadas en su contra” y “otros actos de</w:t>
      </w:r>
      <w:r w:rsidRPr="00B660E9">
        <w:rPr>
          <w:rFonts w:ascii="Verdana" w:hAnsi="Verdana"/>
          <w:sz w:val="20"/>
          <w:szCs w:val="20"/>
        </w:rPr>
        <w:t xml:space="preserve"> </w:t>
      </w:r>
      <w:r w:rsidRPr="00B660E9">
        <w:rPr>
          <w:rFonts w:ascii="Verdana" w:eastAsia="Calibri" w:hAnsi="Verdana" w:cs="Verdana"/>
          <w:color w:val="000000"/>
          <w:sz w:val="20"/>
          <w:szCs w:val="20"/>
          <w:lang w:val="es-CR"/>
        </w:rPr>
        <w:t xml:space="preserve">estigmatización y hostigamiento encaminados a lograr la destitución o renuncia”. </w:t>
      </w:r>
      <w:r w:rsidR="00B44AC3">
        <w:rPr>
          <w:rFonts w:ascii="Verdana" w:eastAsia="Calibri" w:hAnsi="Verdana" w:cs="Verdana"/>
          <w:color w:val="000000"/>
          <w:sz w:val="20"/>
          <w:szCs w:val="20"/>
          <w:lang w:val="es-CR"/>
        </w:rPr>
        <w:t>Sostuvieron que t</w:t>
      </w:r>
      <w:r w:rsidRPr="00B660E9">
        <w:rPr>
          <w:rFonts w:ascii="Verdana" w:eastAsia="Calibri" w:hAnsi="Verdana" w:cs="Verdana"/>
          <w:color w:val="000000"/>
          <w:sz w:val="20"/>
          <w:szCs w:val="20"/>
          <w:lang w:val="es-CR"/>
        </w:rPr>
        <w:t xml:space="preserve">ales “actos de intimidación se han materializado, con la destitución arbitraria, ilegal e ilegítima realizada por la </w:t>
      </w:r>
      <w:proofErr w:type="gramStart"/>
      <w:r w:rsidRPr="00B660E9">
        <w:rPr>
          <w:rFonts w:ascii="Verdana" w:eastAsia="Calibri" w:hAnsi="Verdana" w:cs="Verdana"/>
          <w:color w:val="000000"/>
          <w:sz w:val="20"/>
          <w:szCs w:val="20"/>
          <w:lang w:val="es-CR"/>
        </w:rPr>
        <w:t>Fiscal General</w:t>
      </w:r>
      <w:proofErr w:type="gramEnd"/>
      <w:r w:rsidRPr="00B660E9">
        <w:rPr>
          <w:rFonts w:ascii="Verdana" w:eastAsia="Calibri" w:hAnsi="Verdana" w:cs="Verdana"/>
          <w:color w:val="000000"/>
          <w:sz w:val="20"/>
          <w:szCs w:val="20"/>
          <w:lang w:val="es-CR"/>
        </w:rPr>
        <w:t xml:space="preserve"> de la República y </w:t>
      </w:r>
      <w:proofErr w:type="spellStart"/>
      <w:r w:rsidRPr="00B660E9">
        <w:rPr>
          <w:rFonts w:ascii="Verdana" w:eastAsia="Calibri" w:hAnsi="Verdana" w:cs="Verdana"/>
          <w:color w:val="000000"/>
          <w:sz w:val="20"/>
          <w:szCs w:val="20"/>
          <w:lang w:val="es-CR"/>
        </w:rPr>
        <w:t>Jef</w:t>
      </w:r>
      <w:proofErr w:type="spellEnd"/>
      <w:r w:rsidR="00207E19">
        <w:rPr>
          <w:rFonts w:ascii="Verdana" w:eastAsia="Calibri" w:hAnsi="Verdana" w:cs="Verdana"/>
          <w:color w:val="000000"/>
          <w:sz w:val="20"/>
          <w:szCs w:val="20"/>
          <w:lang w:val="es-CR"/>
        </w:rPr>
        <w:t>[a]</w:t>
      </w:r>
      <w:r w:rsidRPr="00B660E9">
        <w:rPr>
          <w:rFonts w:ascii="Verdana" w:eastAsia="Calibri" w:hAnsi="Verdana" w:cs="Verdana"/>
          <w:color w:val="000000"/>
          <w:sz w:val="20"/>
          <w:szCs w:val="20"/>
          <w:lang w:val="es-CR"/>
        </w:rPr>
        <w:t xml:space="preserve"> del Ministerio Público”</w:t>
      </w:r>
      <w:r w:rsidR="00033E85" w:rsidRPr="00B660E9">
        <w:rPr>
          <w:rFonts w:ascii="Verdana" w:eastAsia="Calibri" w:hAnsi="Verdana" w:cs="Verdana"/>
          <w:color w:val="000000"/>
          <w:sz w:val="20"/>
          <w:szCs w:val="20"/>
          <w:lang w:val="es-CR"/>
        </w:rPr>
        <w:t xml:space="preserve"> del </w:t>
      </w:r>
      <w:r w:rsidR="00022545">
        <w:rPr>
          <w:rFonts w:ascii="Verdana" w:eastAsia="Calibri" w:hAnsi="Verdana" w:cs="Verdana"/>
          <w:color w:val="000000"/>
          <w:sz w:val="20"/>
          <w:szCs w:val="20"/>
          <w:lang w:val="es-CR"/>
        </w:rPr>
        <w:t xml:space="preserve">ex </w:t>
      </w:r>
      <w:r w:rsidR="00033E85" w:rsidRPr="00B660E9">
        <w:rPr>
          <w:rFonts w:ascii="Verdana" w:eastAsia="Calibri" w:hAnsi="Verdana" w:cs="Verdana"/>
          <w:color w:val="000000"/>
          <w:sz w:val="20"/>
          <w:szCs w:val="20"/>
          <w:lang w:val="es-CR"/>
        </w:rPr>
        <w:t>Fiscal</w:t>
      </w:r>
      <w:r w:rsidR="00033E85" w:rsidRPr="00B660E9">
        <w:rPr>
          <w:rFonts w:ascii="Verdana" w:hAnsi="Verdana"/>
          <w:sz w:val="20"/>
          <w:szCs w:val="20"/>
        </w:rPr>
        <w:t xml:space="preserve"> </w:t>
      </w:r>
      <w:r w:rsidR="00033E85" w:rsidRPr="00B660E9">
        <w:rPr>
          <w:rFonts w:ascii="Verdana" w:eastAsia="Calibri" w:hAnsi="Verdana" w:cs="Verdana"/>
          <w:color w:val="000000"/>
          <w:sz w:val="20"/>
          <w:szCs w:val="20"/>
          <w:lang w:val="es-CR"/>
        </w:rPr>
        <w:t>Juan Francisco Sandoval Alfaro</w:t>
      </w:r>
      <w:r w:rsidRPr="00B660E9">
        <w:rPr>
          <w:rFonts w:ascii="Verdana" w:eastAsia="Calibri" w:hAnsi="Verdana" w:cs="Verdana"/>
          <w:color w:val="000000"/>
          <w:sz w:val="20"/>
          <w:szCs w:val="20"/>
          <w:lang w:val="es-CR"/>
        </w:rPr>
        <w:t xml:space="preserve"> el 23 de julio de 2021. </w:t>
      </w:r>
      <w:r w:rsidRPr="00B660E9">
        <w:rPr>
          <w:rFonts w:ascii="Verdana" w:hAnsi="Verdana"/>
          <w:sz w:val="20"/>
          <w:szCs w:val="20"/>
        </w:rPr>
        <w:t>En</w:t>
      </w:r>
      <w:r w:rsidR="00033E85" w:rsidRPr="00B660E9">
        <w:rPr>
          <w:rFonts w:ascii="Verdana" w:eastAsia="Calibri" w:hAnsi="Verdana" w:cs="Verdana"/>
          <w:color w:val="000000"/>
          <w:sz w:val="20"/>
          <w:szCs w:val="20"/>
          <w:lang w:val="es-CR"/>
        </w:rPr>
        <w:t xml:space="preserve"> </w:t>
      </w:r>
      <w:r w:rsidRPr="00B660E9">
        <w:rPr>
          <w:rFonts w:ascii="Verdana" w:hAnsi="Verdana"/>
          <w:sz w:val="20"/>
          <w:szCs w:val="20"/>
        </w:rPr>
        <w:t>particular, solicitaron a la Corte que ordene las siguientes “medidas de protección”:</w:t>
      </w:r>
    </w:p>
    <w:p w14:paraId="5B1E21AA" w14:textId="14BA7B25" w:rsidR="00B53EF0" w:rsidRPr="00B660E9" w:rsidRDefault="00160F40" w:rsidP="00B660E9">
      <w:pPr>
        <w:pStyle w:val="Prrafodelista"/>
        <w:numPr>
          <w:ilvl w:val="0"/>
          <w:numId w:val="24"/>
        </w:numPr>
        <w:autoSpaceDE w:val="0"/>
        <w:autoSpaceDN w:val="0"/>
        <w:adjustRightInd w:val="0"/>
        <w:spacing w:before="120" w:after="120"/>
        <w:ind w:left="850" w:hanging="425"/>
        <w:jc w:val="both"/>
        <w:rPr>
          <w:rFonts w:ascii="Verdana" w:eastAsiaTheme="minorHAnsi" w:hAnsi="Verdana"/>
          <w:sz w:val="16"/>
          <w:szCs w:val="16"/>
          <w:lang w:val="es-CR"/>
        </w:rPr>
      </w:pPr>
      <w:r w:rsidRPr="00B660E9">
        <w:rPr>
          <w:rFonts w:ascii="Verdana" w:eastAsiaTheme="minorHAnsi" w:hAnsi="Verdana"/>
          <w:sz w:val="16"/>
          <w:szCs w:val="16"/>
          <w:lang w:val="es-CR"/>
        </w:rPr>
        <w:t>L</w:t>
      </w:r>
      <w:r w:rsidR="00B53EF0" w:rsidRPr="00B660E9">
        <w:rPr>
          <w:rFonts w:ascii="Verdana" w:eastAsiaTheme="minorHAnsi" w:hAnsi="Verdana"/>
          <w:sz w:val="16"/>
          <w:szCs w:val="16"/>
          <w:lang w:val="es-CR"/>
        </w:rPr>
        <w:t xml:space="preserve">a inmediata restitución del fiscal Juan Francisco Sandoval Alfaro al cargo de fiscal </w:t>
      </w:r>
      <w:proofErr w:type="gramStart"/>
      <w:r w:rsidR="00B53EF0" w:rsidRPr="00B660E9">
        <w:rPr>
          <w:rFonts w:ascii="Verdana" w:eastAsiaTheme="minorHAnsi" w:hAnsi="Verdana"/>
          <w:sz w:val="16"/>
          <w:szCs w:val="16"/>
          <w:lang w:val="es-CR"/>
        </w:rPr>
        <w:t>Jefe</w:t>
      </w:r>
      <w:proofErr w:type="gramEnd"/>
      <w:r w:rsidR="00B53EF0" w:rsidRPr="00B660E9">
        <w:rPr>
          <w:rFonts w:ascii="Verdana" w:eastAsiaTheme="minorHAnsi" w:hAnsi="Verdana"/>
          <w:sz w:val="16"/>
          <w:szCs w:val="16"/>
          <w:lang w:val="es-CR"/>
        </w:rPr>
        <w:t xml:space="preserve"> de Sección de la Fiscalía Especial contra la Impunidad, dejando sin efecto el acuerdo de destitución 215</w:t>
      </w:r>
      <w:r w:rsidR="003927FB">
        <w:rPr>
          <w:rFonts w:ascii="Verdana" w:eastAsiaTheme="minorHAnsi" w:hAnsi="Verdana"/>
          <w:sz w:val="16"/>
          <w:szCs w:val="16"/>
          <w:lang w:val="es-CR"/>
        </w:rPr>
        <w:t>7</w:t>
      </w:r>
      <w:r w:rsidR="00B53EF0" w:rsidRPr="00B660E9">
        <w:rPr>
          <w:rFonts w:ascii="Verdana" w:eastAsiaTheme="minorHAnsi" w:hAnsi="Verdana"/>
          <w:sz w:val="16"/>
          <w:szCs w:val="16"/>
          <w:lang w:val="es-CR"/>
        </w:rPr>
        <w:t>-2021 de 23 de julio de 2021 y se den plenas garantías para que pueda retornar a Guatemala para ejercer sus funciones fiscales, libre de todo acto de hostigamiento, amenaza y represalia por su labor fiscal</w:t>
      </w:r>
      <w:r w:rsidR="00022545">
        <w:rPr>
          <w:rFonts w:ascii="Verdana" w:eastAsiaTheme="minorHAnsi" w:hAnsi="Verdana"/>
          <w:sz w:val="16"/>
          <w:szCs w:val="16"/>
          <w:lang w:val="es-CR"/>
        </w:rPr>
        <w:t>;</w:t>
      </w:r>
    </w:p>
    <w:p w14:paraId="2DFE54DF" w14:textId="2846E7CE" w:rsidR="00B53EF0" w:rsidRPr="00B660E9" w:rsidRDefault="00160F40" w:rsidP="00B660E9">
      <w:pPr>
        <w:pStyle w:val="Prrafodelista"/>
        <w:numPr>
          <w:ilvl w:val="0"/>
          <w:numId w:val="24"/>
        </w:numPr>
        <w:autoSpaceDE w:val="0"/>
        <w:autoSpaceDN w:val="0"/>
        <w:adjustRightInd w:val="0"/>
        <w:spacing w:before="120" w:after="120"/>
        <w:ind w:left="850" w:hanging="425"/>
        <w:jc w:val="both"/>
        <w:rPr>
          <w:rFonts w:ascii="Verdana" w:eastAsiaTheme="minorHAnsi" w:hAnsi="Verdana"/>
          <w:sz w:val="16"/>
          <w:szCs w:val="16"/>
          <w:lang w:val="es-CR"/>
        </w:rPr>
      </w:pPr>
      <w:r w:rsidRPr="00B660E9">
        <w:rPr>
          <w:rFonts w:ascii="Verdana" w:eastAsiaTheme="minorHAnsi" w:hAnsi="Verdana"/>
          <w:sz w:val="16"/>
          <w:szCs w:val="16"/>
          <w:lang w:val="es-CR"/>
        </w:rPr>
        <w:t>S</w:t>
      </w:r>
      <w:r w:rsidR="00B53EF0" w:rsidRPr="00B660E9">
        <w:rPr>
          <w:rFonts w:ascii="Verdana" w:eastAsiaTheme="minorHAnsi" w:hAnsi="Verdana"/>
          <w:sz w:val="16"/>
          <w:szCs w:val="16"/>
          <w:lang w:val="es-CR"/>
        </w:rPr>
        <w:t xml:space="preserve">e garantice </w:t>
      </w:r>
      <w:r w:rsidR="00022545">
        <w:rPr>
          <w:rFonts w:ascii="Verdana" w:eastAsiaTheme="minorHAnsi" w:hAnsi="Verdana"/>
          <w:sz w:val="16"/>
          <w:szCs w:val="16"/>
          <w:lang w:val="es-CR"/>
        </w:rPr>
        <w:t>[</w:t>
      </w:r>
      <w:r w:rsidR="00B53EF0" w:rsidRPr="00B660E9">
        <w:rPr>
          <w:rFonts w:ascii="Verdana" w:eastAsiaTheme="minorHAnsi" w:hAnsi="Verdana"/>
          <w:sz w:val="16"/>
          <w:szCs w:val="16"/>
          <w:lang w:val="es-CR"/>
        </w:rPr>
        <w:t>al Fiscal “</w:t>
      </w:r>
      <w:r w:rsidR="00022545">
        <w:rPr>
          <w:rFonts w:ascii="Verdana" w:eastAsiaTheme="minorHAnsi" w:hAnsi="Verdana"/>
          <w:sz w:val="16"/>
          <w:szCs w:val="16"/>
          <w:lang w:val="es-CR"/>
        </w:rPr>
        <w:t>B</w:t>
      </w:r>
      <w:r w:rsidR="00B53EF0" w:rsidRPr="00B660E9">
        <w:rPr>
          <w:rFonts w:ascii="Verdana" w:eastAsiaTheme="minorHAnsi" w:hAnsi="Verdana"/>
          <w:sz w:val="16"/>
          <w:szCs w:val="16"/>
          <w:lang w:val="es-CR"/>
        </w:rPr>
        <w:t>” y Auxiliar Fiscal “</w:t>
      </w:r>
      <w:proofErr w:type="gramStart"/>
      <w:r w:rsidR="00B53EF0" w:rsidRPr="00B660E9">
        <w:rPr>
          <w:rFonts w:ascii="Verdana" w:eastAsiaTheme="minorHAnsi" w:hAnsi="Verdana"/>
          <w:sz w:val="16"/>
          <w:szCs w:val="16"/>
          <w:lang w:val="es-CR"/>
        </w:rPr>
        <w:t>C”</w:t>
      </w:r>
      <w:r w:rsidR="00022545">
        <w:rPr>
          <w:rFonts w:ascii="Verdana" w:eastAsiaTheme="minorHAnsi" w:hAnsi="Verdana"/>
          <w:sz w:val="16"/>
          <w:szCs w:val="16"/>
          <w:lang w:val="es-CR"/>
        </w:rPr>
        <w:t>…</w:t>
      </w:r>
      <w:proofErr w:type="gramEnd"/>
      <w:r w:rsidR="00022545">
        <w:rPr>
          <w:rFonts w:ascii="Verdana" w:eastAsiaTheme="minorHAnsi" w:hAnsi="Verdana"/>
          <w:sz w:val="16"/>
          <w:szCs w:val="16"/>
          <w:lang w:val="es-CR"/>
        </w:rPr>
        <w:t>]</w:t>
      </w:r>
      <w:r w:rsidR="00B53EF0" w:rsidRPr="00B660E9">
        <w:rPr>
          <w:rFonts w:ascii="Verdana" w:eastAsiaTheme="minorHAnsi" w:hAnsi="Verdana"/>
          <w:sz w:val="16"/>
          <w:szCs w:val="16"/>
          <w:lang w:val="es-CR"/>
        </w:rPr>
        <w:t xml:space="preserve"> su continuidad en sus cargos </w:t>
      </w:r>
      <w:r w:rsidR="00022545">
        <w:rPr>
          <w:rFonts w:ascii="Verdana" w:eastAsiaTheme="minorHAnsi" w:hAnsi="Verdana"/>
          <w:sz w:val="16"/>
          <w:szCs w:val="16"/>
          <w:lang w:val="es-CR"/>
        </w:rPr>
        <w:t>[</w:t>
      </w:r>
      <w:r w:rsidR="00B53EF0" w:rsidRPr="00B660E9">
        <w:rPr>
          <w:rFonts w:ascii="Verdana" w:eastAsiaTheme="minorHAnsi" w:hAnsi="Verdana"/>
          <w:sz w:val="16"/>
          <w:szCs w:val="16"/>
          <w:lang w:val="es-CR"/>
        </w:rPr>
        <w:t>en</w:t>
      </w:r>
      <w:r w:rsidR="00022545">
        <w:rPr>
          <w:rFonts w:ascii="Verdana" w:eastAsiaTheme="minorHAnsi" w:hAnsi="Verdana"/>
          <w:sz w:val="16"/>
          <w:szCs w:val="16"/>
          <w:lang w:val="es-CR"/>
        </w:rPr>
        <w:t>…]</w:t>
      </w:r>
      <w:r w:rsidR="00B53EF0" w:rsidRPr="00B660E9">
        <w:rPr>
          <w:rFonts w:ascii="Verdana" w:eastAsiaTheme="minorHAnsi" w:hAnsi="Verdana"/>
          <w:sz w:val="16"/>
          <w:szCs w:val="16"/>
          <w:lang w:val="es-CR"/>
        </w:rPr>
        <w:t xml:space="preserve"> la Fiscalía Especial Contra la </w:t>
      </w:r>
      <w:r w:rsidRPr="00B660E9">
        <w:rPr>
          <w:rFonts w:ascii="Verdana" w:eastAsiaTheme="minorHAnsi" w:hAnsi="Verdana"/>
          <w:sz w:val="16"/>
          <w:szCs w:val="16"/>
          <w:lang w:val="es-CR"/>
        </w:rPr>
        <w:t>I</w:t>
      </w:r>
      <w:r w:rsidR="00B53EF0" w:rsidRPr="00B660E9">
        <w:rPr>
          <w:rFonts w:ascii="Verdana" w:eastAsiaTheme="minorHAnsi" w:hAnsi="Verdana"/>
          <w:sz w:val="16"/>
          <w:szCs w:val="16"/>
          <w:lang w:val="es-CR"/>
        </w:rPr>
        <w:t>mpunidad</w:t>
      </w:r>
      <w:r w:rsidRPr="00B660E9">
        <w:rPr>
          <w:rFonts w:ascii="Verdana" w:eastAsiaTheme="minorHAnsi" w:hAnsi="Verdana"/>
          <w:sz w:val="16"/>
          <w:szCs w:val="16"/>
          <w:lang w:val="es-CR"/>
        </w:rPr>
        <w:t>,</w:t>
      </w:r>
      <w:r w:rsidR="00B53EF0" w:rsidRPr="00B660E9">
        <w:rPr>
          <w:rFonts w:ascii="Verdana" w:eastAsiaTheme="minorHAnsi" w:hAnsi="Verdana"/>
          <w:sz w:val="16"/>
          <w:szCs w:val="16"/>
          <w:lang w:val="es-CR"/>
        </w:rPr>
        <w:t xml:space="preserve"> y que permanecerán a cargo de la investigación por las ejecuciones extrajudiciales de Tirso Román Valenzuela Ávila, Hugo Humberto Ruiz Fuentes y otras personas ejecutadas en el marco del Plan Gavilán</w:t>
      </w:r>
      <w:r w:rsidR="00022545">
        <w:rPr>
          <w:rFonts w:ascii="Verdana" w:eastAsiaTheme="minorHAnsi" w:hAnsi="Verdana"/>
          <w:sz w:val="16"/>
          <w:szCs w:val="16"/>
          <w:lang w:val="es-CR"/>
        </w:rPr>
        <w:t>;</w:t>
      </w:r>
    </w:p>
    <w:p w14:paraId="110AA7E3" w14:textId="62DE6D35" w:rsidR="00B53EF0" w:rsidRPr="00B660E9" w:rsidRDefault="00160F40" w:rsidP="00B660E9">
      <w:pPr>
        <w:pStyle w:val="Prrafodelista"/>
        <w:numPr>
          <w:ilvl w:val="0"/>
          <w:numId w:val="24"/>
        </w:numPr>
        <w:autoSpaceDE w:val="0"/>
        <w:autoSpaceDN w:val="0"/>
        <w:adjustRightInd w:val="0"/>
        <w:spacing w:before="120" w:after="120"/>
        <w:ind w:left="850" w:hanging="425"/>
        <w:jc w:val="both"/>
        <w:rPr>
          <w:rFonts w:ascii="Verdana" w:eastAsiaTheme="minorHAnsi" w:hAnsi="Verdana"/>
          <w:sz w:val="16"/>
          <w:szCs w:val="16"/>
          <w:lang w:val="es-CR"/>
        </w:rPr>
      </w:pPr>
      <w:r w:rsidRPr="00B660E9">
        <w:rPr>
          <w:rFonts w:ascii="Verdana" w:eastAsiaTheme="minorHAnsi" w:hAnsi="Verdana"/>
          <w:sz w:val="16"/>
          <w:szCs w:val="16"/>
          <w:lang w:val="es-CR"/>
        </w:rPr>
        <w:t>S</w:t>
      </w:r>
      <w:r w:rsidR="00B53EF0" w:rsidRPr="00B660E9">
        <w:rPr>
          <w:rFonts w:ascii="Verdana" w:eastAsiaTheme="minorHAnsi" w:hAnsi="Verdana"/>
          <w:sz w:val="16"/>
          <w:szCs w:val="16"/>
          <w:lang w:val="es-CR"/>
        </w:rPr>
        <w:t>e diseñe e implemente una estrategia de seguridad preventiva para las personas beneficiarias</w:t>
      </w:r>
      <w:r w:rsidR="00A93274">
        <w:rPr>
          <w:rFonts w:ascii="Verdana" w:eastAsiaTheme="minorHAnsi" w:hAnsi="Verdana"/>
          <w:sz w:val="16"/>
          <w:szCs w:val="16"/>
          <w:lang w:val="es-CR"/>
        </w:rPr>
        <w:t>;</w:t>
      </w:r>
    </w:p>
    <w:p w14:paraId="60D75DC5" w14:textId="773D6684" w:rsidR="00B53EF0" w:rsidRPr="00B660E9" w:rsidRDefault="00160F40" w:rsidP="00B660E9">
      <w:pPr>
        <w:pStyle w:val="Prrafodelista"/>
        <w:numPr>
          <w:ilvl w:val="0"/>
          <w:numId w:val="24"/>
        </w:numPr>
        <w:autoSpaceDE w:val="0"/>
        <w:autoSpaceDN w:val="0"/>
        <w:adjustRightInd w:val="0"/>
        <w:spacing w:before="120" w:after="120"/>
        <w:ind w:left="850" w:hanging="425"/>
        <w:jc w:val="both"/>
        <w:rPr>
          <w:rFonts w:ascii="Verdana" w:eastAsiaTheme="minorHAnsi" w:hAnsi="Verdana"/>
          <w:sz w:val="16"/>
          <w:szCs w:val="16"/>
          <w:lang w:val="es-CR"/>
        </w:rPr>
      </w:pPr>
      <w:r w:rsidRPr="00B660E9">
        <w:rPr>
          <w:rFonts w:ascii="Verdana" w:eastAsiaTheme="minorHAnsi" w:hAnsi="Verdana"/>
          <w:sz w:val="16"/>
          <w:szCs w:val="16"/>
          <w:lang w:val="es-CR"/>
        </w:rPr>
        <w:t>S</w:t>
      </w:r>
      <w:r w:rsidR="00B53EF0" w:rsidRPr="00B660E9">
        <w:rPr>
          <w:rFonts w:ascii="Verdana" w:eastAsiaTheme="minorHAnsi" w:hAnsi="Verdana"/>
          <w:sz w:val="16"/>
          <w:szCs w:val="16"/>
          <w:lang w:val="es-CR"/>
        </w:rPr>
        <w:t>e asignen los recursos humanos y materiales necesarios para dar cumplimiento a lo ordenado por la Corte</w:t>
      </w:r>
      <w:r w:rsidR="00022545">
        <w:rPr>
          <w:rFonts w:ascii="Verdana" w:eastAsiaTheme="minorHAnsi" w:hAnsi="Verdana"/>
          <w:sz w:val="16"/>
          <w:szCs w:val="16"/>
          <w:lang w:val="es-CR"/>
        </w:rPr>
        <w:t>;</w:t>
      </w:r>
    </w:p>
    <w:p w14:paraId="41353225" w14:textId="15B4EC21" w:rsidR="00B53EF0" w:rsidRPr="00B660E9" w:rsidRDefault="00160F40" w:rsidP="00B660E9">
      <w:pPr>
        <w:pStyle w:val="Prrafodelista"/>
        <w:numPr>
          <w:ilvl w:val="0"/>
          <w:numId w:val="24"/>
        </w:numPr>
        <w:autoSpaceDE w:val="0"/>
        <w:autoSpaceDN w:val="0"/>
        <w:adjustRightInd w:val="0"/>
        <w:spacing w:before="120" w:after="120"/>
        <w:ind w:left="850" w:hanging="425"/>
        <w:jc w:val="both"/>
        <w:rPr>
          <w:rFonts w:ascii="Verdana" w:eastAsiaTheme="minorHAnsi" w:hAnsi="Verdana"/>
          <w:sz w:val="16"/>
          <w:szCs w:val="16"/>
          <w:lang w:val="es-CR"/>
        </w:rPr>
      </w:pPr>
      <w:r w:rsidRPr="00B660E9">
        <w:rPr>
          <w:rFonts w:ascii="Verdana" w:eastAsiaTheme="minorHAnsi" w:hAnsi="Verdana"/>
          <w:sz w:val="16"/>
          <w:szCs w:val="16"/>
          <w:lang w:val="es-CR"/>
        </w:rPr>
        <w:t>S</w:t>
      </w:r>
      <w:r w:rsidR="00B53EF0" w:rsidRPr="00B660E9">
        <w:rPr>
          <w:rFonts w:ascii="Verdana" w:eastAsiaTheme="minorHAnsi" w:hAnsi="Verdana"/>
          <w:sz w:val="16"/>
          <w:szCs w:val="16"/>
          <w:lang w:val="es-CR"/>
        </w:rPr>
        <w:t>e investiguen adecuadamente los hechos que fundamentan la presente solicitud, así como cualquier otro posible hecho que pueda constituir una amenaza a la vida e integridad de los propuestos beneficiarios</w:t>
      </w:r>
      <w:r w:rsidR="00022545">
        <w:rPr>
          <w:rFonts w:ascii="Verdana" w:eastAsiaTheme="minorHAnsi" w:hAnsi="Verdana"/>
          <w:sz w:val="16"/>
          <w:szCs w:val="16"/>
          <w:lang w:val="es-CR"/>
        </w:rPr>
        <w:t>, y</w:t>
      </w:r>
    </w:p>
    <w:p w14:paraId="30D19EA4" w14:textId="77777777" w:rsidR="00B53EF0" w:rsidRPr="00B660E9" w:rsidRDefault="00160F40" w:rsidP="00B660E9">
      <w:pPr>
        <w:pStyle w:val="Prrafodelista"/>
        <w:numPr>
          <w:ilvl w:val="0"/>
          <w:numId w:val="24"/>
        </w:numPr>
        <w:autoSpaceDE w:val="0"/>
        <w:autoSpaceDN w:val="0"/>
        <w:adjustRightInd w:val="0"/>
        <w:spacing w:before="120" w:after="120"/>
        <w:ind w:left="850" w:hanging="425"/>
        <w:jc w:val="both"/>
        <w:rPr>
          <w:rFonts w:ascii="Verdana" w:eastAsiaTheme="minorHAnsi" w:hAnsi="Verdana"/>
          <w:sz w:val="16"/>
          <w:szCs w:val="16"/>
          <w:lang w:val="es-CR"/>
        </w:rPr>
      </w:pPr>
      <w:r w:rsidRPr="00B660E9">
        <w:rPr>
          <w:rFonts w:ascii="Verdana" w:eastAsiaTheme="minorHAnsi" w:hAnsi="Verdana"/>
          <w:sz w:val="16"/>
          <w:szCs w:val="16"/>
          <w:lang w:val="es-CR"/>
        </w:rPr>
        <w:t>T</w:t>
      </w:r>
      <w:r w:rsidR="00B53EF0" w:rsidRPr="00B660E9">
        <w:rPr>
          <w:rFonts w:ascii="Verdana" w:eastAsiaTheme="minorHAnsi" w:hAnsi="Verdana"/>
          <w:sz w:val="16"/>
          <w:szCs w:val="16"/>
          <w:lang w:val="es-CR"/>
        </w:rPr>
        <w:t>odas las medidas adoptadas en el marco de estas medidas provisionales sean previamente acordadas con los beneficiarios y sus representantes.</w:t>
      </w:r>
    </w:p>
    <w:p w14:paraId="74BFD450" w14:textId="5A795989" w:rsidR="00EE0ADC" w:rsidRPr="00B660E9" w:rsidRDefault="00B53EF0" w:rsidP="00BE0EFF">
      <w:pPr>
        <w:numPr>
          <w:ilvl w:val="0"/>
          <w:numId w:val="2"/>
        </w:numPr>
        <w:spacing w:before="120" w:after="120"/>
        <w:ind w:left="0" w:firstLine="0"/>
        <w:jc w:val="both"/>
        <w:rPr>
          <w:rFonts w:ascii="Verdana" w:eastAsia="Times" w:hAnsi="Verdana"/>
          <w:sz w:val="20"/>
          <w:szCs w:val="20"/>
          <w:lang w:val="es-CR"/>
        </w:rPr>
      </w:pPr>
      <w:r w:rsidRPr="00B660E9">
        <w:rPr>
          <w:rFonts w:ascii="Verdana" w:hAnsi="Verdana"/>
          <w:sz w:val="20"/>
          <w:szCs w:val="20"/>
          <w:lang w:val="es-CR"/>
        </w:rPr>
        <w:t>A</w:t>
      </w:r>
      <w:r w:rsidR="009179E9" w:rsidRPr="00B660E9">
        <w:rPr>
          <w:rFonts w:ascii="Verdana" w:hAnsi="Verdana"/>
          <w:sz w:val="20"/>
          <w:szCs w:val="20"/>
          <w:lang w:val="es-CR"/>
        </w:rPr>
        <w:t>rgumentaron que la referida solicitud guarda relación con el objeto del caso</w:t>
      </w:r>
      <w:r w:rsidR="00EE0ADC" w:rsidRPr="00B660E9">
        <w:rPr>
          <w:rFonts w:ascii="Verdana" w:hAnsi="Verdana"/>
          <w:sz w:val="20"/>
          <w:szCs w:val="20"/>
          <w:lang w:val="es-CR"/>
        </w:rPr>
        <w:t>,</w:t>
      </w:r>
      <w:r w:rsidR="009179E9" w:rsidRPr="00B660E9">
        <w:rPr>
          <w:rFonts w:ascii="Verdana" w:hAnsi="Verdana"/>
          <w:sz w:val="20"/>
          <w:szCs w:val="20"/>
          <w:lang w:val="es-CR"/>
        </w:rPr>
        <w:t xml:space="preserve"> ya que la Sentencia</w:t>
      </w:r>
      <w:r w:rsidR="00033E85" w:rsidRPr="00B660E9">
        <w:rPr>
          <w:rFonts w:ascii="Verdana" w:hAnsi="Verdana"/>
          <w:sz w:val="20"/>
          <w:szCs w:val="20"/>
          <w:lang w:val="es-CR"/>
        </w:rPr>
        <w:t xml:space="preserve"> </w:t>
      </w:r>
      <w:r w:rsidR="009179E9" w:rsidRPr="00B660E9">
        <w:rPr>
          <w:rFonts w:ascii="Verdana" w:hAnsi="Verdana"/>
          <w:sz w:val="20"/>
          <w:szCs w:val="20"/>
          <w:lang w:val="es-CR"/>
        </w:rPr>
        <w:t>“impone el deber de investigación y procesamiento de todos los responsables de [la] ejecución extrajudicial</w:t>
      </w:r>
      <w:r w:rsidRPr="00B660E9">
        <w:rPr>
          <w:rFonts w:ascii="Verdana" w:hAnsi="Verdana"/>
          <w:sz w:val="20"/>
          <w:szCs w:val="20"/>
          <w:lang w:val="es-CR"/>
        </w:rPr>
        <w:t xml:space="preserve">” </w:t>
      </w:r>
      <w:r w:rsidR="009179E9" w:rsidRPr="00B660E9">
        <w:rPr>
          <w:rFonts w:ascii="Verdana" w:hAnsi="Verdana"/>
          <w:sz w:val="20"/>
          <w:szCs w:val="20"/>
          <w:lang w:val="es-CR"/>
        </w:rPr>
        <w:t>de</w:t>
      </w:r>
      <w:r w:rsidR="00033E85" w:rsidRPr="00B660E9">
        <w:rPr>
          <w:rFonts w:ascii="Verdana" w:hAnsi="Verdana"/>
          <w:sz w:val="20"/>
          <w:szCs w:val="20"/>
          <w:lang w:val="es-CR"/>
        </w:rPr>
        <w:t xml:space="preserve">l señor </w:t>
      </w:r>
      <w:r w:rsidR="009179E9" w:rsidRPr="00B660E9">
        <w:rPr>
          <w:rFonts w:ascii="Verdana" w:hAnsi="Verdana"/>
          <w:sz w:val="20"/>
          <w:szCs w:val="20"/>
          <w:lang w:val="es-CR"/>
        </w:rPr>
        <w:t>Valenzuela Ávila</w:t>
      </w:r>
      <w:r w:rsidR="00F977EB" w:rsidRPr="00B660E9">
        <w:rPr>
          <w:rFonts w:ascii="Verdana" w:hAnsi="Verdana"/>
          <w:sz w:val="20"/>
          <w:szCs w:val="20"/>
          <w:lang w:val="es-CR"/>
        </w:rPr>
        <w:t>. P</w:t>
      </w:r>
      <w:r w:rsidRPr="00B660E9">
        <w:rPr>
          <w:rFonts w:ascii="Verdana" w:hAnsi="Verdana"/>
          <w:sz w:val="20"/>
          <w:szCs w:val="20"/>
          <w:lang w:val="es-CR"/>
        </w:rPr>
        <w:t>ara ello</w:t>
      </w:r>
      <w:r w:rsidR="00F977EB" w:rsidRPr="00B660E9">
        <w:rPr>
          <w:rFonts w:ascii="Verdana" w:hAnsi="Verdana"/>
          <w:sz w:val="20"/>
          <w:szCs w:val="20"/>
          <w:lang w:val="es-CR"/>
        </w:rPr>
        <w:t>, “</w:t>
      </w:r>
      <w:r w:rsidR="00F977EB" w:rsidRPr="00B660E9">
        <w:rPr>
          <w:rFonts w:ascii="Verdana" w:eastAsia="Times" w:hAnsi="Verdana"/>
          <w:sz w:val="20"/>
          <w:szCs w:val="20"/>
          <w:lang w:val="es-CR"/>
        </w:rPr>
        <w:t xml:space="preserve">ordena que el Estado garantice el trabajo de los fiscales y demás operadores de justicia encargados de investigar y juzgar a todos los responsables </w:t>
      </w:r>
      <w:r w:rsidR="003E093E">
        <w:rPr>
          <w:rFonts w:ascii="Verdana" w:eastAsia="Times" w:hAnsi="Verdana"/>
          <w:sz w:val="20"/>
          <w:szCs w:val="20"/>
          <w:lang w:val="es-CR"/>
        </w:rPr>
        <w:t>[…]</w:t>
      </w:r>
      <w:r w:rsidR="00F977EB" w:rsidRPr="00B660E9">
        <w:rPr>
          <w:rFonts w:ascii="Verdana" w:eastAsia="Times" w:hAnsi="Verdana"/>
          <w:sz w:val="20"/>
          <w:szCs w:val="20"/>
          <w:lang w:val="es-CR"/>
        </w:rPr>
        <w:t xml:space="preserve"> y que las personas que participen en la investigación, entre </w:t>
      </w:r>
      <w:proofErr w:type="gramStart"/>
      <w:r w:rsidR="00F977EB" w:rsidRPr="00B660E9">
        <w:rPr>
          <w:rFonts w:ascii="Verdana" w:eastAsia="Times" w:hAnsi="Verdana"/>
          <w:sz w:val="20"/>
          <w:szCs w:val="20"/>
          <w:lang w:val="es-CR"/>
        </w:rPr>
        <w:t>ellas</w:t>
      </w:r>
      <w:r w:rsidR="003E093E">
        <w:rPr>
          <w:rFonts w:ascii="Verdana" w:eastAsia="Times" w:hAnsi="Verdana"/>
          <w:sz w:val="20"/>
          <w:szCs w:val="20"/>
          <w:lang w:val="es-CR"/>
        </w:rPr>
        <w:t>[</w:t>
      </w:r>
      <w:proofErr w:type="gramEnd"/>
      <w:r w:rsidR="003E093E">
        <w:rPr>
          <w:rFonts w:ascii="Verdana" w:eastAsia="Times" w:hAnsi="Verdana"/>
          <w:sz w:val="20"/>
          <w:szCs w:val="20"/>
          <w:lang w:val="es-CR"/>
        </w:rPr>
        <w:t>,]</w:t>
      </w:r>
      <w:r w:rsidR="00F977EB" w:rsidRPr="00B660E9">
        <w:rPr>
          <w:rFonts w:ascii="Verdana" w:eastAsia="Times" w:hAnsi="Verdana"/>
          <w:sz w:val="20"/>
          <w:szCs w:val="20"/>
          <w:lang w:val="es-CR"/>
        </w:rPr>
        <w:t xml:space="preserve"> operadores de justicia, cuenten con las debidas garantías de seguridad</w:t>
      </w:r>
      <w:r w:rsidR="003E093E">
        <w:rPr>
          <w:rFonts w:ascii="Verdana" w:eastAsia="Times" w:hAnsi="Verdana"/>
          <w:sz w:val="20"/>
          <w:szCs w:val="20"/>
          <w:lang w:val="es-CR"/>
        </w:rPr>
        <w:t>”.</w:t>
      </w:r>
    </w:p>
    <w:p w14:paraId="7E40FFFD" w14:textId="1F6C6ADD" w:rsidR="00E80C3E" w:rsidRPr="006B2D23" w:rsidRDefault="00B53EF0" w:rsidP="006B2D23">
      <w:pPr>
        <w:numPr>
          <w:ilvl w:val="0"/>
          <w:numId w:val="2"/>
        </w:numPr>
        <w:spacing w:before="120" w:after="120"/>
        <w:ind w:left="0" w:firstLine="0"/>
        <w:jc w:val="both"/>
        <w:rPr>
          <w:rFonts w:ascii="Verdana" w:hAnsi="Verdana"/>
          <w:sz w:val="20"/>
          <w:szCs w:val="20"/>
          <w:lang w:val="es-CR"/>
        </w:rPr>
      </w:pPr>
      <w:r w:rsidRPr="00B660E9">
        <w:rPr>
          <w:rFonts w:ascii="Verdana" w:hAnsi="Verdana"/>
          <w:sz w:val="20"/>
          <w:szCs w:val="20"/>
          <w:lang w:val="es-CR"/>
        </w:rPr>
        <w:t>Fundamentaron la solicitud de medidas provisionales en</w:t>
      </w:r>
      <w:r w:rsidR="002775A1">
        <w:rPr>
          <w:rFonts w:ascii="Verdana" w:hAnsi="Verdana"/>
          <w:sz w:val="20"/>
          <w:szCs w:val="20"/>
          <w:lang w:val="es-CR"/>
        </w:rPr>
        <w:t>:</w:t>
      </w:r>
      <w:r w:rsidRPr="00B660E9">
        <w:rPr>
          <w:rFonts w:ascii="Verdana" w:hAnsi="Verdana"/>
          <w:sz w:val="20"/>
          <w:szCs w:val="20"/>
          <w:lang w:val="es-CR"/>
        </w:rPr>
        <w:t xml:space="preserve"> los antecedentes de</w:t>
      </w:r>
      <w:r w:rsidR="00B05976">
        <w:rPr>
          <w:rFonts w:ascii="Verdana" w:hAnsi="Verdana"/>
          <w:sz w:val="20"/>
          <w:szCs w:val="20"/>
          <w:lang w:val="es-CR"/>
        </w:rPr>
        <w:t xml:space="preserve"> </w:t>
      </w:r>
      <w:r w:rsidRPr="00B660E9">
        <w:rPr>
          <w:rFonts w:ascii="Verdana" w:hAnsi="Verdana"/>
          <w:sz w:val="20"/>
          <w:szCs w:val="20"/>
          <w:lang w:val="es-CR"/>
        </w:rPr>
        <w:t>l</w:t>
      </w:r>
      <w:r w:rsidR="00B05976">
        <w:rPr>
          <w:rFonts w:ascii="Verdana" w:hAnsi="Verdana"/>
          <w:sz w:val="20"/>
          <w:szCs w:val="20"/>
          <w:lang w:val="es-CR"/>
        </w:rPr>
        <w:t>os</w:t>
      </w:r>
      <w:r w:rsidRPr="00B660E9">
        <w:rPr>
          <w:rFonts w:ascii="Verdana" w:hAnsi="Verdana"/>
          <w:sz w:val="20"/>
          <w:szCs w:val="20"/>
          <w:lang w:val="es-CR"/>
        </w:rPr>
        <w:t xml:space="preserve"> caso</w:t>
      </w:r>
      <w:r w:rsidR="00B05976">
        <w:rPr>
          <w:rFonts w:ascii="Verdana" w:hAnsi="Verdana"/>
          <w:sz w:val="20"/>
          <w:szCs w:val="20"/>
          <w:lang w:val="es-CR"/>
        </w:rPr>
        <w:t>s</w:t>
      </w:r>
      <w:r w:rsidRPr="00B660E9">
        <w:rPr>
          <w:rFonts w:ascii="Verdana" w:hAnsi="Verdana"/>
          <w:sz w:val="20"/>
          <w:szCs w:val="20"/>
          <w:lang w:val="es-CR"/>
        </w:rPr>
        <w:t xml:space="preserve"> </w:t>
      </w:r>
      <w:r w:rsidRPr="00B660E9">
        <w:rPr>
          <w:rFonts w:ascii="Verdana" w:hAnsi="Verdana"/>
          <w:i/>
          <w:sz w:val="20"/>
          <w:szCs w:val="20"/>
          <w:lang w:val="es-CR"/>
        </w:rPr>
        <w:t>Valenzuela Ávila</w:t>
      </w:r>
      <w:r w:rsidR="00B05976">
        <w:rPr>
          <w:rFonts w:ascii="Verdana" w:hAnsi="Verdana"/>
          <w:i/>
          <w:sz w:val="20"/>
          <w:szCs w:val="20"/>
          <w:lang w:val="es-CR"/>
        </w:rPr>
        <w:t>,</w:t>
      </w:r>
      <w:r w:rsidRPr="00B660E9">
        <w:rPr>
          <w:rFonts w:ascii="Verdana" w:hAnsi="Verdana"/>
          <w:sz w:val="20"/>
          <w:szCs w:val="20"/>
          <w:lang w:val="es-CR"/>
        </w:rPr>
        <w:t xml:space="preserve"> y </w:t>
      </w:r>
      <w:r w:rsidRPr="00B660E9">
        <w:rPr>
          <w:rFonts w:ascii="Verdana" w:hAnsi="Verdana"/>
          <w:i/>
          <w:sz w:val="20"/>
          <w:szCs w:val="20"/>
          <w:lang w:val="es-CR"/>
        </w:rPr>
        <w:t>Ruiz Fuentes</w:t>
      </w:r>
      <w:r w:rsidR="00B05976">
        <w:rPr>
          <w:rFonts w:ascii="Verdana" w:hAnsi="Verdana"/>
          <w:i/>
          <w:sz w:val="20"/>
          <w:szCs w:val="20"/>
          <w:lang w:val="es-CR"/>
        </w:rPr>
        <w:t xml:space="preserve"> y otra</w:t>
      </w:r>
      <w:r w:rsidR="00E61B10">
        <w:rPr>
          <w:rFonts w:ascii="Verdana" w:hAnsi="Verdana"/>
          <w:i/>
          <w:sz w:val="20"/>
          <w:szCs w:val="20"/>
          <w:lang w:val="es-CR"/>
        </w:rPr>
        <w:t>;</w:t>
      </w:r>
      <w:r w:rsidRPr="00B660E9">
        <w:rPr>
          <w:rFonts w:ascii="Verdana" w:hAnsi="Verdana"/>
          <w:sz w:val="20"/>
          <w:szCs w:val="20"/>
          <w:lang w:val="es-CR"/>
        </w:rPr>
        <w:t xml:space="preserve"> en hechos específicos relacionados con la investigación penal en curso por los hechos del caso </w:t>
      </w:r>
      <w:r w:rsidRPr="00B660E9">
        <w:rPr>
          <w:rFonts w:ascii="Verdana" w:hAnsi="Verdana"/>
          <w:i/>
          <w:sz w:val="20"/>
          <w:szCs w:val="20"/>
          <w:lang w:val="es-CR"/>
        </w:rPr>
        <w:t>Valenzuela Ávila</w:t>
      </w:r>
      <w:r w:rsidR="00E61B10">
        <w:rPr>
          <w:rFonts w:ascii="Verdana" w:hAnsi="Verdana"/>
          <w:i/>
          <w:sz w:val="20"/>
          <w:szCs w:val="20"/>
          <w:lang w:val="es-CR"/>
        </w:rPr>
        <w:t>;</w:t>
      </w:r>
      <w:r w:rsidR="00403820">
        <w:rPr>
          <w:rFonts w:ascii="Verdana" w:hAnsi="Verdana"/>
          <w:i/>
          <w:sz w:val="20"/>
          <w:szCs w:val="20"/>
          <w:lang w:val="es-CR"/>
        </w:rPr>
        <w:t xml:space="preserve"> </w:t>
      </w:r>
      <w:r w:rsidR="00403820">
        <w:rPr>
          <w:rFonts w:ascii="Verdana" w:hAnsi="Verdana"/>
          <w:sz w:val="20"/>
          <w:szCs w:val="20"/>
          <w:lang w:val="es-CR"/>
        </w:rPr>
        <w:t>en</w:t>
      </w:r>
      <w:r w:rsidR="00E61B10">
        <w:rPr>
          <w:rFonts w:ascii="Verdana" w:hAnsi="Verdana"/>
          <w:i/>
          <w:sz w:val="20"/>
          <w:szCs w:val="20"/>
          <w:lang w:val="es-CR"/>
        </w:rPr>
        <w:t xml:space="preserve"> </w:t>
      </w:r>
      <w:r w:rsidR="00E61B10" w:rsidRPr="00582DE9">
        <w:rPr>
          <w:rFonts w:ascii="Verdana" w:hAnsi="Verdana"/>
          <w:sz w:val="20"/>
          <w:szCs w:val="20"/>
          <w:lang w:val="es-CR"/>
        </w:rPr>
        <w:t xml:space="preserve">la destitución del ex Fiscal Juan Francisco Sandoval </w:t>
      </w:r>
      <w:r w:rsidR="00E61B10" w:rsidRPr="00E61B10">
        <w:rPr>
          <w:rFonts w:ascii="Verdana" w:hAnsi="Verdana"/>
          <w:sz w:val="20"/>
          <w:szCs w:val="20"/>
          <w:lang w:val="es-CR"/>
        </w:rPr>
        <w:t>Alfaro</w:t>
      </w:r>
      <w:r w:rsidR="006B2D23">
        <w:rPr>
          <w:rFonts w:ascii="Verdana" w:hAnsi="Verdana"/>
          <w:sz w:val="20"/>
          <w:szCs w:val="20"/>
          <w:lang w:val="es-CR"/>
        </w:rPr>
        <w:t xml:space="preserve">, y </w:t>
      </w:r>
      <w:r w:rsidR="00582DE9">
        <w:rPr>
          <w:rFonts w:ascii="Verdana" w:hAnsi="Verdana"/>
          <w:sz w:val="20"/>
          <w:szCs w:val="20"/>
          <w:lang w:val="es-CR"/>
        </w:rPr>
        <w:t>que en</w:t>
      </w:r>
      <w:r w:rsidR="006B2D23" w:rsidRPr="006B2D23">
        <w:rPr>
          <w:rFonts w:ascii="Verdana" w:hAnsi="Verdana"/>
          <w:sz w:val="20"/>
          <w:szCs w:val="20"/>
          <w:lang w:val="es-CR"/>
        </w:rPr>
        <w:t xml:space="preserve"> el </w:t>
      </w:r>
      <w:r w:rsidR="006B2D23" w:rsidRPr="006B2D23">
        <w:rPr>
          <w:rFonts w:ascii="Verdana" w:hAnsi="Verdana"/>
          <w:i/>
          <w:sz w:val="20"/>
          <w:szCs w:val="20"/>
          <w:lang w:val="es-CR"/>
        </w:rPr>
        <w:t>Caso Ruiz Fuentes y otra</w:t>
      </w:r>
      <w:r w:rsidR="006B2D23" w:rsidRPr="006B2D23">
        <w:rPr>
          <w:rFonts w:ascii="Verdana" w:hAnsi="Verdana"/>
          <w:sz w:val="20"/>
          <w:szCs w:val="20"/>
          <w:lang w:val="es-CR"/>
        </w:rPr>
        <w:t xml:space="preserve"> la Corte ordenó realizar una supervisión reforzada</w:t>
      </w:r>
      <w:r w:rsidR="006B2D23">
        <w:rPr>
          <w:rFonts w:ascii="Verdana" w:hAnsi="Verdana"/>
          <w:sz w:val="20"/>
          <w:szCs w:val="20"/>
          <w:lang w:val="es-CR"/>
        </w:rPr>
        <w:t xml:space="preserve">. </w:t>
      </w:r>
      <w:r w:rsidR="006B2D23" w:rsidRPr="006B2D23">
        <w:rPr>
          <w:rFonts w:ascii="Verdana" w:hAnsi="Verdana"/>
          <w:sz w:val="20"/>
          <w:szCs w:val="20"/>
          <w:lang w:val="es-CR"/>
        </w:rPr>
        <w:t xml:space="preserve">Señalaron que los dos casos </w:t>
      </w:r>
      <w:r w:rsidR="00FB50B7" w:rsidRPr="006B2D23">
        <w:rPr>
          <w:rFonts w:ascii="Verdana" w:hAnsi="Verdana"/>
          <w:sz w:val="20"/>
          <w:szCs w:val="20"/>
          <w:lang w:val="es-CR"/>
        </w:rPr>
        <w:t>tiene</w:t>
      </w:r>
      <w:r w:rsidR="006B2D23" w:rsidRPr="006B2D23">
        <w:rPr>
          <w:rFonts w:ascii="Verdana" w:hAnsi="Verdana"/>
          <w:sz w:val="20"/>
          <w:szCs w:val="20"/>
          <w:lang w:val="es-CR"/>
        </w:rPr>
        <w:t>n</w:t>
      </w:r>
      <w:r w:rsidR="00FB50B7" w:rsidRPr="006B2D23">
        <w:rPr>
          <w:rFonts w:ascii="Verdana" w:hAnsi="Verdana"/>
          <w:sz w:val="20"/>
          <w:szCs w:val="20"/>
          <w:lang w:val="es-CR"/>
        </w:rPr>
        <w:t xml:space="preserve"> relación y conexión, ya que </w:t>
      </w:r>
      <w:r w:rsidR="006B2D23">
        <w:rPr>
          <w:rFonts w:ascii="Verdana" w:hAnsi="Verdana"/>
          <w:sz w:val="20"/>
          <w:szCs w:val="20"/>
          <w:lang w:val="es-CR"/>
        </w:rPr>
        <w:t>sus</w:t>
      </w:r>
      <w:r w:rsidR="00253A2E">
        <w:rPr>
          <w:rFonts w:ascii="Verdana" w:hAnsi="Verdana"/>
          <w:sz w:val="20"/>
          <w:szCs w:val="20"/>
          <w:lang w:val="es-CR"/>
        </w:rPr>
        <w:t xml:space="preserve"> víctimas fueron ejecutadas </w:t>
      </w:r>
      <w:r w:rsidR="00FB50B7" w:rsidRPr="006B2D23">
        <w:rPr>
          <w:rFonts w:ascii="Verdana" w:hAnsi="Verdana"/>
          <w:sz w:val="20"/>
          <w:szCs w:val="20"/>
          <w:lang w:val="es-CR"/>
        </w:rPr>
        <w:t>en el marco de la “Opera</w:t>
      </w:r>
      <w:r w:rsidR="006B2D23" w:rsidRPr="006B2D23">
        <w:rPr>
          <w:rFonts w:ascii="Verdana" w:hAnsi="Verdana"/>
          <w:sz w:val="20"/>
          <w:szCs w:val="20"/>
          <w:lang w:val="es-CR"/>
        </w:rPr>
        <w:t>ción Gavilán” o “Plan Gavilán”</w:t>
      </w:r>
      <w:r w:rsidR="00FB50B7" w:rsidRPr="006B2D23">
        <w:rPr>
          <w:rFonts w:ascii="Verdana" w:hAnsi="Verdana"/>
          <w:sz w:val="20"/>
          <w:szCs w:val="20"/>
          <w:lang w:val="es-CR"/>
        </w:rPr>
        <w:t>.</w:t>
      </w:r>
    </w:p>
    <w:p w14:paraId="1EA981BA" w14:textId="77777777" w:rsidR="007B5388" w:rsidRPr="00B660E9" w:rsidRDefault="00067BDE" w:rsidP="00BE0EFF">
      <w:pPr>
        <w:numPr>
          <w:ilvl w:val="0"/>
          <w:numId w:val="2"/>
        </w:numPr>
        <w:spacing w:before="120" w:after="120"/>
        <w:ind w:left="0" w:firstLine="0"/>
        <w:jc w:val="both"/>
        <w:rPr>
          <w:rFonts w:ascii="Verdana" w:eastAsia="Times" w:hAnsi="Verdana"/>
          <w:b/>
          <w:sz w:val="20"/>
          <w:szCs w:val="20"/>
          <w:lang w:val="es-CR"/>
        </w:rPr>
      </w:pPr>
      <w:r w:rsidRPr="00B660E9">
        <w:rPr>
          <w:rFonts w:ascii="Verdana" w:eastAsia="Times" w:hAnsi="Verdana"/>
          <w:sz w:val="20"/>
          <w:szCs w:val="20"/>
          <w:lang w:val="es-CR"/>
        </w:rPr>
        <w:t xml:space="preserve">Sostuvieron la existencia de los siguientes </w:t>
      </w:r>
      <w:r w:rsidR="00FB50B7" w:rsidRPr="00B660E9">
        <w:rPr>
          <w:rFonts w:ascii="Verdana" w:eastAsia="Times" w:hAnsi="Verdana"/>
          <w:sz w:val="20"/>
          <w:szCs w:val="20"/>
          <w:lang w:val="es-CR"/>
        </w:rPr>
        <w:t>“hechos de extrema gravedad y urgencia</w:t>
      </w:r>
      <w:r w:rsidRPr="00B660E9">
        <w:rPr>
          <w:rFonts w:ascii="Verdana" w:eastAsia="Times" w:hAnsi="Verdana"/>
          <w:sz w:val="20"/>
          <w:szCs w:val="20"/>
          <w:lang w:val="es-CR"/>
        </w:rPr>
        <w:t>”</w:t>
      </w:r>
      <w:r w:rsidRPr="00B660E9">
        <w:rPr>
          <w:rFonts w:ascii="Verdana" w:eastAsia="Times" w:hAnsi="Verdana"/>
          <w:b/>
          <w:sz w:val="20"/>
          <w:szCs w:val="20"/>
          <w:lang w:val="es-CR"/>
        </w:rPr>
        <w:t xml:space="preserve"> </w:t>
      </w:r>
      <w:r w:rsidRPr="00B660E9">
        <w:rPr>
          <w:rFonts w:ascii="Verdana" w:hAnsi="Verdana"/>
          <w:sz w:val="20"/>
          <w:szCs w:val="20"/>
          <w:lang w:val="es-CR"/>
        </w:rPr>
        <w:t xml:space="preserve">relacionados con la investigación penal en curso </w:t>
      </w:r>
      <w:r w:rsidR="006B1E27" w:rsidRPr="00B660E9">
        <w:rPr>
          <w:rFonts w:ascii="Verdana" w:eastAsia="Times" w:hAnsi="Verdana"/>
          <w:sz w:val="20"/>
          <w:szCs w:val="20"/>
          <w:lang w:val="es-CR"/>
        </w:rPr>
        <w:t>por la muerte del señor Valenzuela Ávila</w:t>
      </w:r>
      <w:r w:rsidR="007B5388" w:rsidRPr="00B660E9">
        <w:rPr>
          <w:rFonts w:ascii="Verdana" w:eastAsia="Times" w:hAnsi="Verdana"/>
          <w:sz w:val="20"/>
          <w:szCs w:val="20"/>
          <w:lang w:val="es-CR"/>
        </w:rPr>
        <w:t>:</w:t>
      </w:r>
    </w:p>
    <w:p w14:paraId="67E276F0" w14:textId="3D470612" w:rsidR="002560F9" w:rsidRPr="00B660E9" w:rsidRDefault="00FB50B7" w:rsidP="00BE0EFF">
      <w:pPr>
        <w:pStyle w:val="Prrafodelista"/>
        <w:numPr>
          <w:ilvl w:val="0"/>
          <w:numId w:val="6"/>
        </w:numPr>
        <w:spacing w:before="120" w:after="120"/>
        <w:ind w:left="851" w:hanging="425"/>
        <w:contextualSpacing w:val="0"/>
        <w:jc w:val="both"/>
        <w:rPr>
          <w:rFonts w:ascii="Verdana" w:eastAsia="Times" w:hAnsi="Verdana"/>
          <w:sz w:val="20"/>
          <w:szCs w:val="20"/>
          <w:lang w:val="es-CR"/>
        </w:rPr>
      </w:pPr>
      <w:r w:rsidRPr="00B660E9">
        <w:rPr>
          <w:rFonts w:ascii="Verdana" w:eastAsia="Times" w:hAnsi="Verdana"/>
          <w:sz w:val="20"/>
          <w:szCs w:val="20"/>
          <w:lang w:val="es-CR"/>
        </w:rPr>
        <w:t xml:space="preserve">Las investigaciones </w:t>
      </w:r>
      <w:r w:rsidR="003B2F78">
        <w:rPr>
          <w:rFonts w:ascii="Verdana" w:eastAsia="Times" w:hAnsi="Verdana"/>
          <w:sz w:val="20"/>
          <w:szCs w:val="20"/>
          <w:lang w:val="es-CR"/>
        </w:rPr>
        <w:t>estaban</w:t>
      </w:r>
      <w:r w:rsidR="00033E85" w:rsidRPr="00B660E9">
        <w:rPr>
          <w:rFonts w:ascii="Verdana" w:eastAsia="Times" w:hAnsi="Verdana"/>
          <w:sz w:val="20"/>
          <w:szCs w:val="20"/>
          <w:lang w:val="es-CR"/>
        </w:rPr>
        <w:t xml:space="preserve"> </w:t>
      </w:r>
      <w:r w:rsidR="00A90FD6" w:rsidRPr="00B660E9">
        <w:rPr>
          <w:rFonts w:ascii="Verdana" w:eastAsia="Times" w:hAnsi="Verdana"/>
          <w:sz w:val="20"/>
          <w:szCs w:val="20"/>
          <w:lang w:val="es-CR"/>
        </w:rPr>
        <w:t xml:space="preserve">a cargo </w:t>
      </w:r>
      <w:r w:rsidR="00033E85" w:rsidRPr="00B660E9">
        <w:rPr>
          <w:rFonts w:ascii="Verdana" w:eastAsia="Times" w:hAnsi="Verdana"/>
          <w:sz w:val="20"/>
          <w:szCs w:val="20"/>
          <w:lang w:val="es-CR"/>
        </w:rPr>
        <w:t>d</w:t>
      </w:r>
      <w:r w:rsidR="00033E85" w:rsidRPr="00B660E9">
        <w:rPr>
          <w:rFonts w:ascii="Verdana" w:hAnsi="Verdana"/>
          <w:sz w:val="20"/>
          <w:szCs w:val="20"/>
          <w:lang w:val="es-ES"/>
        </w:rPr>
        <w:t xml:space="preserve">el </w:t>
      </w:r>
      <w:r w:rsidR="00253A2E">
        <w:rPr>
          <w:rFonts w:ascii="Verdana" w:hAnsi="Verdana"/>
          <w:sz w:val="20"/>
          <w:szCs w:val="20"/>
          <w:lang w:val="es-ES"/>
        </w:rPr>
        <w:t xml:space="preserve">hasta </w:t>
      </w:r>
      <w:r w:rsidR="00CC768A">
        <w:rPr>
          <w:rFonts w:ascii="Verdana" w:hAnsi="Verdana"/>
          <w:sz w:val="20"/>
          <w:szCs w:val="20"/>
          <w:lang w:val="es-ES"/>
        </w:rPr>
        <w:t xml:space="preserve">entonces </w:t>
      </w:r>
      <w:r w:rsidR="00033E85" w:rsidRPr="00B660E9">
        <w:rPr>
          <w:rFonts w:ascii="Verdana" w:eastAsia="Calibri" w:hAnsi="Verdana" w:cs="Verdana"/>
          <w:color w:val="000000"/>
          <w:sz w:val="20"/>
          <w:szCs w:val="20"/>
          <w:lang w:val="es-CR"/>
        </w:rPr>
        <w:t>Fiscal</w:t>
      </w:r>
      <w:r w:rsidR="00033E85" w:rsidRPr="00B660E9">
        <w:rPr>
          <w:rFonts w:ascii="Verdana" w:hAnsi="Verdana"/>
          <w:sz w:val="20"/>
          <w:szCs w:val="20"/>
        </w:rPr>
        <w:t xml:space="preserve"> </w:t>
      </w:r>
      <w:r w:rsidR="00033E85" w:rsidRPr="00B660E9">
        <w:rPr>
          <w:rFonts w:ascii="Verdana" w:eastAsia="Calibri" w:hAnsi="Verdana" w:cs="Verdana"/>
          <w:color w:val="000000"/>
          <w:sz w:val="20"/>
          <w:szCs w:val="20"/>
          <w:lang w:val="es-CR"/>
        </w:rPr>
        <w:t>Juan Francisco Sandoval Alfaro</w:t>
      </w:r>
      <w:r w:rsidR="00033E85" w:rsidRPr="00B660E9">
        <w:rPr>
          <w:rFonts w:ascii="Verdana" w:hAnsi="Verdana"/>
          <w:sz w:val="20"/>
          <w:szCs w:val="20"/>
          <w:lang w:val="es-ES"/>
        </w:rPr>
        <w:t>,</w:t>
      </w:r>
      <w:r w:rsidR="00A90FD6" w:rsidRPr="00B660E9">
        <w:rPr>
          <w:rFonts w:ascii="Verdana" w:hAnsi="Verdana"/>
          <w:sz w:val="20"/>
          <w:szCs w:val="20"/>
          <w:lang w:val="es-ES"/>
        </w:rPr>
        <w:t xml:space="preserve"> </w:t>
      </w:r>
      <w:r w:rsidR="00033E85" w:rsidRPr="00B660E9">
        <w:rPr>
          <w:rFonts w:ascii="Verdana" w:hAnsi="Verdana"/>
          <w:sz w:val="20"/>
          <w:szCs w:val="20"/>
          <w:lang w:val="es-ES"/>
        </w:rPr>
        <w:t>el</w:t>
      </w:r>
      <w:r w:rsidR="00A90FD6" w:rsidRPr="00B660E9">
        <w:rPr>
          <w:rFonts w:ascii="Verdana" w:hAnsi="Verdana"/>
          <w:sz w:val="20"/>
          <w:szCs w:val="20"/>
          <w:lang w:val="es-ES"/>
        </w:rPr>
        <w:t xml:space="preserve"> Fiscal “</w:t>
      </w:r>
      <w:r w:rsidR="00403820">
        <w:rPr>
          <w:rFonts w:ascii="Verdana" w:hAnsi="Verdana"/>
          <w:sz w:val="20"/>
          <w:szCs w:val="20"/>
          <w:lang w:val="es-ES"/>
        </w:rPr>
        <w:t>B</w:t>
      </w:r>
      <w:r w:rsidR="00A90FD6" w:rsidRPr="00B660E9">
        <w:rPr>
          <w:rFonts w:ascii="Verdana" w:hAnsi="Verdana"/>
          <w:sz w:val="20"/>
          <w:szCs w:val="20"/>
          <w:lang w:val="es-ES"/>
        </w:rPr>
        <w:t>” y el A</w:t>
      </w:r>
      <w:r w:rsidR="00033E85" w:rsidRPr="00B660E9">
        <w:rPr>
          <w:rFonts w:ascii="Verdana" w:hAnsi="Verdana"/>
          <w:sz w:val="20"/>
          <w:szCs w:val="20"/>
          <w:lang w:val="es-ES"/>
        </w:rPr>
        <w:t>uxiliar Fiscal “C”</w:t>
      </w:r>
      <w:r w:rsidR="00087CE7">
        <w:rPr>
          <w:rFonts w:ascii="Verdana" w:hAnsi="Verdana"/>
          <w:sz w:val="20"/>
          <w:szCs w:val="20"/>
          <w:lang w:val="es-ES"/>
        </w:rPr>
        <w:t xml:space="preserve">, </w:t>
      </w:r>
      <w:r w:rsidR="006B1E27" w:rsidRPr="00B660E9">
        <w:rPr>
          <w:rFonts w:ascii="Verdana" w:hAnsi="Verdana"/>
          <w:sz w:val="20"/>
          <w:szCs w:val="20"/>
          <w:lang w:val="es-ES"/>
        </w:rPr>
        <w:t xml:space="preserve">y </w:t>
      </w:r>
      <w:r w:rsidR="00785663" w:rsidRPr="00B660E9">
        <w:rPr>
          <w:rFonts w:ascii="Verdana" w:eastAsia="Times" w:hAnsi="Verdana"/>
          <w:sz w:val="20"/>
          <w:szCs w:val="20"/>
          <w:lang w:val="es-CR"/>
        </w:rPr>
        <w:t>“</w:t>
      </w:r>
      <w:r w:rsidR="006B1E27" w:rsidRPr="00B660E9">
        <w:rPr>
          <w:rFonts w:ascii="Verdana" w:eastAsia="Times" w:hAnsi="Verdana"/>
          <w:sz w:val="20"/>
          <w:szCs w:val="20"/>
          <w:lang w:val="es-CR"/>
        </w:rPr>
        <w:t>p</w:t>
      </w:r>
      <w:r w:rsidRPr="00B660E9">
        <w:rPr>
          <w:rFonts w:ascii="Verdana" w:eastAsia="Times" w:hAnsi="Verdana"/>
          <w:sz w:val="20"/>
          <w:szCs w:val="20"/>
          <w:lang w:val="es-CR"/>
        </w:rPr>
        <w:t>or el alto grado de peligrosidad de los potenciales autores</w:t>
      </w:r>
      <w:r w:rsidR="00033E85" w:rsidRPr="00B660E9">
        <w:rPr>
          <w:rFonts w:ascii="Verdana" w:eastAsia="Times" w:hAnsi="Verdana"/>
          <w:sz w:val="20"/>
          <w:szCs w:val="20"/>
          <w:lang w:val="es-CR"/>
        </w:rPr>
        <w:t>”</w:t>
      </w:r>
      <w:r w:rsidRPr="00B660E9">
        <w:rPr>
          <w:rFonts w:ascii="Verdana" w:eastAsia="Times" w:hAnsi="Verdana"/>
          <w:sz w:val="20"/>
          <w:szCs w:val="20"/>
          <w:lang w:val="es-CR"/>
        </w:rPr>
        <w:t xml:space="preserve"> </w:t>
      </w:r>
      <w:r w:rsidR="00033E85" w:rsidRPr="00B660E9">
        <w:rPr>
          <w:rFonts w:ascii="Verdana" w:eastAsia="Times" w:hAnsi="Verdana"/>
          <w:sz w:val="20"/>
          <w:szCs w:val="20"/>
          <w:lang w:val="es-CR"/>
        </w:rPr>
        <w:t xml:space="preserve">de </w:t>
      </w:r>
      <w:r w:rsidRPr="00B660E9">
        <w:rPr>
          <w:rFonts w:ascii="Verdana" w:eastAsia="Times" w:hAnsi="Verdana"/>
          <w:sz w:val="20"/>
          <w:szCs w:val="20"/>
          <w:lang w:val="es-CR"/>
        </w:rPr>
        <w:t>la muerte de</w:t>
      </w:r>
      <w:r w:rsidR="006B1E27" w:rsidRPr="00B660E9">
        <w:rPr>
          <w:rFonts w:ascii="Verdana" w:eastAsia="Times" w:hAnsi="Verdana"/>
          <w:sz w:val="20"/>
          <w:szCs w:val="20"/>
          <w:lang w:val="es-CR"/>
        </w:rPr>
        <w:t>l señor</w:t>
      </w:r>
      <w:r w:rsidRPr="00B660E9">
        <w:rPr>
          <w:rFonts w:ascii="Verdana" w:eastAsia="Times" w:hAnsi="Verdana"/>
          <w:sz w:val="20"/>
          <w:szCs w:val="20"/>
          <w:lang w:val="es-CR"/>
        </w:rPr>
        <w:t xml:space="preserve"> Valenzuela Ávila, la Cámara Penal de la Corte Suprema de Justicia, resolvió que se ampliara la competencia al Juzgado de Mayor Riesgo “A”, para proteger la vida e integridad de los sujetos procesales</w:t>
      </w:r>
      <w:r w:rsidR="00785663" w:rsidRPr="00B660E9">
        <w:rPr>
          <w:rFonts w:ascii="Verdana" w:eastAsia="Times" w:hAnsi="Verdana"/>
          <w:sz w:val="20"/>
          <w:szCs w:val="20"/>
          <w:lang w:val="es-CR"/>
        </w:rPr>
        <w:t>”</w:t>
      </w:r>
      <w:r w:rsidR="00A93274">
        <w:rPr>
          <w:rFonts w:ascii="Verdana" w:eastAsia="Times" w:hAnsi="Verdana"/>
          <w:sz w:val="20"/>
          <w:szCs w:val="20"/>
          <w:lang w:val="es-CR"/>
        </w:rPr>
        <w:t>;</w:t>
      </w:r>
    </w:p>
    <w:p w14:paraId="75F9C221" w14:textId="12E8CA2B" w:rsidR="00EA0688" w:rsidRPr="00B660E9" w:rsidRDefault="006B2D23" w:rsidP="00764921">
      <w:pPr>
        <w:pStyle w:val="Prrafodelista"/>
        <w:numPr>
          <w:ilvl w:val="0"/>
          <w:numId w:val="6"/>
        </w:numPr>
        <w:spacing w:before="120" w:after="120"/>
        <w:ind w:left="851" w:hanging="425"/>
        <w:contextualSpacing w:val="0"/>
        <w:jc w:val="both"/>
        <w:rPr>
          <w:rFonts w:ascii="Verdana" w:eastAsia="Times" w:hAnsi="Verdana"/>
          <w:sz w:val="20"/>
          <w:szCs w:val="20"/>
          <w:lang w:val="es-CR"/>
        </w:rPr>
      </w:pPr>
      <w:r>
        <w:rPr>
          <w:rFonts w:ascii="Verdana" w:eastAsia="Times" w:hAnsi="Verdana"/>
          <w:sz w:val="20"/>
          <w:szCs w:val="20"/>
          <w:lang w:val="es-CR"/>
        </w:rPr>
        <w:t xml:space="preserve">La FECI determinó </w:t>
      </w:r>
      <w:r w:rsidR="00FB50B7" w:rsidRPr="00B660E9">
        <w:rPr>
          <w:rFonts w:ascii="Verdana" w:eastAsia="Times" w:hAnsi="Verdana"/>
          <w:sz w:val="20"/>
          <w:szCs w:val="20"/>
          <w:lang w:val="es-CR"/>
        </w:rPr>
        <w:t>que</w:t>
      </w:r>
      <w:r>
        <w:rPr>
          <w:rFonts w:ascii="Verdana" w:eastAsia="Times" w:hAnsi="Verdana"/>
          <w:sz w:val="20"/>
          <w:szCs w:val="20"/>
          <w:lang w:val="es-CR"/>
        </w:rPr>
        <w:t xml:space="preserve"> los</w:t>
      </w:r>
      <w:r w:rsidR="00FB50B7" w:rsidRPr="00B660E9">
        <w:rPr>
          <w:rFonts w:ascii="Verdana" w:eastAsia="Times" w:hAnsi="Verdana"/>
          <w:sz w:val="20"/>
          <w:szCs w:val="20"/>
          <w:lang w:val="es-CR"/>
        </w:rPr>
        <w:t xml:space="preserve"> “agentes de la Policía Nacional Civil y</w:t>
      </w:r>
      <w:r w:rsidR="004454A7">
        <w:rPr>
          <w:rFonts w:ascii="Verdana" w:eastAsia="Times" w:hAnsi="Verdana"/>
          <w:sz w:val="20"/>
          <w:szCs w:val="20"/>
          <w:lang w:val="es-CR"/>
        </w:rPr>
        <w:t xml:space="preserve"> [del]</w:t>
      </w:r>
      <w:r w:rsidR="00FB50B7" w:rsidRPr="00B660E9">
        <w:rPr>
          <w:rFonts w:ascii="Verdana" w:eastAsia="Times" w:hAnsi="Verdana"/>
          <w:sz w:val="20"/>
          <w:szCs w:val="20"/>
          <w:lang w:val="es-CR"/>
        </w:rPr>
        <w:t xml:space="preserve"> Ministerio de Gobernación constituyeron un cuerpo clandestino y paralelo de seguridad, dentro del denominado Operativo Plan Gavilán para la recaptura y ejecución extrajudicial de privados de libertad fugados de la Cárcel de Máxima Seguridad de Escuintla (el Infiernito)”.</w:t>
      </w:r>
      <w:r w:rsidR="006B1E27" w:rsidRPr="00B660E9">
        <w:rPr>
          <w:rFonts w:ascii="Verdana" w:eastAsia="Times" w:hAnsi="Verdana"/>
          <w:sz w:val="20"/>
          <w:szCs w:val="20"/>
          <w:lang w:val="es-CR"/>
        </w:rPr>
        <w:t xml:space="preserve"> L</w:t>
      </w:r>
      <w:r w:rsidR="00FB50B7" w:rsidRPr="00B660E9">
        <w:rPr>
          <w:rFonts w:ascii="Verdana" w:eastAsia="Times" w:hAnsi="Verdana"/>
          <w:sz w:val="20"/>
          <w:szCs w:val="20"/>
          <w:lang w:val="es-CR"/>
        </w:rPr>
        <w:t xml:space="preserve">a FECI “solicitó </w:t>
      </w:r>
      <w:r w:rsidR="00BC1BB7">
        <w:rPr>
          <w:rFonts w:ascii="Verdana" w:eastAsia="Times" w:hAnsi="Verdana"/>
          <w:sz w:val="20"/>
          <w:szCs w:val="20"/>
          <w:lang w:val="es-CR"/>
        </w:rPr>
        <w:t>ó</w:t>
      </w:r>
      <w:r w:rsidR="00FB50B7" w:rsidRPr="00B660E9">
        <w:rPr>
          <w:rFonts w:ascii="Verdana" w:eastAsia="Times" w:hAnsi="Verdana"/>
          <w:sz w:val="20"/>
          <w:szCs w:val="20"/>
          <w:lang w:val="es-CR"/>
        </w:rPr>
        <w:t xml:space="preserve">rdenes de captura contra varios de los sospechosos, habiendo quedado ligados a[l] proceso 5 personas ex </w:t>
      </w:r>
      <w:proofErr w:type="spellStart"/>
      <w:r w:rsidR="00FB50B7" w:rsidRPr="00B660E9">
        <w:rPr>
          <w:rFonts w:ascii="Verdana" w:eastAsia="Times" w:hAnsi="Verdana"/>
          <w:sz w:val="20"/>
          <w:szCs w:val="20"/>
          <w:lang w:val="es-CR"/>
        </w:rPr>
        <w:t>funcionari</w:t>
      </w:r>
      <w:proofErr w:type="spellEnd"/>
      <w:r w:rsidR="007A40F2">
        <w:rPr>
          <w:rFonts w:ascii="Verdana" w:eastAsia="Times" w:hAnsi="Verdana"/>
          <w:sz w:val="20"/>
          <w:szCs w:val="20"/>
          <w:lang w:val="es-CR"/>
        </w:rPr>
        <w:t>[a]</w:t>
      </w:r>
      <w:r w:rsidR="00FB50B7" w:rsidRPr="00B660E9">
        <w:rPr>
          <w:rFonts w:ascii="Verdana" w:eastAsia="Times" w:hAnsi="Verdana"/>
          <w:sz w:val="20"/>
          <w:szCs w:val="20"/>
          <w:lang w:val="es-CR"/>
        </w:rPr>
        <w:t xml:space="preserve">s de la </w:t>
      </w:r>
      <w:r w:rsidR="007A40F2">
        <w:rPr>
          <w:rFonts w:ascii="Verdana" w:eastAsia="Times" w:hAnsi="Verdana"/>
          <w:sz w:val="20"/>
          <w:szCs w:val="20"/>
          <w:lang w:val="es-CR"/>
        </w:rPr>
        <w:t>[</w:t>
      </w:r>
      <w:r w:rsidR="00FB50B7" w:rsidRPr="00B660E9">
        <w:rPr>
          <w:rFonts w:ascii="Verdana" w:eastAsia="Times" w:hAnsi="Verdana"/>
          <w:sz w:val="20"/>
          <w:szCs w:val="20"/>
          <w:lang w:val="es-CR"/>
        </w:rPr>
        <w:t>P</w:t>
      </w:r>
      <w:r w:rsidR="007A40F2">
        <w:rPr>
          <w:rFonts w:ascii="Verdana" w:eastAsia="Times" w:hAnsi="Verdana"/>
          <w:sz w:val="20"/>
          <w:szCs w:val="20"/>
          <w:lang w:val="es-CR"/>
        </w:rPr>
        <w:t>]</w:t>
      </w:r>
      <w:proofErr w:type="spellStart"/>
      <w:r w:rsidR="00FB50B7" w:rsidRPr="00B660E9">
        <w:rPr>
          <w:rFonts w:ascii="Verdana" w:eastAsia="Times" w:hAnsi="Verdana"/>
          <w:sz w:val="20"/>
          <w:szCs w:val="20"/>
          <w:lang w:val="es-CR"/>
        </w:rPr>
        <w:t>olicía</w:t>
      </w:r>
      <w:proofErr w:type="spellEnd"/>
      <w:r w:rsidR="00FB50B7" w:rsidRPr="00B660E9">
        <w:rPr>
          <w:rFonts w:ascii="Verdana" w:eastAsia="Times" w:hAnsi="Verdana"/>
          <w:sz w:val="20"/>
          <w:szCs w:val="20"/>
          <w:lang w:val="es-CR"/>
        </w:rPr>
        <w:t xml:space="preserve"> </w:t>
      </w:r>
      <w:r w:rsidR="007A40F2">
        <w:rPr>
          <w:rFonts w:ascii="Verdana" w:eastAsia="Times" w:hAnsi="Verdana"/>
          <w:sz w:val="20"/>
          <w:szCs w:val="20"/>
          <w:lang w:val="es-CR"/>
        </w:rPr>
        <w:t>[</w:t>
      </w:r>
      <w:r w:rsidR="00FB50B7" w:rsidRPr="00B660E9">
        <w:rPr>
          <w:rFonts w:ascii="Verdana" w:eastAsia="Times" w:hAnsi="Verdana"/>
          <w:sz w:val="20"/>
          <w:szCs w:val="20"/>
          <w:lang w:val="es-CR"/>
        </w:rPr>
        <w:t>N</w:t>
      </w:r>
      <w:r w:rsidR="007A40F2">
        <w:rPr>
          <w:rFonts w:ascii="Verdana" w:eastAsia="Times" w:hAnsi="Verdana"/>
          <w:sz w:val="20"/>
          <w:szCs w:val="20"/>
          <w:lang w:val="es-CR"/>
        </w:rPr>
        <w:t>]</w:t>
      </w:r>
      <w:proofErr w:type="spellStart"/>
      <w:r w:rsidR="00FB50B7" w:rsidRPr="00B660E9">
        <w:rPr>
          <w:rFonts w:ascii="Verdana" w:eastAsia="Times" w:hAnsi="Verdana"/>
          <w:sz w:val="20"/>
          <w:szCs w:val="20"/>
          <w:lang w:val="es-CR"/>
        </w:rPr>
        <w:t>acional</w:t>
      </w:r>
      <w:proofErr w:type="spellEnd"/>
      <w:r w:rsidR="00FB50B7" w:rsidRPr="00B660E9">
        <w:rPr>
          <w:rFonts w:ascii="Verdana" w:eastAsia="Times" w:hAnsi="Verdana"/>
          <w:sz w:val="20"/>
          <w:szCs w:val="20"/>
          <w:lang w:val="es-CR"/>
        </w:rPr>
        <w:t xml:space="preserve"> </w:t>
      </w:r>
      <w:r w:rsidR="007A40F2">
        <w:rPr>
          <w:rFonts w:ascii="Verdana" w:eastAsia="Times" w:hAnsi="Verdana"/>
          <w:sz w:val="20"/>
          <w:szCs w:val="20"/>
          <w:lang w:val="es-CR"/>
        </w:rPr>
        <w:t>[</w:t>
      </w:r>
      <w:r w:rsidR="00FB50B7" w:rsidRPr="00B660E9">
        <w:rPr>
          <w:rFonts w:ascii="Verdana" w:eastAsia="Times" w:hAnsi="Verdana"/>
          <w:sz w:val="20"/>
          <w:szCs w:val="20"/>
          <w:lang w:val="es-CR"/>
        </w:rPr>
        <w:t>C</w:t>
      </w:r>
      <w:r w:rsidR="007A40F2">
        <w:rPr>
          <w:rFonts w:ascii="Verdana" w:eastAsia="Times" w:hAnsi="Verdana"/>
          <w:sz w:val="20"/>
          <w:szCs w:val="20"/>
          <w:lang w:val="es-CR"/>
        </w:rPr>
        <w:t>]</w:t>
      </w:r>
      <w:proofErr w:type="spellStart"/>
      <w:r w:rsidR="00FB50B7" w:rsidRPr="00B660E9">
        <w:rPr>
          <w:rFonts w:ascii="Verdana" w:eastAsia="Times" w:hAnsi="Verdana"/>
          <w:sz w:val="20"/>
          <w:szCs w:val="20"/>
          <w:lang w:val="es-CR"/>
        </w:rPr>
        <w:t>ivil</w:t>
      </w:r>
      <w:proofErr w:type="spellEnd"/>
      <w:r w:rsidR="00FB50B7" w:rsidRPr="00B660E9">
        <w:rPr>
          <w:rFonts w:ascii="Verdana" w:eastAsia="Times" w:hAnsi="Verdana"/>
          <w:sz w:val="20"/>
          <w:szCs w:val="20"/>
          <w:lang w:val="es-CR"/>
        </w:rPr>
        <w:t xml:space="preserve"> y</w:t>
      </w:r>
      <w:r w:rsidR="001C1651">
        <w:rPr>
          <w:rFonts w:ascii="Verdana" w:eastAsia="Times" w:hAnsi="Verdana"/>
          <w:sz w:val="20"/>
          <w:szCs w:val="20"/>
          <w:lang w:val="es-CR"/>
        </w:rPr>
        <w:t xml:space="preserve"> [d]</w:t>
      </w:r>
      <w:r w:rsidR="00FB50B7" w:rsidRPr="00B660E9">
        <w:rPr>
          <w:rFonts w:ascii="Verdana" w:eastAsia="Times" w:hAnsi="Verdana"/>
          <w:sz w:val="20"/>
          <w:szCs w:val="20"/>
          <w:lang w:val="es-CR"/>
        </w:rPr>
        <w:t xml:space="preserve">el Ministerio de Gobernación de Guatemala”. Sin embargo, </w:t>
      </w:r>
      <w:r w:rsidR="00FB50B7" w:rsidRPr="00B660E9">
        <w:rPr>
          <w:rFonts w:ascii="Verdana" w:eastAsia="Times" w:hAnsi="Verdana"/>
          <w:sz w:val="20"/>
          <w:szCs w:val="20"/>
          <w:lang w:val="es-CR"/>
        </w:rPr>
        <w:lastRenderedPageBreak/>
        <w:t xml:space="preserve">“varios de los sindicados se </w:t>
      </w:r>
      <w:proofErr w:type="spellStart"/>
      <w:r w:rsidR="00FB50B7" w:rsidRPr="00B660E9">
        <w:rPr>
          <w:rFonts w:ascii="Verdana" w:eastAsia="Times" w:hAnsi="Verdana"/>
          <w:sz w:val="20"/>
          <w:szCs w:val="20"/>
          <w:lang w:val="es-CR"/>
        </w:rPr>
        <w:t>encuentr</w:t>
      </w:r>
      <w:proofErr w:type="spellEnd"/>
      <w:r w:rsidR="00FB50B7" w:rsidRPr="00B660E9">
        <w:rPr>
          <w:rFonts w:ascii="Verdana" w:eastAsia="Times" w:hAnsi="Verdana"/>
          <w:sz w:val="20"/>
          <w:szCs w:val="20"/>
          <w:lang w:val="es-CR"/>
        </w:rPr>
        <w:t>[</w:t>
      </w:r>
      <w:proofErr w:type="spellStart"/>
      <w:r w:rsidR="00FB50B7" w:rsidRPr="00B660E9">
        <w:rPr>
          <w:rFonts w:ascii="Verdana" w:eastAsia="Times" w:hAnsi="Verdana"/>
          <w:sz w:val="20"/>
          <w:szCs w:val="20"/>
          <w:lang w:val="es-CR"/>
        </w:rPr>
        <w:t>an</w:t>
      </w:r>
      <w:proofErr w:type="spellEnd"/>
      <w:r w:rsidR="00FB50B7" w:rsidRPr="00B660E9">
        <w:rPr>
          <w:rFonts w:ascii="Verdana" w:eastAsia="Times" w:hAnsi="Verdana"/>
          <w:sz w:val="20"/>
          <w:szCs w:val="20"/>
          <w:lang w:val="es-CR"/>
        </w:rPr>
        <w:t>] prófugos</w:t>
      </w:r>
      <w:r w:rsidR="005D1E3D" w:rsidRPr="00B660E9">
        <w:rPr>
          <w:rFonts w:ascii="Verdana" w:eastAsia="Times" w:hAnsi="Verdana"/>
          <w:sz w:val="20"/>
          <w:szCs w:val="20"/>
          <w:lang w:val="es-CR"/>
        </w:rPr>
        <w:t>”,</w:t>
      </w:r>
      <w:r w:rsidR="00FB50B7" w:rsidRPr="00B660E9">
        <w:rPr>
          <w:rFonts w:ascii="Verdana" w:eastAsia="Times" w:hAnsi="Verdana"/>
          <w:sz w:val="20"/>
          <w:szCs w:val="20"/>
          <w:lang w:val="es-CR"/>
        </w:rPr>
        <w:t xml:space="preserve"> o </w:t>
      </w:r>
      <w:r w:rsidR="005D1E3D" w:rsidRPr="00B660E9">
        <w:rPr>
          <w:rFonts w:ascii="Verdana" w:eastAsia="Times" w:hAnsi="Verdana"/>
          <w:sz w:val="20"/>
          <w:szCs w:val="20"/>
          <w:lang w:val="es-CR"/>
        </w:rPr>
        <w:t xml:space="preserve">no se han hecho efectivas las órdenes judiciales que han decretado la prisión preventiva de los </w:t>
      </w:r>
      <w:r w:rsidR="00764921" w:rsidRPr="00B660E9">
        <w:rPr>
          <w:rFonts w:ascii="Verdana" w:eastAsia="Times" w:hAnsi="Verdana"/>
          <w:sz w:val="20"/>
          <w:szCs w:val="20"/>
          <w:lang w:val="es-CR"/>
        </w:rPr>
        <w:t>acusados “</w:t>
      </w:r>
      <w:r w:rsidR="005D1E3D" w:rsidRPr="00B660E9">
        <w:rPr>
          <w:rFonts w:ascii="Verdana" w:eastAsia="Times" w:hAnsi="Verdana"/>
          <w:sz w:val="20"/>
          <w:szCs w:val="20"/>
          <w:lang w:val="es-CR"/>
        </w:rPr>
        <w:t>por el peligro de obstaculización a la averiguación de la verdad</w:t>
      </w:r>
      <w:r w:rsidR="00764921" w:rsidRPr="00B660E9">
        <w:rPr>
          <w:rFonts w:ascii="Verdana" w:eastAsia="Times" w:hAnsi="Verdana"/>
          <w:sz w:val="20"/>
          <w:szCs w:val="20"/>
          <w:lang w:val="es-CR"/>
        </w:rPr>
        <w:t>”</w:t>
      </w:r>
      <w:r w:rsidR="00A93274">
        <w:rPr>
          <w:rFonts w:ascii="Verdana" w:eastAsia="Times" w:hAnsi="Verdana"/>
          <w:sz w:val="20"/>
          <w:szCs w:val="20"/>
          <w:lang w:val="es-CR"/>
        </w:rPr>
        <w:t>;</w:t>
      </w:r>
    </w:p>
    <w:p w14:paraId="0999703E" w14:textId="2AF75410" w:rsidR="00EA0688" w:rsidRPr="00B660E9" w:rsidRDefault="00EA0688" w:rsidP="00BE0EFF">
      <w:pPr>
        <w:pStyle w:val="Prrafodelista"/>
        <w:numPr>
          <w:ilvl w:val="0"/>
          <w:numId w:val="6"/>
        </w:numPr>
        <w:spacing w:before="120" w:after="120"/>
        <w:ind w:left="851" w:hanging="425"/>
        <w:contextualSpacing w:val="0"/>
        <w:jc w:val="both"/>
        <w:rPr>
          <w:rFonts w:ascii="Verdana" w:eastAsia="Times" w:hAnsi="Verdana"/>
          <w:sz w:val="20"/>
          <w:szCs w:val="20"/>
          <w:lang w:val="es-CR"/>
        </w:rPr>
      </w:pPr>
      <w:r w:rsidRPr="00B660E9">
        <w:rPr>
          <w:rFonts w:ascii="Verdana" w:eastAsia="Times" w:hAnsi="Verdana"/>
          <w:sz w:val="20"/>
          <w:szCs w:val="20"/>
          <w:lang w:val="es-CR"/>
        </w:rPr>
        <w:t xml:space="preserve">Mediante </w:t>
      </w:r>
      <w:r w:rsidR="00FB50B7" w:rsidRPr="00B660E9">
        <w:rPr>
          <w:rFonts w:ascii="Verdana" w:eastAsia="Times" w:hAnsi="Verdana"/>
          <w:sz w:val="20"/>
          <w:szCs w:val="20"/>
          <w:lang w:val="es-CR"/>
        </w:rPr>
        <w:t xml:space="preserve">acuerdo 2157-2021 de 23 de julio de 2021, la </w:t>
      </w:r>
      <w:proofErr w:type="gramStart"/>
      <w:r w:rsidR="00FB50B7" w:rsidRPr="00B660E9">
        <w:rPr>
          <w:rFonts w:ascii="Verdana" w:eastAsia="Times" w:hAnsi="Verdana"/>
          <w:sz w:val="20"/>
          <w:szCs w:val="20"/>
          <w:lang w:val="es-CR"/>
        </w:rPr>
        <w:t>Fiscal General</w:t>
      </w:r>
      <w:proofErr w:type="gramEnd"/>
      <w:r w:rsidR="00FB50B7" w:rsidRPr="00B660E9">
        <w:rPr>
          <w:rFonts w:ascii="Verdana" w:eastAsia="Times" w:hAnsi="Verdana"/>
          <w:sz w:val="20"/>
          <w:szCs w:val="20"/>
          <w:lang w:val="es-CR"/>
        </w:rPr>
        <w:t xml:space="preserve"> de la República y Jefa del Ministerio Público ordenó la destitución </w:t>
      </w:r>
      <w:r w:rsidRPr="00B660E9">
        <w:rPr>
          <w:rFonts w:ascii="Verdana" w:eastAsia="Times" w:hAnsi="Verdana"/>
          <w:sz w:val="20"/>
          <w:szCs w:val="20"/>
          <w:lang w:val="es-CR"/>
        </w:rPr>
        <w:t>d</w:t>
      </w:r>
      <w:r w:rsidRPr="00B660E9">
        <w:rPr>
          <w:rFonts w:ascii="Verdana" w:hAnsi="Verdana"/>
          <w:sz w:val="20"/>
          <w:szCs w:val="20"/>
          <w:lang w:val="es-ES"/>
        </w:rPr>
        <w:t xml:space="preserve">el </w:t>
      </w:r>
      <w:r w:rsidRPr="00B660E9">
        <w:rPr>
          <w:rFonts w:ascii="Verdana" w:eastAsia="Calibri" w:hAnsi="Verdana" w:cs="Verdana"/>
          <w:color w:val="000000"/>
          <w:sz w:val="20"/>
          <w:szCs w:val="20"/>
          <w:lang w:val="es-CR"/>
        </w:rPr>
        <w:t>Fiscal</w:t>
      </w:r>
      <w:r w:rsidRPr="00B660E9">
        <w:rPr>
          <w:rFonts w:ascii="Verdana" w:hAnsi="Verdana"/>
          <w:sz w:val="20"/>
          <w:szCs w:val="20"/>
        </w:rPr>
        <w:t xml:space="preserve"> </w:t>
      </w:r>
      <w:r w:rsidRPr="00B660E9">
        <w:rPr>
          <w:rFonts w:ascii="Verdana" w:eastAsia="Calibri" w:hAnsi="Verdana" w:cs="Verdana"/>
          <w:color w:val="000000"/>
          <w:sz w:val="20"/>
          <w:szCs w:val="20"/>
          <w:lang w:val="es-CR"/>
        </w:rPr>
        <w:t>Juan Francisco Sandoval Alfaro</w:t>
      </w:r>
      <w:r w:rsidR="00087CE7">
        <w:rPr>
          <w:rFonts w:ascii="Verdana" w:eastAsia="Times" w:hAnsi="Verdana"/>
          <w:sz w:val="20"/>
          <w:szCs w:val="20"/>
          <w:lang w:val="es-CR"/>
        </w:rPr>
        <w:t xml:space="preserve">, la cual </w:t>
      </w:r>
      <w:r w:rsidR="00FB50B7" w:rsidRPr="00B660E9">
        <w:rPr>
          <w:rFonts w:ascii="Verdana" w:eastAsia="Times" w:hAnsi="Verdana"/>
          <w:sz w:val="20"/>
          <w:szCs w:val="20"/>
          <w:lang w:val="es-CR"/>
        </w:rPr>
        <w:t xml:space="preserve">se </w:t>
      </w:r>
      <w:r w:rsidR="00BC1BB7">
        <w:rPr>
          <w:rFonts w:ascii="Verdana" w:eastAsia="Times" w:hAnsi="Verdana"/>
          <w:sz w:val="20"/>
          <w:szCs w:val="20"/>
          <w:lang w:val="es-CR"/>
        </w:rPr>
        <w:t xml:space="preserve">habría </w:t>
      </w:r>
      <w:r w:rsidR="00FB50B7" w:rsidRPr="00B660E9">
        <w:rPr>
          <w:rFonts w:ascii="Verdana" w:eastAsia="Times" w:hAnsi="Verdana"/>
          <w:sz w:val="20"/>
          <w:szCs w:val="20"/>
          <w:lang w:val="es-CR"/>
        </w:rPr>
        <w:t>efectu</w:t>
      </w:r>
      <w:r w:rsidR="00BC1BB7">
        <w:rPr>
          <w:rFonts w:ascii="Verdana" w:eastAsia="Times" w:hAnsi="Verdana"/>
          <w:sz w:val="20"/>
          <w:szCs w:val="20"/>
          <w:lang w:val="es-CR"/>
        </w:rPr>
        <w:t>ado</w:t>
      </w:r>
      <w:r w:rsidR="00FB50B7" w:rsidRPr="00B660E9">
        <w:rPr>
          <w:rFonts w:ascii="Verdana" w:eastAsia="Times" w:hAnsi="Verdana"/>
          <w:sz w:val="20"/>
          <w:szCs w:val="20"/>
          <w:lang w:val="es-CR"/>
        </w:rPr>
        <w:t xml:space="preserve"> “sin haber cumplido con el debido proceso legal”, conforme lo dispuesto en los artículos 60 a 65 de la Ley Orgánica del Ministerio Público”</w:t>
      </w:r>
      <w:r w:rsidR="00A93274">
        <w:rPr>
          <w:rFonts w:ascii="Verdana" w:eastAsia="Times" w:hAnsi="Verdana"/>
          <w:sz w:val="20"/>
          <w:szCs w:val="20"/>
          <w:lang w:val="es-CR"/>
        </w:rPr>
        <w:t>;</w:t>
      </w:r>
    </w:p>
    <w:p w14:paraId="5E739E90" w14:textId="2816D2EC" w:rsidR="00AC4D6D" w:rsidRPr="00B660E9" w:rsidRDefault="00EA0688" w:rsidP="00BE0EFF">
      <w:pPr>
        <w:pStyle w:val="Prrafodelista"/>
        <w:numPr>
          <w:ilvl w:val="0"/>
          <w:numId w:val="6"/>
        </w:numPr>
        <w:spacing w:before="120" w:after="120"/>
        <w:ind w:left="851" w:hanging="425"/>
        <w:contextualSpacing w:val="0"/>
        <w:jc w:val="both"/>
        <w:rPr>
          <w:rFonts w:ascii="Verdana" w:eastAsia="Times" w:hAnsi="Verdana"/>
          <w:sz w:val="20"/>
          <w:szCs w:val="20"/>
          <w:lang w:val="es-CR"/>
        </w:rPr>
      </w:pPr>
      <w:r w:rsidRPr="00B660E9">
        <w:rPr>
          <w:rFonts w:ascii="Verdana" w:eastAsia="Times" w:hAnsi="Verdana"/>
          <w:sz w:val="20"/>
          <w:szCs w:val="20"/>
          <w:lang w:val="es-CR"/>
        </w:rPr>
        <w:t xml:space="preserve">La </w:t>
      </w:r>
      <w:proofErr w:type="gramStart"/>
      <w:r w:rsidRPr="00B660E9">
        <w:rPr>
          <w:rFonts w:ascii="Verdana" w:eastAsia="Times" w:hAnsi="Verdana"/>
          <w:sz w:val="20"/>
          <w:szCs w:val="20"/>
          <w:lang w:val="es-CR"/>
        </w:rPr>
        <w:t>Fiscal General</w:t>
      </w:r>
      <w:proofErr w:type="gramEnd"/>
      <w:r w:rsidRPr="00B660E9">
        <w:rPr>
          <w:rFonts w:ascii="Verdana" w:eastAsia="Times" w:hAnsi="Verdana"/>
          <w:sz w:val="20"/>
          <w:szCs w:val="20"/>
          <w:lang w:val="es-CR"/>
        </w:rPr>
        <w:t xml:space="preserve"> alegó</w:t>
      </w:r>
      <w:r w:rsidR="00FB50B7" w:rsidRPr="00B660E9">
        <w:rPr>
          <w:rFonts w:ascii="Verdana" w:eastAsia="Times" w:hAnsi="Verdana"/>
          <w:sz w:val="20"/>
          <w:szCs w:val="20"/>
          <w:lang w:val="es-CR"/>
        </w:rPr>
        <w:t xml:space="preserve"> como causal de destitución</w:t>
      </w:r>
      <w:r w:rsidRPr="00B660E9">
        <w:rPr>
          <w:rFonts w:ascii="Verdana" w:eastAsia="Times" w:hAnsi="Verdana"/>
          <w:sz w:val="20"/>
          <w:szCs w:val="20"/>
          <w:lang w:val="es-CR"/>
        </w:rPr>
        <w:t xml:space="preserve"> que </w:t>
      </w:r>
      <w:r w:rsidRPr="00B660E9">
        <w:rPr>
          <w:rFonts w:ascii="Verdana" w:hAnsi="Verdana"/>
          <w:sz w:val="20"/>
          <w:szCs w:val="20"/>
          <w:lang w:val="es-ES"/>
        </w:rPr>
        <w:t>el</w:t>
      </w:r>
      <w:r w:rsidR="00CC768A">
        <w:rPr>
          <w:rFonts w:ascii="Verdana" w:hAnsi="Verdana"/>
          <w:sz w:val="20"/>
          <w:szCs w:val="20"/>
          <w:lang w:val="es-ES"/>
        </w:rPr>
        <w:t xml:space="preserve"> entonces</w:t>
      </w:r>
      <w:r w:rsidRPr="00B660E9">
        <w:rPr>
          <w:rFonts w:ascii="Verdana" w:hAnsi="Verdana"/>
          <w:sz w:val="20"/>
          <w:szCs w:val="20"/>
          <w:lang w:val="es-ES"/>
        </w:rPr>
        <w:t xml:space="preserve"> </w:t>
      </w:r>
      <w:r w:rsidRPr="00B660E9">
        <w:rPr>
          <w:rFonts w:ascii="Verdana" w:eastAsia="Calibri" w:hAnsi="Verdana" w:cs="Verdana"/>
          <w:color w:val="000000"/>
          <w:sz w:val="20"/>
          <w:szCs w:val="20"/>
          <w:lang w:val="es-CR"/>
        </w:rPr>
        <w:t>Fiscal</w:t>
      </w:r>
      <w:r w:rsidRPr="00B660E9">
        <w:rPr>
          <w:rFonts w:ascii="Verdana" w:hAnsi="Verdana"/>
          <w:sz w:val="20"/>
          <w:szCs w:val="20"/>
        </w:rPr>
        <w:t xml:space="preserve"> </w:t>
      </w:r>
      <w:r w:rsidR="007A40F2">
        <w:rPr>
          <w:rFonts w:ascii="Verdana" w:hAnsi="Verdana"/>
          <w:sz w:val="20"/>
          <w:szCs w:val="20"/>
        </w:rPr>
        <w:t xml:space="preserve">Juan Francisco </w:t>
      </w:r>
      <w:r w:rsidRPr="00B660E9">
        <w:rPr>
          <w:rFonts w:ascii="Verdana" w:eastAsia="Calibri" w:hAnsi="Verdana" w:cs="Verdana"/>
          <w:color w:val="000000"/>
          <w:sz w:val="20"/>
          <w:szCs w:val="20"/>
          <w:lang w:val="es-CR"/>
        </w:rPr>
        <w:t>Sandoval Alfaro</w:t>
      </w:r>
      <w:r w:rsidR="00C05FD4" w:rsidRPr="00B660E9">
        <w:rPr>
          <w:rFonts w:ascii="Verdana" w:eastAsia="Times" w:hAnsi="Verdana"/>
          <w:sz w:val="20"/>
          <w:szCs w:val="20"/>
          <w:lang w:val="es-CR"/>
        </w:rPr>
        <w:t xml:space="preserve"> </w:t>
      </w:r>
      <w:r w:rsidRPr="00B660E9">
        <w:rPr>
          <w:rFonts w:ascii="Verdana" w:eastAsia="Times" w:hAnsi="Verdana"/>
          <w:sz w:val="20"/>
          <w:szCs w:val="20"/>
          <w:lang w:val="es-CR"/>
        </w:rPr>
        <w:t>“</w:t>
      </w:r>
      <w:r w:rsidR="00FB50B7" w:rsidRPr="00B660E9">
        <w:rPr>
          <w:rFonts w:ascii="Verdana" w:eastAsia="Times" w:hAnsi="Verdana"/>
          <w:sz w:val="20"/>
          <w:szCs w:val="20"/>
          <w:lang w:val="es-CR"/>
        </w:rPr>
        <w:t xml:space="preserve">objetó una instrucción verbal emitida por ella”. </w:t>
      </w:r>
      <w:r w:rsidR="002775A1">
        <w:rPr>
          <w:rFonts w:ascii="Verdana" w:eastAsia="Times" w:hAnsi="Verdana"/>
          <w:sz w:val="20"/>
          <w:szCs w:val="20"/>
          <w:lang w:val="es-CR"/>
        </w:rPr>
        <w:t>Las representantes explicaron que t</w:t>
      </w:r>
      <w:r w:rsidRPr="00B660E9">
        <w:rPr>
          <w:rFonts w:ascii="Verdana" w:eastAsia="Times" w:hAnsi="Verdana"/>
          <w:sz w:val="20"/>
          <w:szCs w:val="20"/>
          <w:lang w:val="es-CR"/>
        </w:rPr>
        <w:t>a</w:t>
      </w:r>
      <w:r w:rsidR="00AC4D6D" w:rsidRPr="00B660E9">
        <w:rPr>
          <w:rFonts w:ascii="Verdana" w:eastAsia="Times" w:hAnsi="Verdana"/>
          <w:sz w:val="20"/>
          <w:szCs w:val="20"/>
          <w:lang w:val="es-CR"/>
        </w:rPr>
        <w:t>l</w:t>
      </w:r>
      <w:r w:rsidRPr="00B660E9">
        <w:rPr>
          <w:rFonts w:ascii="Verdana" w:eastAsia="Times" w:hAnsi="Verdana"/>
          <w:sz w:val="20"/>
          <w:szCs w:val="20"/>
          <w:lang w:val="es-CR"/>
        </w:rPr>
        <w:t xml:space="preserve"> objeción “</w:t>
      </w:r>
      <w:r w:rsidR="00FB50B7" w:rsidRPr="00B660E9">
        <w:rPr>
          <w:rFonts w:ascii="Verdana" w:eastAsia="Times" w:hAnsi="Verdana"/>
          <w:sz w:val="20"/>
          <w:szCs w:val="20"/>
          <w:lang w:val="es-CR"/>
        </w:rPr>
        <w:t xml:space="preserve">se fundamentó en el hecho </w:t>
      </w:r>
      <w:r w:rsidR="00EE4A73">
        <w:rPr>
          <w:rFonts w:ascii="Verdana" w:eastAsia="Times" w:hAnsi="Verdana"/>
          <w:sz w:val="20"/>
          <w:szCs w:val="20"/>
          <w:lang w:val="es-CR"/>
        </w:rPr>
        <w:t xml:space="preserve">[de] </w:t>
      </w:r>
      <w:r w:rsidR="00FB50B7" w:rsidRPr="00B660E9">
        <w:rPr>
          <w:rFonts w:ascii="Verdana" w:eastAsia="Times" w:hAnsi="Verdana"/>
          <w:sz w:val="20"/>
          <w:szCs w:val="20"/>
          <w:lang w:val="es-CR"/>
        </w:rPr>
        <w:t xml:space="preserve">que la </w:t>
      </w:r>
      <w:proofErr w:type="gramStart"/>
      <w:r w:rsidR="00FB50B7" w:rsidRPr="00B660E9">
        <w:rPr>
          <w:rFonts w:ascii="Verdana" w:eastAsia="Times" w:hAnsi="Verdana"/>
          <w:sz w:val="20"/>
          <w:szCs w:val="20"/>
          <w:lang w:val="es-CR"/>
        </w:rPr>
        <w:t>Fiscal General</w:t>
      </w:r>
      <w:proofErr w:type="gramEnd"/>
      <w:r w:rsidR="00FB50B7" w:rsidRPr="00B660E9">
        <w:rPr>
          <w:rFonts w:ascii="Verdana" w:eastAsia="Times" w:hAnsi="Verdana"/>
          <w:sz w:val="20"/>
          <w:szCs w:val="20"/>
          <w:lang w:val="es-CR"/>
        </w:rPr>
        <w:t xml:space="preserve"> le dio instrucciones verbales para entregar un expediente a </w:t>
      </w:r>
      <w:r w:rsidR="00251BB3">
        <w:rPr>
          <w:rFonts w:ascii="Verdana" w:eastAsia="Times" w:hAnsi="Verdana"/>
          <w:sz w:val="20"/>
          <w:szCs w:val="20"/>
          <w:lang w:val="es-CR"/>
        </w:rPr>
        <w:t>[</w:t>
      </w:r>
      <w:r w:rsidR="00AE5E5A" w:rsidRPr="00B660E9">
        <w:rPr>
          <w:rFonts w:ascii="Verdana" w:eastAsia="Times" w:hAnsi="Verdana"/>
          <w:sz w:val="20"/>
          <w:szCs w:val="20"/>
          <w:lang w:val="es-CR"/>
        </w:rPr>
        <w:t>una</w:t>
      </w:r>
      <w:r w:rsidR="00251BB3">
        <w:rPr>
          <w:rFonts w:ascii="Verdana" w:eastAsia="Times" w:hAnsi="Verdana"/>
          <w:sz w:val="20"/>
          <w:szCs w:val="20"/>
          <w:lang w:val="es-CR"/>
        </w:rPr>
        <w:t>]</w:t>
      </w:r>
      <w:r w:rsidR="00FB50B7" w:rsidRPr="00B660E9">
        <w:rPr>
          <w:rFonts w:ascii="Verdana" w:eastAsia="Times" w:hAnsi="Verdana"/>
          <w:sz w:val="20"/>
          <w:szCs w:val="20"/>
          <w:lang w:val="es-CR"/>
        </w:rPr>
        <w:t xml:space="preserve"> fiscal </w:t>
      </w:r>
      <w:r w:rsidR="001C1651">
        <w:rPr>
          <w:rFonts w:ascii="Verdana" w:eastAsia="Times" w:hAnsi="Verdana"/>
          <w:sz w:val="20"/>
          <w:szCs w:val="20"/>
          <w:lang w:val="es-CR"/>
        </w:rPr>
        <w:t xml:space="preserve">[…] </w:t>
      </w:r>
      <w:r w:rsidR="00FB50B7" w:rsidRPr="00B660E9">
        <w:rPr>
          <w:rFonts w:ascii="Verdana" w:eastAsia="Times" w:hAnsi="Verdana"/>
          <w:sz w:val="20"/>
          <w:szCs w:val="20"/>
          <w:lang w:val="es-CR"/>
        </w:rPr>
        <w:t xml:space="preserve">que tenía conflicto de interés para tramitar </w:t>
      </w:r>
      <w:r w:rsidR="00AE5E5A" w:rsidRPr="00B660E9">
        <w:rPr>
          <w:rFonts w:ascii="Verdana" w:eastAsia="Times" w:hAnsi="Verdana"/>
          <w:sz w:val="20"/>
          <w:szCs w:val="20"/>
          <w:lang w:val="es-CR"/>
        </w:rPr>
        <w:t>[un]</w:t>
      </w:r>
      <w:r w:rsidR="00EE4A73">
        <w:rPr>
          <w:rFonts w:ascii="Verdana" w:eastAsia="Times" w:hAnsi="Verdana"/>
          <w:sz w:val="20"/>
          <w:szCs w:val="20"/>
          <w:lang w:val="es-CR"/>
        </w:rPr>
        <w:t xml:space="preserve"> […]</w:t>
      </w:r>
      <w:r w:rsidR="00FB50B7" w:rsidRPr="00B660E9">
        <w:rPr>
          <w:rFonts w:ascii="Verdana" w:eastAsia="Times" w:hAnsi="Verdana"/>
          <w:sz w:val="20"/>
          <w:szCs w:val="20"/>
          <w:lang w:val="es-CR"/>
        </w:rPr>
        <w:t xml:space="preserve"> expediente de investigación, lo cual podría comprometer gravemente los resultados de la misma y dar lugar a impunidad”</w:t>
      </w:r>
      <w:r w:rsidR="00FB50B7" w:rsidRPr="00B660E9">
        <w:rPr>
          <w:rFonts w:ascii="Verdana" w:hAnsi="Verdana"/>
          <w:sz w:val="20"/>
          <w:szCs w:val="20"/>
          <w:vertAlign w:val="superscript"/>
          <w:lang w:val="es-CR"/>
        </w:rPr>
        <w:footnoteReference w:id="12"/>
      </w:r>
      <w:r w:rsidR="00FB50B7" w:rsidRPr="00B660E9">
        <w:rPr>
          <w:rFonts w:ascii="Verdana" w:eastAsia="Times" w:hAnsi="Verdana"/>
          <w:sz w:val="20"/>
          <w:szCs w:val="20"/>
          <w:lang w:val="es-CR"/>
        </w:rPr>
        <w:t xml:space="preserve">. </w:t>
      </w:r>
      <w:r w:rsidR="002775A1">
        <w:rPr>
          <w:rFonts w:ascii="Verdana" w:eastAsia="Times" w:hAnsi="Verdana"/>
          <w:sz w:val="20"/>
          <w:szCs w:val="20"/>
          <w:lang w:val="es-CR"/>
        </w:rPr>
        <w:t xml:space="preserve">Según </w:t>
      </w:r>
      <w:r w:rsidR="00BC1BB7">
        <w:rPr>
          <w:rFonts w:ascii="Verdana" w:eastAsia="Times" w:hAnsi="Verdana"/>
          <w:sz w:val="20"/>
          <w:szCs w:val="20"/>
          <w:lang w:val="es-CR"/>
        </w:rPr>
        <w:t xml:space="preserve">las representantes, </w:t>
      </w:r>
      <w:r w:rsidR="00FB50B7" w:rsidRPr="00B660E9">
        <w:rPr>
          <w:rFonts w:ascii="Verdana" w:eastAsia="Times" w:hAnsi="Verdana"/>
          <w:sz w:val="20"/>
          <w:szCs w:val="20"/>
          <w:lang w:val="es-CR"/>
        </w:rPr>
        <w:t xml:space="preserve">lo procedente era que la </w:t>
      </w:r>
      <w:proofErr w:type="gramStart"/>
      <w:r w:rsidR="00FB50B7" w:rsidRPr="00B660E9">
        <w:rPr>
          <w:rFonts w:ascii="Verdana" w:eastAsia="Times" w:hAnsi="Verdana"/>
          <w:sz w:val="20"/>
          <w:szCs w:val="20"/>
          <w:lang w:val="es-CR"/>
        </w:rPr>
        <w:t>Fiscal General</w:t>
      </w:r>
      <w:proofErr w:type="gramEnd"/>
      <w:r w:rsidR="00FB50B7" w:rsidRPr="00B660E9">
        <w:rPr>
          <w:rFonts w:ascii="Verdana" w:eastAsia="Times" w:hAnsi="Verdana"/>
          <w:sz w:val="20"/>
          <w:szCs w:val="20"/>
          <w:lang w:val="es-CR"/>
        </w:rPr>
        <w:t xml:space="preserve"> primero resolviera la objeción planteada</w:t>
      </w:r>
      <w:r w:rsidR="00087CE7">
        <w:rPr>
          <w:rFonts w:ascii="Verdana" w:eastAsia="Times" w:hAnsi="Verdana"/>
          <w:sz w:val="20"/>
          <w:szCs w:val="20"/>
          <w:lang w:val="es-CR"/>
        </w:rPr>
        <w:t xml:space="preserve">, en términos del </w:t>
      </w:r>
      <w:r w:rsidR="00AC4D6D" w:rsidRPr="00B660E9">
        <w:rPr>
          <w:rFonts w:ascii="Verdana" w:eastAsia="Times" w:hAnsi="Verdana"/>
          <w:sz w:val="20"/>
          <w:szCs w:val="20"/>
          <w:lang w:val="es-CR"/>
        </w:rPr>
        <w:t>artículo 68 de la L</w:t>
      </w:r>
      <w:r w:rsidR="00FB50B7" w:rsidRPr="00B660E9">
        <w:rPr>
          <w:rFonts w:ascii="Verdana" w:eastAsia="Times" w:hAnsi="Verdana"/>
          <w:sz w:val="20"/>
          <w:szCs w:val="20"/>
          <w:lang w:val="es-CR"/>
        </w:rPr>
        <w:t>ey Orgánica del Ministerio P</w:t>
      </w:r>
      <w:r w:rsidR="002775A1">
        <w:rPr>
          <w:rFonts w:ascii="Verdana" w:eastAsia="Times" w:hAnsi="Verdana"/>
          <w:sz w:val="20"/>
          <w:szCs w:val="20"/>
          <w:lang w:val="es-CR"/>
        </w:rPr>
        <w:t>ú</w:t>
      </w:r>
      <w:r w:rsidR="00FB50B7" w:rsidRPr="00B660E9">
        <w:rPr>
          <w:rFonts w:ascii="Verdana" w:eastAsia="Times" w:hAnsi="Verdana"/>
          <w:sz w:val="20"/>
          <w:szCs w:val="20"/>
          <w:lang w:val="es-CR"/>
        </w:rPr>
        <w:t>blico</w:t>
      </w:r>
      <w:r w:rsidR="00A93274">
        <w:rPr>
          <w:rFonts w:ascii="Verdana" w:eastAsia="Times" w:hAnsi="Verdana"/>
          <w:sz w:val="20"/>
          <w:szCs w:val="20"/>
          <w:lang w:val="es-CR"/>
        </w:rPr>
        <w:t>;</w:t>
      </w:r>
    </w:p>
    <w:p w14:paraId="1496E251" w14:textId="34C8E0C3" w:rsidR="00AC4D6D" w:rsidRPr="00B660E9" w:rsidRDefault="00FB50B7" w:rsidP="00BE0EFF">
      <w:pPr>
        <w:pStyle w:val="Prrafodelista"/>
        <w:numPr>
          <w:ilvl w:val="0"/>
          <w:numId w:val="6"/>
        </w:numPr>
        <w:spacing w:before="120" w:after="120"/>
        <w:ind w:left="851" w:hanging="425"/>
        <w:contextualSpacing w:val="0"/>
        <w:jc w:val="both"/>
        <w:rPr>
          <w:rFonts w:ascii="Verdana" w:eastAsia="Times" w:hAnsi="Verdana"/>
          <w:sz w:val="20"/>
          <w:szCs w:val="20"/>
          <w:lang w:val="es-CR"/>
        </w:rPr>
      </w:pPr>
      <w:r w:rsidRPr="00B660E9">
        <w:rPr>
          <w:rFonts w:ascii="Verdana" w:eastAsia="Times" w:hAnsi="Verdana"/>
          <w:sz w:val="20"/>
          <w:szCs w:val="20"/>
          <w:lang w:val="es-CR"/>
        </w:rPr>
        <w:t>La</w:t>
      </w:r>
      <w:r w:rsidR="00AC4D6D" w:rsidRPr="00B660E9">
        <w:rPr>
          <w:rFonts w:ascii="Verdana" w:eastAsia="Times" w:hAnsi="Verdana"/>
          <w:sz w:val="20"/>
          <w:szCs w:val="20"/>
          <w:lang w:val="es-CR"/>
        </w:rPr>
        <w:t xml:space="preserve"> decisión de la Fiscal General </w:t>
      </w:r>
      <w:r w:rsidRPr="00B660E9">
        <w:rPr>
          <w:rFonts w:ascii="Verdana" w:eastAsia="Times" w:hAnsi="Verdana"/>
          <w:sz w:val="20"/>
          <w:szCs w:val="20"/>
          <w:lang w:val="es-CR"/>
        </w:rPr>
        <w:t>de destituir del cargo al</w:t>
      </w:r>
      <w:r w:rsidR="00013BBD" w:rsidRPr="00B660E9">
        <w:rPr>
          <w:rFonts w:ascii="Verdana" w:eastAsia="Times" w:hAnsi="Verdana"/>
          <w:sz w:val="20"/>
          <w:szCs w:val="20"/>
          <w:lang w:val="es-CR"/>
        </w:rPr>
        <w:t xml:space="preserve"> </w:t>
      </w:r>
      <w:r w:rsidR="00CC768A">
        <w:rPr>
          <w:rFonts w:ascii="Verdana" w:eastAsia="Times" w:hAnsi="Verdana"/>
          <w:sz w:val="20"/>
          <w:szCs w:val="20"/>
          <w:lang w:val="es-CR"/>
        </w:rPr>
        <w:t xml:space="preserve">entonces </w:t>
      </w:r>
      <w:r w:rsidR="00AC4D6D" w:rsidRPr="00B660E9">
        <w:rPr>
          <w:rFonts w:ascii="Verdana" w:eastAsia="Times" w:hAnsi="Verdana"/>
          <w:sz w:val="20"/>
          <w:szCs w:val="20"/>
          <w:lang w:val="es-CR"/>
        </w:rPr>
        <w:t xml:space="preserve">Fiscal </w:t>
      </w:r>
      <w:r w:rsidR="00AC4D6D" w:rsidRPr="00B660E9">
        <w:rPr>
          <w:rFonts w:ascii="Verdana" w:eastAsia="Calibri" w:hAnsi="Verdana" w:cs="Verdana"/>
          <w:color w:val="000000"/>
          <w:sz w:val="20"/>
          <w:szCs w:val="20"/>
          <w:lang w:val="es-CR"/>
        </w:rPr>
        <w:t>Sandoval Alfaro</w:t>
      </w:r>
      <w:r w:rsidR="00AC4D6D" w:rsidRPr="00B660E9">
        <w:rPr>
          <w:rFonts w:ascii="Verdana" w:eastAsia="Times" w:hAnsi="Verdana"/>
          <w:sz w:val="20"/>
          <w:szCs w:val="20"/>
          <w:lang w:val="es-CR"/>
        </w:rPr>
        <w:t xml:space="preserve"> “</w:t>
      </w:r>
      <w:r w:rsidR="00172711">
        <w:rPr>
          <w:rFonts w:ascii="Verdana" w:eastAsia="Times" w:hAnsi="Verdana"/>
          <w:sz w:val="20"/>
          <w:szCs w:val="20"/>
          <w:lang w:val="es-CR"/>
        </w:rPr>
        <w:t>[tendría]</w:t>
      </w:r>
      <w:r w:rsidR="00172711" w:rsidRPr="00B660E9">
        <w:rPr>
          <w:rFonts w:ascii="Verdana" w:eastAsia="Times" w:hAnsi="Verdana"/>
          <w:sz w:val="20"/>
          <w:szCs w:val="20"/>
          <w:lang w:val="es-CR"/>
        </w:rPr>
        <w:t xml:space="preserve"> </w:t>
      </w:r>
      <w:r w:rsidRPr="00B660E9">
        <w:rPr>
          <w:rFonts w:ascii="Verdana" w:eastAsia="Times" w:hAnsi="Verdana"/>
          <w:sz w:val="20"/>
          <w:szCs w:val="20"/>
          <w:lang w:val="es-CR"/>
        </w:rPr>
        <w:t xml:space="preserve">como objetivo obstruir las investigaciones penales y evitar que personas vinculadas al gobierno y que han participado en diversos actos delictivos, específicamente, en el caso de las presentes ejecuciones </w:t>
      </w:r>
      <w:proofErr w:type="gramStart"/>
      <w:r w:rsidRPr="00B660E9">
        <w:rPr>
          <w:rFonts w:ascii="Verdana" w:eastAsia="Times" w:hAnsi="Verdana"/>
          <w:sz w:val="20"/>
          <w:szCs w:val="20"/>
          <w:lang w:val="es-CR"/>
        </w:rPr>
        <w:t>extrajudiciales</w:t>
      </w:r>
      <w:r w:rsidR="00AC4D6D" w:rsidRPr="00B660E9">
        <w:rPr>
          <w:rFonts w:ascii="Verdana" w:eastAsia="Times" w:hAnsi="Verdana"/>
          <w:sz w:val="20"/>
          <w:szCs w:val="20"/>
          <w:lang w:val="es-CR"/>
        </w:rPr>
        <w:t>[</w:t>
      </w:r>
      <w:proofErr w:type="gramEnd"/>
      <w:r w:rsidR="00AC4D6D" w:rsidRPr="00B660E9">
        <w:rPr>
          <w:rFonts w:ascii="Verdana" w:eastAsia="Times" w:hAnsi="Verdana"/>
          <w:sz w:val="20"/>
          <w:szCs w:val="20"/>
          <w:lang w:val="es-CR"/>
        </w:rPr>
        <w:t>,]</w:t>
      </w:r>
      <w:r w:rsidRPr="00B660E9">
        <w:rPr>
          <w:rFonts w:ascii="Verdana" w:eastAsia="Times" w:hAnsi="Verdana"/>
          <w:sz w:val="20"/>
          <w:szCs w:val="20"/>
          <w:lang w:val="es-CR"/>
        </w:rPr>
        <w:t xml:space="preserve"> puedan ser sometidas a investigación”</w:t>
      </w:r>
      <w:r w:rsidR="00A93274">
        <w:rPr>
          <w:rFonts w:ascii="Verdana" w:eastAsia="Times" w:hAnsi="Verdana"/>
          <w:sz w:val="20"/>
          <w:szCs w:val="20"/>
          <w:lang w:val="es-CR"/>
        </w:rPr>
        <w:t>;</w:t>
      </w:r>
    </w:p>
    <w:p w14:paraId="7B74F565" w14:textId="7C8E6396" w:rsidR="0034151B" w:rsidRPr="00B660E9" w:rsidRDefault="00FB50B7" w:rsidP="00BE0EFF">
      <w:pPr>
        <w:pStyle w:val="Prrafodelista"/>
        <w:numPr>
          <w:ilvl w:val="0"/>
          <w:numId w:val="6"/>
        </w:numPr>
        <w:spacing w:before="120" w:after="120"/>
        <w:ind w:left="851" w:hanging="425"/>
        <w:contextualSpacing w:val="0"/>
        <w:jc w:val="both"/>
        <w:rPr>
          <w:rFonts w:ascii="Verdana" w:eastAsia="Times" w:hAnsi="Verdana"/>
          <w:sz w:val="20"/>
          <w:szCs w:val="20"/>
          <w:lang w:val="es-CR"/>
        </w:rPr>
      </w:pPr>
      <w:r w:rsidRPr="00B660E9">
        <w:rPr>
          <w:rFonts w:ascii="Verdana" w:eastAsia="Times" w:hAnsi="Verdana"/>
          <w:sz w:val="20"/>
          <w:szCs w:val="20"/>
          <w:lang w:val="es-CR"/>
        </w:rPr>
        <w:t>Al ser d</w:t>
      </w:r>
      <w:r w:rsidR="00013BBD" w:rsidRPr="00B660E9">
        <w:rPr>
          <w:rFonts w:ascii="Verdana" w:eastAsia="Times" w:hAnsi="Verdana"/>
          <w:sz w:val="20"/>
          <w:szCs w:val="20"/>
          <w:lang w:val="es-CR"/>
        </w:rPr>
        <w:t xml:space="preserve">estituido de su cargo, al </w:t>
      </w:r>
      <w:r w:rsidR="00927070" w:rsidRPr="00B660E9">
        <w:rPr>
          <w:rFonts w:ascii="Verdana" w:eastAsia="Times" w:hAnsi="Verdana"/>
          <w:sz w:val="20"/>
          <w:szCs w:val="20"/>
          <w:lang w:val="es-CR"/>
        </w:rPr>
        <w:t xml:space="preserve">señor </w:t>
      </w:r>
      <w:r w:rsidR="00927070" w:rsidRPr="00B660E9">
        <w:rPr>
          <w:rFonts w:ascii="Verdana" w:eastAsia="Calibri" w:hAnsi="Verdana" w:cs="Verdana"/>
          <w:color w:val="000000"/>
          <w:sz w:val="20"/>
          <w:szCs w:val="20"/>
          <w:lang w:val="es-CR"/>
        </w:rPr>
        <w:t>Juan Francisco Sandoval Alfaro</w:t>
      </w:r>
      <w:r w:rsidR="00927070" w:rsidRPr="00B660E9">
        <w:rPr>
          <w:rFonts w:ascii="Verdana" w:eastAsia="Times" w:hAnsi="Verdana"/>
          <w:sz w:val="20"/>
          <w:szCs w:val="20"/>
          <w:lang w:val="es-CR"/>
        </w:rPr>
        <w:t xml:space="preserve"> </w:t>
      </w:r>
      <w:r w:rsidRPr="00B660E9">
        <w:rPr>
          <w:rFonts w:ascii="Verdana" w:eastAsia="Times" w:hAnsi="Verdana"/>
          <w:sz w:val="20"/>
          <w:szCs w:val="20"/>
          <w:lang w:val="es-CR"/>
        </w:rPr>
        <w:t xml:space="preserve">se le </w:t>
      </w:r>
      <w:r w:rsidR="002D0D98">
        <w:rPr>
          <w:rFonts w:ascii="Verdana" w:eastAsia="Times" w:hAnsi="Verdana"/>
          <w:sz w:val="20"/>
          <w:szCs w:val="20"/>
          <w:lang w:val="es-CR"/>
        </w:rPr>
        <w:t>“</w:t>
      </w:r>
      <w:r w:rsidRPr="00B660E9">
        <w:rPr>
          <w:rFonts w:ascii="Verdana" w:eastAsia="Times" w:hAnsi="Verdana"/>
          <w:sz w:val="20"/>
          <w:szCs w:val="20"/>
          <w:lang w:val="es-CR"/>
        </w:rPr>
        <w:t>retiró</w:t>
      </w:r>
      <w:r w:rsidR="002D0D98">
        <w:rPr>
          <w:rFonts w:ascii="Verdana" w:eastAsia="Times" w:hAnsi="Verdana"/>
          <w:sz w:val="20"/>
          <w:szCs w:val="20"/>
          <w:lang w:val="es-CR"/>
        </w:rPr>
        <w:t>”</w:t>
      </w:r>
      <w:r w:rsidRPr="00B660E9">
        <w:rPr>
          <w:rFonts w:ascii="Verdana" w:eastAsia="Times" w:hAnsi="Verdana"/>
          <w:sz w:val="20"/>
          <w:szCs w:val="20"/>
          <w:lang w:val="es-CR"/>
        </w:rPr>
        <w:t xml:space="preserve"> la seguridad asignada</w:t>
      </w:r>
      <w:r w:rsidR="001E1DAC">
        <w:rPr>
          <w:rFonts w:ascii="Verdana" w:eastAsia="Times" w:hAnsi="Verdana"/>
          <w:sz w:val="20"/>
          <w:szCs w:val="20"/>
          <w:lang w:val="es-CR"/>
        </w:rPr>
        <w:t xml:space="preserve">, por lo que </w:t>
      </w:r>
      <w:r w:rsidR="00927070" w:rsidRPr="00B660E9">
        <w:rPr>
          <w:rFonts w:ascii="Verdana" w:eastAsia="Times" w:hAnsi="Verdana"/>
          <w:sz w:val="20"/>
          <w:szCs w:val="20"/>
          <w:lang w:val="es-CR"/>
        </w:rPr>
        <w:t>vive en el exilio</w:t>
      </w:r>
      <w:r w:rsidRPr="00B660E9">
        <w:rPr>
          <w:rFonts w:ascii="Verdana" w:eastAsia="Times" w:hAnsi="Verdana"/>
          <w:sz w:val="20"/>
          <w:szCs w:val="20"/>
          <w:lang w:val="es-CR"/>
        </w:rPr>
        <w:t xml:space="preserve">. Es el tercer caso de fiscales que </w:t>
      </w:r>
      <w:r w:rsidR="002D0D98">
        <w:rPr>
          <w:rFonts w:ascii="Verdana" w:eastAsia="Times" w:hAnsi="Verdana"/>
          <w:sz w:val="20"/>
          <w:szCs w:val="20"/>
          <w:lang w:val="es-CR"/>
        </w:rPr>
        <w:t>“</w:t>
      </w:r>
      <w:r w:rsidRPr="00B660E9">
        <w:rPr>
          <w:rFonts w:ascii="Verdana" w:eastAsia="Times" w:hAnsi="Verdana"/>
          <w:sz w:val="20"/>
          <w:szCs w:val="20"/>
          <w:lang w:val="es-CR"/>
        </w:rPr>
        <w:t>han tenido que abandonar sus labores y busca</w:t>
      </w:r>
      <w:r w:rsidR="00785FC6">
        <w:rPr>
          <w:rFonts w:ascii="Verdana" w:eastAsia="Times" w:hAnsi="Verdana"/>
          <w:sz w:val="20"/>
          <w:szCs w:val="20"/>
          <w:lang w:val="es-CR"/>
        </w:rPr>
        <w:t>r asilo político en el exterior</w:t>
      </w:r>
      <w:r w:rsidR="002D0D98">
        <w:rPr>
          <w:rFonts w:ascii="Verdana" w:eastAsia="Times" w:hAnsi="Verdana"/>
          <w:sz w:val="20"/>
          <w:szCs w:val="20"/>
          <w:lang w:val="es-CR"/>
        </w:rPr>
        <w:t>”</w:t>
      </w:r>
      <w:r w:rsidR="00A93274">
        <w:rPr>
          <w:rFonts w:ascii="Verdana" w:eastAsia="Times" w:hAnsi="Verdana"/>
          <w:sz w:val="20"/>
          <w:szCs w:val="20"/>
          <w:lang w:val="es-CR"/>
        </w:rPr>
        <w:t>;</w:t>
      </w:r>
    </w:p>
    <w:p w14:paraId="50F717D4" w14:textId="080FD6D8" w:rsidR="00785FC6" w:rsidRPr="00785FC6" w:rsidRDefault="0034151B" w:rsidP="00785FC6">
      <w:pPr>
        <w:pStyle w:val="Prrafodelista"/>
        <w:numPr>
          <w:ilvl w:val="0"/>
          <w:numId w:val="6"/>
        </w:numPr>
        <w:spacing w:before="120" w:after="120"/>
        <w:ind w:left="851" w:hanging="425"/>
        <w:contextualSpacing w:val="0"/>
        <w:jc w:val="both"/>
        <w:rPr>
          <w:rFonts w:ascii="Verdana" w:eastAsia="Times" w:hAnsi="Verdana"/>
          <w:sz w:val="20"/>
          <w:szCs w:val="20"/>
          <w:lang w:val="es-CR"/>
        </w:rPr>
      </w:pPr>
      <w:r w:rsidRPr="00B660E9">
        <w:rPr>
          <w:rFonts w:ascii="Verdana" w:eastAsia="Times" w:hAnsi="Verdana"/>
          <w:bCs/>
          <w:sz w:val="20"/>
          <w:szCs w:val="20"/>
          <w:lang w:val="es-CR"/>
        </w:rPr>
        <w:t xml:space="preserve">Derivado de la separación “ilegal y arbitraria” del cargo del señor </w:t>
      </w:r>
      <w:r w:rsidRPr="00B660E9">
        <w:rPr>
          <w:rFonts w:ascii="Verdana" w:eastAsia="Calibri" w:hAnsi="Verdana" w:cs="Verdana"/>
          <w:color w:val="000000"/>
          <w:sz w:val="20"/>
          <w:szCs w:val="20"/>
          <w:lang w:val="es-CR"/>
        </w:rPr>
        <w:t>Sandoval Alfaro</w:t>
      </w:r>
      <w:r w:rsidRPr="00B660E9">
        <w:rPr>
          <w:rFonts w:ascii="Verdana" w:eastAsia="Times" w:hAnsi="Verdana"/>
          <w:bCs/>
          <w:sz w:val="20"/>
          <w:szCs w:val="20"/>
          <w:lang w:val="es-CR"/>
        </w:rPr>
        <w:t>, e</w:t>
      </w:r>
      <w:r w:rsidR="00A926EF" w:rsidRPr="00B660E9">
        <w:rPr>
          <w:rFonts w:ascii="Verdana" w:eastAsia="Times" w:hAnsi="Verdana"/>
          <w:bCs/>
          <w:sz w:val="20"/>
          <w:szCs w:val="20"/>
          <w:lang w:val="es-CR"/>
        </w:rPr>
        <w:t xml:space="preserve">xiste </w:t>
      </w:r>
      <w:r w:rsidR="00927070" w:rsidRPr="00B660E9">
        <w:rPr>
          <w:rFonts w:ascii="Verdana" w:eastAsia="Times" w:hAnsi="Verdana"/>
          <w:bCs/>
          <w:sz w:val="20"/>
          <w:szCs w:val="20"/>
          <w:lang w:val="es-CR"/>
        </w:rPr>
        <w:t>el</w:t>
      </w:r>
      <w:r w:rsidR="00A926EF" w:rsidRPr="00B660E9">
        <w:rPr>
          <w:rFonts w:ascii="Verdana" w:eastAsia="Times" w:hAnsi="Verdana"/>
          <w:bCs/>
          <w:sz w:val="20"/>
          <w:szCs w:val="20"/>
          <w:lang w:val="es-CR"/>
        </w:rPr>
        <w:t xml:space="preserve"> potencial </w:t>
      </w:r>
      <w:r w:rsidR="00927070" w:rsidRPr="00B660E9">
        <w:rPr>
          <w:rFonts w:ascii="Verdana" w:eastAsia="Times" w:hAnsi="Verdana"/>
          <w:bCs/>
          <w:sz w:val="20"/>
          <w:szCs w:val="20"/>
          <w:lang w:val="es-CR"/>
        </w:rPr>
        <w:t xml:space="preserve">riesgo, una </w:t>
      </w:r>
      <w:r w:rsidR="00927070" w:rsidRPr="00B660E9">
        <w:rPr>
          <w:rFonts w:ascii="Verdana" w:eastAsia="Times" w:hAnsi="Verdana"/>
          <w:sz w:val="20"/>
          <w:szCs w:val="20"/>
          <w:lang w:val="es-CR"/>
        </w:rPr>
        <w:t>“amenaza real e inminente”, de que el Fiscal “B” y el Auxiliar Fiscal “C” sean “arbitraria e ilegalmente removidos de sus cargos”</w:t>
      </w:r>
      <w:r w:rsidR="00A926EF" w:rsidRPr="00B660E9">
        <w:rPr>
          <w:rFonts w:ascii="Verdana" w:eastAsia="Times" w:hAnsi="Verdana"/>
          <w:bCs/>
          <w:sz w:val="20"/>
          <w:szCs w:val="20"/>
          <w:lang w:val="es-CR"/>
        </w:rPr>
        <w:t xml:space="preserve">. Siendo que “[l]a intencionalidad de las destituciones arbitrarias </w:t>
      </w:r>
      <w:proofErr w:type="spellStart"/>
      <w:r w:rsidR="00A926EF" w:rsidRPr="00B660E9">
        <w:rPr>
          <w:rFonts w:ascii="Verdana" w:eastAsia="Times" w:hAnsi="Verdana"/>
          <w:bCs/>
          <w:sz w:val="20"/>
          <w:szCs w:val="20"/>
          <w:lang w:val="es-CR"/>
        </w:rPr>
        <w:t>est</w:t>
      </w:r>
      <w:proofErr w:type="spellEnd"/>
      <w:r w:rsidR="0006156B">
        <w:rPr>
          <w:rFonts w:ascii="Verdana" w:eastAsia="Times" w:hAnsi="Verdana"/>
          <w:bCs/>
          <w:sz w:val="20"/>
          <w:szCs w:val="20"/>
          <w:lang w:val="es-CR"/>
        </w:rPr>
        <w:t>[</w:t>
      </w:r>
      <w:proofErr w:type="spellStart"/>
      <w:r w:rsidR="0006156B">
        <w:rPr>
          <w:rFonts w:ascii="Verdana" w:eastAsia="Times" w:hAnsi="Verdana"/>
          <w:bCs/>
          <w:sz w:val="20"/>
          <w:szCs w:val="20"/>
          <w:lang w:val="es-CR"/>
        </w:rPr>
        <w:t>arían</w:t>
      </w:r>
      <w:proofErr w:type="spellEnd"/>
      <w:r w:rsidR="0006156B">
        <w:rPr>
          <w:rFonts w:ascii="Verdana" w:eastAsia="Times" w:hAnsi="Verdana"/>
          <w:bCs/>
          <w:sz w:val="20"/>
          <w:szCs w:val="20"/>
          <w:lang w:val="es-CR"/>
        </w:rPr>
        <w:t>]</w:t>
      </w:r>
      <w:r w:rsidR="00A926EF" w:rsidRPr="00B660E9">
        <w:rPr>
          <w:rFonts w:ascii="Verdana" w:eastAsia="Times" w:hAnsi="Verdana"/>
          <w:bCs/>
          <w:sz w:val="20"/>
          <w:szCs w:val="20"/>
          <w:lang w:val="es-CR"/>
        </w:rPr>
        <w:t xml:space="preserve"> encaminadas a impedir el avance de las investigaciones desarrolladas por la FECI, que pudieran afectar a funcionarios públicos del actual </w:t>
      </w:r>
      <w:proofErr w:type="gramStart"/>
      <w:r w:rsidR="00A926EF" w:rsidRPr="00B660E9">
        <w:rPr>
          <w:rFonts w:ascii="Verdana" w:eastAsia="Times" w:hAnsi="Verdana"/>
          <w:bCs/>
          <w:sz w:val="20"/>
          <w:szCs w:val="20"/>
          <w:lang w:val="es-CR"/>
        </w:rPr>
        <w:t>gobierno</w:t>
      </w:r>
      <w:r w:rsidR="002D0D98">
        <w:rPr>
          <w:rFonts w:ascii="Verdana" w:eastAsia="Times" w:hAnsi="Verdana"/>
          <w:bCs/>
          <w:sz w:val="20"/>
          <w:szCs w:val="20"/>
          <w:lang w:val="es-CR"/>
        </w:rPr>
        <w:t>[</w:t>
      </w:r>
      <w:proofErr w:type="gramEnd"/>
      <w:r w:rsidR="002D0D98">
        <w:rPr>
          <w:rFonts w:ascii="Verdana" w:eastAsia="Times" w:hAnsi="Verdana"/>
          <w:bCs/>
          <w:sz w:val="20"/>
          <w:szCs w:val="20"/>
          <w:lang w:val="es-CR"/>
        </w:rPr>
        <w:t>,]</w:t>
      </w:r>
      <w:r w:rsidR="00A926EF" w:rsidRPr="00B660E9">
        <w:rPr>
          <w:rFonts w:ascii="Verdana" w:eastAsia="Times" w:hAnsi="Verdana"/>
          <w:bCs/>
          <w:sz w:val="20"/>
          <w:szCs w:val="20"/>
          <w:lang w:val="es-CR"/>
        </w:rPr>
        <w:t xml:space="preserve"> especialmente aquellos que tuvieron participación en actividades de ejecuciones extrajudiciales en el Plan Gavilán”. </w:t>
      </w:r>
      <w:r w:rsidR="0006156B">
        <w:rPr>
          <w:rFonts w:ascii="Verdana" w:eastAsia="Times" w:hAnsi="Verdana"/>
          <w:bCs/>
          <w:sz w:val="20"/>
          <w:szCs w:val="20"/>
          <w:lang w:val="es-CR"/>
        </w:rPr>
        <w:t xml:space="preserve">A criterio de las representantes, </w:t>
      </w:r>
      <w:r w:rsidR="00A926EF" w:rsidRPr="00B660E9">
        <w:rPr>
          <w:rFonts w:ascii="Verdana" w:eastAsia="Times" w:hAnsi="Verdana"/>
          <w:bCs/>
          <w:sz w:val="20"/>
          <w:szCs w:val="20"/>
          <w:lang w:val="es-CR"/>
        </w:rPr>
        <w:t>“lo más grave es el mensaje de intimidación que se transmitiría al resto de fiscales del Ministerio P</w:t>
      </w:r>
      <w:r w:rsidR="00502527">
        <w:rPr>
          <w:rFonts w:ascii="Verdana" w:eastAsia="Times" w:hAnsi="Verdana"/>
          <w:bCs/>
          <w:sz w:val="20"/>
          <w:szCs w:val="20"/>
          <w:lang w:val="es-CR"/>
        </w:rPr>
        <w:t>[ú]</w:t>
      </w:r>
      <w:proofErr w:type="spellStart"/>
      <w:r w:rsidR="00A926EF" w:rsidRPr="00B660E9">
        <w:rPr>
          <w:rFonts w:ascii="Verdana" w:eastAsia="Times" w:hAnsi="Verdana"/>
          <w:bCs/>
          <w:sz w:val="20"/>
          <w:szCs w:val="20"/>
          <w:lang w:val="es-CR"/>
        </w:rPr>
        <w:t>blico</w:t>
      </w:r>
      <w:proofErr w:type="spellEnd"/>
      <w:r w:rsidR="00A926EF" w:rsidRPr="00B660E9">
        <w:rPr>
          <w:rFonts w:ascii="Verdana" w:eastAsia="Times" w:hAnsi="Verdana"/>
          <w:bCs/>
          <w:sz w:val="20"/>
          <w:szCs w:val="20"/>
          <w:lang w:val="es-CR"/>
        </w:rPr>
        <w:t xml:space="preserve"> en el sentido que pueden ser destituidos arbitrariamente por cumplir su mandato de investigación en ese marco, </w:t>
      </w:r>
      <w:r w:rsidR="0006156B">
        <w:rPr>
          <w:rFonts w:ascii="Verdana" w:eastAsia="Times" w:hAnsi="Verdana"/>
          <w:bCs/>
          <w:sz w:val="20"/>
          <w:szCs w:val="20"/>
          <w:lang w:val="es-CR"/>
        </w:rPr>
        <w:t xml:space="preserve">[por lo que] </w:t>
      </w:r>
      <w:r w:rsidR="00A926EF" w:rsidRPr="00B660E9">
        <w:rPr>
          <w:rFonts w:ascii="Verdana" w:eastAsia="Times" w:hAnsi="Verdana"/>
          <w:bCs/>
          <w:sz w:val="20"/>
          <w:szCs w:val="20"/>
          <w:lang w:val="es-CR"/>
        </w:rPr>
        <w:t>existe un grave riesgo a la independencia y estabilidad fiscal que compromete las posibilidades de desarrollar investigaciones adecuadas en el caso Valenzuela Ávila”</w:t>
      </w:r>
      <w:r w:rsidR="00A93274">
        <w:rPr>
          <w:rFonts w:ascii="Verdana" w:eastAsia="Times" w:hAnsi="Verdana"/>
          <w:bCs/>
          <w:sz w:val="20"/>
          <w:szCs w:val="20"/>
          <w:lang w:val="es-CR"/>
        </w:rPr>
        <w:t>, y</w:t>
      </w:r>
    </w:p>
    <w:p w14:paraId="325A0ED6" w14:textId="5EF504F3" w:rsidR="00A21775" w:rsidRPr="00785FC6" w:rsidRDefault="006E2FEA" w:rsidP="00785FC6">
      <w:pPr>
        <w:pStyle w:val="Prrafodelista"/>
        <w:numPr>
          <w:ilvl w:val="0"/>
          <w:numId w:val="6"/>
        </w:numPr>
        <w:tabs>
          <w:tab w:val="left" w:pos="993"/>
        </w:tabs>
        <w:spacing w:before="120" w:after="120"/>
        <w:ind w:left="851" w:hanging="425"/>
        <w:contextualSpacing w:val="0"/>
        <w:jc w:val="both"/>
        <w:rPr>
          <w:rFonts w:ascii="Verdana" w:eastAsia="Times" w:hAnsi="Verdana"/>
          <w:sz w:val="20"/>
          <w:szCs w:val="20"/>
          <w:lang w:val="es-CR"/>
        </w:rPr>
      </w:pPr>
      <w:r w:rsidRPr="00785FC6">
        <w:rPr>
          <w:rFonts w:ascii="Verdana" w:eastAsia="Times" w:hAnsi="Verdana"/>
          <w:sz w:val="20"/>
          <w:szCs w:val="20"/>
          <w:lang w:val="es-CR"/>
        </w:rPr>
        <w:t>E</w:t>
      </w:r>
      <w:r w:rsidR="00A926EF" w:rsidRPr="00785FC6">
        <w:rPr>
          <w:rFonts w:ascii="Verdana" w:eastAsia="Times" w:hAnsi="Verdana"/>
          <w:sz w:val="20"/>
          <w:szCs w:val="20"/>
          <w:lang w:val="es-CR"/>
        </w:rPr>
        <w:t xml:space="preserve">n los </w:t>
      </w:r>
      <w:r w:rsidR="00502527">
        <w:rPr>
          <w:rFonts w:ascii="Verdana" w:eastAsia="Times" w:hAnsi="Verdana"/>
          <w:sz w:val="20"/>
          <w:szCs w:val="20"/>
          <w:lang w:val="es-CR"/>
        </w:rPr>
        <w:t>“</w:t>
      </w:r>
      <w:r w:rsidR="00A926EF" w:rsidRPr="00785FC6">
        <w:rPr>
          <w:rFonts w:ascii="Verdana" w:eastAsia="Times" w:hAnsi="Verdana"/>
          <w:sz w:val="20"/>
          <w:szCs w:val="20"/>
          <w:lang w:val="es-CR"/>
        </w:rPr>
        <w:t>últimos meses</w:t>
      </w:r>
      <w:r w:rsidR="00502527">
        <w:rPr>
          <w:rFonts w:ascii="Verdana" w:eastAsia="Times" w:hAnsi="Verdana"/>
          <w:sz w:val="20"/>
          <w:szCs w:val="20"/>
          <w:lang w:val="es-CR"/>
        </w:rPr>
        <w:t>”</w:t>
      </w:r>
      <w:r w:rsidR="00A926EF" w:rsidRPr="00785FC6">
        <w:rPr>
          <w:rFonts w:ascii="Verdana" w:eastAsia="Times" w:hAnsi="Verdana"/>
          <w:sz w:val="20"/>
          <w:szCs w:val="20"/>
          <w:lang w:val="es-CR"/>
        </w:rPr>
        <w:t xml:space="preserve"> se ha</w:t>
      </w:r>
      <w:r w:rsidR="0006156B">
        <w:rPr>
          <w:rFonts w:ascii="Verdana" w:eastAsia="Times" w:hAnsi="Verdana"/>
          <w:sz w:val="20"/>
          <w:szCs w:val="20"/>
          <w:lang w:val="es-CR"/>
        </w:rPr>
        <w:t>bría</w:t>
      </w:r>
      <w:r w:rsidR="00A926EF" w:rsidRPr="00785FC6">
        <w:rPr>
          <w:rFonts w:ascii="Verdana" w:eastAsia="Times" w:hAnsi="Verdana"/>
          <w:sz w:val="20"/>
          <w:szCs w:val="20"/>
          <w:lang w:val="es-CR"/>
        </w:rPr>
        <w:t xml:space="preserve"> producido </w:t>
      </w:r>
      <w:r w:rsidR="0006156B">
        <w:rPr>
          <w:rFonts w:ascii="Verdana" w:eastAsia="Times" w:hAnsi="Verdana"/>
          <w:sz w:val="20"/>
          <w:szCs w:val="20"/>
          <w:lang w:val="es-CR"/>
        </w:rPr>
        <w:t>una situación de</w:t>
      </w:r>
      <w:r w:rsidR="00A926EF" w:rsidRPr="00785FC6">
        <w:rPr>
          <w:rFonts w:ascii="Verdana" w:eastAsia="Times" w:hAnsi="Verdana"/>
          <w:sz w:val="20"/>
          <w:szCs w:val="20"/>
          <w:lang w:val="es-CR"/>
        </w:rPr>
        <w:t xml:space="preserve"> </w:t>
      </w:r>
      <w:r w:rsidR="00502527">
        <w:rPr>
          <w:rFonts w:ascii="Verdana" w:eastAsia="Times" w:hAnsi="Verdana"/>
          <w:sz w:val="20"/>
          <w:szCs w:val="20"/>
          <w:lang w:val="es-CR"/>
        </w:rPr>
        <w:t>“</w:t>
      </w:r>
      <w:r w:rsidR="00A926EF" w:rsidRPr="00785FC6">
        <w:rPr>
          <w:rFonts w:ascii="Verdana" w:eastAsia="Times" w:hAnsi="Verdana"/>
          <w:sz w:val="20"/>
          <w:szCs w:val="20"/>
          <w:lang w:val="es-CR"/>
        </w:rPr>
        <w:t>acoso sistemático</w:t>
      </w:r>
      <w:r w:rsidR="00502527">
        <w:rPr>
          <w:rFonts w:ascii="Verdana" w:eastAsia="Times" w:hAnsi="Verdana"/>
          <w:sz w:val="20"/>
          <w:szCs w:val="20"/>
          <w:lang w:val="es-CR"/>
        </w:rPr>
        <w:t>”</w:t>
      </w:r>
      <w:r w:rsidR="00A926EF" w:rsidRPr="00785FC6">
        <w:rPr>
          <w:rFonts w:ascii="Verdana" w:eastAsia="Times" w:hAnsi="Verdana"/>
          <w:sz w:val="20"/>
          <w:szCs w:val="20"/>
          <w:lang w:val="es-CR"/>
        </w:rPr>
        <w:t xml:space="preserve"> en contra de los Fiscales de la FECI</w:t>
      </w:r>
      <w:r w:rsidR="0034151B" w:rsidRPr="00785FC6">
        <w:rPr>
          <w:rFonts w:ascii="Verdana" w:eastAsia="Times" w:hAnsi="Verdana"/>
          <w:sz w:val="20"/>
          <w:szCs w:val="20"/>
          <w:lang w:val="es-CR"/>
        </w:rPr>
        <w:t xml:space="preserve">, principalmente </w:t>
      </w:r>
      <w:r w:rsidR="00A926EF" w:rsidRPr="00785FC6">
        <w:rPr>
          <w:rFonts w:ascii="Verdana" w:eastAsia="Times" w:hAnsi="Verdana"/>
          <w:sz w:val="20"/>
          <w:szCs w:val="20"/>
          <w:lang w:val="es-CR"/>
        </w:rPr>
        <w:t>contra</w:t>
      </w:r>
      <w:r w:rsidR="0034151B" w:rsidRPr="00785FC6">
        <w:rPr>
          <w:rFonts w:ascii="Verdana" w:eastAsia="Times" w:hAnsi="Verdana"/>
          <w:sz w:val="20"/>
          <w:szCs w:val="20"/>
          <w:lang w:val="es-CR"/>
        </w:rPr>
        <w:t xml:space="preserve"> el señor </w:t>
      </w:r>
      <w:r w:rsidR="0034151B" w:rsidRPr="00785FC6">
        <w:rPr>
          <w:rFonts w:ascii="Verdana" w:eastAsia="Calibri" w:hAnsi="Verdana" w:cs="Verdana"/>
          <w:color w:val="000000"/>
          <w:sz w:val="20"/>
          <w:szCs w:val="20"/>
          <w:lang w:val="es-CR"/>
        </w:rPr>
        <w:t>Juan Francisco Sandoval Alfaro</w:t>
      </w:r>
      <w:r w:rsidR="0034151B" w:rsidRPr="00785FC6">
        <w:rPr>
          <w:rFonts w:ascii="Verdana" w:eastAsia="Times" w:hAnsi="Verdana"/>
          <w:sz w:val="20"/>
          <w:szCs w:val="20"/>
          <w:lang w:val="es-CR"/>
        </w:rPr>
        <w:t>, el Fiscal “B” y el Auxiliar Fiscal “C”</w:t>
      </w:r>
      <w:r w:rsidR="00614DE3" w:rsidRPr="00785FC6">
        <w:rPr>
          <w:rFonts w:ascii="Verdana" w:eastAsia="Times" w:hAnsi="Verdana"/>
          <w:sz w:val="20"/>
          <w:szCs w:val="20"/>
          <w:lang w:val="es-CR"/>
        </w:rPr>
        <w:t xml:space="preserve">, </w:t>
      </w:r>
      <w:r w:rsidR="000C02B7" w:rsidRPr="00785FC6">
        <w:rPr>
          <w:rFonts w:ascii="Verdana" w:eastAsia="Times" w:hAnsi="Verdana"/>
          <w:sz w:val="20"/>
          <w:szCs w:val="20"/>
          <w:lang w:val="es-CR"/>
        </w:rPr>
        <w:t>consistente</w:t>
      </w:r>
      <w:r w:rsidR="00A926EF" w:rsidRPr="00785FC6">
        <w:rPr>
          <w:rFonts w:ascii="Verdana" w:eastAsia="Times" w:hAnsi="Verdana"/>
          <w:sz w:val="20"/>
          <w:szCs w:val="20"/>
          <w:lang w:val="es-CR"/>
        </w:rPr>
        <w:t xml:space="preserve"> en: </w:t>
      </w:r>
      <w:r w:rsidRPr="00785FC6">
        <w:rPr>
          <w:rFonts w:ascii="Verdana" w:eastAsia="Times" w:hAnsi="Verdana"/>
          <w:sz w:val="20"/>
          <w:szCs w:val="20"/>
          <w:lang w:val="es-CR"/>
        </w:rPr>
        <w:t>a) e</w:t>
      </w:r>
      <w:r w:rsidR="00A926EF" w:rsidRPr="00785FC6">
        <w:rPr>
          <w:rFonts w:ascii="Verdana" w:eastAsia="Times" w:hAnsi="Verdana"/>
          <w:sz w:val="20"/>
          <w:szCs w:val="20"/>
          <w:lang w:val="es-CR"/>
        </w:rPr>
        <w:t xml:space="preserve">l “seguimiento y vigilancia permanente de actividades”, </w:t>
      </w:r>
      <w:r w:rsidR="00FC63D8" w:rsidRPr="00785FC6">
        <w:rPr>
          <w:rFonts w:ascii="Verdana" w:eastAsia="Times" w:hAnsi="Verdana"/>
          <w:sz w:val="20"/>
          <w:szCs w:val="20"/>
          <w:lang w:val="es-CR"/>
        </w:rPr>
        <w:t>mismo que se</w:t>
      </w:r>
      <w:r w:rsidR="00A926EF" w:rsidRPr="00785FC6">
        <w:rPr>
          <w:rFonts w:ascii="Verdana" w:eastAsia="Times" w:hAnsi="Verdana"/>
          <w:sz w:val="20"/>
          <w:szCs w:val="20"/>
          <w:lang w:val="es-CR"/>
        </w:rPr>
        <w:t xml:space="preserve"> “ve reflejado en el hecho que varios de los memes o fotografías publicadas por redes sociales han sido tomadas cuando los fiscales se encuentran desar</w:t>
      </w:r>
      <w:r w:rsidRPr="00785FC6">
        <w:rPr>
          <w:rFonts w:ascii="Verdana" w:eastAsia="Times" w:hAnsi="Verdana"/>
          <w:sz w:val="20"/>
          <w:szCs w:val="20"/>
          <w:lang w:val="es-CR"/>
        </w:rPr>
        <w:t xml:space="preserve">rollando actividades privadas”; b) </w:t>
      </w:r>
      <w:r w:rsidR="00A926EF" w:rsidRPr="00785FC6">
        <w:rPr>
          <w:rFonts w:ascii="Verdana" w:eastAsia="Times" w:hAnsi="Verdana"/>
          <w:sz w:val="20"/>
          <w:szCs w:val="20"/>
        </w:rPr>
        <w:t>las “</w:t>
      </w:r>
      <w:r w:rsidR="00A926EF" w:rsidRPr="00785FC6">
        <w:rPr>
          <w:rFonts w:ascii="Verdana" w:eastAsia="Times" w:hAnsi="Verdana"/>
          <w:sz w:val="20"/>
          <w:szCs w:val="20"/>
          <w:lang w:val="es-CR"/>
        </w:rPr>
        <w:t>campañas de estigmatización y desprestigio en redes sociales y medios de comunicación”</w:t>
      </w:r>
      <w:r w:rsidRPr="00785FC6">
        <w:rPr>
          <w:rFonts w:ascii="Verdana" w:eastAsia="Times" w:hAnsi="Verdana"/>
          <w:sz w:val="20"/>
          <w:szCs w:val="20"/>
          <w:lang w:val="es-CR"/>
        </w:rPr>
        <w:t>;</w:t>
      </w:r>
      <w:r w:rsidR="00A926EF" w:rsidRPr="00785FC6">
        <w:rPr>
          <w:rFonts w:ascii="Verdana" w:eastAsia="Times" w:hAnsi="Verdana"/>
          <w:sz w:val="20"/>
          <w:szCs w:val="20"/>
          <w:lang w:val="es-CR"/>
        </w:rPr>
        <w:t xml:space="preserve"> </w:t>
      </w:r>
      <w:r w:rsidRPr="00785FC6">
        <w:rPr>
          <w:rFonts w:ascii="Verdana" w:eastAsia="Times" w:hAnsi="Verdana"/>
          <w:sz w:val="20"/>
          <w:szCs w:val="20"/>
          <w:lang w:val="es-CR"/>
        </w:rPr>
        <w:t>c) l</w:t>
      </w:r>
      <w:r w:rsidR="00A926EF" w:rsidRPr="00785FC6">
        <w:rPr>
          <w:rFonts w:ascii="Verdana" w:eastAsia="Times" w:hAnsi="Verdana"/>
          <w:sz w:val="20"/>
          <w:szCs w:val="20"/>
          <w:lang w:val="es-CR"/>
        </w:rPr>
        <w:t xml:space="preserve">a creación de </w:t>
      </w:r>
      <w:r w:rsidR="00FC63D8" w:rsidRPr="00785FC6">
        <w:rPr>
          <w:rFonts w:ascii="Verdana" w:eastAsia="Times" w:hAnsi="Verdana"/>
          <w:sz w:val="20"/>
          <w:szCs w:val="20"/>
          <w:lang w:val="es-CR"/>
        </w:rPr>
        <w:t xml:space="preserve">la Comisión de la verdad </w:t>
      </w:r>
      <w:r w:rsidR="00A926EF" w:rsidRPr="00785FC6">
        <w:rPr>
          <w:rFonts w:ascii="Verdana" w:eastAsia="Times" w:hAnsi="Verdana"/>
          <w:sz w:val="20"/>
          <w:szCs w:val="20"/>
          <w:lang w:val="es-CR"/>
        </w:rPr>
        <w:t xml:space="preserve">creada </w:t>
      </w:r>
      <w:r w:rsidRPr="00785FC6">
        <w:rPr>
          <w:rFonts w:ascii="Verdana" w:eastAsia="Times" w:hAnsi="Verdana"/>
          <w:sz w:val="20"/>
          <w:szCs w:val="20"/>
          <w:lang w:val="es-CR"/>
        </w:rPr>
        <w:t>por el Congreso de la República</w:t>
      </w:r>
      <w:r w:rsidR="00A926EF" w:rsidRPr="00785FC6">
        <w:rPr>
          <w:rFonts w:ascii="Verdana" w:eastAsia="Times" w:hAnsi="Verdana"/>
          <w:sz w:val="20"/>
          <w:szCs w:val="20"/>
          <w:lang w:val="es-CR"/>
        </w:rPr>
        <w:t xml:space="preserve"> </w:t>
      </w:r>
      <w:r w:rsidR="00A21775" w:rsidRPr="00785FC6">
        <w:rPr>
          <w:rFonts w:ascii="Verdana" w:eastAsia="Times" w:hAnsi="Verdana"/>
          <w:sz w:val="20"/>
          <w:szCs w:val="20"/>
          <w:lang w:val="es-CR"/>
        </w:rPr>
        <w:t>“</w:t>
      </w:r>
      <w:r w:rsidR="00A926EF" w:rsidRPr="00785FC6">
        <w:rPr>
          <w:rFonts w:ascii="Verdana" w:eastAsia="Times" w:hAnsi="Verdana"/>
          <w:sz w:val="20"/>
          <w:szCs w:val="20"/>
          <w:lang w:val="es-CR"/>
        </w:rPr>
        <w:t>para conocer</w:t>
      </w:r>
      <w:r w:rsidR="00FC63D8" w:rsidRPr="00785FC6">
        <w:rPr>
          <w:rFonts w:ascii="Verdana" w:eastAsia="Times" w:hAnsi="Verdana"/>
          <w:sz w:val="20"/>
          <w:szCs w:val="20"/>
          <w:lang w:val="es-CR"/>
        </w:rPr>
        <w:t xml:space="preserve"> de</w:t>
      </w:r>
      <w:r w:rsidR="00A926EF" w:rsidRPr="00785FC6">
        <w:rPr>
          <w:rFonts w:ascii="Verdana" w:eastAsia="Times" w:hAnsi="Verdana"/>
          <w:sz w:val="20"/>
          <w:szCs w:val="20"/>
          <w:lang w:val="es-CR"/>
        </w:rPr>
        <w:t xml:space="preserve"> los supuestos crímenes cometidos por la CICIG </w:t>
      </w:r>
      <w:r w:rsidR="00A926EF" w:rsidRPr="00785FC6">
        <w:rPr>
          <w:rFonts w:ascii="Verdana" w:eastAsia="Times" w:hAnsi="Verdana"/>
          <w:sz w:val="20"/>
          <w:szCs w:val="20"/>
          <w:lang w:val="es-CR"/>
        </w:rPr>
        <w:lastRenderedPageBreak/>
        <w:t>[Comisión Internacional contra la Impunidad en Guatemala] y</w:t>
      </w:r>
      <w:r w:rsidR="000F55FE">
        <w:rPr>
          <w:rFonts w:ascii="Verdana" w:eastAsia="Times" w:hAnsi="Verdana"/>
          <w:sz w:val="20"/>
          <w:szCs w:val="20"/>
          <w:lang w:val="es-CR"/>
        </w:rPr>
        <w:t xml:space="preserve"> [la]</w:t>
      </w:r>
      <w:r w:rsidR="00A926EF" w:rsidRPr="00785FC6">
        <w:rPr>
          <w:rFonts w:ascii="Verdana" w:eastAsia="Times" w:hAnsi="Verdana"/>
          <w:sz w:val="20"/>
          <w:szCs w:val="20"/>
          <w:lang w:val="es-CR"/>
        </w:rPr>
        <w:t xml:space="preserve"> FECI”. Dicha </w:t>
      </w:r>
      <w:r w:rsidR="00EC1267">
        <w:rPr>
          <w:rFonts w:ascii="Verdana" w:eastAsia="Times" w:hAnsi="Verdana"/>
          <w:sz w:val="20"/>
          <w:szCs w:val="20"/>
          <w:lang w:val="es-CR"/>
        </w:rPr>
        <w:t>c</w:t>
      </w:r>
      <w:r w:rsidR="00A926EF" w:rsidRPr="00785FC6">
        <w:rPr>
          <w:rFonts w:ascii="Verdana" w:eastAsia="Times" w:hAnsi="Verdana"/>
          <w:sz w:val="20"/>
          <w:szCs w:val="20"/>
          <w:lang w:val="es-CR"/>
        </w:rPr>
        <w:t>omisión “rindió un informe para iniciar procesos penales contra</w:t>
      </w:r>
      <w:r w:rsidR="000F55FE">
        <w:rPr>
          <w:rFonts w:ascii="Verdana" w:eastAsia="Times" w:hAnsi="Verdana"/>
          <w:sz w:val="20"/>
          <w:szCs w:val="20"/>
          <w:lang w:val="es-CR"/>
        </w:rPr>
        <w:t xml:space="preserve"> [la]</w:t>
      </w:r>
      <w:r w:rsidR="00A926EF" w:rsidRPr="00785FC6">
        <w:rPr>
          <w:rFonts w:ascii="Verdana" w:eastAsia="Times" w:hAnsi="Verdana"/>
          <w:sz w:val="20"/>
          <w:szCs w:val="20"/>
          <w:lang w:val="es-CR"/>
        </w:rPr>
        <w:t xml:space="preserve"> CICIG y los miembros </w:t>
      </w:r>
      <w:r w:rsidR="00A21775" w:rsidRPr="00785FC6">
        <w:rPr>
          <w:rFonts w:ascii="Verdana" w:eastAsia="Times" w:hAnsi="Verdana"/>
          <w:sz w:val="20"/>
          <w:szCs w:val="20"/>
          <w:lang w:val="es-CR"/>
        </w:rPr>
        <w:t>[FECI]</w:t>
      </w:r>
      <w:r w:rsidR="00CC768A">
        <w:rPr>
          <w:rFonts w:ascii="Verdana" w:eastAsia="Times" w:hAnsi="Verdana"/>
          <w:sz w:val="20"/>
          <w:szCs w:val="20"/>
          <w:lang w:val="es-CR"/>
        </w:rPr>
        <w:t xml:space="preserve"> […]</w:t>
      </w:r>
      <w:r w:rsidR="00A926EF" w:rsidRPr="00785FC6">
        <w:rPr>
          <w:rFonts w:ascii="Verdana" w:eastAsia="Times" w:hAnsi="Verdana"/>
          <w:sz w:val="20"/>
          <w:szCs w:val="20"/>
          <w:lang w:val="es-CR"/>
        </w:rPr>
        <w:t>, específicamente</w:t>
      </w:r>
      <w:r w:rsidR="00FF381F">
        <w:rPr>
          <w:rFonts w:ascii="Verdana" w:eastAsia="Times" w:hAnsi="Verdana"/>
          <w:sz w:val="20"/>
          <w:szCs w:val="20"/>
          <w:lang w:val="es-CR"/>
        </w:rPr>
        <w:t>,</w:t>
      </w:r>
      <w:r w:rsidR="00A926EF" w:rsidRPr="00785FC6">
        <w:rPr>
          <w:rFonts w:ascii="Verdana" w:eastAsia="Times" w:hAnsi="Verdana"/>
          <w:sz w:val="20"/>
          <w:szCs w:val="20"/>
          <w:lang w:val="es-CR"/>
        </w:rPr>
        <w:t xml:space="preserve"> </w:t>
      </w:r>
      <w:r w:rsidR="00CC768A">
        <w:rPr>
          <w:rFonts w:ascii="Verdana" w:eastAsia="Times" w:hAnsi="Verdana"/>
          <w:sz w:val="20"/>
          <w:szCs w:val="20"/>
          <w:lang w:val="es-CR"/>
        </w:rPr>
        <w:t>[contra el</w:t>
      </w:r>
      <w:r w:rsidR="00A21775" w:rsidRPr="00785FC6">
        <w:rPr>
          <w:rFonts w:ascii="Verdana" w:eastAsia="Times" w:hAnsi="Verdana"/>
          <w:sz w:val="20"/>
          <w:szCs w:val="20"/>
          <w:lang w:val="es-CR"/>
        </w:rPr>
        <w:t xml:space="preserve"> </w:t>
      </w:r>
      <w:r w:rsidR="00CC768A">
        <w:rPr>
          <w:rFonts w:ascii="Verdana" w:eastAsia="Times" w:hAnsi="Verdana"/>
          <w:sz w:val="20"/>
          <w:szCs w:val="20"/>
          <w:lang w:val="es-CR"/>
        </w:rPr>
        <w:t xml:space="preserve">entonces </w:t>
      </w:r>
      <w:r w:rsidR="00A21775" w:rsidRPr="00785FC6">
        <w:rPr>
          <w:rFonts w:ascii="Verdana" w:eastAsia="Times" w:hAnsi="Verdana"/>
          <w:sz w:val="20"/>
          <w:szCs w:val="20"/>
          <w:lang w:val="es-CR"/>
        </w:rPr>
        <w:t>Fiscal</w:t>
      </w:r>
      <w:r w:rsidR="00CC768A">
        <w:rPr>
          <w:rFonts w:ascii="Verdana" w:eastAsia="Times" w:hAnsi="Verdana"/>
          <w:sz w:val="20"/>
          <w:szCs w:val="20"/>
          <w:lang w:val="es-CR"/>
        </w:rPr>
        <w:t>]</w:t>
      </w:r>
      <w:r w:rsidR="00A21775" w:rsidRPr="00785FC6">
        <w:rPr>
          <w:rFonts w:ascii="Verdana" w:eastAsia="Times" w:hAnsi="Verdana"/>
          <w:sz w:val="20"/>
          <w:szCs w:val="20"/>
          <w:lang w:val="es-CR"/>
        </w:rPr>
        <w:t xml:space="preserve"> </w:t>
      </w:r>
      <w:r w:rsidR="00A21775" w:rsidRPr="00785FC6">
        <w:rPr>
          <w:rFonts w:ascii="Verdana" w:eastAsia="Calibri" w:hAnsi="Verdana" w:cs="Verdana"/>
          <w:color w:val="000000"/>
          <w:sz w:val="20"/>
          <w:szCs w:val="20"/>
          <w:lang w:val="es-CR"/>
        </w:rPr>
        <w:t>Juan Francisco Sandoval Alfaro</w:t>
      </w:r>
      <w:r w:rsidR="00A21775" w:rsidRPr="00785FC6">
        <w:rPr>
          <w:rFonts w:ascii="Verdana" w:eastAsia="Times" w:hAnsi="Verdana"/>
          <w:sz w:val="20"/>
          <w:szCs w:val="20"/>
          <w:lang w:val="es-CR"/>
        </w:rPr>
        <w:t>,</w:t>
      </w:r>
      <w:r w:rsidR="00A926EF" w:rsidRPr="00785FC6">
        <w:rPr>
          <w:rFonts w:ascii="Verdana" w:eastAsia="Times" w:hAnsi="Verdana"/>
          <w:sz w:val="20"/>
          <w:szCs w:val="20"/>
          <w:lang w:val="es-CR"/>
        </w:rPr>
        <w:t xml:space="preserve"> el Fiscal </w:t>
      </w:r>
      <w:r w:rsidR="00CC768A">
        <w:rPr>
          <w:rFonts w:ascii="Verdana" w:eastAsia="Times" w:hAnsi="Verdana"/>
          <w:sz w:val="20"/>
          <w:szCs w:val="20"/>
          <w:lang w:val="es-CR"/>
        </w:rPr>
        <w:t>[</w:t>
      </w:r>
      <w:r w:rsidR="00A21775" w:rsidRPr="00785FC6">
        <w:rPr>
          <w:rFonts w:ascii="Verdana" w:eastAsia="Times" w:hAnsi="Verdana"/>
          <w:sz w:val="20"/>
          <w:szCs w:val="20"/>
          <w:lang w:val="es-CR"/>
        </w:rPr>
        <w:t>“B”</w:t>
      </w:r>
      <w:r w:rsidR="00CC768A">
        <w:rPr>
          <w:rFonts w:ascii="Verdana" w:eastAsia="Times" w:hAnsi="Verdana"/>
          <w:sz w:val="20"/>
          <w:szCs w:val="20"/>
          <w:lang w:val="es-CR"/>
        </w:rPr>
        <w:t>]</w:t>
      </w:r>
      <w:r w:rsidR="00A21775" w:rsidRPr="00785FC6">
        <w:rPr>
          <w:rFonts w:ascii="Verdana" w:eastAsia="Times" w:hAnsi="Verdana"/>
          <w:sz w:val="20"/>
          <w:szCs w:val="20"/>
          <w:lang w:val="es-CR"/>
        </w:rPr>
        <w:t xml:space="preserve"> </w:t>
      </w:r>
      <w:r w:rsidR="00CC768A">
        <w:rPr>
          <w:rFonts w:ascii="Verdana" w:eastAsia="Times" w:hAnsi="Verdana"/>
          <w:sz w:val="20"/>
          <w:szCs w:val="20"/>
          <w:lang w:val="es-CR"/>
        </w:rPr>
        <w:t xml:space="preserve">[…] </w:t>
      </w:r>
      <w:r w:rsidR="00A21775" w:rsidRPr="00785FC6">
        <w:rPr>
          <w:rFonts w:ascii="Verdana" w:eastAsia="Times" w:hAnsi="Verdana"/>
          <w:sz w:val="20"/>
          <w:szCs w:val="20"/>
          <w:lang w:val="es-CR"/>
        </w:rPr>
        <w:t xml:space="preserve">y el </w:t>
      </w:r>
      <w:r w:rsidR="00CC768A">
        <w:rPr>
          <w:rFonts w:ascii="Verdana" w:eastAsia="Times" w:hAnsi="Verdana"/>
          <w:sz w:val="20"/>
          <w:szCs w:val="20"/>
          <w:lang w:val="es-CR"/>
        </w:rPr>
        <w:t>[</w:t>
      </w:r>
      <w:r w:rsidR="00A21775" w:rsidRPr="00785FC6">
        <w:rPr>
          <w:rFonts w:ascii="Verdana" w:eastAsia="Times" w:hAnsi="Verdana"/>
          <w:sz w:val="20"/>
          <w:szCs w:val="20"/>
          <w:lang w:val="es-CR"/>
        </w:rPr>
        <w:t>A</w:t>
      </w:r>
      <w:r w:rsidR="00CC768A">
        <w:rPr>
          <w:rFonts w:ascii="Verdana" w:eastAsia="Times" w:hAnsi="Verdana"/>
          <w:sz w:val="20"/>
          <w:szCs w:val="20"/>
          <w:lang w:val="es-CR"/>
        </w:rPr>
        <w:t>]</w:t>
      </w:r>
      <w:proofErr w:type="spellStart"/>
      <w:r w:rsidR="00A926EF" w:rsidRPr="00785FC6">
        <w:rPr>
          <w:rFonts w:ascii="Verdana" w:eastAsia="Times" w:hAnsi="Verdana"/>
          <w:sz w:val="20"/>
          <w:szCs w:val="20"/>
          <w:lang w:val="es-CR"/>
        </w:rPr>
        <w:t>uxiliar</w:t>
      </w:r>
      <w:proofErr w:type="spellEnd"/>
      <w:r w:rsidR="00A926EF" w:rsidRPr="00785FC6">
        <w:rPr>
          <w:rFonts w:ascii="Verdana" w:eastAsia="Times" w:hAnsi="Verdana"/>
          <w:sz w:val="20"/>
          <w:szCs w:val="20"/>
          <w:lang w:val="es-CR"/>
        </w:rPr>
        <w:t xml:space="preserve"> </w:t>
      </w:r>
      <w:r w:rsidR="00CC768A">
        <w:rPr>
          <w:rFonts w:ascii="Verdana" w:eastAsia="Times" w:hAnsi="Verdana"/>
          <w:sz w:val="20"/>
          <w:szCs w:val="20"/>
          <w:lang w:val="es-CR"/>
        </w:rPr>
        <w:t>[</w:t>
      </w:r>
      <w:r w:rsidR="00A21775" w:rsidRPr="00785FC6">
        <w:rPr>
          <w:rFonts w:ascii="Verdana" w:eastAsia="Times" w:hAnsi="Verdana"/>
          <w:sz w:val="20"/>
          <w:szCs w:val="20"/>
          <w:lang w:val="es-CR"/>
        </w:rPr>
        <w:t>F</w:t>
      </w:r>
      <w:r w:rsidR="00CC768A">
        <w:rPr>
          <w:rFonts w:ascii="Verdana" w:eastAsia="Times" w:hAnsi="Verdana"/>
          <w:sz w:val="20"/>
          <w:szCs w:val="20"/>
          <w:lang w:val="es-CR"/>
        </w:rPr>
        <w:t>]</w:t>
      </w:r>
      <w:r w:rsidR="00A926EF" w:rsidRPr="00785FC6">
        <w:rPr>
          <w:rFonts w:ascii="Verdana" w:eastAsia="Times" w:hAnsi="Verdana"/>
          <w:sz w:val="20"/>
          <w:szCs w:val="20"/>
          <w:lang w:val="es-CR"/>
        </w:rPr>
        <w:t xml:space="preserve">iscal </w:t>
      </w:r>
      <w:r w:rsidR="00CC768A">
        <w:rPr>
          <w:rFonts w:ascii="Verdana" w:eastAsia="Times" w:hAnsi="Verdana"/>
          <w:sz w:val="20"/>
          <w:szCs w:val="20"/>
          <w:lang w:val="es-CR"/>
        </w:rPr>
        <w:t>[</w:t>
      </w:r>
      <w:r w:rsidR="00A21775" w:rsidRPr="00785FC6">
        <w:rPr>
          <w:rFonts w:ascii="Verdana" w:eastAsia="Times" w:hAnsi="Verdana"/>
          <w:sz w:val="20"/>
          <w:szCs w:val="20"/>
          <w:lang w:val="es-CR"/>
        </w:rPr>
        <w:t>“</w:t>
      </w:r>
      <w:proofErr w:type="gramStart"/>
      <w:r w:rsidR="00A21775" w:rsidRPr="00785FC6">
        <w:rPr>
          <w:rFonts w:ascii="Verdana" w:eastAsia="Times" w:hAnsi="Verdana"/>
          <w:sz w:val="20"/>
          <w:szCs w:val="20"/>
          <w:lang w:val="es-CR"/>
        </w:rPr>
        <w:t>C”</w:t>
      </w:r>
      <w:r w:rsidR="00CC768A">
        <w:rPr>
          <w:rFonts w:ascii="Verdana" w:eastAsia="Times" w:hAnsi="Verdana"/>
          <w:sz w:val="20"/>
          <w:szCs w:val="20"/>
          <w:lang w:val="es-CR"/>
        </w:rPr>
        <w:t>…</w:t>
      </w:r>
      <w:proofErr w:type="gramEnd"/>
      <w:r w:rsidR="00CC768A">
        <w:rPr>
          <w:rFonts w:ascii="Verdana" w:eastAsia="Times" w:hAnsi="Verdana"/>
          <w:sz w:val="20"/>
          <w:szCs w:val="20"/>
          <w:lang w:val="es-CR"/>
        </w:rPr>
        <w:t>]</w:t>
      </w:r>
      <w:r w:rsidR="00A926EF" w:rsidRPr="00785FC6">
        <w:rPr>
          <w:rFonts w:ascii="Verdana" w:eastAsia="Times" w:hAnsi="Verdana"/>
          <w:sz w:val="20"/>
          <w:szCs w:val="20"/>
          <w:lang w:val="es-CR"/>
        </w:rPr>
        <w:t xml:space="preserve"> por su trabajo en el </w:t>
      </w:r>
      <w:r w:rsidR="00CC768A">
        <w:rPr>
          <w:rFonts w:ascii="Verdana" w:eastAsia="Times" w:hAnsi="Verdana"/>
          <w:sz w:val="20"/>
          <w:szCs w:val="20"/>
          <w:lang w:val="es-CR"/>
        </w:rPr>
        <w:t>[</w:t>
      </w:r>
      <w:r w:rsidRPr="00785FC6">
        <w:rPr>
          <w:rFonts w:ascii="Verdana" w:eastAsia="Times" w:hAnsi="Verdana"/>
          <w:sz w:val="20"/>
          <w:szCs w:val="20"/>
          <w:lang w:val="es-CR"/>
        </w:rPr>
        <w:t>c</w:t>
      </w:r>
      <w:r w:rsidR="00CC768A">
        <w:rPr>
          <w:rFonts w:ascii="Verdana" w:eastAsia="Times" w:hAnsi="Verdana"/>
          <w:sz w:val="20"/>
          <w:szCs w:val="20"/>
          <w:lang w:val="es-CR"/>
        </w:rPr>
        <w:t>]</w:t>
      </w:r>
      <w:r w:rsidR="00A926EF" w:rsidRPr="00785FC6">
        <w:rPr>
          <w:rFonts w:ascii="Verdana" w:eastAsia="Times" w:hAnsi="Verdana"/>
          <w:sz w:val="20"/>
          <w:szCs w:val="20"/>
          <w:lang w:val="es-CR"/>
        </w:rPr>
        <w:t>aso de ejecuciones extrajudiciales de Hugo Humberto Ruiz Fuentes”</w:t>
      </w:r>
      <w:r w:rsidRPr="00785FC6">
        <w:rPr>
          <w:rFonts w:ascii="Verdana" w:eastAsia="Times" w:hAnsi="Verdana"/>
          <w:sz w:val="20"/>
          <w:szCs w:val="20"/>
          <w:lang w:val="es-CR"/>
        </w:rPr>
        <w:t>; y d) l</w:t>
      </w:r>
      <w:r w:rsidR="00A926EF" w:rsidRPr="00785FC6">
        <w:rPr>
          <w:rFonts w:ascii="Verdana" w:eastAsia="Times" w:hAnsi="Verdana"/>
          <w:sz w:val="20"/>
          <w:szCs w:val="20"/>
          <w:lang w:val="es-CR"/>
        </w:rPr>
        <w:t xml:space="preserve">a “interposición sistemática de denuncias infundadas contra </w:t>
      </w:r>
      <w:r w:rsidR="00E719FB">
        <w:rPr>
          <w:rFonts w:ascii="Verdana" w:eastAsia="Times" w:hAnsi="Verdana"/>
          <w:sz w:val="20"/>
          <w:szCs w:val="20"/>
          <w:lang w:val="es-CR"/>
        </w:rPr>
        <w:t xml:space="preserve">[los] </w:t>
      </w:r>
      <w:r w:rsidR="00A926EF" w:rsidRPr="00785FC6">
        <w:rPr>
          <w:rFonts w:ascii="Verdana" w:eastAsia="Times" w:hAnsi="Verdana"/>
          <w:sz w:val="20"/>
          <w:szCs w:val="20"/>
          <w:lang w:val="es-CR"/>
        </w:rPr>
        <w:t>fiscales”</w:t>
      </w:r>
      <w:r w:rsidRPr="00B660E9">
        <w:rPr>
          <w:rStyle w:val="Refdenotaalpie"/>
          <w:rFonts w:eastAsia="Times"/>
          <w:sz w:val="20"/>
          <w:szCs w:val="20"/>
          <w:lang w:val="es-CR"/>
        </w:rPr>
        <w:footnoteReference w:id="13"/>
      </w:r>
      <w:r w:rsidR="00A21775" w:rsidRPr="00785FC6">
        <w:rPr>
          <w:rFonts w:ascii="Verdana" w:eastAsia="Times" w:hAnsi="Verdana"/>
          <w:sz w:val="20"/>
          <w:szCs w:val="20"/>
          <w:lang w:val="es-CR"/>
        </w:rPr>
        <w:t>.</w:t>
      </w:r>
    </w:p>
    <w:p w14:paraId="43F7F405" w14:textId="77777777" w:rsidR="00160F40" w:rsidRPr="00B660E9" w:rsidRDefault="00160F40" w:rsidP="00BE0EFF">
      <w:pPr>
        <w:numPr>
          <w:ilvl w:val="0"/>
          <w:numId w:val="2"/>
        </w:numPr>
        <w:spacing w:before="120" w:after="120"/>
        <w:ind w:left="0" w:firstLine="0"/>
        <w:jc w:val="both"/>
        <w:rPr>
          <w:rFonts w:ascii="Verdana" w:eastAsia="Times" w:hAnsi="Verdana"/>
          <w:bCs/>
          <w:sz w:val="20"/>
          <w:szCs w:val="20"/>
          <w:lang w:val="es-CR"/>
        </w:rPr>
      </w:pPr>
      <w:r w:rsidRPr="00B660E9">
        <w:rPr>
          <w:rFonts w:ascii="Verdana" w:eastAsia="Times" w:hAnsi="Verdana"/>
          <w:sz w:val="20"/>
          <w:szCs w:val="20"/>
          <w:lang w:val="es-CR"/>
        </w:rPr>
        <w:t>Con respecto a los requisitos necesarios para la adopción de medidas provisionales,</w:t>
      </w:r>
      <w:r w:rsidR="00F109DA" w:rsidRPr="00B660E9">
        <w:rPr>
          <w:rFonts w:ascii="Verdana" w:eastAsia="Times" w:hAnsi="Verdana"/>
          <w:bCs/>
          <w:sz w:val="20"/>
          <w:szCs w:val="20"/>
          <w:lang w:val="es-CR"/>
        </w:rPr>
        <w:t xml:space="preserve"> </w:t>
      </w:r>
      <w:r w:rsidRPr="00B660E9">
        <w:rPr>
          <w:rFonts w:ascii="Verdana" w:eastAsia="Times" w:hAnsi="Verdana"/>
          <w:sz w:val="20"/>
          <w:szCs w:val="20"/>
          <w:lang w:val="es-CR"/>
        </w:rPr>
        <w:t>indicaron lo siguiente:</w:t>
      </w:r>
    </w:p>
    <w:p w14:paraId="1A593A36" w14:textId="3A5E3169" w:rsidR="00C05FD4" w:rsidRPr="00B660E9" w:rsidRDefault="00A926EF" w:rsidP="005114DA">
      <w:pPr>
        <w:pStyle w:val="Prrafodelista"/>
        <w:numPr>
          <w:ilvl w:val="0"/>
          <w:numId w:val="9"/>
        </w:numPr>
        <w:spacing w:before="120" w:after="120"/>
        <w:ind w:left="851" w:hanging="425"/>
        <w:contextualSpacing w:val="0"/>
        <w:jc w:val="both"/>
        <w:rPr>
          <w:rFonts w:ascii="Verdana" w:eastAsia="Times" w:hAnsi="Verdana"/>
          <w:bCs/>
          <w:sz w:val="20"/>
          <w:szCs w:val="20"/>
          <w:lang w:val="es-CR"/>
        </w:rPr>
      </w:pPr>
      <w:r w:rsidRPr="00B660E9">
        <w:rPr>
          <w:rFonts w:ascii="Verdana" w:eastAsia="Times" w:hAnsi="Verdana"/>
          <w:sz w:val="20"/>
          <w:szCs w:val="20"/>
          <w:lang w:val="es-CR"/>
        </w:rPr>
        <w:t xml:space="preserve">Sobre la </w:t>
      </w:r>
      <w:r w:rsidRPr="00B660E9">
        <w:rPr>
          <w:rFonts w:ascii="Verdana" w:eastAsia="Times" w:hAnsi="Verdana"/>
          <w:i/>
          <w:sz w:val="20"/>
          <w:szCs w:val="20"/>
          <w:lang w:val="es-CR"/>
        </w:rPr>
        <w:t>extrema gravedad</w:t>
      </w:r>
      <w:r w:rsidRPr="00B660E9">
        <w:rPr>
          <w:rFonts w:ascii="Verdana" w:eastAsia="Times" w:hAnsi="Verdana"/>
          <w:sz w:val="20"/>
          <w:szCs w:val="20"/>
          <w:lang w:val="es-CR"/>
        </w:rPr>
        <w:t xml:space="preserve">, señalaron </w:t>
      </w:r>
      <w:r w:rsidR="007A3E38" w:rsidRPr="00B660E9">
        <w:rPr>
          <w:rFonts w:ascii="Verdana" w:eastAsia="Times" w:hAnsi="Verdana"/>
          <w:sz w:val="20"/>
          <w:szCs w:val="20"/>
          <w:lang w:val="es-CR"/>
        </w:rPr>
        <w:t xml:space="preserve">que se </w:t>
      </w:r>
      <w:r w:rsidRPr="00B660E9">
        <w:rPr>
          <w:rFonts w:ascii="Verdana" w:eastAsia="Times" w:hAnsi="Verdana"/>
          <w:sz w:val="20"/>
          <w:szCs w:val="20"/>
          <w:lang w:val="es-CR"/>
        </w:rPr>
        <w:t>constituyen hechos que exponen a graves riesgos de sufrir ataques contra su vida e integridad personal</w:t>
      </w:r>
      <w:r w:rsidR="007A3E38" w:rsidRPr="00B660E9">
        <w:rPr>
          <w:rFonts w:ascii="Verdana" w:eastAsia="Times" w:hAnsi="Verdana"/>
          <w:sz w:val="20"/>
          <w:szCs w:val="20"/>
          <w:lang w:val="es-CR"/>
        </w:rPr>
        <w:t xml:space="preserve"> al </w:t>
      </w:r>
      <w:r w:rsidR="00E719FB">
        <w:rPr>
          <w:rFonts w:ascii="Verdana" w:eastAsia="Times" w:hAnsi="Verdana"/>
          <w:sz w:val="20"/>
          <w:szCs w:val="20"/>
          <w:lang w:val="es-CR"/>
        </w:rPr>
        <w:t xml:space="preserve">entonces </w:t>
      </w:r>
      <w:r w:rsidR="007A3E38" w:rsidRPr="00B660E9">
        <w:rPr>
          <w:rFonts w:ascii="Verdana" w:eastAsia="Times" w:hAnsi="Verdana"/>
          <w:sz w:val="20"/>
          <w:szCs w:val="20"/>
          <w:lang w:val="es-CR"/>
        </w:rPr>
        <w:t xml:space="preserve">Fiscal Juan Francisco Sandoval Alfaro, al Fiscal “B” y </w:t>
      </w:r>
      <w:r w:rsidR="003B2F78">
        <w:rPr>
          <w:rFonts w:ascii="Verdana" w:eastAsia="Times" w:hAnsi="Verdana"/>
          <w:sz w:val="20"/>
          <w:szCs w:val="20"/>
          <w:lang w:val="es-CR"/>
        </w:rPr>
        <w:t xml:space="preserve">al </w:t>
      </w:r>
      <w:r w:rsidR="007A3E38" w:rsidRPr="00B660E9">
        <w:rPr>
          <w:rFonts w:ascii="Verdana" w:eastAsia="Times" w:hAnsi="Verdana"/>
          <w:sz w:val="20"/>
          <w:szCs w:val="20"/>
          <w:lang w:val="es-CR"/>
        </w:rPr>
        <w:t>Auxiliar Fiscal “C”</w:t>
      </w:r>
      <w:r w:rsidRPr="00B660E9">
        <w:rPr>
          <w:rFonts w:ascii="Verdana" w:eastAsia="Times" w:hAnsi="Verdana"/>
          <w:sz w:val="20"/>
          <w:szCs w:val="20"/>
          <w:lang w:val="es-CR"/>
        </w:rPr>
        <w:t xml:space="preserve">, </w:t>
      </w:r>
      <w:r w:rsidR="001137FA">
        <w:rPr>
          <w:rFonts w:ascii="Verdana" w:eastAsia="Times" w:hAnsi="Verdana"/>
          <w:sz w:val="20"/>
          <w:szCs w:val="20"/>
          <w:lang w:val="es-CR"/>
        </w:rPr>
        <w:t xml:space="preserve">los cuales </w:t>
      </w:r>
      <w:r w:rsidRPr="00B660E9">
        <w:rPr>
          <w:rFonts w:ascii="Verdana" w:eastAsia="Times" w:hAnsi="Verdana"/>
          <w:sz w:val="20"/>
          <w:szCs w:val="20"/>
          <w:lang w:val="es-CR"/>
        </w:rPr>
        <w:t>se agrava</w:t>
      </w:r>
      <w:r w:rsidR="001137FA">
        <w:rPr>
          <w:rFonts w:ascii="Verdana" w:eastAsia="Times" w:hAnsi="Verdana"/>
          <w:sz w:val="20"/>
          <w:szCs w:val="20"/>
          <w:lang w:val="es-CR"/>
        </w:rPr>
        <w:t>ría</w:t>
      </w:r>
      <w:r w:rsidRPr="00B660E9">
        <w:rPr>
          <w:rFonts w:ascii="Verdana" w:eastAsia="Times" w:hAnsi="Verdana"/>
          <w:sz w:val="20"/>
          <w:szCs w:val="20"/>
          <w:lang w:val="es-CR"/>
        </w:rPr>
        <w:t>n por las razones siguientes:</w:t>
      </w:r>
      <w:r w:rsidR="00C30F32" w:rsidRPr="00B660E9">
        <w:rPr>
          <w:rFonts w:ascii="Verdana" w:eastAsia="Times" w:hAnsi="Verdana"/>
          <w:sz w:val="20"/>
          <w:szCs w:val="20"/>
          <w:lang w:val="es-CR"/>
        </w:rPr>
        <w:t xml:space="preserve"> </w:t>
      </w:r>
      <w:r w:rsidR="00707CFE">
        <w:rPr>
          <w:rFonts w:ascii="Verdana" w:eastAsia="Times" w:hAnsi="Verdana"/>
          <w:sz w:val="20"/>
          <w:szCs w:val="20"/>
          <w:lang w:val="es-CR"/>
        </w:rPr>
        <w:t>i</w:t>
      </w:r>
      <w:r w:rsidR="00C30F32" w:rsidRPr="00B660E9">
        <w:rPr>
          <w:rFonts w:ascii="Verdana" w:eastAsia="Times" w:hAnsi="Verdana"/>
          <w:sz w:val="20"/>
          <w:szCs w:val="20"/>
          <w:lang w:val="es-CR"/>
        </w:rPr>
        <w:t xml:space="preserve">) </w:t>
      </w:r>
      <w:r w:rsidR="00C65D9A">
        <w:rPr>
          <w:rFonts w:ascii="Verdana" w:eastAsia="Times" w:hAnsi="Verdana"/>
          <w:sz w:val="20"/>
          <w:szCs w:val="20"/>
          <w:lang w:val="es-CR"/>
        </w:rPr>
        <w:t>l</w:t>
      </w:r>
      <w:r w:rsidRPr="00B660E9">
        <w:rPr>
          <w:rFonts w:ascii="Verdana" w:eastAsia="Times" w:hAnsi="Verdana"/>
          <w:sz w:val="20"/>
          <w:szCs w:val="20"/>
          <w:lang w:val="es-CR"/>
        </w:rPr>
        <w:t xml:space="preserve">a </w:t>
      </w:r>
      <w:r w:rsidR="00C30F32" w:rsidRPr="00B660E9">
        <w:rPr>
          <w:rFonts w:ascii="Verdana" w:eastAsia="Times" w:hAnsi="Verdana"/>
          <w:sz w:val="20"/>
          <w:szCs w:val="20"/>
          <w:lang w:val="es-CR"/>
        </w:rPr>
        <w:t xml:space="preserve">destitución del </w:t>
      </w:r>
      <w:r w:rsidR="00E719FB">
        <w:rPr>
          <w:rFonts w:ascii="Verdana" w:eastAsia="Times" w:hAnsi="Verdana"/>
          <w:sz w:val="20"/>
          <w:szCs w:val="20"/>
          <w:lang w:val="es-CR"/>
        </w:rPr>
        <w:t xml:space="preserve">entonces </w:t>
      </w:r>
      <w:r w:rsidR="00A27FAD" w:rsidRPr="00B660E9">
        <w:rPr>
          <w:rFonts w:ascii="Verdana" w:eastAsia="Times" w:hAnsi="Verdana"/>
          <w:sz w:val="20"/>
          <w:szCs w:val="20"/>
          <w:lang w:val="es-CR"/>
        </w:rPr>
        <w:t>Fiscal</w:t>
      </w:r>
      <w:r w:rsidR="00C30F32" w:rsidRPr="00B660E9">
        <w:rPr>
          <w:rFonts w:ascii="Verdana" w:eastAsia="Times" w:hAnsi="Verdana"/>
          <w:sz w:val="20"/>
          <w:szCs w:val="20"/>
          <w:lang w:val="es-CR"/>
        </w:rPr>
        <w:t xml:space="preserve"> </w:t>
      </w:r>
      <w:r w:rsidR="00E719FB">
        <w:rPr>
          <w:rFonts w:ascii="Verdana" w:eastAsia="Times" w:hAnsi="Verdana"/>
          <w:sz w:val="20"/>
          <w:szCs w:val="20"/>
          <w:lang w:val="es-CR"/>
        </w:rPr>
        <w:t xml:space="preserve">Juan Francisco </w:t>
      </w:r>
      <w:r w:rsidR="00C30F32" w:rsidRPr="00B660E9">
        <w:rPr>
          <w:rFonts w:ascii="Verdana" w:eastAsia="Times" w:hAnsi="Verdana"/>
          <w:sz w:val="20"/>
          <w:szCs w:val="20"/>
          <w:lang w:val="es-CR"/>
        </w:rPr>
        <w:t>Sandoval Alfaro</w:t>
      </w:r>
      <w:r w:rsidR="00A27FAD" w:rsidRPr="00B660E9">
        <w:rPr>
          <w:rFonts w:ascii="Verdana" w:eastAsia="Times" w:hAnsi="Verdana"/>
          <w:sz w:val="20"/>
          <w:szCs w:val="20"/>
          <w:lang w:val="es-CR"/>
        </w:rPr>
        <w:t xml:space="preserve"> </w:t>
      </w:r>
      <w:r w:rsidR="00C30F32" w:rsidRPr="00B660E9">
        <w:rPr>
          <w:rFonts w:ascii="Verdana" w:eastAsia="Times" w:hAnsi="Verdana"/>
          <w:sz w:val="20"/>
          <w:szCs w:val="20"/>
          <w:lang w:val="es-CR"/>
        </w:rPr>
        <w:t>“</w:t>
      </w:r>
      <w:r w:rsidRPr="00B660E9">
        <w:rPr>
          <w:rFonts w:ascii="Verdana" w:eastAsia="Times" w:hAnsi="Verdana"/>
          <w:sz w:val="20"/>
          <w:szCs w:val="20"/>
          <w:lang w:val="es-CR"/>
        </w:rPr>
        <w:t xml:space="preserve">se realizó a consecuencia del avance de las investigaciones del caso de ejecuciones extrajudiciales y otros actos graves de </w:t>
      </w:r>
      <w:r w:rsidR="00C30F32" w:rsidRPr="00B660E9">
        <w:rPr>
          <w:rFonts w:ascii="Verdana" w:eastAsia="Times" w:hAnsi="Verdana"/>
          <w:sz w:val="20"/>
          <w:szCs w:val="20"/>
          <w:lang w:val="es-CR"/>
        </w:rPr>
        <w:t>funcionarios de</w:t>
      </w:r>
      <w:r w:rsidR="00E719FB">
        <w:rPr>
          <w:rFonts w:ascii="Verdana" w:eastAsia="Times" w:hAnsi="Verdana"/>
          <w:sz w:val="20"/>
          <w:szCs w:val="20"/>
          <w:lang w:val="es-CR"/>
        </w:rPr>
        <w:t>[l]</w:t>
      </w:r>
      <w:r w:rsidR="00C30F32" w:rsidRPr="00B660E9">
        <w:rPr>
          <w:rFonts w:ascii="Verdana" w:eastAsia="Times" w:hAnsi="Verdana"/>
          <w:sz w:val="20"/>
          <w:szCs w:val="20"/>
          <w:lang w:val="es-CR"/>
        </w:rPr>
        <w:t xml:space="preserve"> gobierno”</w:t>
      </w:r>
      <w:r w:rsidR="007A3E38" w:rsidRPr="00B660E9">
        <w:rPr>
          <w:rFonts w:ascii="Verdana" w:eastAsia="Times" w:hAnsi="Verdana"/>
          <w:sz w:val="20"/>
          <w:szCs w:val="20"/>
          <w:lang w:val="es-CR"/>
        </w:rPr>
        <w:t>, entre ellas, las de los señores Valenzuela Ávila y Ruiz Fuentes;</w:t>
      </w:r>
      <w:r w:rsidR="00707CFE">
        <w:rPr>
          <w:rFonts w:ascii="Verdana" w:eastAsia="Times" w:hAnsi="Verdana"/>
          <w:sz w:val="20"/>
          <w:szCs w:val="20"/>
          <w:lang w:val="es-CR"/>
        </w:rPr>
        <w:t xml:space="preserve"> </w:t>
      </w:r>
      <w:proofErr w:type="spellStart"/>
      <w:r w:rsidR="00707CFE">
        <w:rPr>
          <w:rFonts w:ascii="Verdana" w:eastAsia="Times" w:hAnsi="Verdana"/>
          <w:sz w:val="20"/>
          <w:szCs w:val="20"/>
          <w:lang w:val="es-CR"/>
        </w:rPr>
        <w:t>ii</w:t>
      </w:r>
      <w:proofErr w:type="spellEnd"/>
      <w:r w:rsidR="007A3E38" w:rsidRPr="00B660E9">
        <w:rPr>
          <w:rFonts w:ascii="Verdana" w:eastAsia="Times" w:hAnsi="Verdana"/>
          <w:sz w:val="20"/>
          <w:szCs w:val="20"/>
          <w:lang w:val="es-CR"/>
        </w:rPr>
        <w:t xml:space="preserve">) </w:t>
      </w:r>
      <w:r w:rsidR="00C65D9A">
        <w:rPr>
          <w:rFonts w:ascii="Verdana" w:eastAsia="Times" w:hAnsi="Verdana"/>
          <w:sz w:val="20"/>
          <w:szCs w:val="20"/>
          <w:lang w:val="es-CR"/>
        </w:rPr>
        <w:t>e</w:t>
      </w:r>
      <w:r w:rsidRPr="00B660E9">
        <w:rPr>
          <w:rFonts w:ascii="Verdana" w:eastAsia="Times" w:hAnsi="Verdana"/>
          <w:sz w:val="20"/>
          <w:szCs w:val="20"/>
          <w:lang w:val="es-CR"/>
        </w:rPr>
        <w:t xml:space="preserve">l proceso penal por la ejecución extrajudicial </w:t>
      </w:r>
      <w:r w:rsidR="007A3E38" w:rsidRPr="00B660E9">
        <w:rPr>
          <w:rFonts w:ascii="Verdana" w:eastAsia="Times" w:hAnsi="Verdana"/>
          <w:sz w:val="20"/>
          <w:szCs w:val="20"/>
          <w:lang w:val="es-CR"/>
        </w:rPr>
        <w:t xml:space="preserve">del señor Valenzuela Ávila </w:t>
      </w:r>
      <w:r w:rsidR="00C65D9A">
        <w:rPr>
          <w:rFonts w:ascii="Verdana" w:eastAsia="Times" w:hAnsi="Verdana"/>
          <w:sz w:val="20"/>
          <w:szCs w:val="20"/>
          <w:lang w:val="es-CR"/>
        </w:rPr>
        <w:t>“</w:t>
      </w:r>
      <w:r w:rsidRPr="00B660E9">
        <w:rPr>
          <w:rFonts w:ascii="Verdana" w:eastAsia="Times" w:hAnsi="Verdana"/>
          <w:sz w:val="20"/>
          <w:szCs w:val="20"/>
          <w:lang w:val="es-CR"/>
        </w:rPr>
        <w:t>se encuentra en una fase decis</w:t>
      </w:r>
      <w:r w:rsidR="007A3E38" w:rsidRPr="00B660E9">
        <w:rPr>
          <w:rFonts w:ascii="Verdana" w:eastAsia="Times" w:hAnsi="Verdana"/>
          <w:sz w:val="20"/>
          <w:szCs w:val="20"/>
          <w:lang w:val="es-CR"/>
        </w:rPr>
        <w:t>iva que es la apertura a juicio</w:t>
      </w:r>
      <w:r w:rsidR="00C65D9A">
        <w:rPr>
          <w:rFonts w:ascii="Verdana" w:eastAsia="Times" w:hAnsi="Verdana"/>
          <w:sz w:val="20"/>
          <w:szCs w:val="20"/>
          <w:lang w:val="es-CR"/>
        </w:rPr>
        <w:t>”</w:t>
      </w:r>
      <w:r w:rsidRPr="00B660E9">
        <w:rPr>
          <w:rFonts w:ascii="Verdana" w:eastAsia="Times" w:hAnsi="Verdana"/>
          <w:sz w:val="20"/>
          <w:szCs w:val="20"/>
          <w:lang w:val="es-CR"/>
        </w:rPr>
        <w:t xml:space="preserve">; </w:t>
      </w:r>
      <w:proofErr w:type="spellStart"/>
      <w:r w:rsidR="00707CFE">
        <w:rPr>
          <w:rFonts w:ascii="Verdana" w:eastAsia="Times" w:hAnsi="Verdana"/>
          <w:sz w:val="20"/>
          <w:szCs w:val="20"/>
          <w:lang w:val="es-CR"/>
        </w:rPr>
        <w:t>iii</w:t>
      </w:r>
      <w:proofErr w:type="spellEnd"/>
      <w:r w:rsidRPr="00B660E9">
        <w:rPr>
          <w:rFonts w:ascii="Verdana" w:eastAsia="Times" w:hAnsi="Verdana"/>
          <w:sz w:val="20"/>
          <w:szCs w:val="20"/>
          <w:lang w:val="es-CR"/>
        </w:rPr>
        <w:t xml:space="preserve">) </w:t>
      </w:r>
      <w:r w:rsidR="009D04CF">
        <w:rPr>
          <w:rFonts w:ascii="Verdana" w:eastAsia="Times" w:hAnsi="Verdana"/>
          <w:sz w:val="20"/>
          <w:szCs w:val="20"/>
          <w:lang w:val="es-CR"/>
        </w:rPr>
        <w:t>varios ex funcionarios</w:t>
      </w:r>
      <w:r w:rsidRPr="00B660E9">
        <w:rPr>
          <w:rFonts w:ascii="Verdana" w:eastAsia="Times" w:hAnsi="Verdana"/>
          <w:sz w:val="20"/>
          <w:szCs w:val="20"/>
          <w:lang w:val="es-CR"/>
        </w:rPr>
        <w:t xml:space="preserve"> </w:t>
      </w:r>
      <w:r w:rsidR="009D04CF">
        <w:rPr>
          <w:rFonts w:ascii="Verdana" w:eastAsia="Times" w:hAnsi="Verdana"/>
          <w:sz w:val="20"/>
          <w:szCs w:val="20"/>
          <w:lang w:val="es-CR"/>
        </w:rPr>
        <w:t>con órdenes de captura</w:t>
      </w:r>
      <w:r w:rsidRPr="00B660E9">
        <w:rPr>
          <w:rFonts w:ascii="Verdana" w:eastAsia="Times" w:hAnsi="Verdana"/>
          <w:sz w:val="20"/>
          <w:szCs w:val="20"/>
          <w:lang w:val="es-CR"/>
        </w:rPr>
        <w:t xml:space="preserve"> </w:t>
      </w:r>
      <w:r w:rsidR="00C65D9A">
        <w:rPr>
          <w:rFonts w:ascii="Verdana" w:eastAsia="Times" w:hAnsi="Verdana"/>
          <w:sz w:val="20"/>
          <w:szCs w:val="20"/>
          <w:lang w:val="es-CR"/>
        </w:rPr>
        <w:t>“</w:t>
      </w:r>
      <w:r w:rsidRPr="00B660E9">
        <w:rPr>
          <w:rFonts w:ascii="Verdana" w:eastAsia="Times" w:hAnsi="Verdana"/>
          <w:sz w:val="20"/>
          <w:szCs w:val="20"/>
          <w:lang w:val="es-CR"/>
        </w:rPr>
        <w:t>se encuentran prófugos de la justicia y, en consecuencia, en cualquier momento p</w:t>
      </w:r>
      <w:r w:rsidR="009D04CF">
        <w:rPr>
          <w:rFonts w:ascii="Verdana" w:eastAsia="Times" w:hAnsi="Verdana"/>
          <w:sz w:val="20"/>
          <w:szCs w:val="20"/>
          <w:lang w:val="es-CR"/>
        </w:rPr>
        <w:t>odrían</w:t>
      </w:r>
      <w:r w:rsidRPr="00B660E9">
        <w:rPr>
          <w:rFonts w:ascii="Verdana" w:eastAsia="Times" w:hAnsi="Verdana"/>
          <w:sz w:val="20"/>
          <w:szCs w:val="20"/>
          <w:lang w:val="es-CR"/>
        </w:rPr>
        <w:t xml:space="preserve"> atentar contra los fiscales encargados del caso. Además, cuentan todavía con vínculos cercanos a fu</w:t>
      </w:r>
      <w:r w:rsidR="00432624">
        <w:rPr>
          <w:rFonts w:ascii="Verdana" w:eastAsia="Times" w:hAnsi="Verdana"/>
          <w:sz w:val="20"/>
          <w:szCs w:val="20"/>
          <w:lang w:val="es-CR"/>
        </w:rPr>
        <w:t>ncionarios policiales en activo</w:t>
      </w:r>
      <w:r w:rsidRPr="00B660E9">
        <w:rPr>
          <w:rFonts w:ascii="Verdana" w:eastAsia="Times" w:hAnsi="Verdana"/>
          <w:sz w:val="20"/>
          <w:szCs w:val="20"/>
          <w:lang w:val="es-CR"/>
        </w:rPr>
        <w:t xml:space="preserve">”; </w:t>
      </w:r>
      <w:proofErr w:type="spellStart"/>
      <w:r w:rsidR="00707CFE">
        <w:rPr>
          <w:rFonts w:ascii="Verdana" w:eastAsia="Times" w:hAnsi="Verdana"/>
          <w:sz w:val="20"/>
          <w:szCs w:val="20"/>
          <w:lang w:val="es-CR"/>
        </w:rPr>
        <w:t>iv</w:t>
      </w:r>
      <w:proofErr w:type="spellEnd"/>
      <w:r w:rsidRPr="00B660E9">
        <w:rPr>
          <w:rFonts w:ascii="Verdana" w:eastAsia="Times" w:hAnsi="Verdana"/>
          <w:sz w:val="20"/>
          <w:szCs w:val="20"/>
          <w:lang w:val="es-CR"/>
        </w:rPr>
        <w:t>) “</w:t>
      </w:r>
      <w:r w:rsidR="00C65D9A">
        <w:rPr>
          <w:rFonts w:ascii="Verdana" w:eastAsia="Times" w:hAnsi="Verdana"/>
          <w:sz w:val="20"/>
          <w:szCs w:val="20"/>
          <w:lang w:val="es-CR"/>
        </w:rPr>
        <w:t>e</w:t>
      </w:r>
      <w:r w:rsidRPr="00B660E9">
        <w:rPr>
          <w:rFonts w:ascii="Verdana" w:eastAsia="Times" w:hAnsi="Verdana"/>
          <w:sz w:val="20"/>
          <w:szCs w:val="20"/>
          <w:lang w:val="es-CR"/>
        </w:rPr>
        <w:t>l Estado ha generado mecanismos de vigilancia y espionaje sobre funcionarios públicos, los cuales son difundidos a t</w:t>
      </w:r>
      <w:r w:rsidR="00C30F32" w:rsidRPr="00B660E9">
        <w:rPr>
          <w:rFonts w:ascii="Verdana" w:eastAsia="Times" w:hAnsi="Verdana"/>
          <w:sz w:val="20"/>
          <w:szCs w:val="20"/>
          <w:lang w:val="es-CR"/>
        </w:rPr>
        <w:t>ravés de las redes sociales”</w:t>
      </w:r>
      <w:r w:rsidR="00C65D9A">
        <w:rPr>
          <w:rFonts w:ascii="Verdana" w:eastAsia="Times" w:hAnsi="Verdana"/>
          <w:sz w:val="20"/>
          <w:szCs w:val="20"/>
          <w:lang w:val="es-CR"/>
        </w:rPr>
        <w:t>,</w:t>
      </w:r>
      <w:r w:rsidR="00C30F32" w:rsidRPr="00B660E9">
        <w:rPr>
          <w:rFonts w:ascii="Verdana" w:eastAsia="Times" w:hAnsi="Verdana"/>
          <w:sz w:val="20"/>
          <w:szCs w:val="20"/>
          <w:lang w:val="es-CR"/>
        </w:rPr>
        <w:t xml:space="preserve"> </w:t>
      </w:r>
      <w:r w:rsidR="007A3E38" w:rsidRPr="00B660E9">
        <w:rPr>
          <w:rFonts w:ascii="Verdana" w:eastAsia="Times" w:hAnsi="Verdana"/>
          <w:sz w:val="20"/>
          <w:szCs w:val="20"/>
          <w:lang w:val="es-CR"/>
        </w:rPr>
        <w:t xml:space="preserve">y </w:t>
      </w:r>
      <w:r w:rsidR="00707CFE">
        <w:rPr>
          <w:rFonts w:ascii="Verdana" w:eastAsia="Times" w:hAnsi="Verdana"/>
          <w:sz w:val="20"/>
          <w:szCs w:val="20"/>
          <w:lang w:val="es-CR"/>
        </w:rPr>
        <w:t>v</w:t>
      </w:r>
      <w:r w:rsidRPr="00B660E9">
        <w:rPr>
          <w:rFonts w:ascii="Verdana" w:eastAsia="Times" w:hAnsi="Verdana"/>
          <w:sz w:val="20"/>
          <w:szCs w:val="20"/>
          <w:lang w:val="es-CR"/>
        </w:rPr>
        <w:t>) los fiscales “al ser arbitrariamente destituidos de sus cargos, se verán expuestos a perder los esquemas de seguridad del Ministerio Público y a que se pueda atentar contra su vida e integridad personal”</w:t>
      </w:r>
      <w:r w:rsidR="00A93274">
        <w:rPr>
          <w:rFonts w:ascii="Verdana" w:eastAsia="Times" w:hAnsi="Verdana"/>
          <w:sz w:val="20"/>
          <w:szCs w:val="20"/>
          <w:lang w:val="es-CR"/>
        </w:rPr>
        <w:t>;</w:t>
      </w:r>
    </w:p>
    <w:p w14:paraId="6C1AEDA6" w14:textId="164BC60E" w:rsidR="007A3E38" w:rsidRPr="00B660E9" w:rsidRDefault="00A926EF" w:rsidP="005114DA">
      <w:pPr>
        <w:pStyle w:val="Prrafodelista"/>
        <w:numPr>
          <w:ilvl w:val="0"/>
          <w:numId w:val="9"/>
        </w:numPr>
        <w:spacing w:before="120" w:after="120"/>
        <w:ind w:left="851" w:hanging="425"/>
        <w:contextualSpacing w:val="0"/>
        <w:jc w:val="both"/>
        <w:rPr>
          <w:rFonts w:ascii="Verdana" w:eastAsia="Times" w:hAnsi="Verdana"/>
          <w:bCs/>
          <w:sz w:val="20"/>
          <w:szCs w:val="20"/>
          <w:lang w:val="es-CR"/>
        </w:rPr>
      </w:pPr>
      <w:r w:rsidRPr="00B660E9">
        <w:rPr>
          <w:rFonts w:ascii="Verdana" w:eastAsia="Times" w:hAnsi="Verdana"/>
          <w:sz w:val="20"/>
          <w:szCs w:val="20"/>
          <w:lang w:val="es-CR"/>
        </w:rPr>
        <w:t xml:space="preserve">En cuanto a la </w:t>
      </w:r>
      <w:r w:rsidRPr="00B660E9">
        <w:rPr>
          <w:rFonts w:ascii="Verdana" w:eastAsia="Times" w:hAnsi="Verdana"/>
          <w:i/>
          <w:sz w:val="20"/>
          <w:szCs w:val="20"/>
          <w:lang w:val="es-CR"/>
        </w:rPr>
        <w:t>urgencia</w:t>
      </w:r>
      <w:r w:rsidRPr="00B660E9">
        <w:rPr>
          <w:rFonts w:ascii="Verdana" w:eastAsia="Times" w:hAnsi="Verdana"/>
          <w:sz w:val="20"/>
          <w:szCs w:val="20"/>
          <w:lang w:val="es-CR"/>
        </w:rPr>
        <w:t>, manifestaron que “la inminencia de la audiencia de apertura a juicio</w:t>
      </w:r>
      <w:r w:rsidR="006533A3">
        <w:rPr>
          <w:rFonts w:ascii="Verdana" w:eastAsia="Times" w:hAnsi="Verdana"/>
          <w:sz w:val="20"/>
          <w:szCs w:val="20"/>
          <w:lang w:val="es-CR"/>
        </w:rPr>
        <w:t>”</w:t>
      </w:r>
      <w:r w:rsidRPr="00B660E9">
        <w:rPr>
          <w:rFonts w:ascii="Verdana" w:eastAsia="Times" w:hAnsi="Verdana"/>
          <w:sz w:val="20"/>
          <w:szCs w:val="20"/>
          <w:lang w:val="es-CR"/>
        </w:rPr>
        <w:t xml:space="preserve"> de los acusados de la </w:t>
      </w:r>
      <w:r w:rsidR="006533A3">
        <w:rPr>
          <w:rFonts w:ascii="Verdana" w:eastAsia="Times" w:hAnsi="Verdana"/>
          <w:sz w:val="20"/>
          <w:szCs w:val="20"/>
          <w:lang w:val="es-CR"/>
        </w:rPr>
        <w:t>ejecuci</w:t>
      </w:r>
      <w:r w:rsidR="00BC564C">
        <w:rPr>
          <w:rFonts w:ascii="Verdana" w:eastAsia="Times" w:hAnsi="Verdana"/>
          <w:sz w:val="20"/>
          <w:szCs w:val="20"/>
          <w:lang w:val="es-CR"/>
        </w:rPr>
        <w:t>ón</w:t>
      </w:r>
      <w:r w:rsidRPr="00B660E9">
        <w:rPr>
          <w:rFonts w:ascii="Verdana" w:eastAsia="Times" w:hAnsi="Verdana"/>
          <w:sz w:val="20"/>
          <w:szCs w:val="20"/>
          <w:lang w:val="es-CR"/>
        </w:rPr>
        <w:t xml:space="preserve"> </w:t>
      </w:r>
      <w:r w:rsidR="006533A3">
        <w:rPr>
          <w:rFonts w:ascii="Verdana" w:eastAsia="Times" w:hAnsi="Verdana"/>
          <w:sz w:val="20"/>
          <w:szCs w:val="20"/>
          <w:lang w:val="es-CR"/>
        </w:rPr>
        <w:t>e</w:t>
      </w:r>
      <w:r w:rsidRPr="00B660E9">
        <w:rPr>
          <w:rFonts w:ascii="Verdana" w:eastAsia="Times" w:hAnsi="Verdana"/>
          <w:sz w:val="20"/>
          <w:szCs w:val="20"/>
          <w:lang w:val="es-CR"/>
        </w:rPr>
        <w:t>xtrajudicial de</w:t>
      </w:r>
      <w:r w:rsidR="00BC564C">
        <w:rPr>
          <w:rFonts w:ascii="Verdana" w:eastAsia="Times" w:hAnsi="Verdana"/>
          <w:sz w:val="20"/>
          <w:szCs w:val="20"/>
          <w:lang w:val="es-CR"/>
        </w:rPr>
        <w:t>l señor</w:t>
      </w:r>
      <w:r w:rsidRPr="00B660E9">
        <w:rPr>
          <w:rFonts w:ascii="Verdana" w:eastAsia="Times" w:hAnsi="Verdana"/>
          <w:sz w:val="20"/>
          <w:szCs w:val="20"/>
          <w:lang w:val="es-CR"/>
        </w:rPr>
        <w:t xml:space="preserve"> Valenzuela Ávila, “incrementa y actualiza” el riesgo. A</w:t>
      </w:r>
      <w:r w:rsidR="006533A3">
        <w:rPr>
          <w:rFonts w:ascii="Verdana" w:eastAsia="Times" w:hAnsi="Verdana"/>
          <w:sz w:val="20"/>
          <w:szCs w:val="20"/>
          <w:lang w:val="es-CR"/>
        </w:rPr>
        <w:t>demás, “el hecho</w:t>
      </w:r>
      <w:r w:rsidRPr="00B660E9">
        <w:rPr>
          <w:rFonts w:ascii="Verdana" w:eastAsia="Times" w:hAnsi="Verdana"/>
          <w:sz w:val="20"/>
          <w:szCs w:val="20"/>
          <w:lang w:val="es-CR"/>
        </w:rPr>
        <w:t xml:space="preserve"> que </w:t>
      </w:r>
      <w:proofErr w:type="gramStart"/>
      <w:r w:rsidRPr="00B660E9">
        <w:rPr>
          <w:rFonts w:ascii="Verdana" w:eastAsia="Times" w:hAnsi="Verdana"/>
          <w:sz w:val="20"/>
          <w:szCs w:val="20"/>
          <w:lang w:val="es-CR"/>
        </w:rPr>
        <w:t>varios de los imputados se encuentre</w:t>
      </w:r>
      <w:proofErr w:type="gramEnd"/>
      <w:r w:rsidRPr="00B660E9">
        <w:rPr>
          <w:rFonts w:ascii="Verdana" w:eastAsia="Times" w:hAnsi="Verdana"/>
          <w:sz w:val="20"/>
          <w:szCs w:val="20"/>
          <w:lang w:val="es-CR"/>
        </w:rPr>
        <w:t>[n] prófugos</w:t>
      </w:r>
      <w:r w:rsidR="006533A3">
        <w:rPr>
          <w:rFonts w:ascii="Verdana" w:eastAsia="Times" w:hAnsi="Verdana"/>
          <w:sz w:val="20"/>
          <w:szCs w:val="20"/>
          <w:lang w:val="es-CR"/>
        </w:rPr>
        <w:t xml:space="preserve"> [</w:t>
      </w:r>
      <w:r w:rsidRPr="00B660E9">
        <w:rPr>
          <w:rFonts w:ascii="Verdana" w:eastAsia="Times" w:hAnsi="Verdana"/>
          <w:sz w:val="20"/>
          <w:szCs w:val="20"/>
          <w:lang w:val="es-CR"/>
        </w:rPr>
        <w:t xml:space="preserve">o </w:t>
      </w:r>
      <w:r w:rsidR="006533A3">
        <w:rPr>
          <w:rFonts w:ascii="Verdana" w:eastAsia="Times" w:hAnsi="Verdana"/>
          <w:sz w:val="20"/>
          <w:szCs w:val="20"/>
          <w:lang w:val="es-CR"/>
        </w:rPr>
        <w:t xml:space="preserve">que] </w:t>
      </w:r>
      <w:r w:rsidRPr="00B660E9">
        <w:rPr>
          <w:rFonts w:ascii="Verdana" w:eastAsia="Times" w:hAnsi="Verdana"/>
          <w:sz w:val="20"/>
          <w:szCs w:val="20"/>
          <w:lang w:val="es-CR"/>
        </w:rPr>
        <w:t>algunos de los acusados gocen de medidas sustitutivas, refuerza el poder de los agresores</w:t>
      </w:r>
      <w:r w:rsidR="006533A3">
        <w:rPr>
          <w:rFonts w:ascii="Verdana" w:eastAsia="Times" w:hAnsi="Verdana"/>
          <w:sz w:val="20"/>
          <w:szCs w:val="20"/>
          <w:lang w:val="es-CR"/>
        </w:rPr>
        <w:t>” y “</w:t>
      </w:r>
      <w:r w:rsidRPr="00B660E9">
        <w:rPr>
          <w:rFonts w:ascii="Verdana" w:eastAsia="Times" w:hAnsi="Verdana"/>
          <w:sz w:val="20"/>
          <w:szCs w:val="20"/>
          <w:lang w:val="es-CR"/>
        </w:rPr>
        <w:t>los actos d</w:t>
      </w:r>
      <w:r w:rsidR="007A3E38" w:rsidRPr="00B660E9">
        <w:rPr>
          <w:rFonts w:ascii="Verdana" w:eastAsia="Times" w:hAnsi="Verdana"/>
          <w:sz w:val="20"/>
          <w:szCs w:val="20"/>
          <w:lang w:val="es-CR"/>
        </w:rPr>
        <w:t>e intimidación”. Igualmente,</w:t>
      </w:r>
      <w:r w:rsidR="00E02EBE">
        <w:rPr>
          <w:rFonts w:ascii="Verdana" w:eastAsia="Times" w:hAnsi="Verdana"/>
          <w:sz w:val="20"/>
          <w:szCs w:val="20"/>
          <w:lang w:val="es-CR"/>
        </w:rPr>
        <w:t xml:space="preserve"> al</w:t>
      </w:r>
      <w:r w:rsidR="007A3E38" w:rsidRPr="00B660E9">
        <w:rPr>
          <w:rFonts w:ascii="Verdana" w:eastAsia="Times" w:hAnsi="Verdana"/>
          <w:sz w:val="20"/>
          <w:szCs w:val="20"/>
          <w:lang w:val="es-CR"/>
        </w:rPr>
        <w:t xml:space="preserve"> </w:t>
      </w:r>
      <w:r w:rsidRPr="00B660E9">
        <w:rPr>
          <w:rFonts w:ascii="Verdana" w:eastAsia="Times" w:hAnsi="Verdana"/>
          <w:sz w:val="20"/>
          <w:szCs w:val="20"/>
          <w:lang w:val="es-CR"/>
        </w:rPr>
        <w:t>no haberse “efectuado medidas de investigación contra los posibles autores materiales de los planes de atentado contra la vida de los fiscales, provoca que estos planes puedan materializarse”</w:t>
      </w:r>
      <w:r w:rsidR="0006718F">
        <w:rPr>
          <w:rFonts w:ascii="Verdana" w:eastAsia="Times" w:hAnsi="Verdana"/>
          <w:sz w:val="20"/>
          <w:szCs w:val="20"/>
          <w:lang w:val="es-CR"/>
        </w:rPr>
        <w:t>, y</w:t>
      </w:r>
    </w:p>
    <w:p w14:paraId="601BF6CF" w14:textId="7861C3A1" w:rsidR="0070089B" w:rsidRPr="0070089B" w:rsidRDefault="00A27FAD" w:rsidP="005114DA">
      <w:pPr>
        <w:pStyle w:val="Prrafodelista"/>
        <w:numPr>
          <w:ilvl w:val="0"/>
          <w:numId w:val="9"/>
        </w:numPr>
        <w:spacing w:before="120" w:after="120"/>
        <w:ind w:left="851" w:hanging="425"/>
        <w:contextualSpacing w:val="0"/>
        <w:jc w:val="both"/>
        <w:rPr>
          <w:rFonts w:ascii="Verdana" w:eastAsia="Times" w:hAnsi="Verdana"/>
          <w:bCs/>
          <w:sz w:val="20"/>
          <w:szCs w:val="20"/>
          <w:lang w:val="es-CR"/>
        </w:rPr>
      </w:pPr>
      <w:r w:rsidRPr="00B660E9">
        <w:rPr>
          <w:rFonts w:ascii="Verdana" w:eastAsia="Times" w:hAnsi="Verdana"/>
          <w:sz w:val="20"/>
          <w:szCs w:val="20"/>
          <w:lang w:val="es-CR"/>
        </w:rPr>
        <w:t xml:space="preserve">Por último, en lo referente a la </w:t>
      </w:r>
      <w:proofErr w:type="spellStart"/>
      <w:r w:rsidRPr="00B660E9">
        <w:rPr>
          <w:rFonts w:ascii="Verdana" w:eastAsia="Times" w:hAnsi="Verdana"/>
          <w:i/>
          <w:sz w:val="20"/>
          <w:szCs w:val="20"/>
          <w:lang w:val="es-CR"/>
        </w:rPr>
        <w:t>irreparabilidad</w:t>
      </w:r>
      <w:proofErr w:type="spellEnd"/>
      <w:r w:rsidRPr="00B660E9">
        <w:rPr>
          <w:rFonts w:ascii="Verdana" w:eastAsia="Times" w:hAnsi="Verdana"/>
          <w:i/>
          <w:sz w:val="20"/>
          <w:szCs w:val="20"/>
          <w:lang w:val="es-CR"/>
        </w:rPr>
        <w:t xml:space="preserve"> </w:t>
      </w:r>
      <w:r w:rsidRPr="00B660E9">
        <w:rPr>
          <w:rFonts w:ascii="Verdana" w:eastAsia="Times" w:hAnsi="Verdana"/>
          <w:sz w:val="20"/>
          <w:szCs w:val="20"/>
          <w:lang w:val="es-CR"/>
        </w:rPr>
        <w:t xml:space="preserve">del daño, sostuvieron </w:t>
      </w:r>
      <w:r w:rsidR="00A926EF" w:rsidRPr="00B660E9">
        <w:rPr>
          <w:rFonts w:ascii="Verdana" w:eastAsia="Times" w:hAnsi="Verdana"/>
          <w:sz w:val="20"/>
          <w:szCs w:val="20"/>
          <w:lang w:val="es-CR"/>
        </w:rPr>
        <w:t>que “los actos descritos atentan contra los derechos más fundamentales, como el derecho a la vida</w:t>
      </w:r>
      <w:r w:rsidR="007A03C0">
        <w:rPr>
          <w:rFonts w:ascii="Verdana" w:eastAsia="Times" w:hAnsi="Verdana"/>
          <w:sz w:val="20"/>
          <w:szCs w:val="20"/>
          <w:lang w:val="es-CR"/>
        </w:rPr>
        <w:t xml:space="preserve"> […]</w:t>
      </w:r>
      <w:r w:rsidR="00A926EF" w:rsidRPr="00B660E9">
        <w:rPr>
          <w:rFonts w:ascii="Verdana" w:eastAsia="Times" w:hAnsi="Verdana"/>
          <w:sz w:val="20"/>
          <w:szCs w:val="20"/>
          <w:lang w:val="es-CR"/>
        </w:rPr>
        <w:t>, la integridad personal</w:t>
      </w:r>
      <w:r w:rsidR="007A03C0">
        <w:rPr>
          <w:rFonts w:ascii="Verdana" w:eastAsia="Times" w:hAnsi="Verdana"/>
          <w:sz w:val="20"/>
          <w:szCs w:val="20"/>
          <w:lang w:val="es-CR"/>
        </w:rPr>
        <w:t xml:space="preserve"> […]</w:t>
      </w:r>
      <w:r w:rsidR="00A926EF" w:rsidRPr="00B660E9">
        <w:rPr>
          <w:rFonts w:ascii="Verdana" w:eastAsia="Times" w:hAnsi="Verdana"/>
          <w:sz w:val="20"/>
          <w:szCs w:val="20"/>
          <w:lang w:val="es-CR"/>
        </w:rPr>
        <w:t xml:space="preserve">, el derecho a la libertad de autodeterminación, la tranquilidad personal y la salud mental para el ejercicio de la función </w:t>
      </w:r>
      <w:proofErr w:type="spellStart"/>
      <w:r w:rsidR="00A926EF" w:rsidRPr="00B660E9">
        <w:rPr>
          <w:rFonts w:ascii="Verdana" w:eastAsia="Times" w:hAnsi="Verdana"/>
          <w:sz w:val="20"/>
          <w:szCs w:val="20"/>
          <w:lang w:val="es-CR"/>
        </w:rPr>
        <w:t>fisc</w:t>
      </w:r>
      <w:proofErr w:type="spellEnd"/>
      <w:r w:rsidR="007A03C0">
        <w:rPr>
          <w:rFonts w:ascii="Verdana" w:eastAsia="Times" w:hAnsi="Verdana"/>
          <w:sz w:val="20"/>
          <w:szCs w:val="20"/>
          <w:lang w:val="es-CR"/>
        </w:rPr>
        <w:t>[</w:t>
      </w:r>
      <w:r w:rsidR="00A926EF" w:rsidRPr="00B660E9">
        <w:rPr>
          <w:rFonts w:ascii="Verdana" w:eastAsia="Times" w:hAnsi="Verdana"/>
          <w:sz w:val="20"/>
          <w:szCs w:val="20"/>
          <w:lang w:val="es-CR"/>
        </w:rPr>
        <w:t>al</w:t>
      </w:r>
      <w:r w:rsidR="007A03C0">
        <w:rPr>
          <w:rFonts w:ascii="Verdana" w:eastAsia="Times" w:hAnsi="Verdana"/>
          <w:sz w:val="20"/>
          <w:szCs w:val="20"/>
          <w:lang w:val="es-CR"/>
        </w:rPr>
        <w:t>]</w:t>
      </w:r>
      <w:r w:rsidR="00A926EF" w:rsidRPr="00B660E9">
        <w:rPr>
          <w:rFonts w:ascii="Verdana" w:eastAsia="Times" w:hAnsi="Verdana"/>
          <w:sz w:val="20"/>
          <w:szCs w:val="20"/>
          <w:lang w:val="es-CR"/>
        </w:rPr>
        <w:t xml:space="preserve">. En ese marco, la posible afectación al derecho a la vida e integridad personal, constituyen la máxima situación de </w:t>
      </w:r>
      <w:proofErr w:type="spellStart"/>
      <w:r w:rsidR="00A926EF" w:rsidRPr="00B660E9">
        <w:rPr>
          <w:rFonts w:ascii="Verdana" w:eastAsia="Times" w:hAnsi="Verdana"/>
          <w:sz w:val="20"/>
          <w:szCs w:val="20"/>
          <w:lang w:val="es-CR"/>
        </w:rPr>
        <w:t>irreparabilidad</w:t>
      </w:r>
      <w:proofErr w:type="spellEnd"/>
      <w:r w:rsidR="00A926EF" w:rsidRPr="00B660E9">
        <w:rPr>
          <w:rFonts w:ascii="Verdana" w:eastAsia="Times" w:hAnsi="Verdana"/>
          <w:sz w:val="20"/>
          <w:szCs w:val="20"/>
          <w:lang w:val="es-CR"/>
        </w:rPr>
        <w:t>”</w:t>
      </w:r>
      <w:bookmarkStart w:id="1" w:name="_Toc79421168"/>
      <w:bookmarkStart w:id="2" w:name="_Toc20920734"/>
      <w:r w:rsidR="0006718F">
        <w:rPr>
          <w:rFonts w:ascii="Verdana" w:eastAsia="Times" w:hAnsi="Verdana"/>
          <w:sz w:val="20"/>
          <w:szCs w:val="20"/>
          <w:lang w:val="es-CR"/>
        </w:rPr>
        <w:t>.</w:t>
      </w:r>
    </w:p>
    <w:p w14:paraId="2BD846A1" w14:textId="77777777" w:rsidR="0070089B" w:rsidRPr="0070089B" w:rsidRDefault="007A3E38" w:rsidP="0070089B">
      <w:pPr>
        <w:pStyle w:val="Prrafodelista"/>
        <w:numPr>
          <w:ilvl w:val="0"/>
          <w:numId w:val="23"/>
        </w:numPr>
        <w:spacing w:before="120" w:after="120"/>
        <w:contextualSpacing w:val="0"/>
        <w:jc w:val="both"/>
        <w:rPr>
          <w:rFonts w:ascii="Verdana" w:eastAsia="Calibri" w:hAnsi="Verdana"/>
          <w:i/>
          <w:sz w:val="20"/>
          <w:szCs w:val="20"/>
        </w:rPr>
      </w:pPr>
      <w:r w:rsidRPr="00B660E9">
        <w:rPr>
          <w:rFonts w:ascii="Verdana" w:eastAsia="Calibri" w:hAnsi="Verdana"/>
          <w:i/>
          <w:sz w:val="20"/>
          <w:szCs w:val="20"/>
        </w:rPr>
        <w:t>Solicitud presentada por las representantes</w:t>
      </w:r>
      <w:r w:rsidR="0062353B" w:rsidRPr="00B660E9">
        <w:rPr>
          <w:rFonts w:ascii="Verdana" w:eastAsia="Calibri" w:hAnsi="Verdana"/>
          <w:i/>
          <w:sz w:val="20"/>
          <w:szCs w:val="20"/>
        </w:rPr>
        <w:t xml:space="preserve"> del c</w:t>
      </w:r>
      <w:r w:rsidRPr="00B660E9">
        <w:rPr>
          <w:rFonts w:ascii="Verdana" w:eastAsia="Calibri" w:hAnsi="Verdana"/>
          <w:i/>
          <w:sz w:val="20"/>
          <w:szCs w:val="20"/>
        </w:rPr>
        <w:t xml:space="preserve">aso </w:t>
      </w:r>
      <w:r w:rsidR="0062353B" w:rsidRPr="00B660E9">
        <w:rPr>
          <w:rFonts w:ascii="Verdana" w:eastAsia="Calibri" w:hAnsi="Verdana"/>
          <w:i/>
          <w:sz w:val="20"/>
          <w:szCs w:val="20"/>
        </w:rPr>
        <w:t>Ruiz Fuente</w:t>
      </w:r>
      <w:r w:rsidR="001E1DAC">
        <w:rPr>
          <w:rFonts w:ascii="Verdana" w:eastAsia="Calibri" w:hAnsi="Verdana"/>
          <w:i/>
          <w:sz w:val="20"/>
          <w:szCs w:val="20"/>
        </w:rPr>
        <w:t>s</w:t>
      </w:r>
      <w:r w:rsidR="0062353B" w:rsidRPr="00B660E9">
        <w:rPr>
          <w:rFonts w:ascii="Verdana" w:eastAsia="Calibri" w:hAnsi="Verdana"/>
          <w:i/>
          <w:sz w:val="20"/>
          <w:szCs w:val="20"/>
        </w:rPr>
        <w:t xml:space="preserve"> y otra</w:t>
      </w:r>
    </w:p>
    <w:p w14:paraId="231A69C1" w14:textId="3DE6897F" w:rsidR="0062353B" w:rsidRPr="00B660E9" w:rsidRDefault="003B2F78" w:rsidP="009E553B">
      <w:pPr>
        <w:numPr>
          <w:ilvl w:val="0"/>
          <w:numId w:val="2"/>
        </w:numPr>
        <w:spacing w:before="120" w:after="120"/>
        <w:ind w:left="0" w:firstLine="0"/>
        <w:jc w:val="both"/>
        <w:rPr>
          <w:rFonts w:ascii="Verdana" w:eastAsiaTheme="minorHAnsi" w:hAnsi="Verdana" w:cs="Verdana"/>
          <w:sz w:val="20"/>
          <w:szCs w:val="20"/>
          <w:lang w:val="es-CR"/>
        </w:rPr>
      </w:pPr>
      <w:r>
        <w:rPr>
          <w:rFonts w:ascii="Verdana" w:hAnsi="Verdana"/>
          <w:sz w:val="20"/>
          <w:szCs w:val="20"/>
          <w:lang w:val="es-MX"/>
        </w:rPr>
        <w:t>Mediante escrito de</w:t>
      </w:r>
      <w:r w:rsidR="0062353B" w:rsidRPr="00B660E9">
        <w:rPr>
          <w:rFonts w:ascii="Verdana" w:hAnsi="Verdana"/>
          <w:sz w:val="20"/>
          <w:szCs w:val="20"/>
          <w:lang w:val="es-MX"/>
        </w:rPr>
        <w:t xml:space="preserve"> 12 de agosto de 2021, las representantes se adhirieron</w:t>
      </w:r>
      <w:r w:rsidR="0062353B" w:rsidRPr="00B660E9">
        <w:rPr>
          <w:rFonts w:ascii="Verdana" w:eastAsiaTheme="minorHAnsi" w:hAnsi="Verdana" w:cs="Verdana"/>
          <w:sz w:val="20"/>
          <w:szCs w:val="20"/>
          <w:lang w:val="es-CR"/>
        </w:rPr>
        <w:t xml:space="preserve"> a la solicitud de medidas provisionales presentada en el caso </w:t>
      </w:r>
      <w:r w:rsidR="0062353B" w:rsidRPr="00B660E9">
        <w:rPr>
          <w:rFonts w:ascii="Verdana" w:eastAsiaTheme="minorHAnsi" w:hAnsi="Verdana" w:cs="Verdana"/>
          <w:i/>
          <w:iCs/>
          <w:sz w:val="20"/>
          <w:szCs w:val="20"/>
          <w:lang w:val="es-CR"/>
        </w:rPr>
        <w:t>Valenzuela Ávila,</w:t>
      </w:r>
      <w:r w:rsidR="0062353B" w:rsidRPr="00B660E9">
        <w:rPr>
          <w:rFonts w:ascii="Verdana" w:eastAsiaTheme="minorHAnsi" w:hAnsi="Verdana" w:cs="Verdana"/>
          <w:iCs/>
          <w:sz w:val="20"/>
          <w:szCs w:val="20"/>
          <w:lang w:val="es-CR"/>
        </w:rPr>
        <w:t xml:space="preserve"> y</w:t>
      </w:r>
      <w:r w:rsidR="0062353B" w:rsidRPr="00B660E9">
        <w:rPr>
          <w:rFonts w:ascii="Verdana" w:eastAsiaTheme="minorHAnsi" w:hAnsi="Verdana" w:cs="Verdana"/>
          <w:i/>
          <w:iCs/>
          <w:sz w:val="20"/>
          <w:szCs w:val="20"/>
          <w:lang w:val="es-CR"/>
        </w:rPr>
        <w:t xml:space="preserve"> </w:t>
      </w:r>
      <w:r w:rsidR="0062353B" w:rsidRPr="00B660E9">
        <w:rPr>
          <w:rFonts w:ascii="Verdana" w:eastAsiaTheme="minorHAnsi" w:hAnsi="Verdana" w:cs="Verdana"/>
          <w:sz w:val="20"/>
          <w:szCs w:val="20"/>
          <w:lang w:val="es-CR"/>
        </w:rPr>
        <w:t>solicitaron</w:t>
      </w:r>
      <w:r w:rsidR="009E553B" w:rsidRPr="00B660E9">
        <w:rPr>
          <w:rFonts w:ascii="Verdana" w:eastAsiaTheme="minorHAnsi" w:hAnsi="Verdana" w:cs="Verdana"/>
          <w:sz w:val="20"/>
          <w:szCs w:val="20"/>
          <w:lang w:val="es-CR"/>
        </w:rPr>
        <w:t xml:space="preserve"> a la Corte que, a fin de garantizar el </w:t>
      </w:r>
      <w:r w:rsidR="009E553B" w:rsidRPr="00B660E9">
        <w:rPr>
          <w:rFonts w:ascii="Verdana" w:eastAsiaTheme="minorHAnsi" w:hAnsi="Verdana" w:cs="ArialMT"/>
          <w:sz w:val="20"/>
          <w:szCs w:val="20"/>
          <w:lang w:val="es-CR"/>
        </w:rPr>
        <w:t xml:space="preserve">acceso a la justicia de las víctimas de los casos </w:t>
      </w:r>
      <w:r w:rsidR="009E553B" w:rsidRPr="00B660E9">
        <w:rPr>
          <w:rFonts w:ascii="Verdana" w:hAnsi="Verdana"/>
          <w:i/>
          <w:sz w:val="20"/>
          <w:szCs w:val="20"/>
        </w:rPr>
        <w:t>Valenzuela Ávila</w:t>
      </w:r>
      <w:r w:rsidR="009E553B" w:rsidRPr="00B660E9">
        <w:rPr>
          <w:rFonts w:ascii="Verdana" w:hAnsi="Verdana"/>
          <w:sz w:val="20"/>
          <w:szCs w:val="20"/>
        </w:rPr>
        <w:t xml:space="preserve"> y </w:t>
      </w:r>
      <w:r w:rsidR="009E553B" w:rsidRPr="00B660E9">
        <w:rPr>
          <w:rFonts w:ascii="Verdana" w:hAnsi="Verdana"/>
          <w:i/>
          <w:sz w:val="20"/>
          <w:szCs w:val="20"/>
        </w:rPr>
        <w:t>Ruiz Fuentes y otra</w:t>
      </w:r>
      <w:r w:rsidR="009E553B" w:rsidRPr="00B660E9">
        <w:rPr>
          <w:rFonts w:ascii="Verdana" w:eastAsiaTheme="minorHAnsi" w:hAnsi="Verdana" w:cs="Verdana"/>
          <w:sz w:val="20"/>
          <w:szCs w:val="20"/>
          <w:lang w:val="es-CR"/>
        </w:rPr>
        <w:t xml:space="preserve">, </w:t>
      </w:r>
      <w:r w:rsidR="0062353B" w:rsidRPr="00B660E9">
        <w:rPr>
          <w:rFonts w:ascii="Verdana" w:eastAsiaTheme="minorHAnsi" w:hAnsi="Verdana" w:cs="Verdana"/>
          <w:sz w:val="20"/>
          <w:szCs w:val="20"/>
          <w:lang w:val="es-CR"/>
        </w:rPr>
        <w:t>ordene las siguientes “medidas de protección”:</w:t>
      </w:r>
    </w:p>
    <w:p w14:paraId="4757CDBB" w14:textId="784CF742" w:rsidR="00F109DA" w:rsidRPr="00B660E9" w:rsidRDefault="0062353B" w:rsidP="00B660E9">
      <w:pPr>
        <w:pStyle w:val="Prrafodelista"/>
        <w:numPr>
          <w:ilvl w:val="0"/>
          <w:numId w:val="26"/>
        </w:numPr>
        <w:spacing w:before="120" w:after="120"/>
        <w:ind w:left="850" w:hanging="425"/>
        <w:jc w:val="both"/>
        <w:rPr>
          <w:rFonts w:ascii="Verdana" w:eastAsiaTheme="minorHAnsi" w:hAnsi="Verdana" w:cs="Verdana"/>
          <w:sz w:val="16"/>
          <w:szCs w:val="16"/>
          <w:lang w:val="es-CR"/>
        </w:rPr>
      </w:pPr>
      <w:r w:rsidRPr="00B660E9">
        <w:rPr>
          <w:rFonts w:ascii="Verdana" w:eastAsiaTheme="minorHAnsi" w:hAnsi="Verdana" w:cs="Verdana"/>
          <w:sz w:val="16"/>
          <w:szCs w:val="16"/>
          <w:lang w:val="es-CR"/>
        </w:rPr>
        <w:t>Restituir a Juan Francisco Sandoval Alfaro a su puesto y adoptar todas las medidas necesarias para que este pueda llevar a cabo sus funciones de manera independiente</w:t>
      </w:r>
      <w:r w:rsidR="007A03C0">
        <w:rPr>
          <w:rFonts w:ascii="Verdana" w:eastAsiaTheme="minorHAnsi" w:hAnsi="Verdana" w:cs="Verdana"/>
          <w:sz w:val="16"/>
          <w:szCs w:val="16"/>
          <w:lang w:val="es-CR"/>
        </w:rPr>
        <w:t>;</w:t>
      </w:r>
    </w:p>
    <w:p w14:paraId="0E7C56C1" w14:textId="735DDBFB" w:rsidR="00F109DA" w:rsidRPr="00B660E9" w:rsidRDefault="0062353B" w:rsidP="00B660E9">
      <w:pPr>
        <w:pStyle w:val="Prrafodelista"/>
        <w:numPr>
          <w:ilvl w:val="0"/>
          <w:numId w:val="26"/>
        </w:numPr>
        <w:spacing w:before="120" w:after="120"/>
        <w:ind w:left="850" w:hanging="425"/>
        <w:jc w:val="both"/>
        <w:rPr>
          <w:rFonts w:ascii="Verdana" w:eastAsiaTheme="minorHAnsi" w:hAnsi="Verdana" w:cs="Verdana"/>
          <w:sz w:val="16"/>
          <w:szCs w:val="16"/>
          <w:lang w:val="es-CR"/>
        </w:rPr>
      </w:pPr>
      <w:r w:rsidRPr="00B660E9">
        <w:rPr>
          <w:rFonts w:ascii="Verdana" w:hAnsi="Verdana" w:cs="ArialMT"/>
          <w:sz w:val="16"/>
          <w:szCs w:val="16"/>
        </w:rPr>
        <w:lastRenderedPageBreak/>
        <w:t>Abstenerse de adoptar cualquier tipo de medidas que puedan poner en riesgo la independencia de las investigaciones que se llevan adelante en este caso, inclu</w:t>
      </w:r>
      <w:r w:rsidRPr="00B660E9">
        <w:rPr>
          <w:rFonts w:ascii="Verdana" w:eastAsia="Arial" w:hAnsi="Verdana" w:cs="Arial"/>
          <w:sz w:val="16"/>
          <w:szCs w:val="16"/>
        </w:rPr>
        <w:t>y</w:t>
      </w:r>
      <w:r w:rsidRPr="00B660E9">
        <w:rPr>
          <w:rFonts w:ascii="Verdana" w:hAnsi="Verdana" w:cs="ArialMT"/>
          <w:sz w:val="16"/>
          <w:szCs w:val="16"/>
        </w:rPr>
        <w:t xml:space="preserve">endo el sometimiento del Fiscal </w:t>
      </w:r>
      <w:r w:rsidRPr="00B660E9">
        <w:rPr>
          <w:rFonts w:ascii="Verdana" w:eastAsia="Arial" w:hAnsi="Verdana" w:cs="Arial"/>
          <w:sz w:val="16"/>
          <w:szCs w:val="16"/>
        </w:rPr>
        <w:t>“</w:t>
      </w:r>
      <w:r w:rsidRPr="00B660E9">
        <w:rPr>
          <w:rFonts w:ascii="Verdana" w:hAnsi="Verdana" w:cs="ArialMT"/>
          <w:sz w:val="16"/>
          <w:szCs w:val="16"/>
        </w:rPr>
        <w:t>B</w:t>
      </w:r>
      <w:r w:rsidRPr="00B660E9">
        <w:rPr>
          <w:rFonts w:ascii="Verdana" w:eastAsia="Arial" w:hAnsi="Verdana" w:cs="Arial"/>
          <w:sz w:val="16"/>
          <w:szCs w:val="16"/>
        </w:rPr>
        <w:t>” y</w:t>
      </w:r>
      <w:r w:rsidRPr="00B660E9">
        <w:rPr>
          <w:rFonts w:ascii="Verdana" w:hAnsi="Verdana" w:cs="ArialMT"/>
          <w:sz w:val="16"/>
          <w:szCs w:val="16"/>
        </w:rPr>
        <w:t xml:space="preserve"> del Fiscal Au</w:t>
      </w:r>
      <w:r w:rsidRPr="00B660E9">
        <w:rPr>
          <w:rFonts w:ascii="Verdana" w:eastAsia="Arial" w:hAnsi="Verdana" w:cs="Arial"/>
          <w:sz w:val="16"/>
          <w:szCs w:val="16"/>
        </w:rPr>
        <w:t>x</w:t>
      </w:r>
      <w:r w:rsidRPr="00B660E9">
        <w:rPr>
          <w:rFonts w:ascii="Verdana" w:hAnsi="Verdana" w:cs="ArialMT"/>
          <w:sz w:val="16"/>
          <w:szCs w:val="16"/>
        </w:rPr>
        <w:t xml:space="preserve">iliar </w:t>
      </w:r>
      <w:r w:rsidRPr="00B660E9">
        <w:rPr>
          <w:rFonts w:ascii="Verdana" w:eastAsia="Arial" w:hAnsi="Verdana" w:cs="Arial"/>
          <w:sz w:val="16"/>
          <w:szCs w:val="16"/>
        </w:rPr>
        <w:t>“</w:t>
      </w:r>
      <w:r w:rsidRPr="00B660E9">
        <w:rPr>
          <w:rFonts w:ascii="Verdana" w:hAnsi="Verdana" w:cs="ArialMT"/>
          <w:sz w:val="16"/>
          <w:szCs w:val="16"/>
        </w:rPr>
        <w:t>C</w:t>
      </w:r>
      <w:r w:rsidRPr="00B660E9">
        <w:rPr>
          <w:rFonts w:ascii="Verdana" w:eastAsia="Arial" w:hAnsi="Verdana" w:cs="Arial"/>
          <w:sz w:val="16"/>
          <w:szCs w:val="16"/>
        </w:rPr>
        <w:t>”</w:t>
      </w:r>
      <w:r w:rsidRPr="00B660E9">
        <w:rPr>
          <w:rFonts w:ascii="Verdana" w:hAnsi="Verdana" w:cs="ArialMT"/>
          <w:sz w:val="16"/>
          <w:szCs w:val="16"/>
        </w:rPr>
        <w:t xml:space="preserve"> a decisiones arbitrarias como las que se dieron en este caso</w:t>
      </w:r>
      <w:r w:rsidR="007A03C0">
        <w:rPr>
          <w:rFonts w:ascii="Verdana" w:hAnsi="Verdana" w:cs="ArialMT"/>
          <w:sz w:val="16"/>
          <w:szCs w:val="16"/>
        </w:rPr>
        <w:t>;</w:t>
      </w:r>
    </w:p>
    <w:p w14:paraId="5318D918" w14:textId="1E77998D" w:rsidR="00F109DA" w:rsidRPr="00B660E9" w:rsidRDefault="0062353B" w:rsidP="00B660E9">
      <w:pPr>
        <w:pStyle w:val="Prrafodelista"/>
        <w:numPr>
          <w:ilvl w:val="0"/>
          <w:numId w:val="26"/>
        </w:numPr>
        <w:spacing w:before="120" w:after="120"/>
        <w:ind w:left="850" w:hanging="425"/>
        <w:jc w:val="both"/>
        <w:rPr>
          <w:rFonts w:ascii="Verdana" w:eastAsiaTheme="minorHAnsi" w:hAnsi="Verdana" w:cs="Verdana"/>
          <w:sz w:val="16"/>
          <w:szCs w:val="16"/>
          <w:lang w:val="es-CR"/>
        </w:rPr>
      </w:pPr>
      <w:r w:rsidRPr="00B660E9">
        <w:rPr>
          <w:rFonts w:ascii="Verdana" w:hAnsi="Verdana" w:cs="ArialMT"/>
          <w:sz w:val="16"/>
          <w:szCs w:val="16"/>
        </w:rPr>
        <w:t xml:space="preserve">Garantizar que los fiscales a cargo de las investigaciones de este caso cuenten con las medidas de seguridad adecuada para llevar a cabo su labor, lo que incluye </w:t>
      </w:r>
      <w:r w:rsidR="0006718F">
        <w:rPr>
          <w:rFonts w:ascii="Verdana" w:hAnsi="Verdana" w:cs="ArialMT"/>
          <w:sz w:val="16"/>
          <w:szCs w:val="16"/>
        </w:rPr>
        <w:t>[…]</w:t>
      </w:r>
      <w:r w:rsidRPr="00B660E9">
        <w:rPr>
          <w:rFonts w:ascii="Verdana" w:hAnsi="Verdana" w:cs="ArialMT"/>
          <w:sz w:val="16"/>
          <w:szCs w:val="16"/>
        </w:rPr>
        <w:t xml:space="preserve"> asegurar que las medidas de protección no sean brindadas por miembros de los organismos de seguridad involucrados en los hechos</w:t>
      </w:r>
      <w:r w:rsidR="007A03C0">
        <w:rPr>
          <w:rFonts w:ascii="Verdana" w:hAnsi="Verdana" w:cs="ArialMT"/>
          <w:sz w:val="16"/>
          <w:szCs w:val="16"/>
        </w:rPr>
        <w:t>;</w:t>
      </w:r>
    </w:p>
    <w:p w14:paraId="7B4D4349" w14:textId="6C04FCCC" w:rsidR="0062353B" w:rsidRPr="00B660E9" w:rsidRDefault="0062353B" w:rsidP="00B660E9">
      <w:pPr>
        <w:pStyle w:val="Prrafodelista"/>
        <w:numPr>
          <w:ilvl w:val="0"/>
          <w:numId w:val="26"/>
        </w:numPr>
        <w:spacing w:before="120" w:after="120"/>
        <w:ind w:left="850" w:hanging="425"/>
        <w:jc w:val="both"/>
        <w:rPr>
          <w:rFonts w:ascii="Verdana" w:eastAsiaTheme="minorHAnsi" w:hAnsi="Verdana" w:cs="Verdana"/>
          <w:sz w:val="16"/>
          <w:szCs w:val="16"/>
          <w:lang w:val="es-CR"/>
        </w:rPr>
      </w:pPr>
      <w:r w:rsidRPr="00B660E9">
        <w:rPr>
          <w:rFonts w:ascii="Verdana" w:hAnsi="Verdana" w:cs="ArialMT"/>
          <w:sz w:val="16"/>
          <w:szCs w:val="16"/>
        </w:rPr>
        <w:t>Abstenerse de avanzar procesos de criminalización que puedan obstaculizar su labor</w:t>
      </w:r>
      <w:r w:rsidR="007A03C0">
        <w:rPr>
          <w:rFonts w:ascii="Verdana" w:hAnsi="Verdana" w:cs="ArialMT"/>
          <w:sz w:val="16"/>
          <w:szCs w:val="16"/>
        </w:rPr>
        <w:t>, y</w:t>
      </w:r>
    </w:p>
    <w:p w14:paraId="5E1B31FE" w14:textId="37B609F2" w:rsidR="004B71DA" w:rsidRPr="00B660E9" w:rsidRDefault="00F109DA" w:rsidP="00B660E9">
      <w:pPr>
        <w:pStyle w:val="Prrafodelista"/>
        <w:numPr>
          <w:ilvl w:val="0"/>
          <w:numId w:val="26"/>
        </w:numPr>
        <w:spacing w:before="120" w:after="120"/>
        <w:ind w:left="850" w:hanging="425"/>
        <w:jc w:val="both"/>
        <w:rPr>
          <w:rFonts w:ascii="Verdana" w:eastAsiaTheme="minorHAnsi" w:hAnsi="Verdana" w:cs="Verdana"/>
          <w:sz w:val="16"/>
          <w:szCs w:val="16"/>
          <w:lang w:val="es-CR"/>
        </w:rPr>
      </w:pPr>
      <w:r w:rsidRPr="00B660E9">
        <w:rPr>
          <w:rFonts w:ascii="Verdana" w:hAnsi="Verdana" w:cs="ArialMT"/>
          <w:sz w:val="16"/>
          <w:szCs w:val="16"/>
        </w:rPr>
        <w:t xml:space="preserve">Garantizar la inamovilidad del Fiscal “B” y Auxiliar </w:t>
      </w:r>
      <w:r w:rsidR="003B120C">
        <w:rPr>
          <w:rFonts w:ascii="Verdana" w:hAnsi="Verdana" w:cs="ArialMT"/>
          <w:sz w:val="16"/>
          <w:szCs w:val="16"/>
        </w:rPr>
        <w:t>F</w:t>
      </w:r>
      <w:r w:rsidRPr="00B660E9">
        <w:rPr>
          <w:rFonts w:ascii="Verdana" w:hAnsi="Verdana" w:cs="ArialMT"/>
          <w:sz w:val="16"/>
          <w:szCs w:val="16"/>
        </w:rPr>
        <w:t>iscal “C” en sus cargos</w:t>
      </w:r>
      <w:r w:rsidR="003B120C">
        <w:rPr>
          <w:rFonts w:ascii="Verdana" w:hAnsi="Verdana" w:cs="ArialMT"/>
          <w:sz w:val="16"/>
          <w:szCs w:val="16"/>
        </w:rPr>
        <w:t xml:space="preserve"> […]</w:t>
      </w:r>
      <w:r w:rsidRPr="00B660E9">
        <w:rPr>
          <w:rFonts w:ascii="Verdana" w:hAnsi="Verdana" w:cs="ArialMT"/>
          <w:sz w:val="16"/>
          <w:szCs w:val="16"/>
        </w:rPr>
        <w:t xml:space="preserve"> asegurando la objetividad e imparcialidad en que desempeñan su labor.</w:t>
      </w:r>
    </w:p>
    <w:p w14:paraId="5459BB75" w14:textId="77777777" w:rsidR="00F13D06" w:rsidRPr="00B660E9" w:rsidRDefault="00046E12" w:rsidP="00F13D06">
      <w:pPr>
        <w:numPr>
          <w:ilvl w:val="0"/>
          <w:numId w:val="2"/>
        </w:numPr>
        <w:spacing w:before="120" w:after="120"/>
        <w:ind w:left="0" w:firstLine="0"/>
        <w:jc w:val="both"/>
        <w:rPr>
          <w:rFonts w:ascii="Verdana" w:eastAsiaTheme="minorHAnsi" w:hAnsi="Verdana" w:cs="Verdana"/>
          <w:sz w:val="20"/>
          <w:szCs w:val="20"/>
          <w:lang w:val="es-CR"/>
        </w:rPr>
      </w:pPr>
      <w:r w:rsidRPr="00B660E9">
        <w:rPr>
          <w:rFonts w:ascii="Verdana" w:eastAsiaTheme="minorHAnsi" w:hAnsi="Verdana" w:cs="Verdana"/>
          <w:sz w:val="20"/>
          <w:szCs w:val="20"/>
          <w:lang w:val="es-CR"/>
        </w:rPr>
        <w:t>Asimismo, p</w:t>
      </w:r>
      <w:r w:rsidR="0062353B" w:rsidRPr="00B660E9">
        <w:rPr>
          <w:rFonts w:ascii="Verdana" w:eastAsiaTheme="minorHAnsi" w:hAnsi="Verdana" w:cs="Verdana"/>
          <w:sz w:val="20"/>
          <w:szCs w:val="20"/>
          <w:lang w:val="es-CR"/>
        </w:rPr>
        <w:t>resentaron argumentos adicionales relaciona</w:t>
      </w:r>
      <w:r w:rsidRPr="00B660E9">
        <w:rPr>
          <w:rFonts w:ascii="Verdana" w:eastAsiaTheme="minorHAnsi" w:hAnsi="Verdana" w:cs="Verdana"/>
          <w:sz w:val="20"/>
          <w:szCs w:val="20"/>
          <w:lang w:val="es-CR"/>
        </w:rPr>
        <w:t>dos</w:t>
      </w:r>
      <w:r w:rsidR="0062353B" w:rsidRPr="00B660E9">
        <w:rPr>
          <w:rFonts w:ascii="Verdana" w:eastAsiaTheme="minorHAnsi" w:hAnsi="Verdana" w:cs="Verdana"/>
          <w:sz w:val="20"/>
          <w:szCs w:val="20"/>
          <w:lang w:val="es-CR"/>
        </w:rPr>
        <w:t xml:space="preserve"> con: i) los esquemas de seguridad proporcionados por el Estado, </w:t>
      </w:r>
      <w:proofErr w:type="spellStart"/>
      <w:r w:rsidR="0062353B" w:rsidRPr="00B660E9">
        <w:rPr>
          <w:rFonts w:ascii="Verdana" w:eastAsiaTheme="minorHAnsi" w:hAnsi="Verdana" w:cs="Verdana"/>
          <w:sz w:val="20"/>
          <w:szCs w:val="20"/>
          <w:lang w:val="es-CR"/>
        </w:rPr>
        <w:t>ii</w:t>
      </w:r>
      <w:proofErr w:type="spellEnd"/>
      <w:r w:rsidR="0062353B" w:rsidRPr="00B660E9">
        <w:rPr>
          <w:rFonts w:ascii="Verdana" w:eastAsiaTheme="minorHAnsi" w:hAnsi="Verdana" w:cs="Verdana"/>
          <w:sz w:val="20"/>
          <w:szCs w:val="20"/>
          <w:lang w:val="es-CR"/>
        </w:rPr>
        <w:t xml:space="preserve">) la estabilidad del cargo </w:t>
      </w:r>
      <w:r w:rsidR="00936D22" w:rsidRPr="00B660E9">
        <w:rPr>
          <w:rFonts w:ascii="Verdana" w:eastAsiaTheme="minorHAnsi" w:hAnsi="Verdana" w:cs="ArialMT"/>
          <w:sz w:val="20"/>
          <w:szCs w:val="20"/>
          <w:lang w:val="es-CR"/>
        </w:rPr>
        <w:t>d</w:t>
      </w:r>
      <w:r w:rsidR="0062353B" w:rsidRPr="00B660E9">
        <w:rPr>
          <w:rFonts w:ascii="Verdana" w:eastAsiaTheme="minorHAnsi" w:hAnsi="Verdana" w:cs="ArialMT"/>
          <w:sz w:val="20"/>
          <w:szCs w:val="20"/>
          <w:lang w:val="es-CR"/>
        </w:rPr>
        <w:t xml:space="preserve">el </w:t>
      </w:r>
      <w:r w:rsidR="00936D22" w:rsidRPr="00B660E9">
        <w:rPr>
          <w:rFonts w:ascii="Verdana" w:eastAsiaTheme="minorHAnsi" w:hAnsi="Verdana" w:cs="ArialMT"/>
          <w:sz w:val="20"/>
          <w:szCs w:val="20"/>
          <w:lang w:val="es-CR"/>
        </w:rPr>
        <w:t>señor</w:t>
      </w:r>
      <w:r w:rsidR="0062353B" w:rsidRPr="00B660E9">
        <w:rPr>
          <w:rFonts w:ascii="Verdana" w:eastAsiaTheme="minorHAnsi" w:hAnsi="Verdana" w:cs="ArialMT"/>
          <w:sz w:val="20"/>
          <w:szCs w:val="20"/>
          <w:lang w:val="es-CR"/>
        </w:rPr>
        <w:t xml:space="preserve"> </w:t>
      </w:r>
      <w:r w:rsidRPr="00B660E9">
        <w:rPr>
          <w:rFonts w:ascii="Verdana" w:eastAsiaTheme="minorHAnsi" w:hAnsi="Verdana" w:cs="ArialMT"/>
          <w:sz w:val="20"/>
          <w:szCs w:val="20"/>
          <w:lang w:val="es-CR"/>
        </w:rPr>
        <w:t>Juan Francisco Sandoval Alfaro</w:t>
      </w:r>
      <w:r w:rsidR="0062353B" w:rsidRPr="00B660E9">
        <w:rPr>
          <w:rFonts w:ascii="Verdana" w:eastAsiaTheme="minorHAnsi" w:hAnsi="Verdana" w:cs="Verdana"/>
          <w:sz w:val="20"/>
          <w:szCs w:val="20"/>
          <w:lang w:val="es-CR"/>
        </w:rPr>
        <w:t xml:space="preserve">, y </w:t>
      </w:r>
      <w:proofErr w:type="spellStart"/>
      <w:r w:rsidR="0062353B" w:rsidRPr="00B660E9">
        <w:rPr>
          <w:rFonts w:ascii="Verdana" w:eastAsiaTheme="minorHAnsi" w:hAnsi="Verdana" w:cs="Verdana"/>
          <w:sz w:val="20"/>
          <w:szCs w:val="20"/>
          <w:lang w:val="es-CR"/>
        </w:rPr>
        <w:t>iii</w:t>
      </w:r>
      <w:proofErr w:type="spellEnd"/>
      <w:r w:rsidR="0062353B" w:rsidRPr="00B660E9">
        <w:rPr>
          <w:rFonts w:ascii="Verdana" w:eastAsiaTheme="minorHAnsi" w:hAnsi="Verdana" w:cs="Verdana"/>
          <w:sz w:val="20"/>
          <w:szCs w:val="20"/>
          <w:lang w:val="es-CR"/>
        </w:rPr>
        <w:t xml:space="preserve">) los elementos de extrema gravedad, urgencia e </w:t>
      </w:r>
      <w:proofErr w:type="spellStart"/>
      <w:r w:rsidR="0062353B" w:rsidRPr="00B660E9">
        <w:rPr>
          <w:rFonts w:ascii="Verdana" w:eastAsiaTheme="minorHAnsi" w:hAnsi="Verdana" w:cs="Verdana"/>
          <w:sz w:val="20"/>
          <w:szCs w:val="20"/>
          <w:lang w:val="es-CR"/>
        </w:rPr>
        <w:t>irreparabilidad</w:t>
      </w:r>
      <w:proofErr w:type="spellEnd"/>
      <w:r w:rsidR="0062353B" w:rsidRPr="00B660E9">
        <w:rPr>
          <w:rFonts w:ascii="Verdana" w:eastAsiaTheme="minorHAnsi" w:hAnsi="Verdana" w:cs="Verdana"/>
          <w:sz w:val="20"/>
          <w:szCs w:val="20"/>
          <w:lang w:val="es-CR"/>
        </w:rPr>
        <w:t xml:space="preserve"> del daño.</w:t>
      </w:r>
      <w:r w:rsidR="00F13D06" w:rsidRPr="00B660E9">
        <w:rPr>
          <w:rFonts w:ascii="Verdana" w:eastAsiaTheme="minorHAnsi" w:hAnsi="Verdana" w:cs="Verdana"/>
          <w:sz w:val="20"/>
          <w:szCs w:val="20"/>
          <w:lang w:val="es-CR"/>
        </w:rPr>
        <w:t xml:space="preserve"> </w:t>
      </w:r>
    </w:p>
    <w:p w14:paraId="11795DB6" w14:textId="060D763C" w:rsidR="00936D22" w:rsidRPr="00B660E9" w:rsidRDefault="0062353B" w:rsidP="00F13D06">
      <w:pPr>
        <w:numPr>
          <w:ilvl w:val="0"/>
          <w:numId w:val="2"/>
        </w:numPr>
        <w:spacing w:before="120" w:after="120"/>
        <w:ind w:left="0" w:firstLine="0"/>
        <w:jc w:val="both"/>
        <w:rPr>
          <w:rFonts w:ascii="Verdana" w:eastAsiaTheme="minorHAnsi" w:hAnsi="Verdana" w:cs="Verdana"/>
          <w:sz w:val="20"/>
          <w:szCs w:val="20"/>
          <w:lang w:val="es-CR"/>
        </w:rPr>
      </w:pPr>
      <w:r w:rsidRPr="00B660E9">
        <w:rPr>
          <w:rFonts w:ascii="Verdana" w:eastAsiaTheme="minorHAnsi" w:hAnsi="Verdana" w:cs="Verdana"/>
          <w:sz w:val="20"/>
          <w:szCs w:val="20"/>
          <w:lang w:val="es-CR"/>
        </w:rPr>
        <w:t xml:space="preserve">Sobre los esquemas de seguridad proporcionados por el Estado, advirtieron que el 8 y </w:t>
      </w:r>
      <w:r w:rsidR="008F5B3F">
        <w:rPr>
          <w:rFonts w:ascii="Verdana" w:eastAsiaTheme="minorHAnsi" w:hAnsi="Verdana" w:cs="Verdana"/>
          <w:sz w:val="20"/>
          <w:szCs w:val="20"/>
          <w:lang w:val="es-CR"/>
        </w:rPr>
        <w:t xml:space="preserve">el </w:t>
      </w:r>
      <w:r w:rsidRPr="00B660E9">
        <w:rPr>
          <w:rFonts w:ascii="Verdana" w:eastAsiaTheme="minorHAnsi" w:hAnsi="Verdana" w:cs="Verdana"/>
          <w:sz w:val="20"/>
          <w:szCs w:val="20"/>
          <w:lang w:val="es-CR"/>
        </w:rPr>
        <w:t>9 de julio de 2021 el Departamento de Seguridad del Ministerio Público realizó un nuevo análisis de riesgo al Fisca</w:t>
      </w:r>
      <w:r w:rsidR="005E5F5E">
        <w:rPr>
          <w:rFonts w:ascii="Verdana" w:eastAsiaTheme="minorHAnsi" w:hAnsi="Verdana" w:cs="Verdana"/>
          <w:sz w:val="20"/>
          <w:szCs w:val="20"/>
          <w:lang w:val="es-CR"/>
        </w:rPr>
        <w:t>l</w:t>
      </w:r>
      <w:r w:rsidRPr="00B660E9">
        <w:rPr>
          <w:rFonts w:ascii="Verdana" w:eastAsiaTheme="minorHAnsi" w:hAnsi="Verdana" w:cs="Verdana"/>
          <w:sz w:val="20"/>
          <w:szCs w:val="20"/>
          <w:lang w:val="es-CR"/>
        </w:rPr>
        <w:t xml:space="preserve"> “B” y Auxiliar </w:t>
      </w:r>
      <w:r w:rsidR="005E5F5E">
        <w:rPr>
          <w:rFonts w:ascii="Verdana" w:eastAsiaTheme="minorHAnsi" w:hAnsi="Verdana" w:cs="Verdana"/>
          <w:sz w:val="20"/>
          <w:szCs w:val="20"/>
          <w:lang w:val="es-CR"/>
        </w:rPr>
        <w:t>F</w:t>
      </w:r>
      <w:r w:rsidRPr="00B660E9">
        <w:rPr>
          <w:rFonts w:ascii="Verdana" w:eastAsiaTheme="minorHAnsi" w:hAnsi="Verdana" w:cs="Verdana"/>
          <w:sz w:val="20"/>
          <w:szCs w:val="20"/>
          <w:lang w:val="es-CR"/>
        </w:rPr>
        <w:t>iscal “C”</w:t>
      </w:r>
      <w:r w:rsidR="006B6CDE">
        <w:rPr>
          <w:rFonts w:ascii="Verdana" w:eastAsiaTheme="minorHAnsi" w:hAnsi="Verdana" w:cs="Verdana"/>
          <w:sz w:val="20"/>
          <w:szCs w:val="20"/>
          <w:lang w:val="es-CR"/>
        </w:rPr>
        <w:t>; s</w:t>
      </w:r>
      <w:r w:rsidR="00936D22" w:rsidRPr="00B660E9">
        <w:rPr>
          <w:rFonts w:ascii="Verdana" w:eastAsiaTheme="minorHAnsi" w:hAnsi="Verdana" w:cs="Verdana"/>
          <w:sz w:val="20"/>
          <w:szCs w:val="20"/>
          <w:lang w:val="es-CR"/>
        </w:rPr>
        <w:t>in embargo,</w:t>
      </w:r>
      <w:r w:rsidRPr="00B660E9">
        <w:rPr>
          <w:rFonts w:ascii="Verdana" w:eastAsiaTheme="minorHAnsi" w:hAnsi="Verdana" w:cs="Verdana"/>
          <w:sz w:val="20"/>
          <w:szCs w:val="20"/>
          <w:lang w:val="es-CR"/>
        </w:rPr>
        <w:t xml:space="preserve"> tal valoración de riesgo no tom</w:t>
      </w:r>
      <w:r w:rsidR="00936D22" w:rsidRPr="00B660E9">
        <w:rPr>
          <w:rFonts w:ascii="Verdana" w:eastAsiaTheme="minorHAnsi" w:hAnsi="Verdana" w:cs="Verdana"/>
          <w:sz w:val="20"/>
          <w:szCs w:val="20"/>
          <w:lang w:val="es-CR"/>
        </w:rPr>
        <w:t>ó</w:t>
      </w:r>
      <w:r w:rsidRPr="00B660E9">
        <w:rPr>
          <w:rFonts w:ascii="Verdana" w:eastAsiaTheme="minorHAnsi" w:hAnsi="Verdana" w:cs="Verdana"/>
          <w:sz w:val="20"/>
          <w:szCs w:val="20"/>
          <w:lang w:val="es-CR"/>
        </w:rPr>
        <w:t xml:space="preserve"> en cuenta que </w:t>
      </w:r>
      <w:r w:rsidRPr="00B660E9">
        <w:rPr>
          <w:rFonts w:ascii="Verdana" w:eastAsiaTheme="minorHAnsi" w:hAnsi="Verdana" w:cs="ArialMT"/>
          <w:sz w:val="20"/>
          <w:szCs w:val="20"/>
          <w:lang w:val="es-CR"/>
        </w:rPr>
        <w:t xml:space="preserve">“los sindicados en el caso de </w:t>
      </w:r>
      <w:r w:rsidRPr="00B660E9">
        <w:rPr>
          <w:rFonts w:ascii="Verdana" w:eastAsiaTheme="minorHAnsi" w:hAnsi="Verdana" w:cs="ArialMT"/>
          <w:i/>
          <w:sz w:val="20"/>
          <w:szCs w:val="20"/>
          <w:lang w:val="es-CR"/>
        </w:rPr>
        <w:t>Ruiz Fuentes</w:t>
      </w:r>
      <w:r w:rsidRPr="00B660E9">
        <w:rPr>
          <w:rFonts w:ascii="Verdana" w:eastAsiaTheme="minorHAnsi" w:hAnsi="Verdana" w:cs="ArialMT"/>
          <w:sz w:val="20"/>
          <w:szCs w:val="20"/>
          <w:lang w:val="es-CR"/>
        </w:rPr>
        <w:t xml:space="preserve"> están en libertad</w:t>
      </w:r>
      <w:r w:rsidR="006B6CDE">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 incluyendo </w:t>
      </w:r>
      <w:r w:rsidR="00200088" w:rsidRPr="00B660E9">
        <w:rPr>
          <w:rFonts w:ascii="Verdana" w:eastAsiaTheme="minorHAnsi" w:hAnsi="Verdana" w:cs="ArialMT"/>
          <w:sz w:val="20"/>
          <w:szCs w:val="20"/>
          <w:lang w:val="es-CR"/>
        </w:rPr>
        <w:t>un</w:t>
      </w:r>
      <w:r w:rsidRPr="00B660E9">
        <w:rPr>
          <w:rFonts w:ascii="Verdana" w:eastAsiaTheme="minorHAnsi" w:hAnsi="Verdana" w:cs="ArialMT"/>
          <w:sz w:val="20"/>
          <w:szCs w:val="20"/>
          <w:lang w:val="es-CR"/>
        </w:rPr>
        <w:t xml:space="preserve"> prófugo y dos personas que, </w:t>
      </w:r>
      <w:r w:rsidR="008D6AEB">
        <w:rPr>
          <w:rFonts w:ascii="Verdana" w:eastAsiaTheme="minorHAnsi" w:hAnsi="Verdana" w:cs="ArialMT"/>
          <w:sz w:val="20"/>
          <w:szCs w:val="20"/>
          <w:lang w:val="es-CR"/>
        </w:rPr>
        <w:t>según</w:t>
      </w:r>
      <w:r w:rsidRPr="00B660E9">
        <w:rPr>
          <w:rFonts w:ascii="Verdana" w:eastAsiaTheme="minorHAnsi" w:hAnsi="Verdana" w:cs="ArialMT"/>
          <w:sz w:val="20"/>
          <w:szCs w:val="20"/>
          <w:lang w:val="es-CR"/>
        </w:rPr>
        <w:t xml:space="preserve"> </w:t>
      </w:r>
      <w:r w:rsidR="008D6AEB">
        <w:rPr>
          <w:rFonts w:ascii="Verdana" w:eastAsiaTheme="minorHAnsi" w:hAnsi="Verdana" w:cs="ArialMT"/>
          <w:sz w:val="20"/>
          <w:szCs w:val="20"/>
          <w:lang w:val="es-CR"/>
        </w:rPr>
        <w:t>una</w:t>
      </w:r>
      <w:r w:rsidRPr="00B660E9">
        <w:rPr>
          <w:rFonts w:ascii="Verdana" w:eastAsiaTheme="minorHAnsi" w:hAnsi="Verdana" w:cs="ArialMT"/>
          <w:sz w:val="20"/>
          <w:szCs w:val="20"/>
          <w:lang w:val="es-CR"/>
        </w:rPr>
        <w:t xml:space="preserve"> resolución de la Sala</w:t>
      </w:r>
      <w:r w:rsidR="008D6AEB">
        <w:rPr>
          <w:rFonts w:ascii="Verdana" w:eastAsiaTheme="minorHAnsi" w:hAnsi="Verdana" w:cs="ArialMT"/>
          <w:sz w:val="20"/>
          <w:szCs w:val="20"/>
          <w:lang w:val="es-CR"/>
        </w:rPr>
        <w:t xml:space="preserve"> de Apelaciones de Mayor Riesgo</w:t>
      </w:r>
      <w:r w:rsidR="008F5B3F">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 </w:t>
      </w:r>
      <w:r w:rsidR="008D6AEB">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debían volver a prisión preventiva, por constituir un peligro procesal para el desarrollo de las investigaciones”. </w:t>
      </w:r>
      <w:r w:rsidR="006B6CDE">
        <w:rPr>
          <w:rFonts w:ascii="Verdana" w:eastAsiaTheme="minorHAnsi" w:hAnsi="Verdana" w:cs="ArialMT"/>
          <w:sz w:val="20"/>
          <w:szCs w:val="20"/>
          <w:lang w:val="es-CR"/>
        </w:rPr>
        <w:t>T</w:t>
      </w:r>
      <w:r w:rsidRPr="00B660E9">
        <w:rPr>
          <w:rFonts w:ascii="Verdana" w:eastAsiaTheme="minorHAnsi" w:hAnsi="Verdana" w:cs="ArialMT"/>
          <w:sz w:val="20"/>
          <w:szCs w:val="20"/>
          <w:lang w:val="es-CR"/>
        </w:rPr>
        <w:t xml:space="preserve">ales personas </w:t>
      </w:r>
      <w:r w:rsidR="00494F60">
        <w:rPr>
          <w:rFonts w:ascii="Verdana" w:eastAsiaTheme="minorHAnsi" w:hAnsi="Verdana" w:cs="ArialMT"/>
          <w:sz w:val="20"/>
          <w:szCs w:val="20"/>
          <w:lang w:val="es-CR"/>
        </w:rPr>
        <w:t>contarían</w:t>
      </w:r>
      <w:r w:rsidR="00494F60" w:rsidRPr="00B660E9">
        <w:rPr>
          <w:rFonts w:ascii="Verdana" w:eastAsiaTheme="minorHAnsi" w:hAnsi="Verdana" w:cs="ArialMT"/>
          <w:sz w:val="20"/>
          <w:szCs w:val="20"/>
          <w:lang w:val="es-CR"/>
        </w:rPr>
        <w:t xml:space="preserve"> </w:t>
      </w:r>
      <w:r w:rsidRPr="00B660E9">
        <w:rPr>
          <w:rFonts w:ascii="Verdana" w:eastAsiaTheme="minorHAnsi" w:hAnsi="Verdana" w:cs="ArialMT"/>
          <w:sz w:val="20"/>
          <w:szCs w:val="20"/>
          <w:lang w:val="es-CR"/>
        </w:rPr>
        <w:t xml:space="preserve">con </w:t>
      </w:r>
      <w:r w:rsidR="005E5F5E">
        <w:rPr>
          <w:rFonts w:ascii="Verdana" w:eastAsiaTheme="minorHAnsi" w:hAnsi="Verdana" w:cs="ArialMT"/>
          <w:sz w:val="20"/>
          <w:szCs w:val="20"/>
          <w:lang w:val="es-CR"/>
        </w:rPr>
        <w:t>“</w:t>
      </w:r>
      <w:r w:rsidRPr="00B660E9">
        <w:rPr>
          <w:rFonts w:ascii="Verdana" w:eastAsiaTheme="minorHAnsi" w:hAnsi="Verdana" w:cs="ArialMT"/>
          <w:sz w:val="20"/>
          <w:szCs w:val="20"/>
          <w:lang w:val="es-CR"/>
        </w:rPr>
        <w:t>recursos suficientes y contactos en las fuerzas de seguridad, para poder atentar contra la vida e integridad de los fiscales</w:t>
      </w:r>
      <w:r w:rsidR="005E5F5E">
        <w:rPr>
          <w:rFonts w:ascii="Verdana" w:eastAsiaTheme="minorHAnsi" w:hAnsi="Verdana" w:cs="ArialMT"/>
          <w:sz w:val="20"/>
          <w:szCs w:val="20"/>
          <w:lang w:val="es-CR"/>
        </w:rPr>
        <w:t>”</w:t>
      </w:r>
      <w:r w:rsidRPr="00B660E9">
        <w:rPr>
          <w:rFonts w:ascii="Verdana" w:eastAsiaTheme="minorHAnsi" w:hAnsi="Verdana" w:cs="ArialMT"/>
          <w:sz w:val="20"/>
          <w:szCs w:val="20"/>
          <w:lang w:val="es-CR"/>
        </w:rPr>
        <w:t>.</w:t>
      </w:r>
    </w:p>
    <w:p w14:paraId="780CB94C" w14:textId="3BE54D7D" w:rsidR="001917D1" w:rsidRPr="00B660E9" w:rsidRDefault="0062353B" w:rsidP="004B71DA">
      <w:pPr>
        <w:numPr>
          <w:ilvl w:val="0"/>
          <w:numId w:val="2"/>
        </w:numPr>
        <w:spacing w:before="120" w:after="120"/>
        <w:ind w:left="0" w:firstLine="0"/>
        <w:jc w:val="both"/>
        <w:rPr>
          <w:rFonts w:ascii="Verdana" w:eastAsiaTheme="minorHAnsi" w:hAnsi="Verdana" w:cs="Verdana"/>
          <w:sz w:val="20"/>
          <w:szCs w:val="20"/>
          <w:lang w:val="es-CR"/>
        </w:rPr>
      </w:pPr>
      <w:r w:rsidRPr="00B660E9">
        <w:rPr>
          <w:rFonts w:ascii="Verdana" w:eastAsiaTheme="minorHAnsi" w:hAnsi="Verdana" w:cs="ArialMT"/>
          <w:sz w:val="20"/>
          <w:szCs w:val="20"/>
          <w:lang w:val="es-CR"/>
        </w:rPr>
        <w:t xml:space="preserve">Sobre la estabilidad en el cargo </w:t>
      </w:r>
      <w:r w:rsidR="00936D22" w:rsidRPr="00B660E9">
        <w:rPr>
          <w:rFonts w:ascii="Verdana" w:eastAsiaTheme="minorHAnsi" w:hAnsi="Verdana" w:cs="ArialMT"/>
          <w:sz w:val="20"/>
          <w:szCs w:val="20"/>
          <w:lang w:val="es-CR"/>
        </w:rPr>
        <w:t xml:space="preserve">del </w:t>
      </w:r>
      <w:r w:rsidR="009F1E07" w:rsidRPr="00B660E9">
        <w:rPr>
          <w:rFonts w:ascii="Verdana" w:eastAsiaTheme="minorHAnsi" w:hAnsi="Verdana" w:cs="ArialMT"/>
          <w:sz w:val="20"/>
          <w:szCs w:val="20"/>
          <w:lang w:val="es-CR"/>
        </w:rPr>
        <w:t xml:space="preserve">ex </w:t>
      </w:r>
      <w:proofErr w:type="gramStart"/>
      <w:r w:rsidR="009F1E07" w:rsidRPr="00B660E9">
        <w:rPr>
          <w:rFonts w:ascii="Verdana" w:eastAsiaTheme="minorHAnsi" w:hAnsi="Verdana" w:cs="ArialMT"/>
          <w:sz w:val="20"/>
          <w:szCs w:val="20"/>
          <w:lang w:val="es-CR"/>
        </w:rPr>
        <w:t>Jefe</w:t>
      </w:r>
      <w:proofErr w:type="gramEnd"/>
      <w:r w:rsidR="009F1E07" w:rsidRPr="00B660E9">
        <w:rPr>
          <w:rFonts w:ascii="Verdana" w:eastAsiaTheme="minorHAnsi" w:hAnsi="Verdana" w:cs="ArialMT"/>
          <w:sz w:val="20"/>
          <w:szCs w:val="20"/>
          <w:lang w:val="es-CR"/>
        </w:rPr>
        <w:t xml:space="preserve"> de la FECI </w:t>
      </w:r>
      <w:r w:rsidR="00936D22" w:rsidRPr="00B660E9">
        <w:rPr>
          <w:rFonts w:ascii="Verdana" w:eastAsiaTheme="minorHAnsi" w:hAnsi="Verdana" w:cs="ArialMT"/>
          <w:sz w:val="20"/>
          <w:szCs w:val="20"/>
          <w:lang w:val="es-CR"/>
        </w:rPr>
        <w:t xml:space="preserve">Juan Francisco Sandoval Alfaro, indicaron que </w:t>
      </w:r>
      <w:r w:rsidR="009F1E07">
        <w:rPr>
          <w:rFonts w:ascii="Verdana" w:eastAsiaTheme="minorHAnsi" w:hAnsi="Verdana" w:cs="ArialMT"/>
          <w:sz w:val="20"/>
          <w:szCs w:val="20"/>
          <w:lang w:val="es-CR"/>
        </w:rPr>
        <w:t>su</w:t>
      </w:r>
      <w:r w:rsidR="00936D22" w:rsidRPr="00B660E9">
        <w:rPr>
          <w:rFonts w:ascii="Verdana" w:eastAsiaTheme="minorHAnsi" w:hAnsi="Verdana" w:cs="ArialMT"/>
          <w:sz w:val="20"/>
          <w:szCs w:val="20"/>
          <w:lang w:val="es-CR"/>
        </w:rPr>
        <w:t xml:space="preserve"> </w:t>
      </w:r>
      <w:r w:rsidRPr="00B660E9">
        <w:rPr>
          <w:rFonts w:ascii="Verdana" w:eastAsiaTheme="minorHAnsi" w:hAnsi="Verdana" w:cs="ArialMT"/>
          <w:sz w:val="20"/>
          <w:szCs w:val="20"/>
          <w:lang w:val="es-CR"/>
        </w:rPr>
        <w:t xml:space="preserve">destitución es </w:t>
      </w:r>
      <w:r w:rsidR="006779E2">
        <w:rPr>
          <w:rFonts w:ascii="Verdana" w:eastAsiaTheme="minorHAnsi" w:hAnsi="Verdana" w:cs="ArialMT"/>
          <w:sz w:val="20"/>
          <w:szCs w:val="20"/>
          <w:lang w:val="es-CR"/>
        </w:rPr>
        <w:t>“</w:t>
      </w:r>
      <w:r w:rsidR="006779E2" w:rsidRPr="00B660E9">
        <w:rPr>
          <w:rFonts w:ascii="Verdana" w:eastAsia="Times" w:hAnsi="Verdana"/>
          <w:sz w:val="20"/>
          <w:szCs w:val="20"/>
          <w:lang w:val="es-CR"/>
        </w:rPr>
        <w:t>un acto ilegal, ileg</w:t>
      </w:r>
      <w:r w:rsidR="008F5B3F">
        <w:rPr>
          <w:rFonts w:ascii="Verdana" w:eastAsia="Times" w:hAnsi="Verdana"/>
          <w:sz w:val="20"/>
          <w:szCs w:val="20"/>
          <w:lang w:val="es-CR"/>
        </w:rPr>
        <w:t>í</w:t>
      </w:r>
      <w:r w:rsidR="006779E2" w:rsidRPr="00B660E9">
        <w:rPr>
          <w:rFonts w:ascii="Verdana" w:eastAsia="Times" w:hAnsi="Verdana"/>
          <w:sz w:val="20"/>
          <w:szCs w:val="20"/>
          <w:lang w:val="es-CR"/>
        </w:rPr>
        <w:t>timo y arbitrario</w:t>
      </w:r>
      <w:r w:rsidR="009F1E07">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 </w:t>
      </w:r>
      <w:r w:rsidR="009F1E07">
        <w:rPr>
          <w:rFonts w:ascii="Verdana" w:eastAsiaTheme="minorHAnsi" w:hAnsi="Verdana" w:cs="ArialMT"/>
          <w:sz w:val="20"/>
          <w:szCs w:val="20"/>
          <w:lang w:val="es-CR"/>
        </w:rPr>
        <w:t>“</w:t>
      </w:r>
      <w:r w:rsidRPr="00B660E9">
        <w:rPr>
          <w:rFonts w:ascii="Verdana" w:eastAsiaTheme="minorHAnsi" w:hAnsi="Verdana" w:cs="ArialMT"/>
          <w:sz w:val="20"/>
          <w:szCs w:val="20"/>
          <w:lang w:val="es-CR"/>
        </w:rPr>
        <w:t>carece de fundamento jurídico alguno”</w:t>
      </w:r>
      <w:r w:rsidR="009F1E07">
        <w:rPr>
          <w:rFonts w:ascii="Verdana" w:eastAsiaTheme="minorHAnsi" w:hAnsi="Verdana" w:cs="ArialMT"/>
          <w:sz w:val="20"/>
          <w:szCs w:val="20"/>
          <w:lang w:val="es-CR"/>
        </w:rPr>
        <w:t>,</w:t>
      </w:r>
      <w:r w:rsidR="00FF0AA0">
        <w:rPr>
          <w:rFonts w:ascii="Verdana" w:eastAsiaTheme="minorHAnsi" w:hAnsi="Verdana" w:cs="ArialMT"/>
          <w:sz w:val="20"/>
          <w:szCs w:val="20"/>
          <w:lang w:val="es-CR"/>
        </w:rPr>
        <w:t xml:space="preserve"> y </w:t>
      </w:r>
      <w:r w:rsidR="009F1E07">
        <w:rPr>
          <w:rFonts w:ascii="Verdana" w:eastAsiaTheme="minorHAnsi" w:hAnsi="Verdana" w:cs="ArialMT"/>
          <w:sz w:val="20"/>
          <w:szCs w:val="20"/>
          <w:lang w:val="es-CR"/>
        </w:rPr>
        <w:t xml:space="preserve">es </w:t>
      </w:r>
      <w:r w:rsidRPr="00B660E9">
        <w:rPr>
          <w:rFonts w:ascii="Verdana" w:eastAsiaTheme="minorHAnsi" w:hAnsi="Verdana" w:cs="Arial"/>
          <w:sz w:val="20"/>
          <w:szCs w:val="20"/>
          <w:lang w:val="es-CR"/>
        </w:rPr>
        <w:t>“</w:t>
      </w:r>
      <w:proofErr w:type="spellStart"/>
      <w:r w:rsidRPr="00B660E9">
        <w:rPr>
          <w:rFonts w:ascii="Verdana" w:eastAsiaTheme="minorHAnsi" w:hAnsi="Verdana" w:cs="Arial"/>
          <w:sz w:val="20"/>
          <w:szCs w:val="20"/>
          <w:lang w:val="es-CR"/>
        </w:rPr>
        <w:t>contrari</w:t>
      </w:r>
      <w:proofErr w:type="spellEnd"/>
      <w:r w:rsidR="009F1E07">
        <w:rPr>
          <w:rFonts w:ascii="Verdana" w:eastAsiaTheme="minorHAnsi" w:hAnsi="Verdana" w:cs="Arial"/>
          <w:sz w:val="20"/>
          <w:szCs w:val="20"/>
          <w:lang w:val="es-CR"/>
        </w:rPr>
        <w:t>[o]</w:t>
      </w:r>
      <w:r w:rsidRPr="00B660E9">
        <w:rPr>
          <w:rFonts w:ascii="Verdana" w:eastAsiaTheme="minorHAnsi" w:hAnsi="Verdana" w:cs="Arial"/>
          <w:sz w:val="20"/>
          <w:szCs w:val="20"/>
          <w:lang w:val="es-CR"/>
        </w:rPr>
        <w:t xml:space="preserve"> a los estándares interamericanos</w:t>
      </w:r>
      <w:r w:rsidR="00936D22" w:rsidRPr="00B660E9">
        <w:rPr>
          <w:rFonts w:ascii="Verdana" w:eastAsiaTheme="minorHAnsi" w:hAnsi="Verdana" w:cs="Arial"/>
          <w:sz w:val="20"/>
          <w:szCs w:val="20"/>
          <w:lang w:val="es-CR"/>
        </w:rPr>
        <w:t>”</w:t>
      </w:r>
      <w:r w:rsidRPr="00B660E9">
        <w:rPr>
          <w:rFonts w:ascii="Verdana" w:eastAsiaTheme="minorHAnsi" w:hAnsi="Verdana" w:cs="Arial"/>
          <w:sz w:val="20"/>
          <w:szCs w:val="20"/>
          <w:lang w:val="es-CR"/>
        </w:rPr>
        <w:t xml:space="preserve"> </w:t>
      </w:r>
      <w:r w:rsidR="00936D22" w:rsidRPr="00B660E9">
        <w:rPr>
          <w:rFonts w:ascii="Verdana" w:eastAsiaTheme="minorHAnsi" w:hAnsi="Verdana" w:cs="Arial"/>
          <w:sz w:val="20"/>
          <w:szCs w:val="20"/>
          <w:lang w:val="es-CR"/>
        </w:rPr>
        <w:t>sobre “estabilidad e inamovilidad en el cargo</w:t>
      </w:r>
      <w:r w:rsidR="006B6CDE">
        <w:rPr>
          <w:rFonts w:ascii="Verdana" w:eastAsiaTheme="minorHAnsi" w:hAnsi="Verdana" w:cs="Arial"/>
          <w:sz w:val="20"/>
          <w:szCs w:val="20"/>
          <w:lang w:val="es-CR"/>
        </w:rPr>
        <w:t>”</w:t>
      </w:r>
      <w:r w:rsidR="004B71DA" w:rsidRPr="00B660E9">
        <w:rPr>
          <w:rFonts w:ascii="Verdana" w:eastAsiaTheme="minorHAnsi" w:hAnsi="Verdana" w:cs="Arial"/>
          <w:sz w:val="20"/>
          <w:szCs w:val="20"/>
          <w:lang w:val="es-CR"/>
        </w:rPr>
        <w:t>.</w:t>
      </w:r>
      <w:r w:rsidR="00936D22" w:rsidRPr="00B660E9">
        <w:rPr>
          <w:rFonts w:ascii="Verdana" w:eastAsiaTheme="minorHAnsi" w:hAnsi="Verdana" w:cs="ArialMT"/>
          <w:sz w:val="20"/>
          <w:szCs w:val="20"/>
          <w:lang w:val="es-CR"/>
        </w:rPr>
        <w:t xml:space="preserve"> </w:t>
      </w:r>
      <w:r w:rsidR="00CE753B" w:rsidRPr="00B660E9">
        <w:rPr>
          <w:rFonts w:ascii="Verdana" w:eastAsiaTheme="minorHAnsi" w:hAnsi="Verdana" w:cs="Arial"/>
          <w:sz w:val="20"/>
          <w:szCs w:val="20"/>
          <w:lang w:val="es-CR"/>
        </w:rPr>
        <w:t>I</w:t>
      </w:r>
      <w:r w:rsidRPr="00B660E9">
        <w:rPr>
          <w:rFonts w:ascii="Verdana" w:eastAsiaTheme="minorHAnsi" w:hAnsi="Verdana" w:cs="Arial"/>
          <w:sz w:val="20"/>
          <w:szCs w:val="20"/>
          <w:lang w:val="es-CR"/>
        </w:rPr>
        <w:t>nformaron que el 2 de agosto de 2021</w:t>
      </w:r>
      <w:r w:rsidR="00CE753B" w:rsidRPr="00B660E9">
        <w:rPr>
          <w:rFonts w:ascii="Verdana" w:eastAsiaTheme="minorHAnsi" w:hAnsi="Verdana" w:cs="Arial"/>
          <w:sz w:val="20"/>
          <w:szCs w:val="20"/>
          <w:lang w:val="es-CR"/>
        </w:rPr>
        <w:t xml:space="preserve"> </w:t>
      </w:r>
      <w:r w:rsidRPr="00B660E9">
        <w:rPr>
          <w:rFonts w:ascii="Verdana" w:eastAsiaTheme="minorHAnsi" w:hAnsi="Verdana" w:cs="Arial"/>
          <w:sz w:val="20"/>
          <w:szCs w:val="20"/>
          <w:lang w:val="es-CR"/>
        </w:rPr>
        <w:t xml:space="preserve">se </w:t>
      </w:r>
      <w:r w:rsidR="00CE753B" w:rsidRPr="00B660E9">
        <w:rPr>
          <w:rFonts w:ascii="Verdana" w:eastAsiaTheme="minorHAnsi" w:hAnsi="Verdana" w:cs="Arial"/>
          <w:sz w:val="20"/>
          <w:szCs w:val="20"/>
          <w:lang w:val="es-CR"/>
        </w:rPr>
        <w:t xml:space="preserve">presentó un </w:t>
      </w:r>
      <w:r w:rsidRPr="00B660E9">
        <w:rPr>
          <w:rFonts w:ascii="Verdana" w:eastAsiaTheme="minorHAnsi" w:hAnsi="Verdana" w:cs="Arial"/>
          <w:sz w:val="20"/>
          <w:szCs w:val="20"/>
          <w:lang w:val="es-CR"/>
        </w:rPr>
        <w:t xml:space="preserve">recurso de amparo ante la Corte Suprema de Justicia </w:t>
      </w:r>
      <w:r w:rsidR="004B71DA" w:rsidRPr="00B660E9">
        <w:rPr>
          <w:rFonts w:ascii="Verdana" w:eastAsiaTheme="minorHAnsi" w:hAnsi="Verdana" w:cs="Arial"/>
          <w:sz w:val="20"/>
          <w:szCs w:val="20"/>
          <w:lang w:val="es-CR"/>
        </w:rPr>
        <w:t xml:space="preserve">en </w:t>
      </w:r>
      <w:r w:rsidRPr="00B660E9">
        <w:rPr>
          <w:rFonts w:ascii="Verdana" w:eastAsiaTheme="minorHAnsi" w:hAnsi="Verdana" w:cs="Arial"/>
          <w:sz w:val="20"/>
          <w:szCs w:val="20"/>
          <w:lang w:val="es-CR"/>
        </w:rPr>
        <w:t>contra</w:t>
      </w:r>
      <w:r w:rsidR="004B71DA" w:rsidRPr="00B660E9">
        <w:rPr>
          <w:rFonts w:ascii="Verdana" w:eastAsiaTheme="minorHAnsi" w:hAnsi="Verdana" w:cs="Arial"/>
          <w:sz w:val="20"/>
          <w:szCs w:val="20"/>
          <w:lang w:val="es-CR"/>
        </w:rPr>
        <w:t xml:space="preserve"> de la </w:t>
      </w:r>
      <w:proofErr w:type="gramStart"/>
      <w:r w:rsidR="004B71DA" w:rsidRPr="00B660E9">
        <w:rPr>
          <w:rFonts w:ascii="Verdana" w:eastAsiaTheme="minorHAnsi" w:hAnsi="Verdana" w:cs="Arial"/>
          <w:sz w:val="20"/>
          <w:szCs w:val="20"/>
          <w:lang w:val="es-CR"/>
        </w:rPr>
        <w:t>Fiscal General</w:t>
      </w:r>
      <w:proofErr w:type="gramEnd"/>
      <w:r w:rsidRPr="00B660E9">
        <w:rPr>
          <w:rFonts w:ascii="Verdana" w:eastAsiaTheme="minorHAnsi" w:hAnsi="Verdana" w:cs="Arial"/>
          <w:sz w:val="20"/>
          <w:szCs w:val="20"/>
          <w:lang w:val="es-CR"/>
        </w:rPr>
        <w:t xml:space="preserve"> por </w:t>
      </w:r>
      <w:r w:rsidR="009F1E07">
        <w:rPr>
          <w:rFonts w:ascii="Verdana" w:eastAsiaTheme="minorHAnsi" w:hAnsi="Verdana" w:cs="Arial"/>
          <w:sz w:val="20"/>
          <w:szCs w:val="20"/>
          <w:lang w:val="es-CR"/>
        </w:rPr>
        <w:t>tal</w:t>
      </w:r>
      <w:r w:rsidRPr="00B660E9">
        <w:rPr>
          <w:rFonts w:ascii="Verdana" w:eastAsiaTheme="minorHAnsi" w:hAnsi="Verdana" w:cs="Arial"/>
          <w:sz w:val="20"/>
          <w:szCs w:val="20"/>
          <w:lang w:val="es-CR"/>
        </w:rPr>
        <w:t xml:space="preserve"> destitución </w:t>
      </w:r>
      <w:r w:rsidR="004B71DA" w:rsidRPr="00B660E9">
        <w:rPr>
          <w:rFonts w:ascii="Verdana" w:eastAsiaTheme="minorHAnsi" w:hAnsi="Verdana" w:cs="Arial"/>
          <w:sz w:val="20"/>
          <w:szCs w:val="20"/>
          <w:lang w:val="es-CR"/>
        </w:rPr>
        <w:t>y</w:t>
      </w:r>
      <w:r w:rsidR="009F1E07">
        <w:rPr>
          <w:rFonts w:ascii="Verdana" w:eastAsiaTheme="minorHAnsi" w:hAnsi="Verdana" w:cs="Arial"/>
          <w:sz w:val="20"/>
          <w:szCs w:val="20"/>
          <w:lang w:val="es-CR"/>
        </w:rPr>
        <w:t xml:space="preserve"> se </w:t>
      </w:r>
      <w:r w:rsidRPr="00B660E9">
        <w:rPr>
          <w:rFonts w:ascii="Verdana" w:eastAsiaTheme="minorHAnsi" w:hAnsi="Verdana" w:cs="Arial"/>
          <w:sz w:val="20"/>
          <w:szCs w:val="20"/>
          <w:lang w:val="es-CR"/>
        </w:rPr>
        <w:t>es</w:t>
      </w:r>
      <w:r w:rsidR="009F1E07">
        <w:rPr>
          <w:rFonts w:ascii="Verdana" w:eastAsiaTheme="minorHAnsi" w:hAnsi="Verdana" w:cs="Arial"/>
          <w:sz w:val="20"/>
          <w:szCs w:val="20"/>
          <w:lang w:val="es-CR"/>
        </w:rPr>
        <w:t>tá a la espera de una resolución</w:t>
      </w:r>
      <w:r w:rsidRPr="00B660E9">
        <w:rPr>
          <w:rFonts w:ascii="Verdana" w:eastAsiaTheme="minorHAnsi" w:hAnsi="Verdana" w:cs="Arial"/>
          <w:sz w:val="20"/>
          <w:szCs w:val="20"/>
          <w:lang w:val="es-CR"/>
        </w:rPr>
        <w:t>.</w:t>
      </w:r>
      <w:r w:rsidR="004B71DA" w:rsidRPr="00B660E9">
        <w:rPr>
          <w:rFonts w:ascii="Verdana" w:eastAsiaTheme="minorHAnsi" w:hAnsi="Verdana" w:cs="Arial"/>
          <w:sz w:val="20"/>
          <w:szCs w:val="20"/>
          <w:lang w:val="es-CR"/>
        </w:rPr>
        <w:t xml:space="preserve"> </w:t>
      </w:r>
      <w:r w:rsidR="009F1E07">
        <w:rPr>
          <w:rFonts w:ascii="Verdana" w:eastAsiaTheme="minorHAnsi" w:hAnsi="Verdana" w:cs="ArialMT"/>
          <w:sz w:val="20"/>
          <w:szCs w:val="20"/>
          <w:lang w:val="es-CR"/>
        </w:rPr>
        <w:t>E</w:t>
      </w:r>
      <w:r w:rsidR="004B71DA" w:rsidRPr="00B660E9">
        <w:rPr>
          <w:rFonts w:ascii="Verdana" w:eastAsiaTheme="minorHAnsi" w:hAnsi="Verdana" w:cs="ArialMT"/>
          <w:sz w:val="20"/>
          <w:szCs w:val="20"/>
          <w:lang w:val="es-CR"/>
        </w:rPr>
        <w:t xml:space="preserve">xpresaron su preocupación respecto a que dicha destitución sea una </w:t>
      </w:r>
      <w:r w:rsidR="009E1C53">
        <w:rPr>
          <w:rFonts w:ascii="Verdana" w:eastAsiaTheme="minorHAnsi" w:hAnsi="Verdana" w:cs="ArialMT"/>
          <w:sz w:val="20"/>
          <w:szCs w:val="20"/>
          <w:lang w:val="es-CR"/>
        </w:rPr>
        <w:t>“</w:t>
      </w:r>
      <w:r w:rsidR="004B71DA" w:rsidRPr="00B660E9">
        <w:rPr>
          <w:rFonts w:ascii="Verdana" w:eastAsiaTheme="minorHAnsi" w:hAnsi="Verdana" w:cs="ArialMT"/>
          <w:sz w:val="20"/>
          <w:szCs w:val="20"/>
          <w:lang w:val="es-CR"/>
        </w:rPr>
        <w:t>acción en represalia</w:t>
      </w:r>
      <w:r w:rsidR="009E1C53">
        <w:rPr>
          <w:rFonts w:ascii="Verdana" w:eastAsiaTheme="minorHAnsi" w:hAnsi="Verdana" w:cs="ArialMT"/>
          <w:sz w:val="20"/>
          <w:szCs w:val="20"/>
          <w:lang w:val="es-CR"/>
        </w:rPr>
        <w:t>”</w:t>
      </w:r>
      <w:r w:rsidR="004B71DA" w:rsidRPr="00B660E9">
        <w:rPr>
          <w:rFonts w:ascii="Verdana" w:eastAsiaTheme="minorHAnsi" w:hAnsi="Verdana" w:cs="ArialMT"/>
          <w:sz w:val="20"/>
          <w:szCs w:val="20"/>
          <w:lang w:val="es-CR"/>
        </w:rPr>
        <w:t xml:space="preserve"> por la labor desempeñada por el</w:t>
      </w:r>
      <w:r w:rsidR="005E5F5E">
        <w:rPr>
          <w:rFonts w:ascii="Verdana" w:eastAsiaTheme="minorHAnsi" w:hAnsi="Verdana" w:cs="ArialMT"/>
          <w:sz w:val="20"/>
          <w:szCs w:val="20"/>
          <w:lang w:val="es-CR"/>
        </w:rPr>
        <w:t xml:space="preserve"> entonces</w:t>
      </w:r>
      <w:r w:rsidR="004B71DA" w:rsidRPr="00B660E9">
        <w:rPr>
          <w:rFonts w:ascii="Verdana" w:eastAsiaTheme="minorHAnsi" w:hAnsi="Verdana" w:cs="ArialMT"/>
          <w:sz w:val="20"/>
          <w:szCs w:val="20"/>
          <w:lang w:val="es-CR"/>
        </w:rPr>
        <w:t xml:space="preserve"> Fiscal Sandoval en múltiples casos contra la corrupción e impunidad en Guatemala, entre los que se encuentra la ejecución extrajudicial y tortura de</w:t>
      </w:r>
      <w:r w:rsidR="006B6CDE">
        <w:rPr>
          <w:rFonts w:ascii="Verdana" w:eastAsiaTheme="minorHAnsi" w:hAnsi="Verdana" w:cs="ArialMT"/>
          <w:sz w:val="20"/>
          <w:szCs w:val="20"/>
          <w:lang w:val="es-CR"/>
        </w:rPr>
        <w:t>l señor</w:t>
      </w:r>
      <w:r w:rsidR="004B71DA" w:rsidRPr="00B660E9">
        <w:rPr>
          <w:rFonts w:ascii="Verdana" w:eastAsiaTheme="minorHAnsi" w:hAnsi="Verdana" w:cs="ArialMT"/>
          <w:sz w:val="20"/>
          <w:szCs w:val="20"/>
          <w:lang w:val="es-CR"/>
        </w:rPr>
        <w:t xml:space="preserve"> Ruiz Fuentes.</w:t>
      </w:r>
    </w:p>
    <w:p w14:paraId="1B2DA2EE" w14:textId="265C75AA" w:rsidR="004B71DA" w:rsidRPr="00B660E9" w:rsidRDefault="009726FE" w:rsidP="001420BE">
      <w:pPr>
        <w:numPr>
          <w:ilvl w:val="0"/>
          <w:numId w:val="2"/>
        </w:numPr>
        <w:spacing w:before="120" w:after="120"/>
        <w:ind w:left="0" w:firstLine="0"/>
        <w:jc w:val="both"/>
        <w:rPr>
          <w:rFonts w:ascii="Verdana" w:eastAsiaTheme="minorHAnsi" w:hAnsi="Verdana" w:cs="Verdana"/>
          <w:sz w:val="20"/>
          <w:szCs w:val="20"/>
          <w:lang w:val="es-CR"/>
        </w:rPr>
      </w:pPr>
      <w:r w:rsidRPr="00B660E9">
        <w:rPr>
          <w:rFonts w:ascii="Verdana" w:eastAsiaTheme="minorHAnsi" w:hAnsi="Verdana" w:cs="ArialMT"/>
          <w:sz w:val="20"/>
          <w:szCs w:val="20"/>
          <w:lang w:val="es-CR"/>
        </w:rPr>
        <w:t>A</w:t>
      </w:r>
      <w:r w:rsidR="0062353B" w:rsidRPr="00B660E9">
        <w:rPr>
          <w:rFonts w:ascii="Verdana" w:eastAsiaTheme="minorHAnsi" w:hAnsi="Verdana" w:cs="ArialMT"/>
          <w:sz w:val="20"/>
          <w:szCs w:val="20"/>
          <w:lang w:val="es-CR"/>
        </w:rPr>
        <w:t xml:space="preserve">dvirtieron que el 28 de julio de 2021 la Policía Nacional Civil envío oficios </w:t>
      </w:r>
      <w:r w:rsidRPr="00B660E9">
        <w:rPr>
          <w:rFonts w:ascii="Verdana" w:eastAsiaTheme="minorHAnsi" w:hAnsi="Verdana" w:cs="ArialMT"/>
          <w:sz w:val="20"/>
          <w:szCs w:val="20"/>
          <w:lang w:val="es-CR"/>
        </w:rPr>
        <w:t xml:space="preserve">al Fiscal </w:t>
      </w:r>
      <w:r w:rsidRPr="00B660E9">
        <w:rPr>
          <w:rFonts w:ascii="Verdana" w:eastAsia="Arial" w:hAnsi="Verdana" w:cs="Arial"/>
          <w:sz w:val="20"/>
          <w:szCs w:val="20"/>
          <w:lang w:val="es-CR"/>
        </w:rPr>
        <w:t>“</w:t>
      </w:r>
      <w:r w:rsidRPr="00B660E9">
        <w:rPr>
          <w:rFonts w:ascii="Verdana" w:eastAsiaTheme="minorHAnsi" w:hAnsi="Verdana" w:cs="ArialMT"/>
          <w:sz w:val="20"/>
          <w:szCs w:val="20"/>
          <w:lang w:val="es-CR"/>
        </w:rPr>
        <w:t>B</w:t>
      </w:r>
      <w:r w:rsidRPr="00B660E9">
        <w:rPr>
          <w:rFonts w:ascii="Verdana" w:eastAsia="Arial" w:hAnsi="Verdana" w:cs="Arial"/>
          <w:sz w:val="20"/>
          <w:szCs w:val="20"/>
          <w:lang w:val="es-CR"/>
        </w:rPr>
        <w:t>”</w:t>
      </w:r>
      <w:r w:rsidRPr="00B660E9">
        <w:rPr>
          <w:rFonts w:ascii="Verdana" w:eastAsiaTheme="minorHAnsi" w:hAnsi="Verdana" w:cs="ArialMT"/>
          <w:sz w:val="20"/>
          <w:szCs w:val="20"/>
          <w:lang w:val="es-CR"/>
        </w:rPr>
        <w:t xml:space="preserve"> </w:t>
      </w:r>
      <w:r w:rsidR="008C6778">
        <w:rPr>
          <w:rFonts w:ascii="Verdana" w:eastAsia="Arial" w:hAnsi="Verdana" w:cs="Arial"/>
          <w:sz w:val="20"/>
          <w:szCs w:val="20"/>
          <w:lang w:val="es-CR"/>
        </w:rPr>
        <w:t xml:space="preserve">y </w:t>
      </w:r>
      <w:r w:rsidR="003B2F78">
        <w:rPr>
          <w:rFonts w:ascii="Verdana" w:eastAsia="Arial" w:hAnsi="Verdana" w:cs="Arial"/>
          <w:sz w:val="20"/>
          <w:szCs w:val="20"/>
          <w:lang w:val="es-CR"/>
        </w:rPr>
        <w:t xml:space="preserve">al </w:t>
      </w:r>
      <w:r w:rsidRPr="00B660E9">
        <w:rPr>
          <w:rFonts w:ascii="Verdana" w:eastAsiaTheme="minorHAnsi" w:hAnsi="Verdana" w:cs="ArialMT"/>
          <w:sz w:val="20"/>
          <w:szCs w:val="20"/>
          <w:lang w:val="es-CR"/>
        </w:rPr>
        <w:t>Au</w:t>
      </w:r>
      <w:r w:rsidRPr="00B660E9">
        <w:rPr>
          <w:rFonts w:ascii="Verdana" w:eastAsia="Arial" w:hAnsi="Verdana" w:cs="Arial"/>
          <w:sz w:val="20"/>
          <w:szCs w:val="20"/>
          <w:lang w:val="es-CR"/>
        </w:rPr>
        <w:t>xi</w:t>
      </w:r>
      <w:r w:rsidRPr="00B660E9">
        <w:rPr>
          <w:rFonts w:ascii="Verdana" w:eastAsiaTheme="minorHAnsi" w:hAnsi="Verdana" w:cs="ArialMT"/>
          <w:sz w:val="20"/>
          <w:szCs w:val="20"/>
          <w:lang w:val="es-CR"/>
        </w:rPr>
        <w:t xml:space="preserve">liar Fiscal </w:t>
      </w:r>
      <w:r w:rsidRPr="00B660E9">
        <w:rPr>
          <w:rFonts w:ascii="Verdana" w:eastAsia="Arial" w:hAnsi="Verdana" w:cs="Arial"/>
          <w:sz w:val="20"/>
          <w:szCs w:val="20"/>
          <w:lang w:val="es-CR"/>
        </w:rPr>
        <w:t>“</w:t>
      </w:r>
      <w:r w:rsidRPr="00B660E9">
        <w:rPr>
          <w:rFonts w:ascii="Verdana" w:eastAsiaTheme="minorHAnsi" w:hAnsi="Verdana" w:cs="ArialMT"/>
          <w:sz w:val="20"/>
          <w:szCs w:val="20"/>
          <w:lang w:val="es-CR"/>
        </w:rPr>
        <w:t>C</w:t>
      </w:r>
      <w:r w:rsidRPr="00B660E9">
        <w:rPr>
          <w:rFonts w:ascii="Verdana" w:eastAsia="Arial" w:hAnsi="Verdana" w:cs="Arial"/>
          <w:sz w:val="20"/>
          <w:szCs w:val="20"/>
          <w:lang w:val="es-CR"/>
        </w:rPr>
        <w:t>”</w:t>
      </w:r>
      <w:r w:rsidRPr="00B660E9">
        <w:rPr>
          <w:rFonts w:ascii="Verdana" w:eastAsiaTheme="minorHAnsi" w:hAnsi="Verdana" w:cs="ArialMT"/>
          <w:sz w:val="20"/>
          <w:szCs w:val="20"/>
          <w:lang w:val="es-CR"/>
        </w:rPr>
        <w:t xml:space="preserve"> </w:t>
      </w:r>
      <w:r w:rsidR="009E1C53">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 xml:space="preserve">solicitándoles fijar fecha y hora para llevar a cabo una audiencia en aras de </w:t>
      </w:r>
      <w:r w:rsidR="006B6CDE">
        <w:rPr>
          <w:rFonts w:ascii="Verdana" w:eastAsia="Verdana" w:hAnsi="Verdana" w:cs="Verdana"/>
          <w:sz w:val="20"/>
          <w:szCs w:val="20"/>
          <w:lang w:val="es-CR"/>
        </w:rPr>
        <w:t>‘</w:t>
      </w:r>
      <w:proofErr w:type="spellStart"/>
      <w:r w:rsidR="0062353B" w:rsidRPr="00B660E9">
        <w:rPr>
          <w:rFonts w:ascii="Verdana" w:eastAsiaTheme="minorHAnsi" w:hAnsi="Verdana" w:cs="ArialMT"/>
          <w:sz w:val="20"/>
          <w:szCs w:val="20"/>
          <w:lang w:val="es-CR"/>
        </w:rPr>
        <w:t>aperturar</w:t>
      </w:r>
      <w:proofErr w:type="spellEnd"/>
      <w:r w:rsidR="006B6CDE">
        <w:rPr>
          <w:rFonts w:ascii="Verdana" w:eastAsia="Verdana" w:hAnsi="Verdana" w:cs="Verdana"/>
          <w:sz w:val="20"/>
          <w:szCs w:val="20"/>
          <w:lang w:val="es-CR"/>
        </w:rPr>
        <w:t>’</w:t>
      </w:r>
      <w:r w:rsidR="0062353B" w:rsidRPr="00B660E9">
        <w:rPr>
          <w:rFonts w:ascii="Verdana" w:eastAsia="Verdana" w:hAnsi="Verdana" w:cs="Verdana"/>
          <w:sz w:val="20"/>
          <w:szCs w:val="20"/>
          <w:lang w:val="es-CR"/>
        </w:rPr>
        <w:t xml:space="preserve"> </w:t>
      </w:r>
      <w:r w:rsidR="0062353B" w:rsidRPr="00B660E9">
        <w:rPr>
          <w:rFonts w:ascii="Verdana" w:eastAsiaTheme="minorHAnsi" w:hAnsi="Verdana" w:cs="ArialMT"/>
          <w:sz w:val="20"/>
          <w:szCs w:val="20"/>
          <w:lang w:val="es-CR"/>
        </w:rPr>
        <w:t>el esquema de seguridad a su favor</w:t>
      </w:r>
      <w:r w:rsidR="009E1C53">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 “cuando su esquema de seguridad siempre ha sido proporcionado por el Departamento de Seguridad del Ministerio Público</w:t>
      </w:r>
      <w:r w:rsidR="004B71DA" w:rsidRPr="00B660E9">
        <w:rPr>
          <w:rFonts w:ascii="Verdana" w:eastAsiaTheme="minorHAnsi" w:hAnsi="Verdana" w:cs="ArialMT"/>
          <w:sz w:val="20"/>
          <w:szCs w:val="20"/>
          <w:lang w:val="es-CR"/>
        </w:rPr>
        <w:t>”</w:t>
      </w:r>
      <w:r w:rsidR="009E1C53">
        <w:rPr>
          <w:rFonts w:ascii="Verdana" w:eastAsiaTheme="minorHAnsi" w:hAnsi="Verdana" w:cs="ArialMT"/>
          <w:sz w:val="20"/>
          <w:szCs w:val="20"/>
          <w:lang w:val="es-CR"/>
        </w:rPr>
        <w:t>. E</w:t>
      </w:r>
      <w:r w:rsidRPr="00B660E9">
        <w:rPr>
          <w:rFonts w:ascii="Verdana" w:eastAsiaTheme="minorHAnsi" w:hAnsi="Verdana" w:cs="ArialMT"/>
          <w:sz w:val="20"/>
          <w:szCs w:val="20"/>
          <w:lang w:val="es-CR"/>
        </w:rPr>
        <w:t xml:space="preserve">sto último, </w:t>
      </w:r>
      <w:r w:rsidR="004B71DA" w:rsidRPr="00B660E9">
        <w:rPr>
          <w:rFonts w:ascii="Verdana" w:eastAsiaTheme="minorHAnsi" w:hAnsi="Verdana" w:cs="ArialMT"/>
          <w:sz w:val="20"/>
          <w:szCs w:val="20"/>
          <w:lang w:val="es-CR"/>
        </w:rPr>
        <w:t xml:space="preserve">debido al riesgo que acarrea el involucramiento </w:t>
      </w:r>
      <w:r w:rsidRPr="00B660E9">
        <w:rPr>
          <w:rFonts w:ascii="Verdana" w:eastAsiaTheme="minorHAnsi" w:hAnsi="Verdana" w:cs="ArialMT"/>
          <w:sz w:val="20"/>
          <w:szCs w:val="20"/>
          <w:lang w:val="es-CR"/>
        </w:rPr>
        <w:t xml:space="preserve">de la Policía </w:t>
      </w:r>
      <w:r w:rsidR="00C55610" w:rsidRPr="00B660E9">
        <w:rPr>
          <w:rFonts w:ascii="Verdana" w:eastAsiaTheme="minorHAnsi" w:hAnsi="Verdana" w:cs="ArialMT"/>
          <w:sz w:val="20"/>
          <w:szCs w:val="20"/>
          <w:lang w:val="es-CR"/>
        </w:rPr>
        <w:t>en la investigación</w:t>
      </w:r>
      <w:r w:rsidR="004B71DA" w:rsidRPr="00B660E9">
        <w:rPr>
          <w:rFonts w:ascii="Verdana" w:eastAsiaTheme="minorHAnsi" w:hAnsi="Verdana" w:cs="ArialMT"/>
          <w:sz w:val="20"/>
          <w:szCs w:val="20"/>
          <w:lang w:val="es-CR"/>
        </w:rPr>
        <w:t>.</w:t>
      </w:r>
    </w:p>
    <w:p w14:paraId="40D043ED" w14:textId="77777777" w:rsidR="001420BE" w:rsidRPr="00B660E9" w:rsidRDefault="00F13D06" w:rsidP="001420BE">
      <w:pPr>
        <w:numPr>
          <w:ilvl w:val="0"/>
          <w:numId w:val="2"/>
        </w:numPr>
        <w:spacing w:before="120" w:after="120"/>
        <w:ind w:left="0" w:firstLine="0"/>
        <w:jc w:val="both"/>
        <w:rPr>
          <w:rFonts w:ascii="Verdana" w:eastAsiaTheme="minorHAnsi" w:hAnsi="Verdana" w:cs="Verdana"/>
          <w:sz w:val="20"/>
          <w:szCs w:val="20"/>
          <w:lang w:val="es-CR"/>
        </w:rPr>
      </w:pPr>
      <w:r w:rsidRPr="00B660E9">
        <w:rPr>
          <w:rFonts w:ascii="Verdana" w:eastAsia="Times" w:hAnsi="Verdana"/>
          <w:sz w:val="20"/>
          <w:szCs w:val="20"/>
          <w:lang w:val="es-CR"/>
        </w:rPr>
        <w:t>Con respecto a los requisitos necesarios para la adopción de medidas provisionales,</w:t>
      </w:r>
      <w:r w:rsidRPr="00B660E9">
        <w:rPr>
          <w:rFonts w:ascii="Verdana" w:eastAsia="Times" w:hAnsi="Verdana"/>
          <w:bCs/>
          <w:sz w:val="20"/>
          <w:szCs w:val="20"/>
          <w:lang w:val="es-CR"/>
        </w:rPr>
        <w:t xml:space="preserve"> </w:t>
      </w:r>
      <w:r w:rsidRPr="00B660E9">
        <w:rPr>
          <w:rFonts w:ascii="Verdana" w:eastAsia="Times" w:hAnsi="Verdana"/>
          <w:sz w:val="20"/>
          <w:szCs w:val="20"/>
          <w:lang w:val="es-CR"/>
        </w:rPr>
        <w:t>indicaron lo siguiente</w:t>
      </w:r>
      <w:r w:rsidR="001420BE" w:rsidRPr="00B660E9">
        <w:rPr>
          <w:rFonts w:ascii="Verdana" w:eastAsia="Times" w:hAnsi="Verdana"/>
          <w:sz w:val="20"/>
          <w:szCs w:val="20"/>
          <w:lang w:val="es-CR"/>
        </w:rPr>
        <w:t>:</w:t>
      </w:r>
    </w:p>
    <w:p w14:paraId="10CAAF2C" w14:textId="13BF0776" w:rsidR="001420BE" w:rsidRPr="00B660E9" w:rsidRDefault="00F13D06" w:rsidP="00884D8A">
      <w:pPr>
        <w:pStyle w:val="Prrafodelista"/>
        <w:numPr>
          <w:ilvl w:val="0"/>
          <w:numId w:val="27"/>
        </w:numPr>
        <w:spacing w:before="120" w:after="120"/>
        <w:ind w:left="851" w:hanging="425"/>
        <w:contextualSpacing w:val="0"/>
        <w:jc w:val="both"/>
        <w:rPr>
          <w:rFonts w:ascii="Verdana" w:eastAsiaTheme="minorHAnsi" w:hAnsi="Verdana" w:cs="ArialMT"/>
          <w:sz w:val="20"/>
          <w:szCs w:val="20"/>
          <w:lang w:val="es-CR"/>
        </w:rPr>
      </w:pPr>
      <w:r w:rsidRPr="00B660E9">
        <w:rPr>
          <w:rFonts w:ascii="Verdana" w:eastAsia="Times" w:hAnsi="Verdana"/>
          <w:sz w:val="20"/>
          <w:szCs w:val="20"/>
          <w:lang w:val="es-CR"/>
        </w:rPr>
        <w:t>L</w:t>
      </w:r>
      <w:r w:rsidR="0062353B" w:rsidRPr="00B660E9">
        <w:rPr>
          <w:rFonts w:ascii="Verdana" w:eastAsiaTheme="minorHAnsi" w:hAnsi="Verdana" w:cs="ArialMT"/>
          <w:sz w:val="20"/>
          <w:szCs w:val="20"/>
          <w:lang w:val="es-CR"/>
        </w:rPr>
        <w:t xml:space="preserve">a </w:t>
      </w:r>
      <w:r w:rsidR="0062353B" w:rsidRPr="00B660E9">
        <w:rPr>
          <w:rFonts w:ascii="Verdana" w:eastAsiaTheme="minorHAnsi" w:hAnsi="Verdana" w:cs="ArialMT"/>
          <w:i/>
          <w:sz w:val="20"/>
          <w:szCs w:val="20"/>
          <w:lang w:val="es-CR"/>
        </w:rPr>
        <w:t>extrema gravedad</w:t>
      </w:r>
      <w:r w:rsidR="0062353B" w:rsidRPr="00B660E9">
        <w:rPr>
          <w:rFonts w:ascii="Verdana" w:eastAsiaTheme="minorHAnsi" w:hAnsi="Verdana" w:cs="ArialMT"/>
          <w:b/>
          <w:sz w:val="20"/>
          <w:szCs w:val="20"/>
          <w:lang w:val="es-CR"/>
        </w:rPr>
        <w:t xml:space="preserve"> </w:t>
      </w:r>
      <w:r w:rsidR="00D94223" w:rsidRPr="00B660E9">
        <w:rPr>
          <w:rFonts w:ascii="Verdana" w:eastAsiaTheme="minorHAnsi" w:hAnsi="Verdana" w:cs="ArialMT"/>
          <w:sz w:val="20"/>
          <w:szCs w:val="20"/>
          <w:lang w:val="es-CR"/>
        </w:rPr>
        <w:t xml:space="preserve">se configura ya que </w:t>
      </w:r>
      <w:r w:rsidR="00DA50DC">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 xml:space="preserve">las afectaciones a los derechos de los fiscales a cargo de la investigación de la ejecución </w:t>
      </w:r>
      <w:r w:rsidR="00D94223" w:rsidRPr="00B660E9">
        <w:rPr>
          <w:rFonts w:ascii="Verdana" w:eastAsiaTheme="minorHAnsi" w:hAnsi="Verdana" w:cs="ArialMT"/>
          <w:sz w:val="20"/>
          <w:szCs w:val="20"/>
          <w:lang w:val="es-CR"/>
        </w:rPr>
        <w:t>de</w:t>
      </w:r>
      <w:r w:rsidR="00DA50DC">
        <w:rPr>
          <w:rFonts w:ascii="Verdana" w:eastAsiaTheme="minorHAnsi" w:hAnsi="Verdana" w:cs="ArialMT"/>
          <w:sz w:val="20"/>
          <w:szCs w:val="20"/>
          <w:lang w:val="es-CR"/>
        </w:rPr>
        <w:t xml:space="preserve"> [</w:t>
      </w:r>
      <w:r w:rsidR="00D94223" w:rsidRPr="00B660E9">
        <w:rPr>
          <w:rFonts w:ascii="Verdana" w:eastAsiaTheme="minorHAnsi" w:hAnsi="Verdana" w:cs="ArialMT"/>
          <w:sz w:val="20"/>
          <w:szCs w:val="20"/>
          <w:lang w:val="es-CR"/>
        </w:rPr>
        <w:t>l</w:t>
      </w:r>
      <w:r w:rsidR="00DA50DC">
        <w:rPr>
          <w:rFonts w:ascii="Verdana" w:eastAsiaTheme="minorHAnsi" w:hAnsi="Verdana" w:cs="ArialMT"/>
          <w:sz w:val="20"/>
          <w:szCs w:val="20"/>
          <w:lang w:val="es-CR"/>
        </w:rPr>
        <w:t>os</w:t>
      </w:r>
      <w:r w:rsidR="00D94223" w:rsidRPr="00B660E9">
        <w:rPr>
          <w:rFonts w:ascii="Verdana" w:eastAsiaTheme="minorHAnsi" w:hAnsi="Verdana" w:cs="ArialMT"/>
          <w:sz w:val="20"/>
          <w:szCs w:val="20"/>
          <w:lang w:val="es-CR"/>
        </w:rPr>
        <w:t xml:space="preserve"> señor</w:t>
      </w:r>
      <w:r w:rsidR="00DA50DC">
        <w:rPr>
          <w:rFonts w:ascii="Verdana" w:eastAsiaTheme="minorHAnsi" w:hAnsi="Verdana" w:cs="ArialMT"/>
          <w:sz w:val="20"/>
          <w:szCs w:val="20"/>
          <w:lang w:val="es-CR"/>
        </w:rPr>
        <w:t xml:space="preserve">es </w:t>
      </w:r>
      <w:r w:rsidR="0062353B" w:rsidRPr="00B660E9">
        <w:rPr>
          <w:rFonts w:ascii="Verdana" w:eastAsiaTheme="minorHAnsi" w:hAnsi="Verdana" w:cs="ArialMT"/>
          <w:sz w:val="20"/>
          <w:szCs w:val="20"/>
          <w:lang w:val="es-CR"/>
        </w:rPr>
        <w:t>Ruíz Fuentes</w:t>
      </w:r>
      <w:r w:rsidR="00DA50DC">
        <w:rPr>
          <w:rFonts w:ascii="Verdana" w:eastAsiaTheme="minorHAnsi" w:hAnsi="Verdana" w:cs="ArialMT"/>
          <w:sz w:val="20"/>
          <w:szCs w:val="20"/>
          <w:lang w:val="es-CR"/>
        </w:rPr>
        <w:t xml:space="preserve"> y Valenzuela Ávila</w:t>
      </w:r>
      <w:r w:rsidR="008F5B3F">
        <w:rPr>
          <w:rFonts w:ascii="Verdana" w:eastAsiaTheme="minorHAnsi" w:hAnsi="Verdana" w:cs="ArialMT"/>
          <w:sz w:val="20"/>
          <w:szCs w:val="20"/>
          <w:lang w:val="es-CR"/>
        </w:rPr>
        <w:t xml:space="preserve"> </w:t>
      </w:r>
      <w:r w:rsidR="00DA50DC">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 xml:space="preserve"> colocan en riesgo extremadamente grave el derecho al acceso a la justicia de las víctimas de este caso</w:t>
      </w:r>
      <w:r w:rsidR="001439A8">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 y la destitución del</w:t>
      </w:r>
      <w:r w:rsidR="00DA50DC">
        <w:rPr>
          <w:rFonts w:ascii="Verdana" w:eastAsiaTheme="minorHAnsi" w:hAnsi="Verdana" w:cs="ArialMT"/>
          <w:sz w:val="20"/>
          <w:szCs w:val="20"/>
          <w:lang w:val="es-CR"/>
        </w:rPr>
        <w:t xml:space="preserve"> entonces</w:t>
      </w:r>
      <w:r w:rsidR="0062353B" w:rsidRPr="00B660E9">
        <w:rPr>
          <w:rFonts w:ascii="Verdana" w:eastAsiaTheme="minorHAnsi" w:hAnsi="Verdana" w:cs="ArialMT"/>
          <w:sz w:val="20"/>
          <w:szCs w:val="20"/>
          <w:lang w:val="es-CR"/>
        </w:rPr>
        <w:t xml:space="preserve"> Fiscal </w:t>
      </w:r>
      <w:r w:rsidR="00D94223" w:rsidRPr="00B660E9">
        <w:rPr>
          <w:rFonts w:ascii="Verdana" w:eastAsiaTheme="minorHAnsi" w:hAnsi="Verdana" w:cs="ArialMT"/>
          <w:sz w:val="20"/>
          <w:szCs w:val="20"/>
          <w:lang w:val="es-CR"/>
        </w:rPr>
        <w:t>Sandoval Alfaro</w:t>
      </w:r>
      <w:r w:rsidR="0062353B" w:rsidRPr="00B660E9">
        <w:rPr>
          <w:rFonts w:ascii="Verdana" w:eastAsiaTheme="minorHAnsi" w:hAnsi="Verdana" w:cs="ArialMT"/>
          <w:sz w:val="20"/>
          <w:szCs w:val="20"/>
          <w:lang w:val="es-CR"/>
        </w:rPr>
        <w:t xml:space="preserve"> constituye un </w:t>
      </w:r>
      <w:r w:rsidR="006B6CDE">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atentado directo a la independencia que deben gozar los fiscales en el ejercicio de sus funciones de investigaci</w:t>
      </w:r>
      <w:r w:rsidR="0062353B" w:rsidRPr="00B660E9">
        <w:rPr>
          <w:rFonts w:ascii="Verdana" w:eastAsia="Arial" w:hAnsi="Verdana" w:cs="Arial"/>
          <w:sz w:val="20"/>
          <w:szCs w:val="20"/>
          <w:lang w:val="es-CR"/>
        </w:rPr>
        <w:t>ó</w:t>
      </w:r>
      <w:r w:rsidR="0062353B" w:rsidRPr="00B660E9">
        <w:rPr>
          <w:rFonts w:ascii="Verdana" w:eastAsiaTheme="minorHAnsi" w:hAnsi="Verdana" w:cs="ArialMT"/>
          <w:sz w:val="20"/>
          <w:szCs w:val="20"/>
          <w:lang w:val="es-CR"/>
        </w:rPr>
        <w:t>n”</w:t>
      </w:r>
      <w:r w:rsidR="00D94223" w:rsidRPr="00B660E9">
        <w:rPr>
          <w:rFonts w:ascii="Verdana" w:eastAsiaTheme="minorHAnsi" w:hAnsi="Verdana" w:cs="ArialMT"/>
          <w:sz w:val="20"/>
          <w:szCs w:val="20"/>
          <w:lang w:val="es-CR"/>
        </w:rPr>
        <w:t>,</w:t>
      </w:r>
      <w:r w:rsidR="00F463FB">
        <w:rPr>
          <w:rFonts w:ascii="Verdana" w:eastAsiaTheme="minorHAnsi" w:hAnsi="Verdana" w:cs="ArialMT"/>
          <w:sz w:val="20"/>
          <w:szCs w:val="20"/>
          <w:lang w:val="es-CR"/>
        </w:rPr>
        <w:t xml:space="preserve"> </w:t>
      </w:r>
      <w:r w:rsidR="00DA50DC">
        <w:rPr>
          <w:rFonts w:ascii="Verdana" w:eastAsiaTheme="minorHAnsi" w:hAnsi="Verdana" w:cs="ArialMT"/>
          <w:sz w:val="20"/>
          <w:szCs w:val="20"/>
          <w:lang w:val="es-CR"/>
        </w:rPr>
        <w:t>“</w:t>
      </w:r>
      <w:r w:rsidR="00F463FB">
        <w:rPr>
          <w:rFonts w:ascii="Verdana" w:eastAsiaTheme="minorHAnsi" w:hAnsi="Verdana" w:cs="ArialMT"/>
          <w:sz w:val="20"/>
          <w:szCs w:val="20"/>
          <w:lang w:val="es-CR"/>
        </w:rPr>
        <w:t xml:space="preserve">y genera </w:t>
      </w:r>
      <w:r w:rsidR="0062353B" w:rsidRPr="00B660E9">
        <w:rPr>
          <w:rFonts w:ascii="Verdana" w:eastAsiaTheme="minorHAnsi" w:hAnsi="Verdana" w:cs="ArialMT"/>
          <w:sz w:val="20"/>
          <w:szCs w:val="20"/>
          <w:lang w:val="es-CR"/>
        </w:rPr>
        <w:t>un riesgo</w:t>
      </w:r>
      <w:r w:rsidR="006B6CDE">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 xml:space="preserve"> para los </w:t>
      </w:r>
      <w:r w:rsidR="006B6CDE">
        <w:rPr>
          <w:rFonts w:ascii="Verdana" w:eastAsiaTheme="minorHAnsi" w:hAnsi="Verdana" w:cs="ArialMT"/>
          <w:sz w:val="20"/>
          <w:szCs w:val="20"/>
          <w:lang w:val="es-CR"/>
        </w:rPr>
        <w:t>f</w:t>
      </w:r>
      <w:r w:rsidR="0062353B" w:rsidRPr="00B660E9">
        <w:rPr>
          <w:rFonts w:ascii="Verdana" w:eastAsiaTheme="minorHAnsi" w:hAnsi="Verdana" w:cs="ArialMT"/>
          <w:sz w:val="20"/>
          <w:szCs w:val="20"/>
          <w:lang w:val="es-CR"/>
        </w:rPr>
        <w:t>iscales "B</w:t>
      </w:r>
      <w:r w:rsidR="0062353B" w:rsidRPr="00B660E9">
        <w:rPr>
          <w:rFonts w:ascii="Verdana" w:eastAsia="Arial" w:hAnsi="Verdana" w:cs="Arial"/>
          <w:sz w:val="20"/>
          <w:szCs w:val="20"/>
          <w:lang w:val="es-CR"/>
        </w:rPr>
        <w:t>”</w:t>
      </w:r>
      <w:r w:rsidR="0062353B" w:rsidRPr="00B660E9">
        <w:rPr>
          <w:rFonts w:ascii="Verdana" w:eastAsiaTheme="minorHAnsi" w:hAnsi="Verdana" w:cs="ArialMT"/>
          <w:sz w:val="20"/>
          <w:szCs w:val="20"/>
          <w:lang w:val="es-CR"/>
        </w:rPr>
        <w:t xml:space="preserve"> </w:t>
      </w:r>
      <w:r w:rsidR="0062353B" w:rsidRPr="00B660E9">
        <w:rPr>
          <w:rFonts w:ascii="Verdana" w:eastAsia="Arial" w:hAnsi="Verdana" w:cs="Arial"/>
          <w:sz w:val="20"/>
          <w:szCs w:val="20"/>
          <w:lang w:val="es-CR"/>
        </w:rPr>
        <w:t>y “</w:t>
      </w:r>
      <w:r w:rsidR="0062353B" w:rsidRPr="00B660E9">
        <w:rPr>
          <w:rFonts w:ascii="Verdana" w:eastAsiaTheme="minorHAnsi" w:hAnsi="Verdana" w:cs="ArialMT"/>
          <w:sz w:val="20"/>
          <w:szCs w:val="20"/>
          <w:lang w:val="es-CR"/>
        </w:rPr>
        <w:t>C</w:t>
      </w:r>
      <w:r w:rsidR="0062353B" w:rsidRPr="00B660E9">
        <w:rPr>
          <w:rFonts w:ascii="Verdana" w:eastAsia="Arial" w:hAnsi="Verdana" w:cs="Arial"/>
          <w:sz w:val="20"/>
          <w:szCs w:val="20"/>
          <w:lang w:val="es-CR"/>
        </w:rPr>
        <w:t>”</w:t>
      </w:r>
      <w:r w:rsidR="0062353B" w:rsidRPr="00B660E9">
        <w:rPr>
          <w:rFonts w:ascii="Verdana" w:eastAsiaTheme="minorHAnsi" w:hAnsi="Verdana" w:cs="ArialMT"/>
          <w:sz w:val="20"/>
          <w:szCs w:val="20"/>
          <w:lang w:val="es-CR"/>
        </w:rPr>
        <w:t xml:space="preserve">, </w:t>
      </w:r>
      <w:r w:rsidR="006B6CDE">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quienes podrían ser objeto del mismo tipo de decisiones arbitrarias</w:t>
      </w:r>
      <w:r w:rsidR="006B6CDE">
        <w:rPr>
          <w:rFonts w:ascii="Verdana" w:eastAsiaTheme="minorHAnsi" w:hAnsi="Verdana" w:cs="ArialMT"/>
          <w:sz w:val="20"/>
          <w:szCs w:val="20"/>
          <w:lang w:val="es-CR"/>
        </w:rPr>
        <w:t>”</w:t>
      </w:r>
      <w:r w:rsidR="00D94223" w:rsidRPr="00B660E9">
        <w:rPr>
          <w:rFonts w:ascii="Verdana" w:eastAsiaTheme="minorHAnsi" w:hAnsi="Verdana" w:cs="ArialMT"/>
          <w:sz w:val="20"/>
          <w:szCs w:val="20"/>
          <w:lang w:val="es-CR"/>
        </w:rPr>
        <w:t xml:space="preserve">. </w:t>
      </w:r>
      <w:r w:rsidR="0062353B" w:rsidRPr="00B660E9">
        <w:rPr>
          <w:rFonts w:ascii="Verdana" w:eastAsiaTheme="minorHAnsi" w:hAnsi="Verdana" w:cs="ArialMT"/>
          <w:sz w:val="20"/>
          <w:szCs w:val="20"/>
          <w:lang w:val="es-CR"/>
        </w:rPr>
        <w:t>A ello se adiciona “la existencia de campañas que llaman a la detención de</w:t>
      </w:r>
      <w:r w:rsidR="004A17B2">
        <w:rPr>
          <w:rFonts w:ascii="Verdana" w:eastAsiaTheme="minorHAnsi" w:hAnsi="Verdana" w:cs="ArialMT"/>
          <w:sz w:val="20"/>
          <w:szCs w:val="20"/>
          <w:lang w:val="es-CR"/>
        </w:rPr>
        <w:t>[l]</w:t>
      </w:r>
      <w:r w:rsidR="00D94223" w:rsidRPr="00B660E9">
        <w:rPr>
          <w:rFonts w:ascii="Verdana" w:eastAsiaTheme="minorHAnsi" w:hAnsi="Verdana" w:cs="ArialMT"/>
          <w:sz w:val="20"/>
          <w:szCs w:val="20"/>
          <w:lang w:val="es-CR"/>
        </w:rPr>
        <w:t xml:space="preserve"> </w:t>
      </w:r>
      <w:r w:rsidR="004A17B2">
        <w:rPr>
          <w:rFonts w:ascii="Verdana" w:eastAsiaTheme="minorHAnsi" w:hAnsi="Verdana" w:cs="ArialMT"/>
          <w:sz w:val="20"/>
          <w:szCs w:val="20"/>
          <w:lang w:val="es-CR"/>
        </w:rPr>
        <w:t>[</w:t>
      </w:r>
      <w:r w:rsidR="00D94223" w:rsidRPr="00B660E9">
        <w:rPr>
          <w:rFonts w:ascii="Verdana" w:eastAsiaTheme="minorHAnsi" w:hAnsi="Verdana" w:cs="ArialMT"/>
          <w:sz w:val="20"/>
          <w:szCs w:val="20"/>
          <w:lang w:val="es-CR"/>
        </w:rPr>
        <w:t>señor</w:t>
      </w:r>
      <w:r w:rsidR="008F5B3F">
        <w:rPr>
          <w:rFonts w:ascii="Verdana" w:eastAsiaTheme="minorHAnsi" w:hAnsi="Verdana" w:cs="ArialMT"/>
          <w:sz w:val="20"/>
          <w:szCs w:val="20"/>
          <w:lang w:val="es-CR"/>
        </w:rPr>
        <w:t xml:space="preserve"> </w:t>
      </w:r>
      <w:r w:rsidR="004A17B2">
        <w:rPr>
          <w:rFonts w:ascii="Verdana" w:eastAsiaTheme="minorHAnsi" w:hAnsi="Verdana" w:cs="ArialMT"/>
          <w:sz w:val="20"/>
          <w:szCs w:val="20"/>
          <w:lang w:val="es-CR"/>
        </w:rPr>
        <w:t xml:space="preserve">…] </w:t>
      </w:r>
      <w:r w:rsidR="0062353B" w:rsidRPr="00B660E9">
        <w:rPr>
          <w:rFonts w:ascii="Verdana" w:eastAsiaTheme="minorHAnsi" w:hAnsi="Verdana" w:cs="ArialMT"/>
          <w:sz w:val="20"/>
          <w:szCs w:val="20"/>
          <w:lang w:val="es-CR"/>
        </w:rPr>
        <w:t>Sandoval</w:t>
      </w:r>
      <w:r w:rsidR="004A17B2">
        <w:rPr>
          <w:rFonts w:ascii="Verdana" w:eastAsiaTheme="minorHAnsi" w:hAnsi="Verdana" w:cs="ArialMT"/>
          <w:sz w:val="20"/>
          <w:szCs w:val="20"/>
          <w:lang w:val="es-CR"/>
        </w:rPr>
        <w:t>”</w:t>
      </w:r>
      <w:r w:rsidR="00D94223" w:rsidRPr="00B660E9">
        <w:rPr>
          <w:rFonts w:ascii="Verdana" w:eastAsiaTheme="minorHAnsi" w:hAnsi="Verdana" w:cs="ArialMT"/>
          <w:sz w:val="20"/>
          <w:szCs w:val="20"/>
          <w:lang w:val="es-CR"/>
        </w:rPr>
        <w:t>, así como al</w:t>
      </w:r>
      <w:r w:rsidR="0062353B" w:rsidRPr="00B660E9">
        <w:rPr>
          <w:rFonts w:ascii="Verdana" w:eastAsiaTheme="minorHAnsi" w:hAnsi="Verdana" w:cs="ArialMT"/>
          <w:sz w:val="20"/>
          <w:szCs w:val="20"/>
          <w:lang w:val="es-CR"/>
        </w:rPr>
        <w:t xml:space="preserve"> </w:t>
      </w:r>
      <w:r w:rsidR="00D94223" w:rsidRPr="00B660E9">
        <w:rPr>
          <w:rFonts w:ascii="Verdana" w:eastAsiaTheme="minorHAnsi" w:hAnsi="Verdana" w:cs="ArialMT"/>
          <w:sz w:val="20"/>
          <w:szCs w:val="20"/>
          <w:lang w:val="es-CR"/>
        </w:rPr>
        <w:t>“</w:t>
      </w:r>
      <w:r w:rsidR="0062353B" w:rsidRPr="00B660E9">
        <w:rPr>
          <w:rFonts w:ascii="Verdana" w:eastAsiaTheme="minorHAnsi" w:hAnsi="Verdana" w:cs="ArialMT"/>
          <w:sz w:val="20"/>
          <w:szCs w:val="20"/>
          <w:lang w:val="es-CR"/>
        </w:rPr>
        <w:t xml:space="preserve">traslado del </w:t>
      </w:r>
      <w:proofErr w:type="gramStart"/>
      <w:r w:rsidR="0062353B" w:rsidRPr="00B660E9">
        <w:rPr>
          <w:rFonts w:ascii="Verdana" w:eastAsiaTheme="minorHAnsi" w:hAnsi="Verdana" w:cs="ArialMT"/>
          <w:sz w:val="20"/>
          <w:szCs w:val="20"/>
          <w:lang w:val="es-CR"/>
        </w:rPr>
        <w:t>Jefe</w:t>
      </w:r>
      <w:proofErr w:type="gramEnd"/>
      <w:r w:rsidR="0062353B" w:rsidRPr="00B660E9">
        <w:rPr>
          <w:rFonts w:ascii="Verdana" w:eastAsiaTheme="minorHAnsi" w:hAnsi="Verdana" w:cs="ArialMT"/>
          <w:sz w:val="20"/>
          <w:szCs w:val="20"/>
          <w:lang w:val="es-CR"/>
        </w:rPr>
        <w:t xml:space="preserve"> de la Fiscalía de Asuntos Internos, por supuestamente haberse negado a proceder a la detención del primero</w:t>
      </w:r>
      <w:r w:rsidRPr="00B660E9">
        <w:rPr>
          <w:rFonts w:ascii="Verdana" w:eastAsiaTheme="minorHAnsi" w:hAnsi="Verdana" w:cs="ArialMT"/>
          <w:sz w:val="20"/>
          <w:szCs w:val="20"/>
          <w:lang w:val="es-CR"/>
        </w:rPr>
        <w:t>”</w:t>
      </w:r>
      <w:r w:rsidR="00200F0E">
        <w:rPr>
          <w:rFonts w:ascii="Verdana" w:eastAsiaTheme="minorHAnsi" w:hAnsi="Verdana" w:cs="ArialMT"/>
          <w:sz w:val="20"/>
          <w:szCs w:val="20"/>
          <w:lang w:val="es-CR"/>
        </w:rPr>
        <w:t>;</w:t>
      </w:r>
    </w:p>
    <w:p w14:paraId="4AAED6D1" w14:textId="22F5B6B7" w:rsidR="001420BE" w:rsidRPr="00B660E9" w:rsidRDefault="0062353B" w:rsidP="00280301">
      <w:pPr>
        <w:pStyle w:val="Prrafodelista"/>
        <w:numPr>
          <w:ilvl w:val="0"/>
          <w:numId w:val="27"/>
        </w:numPr>
        <w:spacing w:before="120" w:after="120"/>
        <w:ind w:left="851" w:hanging="425"/>
        <w:contextualSpacing w:val="0"/>
        <w:jc w:val="both"/>
        <w:rPr>
          <w:rFonts w:ascii="Verdana" w:eastAsiaTheme="minorHAnsi" w:hAnsi="Verdana" w:cs="Verdana"/>
          <w:sz w:val="20"/>
          <w:szCs w:val="20"/>
          <w:lang w:val="es-CR"/>
        </w:rPr>
      </w:pPr>
      <w:r w:rsidRPr="00B660E9">
        <w:rPr>
          <w:rFonts w:ascii="Verdana" w:eastAsiaTheme="minorHAnsi" w:hAnsi="Verdana" w:cs="ArialMT"/>
          <w:sz w:val="20"/>
          <w:szCs w:val="20"/>
          <w:lang w:val="es-CR"/>
        </w:rPr>
        <w:t xml:space="preserve">La </w:t>
      </w:r>
      <w:r w:rsidRPr="00B660E9">
        <w:rPr>
          <w:rFonts w:ascii="Verdana" w:eastAsiaTheme="minorHAnsi" w:hAnsi="Verdana" w:cs="ArialMT"/>
          <w:i/>
          <w:sz w:val="20"/>
          <w:szCs w:val="20"/>
          <w:lang w:val="es-CR"/>
        </w:rPr>
        <w:t>extrema urgencia</w:t>
      </w:r>
      <w:r w:rsidRPr="00B660E9">
        <w:rPr>
          <w:rFonts w:ascii="Verdana" w:eastAsiaTheme="minorHAnsi" w:hAnsi="Verdana" w:cs="ArialMT"/>
          <w:sz w:val="20"/>
          <w:szCs w:val="20"/>
          <w:lang w:val="es-CR"/>
        </w:rPr>
        <w:t xml:space="preserve"> se deriva de que, con posterioridad a la destitución del</w:t>
      </w:r>
      <w:r w:rsidR="004A17B2">
        <w:rPr>
          <w:rFonts w:ascii="Verdana" w:eastAsiaTheme="minorHAnsi" w:hAnsi="Verdana" w:cs="ArialMT"/>
          <w:sz w:val="20"/>
          <w:szCs w:val="20"/>
          <w:lang w:val="es-CR"/>
        </w:rPr>
        <w:t xml:space="preserve"> entonces</w:t>
      </w:r>
      <w:r w:rsidRPr="00B660E9">
        <w:rPr>
          <w:rFonts w:ascii="Verdana" w:eastAsiaTheme="minorHAnsi" w:hAnsi="Verdana" w:cs="ArialMT"/>
          <w:sz w:val="20"/>
          <w:szCs w:val="20"/>
          <w:lang w:val="es-CR"/>
        </w:rPr>
        <w:t xml:space="preserve"> Fiscal </w:t>
      </w:r>
      <w:r w:rsidR="00F13D06" w:rsidRPr="00B660E9">
        <w:rPr>
          <w:rFonts w:ascii="Verdana" w:eastAsiaTheme="minorHAnsi" w:hAnsi="Verdana" w:cs="ArialMT"/>
          <w:sz w:val="20"/>
          <w:szCs w:val="20"/>
          <w:lang w:val="es-CR"/>
        </w:rPr>
        <w:t>Sandoval</w:t>
      </w:r>
      <w:r w:rsidR="004263DC" w:rsidRPr="004263DC">
        <w:rPr>
          <w:rFonts w:ascii="Verdana" w:eastAsiaTheme="minorHAnsi" w:hAnsi="Verdana" w:cs="ArialMT"/>
          <w:sz w:val="20"/>
          <w:szCs w:val="20"/>
          <w:lang w:val="es-CR"/>
        </w:rPr>
        <w:t xml:space="preserve"> </w:t>
      </w:r>
      <w:r w:rsidR="004263DC" w:rsidRPr="00B660E9">
        <w:rPr>
          <w:rFonts w:ascii="Verdana" w:eastAsiaTheme="minorHAnsi" w:hAnsi="Verdana" w:cs="ArialMT"/>
          <w:sz w:val="20"/>
          <w:szCs w:val="20"/>
          <w:lang w:val="es-CR"/>
        </w:rPr>
        <w:t>Alfaro</w:t>
      </w:r>
      <w:r w:rsidRPr="00B660E9">
        <w:rPr>
          <w:rFonts w:ascii="Verdana" w:eastAsiaTheme="minorHAnsi" w:hAnsi="Verdana" w:cs="ArialMT"/>
          <w:sz w:val="20"/>
          <w:szCs w:val="20"/>
          <w:lang w:val="es-CR"/>
        </w:rPr>
        <w:t>, “la Fiscal General ha ido adoptando otras decisiones que ponen en grave riesgo la existencia de una investigación independiente de los hechos a los que se r</w:t>
      </w:r>
      <w:r w:rsidR="00280301" w:rsidRPr="00B660E9">
        <w:rPr>
          <w:rFonts w:ascii="Verdana" w:eastAsiaTheme="minorHAnsi" w:hAnsi="Verdana" w:cs="ArialMT"/>
          <w:sz w:val="20"/>
          <w:szCs w:val="20"/>
          <w:lang w:val="es-CR"/>
        </w:rPr>
        <w:t>efiere este caso</w:t>
      </w:r>
      <w:r w:rsidR="00200F0E">
        <w:rPr>
          <w:rFonts w:ascii="Verdana" w:eastAsiaTheme="minorHAnsi" w:hAnsi="Verdana" w:cs="ArialMT"/>
          <w:sz w:val="20"/>
          <w:szCs w:val="20"/>
          <w:lang w:val="es-CR"/>
        </w:rPr>
        <w:t>”</w:t>
      </w:r>
      <w:r w:rsidR="00280301" w:rsidRPr="00B660E9">
        <w:rPr>
          <w:rFonts w:ascii="Verdana" w:eastAsiaTheme="minorHAnsi" w:hAnsi="Verdana" w:cs="ArialMT"/>
          <w:sz w:val="20"/>
          <w:szCs w:val="20"/>
          <w:lang w:val="es-CR"/>
        </w:rPr>
        <w:t xml:space="preserve">, como que tan solo 12 días después del nombramiento </w:t>
      </w:r>
      <w:r w:rsidR="00280301" w:rsidRPr="00B660E9">
        <w:rPr>
          <w:rFonts w:ascii="Verdana" w:eastAsiaTheme="minorHAnsi" w:hAnsi="Verdana" w:cs="ArialMT"/>
          <w:sz w:val="20"/>
          <w:szCs w:val="20"/>
          <w:lang w:val="es-CR"/>
        </w:rPr>
        <w:lastRenderedPageBreak/>
        <w:t xml:space="preserve">de la nueva </w:t>
      </w:r>
      <w:r w:rsidR="00F463FB">
        <w:rPr>
          <w:rFonts w:ascii="Verdana" w:eastAsiaTheme="minorHAnsi" w:hAnsi="Verdana" w:cs="ArialMT"/>
          <w:sz w:val="20"/>
          <w:szCs w:val="20"/>
          <w:lang w:val="es-CR"/>
        </w:rPr>
        <w:t>J</w:t>
      </w:r>
      <w:r w:rsidR="00280301" w:rsidRPr="00B660E9">
        <w:rPr>
          <w:rFonts w:ascii="Verdana" w:eastAsiaTheme="minorHAnsi" w:hAnsi="Verdana" w:cs="ArialMT"/>
          <w:sz w:val="20"/>
          <w:szCs w:val="20"/>
          <w:lang w:val="es-CR"/>
        </w:rPr>
        <w:t>efa de la FECI</w:t>
      </w:r>
      <w:r w:rsidR="004A17B2">
        <w:rPr>
          <w:rFonts w:ascii="Verdana" w:eastAsiaTheme="minorHAnsi" w:hAnsi="Verdana" w:cs="ArialMT"/>
          <w:sz w:val="20"/>
          <w:szCs w:val="20"/>
          <w:lang w:val="es-CR"/>
        </w:rPr>
        <w:t>,</w:t>
      </w:r>
      <w:r w:rsidR="00280301" w:rsidRPr="00B660E9">
        <w:rPr>
          <w:rFonts w:ascii="Verdana" w:eastAsiaTheme="minorHAnsi" w:hAnsi="Verdana" w:cs="ArialMT"/>
          <w:sz w:val="20"/>
          <w:szCs w:val="20"/>
          <w:lang w:val="es-CR"/>
        </w:rPr>
        <w:t xml:space="preserve"> en sustitución del</w:t>
      </w:r>
      <w:r w:rsidR="004A17B2">
        <w:rPr>
          <w:rFonts w:ascii="Verdana" w:eastAsiaTheme="minorHAnsi" w:hAnsi="Verdana" w:cs="ArialMT"/>
          <w:sz w:val="20"/>
          <w:szCs w:val="20"/>
          <w:lang w:val="es-CR"/>
        </w:rPr>
        <w:t xml:space="preserve"> entonces</w:t>
      </w:r>
      <w:r w:rsidR="00280301" w:rsidRPr="00B660E9">
        <w:rPr>
          <w:rFonts w:ascii="Verdana" w:eastAsiaTheme="minorHAnsi" w:hAnsi="Verdana" w:cs="ArialMT"/>
          <w:sz w:val="20"/>
          <w:szCs w:val="20"/>
          <w:lang w:val="es-CR"/>
        </w:rPr>
        <w:t xml:space="preserve"> Fiscal Sandoval, aquella fue nuevamente trasladada</w:t>
      </w:r>
      <w:r w:rsidRPr="00B660E9">
        <w:rPr>
          <w:rFonts w:ascii="Verdana" w:eastAsiaTheme="minorHAnsi" w:hAnsi="Verdana" w:cs="ArialMT"/>
          <w:sz w:val="20"/>
          <w:szCs w:val="20"/>
          <w:lang w:val="es-CR"/>
        </w:rPr>
        <w:t xml:space="preserve">, y </w:t>
      </w:r>
      <w:r w:rsidR="008F5B3F">
        <w:rPr>
          <w:rFonts w:ascii="Verdana" w:eastAsiaTheme="minorHAnsi" w:hAnsi="Verdana" w:cs="ArialMT"/>
          <w:sz w:val="20"/>
          <w:szCs w:val="20"/>
          <w:lang w:val="es-CR"/>
        </w:rPr>
        <w:t xml:space="preserve">en su lugar se dio </w:t>
      </w:r>
      <w:r w:rsidRPr="00B660E9">
        <w:rPr>
          <w:rFonts w:ascii="Verdana" w:eastAsiaTheme="minorHAnsi" w:hAnsi="Verdana" w:cs="ArialMT"/>
          <w:sz w:val="20"/>
          <w:szCs w:val="20"/>
          <w:lang w:val="es-CR"/>
        </w:rPr>
        <w:t xml:space="preserve">el nombramiento de una persona que ha sido cuestionada por favorecer a personas señaladas por corrupción en </w:t>
      </w:r>
      <w:r w:rsidR="00F13D06" w:rsidRPr="00B660E9">
        <w:rPr>
          <w:rFonts w:ascii="Verdana" w:eastAsiaTheme="minorHAnsi" w:hAnsi="Verdana" w:cs="ArialMT"/>
          <w:sz w:val="20"/>
          <w:szCs w:val="20"/>
          <w:lang w:val="es-CR"/>
        </w:rPr>
        <w:t xml:space="preserve">casos de alto perfil. Por ello, </w:t>
      </w:r>
      <w:r w:rsidR="004A17B2">
        <w:rPr>
          <w:rFonts w:ascii="Verdana" w:eastAsiaTheme="minorHAnsi" w:hAnsi="Verdana" w:cs="ArialMT"/>
          <w:sz w:val="20"/>
          <w:szCs w:val="20"/>
          <w:lang w:val="es-CR"/>
        </w:rPr>
        <w:t xml:space="preserve">argumentaron la </w:t>
      </w:r>
      <w:r w:rsidRPr="00B660E9">
        <w:rPr>
          <w:rFonts w:ascii="Verdana" w:eastAsiaTheme="minorHAnsi" w:hAnsi="Verdana" w:cs="ArialMT"/>
          <w:sz w:val="20"/>
          <w:szCs w:val="20"/>
          <w:lang w:val="es-CR"/>
        </w:rPr>
        <w:t>existe</w:t>
      </w:r>
      <w:r w:rsidR="004A17B2">
        <w:rPr>
          <w:rFonts w:ascii="Verdana" w:eastAsiaTheme="minorHAnsi" w:hAnsi="Verdana" w:cs="ArialMT"/>
          <w:sz w:val="20"/>
          <w:szCs w:val="20"/>
          <w:lang w:val="es-CR"/>
        </w:rPr>
        <w:t>ncia de</w:t>
      </w:r>
      <w:r w:rsidRPr="00B660E9">
        <w:rPr>
          <w:rFonts w:ascii="Verdana" w:eastAsiaTheme="minorHAnsi" w:hAnsi="Verdana" w:cs="ArialMT"/>
          <w:sz w:val="20"/>
          <w:szCs w:val="20"/>
          <w:lang w:val="es-CR"/>
        </w:rPr>
        <w:t xml:space="preserve"> un grave riesgo de que los fiscales</w:t>
      </w:r>
      <w:r w:rsidR="00200F0E">
        <w:rPr>
          <w:rFonts w:ascii="Verdana" w:eastAsiaTheme="minorHAnsi" w:hAnsi="Verdana" w:cs="ArialMT"/>
          <w:sz w:val="20"/>
          <w:szCs w:val="20"/>
          <w:lang w:val="es-CR"/>
        </w:rPr>
        <w:t xml:space="preserve"> “</w:t>
      </w:r>
      <w:r w:rsidR="00200F0E" w:rsidRPr="00B660E9">
        <w:rPr>
          <w:rFonts w:ascii="Verdana" w:eastAsiaTheme="minorHAnsi" w:hAnsi="Verdana" w:cs="ArialMT"/>
          <w:sz w:val="20"/>
          <w:szCs w:val="20"/>
          <w:lang w:val="es-CR"/>
        </w:rPr>
        <w:t>B</w:t>
      </w:r>
      <w:r w:rsidR="00200F0E">
        <w:rPr>
          <w:rFonts w:ascii="Verdana" w:eastAsiaTheme="minorHAnsi" w:hAnsi="Verdana" w:cs="ArialMT"/>
          <w:sz w:val="20"/>
          <w:szCs w:val="20"/>
          <w:lang w:val="es-CR"/>
        </w:rPr>
        <w:t>”</w:t>
      </w:r>
      <w:r w:rsidR="00200F0E" w:rsidRPr="00B660E9">
        <w:rPr>
          <w:rFonts w:ascii="Verdana" w:eastAsiaTheme="minorHAnsi" w:hAnsi="Verdana" w:cs="ArialMT"/>
          <w:sz w:val="20"/>
          <w:szCs w:val="20"/>
          <w:lang w:val="es-CR"/>
        </w:rPr>
        <w:t xml:space="preserve"> y “C”</w:t>
      </w:r>
      <w:r w:rsidR="00200F0E">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 involucrados en la investigación de</w:t>
      </w:r>
      <w:r w:rsidR="00B05976">
        <w:rPr>
          <w:rFonts w:ascii="Verdana" w:eastAsiaTheme="minorHAnsi" w:hAnsi="Verdana" w:cs="ArialMT"/>
          <w:sz w:val="20"/>
          <w:szCs w:val="20"/>
          <w:lang w:val="es-CR"/>
        </w:rPr>
        <w:t xml:space="preserve"> </w:t>
      </w:r>
      <w:r w:rsidRPr="00B660E9">
        <w:rPr>
          <w:rFonts w:ascii="Verdana" w:eastAsiaTheme="minorHAnsi" w:hAnsi="Verdana" w:cs="ArialMT"/>
          <w:sz w:val="20"/>
          <w:szCs w:val="20"/>
          <w:lang w:val="es-CR"/>
        </w:rPr>
        <w:t>l</w:t>
      </w:r>
      <w:r w:rsidR="00B05976">
        <w:rPr>
          <w:rFonts w:ascii="Verdana" w:eastAsiaTheme="minorHAnsi" w:hAnsi="Verdana" w:cs="ArialMT"/>
          <w:sz w:val="20"/>
          <w:szCs w:val="20"/>
          <w:lang w:val="es-CR"/>
        </w:rPr>
        <w:t>a muerte del señor</w:t>
      </w:r>
      <w:r w:rsidR="00B05976" w:rsidRPr="00200F0E">
        <w:rPr>
          <w:rFonts w:ascii="Verdana" w:eastAsiaTheme="minorHAnsi" w:hAnsi="Verdana" w:cs="ArialMT"/>
          <w:sz w:val="20"/>
          <w:szCs w:val="20"/>
          <w:lang w:val="es-CR"/>
        </w:rPr>
        <w:t xml:space="preserve"> </w:t>
      </w:r>
      <w:r w:rsidRPr="00200F0E">
        <w:rPr>
          <w:rFonts w:ascii="Verdana" w:eastAsiaTheme="minorHAnsi" w:hAnsi="Verdana" w:cs="ArialMT"/>
          <w:sz w:val="20"/>
          <w:szCs w:val="20"/>
          <w:lang w:val="es-CR"/>
        </w:rPr>
        <w:t>Ruiz Fuentes</w:t>
      </w:r>
      <w:r w:rsidR="00200F0E">
        <w:rPr>
          <w:rFonts w:ascii="Verdana" w:eastAsiaTheme="minorHAnsi" w:hAnsi="Verdana" w:cs="ArialMT"/>
          <w:sz w:val="20"/>
          <w:szCs w:val="20"/>
          <w:lang w:val="es-CR"/>
        </w:rPr>
        <w:t>,</w:t>
      </w:r>
      <w:r w:rsidR="00093107" w:rsidRPr="00B660E9">
        <w:rPr>
          <w:rFonts w:ascii="Verdana" w:eastAsiaTheme="minorHAnsi" w:hAnsi="Verdana" w:cs="ArialMT"/>
          <w:sz w:val="20"/>
          <w:szCs w:val="20"/>
          <w:lang w:val="es-CR"/>
        </w:rPr>
        <w:t xml:space="preserve"> </w:t>
      </w:r>
      <w:r w:rsidRPr="00B660E9">
        <w:rPr>
          <w:rFonts w:ascii="Verdana" w:eastAsiaTheme="minorHAnsi" w:hAnsi="Verdana" w:cs="ArialMT"/>
          <w:sz w:val="20"/>
          <w:szCs w:val="20"/>
          <w:lang w:val="es-CR"/>
        </w:rPr>
        <w:t>“se</w:t>
      </w:r>
      <w:r w:rsidR="004A17B2">
        <w:rPr>
          <w:rFonts w:ascii="Verdana" w:eastAsiaTheme="minorHAnsi" w:hAnsi="Verdana" w:cs="ArialMT"/>
          <w:sz w:val="20"/>
          <w:szCs w:val="20"/>
          <w:lang w:val="es-CR"/>
        </w:rPr>
        <w:t>[</w:t>
      </w:r>
      <w:proofErr w:type="spellStart"/>
      <w:r w:rsidRPr="00B660E9">
        <w:rPr>
          <w:rFonts w:ascii="Verdana" w:eastAsiaTheme="minorHAnsi" w:hAnsi="Verdana" w:cs="ArialMT"/>
          <w:sz w:val="20"/>
          <w:szCs w:val="20"/>
          <w:lang w:val="es-CR"/>
        </w:rPr>
        <w:t>an</w:t>
      </w:r>
      <w:proofErr w:type="spellEnd"/>
      <w:r w:rsidR="004A17B2">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 apartados de las investigaciones (por remoción o traslado) de manera ilegal y arbitraria</w:t>
      </w:r>
      <w:r w:rsidR="00200F0E">
        <w:rPr>
          <w:rFonts w:ascii="Verdana" w:eastAsiaTheme="minorHAnsi" w:hAnsi="Verdana" w:cs="ArialMT"/>
          <w:sz w:val="20"/>
          <w:szCs w:val="20"/>
          <w:lang w:val="es-CR"/>
        </w:rPr>
        <w:t>”</w:t>
      </w:r>
      <w:r w:rsidRPr="00B660E9">
        <w:rPr>
          <w:rFonts w:ascii="Verdana" w:eastAsiaTheme="minorHAnsi" w:hAnsi="Verdana" w:cs="ArialMT"/>
          <w:sz w:val="20"/>
          <w:szCs w:val="20"/>
          <w:lang w:val="es-CR"/>
        </w:rPr>
        <w:t>,</w:t>
      </w:r>
      <w:r w:rsidR="00093107" w:rsidRPr="00B660E9">
        <w:rPr>
          <w:rFonts w:ascii="Verdana" w:eastAsiaTheme="minorHAnsi" w:hAnsi="Verdana" w:cs="ArialMT"/>
          <w:sz w:val="20"/>
          <w:szCs w:val="20"/>
          <w:lang w:val="es-CR"/>
        </w:rPr>
        <w:t xml:space="preserve"> como represalia por su labor judicial</w:t>
      </w:r>
      <w:r w:rsidR="00093107" w:rsidRPr="00B660E9">
        <w:rPr>
          <w:rFonts w:ascii="Verdana" w:eastAsiaTheme="minorHAnsi" w:hAnsi="Verdana" w:cs="Verdana"/>
          <w:sz w:val="20"/>
          <w:szCs w:val="20"/>
          <w:lang w:val="es-CR"/>
        </w:rPr>
        <w:t xml:space="preserve"> </w:t>
      </w:r>
      <w:r w:rsidR="00093107" w:rsidRPr="00B660E9">
        <w:rPr>
          <w:rFonts w:ascii="Verdana" w:eastAsiaTheme="minorHAnsi" w:hAnsi="Verdana" w:cs="ArialMT"/>
          <w:sz w:val="20"/>
          <w:szCs w:val="20"/>
          <w:lang w:val="es-CR"/>
        </w:rPr>
        <w:t>independiente,</w:t>
      </w:r>
      <w:r w:rsidRPr="00B660E9">
        <w:rPr>
          <w:rFonts w:ascii="Verdana" w:eastAsiaTheme="minorHAnsi" w:hAnsi="Verdana" w:cs="ArialMT"/>
          <w:sz w:val="20"/>
          <w:szCs w:val="20"/>
          <w:lang w:val="es-CR"/>
        </w:rPr>
        <w:t xml:space="preserve"> lo cual coloca en grave riesgo el derecho al acceso</w:t>
      </w:r>
      <w:r w:rsidR="00200F0E">
        <w:rPr>
          <w:rFonts w:ascii="Verdana" w:eastAsiaTheme="minorHAnsi" w:hAnsi="Verdana" w:cs="ArialMT"/>
          <w:sz w:val="20"/>
          <w:szCs w:val="20"/>
          <w:lang w:val="es-CR"/>
        </w:rPr>
        <w:t xml:space="preserve"> a la justicia de las víctimas, y</w:t>
      </w:r>
    </w:p>
    <w:p w14:paraId="3073F3BB" w14:textId="780EFCEC" w:rsidR="0070089B" w:rsidRPr="0070089B" w:rsidRDefault="0062353B" w:rsidP="0070089B">
      <w:pPr>
        <w:pStyle w:val="Prrafodelista"/>
        <w:numPr>
          <w:ilvl w:val="0"/>
          <w:numId w:val="27"/>
        </w:numPr>
        <w:spacing w:before="120" w:after="120"/>
        <w:ind w:left="851" w:hanging="425"/>
        <w:contextualSpacing w:val="0"/>
        <w:jc w:val="both"/>
        <w:rPr>
          <w:rFonts w:ascii="Verdana" w:eastAsiaTheme="minorHAnsi" w:hAnsi="Verdana" w:cs="Verdana"/>
          <w:sz w:val="20"/>
          <w:szCs w:val="20"/>
          <w:lang w:val="es-CR"/>
        </w:rPr>
      </w:pPr>
      <w:r w:rsidRPr="00B660E9">
        <w:rPr>
          <w:rFonts w:ascii="Verdana" w:eastAsiaTheme="minorHAnsi" w:hAnsi="Verdana" w:cs="ArialMT"/>
          <w:sz w:val="20"/>
          <w:szCs w:val="20"/>
          <w:lang w:val="es-CR"/>
        </w:rPr>
        <w:t xml:space="preserve">La </w:t>
      </w:r>
      <w:proofErr w:type="spellStart"/>
      <w:r w:rsidRPr="00B660E9">
        <w:rPr>
          <w:rFonts w:ascii="Verdana" w:eastAsiaTheme="minorHAnsi" w:hAnsi="Verdana" w:cs="ArialMT"/>
          <w:i/>
          <w:sz w:val="20"/>
          <w:szCs w:val="20"/>
          <w:lang w:val="es-CR"/>
        </w:rPr>
        <w:t>irreparabilidad</w:t>
      </w:r>
      <w:proofErr w:type="spellEnd"/>
      <w:r w:rsidRPr="00B660E9">
        <w:rPr>
          <w:rFonts w:ascii="Verdana" w:eastAsiaTheme="minorHAnsi" w:hAnsi="Verdana" w:cs="ArialMT"/>
          <w:i/>
          <w:sz w:val="20"/>
          <w:szCs w:val="20"/>
          <w:lang w:val="es-CR"/>
        </w:rPr>
        <w:t xml:space="preserve"> del daño</w:t>
      </w:r>
      <w:r w:rsidRPr="00B660E9">
        <w:rPr>
          <w:rFonts w:ascii="Verdana" w:eastAsiaTheme="minorHAnsi" w:hAnsi="Verdana" w:cs="ArialMT"/>
          <w:sz w:val="20"/>
          <w:szCs w:val="20"/>
          <w:lang w:val="es-CR"/>
        </w:rPr>
        <w:t xml:space="preserve"> se configura </w:t>
      </w:r>
      <w:r w:rsidR="00687F9F">
        <w:rPr>
          <w:rFonts w:ascii="Verdana" w:eastAsiaTheme="minorHAnsi" w:hAnsi="Verdana" w:cs="ArialMT"/>
          <w:sz w:val="20"/>
          <w:szCs w:val="20"/>
          <w:lang w:val="es-CR"/>
        </w:rPr>
        <w:t>pues</w:t>
      </w:r>
      <w:r w:rsidRPr="00B660E9">
        <w:rPr>
          <w:rFonts w:ascii="Verdana" w:eastAsiaTheme="minorHAnsi" w:hAnsi="Verdana" w:cs="ArialMT"/>
          <w:sz w:val="20"/>
          <w:szCs w:val="20"/>
          <w:lang w:val="es-CR"/>
        </w:rPr>
        <w:t xml:space="preserve"> podrían </w:t>
      </w:r>
      <w:r w:rsidR="004A17B2">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perderse los avances que hasta la fecha se han logrado en las investigaciones de los hechos </w:t>
      </w:r>
      <w:r w:rsidR="004A17B2">
        <w:rPr>
          <w:rFonts w:ascii="Verdana" w:eastAsiaTheme="minorHAnsi" w:hAnsi="Verdana" w:cs="ArialMT"/>
          <w:sz w:val="20"/>
          <w:szCs w:val="20"/>
          <w:lang w:val="es-CR"/>
        </w:rPr>
        <w:t>[</w:t>
      </w:r>
      <w:r w:rsidRPr="00B660E9">
        <w:rPr>
          <w:rFonts w:ascii="Verdana" w:eastAsiaTheme="minorHAnsi" w:hAnsi="Verdana" w:cs="ArialMT"/>
          <w:sz w:val="20"/>
          <w:szCs w:val="20"/>
          <w:lang w:val="es-CR"/>
        </w:rPr>
        <w:t>de</w:t>
      </w:r>
      <w:r w:rsidR="00B05976">
        <w:rPr>
          <w:rFonts w:ascii="Verdana" w:eastAsiaTheme="minorHAnsi" w:hAnsi="Verdana" w:cs="ArialMT"/>
          <w:sz w:val="20"/>
          <w:szCs w:val="20"/>
          <w:lang w:val="es-CR"/>
        </w:rPr>
        <w:t xml:space="preserve"> </w:t>
      </w:r>
      <w:r w:rsidRPr="00B660E9">
        <w:rPr>
          <w:rFonts w:ascii="Verdana" w:eastAsiaTheme="minorHAnsi" w:hAnsi="Verdana" w:cs="ArialMT"/>
          <w:sz w:val="20"/>
          <w:szCs w:val="20"/>
          <w:lang w:val="es-CR"/>
        </w:rPr>
        <w:t>l</w:t>
      </w:r>
      <w:r w:rsidR="00B05976">
        <w:rPr>
          <w:rFonts w:ascii="Verdana" w:eastAsiaTheme="minorHAnsi" w:hAnsi="Verdana" w:cs="ArialMT"/>
          <w:sz w:val="20"/>
          <w:szCs w:val="20"/>
          <w:lang w:val="es-CR"/>
        </w:rPr>
        <w:t xml:space="preserve">a muerte del señor </w:t>
      </w:r>
      <w:r w:rsidRPr="00B05976">
        <w:rPr>
          <w:rFonts w:ascii="Verdana" w:eastAsiaTheme="minorHAnsi" w:hAnsi="Verdana" w:cs="ArialMT"/>
          <w:sz w:val="20"/>
          <w:szCs w:val="20"/>
          <w:lang w:val="es-CR"/>
        </w:rPr>
        <w:t>Ruiz Fuentes</w:t>
      </w:r>
      <w:r w:rsidR="008F5B3F">
        <w:rPr>
          <w:rFonts w:ascii="Verdana" w:eastAsiaTheme="minorHAnsi" w:hAnsi="Verdana" w:cs="ArialMT"/>
          <w:sz w:val="20"/>
          <w:szCs w:val="20"/>
          <w:lang w:val="es-CR"/>
        </w:rPr>
        <w:t xml:space="preserve"> </w:t>
      </w:r>
      <w:r w:rsidR="004A17B2">
        <w:rPr>
          <w:rFonts w:ascii="Verdana" w:eastAsiaTheme="minorHAnsi" w:hAnsi="Verdana" w:cs="ArialMT"/>
          <w:sz w:val="20"/>
          <w:szCs w:val="20"/>
          <w:lang w:val="es-CR"/>
        </w:rPr>
        <w:t>…]</w:t>
      </w:r>
      <w:r w:rsidRPr="00B660E9">
        <w:rPr>
          <w:rFonts w:ascii="Verdana" w:eastAsiaTheme="minorHAnsi" w:hAnsi="Verdana" w:cs="ArialMT"/>
          <w:sz w:val="20"/>
          <w:szCs w:val="20"/>
          <w:lang w:val="es-CR"/>
        </w:rPr>
        <w:t>, generando que los mismos permanezcan en la impunidad</w:t>
      </w:r>
      <w:r w:rsidR="00200F0E">
        <w:rPr>
          <w:rFonts w:ascii="Verdana" w:eastAsiaTheme="minorHAnsi" w:hAnsi="Verdana" w:cs="ArialMT"/>
          <w:sz w:val="20"/>
          <w:szCs w:val="20"/>
          <w:lang w:val="es-CR"/>
        </w:rPr>
        <w:t>”</w:t>
      </w:r>
      <w:r w:rsidRPr="00B660E9">
        <w:rPr>
          <w:rFonts w:ascii="Verdana" w:eastAsiaTheme="minorHAnsi" w:hAnsi="Verdana" w:cs="ArialMT"/>
          <w:sz w:val="20"/>
          <w:szCs w:val="20"/>
          <w:lang w:val="es-CR"/>
        </w:rPr>
        <w:t>.</w:t>
      </w:r>
      <w:bookmarkEnd w:id="1"/>
    </w:p>
    <w:p w14:paraId="6B5A24AC" w14:textId="77777777" w:rsidR="0070089B" w:rsidRPr="0070089B" w:rsidRDefault="0070089B" w:rsidP="0070089B">
      <w:pPr>
        <w:pStyle w:val="Prrafodelista"/>
        <w:numPr>
          <w:ilvl w:val="0"/>
          <w:numId w:val="23"/>
        </w:numPr>
        <w:spacing w:before="120" w:after="120"/>
        <w:contextualSpacing w:val="0"/>
        <w:jc w:val="both"/>
        <w:rPr>
          <w:rFonts w:ascii="Verdana" w:eastAsia="Calibri" w:hAnsi="Verdana"/>
          <w:i/>
          <w:sz w:val="20"/>
          <w:szCs w:val="20"/>
        </w:rPr>
      </w:pPr>
      <w:r w:rsidRPr="0070089B">
        <w:rPr>
          <w:rFonts w:ascii="Verdana" w:eastAsia="Calibri" w:hAnsi="Verdana"/>
          <w:i/>
          <w:sz w:val="20"/>
          <w:szCs w:val="20"/>
        </w:rPr>
        <w:t>Información adicional presentada por las representantes en los dos casos</w:t>
      </w:r>
    </w:p>
    <w:p w14:paraId="260B2105" w14:textId="6F770B53" w:rsidR="00C755FA" w:rsidRPr="00C755FA" w:rsidRDefault="00D258D4" w:rsidP="00C755FA">
      <w:pPr>
        <w:pStyle w:val="Prrafodelista"/>
        <w:numPr>
          <w:ilvl w:val="0"/>
          <w:numId w:val="2"/>
        </w:numPr>
        <w:autoSpaceDE w:val="0"/>
        <w:autoSpaceDN w:val="0"/>
        <w:adjustRightInd w:val="0"/>
        <w:spacing w:before="120" w:after="120"/>
        <w:ind w:left="0" w:firstLine="0"/>
        <w:contextualSpacing w:val="0"/>
        <w:jc w:val="both"/>
        <w:rPr>
          <w:rFonts w:ascii="Verdana" w:eastAsiaTheme="minorHAnsi" w:hAnsi="Verdana" w:cs="Verdana"/>
          <w:sz w:val="20"/>
          <w:szCs w:val="20"/>
          <w:lang w:val="es-CR"/>
        </w:rPr>
      </w:pPr>
      <w:r>
        <w:rPr>
          <w:rFonts w:ascii="Verdana" w:hAnsi="Verdana"/>
          <w:sz w:val="20"/>
          <w:szCs w:val="20"/>
        </w:rPr>
        <w:t>Durante la audiencia pública de 27 de agosto de 2021</w:t>
      </w:r>
      <w:r w:rsidRPr="00552604">
        <w:rPr>
          <w:rFonts w:ascii="Verdana" w:hAnsi="Verdana"/>
          <w:sz w:val="20"/>
          <w:szCs w:val="20"/>
        </w:rPr>
        <w:t>, las representantes</w:t>
      </w:r>
      <w:r w:rsidR="00001D0E">
        <w:rPr>
          <w:rFonts w:ascii="Verdana" w:hAnsi="Verdana"/>
          <w:sz w:val="20"/>
          <w:szCs w:val="20"/>
        </w:rPr>
        <w:t xml:space="preserve"> aclararon que, </w:t>
      </w:r>
      <w:r w:rsidR="00001D0E" w:rsidRPr="00552604">
        <w:rPr>
          <w:rFonts w:ascii="Verdana" w:hAnsi="Verdana"/>
          <w:sz w:val="20"/>
          <w:szCs w:val="20"/>
        </w:rPr>
        <w:t xml:space="preserve">a raíz de </w:t>
      </w:r>
      <w:r w:rsidR="00001D0E">
        <w:rPr>
          <w:rFonts w:ascii="Verdana" w:hAnsi="Verdana"/>
          <w:sz w:val="20"/>
          <w:szCs w:val="20"/>
        </w:rPr>
        <w:t>su</w:t>
      </w:r>
      <w:r w:rsidR="00001D0E" w:rsidRPr="00552604">
        <w:rPr>
          <w:rFonts w:ascii="Verdana" w:hAnsi="Verdana"/>
          <w:sz w:val="20"/>
          <w:szCs w:val="20"/>
        </w:rPr>
        <w:t xml:space="preserve"> destitución</w:t>
      </w:r>
      <w:r w:rsidR="00001D0E">
        <w:rPr>
          <w:rFonts w:ascii="Verdana" w:hAnsi="Verdana"/>
          <w:sz w:val="20"/>
          <w:szCs w:val="20"/>
        </w:rPr>
        <w:t>,</w:t>
      </w:r>
      <w:r w:rsidR="00001D0E" w:rsidRPr="00D258D4">
        <w:rPr>
          <w:rFonts w:ascii="Verdana" w:hAnsi="Verdana"/>
          <w:sz w:val="20"/>
          <w:szCs w:val="20"/>
        </w:rPr>
        <w:t xml:space="preserve"> </w:t>
      </w:r>
      <w:r w:rsidR="00001D0E" w:rsidRPr="00001D0E">
        <w:rPr>
          <w:rFonts w:ascii="Verdana" w:hAnsi="Verdana"/>
          <w:sz w:val="20"/>
          <w:szCs w:val="20"/>
        </w:rPr>
        <w:t>el</w:t>
      </w:r>
      <w:r w:rsidR="00001D0E">
        <w:rPr>
          <w:rFonts w:ascii="Verdana" w:hAnsi="Verdana"/>
          <w:sz w:val="20"/>
          <w:szCs w:val="20"/>
        </w:rPr>
        <w:t xml:space="preserve"> </w:t>
      </w:r>
      <w:r w:rsidR="00001D0E" w:rsidRPr="00552604">
        <w:rPr>
          <w:rFonts w:ascii="Verdana" w:hAnsi="Verdana"/>
          <w:sz w:val="20"/>
          <w:szCs w:val="20"/>
        </w:rPr>
        <w:t>ex Fiscal Juan Francisco Sandoval</w:t>
      </w:r>
      <w:r w:rsidR="00001D0E">
        <w:rPr>
          <w:rFonts w:ascii="Verdana" w:hAnsi="Verdana"/>
          <w:sz w:val="20"/>
          <w:szCs w:val="20"/>
        </w:rPr>
        <w:t xml:space="preserve"> Alfaro</w:t>
      </w:r>
      <w:r w:rsidR="00001D0E" w:rsidRPr="00001D0E">
        <w:rPr>
          <w:rFonts w:ascii="Verdana" w:hAnsi="Verdana"/>
          <w:sz w:val="20"/>
          <w:szCs w:val="20"/>
        </w:rPr>
        <w:t xml:space="preserve"> presentó un recurso de amparo </w:t>
      </w:r>
      <w:r w:rsidR="00001D0E">
        <w:rPr>
          <w:rFonts w:ascii="Verdana" w:hAnsi="Verdana"/>
          <w:sz w:val="20"/>
          <w:szCs w:val="20"/>
        </w:rPr>
        <w:t>(</w:t>
      </w:r>
      <w:r w:rsidR="00001D0E" w:rsidRPr="00001D0E">
        <w:rPr>
          <w:rFonts w:ascii="Verdana" w:hAnsi="Verdana"/>
          <w:i/>
          <w:sz w:val="20"/>
          <w:szCs w:val="20"/>
        </w:rPr>
        <w:t>supra</w:t>
      </w:r>
      <w:r w:rsidR="00001D0E">
        <w:rPr>
          <w:rFonts w:ascii="Verdana" w:hAnsi="Verdana"/>
          <w:sz w:val="20"/>
          <w:szCs w:val="20"/>
        </w:rPr>
        <w:t xml:space="preserve"> Considerando 12) </w:t>
      </w:r>
      <w:r w:rsidR="00001D0E" w:rsidRPr="00001D0E">
        <w:rPr>
          <w:rFonts w:ascii="Verdana" w:hAnsi="Verdana"/>
          <w:sz w:val="20"/>
          <w:szCs w:val="20"/>
        </w:rPr>
        <w:t>y un recurso la</w:t>
      </w:r>
      <w:r w:rsidR="0057196A">
        <w:rPr>
          <w:rFonts w:ascii="Verdana" w:hAnsi="Verdana"/>
          <w:sz w:val="20"/>
          <w:szCs w:val="20"/>
        </w:rPr>
        <w:t>boral,</w:t>
      </w:r>
      <w:r w:rsidR="00001D0E">
        <w:rPr>
          <w:rFonts w:ascii="Verdana" w:hAnsi="Verdana"/>
          <w:sz w:val="20"/>
          <w:szCs w:val="20"/>
        </w:rPr>
        <w:t xml:space="preserve"> </w:t>
      </w:r>
      <w:r w:rsidR="00630A72">
        <w:rPr>
          <w:rFonts w:ascii="Verdana" w:hAnsi="Verdana"/>
          <w:sz w:val="20"/>
          <w:szCs w:val="20"/>
        </w:rPr>
        <w:t>pero “</w:t>
      </w:r>
      <w:r w:rsidR="00001D0E" w:rsidRPr="00001D0E">
        <w:rPr>
          <w:rFonts w:ascii="Verdana" w:hAnsi="Verdana"/>
          <w:sz w:val="20"/>
          <w:szCs w:val="20"/>
        </w:rPr>
        <w:t xml:space="preserve">estos </w:t>
      </w:r>
      <w:r w:rsidR="0057196A">
        <w:rPr>
          <w:rFonts w:ascii="Verdana" w:hAnsi="Verdana"/>
          <w:sz w:val="20"/>
          <w:szCs w:val="20"/>
        </w:rPr>
        <w:t xml:space="preserve">recursos tardarán varios meses, </w:t>
      </w:r>
      <w:r w:rsidR="00001D0E">
        <w:rPr>
          <w:rFonts w:ascii="Verdana" w:hAnsi="Verdana"/>
          <w:sz w:val="20"/>
          <w:szCs w:val="20"/>
        </w:rPr>
        <w:t>sino</w:t>
      </w:r>
      <w:r w:rsidR="00001D0E" w:rsidRPr="00001D0E">
        <w:rPr>
          <w:rFonts w:ascii="Verdana" w:hAnsi="Verdana"/>
          <w:sz w:val="20"/>
          <w:szCs w:val="20"/>
        </w:rPr>
        <w:t xml:space="preserve"> años en resolverse</w:t>
      </w:r>
      <w:r w:rsidR="00001D0E">
        <w:rPr>
          <w:rFonts w:ascii="Verdana" w:hAnsi="Verdana"/>
          <w:sz w:val="20"/>
          <w:szCs w:val="20"/>
        </w:rPr>
        <w:t xml:space="preserve">”. Al respecto, </w:t>
      </w:r>
      <w:r w:rsidR="00D300D9">
        <w:rPr>
          <w:rFonts w:ascii="Verdana" w:hAnsi="Verdana"/>
          <w:sz w:val="20"/>
          <w:szCs w:val="20"/>
        </w:rPr>
        <w:t>señalaron</w:t>
      </w:r>
      <w:r w:rsidR="00001D0E">
        <w:rPr>
          <w:rFonts w:ascii="Verdana" w:hAnsi="Verdana"/>
          <w:sz w:val="20"/>
          <w:szCs w:val="20"/>
        </w:rPr>
        <w:t xml:space="preserve"> que </w:t>
      </w:r>
      <w:r w:rsidR="00001D0E" w:rsidRPr="00001D0E">
        <w:rPr>
          <w:rFonts w:ascii="Verdana" w:hAnsi="Verdana"/>
          <w:sz w:val="20"/>
          <w:szCs w:val="20"/>
        </w:rPr>
        <w:t>la abogada de</w:t>
      </w:r>
      <w:r w:rsidR="00001D0E">
        <w:rPr>
          <w:rFonts w:ascii="Verdana" w:hAnsi="Verdana"/>
          <w:sz w:val="20"/>
          <w:szCs w:val="20"/>
        </w:rPr>
        <w:t>l señor Sandoval</w:t>
      </w:r>
      <w:r w:rsidR="00001D0E" w:rsidRPr="00001D0E">
        <w:rPr>
          <w:rFonts w:ascii="Verdana" w:hAnsi="Verdana"/>
          <w:sz w:val="20"/>
          <w:szCs w:val="20"/>
        </w:rPr>
        <w:t xml:space="preserve"> </w:t>
      </w:r>
      <w:r w:rsidR="00001D0E">
        <w:rPr>
          <w:rFonts w:ascii="Verdana" w:hAnsi="Verdana"/>
          <w:sz w:val="20"/>
          <w:szCs w:val="20"/>
        </w:rPr>
        <w:t>“</w:t>
      </w:r>
      <w:r w:rsidR="00001D0E" w:rsidRPr="00001D0E">
        <w:rPr>
          <w:rFonts w:ascii="Verdana" w:hAnsi="Verdana"/>
          <w:sz w:val="20"/>
          <w:szCs w:val="20"/>
        </w:rPr>
        <w:t xml:space="preserve">fue notificada </w:t>
      </w:r>
      <w:r w:rsidR="00390A04">
        <w:rPr>
          <w:rFonts w:ascii="Verdana" w:hAnsi="Verdana"/>
          <w:sz w:val="20"/>
          <w:szCs w:val="20"/>
        </w:rPr>
        <w:t xml:space="preserve">[el 26 de agosto de 2021] </w:t>
      </w:r>
      <w:r w:rsidR="00001D0E" w:rsidRPr="00001D0E">
        <w:rPr>
          <w:rFonts w:ascii="Verdana" w:hAnsi="Verdana"/>
          <w:sz w:val="20"/>
          <w:szCs w:val="20"/>
        </w:rPr>
        <w:t>que la audiencia del juicio laboral se llevará a cabo en marzo del 2022 y el recurso de amparo va a correr la misma suerte</w:t>
      </w:r>
      <w:r w:rsidR="00001D0E">
        <w:rPr>
          <w:rFonts w:ascii="Verdana" w:hAnsi="Verdana"/>
          <w:sz w:val="20"/>
          <w:szCs w:val="20"/>
        </w:rPr>
        <w:t>”</w:t>
      </w:r>
      <w:r w:rsidR="00001D0E" w:rsidRPr="00001D0E">
        <w:rPr>
          <w:rFonts w:ascii="Verdana" w:hAnsi="Verdana"/>
          <w:sz w:val="20"/>
          <w:szCs w:val="20"/>
        </w:rPr>
        <w:t>,</w:t>
      </w:r>
      <w:r w:rsidR="00001D0E">
        <w:rPr>
          <w:rFonts w:ascii="Verdana" w:hAnsi="Verdana"/>
          <w:sz w:val="20"/>
          <w:szCs w:val="20"/>
        </w:rPr>
        <w:t xml:space="preserve"> siendo que</w:t>
      </w:r>
      <w:r w:rsidR="00001D0E" w:rsidRPr="00001D0E">
        <w:rPr>
          <w:rFonts w:ascii="Verdana" w:hAnsi="Verdana"/>
          <w:sz w:val="20"/>
          <w:szCs w:val="20"/>
        </w:rPr>
        <w:t xml:space="preserve"> </w:t>
      </w:r>
      <w:r w:rsidR="00001D0E">
        <w:rPr>
          <w:rFonts w:ascii="Verdana" w:hAnsi="Verdana"/>
          <w:sz w:val="20"/>
          <w:szCs w:val="20"/>
        </w:rPr>
        <w:t>“</w:t>
      </w:r>
      <w:r w:rsidR="00001D0E" w:rsidRPr="00001D0E">
        <w:rPr>
          <w:rFonts w:ascii="Verdana" w:hAnsi="Verdana"/>
          <w:sz w:val="20"/>
          <w:szCs w:val="20"/>
        </w:rPr>
        <w:t>en este tiempo, la investigación de estos casos</w:t>
      </w:r>
      <w:r w:rsidR="00001D0E">
        <w:rPr>
          <w:rFonts w:ascii="Verdana" w:hAnsi="Verdana"/>
          <w:sz w:val="20"/>
          <w:szCs w:val="20"/>
        </w:rPr>
        <w:t xml:space="preserve"> </w:t>
      </w:r>
      <w:r w:rsidR="00001D0E" w:rsidRPr="00F82418">
        <w:rPr>
          <w:rFonts w:ascii="Verdana" w:hAnsi="Verdana"/>
          <w:sz w:val="20"/>
          <w:szCs w:val="20"/>
        </w:rPr>
        <w:t>[</w:t>
      </w:r>
      <w:r w:rsidR="00001D0E" w:rsidRPr="00F82418">
        <w:rPr>
          <w:rFonts w:ascii="Verdana" w:hAnsi="Verdana"/>
          <w:i/>
          <w:sz w:val="20"/>
          <w:szCs w:val="20"/>
        </w:rPr>
        <w:t>Valenzuela Ávila</w:t>
      </w:r>
      <w:r w:rsidR="00001D0E" w:rsidRPr="00F82418">
        <w:rPr>
          <w:rFonts w:ascii="Verdana" w:hAnsi="Verdana"/>
          <w:sz w:val="20"/>
          <w:szCs w:val="20"/>
        </w:rPr>
        <w:t xml:space="preserve">, y </w:t>
      </w:r>
      <w:r w:rsidR="00001D0E" w:rsidRPr="00F82418">
        <w:rPr>
          <w:rFonts w:ascii="Verdana" w:hAnsi="Verdana"/>
          <w:i/>
          <w:sz w:val="20"/>
          <w:szCs w:val="20"/>
        </w:rPr>
        <w:t>Ruiz Fuentes y otra</w:t>
      </w:r>
      <w:r w:rsidR="00001D0E" w:rsidRPr="00F82418">
        <w:rPr>
          <w:rFonts w:ascii="Verdana" w:hAnsi="Verdana"/>
          <w:sz w:val="20"/>
          <w:szCs w:val="20"/>
        </w:rPr>
        <w:t>] puede verse seriamente comprometida”</w:t>
      </w:r>
      <w:r w:rsidRPr="00F82418">
        <w:rPr>
          <w:rFonts w:ascii="Verdana" w:hAnsi="Verdana"/>
          <w:sz w:val="20"/>
          <w:szCs w:val="20"/>
        </w:rPr>
        <w:t>.</w:t>
      </w:r>
      <w:r w:rsidR="00740567" w:rsidRPr="00F82418">
        <w:rPr>
          <w:rFonts w:ascii="Verdana" w:hAnsi="Verdana"/>
          <w:sz w:val="20"/>
          <w:szCs w:val="20"/>
        </w:rPr>
        <w:t xml:space="preserve"> </w:t>
      </w:r>
      <w:r w:rsidR="00C755FA">
        <w:rPr>
          <w:rFonts w:ascii="Verdana" w:hAnsi="Verdana"/>
          <w:sz w:val="20"/>
          <w:szCs w:val="20"/>
        </w:rPr>
        <w:t>Adicionalmente</w:t>
      </w:r>
      <w:r w:rsidR="00F82418">
        <w:rPr>
          <w:rFonts w:ascii="Verdana" w:hAnsi="Verdana"/>
          <w:sz w:val="20"/>
          <w:szCs w:val="20"/>
        </w:rPr>
        <w:t>, argumentaron</w:t>
      </w:r>
      <w:r w:rsidR="00740567" w:rsidRPr="00F82418">
        <w:rPr>
          <w:rFonts w:ascii="Verdana" w:eastAsiaTheme="minorHAnsi" w:hAnsi="Verdana" w:cs="Verdana"/>
          <w:sz w:val="20"/>
          <w:szCs w:val="20"/>
          <w:lang w:val="es-CR"/>
        </w:rPr>
        <w:t xml:space="preserve"> que la interposición de un amparo y de una demanda ordinaria laboral “no resultan [recursos] idóneos para dar cumplimiento al objetivo principal que es garantizar la investigación imparcial e independiente de los presentes casos y el acceso a la justicia de las víctimas”</w:t>
      </w:r>
      <w:r w:rsidR="00740567" w:rsidRPr="00F82418">
        <w:rPr>
          <w:rStyle w:val="Refdenotaalpie"/>
          <w:rFonts w:eastAsiaTheme="minorHAnsi" w:cs="Verdana"/>
          <w:sz w:val="20"/>
          <w:szCs w:val="20"/>
          <w:lang w:val="es-CR"/>
        </w:rPr>
        <w:footnoteReference w:id="14"/>
      </w:r>
      <w:r w:rsidR="00740567" w:rsidRPr="00F82418">
        <w:rPr>
          <w:rFonts w:ascii="Verdana" w:eastAsiaTheme="minorHAnsi" w:hAnsi="Verdana" w:cs="Verdana"/>
          <w:sz w:val="20"/>
          <w:szCs w:val="20"/>
          <w:lang w:val="es-CR"/>
        </w:rPr>
        <w:t>.</w:t>
      </w:r>
      <w:r w:rsidRPr="00F82418">
        <w:rPr>
          <w:rFonts w:ascii="Verdana" w:hAnsi="Verdana"/>
          <w:sz w:val="20"/>
          <w:szCs w:val="20"/>
        </w:rPr>
        <w:t xml:space="preserve"> </w:t>
      </w:r>
      <w:r w:rsidR="00045B73" w:rsidRPr="00F82418">
        <w:rPr>
          <w:rFonts w:ascii="Verdana" w:hAnsi="Verdana"/>
          <w:sz w:val="20"/>
          <w:szCs w:val="20"/>
          <w:lang w:val="es-CR"/>
        </w:rPr>
        <w:t>E</w:t>
      </w:r>
      <w:r w:rsidRPr="00F82418">
        <w:rPr>
          <w:rFonts w:ascii="Verdana" w:hAnsi="Verdana"/>
          <w:sz w:val="20"/>
          <w:szCs w:val="20"/>
          <w:lang w:val="es-CR"/>
        </w:rPr>
        <w:t>l</w:t>
      </w:r>
      <w:r w:rsidR="0070089B" w:rsidRPr="00F82418">
        <w:rPr>
          <w:rFonts w:ascii="Verdana" w:hAnsi="Verdana"/>
          <w:sz w:val="20"/>
          <w:szCs w:val="20"/>
          <w:lang w:val="es-MX"/>
        </w:rPr>
        <w:t xml:space="preserve"> 3 de septiembre</w:t>
      </w:r>
      <w:r w:rsidRPr="00F82418">
        <w:rPr>
          <w:rFonts w:ascii="Verdana" w:hAnsi="Verdana"/>
          <w:sz w:val="20"/>
          <w:szCs w:val="20"/>
          <w:lang w:val="es-MX"/>
        </w:rPr>
        <w:t xml:space="preserve"> de 2021 </w:t>
      </w:r>
      <w:r w:rsidR="0070089B" w:rsidRPr="00F82418">
        <w:rPr>
          <w:rFonts w:ascii="Verdana" w:eastAsiaTheme="minorHAnsi" w:hAnsi="Verdana" w:cs="Verdana"/>
          <w:sz w:val="20"/>
          <w:szCs w:val="20"/>
          <w:lang w:val="es-CR"/>
        </w:rPr>
        <w:t xml:space="preserve">informaron que entre el 26 y 27 de agosto de 2021 se han realizado traslados internos de al menos tres auxiliares fiscales de la FECI, </w:t>
      </w:r>
      <w:r w:rsidR="00CD5EB5" w:rsidRPr="00F82418">
        <w:rPr>
          <w:rFonts w:ascii="Verdana" w:eastAsiaTheme="minorHAnsi" w:hAnsi="Verdana" w:cs="Verdana"/>
          <w:sz w:val="20"/>
          <w:szCs w:val="20"/>
          <w:lang w:val="es-CR"/>
        </w:rPr>
        <w:t>“</w:t>
      </w:r>
      <w:r w:rsidR="0070089B" w:rsidRPr="00F82418">
        <w:rPr>
          <w:rFonts w:ascii="Verdana" w:eastAsiaTheme="minorHAnsi" w:hAnsi="Verdana" w:cs="Verdana"/>
          <w:sz w:val="20"/>
          <w:szCs w:val="20"/>
          <w:lang w:val="es-CR"/>
        </w:rPr>
        <w:t>sin justificación alguna</w:t>
      </w:r>
      <w:r w:rsidR="00CD5EB5" w:rsidRPr="00F82418">
        <w:rPr>
          <w:rFonts w:ascii="Verdana" w:eastAsiaTheme="minorHAnsi" w:hAnsi="Verdana" w:cs="Verdana"/>
          <w:sz w:val="20"/>
          <w:szCs w:val="20"/>
          <w:lang w:val="es-CR"/>
        </w:rPr>
        <w:t>”</w:t>
      </w:r>
      <w:r w:rsidR="0070089B" w:rsidRPr="00F82418">
        <w:rPr>
          <w:rFonts w:ascii="Verdana" w:eastAsiaTheme="minorHAnsi" w:hAnsi="Verdana" w:cs="Verdana"/>
          <w:sz w:val="20"/>
          <w:szCs w:val="20"/>
          <w:lang w:val="es-CR"/>
        </w:rPr>
        <w:t xml:space="preserve">, </w:t>
      </w:r>
      <w:r w:rsidR="006A0908" w:rsidRPr="00F82418">
        <w:rPr>
          <w:rFonts w:ascii="Verdana" w:eastAsiaTheme="minorHAnsi" w:hAnsi="Verdana" w:cs="Verdana"/>
          <w:sz w:val="20"/>
          <w:szCs w:val="20"/>
          <w:lang w:val="es-CR"/>
        </w:rPr>
        <w:t xml:space="preserve">y que </w:t>
      </w:r>
      <w:r w:rsidR="0070089B" w:rsidRPr="00F82418">
        <w:rPr>
          <w:rFonts w:ascii="Verdana" w:eastAsiaTheme="minorHAnsi" w:hAnsi="Verdana" w:cs="Verdana"/>
          <w:sz w:val="20"/>
          <w:szCs w:val="20"/>
          <w:lang w:val="es-CR"/>
        </w:rPr>
        <w:t xml:space="preserve">su objetivo principal es “concentrar los casos más importantes en el equipo de trabajo de </w:t>
      </w:r>
      <w:r w:rsidR="00CD5EB5" w:rsidRPr="00F82418">
        <w:rPr>
          <w:rFonts w:ascii="Verdana" w:eastAsiaTheme="minorHAnsi" w:hAnsi="Verdana" w:cs="Verdana"/>
          <w:sz w:val="20"/>
          <w:szCs w:val="20"/>
          <w:lang w:val="es-CR"/>
        </w:rPr>
        <w:t xml:space="preserve">confianza de </w:t>
      </w:r>
      <w:r w:rsidR="0070089B" w:rsidRPr="00F82418">
        <w:rPr>
          <w:rFonts w:ascii="Verdana" w:eastAsiaTheme="minorHAnsi" w:hAnsi="Verdana" w:cs="Verdana"/>
          <w:sz w:val="20"/>
          <w:szCs w:val="20"/>
          <w:lang w:val="es-CR"/>
        </w:rPr>
        <w:t xml:space="preserve">la agente fiscal </w:t>
      </w:r>
      <w:r w:rsidR="00CD5EB5" w:rsidRPr="00F82418">
        <w:rPr>
          <w:rFonts w:ascii="Verdana" w:eastAsiaTheme="minorHAnsi" w:hAnsi="Verdana" w:cs="Verdana"/>
          <w:sz w:val="20"/>
          <w:szCs w:val="20"/>
          <w:lang w:val="es-CR"/>
        </w:rPr>
        <w:t>[…]</w:t>
      </w:r>
      <w:r w:rsidR="0070089B" w:rsidRPr="00F82418">
        <w:rPr>
          <w:rFonts w:ascii="Verdana" w:eastAsiaTheme="minorHAnsi" w:hAnsi="Verdana" w:cs="Verdana"/>
          <w:sz w:val="20"/>
          <w:szCs w:val="20"/>
          <w:lang w:val="es-CR"/>
        </w:rPr>
        <w:t>, respecto de quien fue planteada la objeción en la que se basó formalmente la decisión de destituir ilegal y arbitrariamente al</w:t>
      </w:r>
      <w:r w:rsidR="00E54102" w:rsidRPr="00F82418">
        <w:rPr>
          <w:rFonts w:ascii="Verdana" w:eastAsiaTheme="minorHAnsi" w:hAnsi="Verdana" w:cs="Verdana"/>
          <w:sz w:val="20"/>
          <w:szCs w:val="20"/>
          <w:lang w:val="es-CR"/>
        </w:rPr>
        <w:t xml:space="preserve"> </w:t>
      </w:r>
      <w:r w:rsidR="00CD5EB5" w:rsidRPr="00F82418">
        <w:rPr>
          <w:rFonts w:ascii="Verdana" w:eastAsiaTheme="minorHAnsi" w:hAnsi="Verdana" w:cs="Verdana"/>
          <w:sz w:val="20"/>
          <w:szCs w:val="20"/>
          <w:lang w:val="es-CR"/>
        </w:rPr>
        <w:t xml:space="preserve">[entonces </w:t>
      </w:r>
      <w:r w:rsidR="00E54102" w:rsidRPr="00F82418">
        <w:rPr>
          <w:rFonts w:ascii="Verdana" w:eastAsiaTheme="minorHAnsi" w:hAnsi="Verdana" w:cs="ArialMT"/>
          <w:sz w:val="20"/>
          <w:szCs w:val="20"/>
          <w:lang w:val="es-CR"/>
        </w:rPr>
        <w:t>Fiscal Sandoval</w:t>
      </w:r>
      <w:r w:rsidR="00CD5EB5" w:rsidRPr="00F82418">
        <w:rPr>
          <w:rFonts w:ascii="Verdana" w:eastAsiaTheme="minorHAnsi" w:hAnsi="Verdana" w:cs="ArialMT"/>
          <w:sz w:val="20"/>
          <w:szCs w:val="20"/>
          <w:lang w:val="es-CR"/>
        </w:rPr>
        <w:t>]”</w:t>
      </w:r>
      <w:r w:rsidR="0070089B" w:rsidRPr="00F82418">
        <w:rPr>
          <w:rFonts w:ascii="Verdana" w:eastAsiaTheme="minorHAnsi" w:hAnsi="Verdana" w:cs="Verdana"/>
          <w:sz w:val="20"/>
          <w:szCs w:val="20"/>
          <w:lang w:val="es-CR"/>
        </w:rPr>
        <w:t xml:space="preserve">. </w:t>
      </w:r>
      <w:r w:rsidR="00CD359D" w:rsidRPr="00F82418">
        <w:rPr>
          <w:rFonts w:ascii="Verdana" w:eastAsiaTheme="minorHAnsi" w:hAnsi="Verdana" w:cs="Verdana"/>
          <w:sz w:val="20"/>
          <w:szCs w:val="20"/>
          <w:lang w:val="es-CR"/>
        </w:rPr>
        <w:t>Indicaron que, e</w:t>
      </w:r>
      <w:r w:rsidR="0070089B" w:rsidRPr="00F82418">
        <w:rPr>
          <w:rFonts w:ascii="Verdana" w:eastAsiaTheme="minorHAnsi" w:hAnsi="Verdana" w:cs="Verdana"/>
          <w:sz w:val="20"/>
          <w:szCs w:val="20"/>
          <w:lang w:val="es-CR"/>
        </w:rPr>
        <w:t>n entrevista radi</w:t>
      </w:r>
      <w:r w:rsidR="00CD5EB5" w:rsidRPr="00F82418">
        <w:rPr>
          <w:rFonts w:ascii="Verdana" w:eastAsiaTheme="minorHAnsi" w:hAnsi="Verdana" w:cs="Verdana"/>
          <w:sz w:val="20"/>
          <w:szCs w:val="20"/>
          <w:lang w:val="es-CR"/>
        </w:rPr>
        <w:t>al</w:t>
      </w:r>
      <w:r w:rsidR="0070089B" w:rsidRPr="00F82418">
        <w:rPr>
          <w:rFonts w:ascii="Verdana" w:eastAsiaTheme="minorHAnsi" w:hAnsi="Verdana" w:cs="Verdana"/>
          <w:sz w:val="20"/>
          <w:szCs w:val="20"/>
          <w:lang w:val="es-CR"/>
        </w:rPr>
        <w:t xml:space="preserve"> de 31 de agosto, el actual </w:t>
      </w:r>
      <w:proofErr w:type="gramStart"/>
      <w:r w:rsidR="0070089B" w:rsidRPr="00F82418">
        <w:rPr>
          <w:rFonts w:ascii="Verdana" w:eastAsiaTheme="minorHAnsi" w:hAnsi="Verdana" w:cs="Verdana"/>
          <w:sz w:val="20"/>
          <w:szCs w:val="20"/>
          <w:lang w:val="es-CR"/>
        </w:rPr>
        <w:t>Jefe</w:t>
      </w:r>
      <w:proofErr w:type="gramEnd"/>
      <w:r w:rsidR="0070089B" w:rsidRPr="00F82418">
        <w:rPr>
          <w:rFonts w:ascii="Verdana" w:eastAsiaTheme="minorHAnsi" w:hAnsi="Verdana" w:cs="Verdana"/>
          <w:sz w:val="20"/>
          <w:szCs w:val="20"/>
          <w:lang w:val="es-CR"/>
        </w:rPr>
        <w:t xml:space="preserve"> de la FECI señaló que “continuarán los movimientos de personal”, ya que “necesita reestructurar la Fiscalía”</w:t>
      </w:r>
      <w:r w:rsidR="00CD359D" w:rsidRPr="00F82418">
        <w:rPr>
          <w:rFonts w:ascii="Verdana" w:eastAsiaTheme="minorHAnsi" w:hAnsi="Verdana" w:cs="Verdana"/>
          <w:sz w:val="20"/>
          <w:szCs w:val="20"/>
          <w:lang w:val="es-CR"/>
        </w:rPr>
        <w:t>, y</w:t>
      </w:r>
      <w:r w:rsidR="00AE5525" w:rsidRPr="00F82418">
        <w:rPr>
          <w:rFonts w:ascii="Verdana" w:eastAsiaTheme="minorHAnsi" w:hAnsi="Verdana" w:cs="Verdana"/>
          <w:sz w:val="20"/>
          <w:szCs w:val="20"/>
          <w:lang w:val="es-CR"/>
        </w:rPr>
        <w:t xml:space="preserve"> que </w:t>
      </w:r>
      <w:r w:rsidR="0070089B" w:rsidRPr="00F82418">
        <w:rPr>
          <w:rFonts w:ascii="Verdana" w:eastAsiaTheme="minorHAnsi" w:hAnsi="Verdana" w:cs="Verdana"/>
          <w:sz w:val="20"/>
          <w:szCs w:val="20"/>
          <w:lang w:val="es-CR"/>
        </w:rPr>
        <w:t>el 3 de septiembre se dictó orden de aprehensión en contra del ex Fiscal Sandoval, por los delitos de incumplimiento de deberes y obstaculización a la acción penal.</w:t>
      </w:r>
    </w:p>
    <w:p w14:paraId="6A43978B" w14:textId="24847F57" w:rsidR="00E5585B" w:rsidRPr="00B660E9" w:rsidRDefault="009F28BC" w:rsidP="005D370D">
      <w:pPr>
        <w:spacing w:before="120" w:after="120"/>
        <w:ind w:left="567"/>
        <w:jc w:val="both"/>
        <w:rPr>
          <w:rFonts w:ascii="Verdana" w:eastAsiaTheme="minorHAnsi" w:hAnsi="Verdana" w:cs="ArialMT"/>
          <w:b/>
          <w:i/>
          <w:sz w:val="20"/>
          <w:szCs w:val="20"/>
          <w:lang w:val="es-CR"/>
        </w:rPr>
      </w:pPr>
      <w:r w:rsidRPr="00B660E9">
        <w:rPr>
          <w:rFonts w:ascii="Verdana" w:eastAsiaTheme="minorHAnsi" w:hAnsi="Verdana" w:cs="ArialMT"/>
          <w:b/>
          <w:i/>
          <w:sz w:val="20"/>
          <w:szCs w:val="20"/>
          <w:lang w:val="es-CR"/>
        </w:rPr>
        <w:t xml:space="preserve">B) </w:t>
      </w:r>
      <w:r w:rsidR="00E5585B" w:rsidRPr="00B660E9">
        <w:rPr>
          <w:rFonts w:ascii="Verdana" w:hAnsi="Verdana"/>
          <w:b/>
          <w:i/>
          <w:sz w:val="20"/>
          <w:szCs w:val="20"/>
        </w:rPr>
        <w:t>Observacione</w:t>
      </w:r>
      <w:r w:rsidR="005D370D">
        <w:rPr>
          <w:rFonts w:ascii="Verdana" w:hAnsi="Verdana"/>
          <w:b/>
          <w:i/>
          <w:sz w:val="20"/>
          <w:szCs w:val="20"/>
        </w:rPr>
        <w:t>s de la Comisión Interamericana</w:t>
      </w:r>
    </w:p>
    <w:p w14:paraId="3E19A79B" w14:textId="146279A0" w:rsidR="00E80293" w:rsidRPr="00485665" w:rsidRDefault="00E5585B" w:rsidP="00485665">
      <w:pPr>
        <w:pStyle w:val="Prrafodelista"/>
        <w:numPr>
          <w:ilvl w:val="0"/>
          <w:numId w:val="2"/>
        </w:numPr>
        <w:autoSpaceDE w:val="0"/>
        <w:autoSpaceDN w:val="0"/>
        <w:adjustRightInd w:val="0"/>
        <w:spacing w:before="120" w:after="120"/>
        <w:ind w:left="0" w:firstLine="0"/>
        <w:contextualSpacing w:val="0"/>
        <w:jc w:val="both"/>
        <w:rPr>
          <w:rFonts w:ascii="Verdana" w:hAnsi="Verdana" w:cs="Cambria"/>
          <w:b/>
          <w:sz w:val="20"/>
          <w:szCs w:val="20"/>
        </w:rPr>
      </w:pPr>
      <w:r w:rsidRPr="00B660E9">
        <w:rPr>
          <w:rFonts w:ascii="Verdana" w:hAnsi="Verdana"/>
          <w:sz w:val="20"/>
          <w:szCs w:val="20"/>
          <w:lang w:val="es-CR"/>
        </w:rPr>
        <w:t>En su escrito de observaciones de 5 de agosto de 2021, l</w:t>
      </w:r>
      <w:r w:rsidRPr="00B660E9">
        <w:rPr>
          <w:rFonts w:ascii="Verdana" w:hAnsi="Verdana" w:cs="Cambria"/>
          <w:sz w:val="20"/>
          <w:szCs w:val="20"/>
        </w:rPr>
        <w:t xml:space="preserve">a Comisión sostuvo que la solicitud de medidas provisionales guarda conexión con la Sentencia del </w:t>
      </w:r>
      <w:r w:rsidRPr="00B660E9">
        <w:rPr>
          <w:rFonts w:ascii="Verdana" w:hAnsi="Verdana" w:cs="Cambria-Italic"/>
          <w:iCs/>
          <w:sz w:val="20"/>
          <w:szCs w:val="20"/>
        </w:rPr>
        <w:t xml:space="preserve">caso </w:t>
      </w:r>
      <w:r w:rsidRPr="00B660E9">
        <w:rPr>
          <w:rFonts w:ascii="Verdana" w:hAnsi="Verdana" w:cs="Cambria-Italic"/>
          <w:i/>
          <w:iCs/>
          <w:sz w:val="20"/>
          <w:szCs w:val="20"/>
        </w:rPr>
        <w:t>Valenzuela Ávila</w:t>
      </w:r>
      <w:r w:rsidRPr="00B660E9">
        <w:rPr>
          <w:rFonts w:ascii="Verdana" w:hAnsi="Verdana" w:cs="Cambria-Italic"/>
          <w:iCs/>
          <w:sz w:val="20"/>
          <w:szCs w:val="20"/>
        </w:rPr>
        <w:t xml:space="preserve"> en cuanto a la obligación de investigar, pues</w:t>
      </w:r>
      <w:r w:rsidRPr="00B660E9">
        <w:rPr>
          <w:rFonts w:ascii="Verdana" w:hAnsi="Verdana" w:cs="Cambria"/>
          <w:sz w:val="20"/>
          <w:szCs w:val="20"/>
        </w:rPr>
        <w:t xml:space="preserve"> las personas propuestas como beneficiarias “serían las que estarían impulsa</w:t>
      </w:r>
      <w:r w:rsidR="004B6B50">
        <w:rPr>
          <w:rFonts w:ascii="Verdana" w:hAnsi="Verdana" w:cs="Cambria"/>
          <w:sz w:val="20"/>
          <w:szCs w:val="20"/>
        </w:rPr>
        <w:t>[n]</w:t>
      </w:r>
      <w:r w:rsidRPr="00B660E9">
        <w:rPr>
          <w:rFonts w:ascii="Verdana" w:hAnsi="Verdana" w:cs="Cambria"/>
          <w:sz w:val="20"/>
          <w:szCs w:val="20"/>
        </w:rPr>
        <w:t xml:space="preserve">do las investigaciones desde el Ministerio Público”. </w:t>
      </w:r>
      <w:r w:rsidR="00F90FA8" w:rsidRPr="00B660E9">
        <w:rPr>
          <w:rFonts w:ascii="Verdana" w:hAnsi="Verdana" w:cs="Cambria-Italic"/>
          <w:iCs/>
          <w:sz w:val="20"/>
          <w:szCs w:val="20"/>
        </w:rPr>
        <w:t>Señaló</w:t>
      </w:r>
      <w:r w:rsidRPr="00B660E9">
        <w:rPr>
          <w:rFonts w:ascii="Verdana" w:hAnsi="Verdana" w:cs="Cambria-Italic"/>
          <w:iCs/>
          <w:sz w:val="20"/>
          <w:szCs w:val="20"/>
        </w:rPr>
        <w:t xml:space="preserve"> que </w:t>
      </w:r>
      <w:r w:rsidRPr="00B660E9">
        <w:rPr>
          <w:rFonts w:ascii="Verdana" w:hAnsi="Verdana" w:cs="Cambria"/>
          <w:sz w:val="20"/>
          <w:szCs w:val="20"/>
        </w:rPr>
        <w:t>lo alegado por l</w:t>
      </w:r>
      <w:r w:rsidR="006A0908">
        <w:rPr>
          <w:rFonts w:ascii="Verdana" w:hAnsi="Verdana" w:cs="Cambria"/>
          <w:sz w:val="20"/>
          <w:szCs w:val="20"/>
        </w:rPr>
        <w:t>a</w:t>
      </w:r>
      <w:r w:rsidRPr="00B660E9">
        <w:rPr>
          <w:rFonts w:ascii="Verdana" w:hAnsi="Verdana" w:cs="Cambria"/>
          <w:sz w:val="20"/>
          <w:szCs w:val="20"/>
        </w:rPr>
        <w:t>s representantes guarda consistencia con el monitoreo que viene realizando a la situación de los operadores de justicia en Guatemala</w:t>
      </w:r>
      <w:r w:rsidR="006A0908">
        <w:rPr>
          <w:rFonts w:ascii="Verdana" w:hAnsi="Verdana" w:cs="Cambria"/>
          <w:sz w:val="20"/>
          <w:szCs w:val="20"/>
        </w:rPr>
        <w:t>,</w:t>
      </w:r>
      <w:r w:rsidRPr="00B660E9">
        <w:rPr>
          <w:rFonts w:ascii="Verdana" w:hAnsi="Verdana" w:cs="Cambria-Italic"/>
          <w:iCs/>
          <w:sz w:val="20"/>
          <w:szCs w:val="20"/>
        </w:rPr>
        <w:t xml:space="preserve"> sobre </w:t>
      </w:r>
      <w:r w:rsidRPr="00B660E9">
        <w:rPr>
          <w:rFonts w:ascii="Verdana" w:hAnsi="Verdana" w:cs="Cambria"/>
          <w:sz w:val="20"/>
          <w:szCs w:val="20"/>
        </w:rPr>
        <w:t xml:space="preserve">“la continuidad de un contexto adverso hacia el trabajo de la FECI por las acciones que realizan en su rol de lucha contra la corrupción y la impunidad en el país; por su participación e impulso en investigaciones en casos de alto impacto; por el perfil de las personas que han identificado como responsables o presuntos responsables de </w:t>
      </w:r>
      <w:r w:rsidR="00485665" w:rsidRPr="00485665">
        <w:rPr>
          <w:rFonts w:ascii="Verdana" w:hAnsi="Verdana" w:cs="Cambria"/>
          <w:sz w:val="20"/>
          <w:szCs w:val="20"/>
        </w:rPr>
        <w:t>diversos</w:t>
      </w:r>
      <w:r w:rsidR="00485665">
        <w:rPr>
          <w:rFonts w:ascii="Verdana" w:hAnsi="Verdana" w:cs="Cambria"/>
          <w:b/>
          <w:sz w:val="20"/>
          <w:szCs w:val="20"/>
        </w:rPr>
        <w:t xml:space="preserve"> </w:t>
      </w:r>
      <w:r w:rsidRPr="00485665">
        <w:rPr>
          <w:rFonts w:ascii="Verdana" w:hAnsi="Verdana" w:cs="Cambria"/>
          <w:sz w:val="20"/>
          <w:szCs w:val="20"/>
        </w:rPr>
        <w:t>actos delictivos</w:t>
      </w:r>
      <w:r w:rsidR="00193034" w:rsidRPr="00485665">
        <w:rPr>
          <w:rFonts w:ascii="Verdana" w:hAnsi="Verdana" w:cs="Cambria"/>
          <w:sz w:val="20"/>
          <w:szCs w:val="20"/>
        </w:rPr>
        <w:t xml:space="preserve"> </w:t>
      </w:r>
      <w:r w:rsidR="00485665">
        <w:rPr>
          <w:rFonts w:ascii="Verdana" w:hAnsi="Verdana" w:cs="Cambria"/>
          <w:sz w:val="20"/>
          <w:szCs w:val="20"/>
        </w:rPr>
        <w:t>[…</w:t>
      </w:r>
      <w:r w:rsidR="00260F37">
        <w:rPr>
          <w:rFonts w:ascii="Verdana" w:hAnsi="Verdana" w:cs="Cambria"/>
          <w:sz w:val="20"/>
          <w:szCs w:val="20"/>
        </w:rPr>
        <w:t xml:space="preserve"> </w:t>
      </w:r>
      <w:r w:rsidR="00485665">
        <w:rPr>
          <w:rFonts w:ascii="Verdana" w:hAnsi="Verdana" w:cs="Cambria"/>
          <w:sz w:val="20"/>
          <w:szCs w:val="20"/>
        </w:rPr>
        <w:t xml:space="preserve">que] </w:t>
      </w:r>
      <w:r w:rsidRPr="00485665">
        <w:rPr>
          <w:rFonts w:ascii="Verdana" w:hAnsi="Verdana" w:cs="Cambria"/>
          <w:sz w:val="20"/>
          <w:szCs w:val="20"/>
        </w:rPr>
        <w:t>involucran a diversos grupos de poder de la sociedad guatemalteca; y por su ce</w:t>
      </w:r>
      <w:r w:rsidR="00485665">
        <w:rPr>
          <w:rFonts w:ascii="Verdana" w:hAnsi="Verdana" w:cs="Cambria"/>
          <w:sz w:val="20"/>
          <w:szCs w:val="20"/>
        </w:rPr>
        <w:t xml:space="preserve">rcanía al trabajo que realizaba </w:t>
      </w:r>
      <w:r w:rsidRPr="00485665">
        <w:rPr>
          <w:rFonts w:ascii="Verdana" w:hAnsi="Verdana" w:cs="Cambria"/>
          <w:sz w:val="20"/>
          <w:szCs w:val="20"/>
        </w:rPr>
        <w:t>la</w:t>
      </w:r>
      <w:r w:rsidR="00485665">
        <w:rPr>
          <w:rFonts w:ascii="Verdana" w:hAnsi="Verdana" w:cs="Cambria"/>
          <w:sz w:val="20"/>
          <w:szCs w:val="20"/>
        </w:rPr>
        <w:t xml:space="preserve"> […]</w:t>
      </w:r>
      <w:r w:rsidRPr="00485665">
        <w:rPr>
          <w:rFonts w:ascii="Verdana" w:hAnsi="Verdana" w:cs="Cambria"/>
          <w:sz w:val="20"/>
          <w:szCs w:val="20"/>
        </w:rPr>
        <w:t xml:space="preserve"> </w:t>
      </w:r>
      <w:r w:rsidR="00193034" w:rsidRPr="00485665">
        <w:rPr>
          <w:rFonts w:ascii="Verdana" w:hAnsi="Verdana" w:cs="Cambria"/>
          <w:sz w:val="20"/>
          <w:szCs w:val="20"/>
        </w:rPr>
        <w:t>CICIG</w:t>
      </w:r>
      <w:r w:rsidR="00485665">
        <w:rPr>
          <w:rFonts w:ascii="Verdana" w:hAnsi="Verdana" w:cs="Cambria"/>
          <w:sz w:val="20"/>
          <w:szCs w:val="20"/>
        </w:rPr>
        <w:t xml:space="preserve"> […]</w:t>
      </w:r>
      <w:r w:rsidRPr="00485665">
        <w:rPr>
          <w:rFonts w:ascii="Verdana" w:hAnsi="Verdana" w:cs="Cambria"/>
          <w:sz w:val="20"/>
          <w:szCs w:val="20"/>
        </w:rPr>
        <w:t xml:space="preserve">, el cual ha sido cuestionado por sectores en el país”. Tal contexto coincide con la visita </w:t>
      </w:r>
      <w:r w:rsidRPr="00485665">
        <w:rPr>
          <w:rFonts w:ascii="Verdana" w:hAnsi="Verdana" w:cs="Cambria"/>
          <w:i/>
          <w:sz w:val="20"/>
          <w:szCs w:val="20"/>
        </w:rPr>
        <w:t>in loco</w:t>
      </w:r>
      <w:r w:rsidRPr="00485665">
        <w:rPr>
          <w:rFonts w:ascii="Verdana" w:hAnsi="Verdana" w:cs="Cambria"/>
          <w:sz w:val="20"/>
          <w:szCs w:val="20"/>
        </w:rPr>
        <w:t xml:space="preserve"> realizada por la Comisión en el año 2017, “donde indicó que los intentos de avance en la lucha contra la impunidad y corrupción por parte de operadores y operadoras de justicia han venido aparejados de ataques y amenazas en su contra”.</w:t>
      </w:r>
    </w:p>
    <w:p w14:paraId="1A932CD2" w14:textId="371217B0" w:rsidR="00396889" w:rsidRPr="007A3807" w:rsidRDefault="00193034" w:rsidP="00396889">
      <w:pPr>
        <w:pStyle w:val="Prrafodelista"/>
        <w:numPr>
          <w:ilvl w:val="0"/>
          <w:numId w:val="2"/>
        </w:numPr>
        <w:autoSpaceDE w:val="0"/>
        <w:autoSpaceDN w:val="0"/>
        <w:adjustRightInd w:val="0"/>
        <w:spacing w:before="120" w:after="120"/>
        <w:ind w:left="0" w:firstLine="0"/>
        <w:contextualSpacing w:val="0"/>
        <w:jc w:val="both"/>
        <w:rPr>
          <w:rFonts w:ascii="Verdana" w:hAnsi="Verdana"/>
          <w:sz w:val="20"/>
          <w:lang w:val="es-CR"/>
        </w:rPr>
      </w:pPr>
      <w:r>
        <w:rPr>
          <w:rFonts w:ascii="Verdana" w:hAnsi="Verdana" w:cs="Cambria"/>
          <w:sz w:val="20"/>
          <w:szCs w:val="20"/>
        </w:rPr>
        <w:lastRenderedPageBreak/>
        <w:t>S</w:t>
      </w:r>
      <w:r w:rsidR="00E5585B" w:rsidRPr="00193034">
        <w:rPr>
          <w:rFonts w:ascii="Verdana" w:hAnsi="Verdana" w:cs="Cambria"/>
          <w:sz w:val="20"/>
          <w:szCs w:val="20"/>
        </w:rPr>
        <w:t>ostuvo que debido a que “uno de los fiscales de la FECI ya fue retirado de su cargo bajo un procedimiento presuntamente arbitrario y sin las debidas garantías”, podría considerarse que “la potencial destitución de los otros dos fiscales</w:t>
      </w:r>
      <w:r w:rsidR="00F90FA8" w:rsidRPr="00193034">
        <w:rPr>
          <w:rFonts w:ascii="Verdana" w:hAnsi="Verdana" w:cs="Cambria"/>
          <w:sz w:val="20"/>
          <w:szCs w:val="20"/>
        </w:rPr>
        <w:t>”</w:t>
      </w:r>
      <w:r w:rsidR="007310B8">
        <w:rPr>
          <w:rFonts w:ascii="Verdana" w:hAnsi="Verdana" w:cs="Cambria"/>
          <w:sz w:val="20"/>
          <w:szCs w:val="20"/>
        </w:rPr>
        <w:t xml:space="preserve">, </w:t>
      </w:r>
      <w:r w:rsidR="00F90FA8" w:rsidRPr="00193034">
        <w:rPr>
          <w:rFonts w:ascii="Verdana" w:hAnsi="Verdana" w:cs="Cambria"/>
          <w:sz w:val="20"/>
          <w:szCs w:val="20"/>
        </w:rPr>
        <w:t xml:space="preserve">“B” </w:t>
      </w:r>
      <w:r>
        <w:rPr>
          <w:rFonts w:ascii="Verdana" w:hAnsi="Verdana" w:cs="Cambria"/>
          <w:sz w:val="20"/>
          <w:szCs w:val="20"/>
        </w:rPr>
        <w:t>y</w:t>
      </w:r>
      <w:r w:rsidR="00F90FA8" w:rsidRPr="00193034">
        <w:rPr>
          <w:rFonts w:ascii="Verdana" w:hAnsi="Verdana" w:cs="Cambria"/>
          <w:sz w:val="20"/>
          <w:szCs w:val="20"/>
        </w:rPr>
        <w:t xml:space="preserve"> “C”</w:t>
      </w:r>
      <w:r w:rsidR="007310B8">
        <w:rPr>
          <w:rFonts w:ascii="Verdana" w:hAnsi="Verdana" w:cs="Cambria"/>
          <w:sz w:val="20"/>
          <w:szCs w:val="20"/>
        </w:rPr>
        <w:t>,</w:t>
      </w:r>
      <w:r w:rsidR="00E5585B" w:rsidRPr="00193034">
        <w:rPr>
          <w:rFonts w:ascii="Verdana" w:hAnsi="Verdana" w:cs="Cambria"/>
          <w:sz w:val="20"/>
          <w:szCs w:val="20"/>
        </w:rPr>
        <w:t xml:space="preserve"> en circunstancias similares a la reciente destitución</w:t>
      </w:r>
      <w:r w:rsidR="00BB2E08">
        <w:rPr>
          <w:rFonts w:ascii="Verdana" w:hAnsi="Verdana" w:cs="Cambria"/>
          <w:sz w:val="20"/>
          <w:szCs w:val="20"/>
        </w:rPr>
        <w:t>,</w:t>
      </w:r>
      <w:r w:rsidR="00F90FA8" w:rsidRPr="00193034">
        <w:rPr>
          <w:rFonts w:ascii="Verdana" w:hAnsi="Verdana" w:cs="Cambria"/>
          <w:sz w:val="20"/>
          <w:szCs w:val="20"/>
        </w:rPr>
        <w:t xml:space="preserve"> </w:t>
      </w:r>
      <w:r w:rsidR="00E5585B" w:rsidRPr="00193034">
        <w:rPr>
          <w:rFonts w:ascii="Verdana" w:hAnsi="Verdana" w:cs="Cambria"/>
          <w:sz w:val="20"/>
          <w:szCs w:val="20"/>
        </w:rPr>
        <w:t>constituiría</w:t>
      </w:r>
      <w:r w:rsidR="00F90FA8" w:rsidRPr="00193034">
        <w:rPr>
          <w:rFonts w:ascii="Verdana" w:hAnsi="Verdana" w:cs="Cambria"/>
          <w:sz w:val="20"/>
          <w:szCs w:val="20"/>
        </w:rPr>
        <w:t>: (i)</w:t>
      </w:r>
      <w:r w:rsidR="00E5585B" w:rsidRPr="00193034">
        <w:rPr>
          <w:rFonts w:ascii="Verdana" w:hAnsi="Verdana" w:cs="Cambria"/>
          <w:sz w:val="20"/>
          <w:szCs w:val="20"/>
        </w:rPr>
        <w:t xml:space="preserve"> </w:t>
      </w:r>
      <w:r w:rsidR="00F90FA8" w:rsidRPr="00193034">
        <w:rPr>
          <w:rFonts w:ascii="Verdana" w:hAnsi="Verdana" w:cs="Cambria"/>
          <w:sz w:val="20"/>
          <w:szCs w:val="20"/>
        </w:rPr>
        <w:t>“</w:t>
      </w:r>
      <w:r w:rsidR="00E5585B" w:rsidRPr="00193034">
        <w:rPr>
          <w:rFonts w:ascii="Verdana" w:hAnsi="Verdana" w:cs="Cambria"/>
          <w:sz w:val="20"/>
          <w:szCs w:val="20"/>
        </w:rPr>
        <w:t>un grave incumplimiento al deber de garantizar investigaciones imparciales e independientes</w:t>
      </w:r>
      <w:r>
        <w:rPr>
          <w:rFonts w:ascii="Verdana" w:hAnsi="Verdana" w:cs="Cambria"/>
          <w:sz w:val="20"/>
          <w:szCs w:val="20"/>
        </w:rPr>
        <w:t>”</w:t>
      </w:r>
      <w:r w:rsidR="00E5585B" w:rsidRPr="00193034">
        <w:rPr>
          <w:rFonts w:ascii="Verdana" w:hAnsi="Verdana" w:cs="Cambria"/>
          <w:sz w:val="20"/>
          <w:szCs w:val="20"/>
        </w:rPr>
        <w:t xml:space="preserve"> en el caso </w:t>
      </w:r>
      <w:r w:rsidR="00E5585B" w:rsidRPr="00E80293">
        <w:rPr>
          <w:rFonts w:ascii="Verdana" w:hAnsi="Verdana" w:cs="Cambria"/>
          <w:i/>
          <w:sz w:val="20"/>
          <w:szCs w:val="20"/>
        </w:rPr>
        <w:t>Valenzuela Ávila</w:t>
      </w:r>
      <w:r w:rsidR="00E5585B" w:rsidRPr="00193034">
        <w:rPr>
          <w:rFonts w:ascii="Verdana" w:hAnsi="Verdana" w:cs="Cambria"/>
          <w:sz w:val="20"/>
          <w:szCs w:val="20"/>
        </w:rPr>
        <w:t>; (</w:t>
      </w:r>
      <w:proofErr w:type="spellStart"/>
      <w:r w:rsidR="00E5585B" w:rsidRPr="00193034">
        <w:rPr>
          <w:rFonts w:ascii="Verdana" w:hAnsi="Verdana" w:cs="Cambria"/>
          <w:sz w:val="20"/>
          <w:szCs w:val="20"/>
        </w:rPr>
        <w:t>ii</w:t>
      </w:r>
      <w:proofErr w:type="spellEnd"/>
      <w:r w:rsidR="00E5585B" w:rsidRPr="00193034">
        <w:rPr>
          <w:rFonts w:ascii="Verdana" w:hAnsi="Verdana" w:cs="Cambria"/>
          <w:sz w:val="20"/>
          <w:szCs w:val="20"/>
        </w:rPr>
        <w:t xml:space="preserve">) </w:t>
      </w:r>
      <w:r w:rsidR="00F90FA8" w:rsidRPr="00193034">
        <w:rPr>
          <w:rFonts w:ascii="Verdana" w:hAnsi="Verdana" w:cs="Cambria"/>
          <w:sz w:val="20"/>
          <w:szCs w:val="20"/>
        </w:rPr>
        <w:t xml:space="preserve">“colocaría en una </w:t>
      </w:r>
      <w:r w:rsidR="005C2011">
        <w:rPr>
          <w:rFonts w:ascii="Verdana" w:hAnsi="Verdana" w:cs="Cambria"/>
          <w:sz w:val="20"/>
          <w:szCs w:val="20"/>
        </w:rPr>
        <w:t>‘</w:t>
      </w:r>
      <w:r w:rsidR="00E5585B" w:rsidRPr="00193034">
        <w:rPr>
          <w:rFonts w:ascii="Verdana" w:hAnsi="Verdana" w:cs="Cambria"/>
          <w:sz w:val="20"/>
          <w:szCs w:val="20"/>
        </w:rPr>
        <w:t>situación de extrema vulnerabilidad</w:t>
      </w:r>
      <w:r w:rsidR="005C2011">
        <w:rPr>
          <w:rFonts w:ascii="Verdana" w:hAnsi="Verdana" w:cs="Cambria"/>
          <w:sz w:val="20"/>
          <w:szCs w:val="20"/>
        </w:rPr>
        <w:t>’</w:t>
      </w:r>
      <w:r w:rsidR="00E5585B" w:rsidRPr="00193034">
        <w:rPr>
          <w:rFonts w:ascii="Verdana" w:hAnsi="Verdana" w:cs="Cambria"/>
          <w:sz w:val="20"/>
          <w:szCs w:val="20"/>
        </w:rPr>
        <w:t xml:space="preserve"> a los dos fiscales dado que se les removería los esquemas de seguridad implementados</w:t>
      </w:r>
      <w:r w:rsidR="004B6B50">
        <w:rPr>
          <w:rFonts w:ascii="Verdana" w:hAnsi="Verdana" w:cs="Cambria"/>
          <w:sz w:val="20"/>
          <w:szCs w:val="20"/>
        </w:rPr>
        <w:t>”</w:t>
      </w:r>
      <w:r w:rsidR="005C2011">
        <w:rPr>
          <w:rFonts w:ascii="Verdana" w:hAnsi="Verdana" w:cs="Cambria"/>
          <w:sz w:val="20"/>
          <w:szCs w:val="20"/>
        </w:rPr>
        <w:t>,</w:t>
      </w:r>
      <w:r w:rsidR="00E5585B" w:rsidRPr="00193034">
        <w:rPr>
          <w:rFonts w:ascii="Verdana" w:hAnsi="Verdana" w:cs="Cambria"/>
          <w:sz w:val="20"/>
          <w:szCs w:val="20"/>
        </w:rPr>
        <w:t xml:space="preserve"> y (</w:t>
      </w:r>
      <w:proofErr w:type="spellStart"/>
      <w:r w:rsidR="00E5585B" w:rsidRPr="00193034">
        <w:rPr>
          <w:rFonts w:ascii="Verdana" w:hAnsi="Verdana" w:cs="Cambria"/>
          <w:sz w:val="20"/>
          <w:szCs w:val="20"/>
        </w:rPr>
        <w:t>iii</w:t>
      </w:r>
      <w:proofErr w:type="spellEnd"/>
      <w:r w:rsidR="00E5585B" w:rsidRPr="00193034">
        <w:rPr>
          <w:rFonts w:ascii="Verdana" w:hAnsi="Verdana" w:cs="Cambria"/>
          <w:sz w:val="20"/>
          <w:szCs w:val="20"/>
        </w:rPr>
        <w:t xml:space="preserve">) </w:t>
      </w:r>
      <w:r w:rsidR="00F90FA8" w:rsidRPr="00193034">
        <w:rPr>
          <w:rFonts w:ascii="Verdana" w:hAnsi="Verdana" w:cs="Cambria"/>
          <w:sz w:val="20"/>
          <w:szCs w:val="20"/>
        </w:rPr>
        <w:t>“</w:t>
      </w:r>
      <w:r w:rsidR="00E5585B" w:rsidRPr="00193034">
        <w:rPr>
          <w:rFonts w:ascii="Verdana" w:hAnsi="Verdana" w:cs="Cambria"/>
          <w:sz w:val="20"/>
          <w:szCs w:val="20"/>
        </w:rPr>
        <w:t>mandaría un mensaje de intimidación que se transmitiría al resto de fiscales del Ministerio P</w:t>
      </w:r>
      <w:r w:rsidR="005338BE">
        <w:rPr>
          <w:rFonts w:ascii="Verdana" w:hAnsi="Verdana" w:cs="Cambria"/>
          <w:sz w:val="20"/>
          <w:szCs w:val="20"/>
        </w:rPr>
        <w:t>ú</w:t>
      </w:r>
      <w:r w:rsidR="00E5585B" w:rsidRPr="00193034">
        <w:rPr>
          <w:rFonts w:ascii="Verdana" w:hAnsi="Verdana" w:cs="Cambria"/>
          <w:sz w:val="20"/>
          <w:szCs w:val="20"/>
        </w:rPr>
        <w:t xml:space="preserve">blico en el sentido que pueden ser destituidos de manera presuntamente arbitrariamente por cumplir su mandato de investigación”. </w:t>
      </w:r>
      <w:r w:rsidR="0089508C">
        <w:rPr>
          <w:rFonts w:ascii="Verdana" w:hAnsi="Verdana" w:cs="Cambria"/>
          <w:sz w:val="20"/>
          <w:szCs w:val="20"/>
        </w:rPr>
        <w:t>Asimismo, e</w:t>
      </w:r>
      <w:r w:rsidR="00F90FA8" w:rsidRPr="0027154F">
        <w:rPr>
          <w:rFonts w:ascii="Verdana" w:hAnsi="Verdana" w:cs="Cambria"/>
          <w:sz w:val="20"/>
          <w:szCs w:val="20"/>
        </w:rPr>
        <w:t>xpresó su</w:t>
      </w:r>
      <w:r w:rsidR="0025497D" w:rsidRPr="0027154F">
        <w:rPr>
          <w:rFonts w:ascii="Verdana" w:hAnsi="Verdana" w:cs="Cambria"/>
          <w:sz w:val="20"/>
          <w:szCs w:val="20"/>
        </w:rPr>
        <w:t xml:space="preserve"> preocupación</w:t>
      </w:r>
      <w:r w:rsidR="00E5585B" w:rsidRPr="0027154F">
        <w:rPr>
          <w:rFonts w:ascii="Verdana" w:hAnsi="Verdana" w:cs="Cambria"/>
          <w:sz w:val="20"/>
          <w:szCs w:val="20"/>
        </w:rPr>
        <w:t xml:space="preserve"> ante las campañas de desprestigio, ya que “las mismas revelan un seguimiento cercano de las actividades de las per</w:t>
      </w:r>
      <w:r w:rsidR="0027154F">
        <w:rPr>
          <w:rFonts w:ascii="Verdana" w:hAnsi="Verdana" w:cs="Cambria"/>
          <w:sz w:val="20"/>
          <w:szCs w:val="20"/>
        </w:rPr>
        <w:t>sonas</w:t>
      </w:r>
      <w:r w:rsidR="007310B8">
        <w:rPr>
          <w:rFonts w:ascii="Verdana" w:hAnsi="Verdana" w:cs="Cambria"/>
          <w:sz w:val="20"/>
          <w:szCs w:val="20"/>
        </w:rPr>
        <w:t>”</w:t>
      </w:r>
      <w:r w:rsidR="00E5585B" w:rsidRPr="0027154F">
        <w:rPr>
          <w:rFonts w:ascii="Verdana" w:hAnsi="Verdana" w:cs="Cambria"/>
          <w:sz w:val="20"/>
          <w:szCs w:val="20"/>
        </w:rPr>
        <w:t>,</w:t>
      </w:r>
      <w:r w:rsidR="0027154F">
        <w:rPr>
          <w:rFonts w:ascii="Verdana" w:hAnsi="Verdana" w:cs="Cambria"/>
          <w:sz w:val="20"/>
          <w:szCs w:val="20"/>
        </w:rPr>
        <w:t xml:space="preserve"> y</w:t>
      </w:r>
      <w:r w:rsidR="00E5585B" w:rsidRPr="0027154F">
        <w:rPr>
          <w:rFonts w:ascii="Verdana" w:hAnsi="Verdana" w:cs="Cambria"/>
          <w:sz w:val="20"/>
          <w:szCs w:val="20"/>
        </w:rPr>
        <w:t xml:space="preserve"> consideró necesario “brindar condiciones de seguridad a los propuestos beneficiarios”, a través de “una resolución conjunta de medidas provisionales y supervisión de cumplimiento de </w:t>
      </w:r>
      <w:r w:rsidR="005C2011">
        <w:rPr>
          <w:rFonts w:ascii="Verdana" w:hAnsi="Verdana" w:cs="Cambria"/>
          <w:sz w:val="20"/>
          <w:szCs w:val="20"/>
        </w:rPr>
        <w:t>s</w:t>
      </w:r>
      <w:r w:rsidR="00E5585B" w:rsidRPr="0027154F">
        <w:rPr>
          <w:rFonts w:ascii="Verdana" w:hAnsi="Verdana" w:cs="Cambria"/>
          <w:sz w:val="20"/>
          <w:szCs w:val="20"/>
        </w:rPr>
        <w:t>entencia en el presente asunto”</w:t>
      </w:r>
      <w:r w:rsidR="00E5585B" w:rsidRPr="0089508C">
        <w:rPr>
          <w:rFonts w:ascii="Verdana" w:hAnsi="Verdana" w:cs="Cambria"/>
          <w:sz w:val="20"/>
          <w:szCs w:val="20"/>
        </w:rPr>
        <w:t>.</w:t>
      </w:r>
      <w:r w:rsidR="0034246E" w:rsidRPr="001C1651">
        <w:rPr>
          <w:rFonts w:ascii="Verdana" w:hAnsi="Verdana" w:cs="Cambria"/>
          <w:sz w:val="20"/>
          <w:szCs w:val="20"/>
        </w:rPr>
        <w:t xml:space="preserve"> </w:t>
      </w:r>
      <w:r w:rsidR="0034246E">
        <w:rPr>
          <w:rFonts w:ascii="Verdana" w:hAnsi="Verdana"/>
          <w:sz w:val="20"/>
          <w:lang w:val="es-CR"/>
        </w:rPr>
        <w:t>Finalmente, e</w:t>
      </w:r>
      <w:r w:rsidR="0034246E" w:rsidRPr="0034246E">
        <w:rPr>
          <w:rFonts w:ascii="Verdana" w:hAnsi="Verdana"/>
          <w:sz w:val="20"/>
          <w:lang w:val="es-CR"/>
        </w:rPr>
        <w:t>n la audiencia p</w:t>
      </w:r>
      <w:r w:rsidR="0034246E">
        <w:rPr>
          <w:rFonts w:ascii="Verdana" w:hAnsi="Verdana"/>
          <w:sz w:val="20"/>
          <w:lang w:val="es-CR"/>
        </w:rPr>
        <w:t>ública de 27 de agosto de 2021</w:t>
      </w:r>
      <w:r w:rsidR="00326101">
        <w:rPr>
          <w:rFonts w:ascii="Verdana" w:hAnsi="Verdana"/>
          <w:sz w:val="20"/>
          <w:lang w:val="es-CR"/>
        </w:rPr>
        <w:t>,</w:t>
      </w:r>
      <w:r w:rsidR="0034246E" w:rsidRPr="0034246E">
        <w:rPr>
          <w:rFonts w:ascii="Verdana" w:hAnsi="Verdana"/>
          <w:sz w:val="20"/>
          <w:lang w:val="es-CR"/>
        </w:rPr>
        <w:t xml:space="preserve"> solicitó </w:t>
      </w:r>
      <w:r w:rsidR="00844780">
        <w:rPr>
          <w:rFonts w:ascii="Verdana" w:hAnsi="Verdana"/>
          <w:sz w:val="20"/>
          <w:lang w:val="es-CR"/>
        </w:rPr>
        <w:t>a</w:t>
      </w:r>
      <w:r w:rsidR="0034246E" w:rsidRPr="0034246E">
        <w:rPr>
          <w:rFonts w:ascii="Verdana" w:hAnsi="Verdana"/>
          <w:sz w:val="20"/>
          <w:lang w:val="es-CR"/>
        </w:rPr>
        <w:t xml:space="preserve"> </w:t>
      </w:r>
      <w:r w:rsidR="0034246E">
        <w:rPr>
          <w:rFonts w:ascii="Verdana" w:hAnsi="Verdana"/>
          <w:sz w:val="20"/>
          <w:lang w:val="es-CR"/>
        </w:rPr>
        <w:t>la Corte</w:t>
      </w:r>
      <w:r w:rsidR="0034246E" w:rsidRPr="0034246E">
        <w:rPr>
          <w:rFonts w:ascii="Verdana" w:hAnsi="Verdana"/>
          <w:sz w:val="20"/>
          <w:lang w:val="es-CR"/>
        </w:rPr>
        <w:t xml:space="preserve"> </w:t>
      </w:r>
      <w:r w:rsidR="00844780">
        <w:rPr>
          <w:rFonts w:ascii="Verdana" w:hAnsi="Verdana"/>
          <w:sz w:val="20"/>
          <w:lang w:val="es-CR"/>
        </w:rPr>
        <w:t xml:space="preserve">que </w:t>
      </w:r>
      <w:r w:rsidR="007A3807" w:rsidRPr="007A3807">
        <w:rPr>
          <w:rFonts w:ascii="Verdana" w:hAnsi="Verdana"/>
          <w:sz w:val="20"/>
          <w:lang w:val="es-CR"/>
        </w:rPr>
        <w:t>“reitere al Estado su deber de asegurar que las personas que participan en la investigación, entre ellas los operadores de justicia</w:t>
      </w:r>
      <w:r w:rsidR="007A3807">
        <w:rPr>
          <w:rFonts w:ascii="Verdana" w:hAnsi="Verdana"/>
          <w:sz w:val="20"/>
          <w:lang w:val="es-CR"/>
        </w:rPr>
        <w:t>,</w:t>
      </w:r>
      <w:r w:rsidR="007A3807" w:rsidRPr="007A3807">
        <w:rPr>
          <w:rFonts w:ascii="Verdana" w:hAnsi="Verdana"/>
          <w:sz w:val="20"/>
          <w:lang w:val="es-CR"/>
        </w:rPr>
        <w:t xml:space="preserve"> cuenten con las debidas garantías de </w:t>
      </w:r>
      <w:r w:rsidR="00BB2E08">
        <w:rPr>
          <w:rFonts w:ascii="Verdana" w:hAnsi="Verdana"/>
          <w:sz w:val="20"/>
          <w:lang w:val="es-CR"/>
        </w:rPr>
        <w:t>seguridad en los términos de la</w:t>
      </w:r>
      <w:r w:rsidR="007A3807">
        <w:rPr>
          <w:rFonts w:ascii="Verdana" w:hAnsi="Verdana"/>
          <w:sz w:val="20"/>
          <w:lang w:val="es-CR"/>
        </w:rPr>
        <w:t>[</w:t>
      </w:r>
      <w:r w:rsidR="00BB2E08">
        <w:rPr>
          <w:rFonts w:ascii="Verdana" w:hAnsi="Verdana"/>
          <w:sz w:val="20"/>
          <w:lang w:val="es-CR"/>
        </w:rPr>
        <w:t xml:space="preserve">s </w:t>
      </w:r>
      <w:r w:rsidR="007A3807">
        <w:rPr>
          <w:rFonts w:ascii="Verdana" w:hAnsi="Verdana"/>
          <w:sz w:val="20"/>
          <w:lang w:val="es-CR"/>
        </w:rPr>
        <w:t>s]</w:t>
      </w:r>
      <w:proofErr w:type="spellStart"/>
      <w:r w:rsidR="007A3807" w:rsidRPr="007A3807">
        <w:rPr>
          <w:rFonts w:ascii="Verdana" w:hAnsi="Verdana"/>
          <w:sz w:val="20"/>
          <w:lang w:val="es-CR"/>
        </w:rPr>
        <w:t>entencia</w:t>
      </w:r>
      <w:r w:rsidR="007A3807">
        <w:rPr>
          <w:rFonts w:ascii="Verdana" w:hAnsi="Verdana"/>
          <w:sz w:val="20"/>
          <w:lang w:val="es-CR"/>
        </w:rPr>
        <w:t>s</w:t>
      </w:r>
      <w:proofErr w:type="spellEnd"/>
      <w:r w:rsidR="007A3807">
        <w:rPr>
          <w:rFonts w:ascii="Verdana" w:hAnsi="Verdana"/>
          <w:sz w:val="20"/>
          <w:lang w:val="es-CR"/>
        </w:rPr>
        <w:t xml:space="preserve"> que </w:t>
      </w:r>
      <w:r w:rsidR="004C6C09">
        <w:rPr>
          <w:rFonts w:ascii="Verdana" w:hAnsi="Verdana"/>
          <w:sz w:val="20"/>
          <w:lang w:val="es-CR"/>
        </w:rPr>
        <w:t xml:space="preserve">esta </w:t>
      </w:r>
      <w:r w:rsidR="007A3807">
        <w:rPr>
          <w:rFonts w:ascii="Verdana" w:hAnsi="Verdana"/>
          <w:sz w:val="20"/>
          <w:lang w:val="es-CR"/>
        </w:rPr>
        <w:t>[</w:t>
      </w:r>
      <w:r w:rsidR="004C6C09">
        <w:rPr>
          <w:rFonts w:ascii="Verdana" w:hAnsi="Verdana"/>
          <w:sz w:val="20"/>
          <w:lang w:val="es-CR"/>
        </w:rPr>
        <w:t>…</w:t>
      </w:r>
      <w:r w:rsidR="007A3807">
        <w:rPr>
          <w:rFonts w:ascii="Verdana" w:hAnsi="Verdana"/>
          <w:sz w:val="20"/>
          <w:lang w:val="es-CR"/>
        </w:rPr>
        <w:t>]</w:t>
      </w:r>
      <w:r w:rsidR="007A3807" w:rsidRPr="007A3807">
        <w:rPr>
          <w:rFonts w:ascii="Verdana" w:hAnsi="Verdana"/>
          <w:sz w:val="20"/>
          <w:lang w:val="es-CR"/>
        </w:rPr>
        <w:t xml:space="preserve"> Corte</w:t>
      </w:r>
      <w:r w:rsidR="007A3807">
        <w:rPr>
          <w:rFonts w:ascii="Verdana" w:hAnsi="Verdana"/>
          <w:sz w:val="20"/>
          <w:lang w:val="es-CR"/>
        </w:rPr>
        <w:t xml:space="preserve"> </w:t>
      </w:r>
      <w:r w:rsidR="00480153">
        <w:rPr>
          <w:rFonts w:ascii="Verdana" w:hAnsi="Verdana"/>
          <w:sz w:val="20"/>
          <w:lang w:val="es-CR"/>
        </w:rPr>
        <w:t xml:space="preserve">[…] </w:t>
      </w:r>
      <w:r w:rsidR="007A3807" w:rsidRPr="007A3807">
        <w:rPr>
          <w:rFonts w:ascii="Verdana" w:hAnsi="Verdana"/>
          <w:sz w:val="20"/>
          <w:lang w:val="es-CR"/>
        </w:rPr>
        <w:t>ha dictado</w:t>
      </w:r>
      <w:r w:rsidR="00480153">
        <w:rPr>
          <w:rFonts w:ascii="Verdana" w:hAnsi="Verdana"/>
          <w:sz w:val="20"/>
          <w:lang w:val="es-CR"/>
        </w:rPr>
        <w:t xml:space="preserve"> [en los casos </w:t>
      </w:r>
      <w:r w:rsidR="00480153" w:rsidRPr="00480153">
        <w:rPr>
          <w:rFonts w:ascii="Verdana" w:hAnsi="Verdana"/>
          <w:i/>
          <w:sz w:val="20"/>
          <w:lang w:val="es-CR"/>
        </w:rPr>
        <w:t>Valenzuela Ávila</w:t>
      </w:r>
      <w:r w:rsidR="00480153">
        <w:rPr>
          <w:rFonts w:ascii="Verdana" w:hAnsi="Verdana"/>
          <w:sz w:val="20"/>
          <w:lang w:val="es-CR"/>
        </w:rPr>
        <w:t xml:space="preserve">, </w:t>
      </w:r>
      <w:r w:rsidR="00480153" w:rsidRPr="007A3807">
        <w:rPr>
          <w:rFonts w:ascii="Verdana" w:hAnsi="Verdana"/>
          <w:sz w:val="20"/>
          <w:lang w:val="es-CR"/>
        </w:rPr>
        <w:t xml:space="preserve">y </w:t>
      </w:r>
      <w:r w:rsidR="00480153" w:rsidRPr="00480153">
        <w:rPr>
          <w:rFonts w:ascii="Verdana" w:hAnsi="Verdana"/>
          <w:i/>
          <w:sz w:val="20"/>
          <w:lang w:val="es-CR"/>
        </w:rPr>
        <w:t>Ruiz Fuentes y otra</w:t>
      </w:r>
      <w:r w:rsidR="00480153">
        <w:rPr>
          <w:rFonts w:ascii="Verdana" w:hAnsi="Verdana"/>
          <w:sz w:val="20"/>
          <w:lang w:val="es-CR"/>
        </w:rPr>
        <w:t>]</w:t>
      </w:r>
      <w:r w:rsidR="00BB2E08">
        <w:rPr>
          <w:rFonts w:ascii="Verdana" w:hAnsi="Verdana"/>
          <w:sz w:val="20"/>
          <w:lang w:val="es-CR"/>
        </w:rPr>
        <w:t>,</w:t>
      </w:r>
      <w:r w:rsidR="007A3807" w:rsidRPr="007A3807">
        <w:rPr>
          <w:rFonts w:ascii="Verdana" w:hAnsi="Verdana"/>
          <w:sz w:val="20"/>
          <w:lang w:val="es-CR"/>
        </w:rPr>
        <w:t xml:space="preserve"> y en la resolución del 2 de septiembre </w:t>
      </w:r>
      <w:r w:rsidR="007A3807">
        <w:rPr>
          <w:rFonts w:ascii="Verdana" w:hAnsi="Verdana"/>
          <w:sz w:val="20"/>
          <w:lang w:val="es-CR"/>
        </w:rPr>
        <w:t>[de 2020]”</w:t>
      </w:r>
      <w:r w:rsidR="00480153">
        <w:rPr>
          <w:rFonts w:ascii="Verdana" w:hAnsi="Verdana"/>
          <w:sz w:val="20"/>
          <w:lang w:val="es-CR"/>
        </w:rPr>
        <w:t>,</w:t>
      </w:r>
      <w:r w:rsidR="007A3807">
        <w:rPr>
          <w:rFonts w:ascii="Verdana" w:hAnsi="Verdana"/>
          <w:sz w:val="20"/>
          <w:lang w:val="es-CR"/>
        </w:rPr>
        <w:t xml:space="preserve"> y</w:t>
      </w:r>
      <w:r w:rsidR="00480153">
        <w:rPr>
          <w:rFonts w:ascii="Verdana" w:hAnsi="Verdana"/>
          <w:sz w:val="20"/>
          <w:lang w:val="es-CR"/>
        </w:rPr>
        <w:t xml:space="preserve"> que</w:t>
      </w:r>
      <w:r w:rsidR="007A3807">
        <w:rPr>
          <w:rFonts w:ascii="Verdana" w:hAnsi="Verdana"/>
          <w:sz w:val="20"/>
          <w:lang w:val="es-CR"/>
        </w:rPr>
        <w:t xml:space="preserve"> “</w:t>
      </w:r>
      <w:r w:rsidR="007A3807" w:rsidRPr="007A3807">
        <w:rPr>
          <w:rFonts w:ascii="Verdana" w:hAnsi="Verdana"/>
          <w:sz w:val="20"/>
          <w:lang w:val="es-CR"/>
        </w:rPr>
        <w:t>continúe con el monitoreo cercano de la situación de los propuestos beneficiarios hasta tanto persistan los factores analizados en el presente asunto</w:t>
      </w:r>
      <w:r w:rsidR="007A3807">
        <w:rPr>
          <w:rFonts w:ascii="Verdana" w:hAnsi="Verdana"/>
          <w:sz w:val="20"/>
          <w:lang w:val="es-CR"/>
        </w:rPr>
        <w:t>”</w:t>
      </w:r>
      <w:r w:rsidR="0034246E" w:rsidRPr="007A3807">
        <w:rPr>
          <w:rFonts w:ascii="Verdana" w:hAnsi="Verdana"/>
          <w:sz w:val="20"/>
          <w:lang w:val="es-CR"/>
        </w:rPr>
        <w:t>.</w:t>
      </w:r>
    </w:p>
    <w:p w14:paraId="1E8EFB3A" w14:textId="43D96930" w:rsidR="0086736E" w:rsidRPr="00D00DD5" w:rsidRDefault="00E5585B" w:rsidP="005D370D">
      <w:pPr>
        <w:spacing w:before="120" w:after="120"/>
        <w:ind w:left="567"/>
        <w:jc w:val="both"/>
        <w:rPr>
          <w:rFonts w:ascii="Verdana" w:eastAsiaTheme="minorHAnsi" w:hAnsi="Verdana" w:cs="ArialMT"/>
          <w:b/>
          <w:i/>
          <w:sz w:val="20"/>
          <w:szCs w:val="20"/>
          <w:lang w:val="es-CR"/>
        </w:rPr>
      </w:pPr>
      <w:r w:rsidRPr="00B660E9">
        <w:rPr>
          <w:rFonts w:ascii="Verdana" w:eastAsiaTheme="minorHAnsi" w:hAnsi="Verdana" w:cs="ArialMT"/>
          <w:b/>
          <w:i/>
          <w:sz w:val="20"/>
          <w:szCs w:val="20"/>
          <w:lang w:val="es-CR"/>
        </w:rPr>
        <w:t xml:space="preserve">C) </w:t>
      </w:r>
      <w:r w:rsidR="0086736E" w:rsidRPr="00D00DD5">
        <w:rPr>
          <w:rFonts w:ascii="Verdana" w:eastAsiaTheme="minorHAnsi" w:hAnsi="Verdana" w:cs="ArialMT"/>
          <w:b/>
          <w:i/>
          <w:sz w:val="20"/>
          <w:szCs w:val="20"/>
          <w:lang w:val="es-CR"/>
        </w:rPr>
        <w:t xml:space="preserve">Información presentada por </w:t>
      </w:r>
      <w:r w:rsidR="0097211D">
        <w:rPr>
          <w:rFonts w:ascii="Verdana" w:eastAsiaTheme="minorHAnsi" w:hAnsi="Verdana" w:cs="ArialMT"/>
          <w:b/>
          <w:i/>
          <w:sz w:val="20"/>
          <w:szCs w:val="20"/>
          <w:lang w:val="es-CR"/>
        </w:rPr>
        <w:t>el</w:t>
      </w:r>
      <w:r w:rsidR="0086736E" w:rsidRPr="00D00DD5">
        <w:rPr>
          <w:rFonts w:ascii="Verdana" w:eastAsiaTheme="minorHAnsi" w:hAnsi="Verdana" w:cs="ArialMT"/>
          <w:b/>
          <w:i/>
          <w:sz w:val="20"/>
          <w:szCs w:val="20"/>
          <w:lang w:val="es-CR"/>
        </w:rPr>
        <w:t xml:space="preserve"> Procurad</w:t>
      </w:r>
      <w:r w:rsidR="0097211D">
        <w:rPr>
          <w:rFonts w:ascii="Verdana" w:eastAsiaTheme="minorHAnsi" w:hAnsi="Verdana" w:cs="ArialMT"/>
          <w:b/>
          <w:i/>
          <w:sz w:val="20"/>
          <w:szCs w:val="20"/>
          <w:lang w:val="es-CR"/>
        </w:rPr>
        <w:t>or</w:t>
      </w:r>
      <w:r w:rsidR="0086736E" w:rsidRPr="00D00DD5">
        <w:rPr>
          <w:rFonts w:ascii="Verdana" w:eastAsiaTheme="minorHAnsi" w:hAnsi="Verdana" w:cs="ArialMT"/>
          <w:b/>
          <w:i/>
          <w:sz w:val="20"/>
          <w:szCs w:val="20"/>
          <w:lang w:val="es-CR"/>
        </w:rPr>
        <w:t xml:space="preserve"> de </w:t>
      </w:r>
      <w:r w:rsidR="0097211D">
        <w:rPr>
          <w:rFonts w:ascii="Verdana" w:eastAsiaTheme="minorHAnsi" w:hAnsi="Verdana" w:cs="ArialMT"/>
          <w:b/>
          <w:i/>
          <w:sz w:val="20"/>
          <w:szCs w:val="20"/>
          <w:lang w:val="es-CR"/>
        </w:rPr>
        <w:t xml:space="preserve">los </w:t>
      </w:r>
      <w:r w:rsidR="0086736E" w:rsidRPr="00D00DD5">
        <w:rPr>
          <w:rFonts w:ascii="Verdana" w:eastAsiaTheme="minorHAnsi" w:hAnsi="Verdana" w:cs="ArialMT"/>
          <w:b/>
          <w:i/>
          <w:sz w:val="20"/>
          <w:szCs w:val="20"/>
          <w:lang w:val="es-CR"/>
        </w:rPr>
        <w:t>Derechos Humanos</w:t>
      </w:r>
    </w:p>
    <w:p w14:paraId="6E48AC45" w14:textId="204BA14E" w:rsidR="0086736E" w:rsidRPr="002D083A" w:rsidRDefault="0086736E" w:rsidP="002D083A">
      <w:pPr>
        <w:pStyle w:val="Prrafodelista"/>
        <w:numPr>
          <w:ilvl w:val="0"/>
          <w:numId w:val="2"/>
        </w:numPr>
        <w:autoSpaceDE w:val="0"/>
        <w:autoSpaceDN w:val="0"/>
        <w:adjustRightInd w:val="0"/>
        <w:spacing w:before="120" w:after="120"/>
        <w:ind w:left="0" w:firstLine="0"/>
        <w:contextualSpacing w:val="0"/>
        <w:jc w:val="both"/>
        <w:rPr>
          <w:rFonts w:ascii="Verdana" w:hAnsi="Verdana"/>
          <w:sz w:val="20"/>
          <w:szCs w:val="20"/>
        </w:rPr>
      </w:pPr>
      <w:r w:rsidRPr="00D00DD5">
        <w:rPr>
          <w:rFonts w:ascii="Verdana" w:hAnsi="Verdana" w:cs="Cambria"/>
          <w:sz w:val="20"/>
          <w:szCs w:val="20"/>
        </w:rPr>
        <w:t xml:space="preserve">Durante la audiencia pública de 27 de agosto de 2021, </w:t>
      </w:r>
      <w:r w:rsidR="00D00DD5">
        <w:rPr>
          <w:rFonts w:ascii="Verdana" w:hAnsi="Verdana" w:cs="Cambria"/>
          <w:sz w:val="20"/>
          <w:szCs w:val="20"/>
        </w:rPr>
        <w:t xml:space="preserve">el </w:t>
      </w:r>
      <w:r w:rsidRPr="00D00DD5">
        <w:rPr>
          <w:rFonts w:ascii="Verdana" w:hAnsi="Verdana"/>
          <w:sz w:val="20"/>
          <w:szCs w:val="20"/>
        </w:rPr>
        <w:t>Procurad</w:t>
      </w:r>
      <w:r w:rsidR="00D00DD5">
        <w:rPr>
          <w:rFonts w:ascii="Verdana" w:hAnsi="Verdana"/>
          <w:sz w:val="20"/>
          <w:szCs w:val="20"/>
        </w:rPr>
        <w:t>or</w:t>
      </w:r>
      <w:r w:rsidRPr="00D00DD5">
        <w:rPr>
          <w:rFonts w:ascii="Verdana" w:hAnsi="Verdana"/>
          <w:sz w:val="20"/>
          <w:szCs w:val="20"/>
        </w:rPr>
        <w:t xml:space="preserve"> de </w:t>
      </w:r>
      <w:r w:rsidR="003B2F78">
        <w:rPr>
          <w:rFonts w:ascii="Verdana" w:hAnsi="Verdana"/>
          <w:sz w:val="20"/>
          <w:szCs w:val="20"/>
        </w:rPr>
        <w:t xml:space="preserve">los </w:t>
      </w:r>
      <w:r w:rsidRPr="00D00DD5">
        <w:rPr>
          <w:rFonts w:ascii="Verdana" w:hAnsi="Verdana"/>
          <w:sz w:val="20"/>
          <w:szCs w:val="20"/>
        </w:rPr>
        <w:t>Derechos Humanos</w:t>
      </w:r>
      <w:r w:rsidR="0097211D">
        <w:rPr>
          <w:rFonts w:ascii="Verdana" w:hAnsi="Verdana"/>
          <w:sz w:val="20"/>
          <w:szCs w:val="20"/>
        </w:rPr>
        <w:t xml:space="preserve"> de Guatemala</w:t>
      </w:r>
      <w:r w:rsidRPr="00D00DD5">
        <w:rPr>
          <w:rFonts w:ascii="Verdana" w:hAnsi="Verdana"/>
          <w:sz w:val="20"/>
          <w:szCs w:val="20"/>
        </w:rPr>
        <w:t xml:space="preserve"> indicó que</w:t>
      </w:r>
      <w:r w:rsidR="00EC3EA1">
        <w:rPr>
          <w:rFonts w:ascii="Verdana" w:hAnsi="Verdana"/>
          <w:sz w:val="20"/>
          <w:szCs w:val="20"/>
        </w:rPr>
        <w:t xml:space="preserve"> las y</w:t>
      </w:r>
      <w:r w:rsidRPr="00D00DD5">
        <w:rPr>
          <w:rFonts w:ascii="Verdana" w:hAnsi="Verdana"/>
          <w:sz w:val="20"/>
          <w:szCs w:val="20"/>
        </w:rPr>
        <w:t xml:space="preserve"> l</w:t>
      </w:r>
      <w:r w:rsidR="00EC3EA1">
        <w:rPr>
          <w:rFonts w:ascii="Verdana" w:hAnsi="Verdana"/>
          <w:sz w:val="20"/>
          <w:szCs w:val="20"/>
        </w:rPr>
        <w:t>os operadores de justicia de l</w:t>
      </w:r>
      <w:r w:rsidRPr="00D00DD5">
        <w:rPr>
          <w:rFonts w:ascii="Verdana" w:hAnsi="Verdana"/>
          <w:sz w:val="20"/>
          <w:szCs w:val="20"/>
        </w:rPr>
        <w:t>a FECI “</w:t>
      </w:r>
      <w:r w:rsidR="00EC3EA1" w:rsidRPr="00EC3EA1">
        <w:rPr>
          <w:rFonts w:ascii="Verdana" w:hAnsi="Verdana"/>
          <w:sz w:val="20"/>
          <w:lang w:val="es-CR"/>
        </w:rPr>
        <w:t>se encuentran enfrentando acciones sistemáticas contra su labor e independ</w:t>
      </w:r>
      <w:r w:rsidR="00EC3EA1">
        <w:rPr>
          <w:rFonts w:ascii="Verdana" w:hAnsi="Verdana"/>
          <w:sz w:val="20"/>
          <w:lang w:val="es-CR"/>
        </w:rPr>
        <w:t xml:space="preserve">encia que está en grave riesgo, [y] </w:t>
      </w:r>
      <w:r w:rsidR="00EC3EA1" w:rsidRPr="00EC3EA1">
        <w:rPr>
          <w:rFonts w:ascii="Verdana" w:hAnsi="Verdana"/>
          <w:sz w:val="20"/>
          <w:lang w:val="es-CR"/>
        </w:rPr>
        <w:t xml:space="preserve">son víctimas de amenazas </w:t>
      </w:r>
      <w:r w:rsidR="00EC3EA1">
        <w:rPr>
          <w:rFonts w:ascii="Verdana" w:hAnsi="Verdana"/>
          <w:sz w:val="20"/>
          <w:lang w:val="es-CR"/>
        </w:rPr>
        <w:t>a su</w:t>
      </w:r>
      <w:r w:rsidR="00EC3EA1" w:rsidRPr="00EC3EA1">
        <w:rPr>
          <w:rFonts w:ascii="Verdana" w:hAnsi="Verdana"/>
          <w:sz w:val="20"/>
          <w:lang w:val="es-CR"/>
        </w:rPr>
        <w:t xml:space="preserve"> vida </w:t>
      </w:r>
      <w:r w:rsidR="00EC3EA1">
        <w:rPr>
          <w:rFonts w:ascii="Verdana" w:hAnsi="Verdana"/>
          <w:sz w:val="20"/>
          <w:lang w:val="es-CR"/>
        </w:rPr>
        <w:t>e</w:t>
      </w:r>
      <w:r w:rsidR="00EC3EA1" w:rsidRPr="00EC3EA1">
        <w:rPr>
          <w:rFonts w:ascii="Verdana" w:hAnsi="Verdana"/>
          <w:sz w:val="20"/>
          <w:lang w:val="es-CR"/>
        </w:rPr>
        <w:t xml:space="preserve"> integridad persona</w:t>
      </w:r>
      <w:r w:rsidR="00EC3EA1">
        <w:rPr>
          <w:rFonts w:ascii="Verdana" w:hAnsi="Verdana"/>
          <w:sz w:val="20"/>
          <w:lang w:val="es-CR"/>
        </w:rPr>
        <w:t>l”</w:t>
      </w:r>
      <w:r w:rsidR="00DF480E">
        <w:rPr>
          <w:rFonts w:ascii="Verdana" w:hAnsi="Verdana"/>
          <w:sz w:val="20"/>
          <w:szCs w:val="20"/>
        </w:rPr>
        <w:t>. Indicó que “[l]</w:t>
      </w:r>
      <w:r w:rsidR="00DF480E" w:rsidRPr="00DF480E">
        <w:rPr>
          <w:rFonts w:ascii="Verdana" w:hAnsi="Verdana"/>
          <w:sz w:val="20"/>
          <w:szCs w:val="20"/>
        </w:rPr>
        <w:t>os ataques que hoy se dirige al ex Fiscal Juan Francisco Sandoval</w:t>
      </w:r>
      <w:r w:rsidR="00DF480E">
        <w:rPr>
          <w:rFonts w:ascii="Verdana" w:hAnsi="Verdana"/>
          <w:sz w:val="20"/>
          <w:szCs w:val="20"/>
        </w:rPr>
        <w:t xml:space="preserve">” y “el </w:t>
      </w:r>
      <w:r w:rsidR="00DF480E" w:rsidRPr="00DF480E">
        <w:rPr>
          <w:rFonts w:ascii="Verdana" w:hAnsi="Verdana"/>
          <w:sz w:val="20"/>
          <w:szCs w:val="20"/>
        </w:rPr>
        <w:t>hostigamiento</w:t>
      </w:r>
      <w:r w:rsidR="00DF480E">
        <w:rPr>
          <w:rFonts w:ascii="Verdana" w:hAnsi="Verdana"/>
          <w:sz w:val="20"/>
          <w:szCs w:val="20"/>
        </w:rPr>
        <w:t>”</w:t>
      </w:r>
      <w:r w:rsidR="00DF480E" w:rsidRPr="00DF480E">
        <w:rPr>
          <w:rFonts w:ascii="Verdana" w:hAnsi="Verdana"/>
          <w:sz w:val="20"/>
          <w:szCs w:val="20"/>
        </w:rPr>
        <w:t xml:space="preserve"> tien</w:t>
      </w:r>
      <w:r w:rsidR="00DF480E">
        <w:rPr>
          <w:rFonts w:ascii="Verdana" w:hAnsi="Verdana"/>
          <w:sz w:val="20"/>
          <w:szCs w:val="20"/>
        </w:rPr>
        <w:t>en</w:t>
      </w:r>
      <w:r w:rsidR="00DF480E" w:rsidRPr="00DF480E">
        <w:rPr>
          <w:rFonts w:ascii="Verdana" w:hAnsi="Verdana"/>
          <w:sz w:val="20"/>
          <w:szCs w:val="20"/>
        </w:rPr>
        <w:t xml:space="preserve"> </w:t>
      </w:r>
      <w:r w:rsidR="00DF480E">
        <w:rPr>
          <w:rFonts w:ascii="Verdana" w:hAnsi="Verdana"/>
          <w:sz w:val="20"/>
          <w:szCs w:val="20"/>
        </w:rPr>
        <w:t>“como estrategia deslegitimar y obstaculizar” su labor</w:t>
      </w:r>
      <w:r w:rsidR="00D00DD5" w:rsidRPr="002D083A">
        <w:rPr>
          <w:rFonts w:ascii="Verdana" w:hAnsi="Verdana"/>
          <w:sz w:val="20"/>
          <w:szCs w:val="20"/>
        </w:rPr>
        <w:t xml:space="preserve">, y </w:t>
      </w:r>
      <w:r w:rsidRPr="002D083A">
        <w:rPr>
          <w:rFonts w:ascii="Verdana" w:hAnsi="Verdana"/>
          <w:sz w:val="20"/>
          <w:szCs w:val="20"/>
        </w:rPr>
        <w:t xml:space="preserve">que </w:t>
      </w:r>
      <w:r w:rsidR="002D083A">
        <w:rPr>
          <w:rFonts w:ascii="Verdana" w:hAnsi="Verdana"/>
          <w:sz w:val="20"/>
          <w:szCs w:val="20"/>
        </w:rPr>
        <w:t>su</w:t>
      </w:r>
      <w:r w:rsidRPr="002D083A">
        <w:rPr>
          <w:rFonts w:ascii="Verdana" w:hAnsi="Verdana"/>
          <w:sz w:val="20"/>
          <w:szCs w:val="20"/>
        </w:rPr>
        <w:t xml:space="preserve"> remoción </w:t>
      </w:r>
      <w:r w:rsidR="002D083A">
        <w:rPr>
          <w:rFonts w:ascii="Verdana" w:hAnsi="Verdana"/>
          <w:sz w:val="20"/>
          <w:szCs w:val="20"/>
        </w:rPr>
        <w:t xml:space="preserve">“arbitraria” </w:t>
      </w:r>
      <w:r w:rsidRPr="002D083A">
        <w:rPr>
          <w:rFonts w:ascii="Verdana" w:hAnsi="Verdana"/>
          <w:sz w:val="20"/>
          <w:szCs w:val="20"/>
        </w:rPr>
        <w:t xml:space="preserve">es </w:t>
      </w:r>
      <w:r w:rsidR="002D083A">
        <w:rPr>
          <w:rFonts w:ascii="Verdana" w:hAnsi="Verdana"/>
          <w:sz w:val="20"/>
          <w:szCs w:val="20"/>
        </w:rPr>
        <w:t>“</w:t>
      </w:r>
      <w:r w:rsidRPr="002D083A">
        <w:rPr>
          <w:rFonts w:ascii="Verdana" w:hAnsi="Verdana"/>
          <w:sz w:val="20"/>
          <w:szCs w:val="20"/>
        </w:rPr>
        <w:t>una forma de intimidación y amedrentamiento por el ejercicio independiente de su función”. Además,</w:t>
      </w:r>
      <w:r w:rsidR="00D00DD5" w:rsidRPr="002D083A">
        <w:rPr>
          <w:rFonts w:ascii="Verdana" w:hAnsi="Verdana"/>
          <w:sz w:val="20"/>
          <w:szCs w:val="20"/>
        </w:rPr>
        <w:t xml:space="preserve"> consideró que</w:t>
      </w:r>
      <w:r w:rsidRPr="002D083A">
        <w:rPr>
          <w:rFonts w:ascii="Verdana" w:hAnsi="Verdana"/>
          <w:sz w:val="20"/>
          <w:szCs w:val="20"/>
        </w:rPr>
        <w:t xml:space="preserve"> “otra muestra de intimidación” </w:t>
      </w:r>
      <w:r w:rsidR="00D00DD5" w:rsidRPr="002D083A">
        <w:rPr>
          <w:rFonts w:ascii="Verdana" w:hAnsi="Verdana"/>
          <w:sz w:val="20"/>
          <w:szCs w:val="20"/>
        </w:rPr>
        <w:t xml:space="preserve">fue el </w:t>
      </w:r>
      <w:r w:rsidRPr="002D083A">
        <w:rPr>
          <w:rFonts w:ascii="Verdana" w:hAnsi="Verdana"/>
          <w:sz w:val="20"/>
          <w:szCs w:val="20"/>
        </w:rPr>
        <w:t xml:space="preserve">apersonamiento del </w:t>
      </w:r>
      <w:proofErr w:type="gramStart"/>
      <w:r w:rsidRPr="002D083A">
        <w:rPr>
          <w:rFonts w:ascii="Verdana" w:hAnsi="Verdana"/>
          <w:sz w:val="20"/>
          <w:szCs w:val="20"/>
        </w:rPr>
        <w:t>Ministro</w:t>
      </w:r>
      <w:proofErr w:type="gramEnd"/>
      <w:r w:rsidRPr="002D083A">
        <w:rPr>
          <w:rFonts w:ascii="Verdana" w:hAnsi="Verdana"/>
          <w:sz w:val="20"/>
          <w:szCs w:val="20"/>
        </w:rPr>
        <w:t xml:space="preserve"> de Gobernación y el </w:t>
      </w:r>
      <w:r w:rsidR="00D00DD5" w:rsidRPr="002D083A">
        <w:rPr>
          <w:rFonts w:ascii="Verdana" w:hAnsi="Verdana"/>
          <w:sz w:val="20"/>
          <w:szCs w:val="20"/>
        </w:rPr>
        <w:t>J</w:t>
      </w:r>
      <w:r w:rsidRPr="002D083A">
        <w:rPr>
          <w:rFonts w:ascii="Verdana" w:hAnsi="Verdana"/>
          <w:sz w:val="20"/>
          <w:szCs w:val="20"/>
        </w:rPr>
        <w:t xml:space="preserve">efe de la Policía ante la Procuraduría de </w:t>
      </w:r>
      <w:r w:rsidR="00365DA7" w:rsidRPr="002D083A">
        <w:rPr>
          <w:rFonts w:ascii="Verdana" w:hAnsi="Verdana"/>
          <w:sz w:val="20"/>
          <w:szCs w:val="20"/>
        </w:rPr>
        <w:t xml:space="preserve">los </w:t>
      </w:r>
      <w:r w:rsidRPr="002D083A">
        <w:rPr>
          <w:rFonts w:ascii="Verdana" w:hAnsi="Verdana"/>
          <w:sz w:val="20"/>
          <w:szCs w:val="20"/>
        </w:rPr>
        <w:t>Derec</w:t>
      </w:r>
      <w:r w:rsidR="003B2F78">
        <w:rPr>
          <w:rFonts w:ascii="Verdana" w:hAnsi="Verdana"/>
          <w:sz w:val="20"/>
          <w:szCs w:val="20"/>
        </w:rPr>
        <w:t>hos Humanos para “supuestamente</w:t>
      </w:r>
      <w:r w:rsidR="00EC3EA1" w:rsidRPr="002D083A">
        <w:rPr>
          <w:rFonts w:ascii="Verdana" w:hAnsi="Verdana"/>
          <w:sz w:val="20"/>
          <w:szCs w:val="20"/>
        </w:rPr>
        <w:t xml:space="preserve"> </w:t>
      </w:r>
      <w:r w:rsidRPr="002D083A">
        <w:rPr>
          <w:rFonts w:ascii="Verdana" w:hAnsi="Verdana"/>
          <w:sz w:val="20"/>
          <w:szCs w:val="20"/>
        </w:rPr>
        <w:t>ofrecerle protección</w:t>
      </w:r>
      <w:r w:rsidR="00D00DD5" w:rsidRPr="002D083A">
        <w:rPr>
          <w:rFonts w:ascii="Verdana" w:hAnsi="Verdana"/>
          <w:sz w:val="20"/>
          <w:szCs w:val="20"/>
        </w:rPr>
        <w:t xml:space="preserve">” </w:t>
      </w:r>
      <w:r w:rsidRPr="002D083A">
        <w:rPr>
          <w:rFonts w:ascii="Verdana" w:hAnsi="Verdana"/>
          <w:sz w:val="20"/>
          <w:szCs w:val="20"/>
        </w:rPr>
        <w:t xml:space="preserve">al </w:t>
      </w:r>
      <w:r w:rsidR="00D00DD5" w:rsidRPr="002D083A">
        <w:rPr>
          <w:rFonts w:ascii="Verdana" w:hAnsi="Verdana"/>
          <w:sz w:val="20"/>
          <w:szCs w:val="20"/>
        </w:rPr>
        <w:t>señor Sandoval</w:t>
      </w:r>
      <w:r w:rsidR="002D083A">
        <w:rPr>
          <w:rFonts w:ascii="Verdana" w:hAnsi="Verdana"/>
          <w:sz w:val="20"/>
          <w:szCs w:val="20"/>
        </w:rPr>
        <w:t xml:space="preserve">. Por último, </w:t>
      </w:r>
      <w:r w:rsidR="002D083A" w:rsidRPr="002D083A">
        <w:rPr>
          <w:rFonts w:ascii="Verdana" w:hAnsi="Verdana"/>
          <w:sz w:val="20"/>
          <w:lang w:val="es-CR"/>
        </w:rPr>
        <w:t>reiter</w:t>
      </w:r>
      <w:r w:rsidR="003B2F78">
        <w:rPr>
          <w:rFonts w:ascii="Verdana" w:hAnsi="Verdana"/>
          <w:sz w:val="20"/>
          <w:lang w:val="es-CR"/>
        </w:rPr>
        <w:t>ó</w:t>
      </w:r>
      <w:r w:rsidR="002D083A" w:rsidRPr="002D083A">
        <w:rPr>
          <w:rFonts w:ascii="Verdana" w:hAnsi="Verdana"/>
          <w:sz w:val="20"/>
          <w:lang w:val="es-CR"/>
        </w:rPr>
        <w:t xml:space="preserve"> la competencia de</w:t>
      </w:r>
      <w:r w:rsidR="002D083A">
        <w:rPr>
          <w:rFonts w:ascii="Verdana" w:hAnsi="Verdana"/>
          <w:sz w:val="20"/>
          <w:lang w:val="es-CR"/>
        </w:rPr>
        <w:t xml:space="preserve"> la Corte para otorgar</w:t>
      </w:r>
      <w:r w:rsidR="002D083A" w:rsidRPr="002D083A">
        <w:rPr>
          <w:rFonts w:ascii="Verdana" w:hAnsi="Verdana"/>
          <w:sz w:val="20"/>
          <w:lang w:val="es-CR"/>
        </w:rPr>
        <w:t xml:space="preserve"> </w:t>
      </w:r>
      <w:r w:rsidR="002D083A">
        <w:rPr>
          <w:rFonts w:ascii="Verdana" w:hAnsi="Verdana"/>
          <w:sz w:val="20"/>
          <w:lang w:val="es-CR"/>
        </w:rPr>
        <w:t>“</w:t>
      </w:r>
      <w:r w:rsidR="002D083A" w:rsidRPr="002D083A">
        <w:rPr>
          <w:rFonts w:ascii="Verdana" w:hAnsi="Verdana"/>
          <w:sz w:val="20"/>
          <w:lang w:val="es-CR"/>
        </w:rPr>
        <w:t>las medidas solicitadas</w:t>
      </w:r>
      <w:r w:rsidR="002D083A">
        <w:rPr>
          <w:rFonts w:ascii="Verdana" w:hAnsi="Verdana"/>
          <w:sz w:val="20"/>
          <w:lang w:val="es-CR"/>
        </w:rPr>
        <w:t>”.</w:t>
      </w:r>
    </w:p>
    <w:p w14:paraId="7505C8DA" w14:textId="77777777" w:rsidR="009F28BC" w:rsidRPr="00D00DD5" w:rsidRDefault="0086736E" w:rsidP="005D370D">
      <w:pPr>
        <w:spacing w:before="120" w:after="120"/>
        <w:ind w:left="567"/>
        <w:jc w:val="both"/>
        <w:rPr>
          <w:rFonts w:ascii="Verdana" w:eastAsiaTheme="minorHAnsi" w:hAnsi="Verdana" w:cs="Verdana"/>
          <w:i/>
          <w:sz w:val="20"/>
          <w:szCs w:val="20"/>
          <w:lang w:val="es-CR"/>
        </w:rPr>
      </w:pPr>
      <w:r w:rsidRPr="00D00DD5">
        <w:rPr>
          <w:rFonts w:ascii="Verdana" w:eastAsiaTheme="minorHAnsi" w:hAnsi="Verdana" w:cs="ArialMT"/>
          <w:b/>
          <w:i/>
          <w:sz w:val="20"/>
          <w:szCs w:val="20"/>
          <w:lang w:val="es-CR"/>
        </w:rPr>
        <w:t xml:space="preserve">D) </w:t>
      </w:r>
      <w:r w:rsidR="009F28BC" w:rsidRPr="00D00DD5">
        <w:rPr>
          <w:rFonts w:ascii="Verdana" w:hAnsi="Verdana"/>
          <w:b/>
          <w:i/>
          <w:sz w:val="20"/>
          <w:szCs w:val="20"/>
        </w:rPr>
        <w:t>Observaciones del Estado</w:t>
      </w:r>
    </w:p>
    <w:p w14:paraId="79F741B6" w14:textId="02939608" w:rsidR="009F28BC" w:rsidRPr="00B660E9" w:rsidRDefault="000D2845" w:rsidP="00E5585B">
      <w:pPr>
        <w:numPr>
          <w:ilvl w:val="0"/>
          <w:numId w:val="2"/>
        </w:numPr>
        <w:spacing w:before="120" w:after="120"/>
        <w:ind w:left="0" w:firstLine="0"/>
        <w:jc w:val="both"/>
        <w:rPr>
          <w:rFonts w:ascii="Verdana" w:eastAsiaTheme="minorHAnsi" w:hAnsi="Verdana" w:cs="Verdana"/>
          <w:sz w:val="20"/>
          <w:szCs w:val="20"/>
          <w:lang w:val="es-CR"/>
        </w:rPr>
      </w:pPr>
      <w:r w:rsidRPr="00D00DD5">
        <w:rPr>
          <w:rFonts w:ascii="Verdana" w:hAnsi="Verdana"/>
          <w:sz w:val="20"/>
          <w:szCs w:val="20"/>
          <w:lang w:val="es-CR"/>
        </w:rPr>
        <w:t>En su escrito</w:t>
      </w:r>
      <w:r w:rsidRPr="00B660E9">
        <w:rPr>
          <w:rFonts w:ascii="Verdana" w:hAnsi="Verdana"/>
          <w:sz w:val="20"/>
          <w:szCs w:val="20"/>
          <w:lang w:val="es-CR"/>
        </w:rPr>
        <w:t xml:space="preserve"> de observaciones de</w:t>
      </w:r>
      <w:r w:rsidR="00C03299" w:rsidRPr="00B660E9">
        <w:rPr>
          <w:rFonts w:ascii="Verdana" w:hAnsi="Verdana"/>
          <w:sz w:val="20"/>
          <w:szCs w:val="20"/>
          <w:lang w:val="es-CR"/>
        </w:rPr>
        <w:t xml:space="preserve"> 5 de agosto de 2021</w:t>
      </w:r>
      <w:r w:rsidR="00447B7C">
        <w:rPr>
          <w:rFonts w:ascii="Verdana" w:hAnsi="Verdana"/>
          <w:sz w:val="20"/>
          <w:szCs w:val="20"/>
          <w:lang w:val="es-CR"/>
        </w:rPr>
        <w:t>,</w:t>
      </w:r>
      <w:r w:rsidRPr="00B660E9">
        <w:rPr>
          <w:rFonts w:ascii="Verdana" w:hAnsi="Verdana"/>
          <w:sz w:val="20"/>
          <w:szCs w:val="20"/>
          <w:lang w:val="es-CR"/>
        </w:rPr>
        <w:t xml:space="preserve"> el Estado solicit</w:t>
      </w:r>
      <w:r w:rsidR="00C03299" w:rsidRPr="00B660E9">
        <w:rPr>
          <w:rFonts w:ascii="Verdana" w:hAnsi="Verdana"/>
          <w:sz w:val="20"/>
          <w:szCs w:val="20"/>
          <w:lang w:val="es-CR"/>
        </w:rPr>
        <w:t xml:space="preserve">ó la desestimación </w:t>
      </w:r>
      <w:r w:rsidR="009C4ABF" w:rsidRPr="00B660E9">
        <w:rPr>
          <w:rFonts w:ascii="Verdana" w:hAnsi="Verdana"/>
          <w:sz w:val="20"/>
          <w:szCs w:val="20"/>
          <w:lang w:val="es-CR"/>
        </w:rPr>
        <w:t xml:space="preserve">e improcedencia </w:t>
      </w:r>
      <w:r w:rsidR="00C03299" w:rsidRPr="00B660E9">
        <w:rPr>
          <w:rFonts w:ascii="Verdana" w:hAnsi="Verdana" w:cs="Arial"/>
          <w:sz w:val="20"/>
          <w:szCs w:val="20"/>
          <w:lang w:val="es-CR"/>
        </w:rPr>
        <w:t>de la solicitud de medidas provisionales</w:t>
      </w:r>
      <w:r w:rsidR="004F4E04" w:rsidRPr="00B660E9">
        <w:rPr>
          <w:rFonts w:ascii="Verdana" w:hAnsi="Verdana" w:cs="Arial"/>
          <w:sz w:val="20"/>
          <w:szCs w:val="20"/>
          <w:lang w:val="es-CR"/>
        </w:rPr>
        <w:t xml:space="preserve"> sobre la base de los siguientes argumentos:</w:t>
      </w:r>
      <w:r w:rsidR="00C03299" w:rsidRPr="00B660E9">
        <w:rPr>
          <w:rFonts w:ascii="Verdana" w:hAnsi="Verdana" w:cs="Arial"/>
          <w:sz w:val="20"/>
          <w:szCs w:val="20"/>
          <w:lang w:val="es-CR"/>
        </w:rPr>
        <w:t xml:space="preserve"> i) </w:t>
      </w:r>
      <w:r w:rsidR="002C5D4F" w:rsidRPr="00B660E9">
        <w:rPr>
          <w:rFonts w:ascii="Verdana" w:hAnsi="Verdana" w:cs="Arial"/>
          <w:sz w:val="20"/>
          <w:szCs w:val="20"/>
          <w:lang w:val="es-CR"/>
        </w:rPr>
        <w:t xml:space="preserve">las </w:t>
      </w:r>
      <w:r w:rsidR="001C2275" w:rsidRPr="00B660E9">
        <w:rPr>
          <w:rFonts w:ascii="Verdana" w:hAnsi="Verdana" w:cs="Arial"/>
          <w:sz w:val="20"/>
          <w:szCs w:val="20"/>
          <w:lang w:val="es-CR"/>
        </w:rPr>
        <w:t xml:space="preserve">acciones </w:t>
      </w:r>
      <w:r w:rsidR="002C5D4F" w:rsidRPr="00B660E9">
        <w:rPr>
          <w:rFonts w:ascii="Verdana" w:hAnsi="Verdana" w:cs="Arial"/>
          <w:sz w:val="20"/>
          <w:szCs w:val="20"/>
          <w:lang w:val="es-CR"/>
        </w:rPr>
        <w:t xml:space="preserve">realizadas </w:t>
      </w:r>
      <w:r w:rsidR="001C2275" w:rsidRPr="00B660E9">
        <w:rPr>
          <w:rFonts w:ascii="Verdana" w:hAnsi="Verdana" w:cs="Arial"/>
          <w:sz w:val="20"/>
          <w:szCs w:val="20"/>
          <w:lang w:val="es-CR"/>
        </w:rPr>
        <w:t xml:space="preserve">para </w:t>
      </w:r>
      <w:r w:rsidR="002C5D4F" w:rsidRPr="00B660E9">
        <w:rPr>
          <w:rFonts w:ascii="Verdana" w:hAnsi="Verdana" w:cs="Arial"/>
          <w:sz w:val="20"/>
          <w:szCs w:val="20"/>
          <w:lang w:val="es-CR"/>
        </w:rPr>
        <w:t>“</w:t>
      </w:r>
      <w:r w:rsidR="001C2275" w:rsidRPr="00B660E9">
        <w:rPr>
          <w:rFonts w:ascii="Verdana" w:hAnsi="Verdana" w:cs="Arial"/>
          <w:sz w:val="20"/>
          <w:szCs w:val="20"/>
          <w:lang w:val="es-CR"/>
        </w:rPr>
        <w:t>garantizar la seguridad</w:t>
      </w:r>
      <w:r w:rsidR="002C5D4F" w:rsidRPr="00B660E9">
        <w:rPr>
          <w:rFonts w:ascii="Verdana" w:hAnsi="Verdana" w:cs="Arial"/>
          <w:sz w:val="20"/>
          <w:szCs w:val="20"/>
          <w:lang w:val="es-CR"/>
        </w:rPr>
        <w:t xml:space="preserve">, vida e integridad personal” del </w:t>
      </w:r>
      <w:r w:rsidR="002C5D4F" w:rsidRPr="00B660E9">
        <w:rPr>
          <w:rFonts w:ascii="Verdana" w:hAnsi="Verdana"/>
          <w:sz w:val="20"/>
          <w:szCs w:val="20"/>
          <w:lang w:val="es-CR"/>
        </w:rPr>
        <w:t>ex Fiscal Juan Francisco Sandoval Alfaro,</w:t>
      </w:r>
      <w:r w:rsidR="001C2275" w:rsidRPr="00B660E9">
        <w:rPr>
          <w:rFonts w:ascii="Verdana" w:hAnsi="Verdana" w:cs="Arial"/>
          <w:sz w:val="20"/>
          <w:szCs w:val="20"/>
          <w:lang w:val="es-CR"/>
        </w:rPr>
        <w:t xml:space="preserve"> del Fiscal “B” y del Auxiliar Fiscal “C”</w:t>
      </w:r>
      <w:r w:rsidR="002C5D4F" w:rsidRPr="00B660E9">
        <w:rPr>
          <w:rFonts w:ascii="Verdana" w:hAnsi="Verdana" w:cs="Arial"/>
          <w:sz w:val="20"/>
          <w:szCs w:val="20"/>
          <w:lang w:val="es-CR"/>
        </w:rPr>
        <w:t>;</w:t>
      </w:r>
      <w:r w:rsidR="004F4E04" w:rsidRPr="00B660E9">
        <w:rPr>
          <w:rFonts w:ascii="Verdana" w:eastAsiaTheme="minorHAnsi" w:hAnsi="Verdana" w:cs="Verdana"/>
          <w:sz w:val="20"/>
          <w:szCs w:val="20"/>
          <w:lang w:val="es-CR"/>
        </w:rPr>
        <w:t xml:space="preserve"> </w:t>
      </w:r>
      <w:proofErr w:type="spellStart"/>
      <w:r w:rsidR="004F4E04" w:rsidRPr="00B660E9">
        <w:rPr>
          <w:rFonts w:ascii="Verdana" w:eastAsiaTheme="minorHAnsi" w:hAnsi="Verdana" w:cs="Verdana"/>
          <w:sz w:val="20"/>
          <w:szCs w:val="20"/>
          <w:lang w:val="es-CR"/>
        </w:rPr>
        <w:t>ii</w:t>
      </w:r>
      <w:proofErr w:type="spellEnd"/>
      <w:r w:rsidR="004F4E04" w:rsidRPr="00B660E9">
        <w:rPr>
          <w:rFonts w:ascii="Verdana" w:eastAsiaTheme="minorHAnsi" w:hAnsi="Verdana" w:cs="Verdana"/>
          <w:sz w:val="20"/>
          <w:szCs w:val="20"/>
          <w:lang w:val="es-CR"/>
        </w:rPr>
        <w:t xml:space="preserve">) “la falta de </w:t>
      </w:r>
      <w:r w:rsidR="00C03299" w:rsidRPr="00B660E9">
        <w:rPr>
          <w:rFonts w:ascii="Verdana" w:hAnsi="Verdana" w:cs="Arial"/>
          <w:sz w:val="20"/>
          <w:szCs w:val="20"/>
          <w:lang w:val="es-CR"/>
        </w:rPr>
        <w:t>legitimación</w:t>
      </w:r>
      <w:r w:rsidR="00483D66">
        <w:rPr>
          <w:rFonts w:ascii="Verdana" w:hAnsi="Verdana" w:cs="Arial"/>
          <w:sz w:val="20"/>
          <w:szCs w:val="20"/>
          <w:lang w:val="es-CR"/>
        </w:rPr>
        <w:t xml:space="preserve"> de la</w:t>
      </w:r>
      <w:r w:rsidR="004F4E04" w:rsidRPr="00B660E9">
        <w:rPr>
          <w:rFonts w:ascii="Verdana" w:hAnsi="Verdana" w:cs="Arial"/>
          <w:sz w:val="20"/>
          <w:szCs w:val="20"/>
          <w:lang w:val="es-CR"/>
        </w:rPr>
        <w:t>s representantes de las víctimas y la preclusión del momento procesal para solicitar las medidas provisionales”</w:t>
      </w:r>
      <w:r w:rsidR="000B463C" w:rsidRPr="00B660E9">
        <w:rPr>
          <w:rFonts w:ascii="Verdana" w:hAnsi="Verdana" w:cs="Arial"/>
          <w:sz w:val="20"/>
          <w:szCs w:val="20"/>
          <w:lang w:val="es-CR"/>
        </w:rPr>
        <w:t xml:space="preserve">, y </w:t>
      </w:r>
      <w:proofErr w:type="spellStart"/>
      <w:r w:rsidR="004F4E04" w:rsidRPr="00B660E9">
        <w:rPr>
          <w:rFonts w:ascii="Verdana" w:hAnsi="Verdana" w:cs="Arial"/>
          <w:sz w:val="20"/>
          <w:szCs w:val="20"/>
          <w:lang w:val="es-CR"/>
        </w:rPr>
        <w:t>i</w:t>
      </w:r>
      <w:r w:rsidR="000B463C" w:rsidRPr="00B660E9">
        <w:rPr>
          <w:rFonts w:ascii="Verdana" w:hAnsi="Verdana" w:cs="Arial"/>
          <w:sz w:val="20"/>
          <w:szCs w:val="20"/>
          <w:lang w:val="es-CR"/>
        </w:rPr>
        <w:t>i</w:t>
      </w:r>
      <w:r w:rsidR="00C03299" w:rsidRPr="00B660E9">
        <w:rPr>
          <w:rFonts w:ascii="Verdana" w:hAnsi="Verdana" w:cs="Arial"/>
          <w:sz w:val="20"/>
          <w:szCs w:val="20"/>
          <w:lang w:val="es-CR"/>
        </w:rPr>
        <w:t>i</w:t>
      </w:r>
      <w:proofErr w:type="spellEnd"/>
      <w:r w:rsidR="00C03299" w:rsidRPr="00B660E9">
        <w:rPr>
          <w:rFonts w:ascii="Verdana" w:hAnsi="Verdana" w:cs="Arial"/>
          <w:sz w:val="20"/>
          <w:szCs w:val="20"/>
          <w:lang w:val="es-CR"/>
        </w:rPr>
        <w:t xml:space="preserve">) </w:t>
      </w:r>
      <w:r w:rsidR="009C4ABF" w:rsidRPr="00B660E9">
        <w:rPr>
          <w:rFonts w:ascii="Verdana" w:hAnsi="Verdana" w:cs="Arial"/>
          <w:sz w:val="20"/>
          <w:szCs w:val="20"/>
          <w:lang w:val="es-CR"/>
        </w:rPr>
        <w:t xml:space="preserve">“los solicitantes no han probado </w:t>
      </w:r>
      <w:r w:rsidR="009C4ABF" w:rsidRPr="00B660E9">
        <w:rPr>
          <w:rFonts w:ascii="Verdana" w:hAnsi="Verdana" w:cs="Arial"/>
          <w:i/>
          <w:iCs/>
          <w:sz w:val="20"/>
          <w:szCs w:val="20"/>
          <w:lang w:val="es-CR"/>
        </w:rPr>
        <w:t xml:space="preserve">prima facie </w:t>
      </w:r>
      <w:r w:rsidR="009C4ABF" w:rsidRPr="00B660E9">
        <w:rPr>
          <w:rFonts w:ascii="Verdana" w:hAnsi="Verdana" w:cs="Arial"/>
          <w:sz w:val="20"/>
          <w:szCs w:val="20"/>
          <w:lang w:val="es-CR"/>
        </w:rPr>
        <w:t xml:space="preserve">los elementos </w:t>
      </w:r>
      <w:r w:rsidR="00C03299" w:rsidRPr="00B660E9">
        <w:rPr>
          <w:rFonts w:ascii="Verdana" w:hAnsi="Verdana" w:cs="Arial"/>
          <w:sz w:val="20"/>
          <w:szCs w:val="20"/>
          <w:lang w:val="es-CR"/>
        </w:rPr>
        <w:t>de extrema gravedad, urgencia y daño irreparable</w:t>
      </w:r>
      <w:r w:rsidR="002B6D8C" w:rsidRPr="00B660E9">
        <w:rPr>
          <w:rFonts w:ascii="Verdana" w:hAnsi="Verdana" w:cs="Arial"/>
          <w:sz w:val="20"/>
          <w:szCs w:val="20"/>
          <w:lang w:val="es-CR"/>
        </w:rPr>
        <w:t>”</w:t>
      </w:r>
      <w:r w:rsidR="00534A05" w:rsidRPr="00B660E9">
        <w:rPr>
          <w:rFonts w:ascii="Verdana" w:hAnsi="Verdana" w:cs="Arial"/>
          <w:sz w:val="20"/>
          <w:szCs w:val="20"/>
          <w:lang w:val="es-CR"/>
        </w:rPr>
        <w:t>.</w:t>
      </w:r>
    </w:p>
    <w:p w14:paraId="1DA0E053" w14:textId="25BE6E62" w:rsidR="00E43DD8" w:rsidRPr="00B660E9" w:rsidRDefault="00534A05" w:rsidP="00E5585B">
      <w:pPr>
        <w:numPr>
          <w:ilvl w:val="0"/>
          <w:numId w:val="2"/>
        </w:numPr>
        <w:spacing w:before="120" w:after="120"/>
        <w:ind w:left="0" w:firstLine="0"/>
        <w:jc w:val="both"/>
        <w:rPr>
          <w:rFonts w:ascii="Verdana" w:eastAsiaTheme="minorHAnsi" w:hAnsi="Verdana" w:cs="Verdana"/>
          <w:sz w:val="20"/>
          <w:szCs w:val="20"/>
          <w:lang w:val="es-CR"/>
        </w:rPr>
      </w:pPr>
      <w:r w:rsidRPr="00B660E9">
        <w:rPr>
          <w:rFonts w:ascii="Verdana" w:hAnsi="Verdana"/>
          <w:sz w:val="20"/>
          <w:szCs w:val="20"/>
          <w:lang w:val="es-CR"/>
        </w:rPr>
        <w:t xml:space="preserve">En cuanto a </w:t>
      </w:r>
      <w:r w:rsidR="00E0505E" w:rsidRPr="00B660E9">
        <w:rPr>
          <w:rFonts w:ascii="Verdana" w:hAnsi="Verdana"/>
          <w:sz w:val="20"/>
          <w:szCs w:val="20"/>
          <w:lang w:val="es-CR"/>
        </w:rPr>
        <w:t>las acciones realizadas para “garantizar la seguridad, vida e integrid</w:t>
      </w:r>
      <w:r w:rsidR="00DF3842" w:rsidRPr="00B660E9">
        <w:rPr>
          <w:rFonts w:ascii="Verdana" w:hAnsi="Verdana"/>
          <w:sz w:val="20"/>
          <w:szCs w:val="20"/>
          <w:lang w:val="es-CR"/>
        </w:rPr>
        <w:t>ad personal</w:t>
      </w:r>
      <w:r w:rsidR="00E73B59" w:rsidRPr="00B660E9">
        <w:rPr>
          <w:rFonts w:ascii="Verdana" w:hAnsi="Verdana"/>
          <w:sz w:val="20"/>
          <w:szCs w:val="20"/>
          <w:lang w:val="es-CR"/>
        </w:rPr>
        <w:t>”</w:t>
      </w:r>
      <w:r w:rsidR="002C5D4F" w:rsidRPr="00B660E9">
        <w:rPr>
          <w:rFonts w:ascii="Verdana" w:hAnsi="Verdana"/>
          <w:sz w:val="20"/>
          <w:szCs w:val="20"/>
          <w:lang w:val="es-CR"/>
        </w:rPr>
        <w:t xml:space="preserve"> del ex F</w:t>
      </w:r>
      <w:r w:rsidR="00DF3842" w:rsidRPr="00B660E9">
        <w:rPr>
          <w:rFonts w:ascii="Verdana" w:hAnsi="Verdana"/>
          <w:sz w:val="20"/>
          <w:szCs w:val="20"/>
          <w:lang w:val="es-CR"/>
        </w:rPr>
        <w:t>iscal Juan Francisco Sandoval Alfaro, del F</w:t>
      </w:r>
      <w:r w:rsidR="00E0505E" w:rsidRPr="00B660E9">
        <w:rPr>
          <w:rFonts w:ascii="Verdana" w:hAnsi="Verdana"/>
          <w:sz w:val="20"/>
          <w:szCs w:val="20"/>
          <w:lang w:val="es-CR"/>
        </w:rPr>
        <w:t xml:space="preserve">iscal </w:t>
      </w:r>
      <w:r w:rsidRPr="00B660E9">
        <w:rPr>
          <w:rFonts w:ascii="Verdana" w:hAnsi="Verdana"/>
          <w:sz w:val="20"/>
          <w:szCs w:val="20"/>
          <w:lang w:val="es-CR"/>
        </w:rPr>
        <w:t>“B”</w:t>
      </w:r>
      <w:r w:rsidR="00DF3842" w:rsidRPr="00B660E9">
        <w:rPr>
          <w:rFonts w:ascii="Verdana" w:hAnsi="Verdana"/>
          <w:sz w:val="20"/>
          <w:szCs w:val="20"/>
          <w:lang w:val="es-CR"/>
        </w:rPr>
        <w:t xml:space="preserve"> y del Auxiliar F</w:t>
      </w:r>
      <w:r w:rsidR="00E0505E" w:rsidRPr="00B660E9">
        <w:rPr>
          <w:rFonts w:ascii="Verdana" w:hAnsi="Verdana"/>
          <w:sz w:val="20"/>
          <w:szCs w:val="20"/>
          <w:lang w:val="es-CR"/>
        </w:rPr>
        <w:t xml:space="preserve">iscal </w:t>
      </w:r>
      <w:r w:rsidRPr="00B660E9">
        <w:rPr>
          <w:rFonts w:ascii="Verdana" w:hAnsi="Verdana"/>
          <w:sz w:val="20"/>
          <w:szCs w:val="20"/>
          <w:lang w:val="es-CR"/>
        </w:rPr>
        <w:t>“C”</w:t>
      </w:r>
      <w:r w:rsidR="00E0505E" w:rsidRPr="00B660E9">
        <w:rPr>
          <w:rFonts w:ascii="Verdana" w:hAnsi="Verdana"/>
          <w:sz w:val="20"/>
          <w:szCs w:val="20"/>
          <w:lang w:val="es-CR"/>
        </w:rPr>
        <w:t>,</w:t>
      </w:r>
      <w:r w:rsidRPr="00B660E9">
        <w:rPr>
          <w:rFonts w:ascii="Verdana" w:hAnsi="Verdana"/>
          <w:sz w:val="20"/>
          <w:szCs w:val="20"/>
          <w:lang w:val="es-CR"/>
        </w:rPr>
        <w:t xml:space="preserve"> </w:t>
      </w:r>
      <w:r w:rsidR="009A799C" w:rsidRPr="00B660E9">
        <w:rPr>
          <w:rFonts w:ascii="Verdana" w:hAnsi="Verdana"/>
          <w:sz w:val="20"/>
          <w:szCs w:val="20"/>
          <w:lang w:val="es-CR"/>
        </w:rPr>
        <w:t>explicó que dichas personas cuenta</w:t>
      </w:r>
      <w:r w:rsidR="002C5D4F" w:rsidRPr="00B660E9">
        <w:rPr>
          <w:rFonts w:ascii="Verdana" w:hAnsi="Verdana"/>
          <w:sz w:val="20"/>
          <w:szCs w:val="20"/>
          <w:lang w:val="es-CR"/>
        </w:rPr>
        <w:t>n</w:t>
      </w:r>
      <w:r w:rsidR="009A799C" w:rsidRPr="00B660E9">
        <w:rPr>
          <w:rFonts w:ascii="Verdana" w:hAnsi="Verdana"/>
          <w:sz w:val="20"/>
          <w:szCs w:val="20"/>
          <w:lang w:val="es-CR"/>
        </w:rPr>
        <w:t xml:space="preserve"> con esquemas de seguridad, </w:t>
      </w:r>
      <w:r w:rsidR="002C5D4F" w:rsidRPr="00B660E9">
        <w:rPr>
          <w:rFonts w:ascii="Verdana" w:hAnsi="Verdana"/>
          <w:sz w:val="20"/>
          <w:szCs w:val="20"/>
          <w:lang w:val="es-CR"/>
        </w:rPr>
        <w:t xml:space="preserve">y que </w:t>
      </w:r>
      <w:r w:rsidR="009A799C" w:rsidRPr="00B660E9">
        <w:rPr>
          <w:rFonts w:ascii="Verdana" w:hAnsi="Verdana"/>
          <w:sz w:val="20"/>
          <w:szCs w:val="20"/>
          <w:lang w:val="es-CR"/>
        </w:rPr>
        <w:t>en el mes de julio de 2020 se realizó</w:t>
      </w:r>
      <w:r w:rsidR="00E73B59" w:rsidRPr="00B660E9">
        <w:rPr>
          <w:rFonts w:ascii="Verdana" w:hAnsi="Verdana"/>
          <w:sz w:val="20"/>
          <w:szCs w:val="20"/>
          <w:lang w:val="es-CR"/>
        </w:rPr>
        <w:t xml:space="preserve"> </w:t>
      </w:r>
      <w:r w:rsidR="00E46042">
        <w:rPr>
          <w:rFonts w:ascii="Verdana" w:hAnsi="Verdana"/>
          <w:sz w:val="20"/>
          <w:szCs w:val="20"/>
          <w:lang w:val="es-CR"/>
        </w:rPr>
        <w:t>a</w:t>
      </w:r>
      <w:r w:rsidR="00E73B59" w:rsidRPr="00B660E9">
        <w:rPr>
          <w:rFonts w:ascii="Verdana" w:hAnsi="Verdana"/>
          <w:sz w:val="20"/>
          <w:szCs w:val="20"/>
          <w:lang w:val="es-CR"/>
        </w:rPr>
        <w:t xml:space="preserve"> “B” y “C”, respectivamente,</w:t>
      </w:r>
      <w:r w:rsidR="009A799C" w:rsidRPr="00B660E9">
        <w:rPr>
          <w:rFonts w:ascii="Verdana" w:hAnsi="Verdana"/>
          <w:sz w:val="20"/>
          <w:szCs w:val="20"/>
          <w:lang w:val="es-CR"/>
        </w:rPr>
        <w:t xml:space="preserve"> un </w:t>
      </w:r>
      <w:r w:rsidR="00E73B59" w:rsidRPr="00B660E9">
        <w:rPr>
          <w:rFonts w:ascii="Verdana" w:hAnsi="Verdana"/>
          <w:sz w:val="20"/>
          <w:szCs w:val="20"/>
          <w:lang w:val="es-CR"/>
        </w:rPr>
        <w:t xml:space="preserve">nuevo </w:t>
      </w:r>
      <w:r w:rsidR="009A799C" w:rsidRPr="00B660E9">
        <w:rPr>
          <w:rFonts w:ascii="Verdana" w:hAnsi="Verdana"/>
          <w:sz w:val="20"/>
          <w:szCs w:val="20"/>
          <w:lang w:val="es-CR"/>
        </w:rPr>
        <w:t>informe de riesgo</w:t>
      </w:r>
      <w:r w:rsidR="002C5D4F" w:rsidRPr="00B660E9">
        <w:rPr>
          <w:rFonts w:ascii="Verdana" w:hAnsi="Verdana"/>
          <w:sz w:val="20"/>
          <w:szCs w:val="20"/>
          <w:lang w:val="es-CR"/>
        </w:rPr>
        <w:t>. T</w:t>
      </w:r>
      <w:r w:rsidR="009A799C" w:rsidRPr="00B660E9">
        <w:rPr>
          <w:rFonts w:ascii="Verdana" w:hAnsi="Verdana"/>
          <w:sz w:val="20"/>
          <w:szCs w:val="20"/>
          <w:lang w:val="es-CR"/>
        </w:rPr>
        <w:t xml:space="preserve">ales acciones </w:t>
      </w:r>
      <w:r w:rsidR="00E0505E" w:rsidRPr="00B660E9">
        <w:rPr>
          <w:rFonts w:ascii="Verdana" w:hAnsi="Verdana"/>
          <w:sz w:val="20"/>
          <w:szCs w:val="20"/>
          <w:lang w:val="es-CR"/>
        </w:rPr>
        <w:t>son para que</w:t>
      </w:r>
      <w:r w:rsidR="009A799C" w:rsidRPr="00B660E9">
        <w:rPr>
          <w:rFonts w:ascii="Verdana" w:hAnsi="Verdana"/>
          <w:sz w:val="20"/>
          <w:szCs w:val="20"/>
          <w:lang w:val="es-CR"/>
        </w:rPr>
        <w:t xml:space="preserve"> aquellos</w:t>
      </w:r>
      <w:r w:rsidR="00E0505E" w:rsidRPr="00B660E9">
        <w:rPr>
          <w:rFonts w:ascii="Verdana" w:hAnsi="Verdana"/>
          <w:sz w:val="20"/>
          <w:szCs w:val="20"/>
          <w:lang w:val="es-CR"/>
        </w:rPr>
        <w:t xml:space="preserve"> “ejerzan su labor de investigar e identificar</w:t>
      </w:r>
      <w:r w:rsidR="00995DDF">
        <w:rPr>
          <w:rFonts w:ascii="Verdana" w:hAnsi="Verdana"/>
          <w:sz w:val="20"/>
          <w:szCs w:val="20"/>
          <w:lang w:val="es-CR"/>
        </w:rPr>
        <w:t>”</w:t>
      </w:r>
      <w:r w:rsidR="00E0505E" w:rsidRPr="00B660E9">
        <w:rPr>
          <w:rFonts w:ascii="Verdana" w:hAnsi="Verdana"/>
          <w:sz w:val="20"/>
          <w:szCs w:val="20"/>
          <w:lang w:val="es-CR"/>
        </w:rPr>
        <w:t xml:space="preserve"> a los responsables de la muerte del señor Valenzuela Ávila</w:t>
      </w:r>
      <w:r w:rsidR="005D7690">
        <w:rPr>
          <w:rFonts w:ascii="Verdana" w:hAnsi="Verdana"/>
          <w:sz w:val="20"/>
          <w:szCs w:val="20"/>
          <w:lang w:val="es-CR"/>
        </w:rPr>
        <w:t>, y “</w:t>
      </w:r>
      <w:r w:rsidR="00E0505E" w:rsidRPr="00B660E9">
        <w:rPr>
          <w:rFonts w:ascii="Verdana" w:hAnsi="Verdana"/>
          <w:sz w:val="20"/>
          <w:szCs w:val="20"/>
          <w:lang w:val="es-CR"/>
        </w:rPr>
        <w:t xml:space="preserve">para que ejerzan sus funciones como operadores de justicia de la FECI, de forma libre, objetiva y diligente”. </w:t>
      </w:r>
      <w:r w:rsidR="00E73B59" w:rsidRPr="00B660E9">
        <w:rPr>
          <w:rFonts w:ascii="Verdana" w:hAnsi="Verdana"/>
          <w:sz w:val="20"/>
          <w:szCs w:val="20"/>
          <w:lang w:val="es-CR"/>
        </w:rPr>
        <w:t xml:space="preserve">En lo que se refiere al </w:t>
      </w:r>
      <w:r w:rsidR="00E73B59" w:rsidRPr="00B660E9">
        <w:rPr>
          <w:rFonts w:ascii="Verdana" w:hAnsi="Verdana" w:cs="Arial"/>
          <w:sz w:val="20"/>
          <w:szCs w:val="20"/>
          <w:lang w:val="es-CR"/>
        </w:rPr>
        <w:t>ex Fisca</w:t>
      </w:r>
      <w:r w:rsidR="001E43B8" w:rsidRPr="00B660E9">
        <w:rPr>
          <w:rFonts w:ascii="Verdana" w:hAnsi="Verdana" w:cs="Arial"/>
          <w:sz w:val="20"/>
          <w:szCs w:val="20"/>
          <w:lang w:val="es-CR"/>
        </w:rPr>
        <w:t>l Sandoval</w:t>
      </w:r>
      <w:r w:rsidR="00E73B59" w:rsidRPr="00B660E9">
        <w:rPr>
          <w:rFonts w:ascii="Verdana" w:hAnsi="Verdana" w:cs="Arial"/>
          <w:sz w:val="20"/>
          <w:szCs w:val="20"/>
          <w:lang w:val="es-CR"/>
        </w:rPr>
        <w:t>, señaló que, durante el ejercicio del cargo, contó con un esquema de seguridad, y que, con posterioridad a su destitución</w:t>
      </w:r>
      <w:r w:rsidR="00995DDF">
        <w:rPr>
          <w:rFonts w:ascii="Verdana" w:hAnsi="Verdana" w:cs="Arial"/>
          <w:sz w:val="20"/>
          <w:szCs w:val="20"/>
          <w:lang w:val="es-CR"/>
        </w:rPr>
        <w:t xml:space="preserve"> </w:t>
      </w:r>
      <w:r w:rsidR="00EF0B22">
        <w:rPr>
          <w:rFonts w:ascii="Verdana" w:hAnsi="Verdana" w:cs="Arial"/>
          <w:sz w:val="20"/>
          <w:szCs w:val="20"/>
          <w:lang w:val="es-CR"/>
        </w:rPr>
        <w:t>de</w:t>
      </w:r>
      <w:r w:rsidR="00995DDF">
        <w:rPr>
          <w:rFonts w:ascii="Verdana" w:hAnsi="Verdana" w:cs="Arial"/>
          <w:sz w:val="20"/>
          <w:szCs w:val="20"/>
          <w:lang w:val="es-CR"/>
        </w:rPr>
        <w:t xml:space="preserve"> 23 de julio de 2021</w:t>
      </w:r>
      <w:r w:rsidR="00E73B59" w:rsidRPr="00B660E9">
        <w:rPr>
          <w:rFonts w:ascii="Verdana" w:hAnsi="Verdana" w:cs="Arial"/>
          <w:sz w:val="20"/>
          <w:szCs w:val="20"/>
          <w:lang w:val="es-CR"/>
        </w:rPr>
        <w:t xml:space="preserve">, el Ministerio de Gobernación a través </w:t>
      </w:r>
      <w:r w:rsidR="00E73B59" w:rsidRPr="00B660E9">
        <w:rPr>
          <w:rFonts w:ascii="Verdana" w:hAnsi="Verdana" w:cs="Arial"/>
          <w:sz w:val="20"/>
          <w:szCs w:val="20"/>
          <w:lang w:val="es-CR"/>
        </w:rPr>
        <w:lastRenderedPageBreak/>
        <w:t>de la Policía Nacional Civil puso a su disposición “un esquema de seguridad para resguardar su vida e integridad”</w:t>
      </w:r>
      <w:r w:rsidR="00D43FA2">
        <w:rPr>
          <w:rFonts w:ascii="Verdana" w:hAnsi="Verdana" w:cs="Arial"/>
          <w:sz w:val="20"/>
          <w:szCs w:val="20"/>
          <w:lang w:val="es-CR"/>
        </w:rPr>
        <w:t>.</w:t>
      </w:r>
    </w:p>
    <w:p w14:paraId="3FCA97B6" w14:textId="066487A2" w:rsidR="00884D8A" w:rsidRPr="00B660E9" w:rsidRDefault="00490C5E" w:rsidP="00E5585B">
      <w:pPr>
        <w:numPr>
          <w:ilvl w:val="0"/>
          <w:numId w:val="2"/>
        </w:numPr>
        <w:spacing w:before="120" w:after="120"/>
        <w:ind w:left="0" w:firstLine="0"/>
        <w:jc w:val="both"/>
        <w:rPr>
          <w:rFonts w:ascii="Verdana" w:eastAsiaTheme="minorHAnsi" w:hAnsi="Verdana" w:cs="Verdana"/>
          <w:sz w:val="20"/>
          <w:szCs w:val="20"/>
          <w:lang w:val="es-CR"/>
        </w:rPr>
      </w:pPr>
      <w:r>
        <w:rPr>
          <w:rFonts w:ascii="Verdana" w:hAnsi="Verdana" w:cs="Arial"/>
          <w:bCs/>
          <w:sz w:val="20"/>
          <w:szCs w:val="20"/>
          <w:lang w:val="es-CR"/>
        </w:rPr>
        <w:t>I</w:t>
      </w:r>
      <w:r w:rsidR="000B463C" w:rsidRPr="00B660E9">
        <w:rPr>
          <w:rFonts w:ascii="Verdana" w:hAnsi="Verdana" w:cs="Arial"/>
          <w:bCs/>
          <w:sz w:val="20"/>
          <w:szCs w:val="20"/>
          <w:lang w:val="es-CR"/>
        </w:rPr>
        <w:t>ndicó que</w:t>
      </w:r>
      <w:r w:rsidR="00326101">
        <w:rPr>
          <w:rFonts w:ascii="Verdana" w:hAnsi="Verdana" w:cs="Arial"/>
          <w:bCs/>
          <w:sz w:val="20"/>
          <w:szCs w:val="20"/>
          <w:lang w:val="es-CR"/>
        </w:rPr>
        <w:t>,</w:t>
      </w:r>
      <w:r w:rsidR="00E0505E" w:rsidRPr="00B660E9">
        <w:rPr>
          <w:rFonts w:ascii="Verdana" w:hAnsi="Verdana" w:cs="Arial"/>
          <w:bCs/>
          <w:sz w:val="20"/>
          <w:szCs w:val="20"/>
          <w:lang w:val="es-CR"/>
        </w:rPr>
        <w:t xml:space="preserve"> </w:t>
      </w:r>
      <w:r w:rsidR="004F4E04" w:rsidRPr="00B660E9">
        <w:rPr>
          <w:rFonts w:ascii="Verdana" w:hAnsi="Verdana" w:cs="Arial"/>
          <w:bCs/>
          <w:sz w:val="20"/>
          <w:szCs w:val="20"/>
          <w:lang w:val="es-CR"/>
        </w:rPr>
        <w:t>en atención a lo</w:t>
      </w:r>
      <w:r w:rsidR="00661F32" w:rsidRPr="00B660E9">
        <w:rPr>
          <w:rFonts w:ascii="Verdana" w:hAnsi="Verdana" w:cs="Arial"/>
          <w:bCs/>
          <w:sz w:val="20"/>
          <w:szCs w:val="20"/>
          <w:lang w:val="es-CR"/>
        </w:rPr>
        <w:t xml:space="preserve"> establecido en el artículo 27</w:t>
      </w:r>
      <w:r w:rsidR="00E0505E" w:rsidRPr="00B660E9">
        <w:rPr>
          <w:rFonts w:ascii="Verdana" w:hAnsi="Verdana" w:cs="Arial"/>
          <w:bCs/>
          <w:sz w:val="20"/>
          <w:szCs w:val="20"/>
          <w:lang w:val="es-CR"/>
        </w:rPr>
        <w:t xml:space="preserve"> del Reglamento de la Corte</w:t>
      </w:r>
      <w:r w:rsidR="000B463C" w:rsidRPr="00B660E9">
        <w:rPr>
          <w:rFonts w:ascii="Verdana" w:hAnsi="Verdana" w:cs="Arial"/>
          <w:bCs/>
          <w:sz w:val="20"/>
          <w:szCs w:val="20"/>
          <w:lang w:val="es-CR"/>
        </w:rPr>
        <w:t xml:space="preserve">, </w:t>
      </w:r>
      <w:r w:rsidR="00483D66">
        <w:rPr>
          <w:rFonts w:ascii="Verdana" w:hAnsi="Verdana" w:cs="Arial"/>
          <w:bCs/>
          <w:sz w:val="20"/>
          <w:szCs w:val="20"/>
          <w:lang w:val="es-CR"/>
        </w:rPr>
        <w:t>la</w:t>
      </w:r>
      <w:r w:rsidR="00661F32" w:rsidRPr="00B660E9">
        <w:rPr>
          <w:rFonts w:ascii="Verdana" w:hAnsi="Verdana" w:cs="Arial"/>
          <w:bCs/>
          <w:sz w:val="20"/>
          <w:szCs w:val="20"/>
          <w:lang w:val="es-CR"/>
        </w:rPr>
        <w:t xml:space="preserve">s representantes no tienen legitimación para solicitar las medidas provisionales </w:t>
      </w:r>
      <w:r w:rsidR="00A84A9F" w:rsidRPr="00B660E9">
        <w:rPr>
          <w:rFonts w:ascii="Verdana" w:hAnsi="Verdana" w:cs="Arial"/>
          <w:sz w:val="20"/>
          <w:szCs w:val="20"/>
          <w:lang w:val="es-CR"/>
        </w:rPr>
        <w:t>“respecto a la</w:t>
      </w:r>
      <w:r w:rsidR="00A84A9F" w:rsidRPr="00B660E9">
        <w:rPr>
          <w:rFonts w:ascii="Verdana" w:eastAsiaTheme="minorHAnsi" w:hAnsi="Verdana" w:cs="Verdana"/>
          <w:sz w:val="20"/>
          <w:szCs w:val="20"/>
          <w:lang w:val="es-CR"/>
        </w:rPr>
        <w:t xml:space="preserve"> </w:t>
      </w:r>
      <w:r w:rsidR="00A84A9F" w:rsidRPr="00B660E9">
        <w:rPr>
          <w:rFonts w:ascii="Verdana" w:hAnsi="Verdana" w:cs="Arial"/>
          <w:sz w:val="20"/>
          <w:szCs w:val="20"/>
          <w:lang w:val="es-CR"/>
        </w:rPr>
        <w:t xml:space="preserve">restitución del ex Fiscal </w:t>
      </w:r>
      <w:r w:rsidR="00EF0B22">
        <w:rPr>
          <w:rFonts w:ascii="Verdana" w:hAnsi="Verdana" w:cs="Arial"/>
          <w:sz w:val="20"/>
          <w:szCs w:val="20"/>
          <w:lang w:val="es-CR"/>
        </w:rPr>
        <w:t xml:space="preserve">[Sandoval] </w:t>
      </w:r>
      <w:r w:rsidR="00A84A9F" w:rsidRPr="00B660E9">
        <w:rPr>
          <w:rFonts w:ascii="Verdana" w:hAnsi="Verdana" w:cs="Arial"/>
          <w:sz w:val="20"/>
          <w:szCs w:val="20"/>
          <w:lang w:val="es-CR"/>
        </w:rPr>
        <w:t>a su cargo como Fiscal de Sección de la FECI, así como a que se garantice</w:t>
      </w:r>
      <w:r w:rsidR="00A84A9F" w:rsidRPr="00B660E9">
        <w:rPr>
          <w:rFonts w:ascii="Verdana" w:eastAsiaTheme="minorHAnsi" w:hAnsi="Verdana" w:cs="Verdana"/>
          <w:sz w:val="20"/>
          <w:szCs w:val="20"/>
          <w:lang w:val="es-CR"/>
        </w:rPr>
        <w:t xml:space="preserve"> </w:t>
      </w:r>
      <w:r w:rsidR="00A84A9F" w:rsidRPr="00B660E9">
        <w:rPr>
          <w:rFonts w:ascii="Verdana" w:hAnsi="Verdana" w:cs="Arial"/>
          <w:sz w:val="20"/>
          <w:szCs w:val="20"/>
          <w:lang w:val="es-CR"/>
        </w:rPr>
        <w:t xml:space="preserve">la estabilidad en el puesto </w:t>
      </w:r>
      <w:r w:rsidR="00EF0B22">
        <w:rPr>
          <w:rFonts w:ascii="Verdana" w:hAnsi="Verdana" w:cs="Arial"/>
          <w:sz w:val="20"/>
          <w:szCs w:val="20"/>
          <w:lang w:val="es-CR"/>
        </w:rPr>
        <w:t>[de</w:t>
      </w:r>
      <w:r w:rsidR="00A84A9F" w:rsidRPr="00B660E9">
        <w:rPr>
          <w:rFonts w:ascii="Verdana" w:hAnsi="Verdana" w:cs="Arial"/>
          <w:sz w:val="20"/>
          <w:szCs w:val="20"/>
          <w:lang w:val="es-CR"/>
        </w:rPr>
        <w:t xml:space="preserve"> </w:t>
      </w:r>
      <w:r w:rsidR="00EF0B22">
        <w:rPr>
          <w:rFonts w:ascii="Verdana" w:hAnsi="Verdana" w:cs="Arial"/>
          <w:sz w:val="20"/>
          <w:szCs w:val="20"/>
          <w:lang w:val="es-CR"/>
        </w:rPr>
        <w:t>“A” y “B”]”</w:t>
      </w:r>
      <w:r w:rsidR="00A84A9F" w:rsidRPr="00B660E9">
        <w:rPr>
          <w:rFonts w:ascii="Verdana" w:hAnsi="Verdana" w:cs="Arial"/>
          <w:sz w:val="20"/>
          <w:szCs w:val="20"/>
          <w:lang w:val="es-CR"/>
        </w:rPr>
        <w:t xml:space="preserve"> (</w:t>
      </w:r>
      <w:r w:rsidR="00A84A9F" w:rsidRPr="00B660E9">
        <w:rPr>
          <w:rFonts w:ascii="Verdana" w:hAnsi="Verdana" w:cs="Arial"/>
          <w:i/>
          <w:sz w:val="20"/>
          <w:szCs w:val="20"/>
          <w:lang w:val="es-CR"/>
        </w:rPr>
        <w:t>supra</w:t>
      </w:r>
      <w:r w:rsidR="00A84A9F" w:rsidRPr="00B660E9">
        <w:rPr>
          <w:rFonts w:ascii="Verdana" w:hAnsi="Verdana" w:cs="Arial"/>
          <w:sz w:val="20"/>
          <w:szCs w:val="20"/>
          <w:lang w:val="es-CR"/>
        </w:rPr>
        <w:t xml:space="preserve"> </w:t>
      </w:r>
      <w:r w:rsidR="00A84A9F" w:rsidRPr="007C45C4">
        <w:rPr>
          <w:rFonts w:ascii="Verdana" w:hAnsi="Verdana" w:cs="Arial"/>
          <w:sz w:val="20"/>
          <w:szCs w:val="20"/>
          <w:lang w:val="es-CR"/>
        </w:rPr>
        <w:t>Considerando</w:t>
      </w:r>
      <w:r w:rsidR="007C45C4">
        <w:rPr>
          <w:rFonts w:ascii="Verdana" w:hAnsi="Verdana" w:cs="Arial"/>
          <w:sz w:val="20"/>
          <w:szCs w:val="20"/>
          <w:lang w:val="es-CR"/>
        </w:rPr>
        <w:t>s 4 y</w:t>
      </w:r>
      <w:r w:rsidR="00A84A9F" w:rsidRPr="007C45C4">
        <w:rPr>
          <w:rFonts w:ascii="Verdana" w:hAnsi="Verdana" w:cs="Arial"/>
          <w:sz w:val="20"/>
          <w:szCs w:val="20"/>
          <w:lang w:val="es-CR"/>
        </w:rPr>
        <w:t xml:space="preserve"> </w:t>
      </w:r>
      <w:r w:rsidR="007C45C4">
        <w:rPr>
          <w:rFonts w:ascii="Verdana" w:hAnsi="Verdana" w:cs="Arial"/>
          <w:sz w:val="20"/>
          <w:szCs w:val="20"/>
          <w:lang w:val="es-CR"/>
        </w:rPr>
        <w:t>9</w:t>
      </w:r>
      <w:r w:rsidR="00A84A9F" w:rsidRPr="00B660E9">
        <w:rPr>
          <w:rFonts w:ascii="Verdana" w:hAnsi="Verdana" w:cs="Arial"/>
          <w:sz w:val="20"/>
          <w:szCs w:val="20"/>
          <w:lang w:val="es-CR"/>
        </w:rPr>
        <w:t>)</w:t>
      </w:r>
      <w:r w:rsidR="00661F32" w:rsidRPr="00B660E9">
        <w:rPr>
          <w:rFonts w:ascii="Verdana" w:hAnsi="Verdana" w:cs="Arial"/>
          <w:bCs/>
          <w:sz w:val="20"/>
          <w:szCs w:val="20"/>
          <w:lang w:val="es-CR"/>
        </w:rPr>
        <w:t xml:space="preserve">. </w:t>
      </w:r>
      <w:r w:rsidR="00EF0B22">
        <w:rPr>
          <w:rFonts w:ascii="Verdana" w:hAnsi="Verdana" w:cs="Arial"/>
          <w:bCs/>
          <w:sz w:val="20"/>
          <w:szCs w:val="20"/>
          <w:lang w:val="es-CR"/>
        </w:rPr>
        <w:t>Ello</w:t>
      </w:r>
      <w:r w:rsidR="00661F32" w:rsidRPr="00B660E9">
        <w:rPr>
          <w:rFonts w:ascii="Verdana" w:hAnsi="Verdana" w:cs="Arial"/>
          <w:bCs/>
          <w:sz w:val="20"/>
          <w:szCs w:val="20"/>
          <w:lang w:val="es-CR"/>
        </w:rPr>
        <w:t xml:space="preserve"> debido a </w:t>
      </w:r>
      <w:r w:rsidR="000B463C" w:rsidRPr="00B660E9">
        <w:rPr>
          <w:rFonts w:ascii="Verdana" w:hAnsi="Verdana" w:cs="Arial"/>
          <w:bCs/>
          <w:sz w:val="20"/>
          <w:szCs w:val="20"/>
          <w:lang w:val="es-CR"/>
        </w:rPr>
        <w:t xml:space="preserve">que </w:t>
      </w:r>
      <w:r w:rsidR="00182605">
        <w:rPr>
          <w:rFonts w:ascii="Verdana" w:hAnsi="Verdana" w:cs="Arial"/>
          <w:bCs/>
          <w:sz w:val="20"/>
          <w:szCs w:val="20"/>
          <w:lang w:val="es-CR"/>
        </w:rPr>
        <w:t>“</w:t>
      </w:r>
      <w:r w:rsidR="00E0505E" w:rsidRPr="00B660E9">
        <w:rPr>
          <w:rFonts w:ascii="Verdana" w:hAnsi="Verdana" w:cs="Arial"/>
          <w:sz w:val="20"/>
          <w:szCs w:val="20"/>
          <w:lang w:val="es-CR"/>
        </w:rPr>
        <w:t>las medidas solicitadas constituyen hechos</w:t>
      </w:r>
      <w:r w:rsidR="00E0505E" w:rsidRPr="00B660E9">
        <w:rPr>
          <w:rFonts w:ascii="Verdana" w:hAnsi="Verdana" w:cs="Arial"/>
          <w:bCs/>
          <w:sz w:val="20"/>
          <w:szCs w:val="20"/>
          <w:lang w:val="es-CR"/>
        </w:rPr>
        <w:t xml:space="preserve"> </w:t>
      </w:r>
      <w:r w:rsidR="00E0505E" w:rsidRPr="00B660E9">
        <w:rPr>
          <w:rFonts w:ascii="Verdana" w:hAnsi="Verdana" w:cs="Arial"/>
          <w:sz w:val="20"/>
          <w:szCs w:val="20"/>
          <w:lang w:val="es-CR"/>
        </w:rPr>
        <w:t xml:space="preserve">independientes </w:t>
      </w:r>
      <w:r w:rsidR="00E0505E" w:rsidRPr="00B660E9">
        <w:rPr>
          <w:rFonts w:ascii="Verdana" w:hAnsi="Verdana" w:cs="Arial"/>
          <w:iCs/>
          <w:sz w:val="20"/>
          <w:szCs w:val="20"/>
          <w:lang w:val="es-CR"/>
        </w:rPr>
        <w:t xml:space="preserve">y </w:t>
      </w:r>
      <w:r w:rsidR="00E0505E" w:rsidRPr="00B660E9">
        <w:rPr>
          <w:rFonts w:ascii="Verdana" w:hAnsi="Verdana" w:cs="Arial"/>
          <w:sz w:val="20"/>
          <w:szCs w:val="20"/>
          <w:lang w:val="es-CR"/>
        </w:rPr>
        <w:t>aje</w:t>
      </w:r>
      <w:r w:rsidR="00F015E4" w:rsidRPr="00B660E9">
        <w:rPr>
          <w:rFonts w:ascii="Verdana" w:hAnsi="Verdana" w:cs="Arial"/>
          <w:sz w:val="20"/>
          <w:szCs w:val="20"/>
          <w:lang w:val="es-CR"/>
        </w:rPr>
        <w:t>nos</w:t>
      </w:r>
      <w:r w:rsidR="00661F32" w:rsidRPr="00B660E9">
        <w:rPr>
          <w:rFonts w:ascii="Verdana" w:hAnsi="Verdana" w:cs="Arial"/>
          <w:sz w:val="20"/>
          <w:szCs w:val="20"/>
          <w:lang w:val="es-CR"/>
        </w:rPr>
        <w:t>”</w:t>
      </w:r>
      <w:r w:rsidR="00F015E4" w:rsidRPr="00B660E9">
        <w:rPr>
          <w:rFonts w:ascii="Verdana" w:hAnsi="Verdana" w:cs="Arial"/>
          <w:sz w:val="20"/>
          <w:szCs w:val="20"/>
          <w:lang w:val="es-CR"/>
        </w:rPr>
        <w:t xml:space="preserve"> al caso, </w:t>
      </w:r>
      <w:r w:rsidR="00661F32" w:rsidRPr="00B660E9">
        <w:rPr>
          <w:rFonts w:ascii="Verdana" w:hAnsi="Verdana" w:cs="Arial"/>
          <w:sz w:val="20"/>
          <w:szCs w:val="20"/>
          <w:lang w:val="es-CR"/>
        </w:rPr>
        <w:t>“toda vez que</w:t>
      </w:r>
      <w:r w:rsidR="001C2275" w:rsidRPr="00B660E9">
        <w:rPr>
          <w:rFonts w:ascii="Verdana" w:hAnsi="Verdana" w:cs="Arial"/>
          <w:sz w:val="20"/>
          <w:szCs w:val="20"/>
          <w:lang w:val="es-CR"/>
        </w:rPr>
        <w:t xml:space="preserve"> </w:t>
      </w:r>
      <w:r w:rsidR="00E0505E" w:rsidRPr="00B660E9">
        <w:rPr>
          <w:rFonts w:ascii="Verdana" w:hAnsi="Verdana" w:cs="Arial"/>
          <w:sz w:val="20"/>
          <w:szCs w:val="20"/>
          <w:lang w:val="es-CR"/>
        </w:rPr>
        <w:t>los hechos recientes</w:t>
      </w:r>
      <w:r w:rsidR="00AB7337" w:rsidRPr="00B660E9">
        <w:rPr>
          <w:rFonts w:ascii="Verdana" w:hAnsi="Verdana" w:cs="Arial"/>
          <w:bCs/>
          <w:sz w:val="20"/>
          <w:szCs w:val="20"/>
          <w:lang w:val="es-CR"/>
        </w:rPr>
        <w:t xml:space="preserve"> </w:t>
      </w:r>
      <w:r w:rsidR="00AB7337" w:rsidRPr="00B660E9">
        <w:rPr>
          <w:rFonts w:ascii="Verdana" w:hAnsi="Verdana" w:cs="Arial"/>
          <w:sz w:val="20"/>
          <w:szCs w:val="20"/>
          <w:lang w:val="es-CR"/>
        </w:rPr>
        <w:t>en cuanto a la destitución del ex Fiscal</w:t>
      </w:r>
      <w:r w:rsidR="00E0505E" w:rsidRPr="00B660E9">
        <w:rPr>
          <w:rFonts w:ascii="Verdana" w:hAnsi="Verdana" w:cs="Arial"/>
          <w:sz w:val="20"/>
          <w:szCs w:val="20"/>
          <w:lang w:val="es-CR"/>
        </w:rPr>
        <w:t xml:space="preserve">, no se encuentran relacionados con la sentencia dictada” en el </w:t>
      </w:r>
      <w:r w:rsidR="001C2275" w:rsidRPr="00B660E9">
        <w:rPr>
          <w:rFonts w:ascii="Verdana" w:hAnsi="Verdana" w:cs="Arial"/>
          <w:sz w:val="20"/>
          <w:szCs w:val="20"/>
          <w:lang w:val="es-CR"/>
        </w:rPr>
        <w:t>c</w:t>
      </w:r>
      <w:r w:rsidR="00E0505E" w:rsidRPr="00B660E9">
        <w:rPr>
          <w:rFonts w:ascii="Verdana" w:hAnsi="Verdana" w:cs="Arial"/>
          <w:sz w:val="20"/>
          <w:szCs w:val="20"/>
          <w:lang w:val="es-CR"/>
        </w:rPr>
        <w:t>aso</w:t>
      </w:r>
      <w:r w:rsidR="00E0505E" w:rsidRPr="00B660E9">
        <w:rPr>
          <w:rFonts w:ascii="Verdana" w:hAnsi="Verdana" w:cs="Arial"/>
          <w:i/>
          <w:sz w:val="20"/>
          <w:szCs w:val="20"/>
          <w:lang w:val="es-CR"/>
        </w:rPr>
        <w:t xml:space="preserve"> Valenzuela Ávila</w:t>
      </w:r>
      <w:r w:rsidR="00AB7337" w:rsidRPr="00B660E9">
        <w:rPr>
          <w:rFonts w:ascii="Verdana" w:hAnsi="Verdana" w:cs="Arial"/>
          <w:sz w:val="20"/>
          <w:szCs w:val="20"/>
          <w:lang w:val="es-CR"/>
        </w:rPr>
        <w:t xml:space="preserve">, por las siguientes razones: </w:t>
      </w:r>
    </w:p>
    <w:p w14:paraId="5A2AE680" w14:textId="2B0C970F" w:rsidR="00884D8A" w:rsidRPr="00B660E9" w:rsidRDefault="00884D8A" w:rsidP="00E5585B">
      <w:pPr>
        <w:pStyle w:val="Prrafodelista"/>
        <w:numPr>
          <w:ilvl w:val="0"/>
          <w:numId w:val="28"/>
        </w:numPr>
        <w:spacing w:before="120" w:after="120"/>
        <w:ind w:left="851" w:hanging="425"/>
        <w:contextualSpacing w:val="0"/>
        <w:jc w:val="both"/>
        <w:rPr>
          <w:rFonts w:ascii="Verdana" w:hAnsi="Verdana" w:cs="Arial"/>
          <w:sz w:val="20"/>
          <w:szCs w:val="20"/>
          <w:lang w:val="es-CR"/>
        </w:rPr>
      </w:pPr>
      <w:r w:rsidRPr="00B660E9">
        <w:rPr>
          <w:rFonts w:ascii="Verdana" w:hAnsi="Verdana" w:cs="Arial"/>
          <w:sz w:val="20"/>
          <w:szCs w:val="20"/>
          <w:lang w:val="es-CR"/>
        </w:rPr>
        <w:t>L</w:t>
      </w:r>
      <w:r w:rsidR="001C2275" w:rsidRPr="00B660E9">
        <w:rPr>
          <w:rFonts w:ascii="Verdana" w:hAnsi="Verdana" w:cs="Arial"/>
          <w:sz w:val="20"/>
          <w:szCs w:val="20"/>
          <w:lang w:val="es-CR"/>
        </w:rPr>
        <w:t>a destitución atendió</w:t>
      </w:r>
      <w:r w:rsidR="00E0505E" w:rsidRPr="00B660E9">
        <w:rPr>
          <w:rFonts w:ascii="Verdana" w:hAnsi="Verdana" w:cs="Arial"/>
          <w:sz w:val="20"/>
          <w:szCs w:val="20"/>
          <w:lang w:val="es-CR"/>
        </w:rPr>
        <w:t xml:space="preserve"> a </w:t>
      </w:r>
      <w:r w:rsidR="001C2275" w:rsidRPr="00B660E9">
        <w:rPr>
          <w:rFonts w:ascii="Verdana" w:hAnsi="Verdana" w:cs="Arial"/>
          <w:sz w:val="20"/>
          <w:szCs w:val="20"/>
          <w:lang w:val="es-CR"/>
        </w:rPr>
        <w:t>“</w:t>
      </w:r>
      <w:r w:rsidR="00E0505E" w:rsidRPr="00B660E9">
        <w:rPr>
          <w:rFonts w:ascii="Verdana" w:hAnsi="Verdana" w:cs="Arial"/>
          <w:sz w:val="20"/>
          <w:szCs w:val="20"/>
          <w:lang w:val="es-CR"/>
        </w:rPr>
        <w:t xml:space="preserve">la facultad de la </w:t>
      </w:r>
      <w:proofErr w:type="gramStart"/>
      <w:r w:rsidR="00E0505E" w:rsidRPr="00B660E9">
        <w:rPr>
          <w:rFonts w:ascii="Verdana" w:hAnsi="Verdana" w:cs="Arial"/>
          <w:sz w:val="20"/>
          <w:szCs w:val="20"/>
          <w:lang w:val="es-CR"/>
        </w:rPr>
        <w:t>Fiscal General</w:t>
      </w:r>
      <w:proofErr w:type="gramEnd"/>
      <w:r w:rsidR="00E0505E" w:rsidRPr="00B660E9">
        <w:rPr>
          <w:rFonts w:ascii="Verdana" w:hAnsi="Verdana" w:cs="Arial"/>
          <w:sz w:val="20"/>
          <w:szCs w:val="20"/>
          <w:lang w:val="es-CR"/>
        </w:rPr>
        <w:t xml:space="preserve">, fundamentada en la Ley Orgánica del </w:t>
      </w:r>
      <w:r w:rsidR="00E43DD8" w:rsidRPr="00B660E9">
        <w:rPr>
          <w:rFonts w:ascii="Verdana" w:hAnsi="Verdana" w:cs="Arial"/>
          <w:sz w:val="20"/>
          <w:szCs w:val="20"/>
          <w:lang w:val="es-CR"/>
        </w:rPr>
        <w:t>Ministerio Público y en la Constitución</w:t>
      </w:r>
      <w:r w:rsidR="00E0505E" w:rsidRPr="00B660E9">
        <w:rPr>
          <w:rFonts w:ascii="Verdana" w:hAnsi="Verdana" w:cs="Arial"/>
          <w:sz w:val="20"/>
          <w:szCs w:val="20"/>
          <w:lang w:val="es-CR"/>
        </w:rPr>
        <w:t xml:space="preserve"> Política de la República, para preservar el buen funcionamiento del Ministerio Público, impartiendo las instrucciones convenientes al servicio y ejercicio de las funciones”</w:t>
      </w:r>
      <w:r w:rsidR="00E0505E" w:rsidRPr="00B660E9">
        <w:rPr>
          <w:rStyle w:val="Refdenotaalpie"/>
          <w:rFonts w:cs="Arial"/>
          <w:sz w:val="20"/>
          <w:szCs w:val="20"/>
          <w:lang w:val="es-CR"/>
        </w:rPr>
        <w:footnoteReference w:id="15"/>
      </w:r>
      <w:r w:rsidR="00E36F24">
        <w:rPr>
          <w:rFonts w:ascii="Verdana" w:hAnsi="Verdana" w:cs="Arial"/>
          <w:sz w:val="20"/>
          <w:szCs w:val="20"/>
          <w:lang w:val="es-CR"/>
        </w:rPr>
        <w:t>, y</w:t>
      </w:r>
    </w:p>
    <w:p w14:paraId="3AD99DFB" w14:textId="7362B0E9" w:rsidR="009254F5" w:rsidRPr="00B660E9" w:rsidRDefault="00884D8A" w:rsidP="00884D8A">
      <w:pPr>
        <w:pStyle w:val="Prrafodelista"/>
        <w:numPr>
          <w:ilvl w:val="0"/>
          <w:numId w:val="28"/>
        </w:numPr>
        <w:spacing w:before="120" w:after="120"/>
        <w:ind w:left="851" w:hanging="425"/>
        <w:jc w:val="both"/>
        <w:rPr>
          <w:rFonts w:ascii="Verdana" w:hAnsi="Verdana" w:cs="Arial"/>
          <w:sz w:val="20"/>
          <w:szCs w:val="20"/>
          <w:lang w:val="es-CR"/>
        </w:rPr>
      </w:pPr>
      <w:r w:rsidRPr="00B660E9">
        <w:rPr>
          <w:rFonts w:ascii="Verdana" w:hAnsi="Verdana" w:cs="Arial"/>
          <w:sz w:val="20"/>
          <w:szCs w:val="20"/>
          <w:lang w:val="es-CR"/>
        </w:rPr>
        <w:t>L</w:t>
      </w:r>
      <w:r w:rsidR="00E0505E" w:rsidRPr="00B660E9">
        <w:rPr>
          <w:rFonts w:ascii="Verdana" w:hAnsi="Verdana" w:cs="Arial"/>
          <w:sz w:val="20"/>
          <w:szCs w:val="20"/>
          <w:lang w:val="es-CR"/>
        </w:rPr>
        <w:t xml:space="preserve">os argumentos </w:t>
      </w:r>
      <w:r w:rsidR="00483D66">
        <w:rPr>
          <w:rFonts w:ascii="Verdana" w:hAnsi="Verdana" w:cs="Arial"/>
          <w:sz w:val="20"/>
          <w:szCs w:val="20"/>
          <w:lang w:val="es-CR"/>
        </w:rPr>
        <w:t>de la</w:t>
      </w:r>
      <w:r w:rsidR="001C2275" w:rsidRPr="00B660E9">
        <w:rPr>
          <w:rFonts w:ascii="Verdana" w:hAnsi="Verdana" w:cs="Arial"/>
          <w:sz w:val="20"/>
          <w:szCs w:val="20"/>
          <w:lang w:val="es-CR"/>
        </w:rPr>
        <w:t>s</w:t>
      </w:r>
      <w:r w:rsidR="00E0505E" w:rsidRPr="00B660E9">
        <w:rPr>
          <w:rFonts w:ascii="Verdana" w:hAnsi="Verdana" w:cs="Arial"/>
          <w:sz w:val="20"/>
          <w:szCs w:val="20"/>
          <w:lang w:val="es-CR"/>
        </w:rPr>
        <w:t xml:space="preserve"> representantes sobre una amenaza inminente de que el Fiscal </w:t>
      </w:r>
      <w:r w:rsidR="001C2275" w:rsidRPr="00B660E9">
        <w:rPr>
          <w:rFonts w:ascii="Verdana" w:hAnsi="Verdana" w:cs="Arial"/>
          <w:sz w:val="20"/>
          <w:szCs w:val="20"/>
          <w:lang w:val="es-CR"/>
        </w:rPr>
        <w:t>“B”</w:t>
      </w:r>
      <w:r w:rsidR="00E0505E" w:rsidRPr="00B660E9">
        <w:rPr>
          <w:rFonts w:ascii="Verdana" w:hAnsi="Verdana" w:cs="Arial"/>
          <w:i/>
          <w:iCs/>
          <w:sz w:val="20"/>
          <w:szCs w:val="20"/>
          <w:lang w:val="es-CR"/>
        </w:rPr>
        <w:t xml:space="preserve"> </w:t>
      </w:r>
      <w:r w:rsidR="00E0505E" w:rsidRPr="00B660E9">
        <w:rPr>
          <w:rFonts w:ascii="Verdana" w:hAnsi="Verdana" w:cs="Arial"/>
          <w:iCs/>
          <w:sz w:val="20"/>
          <w:szCs w:val="20"/>
          <w:lang w:val="es-CR"/>
        </w:rPr>
        <w:t>y</w:t>
      </w:r>
      <w:r w:rsidR="00E0505E" w:rsidRPr="00B660E9">
        <w:rPr>
          <w:rFonts w:ascii="Verdana" w:hAnsi="Verdana" w:cs="Arial"/>
          <w:i/>
          <w:iCs/>
          <w:sz w:val="20"/>
          <w:szCs w:val="20"/>
          <w:lang w:val="es-CR"/>
        </w:rPr>
        <w:t xml:space="preserve"> </w:t>
      </w:r>
      <w:r w:rsidR="00E0505E" w:rsidRPr="00B660E9">
        <w:rPr>
          <w:rFonts w:ascii="Verdana" w:hAnsi="Verdana" w:cs="Arial"/>
          <w:sz w:val="20"/>
          <w:szCs w:val="20"/>
          <w:lang w:val="es-CR"/>
        </w:rPr>
        <w:t>el Auxiliar Fiscal</w:t>
      </w:r>
      <w:r w:rsidR="001C2275" w:rsidRPr="00B660E9">
        <w:rPr>
          <w:rFonts w:ascii="Verdana" w:hAnsi="Verdana" w:cs="Arial"/>
          <w:sz w:val="20"/>
          <w:szCs w:val="20"/>
          <w:lang w:val="es-CR"/>
        </w:rPr>
        <w:t xml:space="preserve"> “C” sean separados de sus cargos</w:t>
      </w:r>
      <w:r w:rsidR="00E0505E" w:rsidRPr="00B660E9">
        <w:rPr>
          <w:rFonts w:ascii="Verdana" w:hAnsi="Verdana"/>
          <w:sz w:val="20"/>
          <w:szCs w:val="20"/>
          <w:lang w:val="es-CR"/>
        </w:rPr>
        <w:t xml:space="preserve">, </w:t>
      </w:r>
      <w:r w:rsidR="00182605">
        <w:rPr>
          <w:rFonts w:ascii="Verdana" w:hAnsi="Verdana"/>
          <w:sz w:val="20"/>
          <w:szCs w:val="20"/>
          <w:lang w:val="es-CR"/>
        </w:rPr>
        <w:t xml:space="preserve">responden a </w:t>
      </w:r>
      <w:r w:rsidR="00E0505E" w:rsidRPr="00B660E9">
        <w:rPr>
          <w:rFonts w:ascii="Verdana" w:hAnsi="Verdana"/>
          <w:sz w:val="20"/>
          <w:szCs w:val="20"/>
          <w:lang w:val="es-CR"/>
        </w:rPr>
        <w:t>“</w:t>
      </w:r>
      <w:r w:rsidR="00E0505E" w:rsidRPr="00B660E9">
        <w:rPr>
          <w:rFonts w:ascii="Verdana" w:hAnsi="Verdana" w:cs="Arial"/>
          <w:sz w:val="20"/>
          <w:szCs w:val="20"/>
          <w:lang w:val="es-CR"/>
        </w:rPr>
        <w:t xml:space="preserve">una percepción subjetiva </w:t>
      </w:r>
      <w:r w:rsidR="00E0505E" w:rsidRPr="00B660E9">
        <w:rPr>
          <w:rFonts w:ascii="Verdana" w:hAnsi="Verdana" w:cs="Arial"/>
          <w:iCs/>
          <w:sz w:val="20"/>
          <w:szCs w:val="20"/>
          <w:lang w:val="es-CR"/>
        </w:rPr>
        <w:t>y</w:t>
      </w:r>
      <w:r w:rsidR="00E0505E" w:rsidRPr="00B660E9">
        <w:rPr>
          <w:rFonts w:ascii="Verdana" w:hAnsi="Verdana" w:cs="Arial"/>
          <w:i/>
          <w:iCs/>
          <w:sz w:val="20"/>
          <w:szCs w:val="20"/>
          <w:lang w:val="es-CR"/>
        </w:rPr>
        <w:t xml:space="preserve"> </w:t>
      </w:r>
      <w:r w:rsidR="00E0505E" w:rsidRPr="00B660E9">
        <w:rPr>
          <w:rFonts w:ascii="Verdana" w:hAnsi="Verdana" w:cs="Arial"/>
          <w:sz w:val="20"/>
          <w:szCs w:val="20"/>
          <w:lang w:val="es-CR"/>
        </w:rPr>
        <w:t xml:space="preserve">sin sustento fáctico, ya que los mismos no se encuentran amenazados en sus derechos laborales, ello sin perjuicio de aplicar las medidas administrativas correspondientes, en caso que los operadores de justicia incurran en una falta </w:t>
      </w:r>
      <w:r w:rsidR="00022AB9">
        <w:rPr>
          <w:rFonts w:ascii="Verdana" w:hAnsi="Verdana" w:cs="Arial"/>
          <w:sz w:val="20"/>
          <w:szCs w:val="20"/>
          <w:lang w:val="es-CR"/>
        </w:rPr>
        <w:t>[…]</w:t>
      </w:r>
      <w:r w:rsidR="00E0505E" w:rsidRPr="00B660E9">
        <w:rPr>
          <w:rFonts w:ascii="Verdana" w:hAnsi="Verdana" w:cs="Arial"/>
          <w:sz w:val="20"/>
          <w:szCs w:val="20"/>
          <w:lang w:val="es-CR"/>
        </w:rPr>
        <w:t xml:space="preserve">, a tenor del artículo 62 de la Ley Orgánica del Ministerio Público”. </w:t>
      </w:r>
      <w:r w:rsidR="00A84A9F" w:rsidRPr="00B660E9">
        <w:rPr>
          <w:rFonts w:ascii="Verdana" w:hAnsi="Verdana" w:cs="Arial"/>
          <w:sz w:val="20"/>
          <w:szCs w:val="20"/>
          <w:lang w:val="es-CR"/>
        </w:rPr>
        <w:t xml:space="preserve">Por lo tanto, consideró que las medidas </w:t>
      </w:r>
      <w:r w:rsidR="00483D66">
        <w:rPr>
          <w:rFonts w:ascii="Verdana" w:hAnsi="Verdana" w:cs="Arial"/>
          <w:sz w:val="20"/>
          <w:szCs w:val="20"/>
          <w:lang w:val="es-CR"/>
        </w:rPr>
        <w:t>provisionales solicitadas por la</w:t>
      </w:r>
      <w:r w:rsidR="00A84A9F" w:rsidRPr="00B660E9">
        <w:rPr>
          <w:rFonts w:ascii="Verdana" w:hAnsi="Verdana" w:cs="Arial"/>
          <w:sz w:val="20"/>
          <w:szCs w:val="20"/>
          <w:lang w:val="es-CR"/>
        </w:rPr>
        <w:t>s representantes</w:t>
      </w:r>
      <w:r w:rsidR="00A84A9F" w:rsidRPr="00B660E9">
        <w:rPr>
          <w:rFonts w:ascii="Verdana" w:eastAsiaTheme="minorHAnsi" w:hAnsi="Verdana" w:cs="Verdana"/>
          <w:sz w:val="20"/>
          <w:szCs w:val="20"/>
          <w:lang w:val="es-CR"/>
        </w:rPr>
        <w:t xml:space="preserve"> “</w:t>
      </w:r>
      <w:r w:rsidR="00E43DD8" w:rsidRPr="00B660E9">
        <w:rPr>
          <w:rFonts w:ascii="Verdana" w:hAnsi="Verdana" w:cs="Arial"/>
          <w:sz w:val="20"/>
          <w:szCs w:val="20"/>
          <w:lang w:val="es-CR"/>
        </w:rPr>
        <w:t>deben</w:t>
      </w:r>
      <w:r w:rsidR="00E43DD8" w:rsidRPr="00B660E9">
        <w:rPr>
          <w:rFonts w:ascii="Verdana" w:eastAsiaTheme="minorHAnsi" w:hAnsi="Verdana" w:cs="Verdana"/>
          <w:sz w:val="20"/>
          <w:szCs w:val="20"/>
          <w:lang w:val="es-CR"/>
        </w:rPr>
        <w:t xml:space="preserve"> </w:t>
      </w:r>
      <w:r w:rsidR="00E43DD8" w:rsidRPr="00B660E9">
        <w:rPr>
          <w:rFonts w:ascii="Verdana" w:hAnsi="Verdana" w:cs="Arial"/>
          <w:sz w:val="20"/>
          <w:szCs w:val="20"/>
          <w:lang w:val="es-CR"/>
        </w:rPr>
        <w:t>ser entendidas como pretensiones</w:t>
      </w:r>
      <w:r w:rsidR="00E43DD8" w:rsidRPr="00B660E9">
        <w:rPr>
          <w:rFonts w:ascii="Verdana" w:eastAsiaTheme="minorHAnsi" w:hAnsi="Verdana" w:cs="Verdana"/>
          <w:sz w:val="20"/>
          <w:szCs w:val="20"/>
          <w:lang w:val="es-CR"/>
        </w:rPr>
        <w:t xml:space="preserve"> </w:t>
      </w:r>
      <w:r w:rsidR="00E43DD8" w:rsidRPr="00B660E9">
        <w:rPr>
          <w:rFonts w:ascii="Verdana" w:hAnsi="Verdana" w:cs="Arial"/>
          <w:sz w:val="20"/>
          <w:szCs w:val="20"/>
          <w:lang w:val="es-CR"/>
        </w:rPr>
        <w:t>nuevas y totalmente ajenas al caso, por lo que las mismas deben ser tramitadas ante la Comisión</w:t>
      </w:r>
      <w:r w:rsidR="00E43DD8" w:rsidRPr="00B660E9">
        <w:rPr>
          <w:rFonts w:ascii="Verdana" w:eastAsiaTheme="minorHAnsi" w:hAnsi="Verdana" w:cs="Verdana"/>
          <w:sz w:val="20"/>
          <w:szCs w:val="20"/>
          <w:lang w:val="es-CR"/>
        </w:rPr>
        <w:t xml:space="preserve"> </w:t>
      </w:r>
      <w:r w:rsidR="00E43DD8" w:rsidRPr="00B660E9">
        <w:rPr>
          <w:rFonts w:ascii="Verdana" w:hAnsi="Verdana" w:cs="Arial"/>
          <w:sz w:val="20"/>
          <w:szCs w:val="20"/>
          <w:lang w:val="es-CR"/>
        </w:rPr>
        <w:t xml:space="preserve">[…], debiendo para </w:t>
      </w:r>
      <w:r w:rsidR="00510793">
        <w:rPr>
          <w:rFonts w:ascii="Verdana" w:hAnsi="Verdana" w:cs="Arial"/>
          <w:sz w:val="20"/>
          <w:szCs w:val="20"/>
          <w:lang w:val="es-CR"/>
        </w:rPr>
        <w:t>[tal</w:t>
      </w:r>
      <w:r w:rsidR="00182605">
        <w:rPr>
          <w:rFonts w:ascii="Verdana" w:hAnsi="Verdana" w:cs="Arial"/>
          <w:sz w:val="20"/>
          <w:szCs w:val="20"/>
          <w:lang w:val="es-CR"/>
        </w:rPr>
        <w:t xml:space="preserve"> </w:t>
      </w:r>
      <w:r w:rsidR="00510793">
        <w:rPr>
          <w:rFonts w:ascii="Verdana" w:hAnsi="Verdana" w:cs="Arial"/>
          <w:sz w:val="20"/>
          <w:szCs w:val="20"/>
          <w:lang w:val="es-CR"/>
        </w:rPr>
        <w:t>…]</w:t>
      </w:r>
      <w:r w:rsidR="00E43DD8" w:rsidRPr="00B660E9">
        <w:rPr>
          <w:rFonts w:ascii="Verdana" w:hAnsi="Verdana" w:cs="Arial"/>
          <w:sz w:val="20"/>
          <w:szCs w:val="20"/>
          <w:lang w:val="es-CR"/>
        </w:rPr>
        <w:t xml:space="preserve"> efecto comprobarse el agotamiento de los</w:t>
      </w:r>
      <w:r w:rsidR="00E43DD8" w:rsidRPr="00B660E9">
        <w:rPr>
          <w:rFonts w:ascii="Verdana" w:eastAsiaTheme="minorHAnsi" w:hAnsi="Verdana" w:cs="Verdana"/>
          <w:sz w:val="20"/>
          <w:szCs w:val="20"/>
          <w:lang w:val="es-CR"/>
        </w:rPr>
        <w:t xml:space="preserve"> </w:t>
      </w:r>
      <w:r w:rsidR="00E43DD8" w:rsidRPr="00B660E9">
        <w:rPr>
          <w:rFonts w:ascii="Verdana" w:hAnsi="Verdana" w:cs="Arial"/>
          <w:sz w:val="20"/>
          <w:szCs w:val="20"/>
          <w:lang w:val="es-CR"/>
        </w:rPr>
        <w:t>recursos de la jurisdicción interna”</w:t>
      </w:r>
      <w:r w:rsidR="00A84A9F" w:rsidRPr="00B660E9">
        <w:rPr>
          <w:rFonts w:ascii="Verdana" w:hAnsi="Verdana" w:cs="Arial"/>
          <w:sz w:val="20"/>
          <w:szCs w:val="20"/>
          <w:lang w:val="es-CR"/>
        </w:rPr>
        <w:t>.</w:t>
      </w:r>
    </w:p>
    <w:p w14:paraId="498E8C16" w14:textId="32785944" w:rsidR="009254F5" w:rsidRPr="00B660E9" w:rsidRDefault="00113568" w:rsidP="009254F5">
      <w:pPr>
        <w:numPr>
          <w:ilvl w:val="0"/>
          <w:numId w:val="2"/>
        </w:numPr>
        <w:spacing w:before="120" w:after="120"/>
        <w:ind w:left="0" w:firstLine="0"/>
        <w:jc w:val="both"/>
        <w:rPr>
          <w:rFonts w:ascii="Verdana" w:eastAsiaTheme="minorHAnsi" w:hAnsi="Verdana" w:cs="Verdana"/>
          <w:sz w:val="20"/>
          <w:szCs w:val="20"/>
          <w:lang w:val="es-CR"/>
        </w:rPr>
      </w:pPr>
      <w:r w:rsidRPr="00B660E9">
        <w:rPr>
          <w:rFonts w:ascii="Verdana" w:hAnsi="Verdana" w:cs="Arial"/>
          <w:sz w:val="20"/>
          <w:szCs w:val="20"/>
          <w:lang w:val="es-CR"/>
        </w:rPr>
        <w:t>S</w:t>
      </w:r>
      <w:r w:rsidR="009254F5" w:rsidRPr="00B660E9">
        <w:rPr>
          <w:rFonts w:ascii="Verdana" w:hAnsi="Verdana" w:cs="Arial"/>
          <w:sz w:val="20"/>
          <w:szCs w:val="20"/>
          <w:lang w:val="es-CR"/>
        </w:rPr>
        <w:t>ostuvo que</w:t>
      </w:r>
      <w:r w:rsidR="00483D66">
        <w:rPr>
          <w:rFonts w:ascii="Verdana" w:hAnsi="Verdana" w:cs="Arial"/>
          <w:sz w:val="20"/>
          <w:szCs w:val="20"/>
          <w:lang w:val="es-CR"/>
        </w:rPr>
        <w:t xml:space="preserve"> la solicitud de la</w:t>
      </w:r>
      <w:r w:rsidR="009254F5" w:rsidRPr="00B660E9">
        <w:rPr>
          <w:rFonts w:ascii="Verdana" w:hAnsi="Verdana" w:cs="Arial"/>
          <w:sz w:val="20"/>
          <w:szCs w:val="20"/>
          <w:lang w:val="es-CR"/>
        </w:rPr>
        <w:t xml:space="preserve">s representantes debe ser evaluada en la supervisión del cumplimiento de la Sentencia </w:t>
      </w:r>
      <w:r w:rsidR="00326101">
        <w:rPr>
          <w:rFonts w:ascii="Verdana" w:hAnsi="Verdana" w:cs="Arial"/>
          <w:sz w:val="20"/>
          <w:szCs w:val="20"/>
          <w:lang w:val="es-CR"/>
        </w:rPr>
        <w:t xml:space="preserve">respecto a </w:t>
      </w:r>
      <w:r w:rsidR="00326101" w:rsidRPr="00B660E9">
        <w:rPr>
          <w:rFonts w:ascii="Verdana" w:hAnsi="Verdana" w:cs="Arial"/>
          <w:sz w:val="20"/>
          <w:szCs w:val="20"/>
          <w:lang w:val="es-CR"/>
        </w:rPr>
        <w:t>las garantías de seguridad a favor de los operadores de justicia a cargo de la investigación de la muerte del señor Valenzuela Ávila</w:t>
      </w:r>
      <w:r w:rsidR="00182605">
        <w:rPr>
          <w:rFonts w:ascii="Verdana" w:hAnsi="Verdana" w:cs="Arial"/>
          <w:sz w:val="20"/>
          <w:szCs w:val="20"/>
          <w:lang w:val="es-CR"/>
        </w:rPr>
        <w:t>,</w:t>
      </w:r>
      <w:r w:rsidR="00326101" w:rsidRPr="00B660E9">
        <w:rPr>
          <w:rFonts w:ascii="Verdana" w:hAnsi="Verdana" w:cs="Arial"/>
          <w:sz w:val="20"/>
          <w:szCs w:val="20"/>
          <w:lang w:val="es-CR"/>
        </w:rPr>
        <w:t xml:space="preserve"> </w:t>
      </w:r>
      <w:r w:rsidR="009254F5" w:rsidRPr="00B660E9">
        <w:rPr>
          <w:rFonts w:ascii="Verdana" w:hAnsi="Verdana" w:cs="Arial"/>
          <w:sz w:val="20"/>
          <w:szCs w:val="20"/>
          <w:lang w:val="es-CR"/>
        </w:rPr>
        <w:t>y no</w:t>
      </w:r>
      <w:r w:rsidR="00B51468">
        <w:rPr>
          <w:rFonts w:ascii="Verdana" w:hAnsi="Verdana" w:cs="Arial"/>
          <w:sz w:val="20"/>
          <w:szCs w:val="20"/>
          <w:lang w:val="es-CR"/>
        </w:rPr>
        <w:t xml:space="preserve"> </w:t>
      </w:r>
      <w:r w:rsidR="009254F5" w:rsidRPr="00B660E9">
        <w:rPr>
          <w:rFonts w:ascii="Verdana" w:hAnsi="Verdana" w:cs="Arial"/>
          <w:sz w:val="20"/>
          <w:szCs w:val="20"/>
          <w:lang w:val="es-CR"/>
        </w:rPr>
        <w:t>bajo un análisis de los requisitos convencionales de las medidas provisionales.</w:t>
      </w:r>
    </w:p>
    <w:p w14:paraId="7CA10307" w14:textId="477065FD" w:rsidR="001420BE" w:rsidRPr="00B660E9" w:rsidRDefault="001420BE" w:rsidP="001420BE">
      <w:pPr>
        <w:numPr>
          <w:ilvl w:val="0"/>
          <w:numId w:val="2"/>
        </w:numPr>
        <w:spacing w:before="120" w:after="120"/>
        <w:ind w:left="0" w:firstLine="0"/>
        <w:jc w:val="both"/>
        <w:rPr>
          <w:rFonts w:ascii="Verdana" w:hAnsi="Verdana" w:cs="Arial"/>
          <w:sz w:val="20"/>
          <w:szCs w:val="20"/>
          <w:lang w:val="es-CR"/>
        </w:rPr>
      </w:pPr>
      <w:r w:rsidRPr="00B660E9">
        <w:rPr>
          <w:rFonts w:ascii="Verdana" w:hAnsi="Verdana" w:cs="Arial"/>
          <w:sz w:val="20"/>
          <w:szCs w:val="20"/>
          <w:lang w:val="es-CR"/>
        </w:rPr>
        <w:t xml:space="preserve">En lo que se refiere a </w:t>
      </w:r>
      <w:r w:rsidR="00E0505E" w:rsidRPr="00B660E9">
        <w:rPr>
          <w:rFonts w:ascii="Verdana" w:hAnsi="Verdana" w:cs="Arial"/>
          <w:sz w:val="20"/>
          <w:szCs w:val="20"/>
          <w:lang w:val="es-CR"/>
        </w:rPr>
        <w:t xml:space="preserve">los </w:t>
      </w:r>
      <w:r w:rsidR="009254F5" w:rsidRPr="00B660E9">
        <w:rPr>
          <w:rFonts w:ascii="Verdana" w:hAnsi="Verdana" w:cs="Arial"/>
          <w:sz w:val="20"/>
          <w:szCs w:val="20"/>
          <w:lang w:val="es-CR"/>
        </w:rPr>
        <w:t>procesos de investigación de casos que se ventilan en</w:t>
      </w:r>
      <w:r w:rsidR="009254F5" w:rsidRPr="00B660E9">
        <w:rPr>
          <w:rFonts w:ascii="Verdana" w:eastAsiaTheme="minorHAnsi" w:hAnsi="Verdana" w:cs="Verdana"/>
          <w:sz w:val="20"/>
          <w:szCs w:val="20"/>
          <w:lang w:val="es-CR"/>
        </w:rPr>
        <w:t xml:space="preserve"> </w:t>
      </w:r>
      <w:r w:rsidR="009254F5" w:rsidRPr="00B660E9">
        <w:rPr>
          <w:rFonts w:ascii="Verdana" w:hAnsi="Verdana" w:cs="Arial"/>
          <w:sz w:val="20"/>
          <w:szCs w:val="20"/>
          <w:lang w:val="es-CR"/>
        </w:rPr>
        <w:t xml:space="preserve">instancia nacional </w:t>
      </w:r>
      <w:r w:rsidRPr="00B660E9">
        <w:rPr>
          <w:rFonts w:ascii="Verdana" w:hAnsi="Verdana" w:cs="Arial"/>
          <w:sz w:val="20"/>
          <w:szCs w:val="20"/>
          <w:lang w:val="es-CR"/>
        </w:rPr>
        <w:t xml:space="preserve">a cargo de </w:t>
      </w:r>
      <w:r w:rsidR="00E0505E" w:rsidRPr="00B660E9">
        <w:rPr>
          <w:rFonts w:ascii="Verdana" w:hAnsi="Verdana" w:cs="Arial"/>
          <w:sz w:val="20"/>
          <w:szCs w:val="20"/>
          <w:lang w:val="es-CR"/>
        </w:rPr>
        <w:t xml:space="preserve">los fiscales y el auxiliar fiscal distintos al caso </w:t>
      </w:r>
      <w:r w:rsidR="00E0505E" w:rsidRPr="00B660E9">
        <w:rPr>
          <w:rFonts w:ascii="Verdana" w:hAnsi="Verdana" w:cs="Arial"/>
          <w:i/>
          <w:sz w:val="20"/>
          <w:szCs w:val="20"/>
          <w:lang w:val="es-CR"/>
        </w:rPr>
        <w:t>Valenzuela Ávila</w:t>
      </w:r>
      <w:r w:rsidR="00E0505E" w:rsidRPr="00B660E9">
        <w:rPr>
          <w:rFonts w:ascii="Verdana" w:hAnsi="Verdana" w:cs="Arial"/>
          <w:sz w:val="20"/>
          <w:szCs w:val="20"/>
          <w:lang w:val="es-CR"/>
        </w:rPr>
        <w:t xml:space="preserve">, el Estado </w:t>
      </w:r>
      <w:r w:rsidR="00E0505E" w:rsidRPr="00B660E9">
        <w:rPr>
          <w:rFonts w:ascii="Verdana" w:hAnsi="Verdana" w:cs="Arial"/>
          <w:bCs/>
          <w:sz w:val="20"/>
          <w:szCs w:val="20"/>
          <w:lang w:val="es-CR"/>
        </w:rPr>
        <w:t>solicitó a la Corte que, a la luz del referido artículo 27.3 del Reglamento, “</w:t>
      </w:r>
      <w:r w:rsidR="00E0505E" w:rsidRPr="00B660E9">
        <w:rPr>
          <w:rFonts w:ascii="Verdana" w:hAnsi="Verdana" w:cs="Arial"/>
          <w:sz w:val="20"/>
          <w:szCs w:val="20"/>
          <w:lang w:val="es-CR"/>
        </w:rPr>
        <w:t>no</w:t>
      </w:r>
      <w:r w:rsidR="00E0505E" w:rsidRPr="00B660E9">
        <w:rPr>
          <w:rFonts w:ascii="Verdana" w:hAnsi="Verdana" w:cs="Arial"/>
          <w:bCs/>
          <w:sz w:val="20"/>
          <w:szCs w:val="20"/>
          <w:lang w:val="es-CR"/>
        </w:rPr>
        <w:t xml:space="preserve"> </w:t>
      </w:r>
      <w:r w:rsidR="00E0505E" w:rsidRPr="00B660E9">
        <w:rPr>
          <w:rFonts w:ascii="Verdana" w:hAnsi="Verdana" w:cs="Arial"/>
          <w:sz w:val="20"/>
          <w:szCs w:val="20"/>
          <w:lang w:val="es-CR"/>
        </w:rPr>
        <w:t>sean valorados dentro del presente caso, en virtud que los mismos constituyen pretensiones ajenas</w:t>
      </w:r>
      <w:r w:rsidR="00E0505E" w:rsidRPr="00B660E9">
        <w:rPr>
          <w:rFonts w:ascii="Verdana" w:hAnsi="Verdana" w:cs="Arial"/>
          <w:bCs/>
          <w:sz w:val="20"/>
          <w:szCs w:val="20"/>
          <w:lang w:val="es-CR"/>
        </w:rPr>
        <w:t xml:space="preserve"> </w:t>
      </w:r>
      <w:r w:rsidR="00E0505E" w:rsidRPr="00B660E9">
        <w:rPr>
          <w:rFonts w:ascii="Verdana" w:hAnsi="Verdana" w:cs="Arial"/>
          <w:sz w:val="20"/>
          <w:szCs w:val="20"/>
          <w:lang w:val="es-CR"/>
        </w:rPr>
        <w:t xml:space="preserve">al </w:t>
      </w:r>
      <w:r w:rsidRPr="00B660E9">
        <w:rPr>
          <w:rFonts w:ascii="Verdana" w:hAnsi="Verdana" w:cs="Arial"/>
          <w:sz w:val="20"/>
          <w:szCs w:val="20"/>
          <w:lang w:val="es-CR"/>
        </w:rPr>
        <w:t>c</w:t>
      </w:r>
      <w:r w:rsidR="00E0505E" w:rsidRPr="00B660E9">
        <w:rPr>
          <w:rFonts w:ascii="Verdana" w:hAnsi="Verdana" w:cs="Arial"/>
          <w:sz w:val="20"/>
          <w:szCs w:val="20"/>
          <w:lang w:val="es-CR"/>
        </w:rPr>
        <w:t>aso</w:t>
      </w:r>
      <w:r w:rsidRPr="00B660E9">
        <w:rPr>
          <w:rFonts w:ascii="Verdana" w:hAnsi="Verdana" w:cs="Arial"/>
          <w:i/>
          <w:sz w:val="20"/>
          <w:szCs w:val="20"/>
          <w:lang w:val="es-CR"/>
        </w:rPr>
        <w:t xml:space="preserve"> </w:t>
      </w:r>
      <w:r w:rsidRPr="00B660E9">
        <w:rPr>
          <w:rFonts w:ascii="Verdana" w:hAnsi="Verdana" w:cs="Arial"/>
          <w:sz w:val="20"/>
          <w:szCs w:val="20"/>
          <w:lang w:val="es-CR"/>
        </w:rPr>
        <w:t xml:space="preserve">[…] </w:t>
      </w:r>
      <w:r w:rsidR="00483D66">
        <w:rPr>
          <w:rFonts w:ascii="Verdana" w:hAnsi="Verdana" w:cs="Arial"/>
          <w:sz w:val="20"/>
          <w:szCs w:val="20"/>
          <w:lang w:val="es-CR"/>
        </w:rPr>
        <w:t>y l[a]</w:t>
      </w:r>
      <w:r w:rsidR="00E0505E" w:rsidRPr="00B660E9">
        <w:rPr>
          <w:rFonts w:ascii="Verdana" w:hAnsi="Verdana" w:cs="Arial"/>
          <w:sz w:val="20"/>
          <w:szCs w:val="20"/>
          <w:lang w:val="es-CR"/>
        </w:rPr>
        <w:t>s representantes no comprueban la conexión que sus</w:t>
      </w:r>
      <w:r w:rsidR="00E0505E" w:rsidRPr="00B660E9">
        <w:rPr>
          <w:rFonts w:ascii="Verdana" w:hAnsi="Verdana" w:cs="Arial"/>
          <w:bCs/>
          <w:sz w:val="20"/>
          <w:szCs w:val="20"/>
          <w:lang w:val="es-CR"/>
        </w:rPr>
        <w:t xml:space="preserve"> </w:t>
      </w:r>
      <w:r w:rsidR="00E0505E" w:rsidRPr="00B660E9">
        <w:rPr>
          <w:rFonts w:ascii="Verdana" w:hAnsi="Verdana" w:cs="Arial"/>
          <w:sz w:val="20"/>
          <w:szCs w:val="20"/>
          <w:lang w:val="es-CR"/>
        </w:rPr>
        <w:t>argumentos pueden tener sobre el caso de referencia”.</w:t>
      </w:r>
    </w:p>
    <w:p w14:paraId="47FE17FB" w14:textId="6C20EFA6" w:rsidR="001420BE" w:rsidRPr="00B660E9" w:rsidRDefault="00490C5E" w:rsidP="001420BE">
      <w:pPr>
        <w:numPr>
          <w:ilvl w:val="0"/>
          <w:numId w:val="2"/>
        </w:numPr>
        <w:spacing w:before="120" w:after="120"/>
        <w:ind w:left="0" w:firstLine="0"/>
        <w:jc w:val="both"/>
        <w:rPr>
          <w:rFonts w:ascii="Verdana" w:hAnsi="Verdana" w:cs="Arial"/>
          <w:sz w:val="20"/>
          <w:szCs w:val="20"/>
          <w:lang w:val="es-CR"/>
        </w:rPr>
      </w:pPr>
      <w:r>
        <w:rPr>
          <w:rFonts w:ascii="Verdana" w:hAnsi="Verdana" w:cs="Arial"/>
          <w:bCs/>
          <w:sz w:val="20"/>
          <w:szCs w:val="20"/>
          <w:lang w:val="es-CR"/>
        </w:rPr>
        <w:t xml:space="preserve">Guatemala sostuvo </w:t>
      </w:r>
      <w:r w:rsidR="001420BE" w:rsidRPr="00B660E9">
        <w:rPr>
          <w:rFonts w:ascii="Verdana" w:hAnsi="Verdana" w:cs="Arial"/>
          <w:bCs/>
          <w:sz w:val="20"/>
          <w:szCs w:val="20"/>
          <w:lang w:val="es-CR"/>
        </w:rPr>
        <w:t>que</w:t>
      </w:r>
      <w:r w:rsidR="00E0505E" w:rsidRPr="00B660E9">
        <w:rPr>
          <w:rFonts w:ascii="Verdana" w:hAnsi="Verdana" w:cs="Arial"/>
          <w:bCs/>
          <w:sz w:val="20"/>
          <w:szCs w:val="20"/>
          <w:lang w:val="es-CR"/>
        </w:rPr>
        <w:t xml:space="preserve"> l</w:t>
      </w:r>
      <w:r w:rsidR="00483D66">
        <w:rPr>
          <w:rFonts w:ascii="Verdana" w:hAnsi="Verdana" w:cs="Arial"/>
          <w:bCs/>
          <w:sz w:val="20"/>
          <w:szCs w:val="20"/>
          <w:lang w:val="es-CR"/>
        </w:rPr>
        <w:t>a</w:t>
      </w:r>
      <w:r w:rsidR="00E0505E" w:rsidRPr="00B660E9">
        <w:rPr>
          <w:rFonts w:ascii="Verdana" w:hAnsi="Verdana" w:cs="Arial"/>
          <w:bCs/>
          <w:sz w:val="20"/>
          <w:szCs w:val="20"/>
          <w:lang w:val="es-CR"/>
        </w:rPr>
        <w:t>s representantes “</w:t>
      </w:r>
      <w:r w:rsidR="001420BE" w:rsidRPr="00B660E9">
        <w:rPr>
          <w:rFonts w:ascii="Verdana" w:hAnsi="Verdana" w:cs="Arial"/>
          <w:sz w:val="20"/>
          <w:szCs w:val="20"/>
          <w:lang w:val="es-CR"/>
        </w:rPr>
        <w:t xml:space="preserve">no han probado </w:t>
      </w:r>
      <w:r w:rsidR="001420BE" w:rsidRPr="00B660E9">
        <w:rPr>
          <w:rFonts w:ascii="Verdana" w:hAnsi="Verdana" w:cs="Arial"/>
          <w:i/>
          <w:iCs/>
          <w:sz w:val="20"/>
          <w:szCs w:val="20"/>
          <w:lang w:val="es-CR"/>
        </w:rPr>
        <w:t xml:space="preserve">prima facie </w:t>
      </w:r>
      <w:r w:rsidR="001420BE" w:rsidRPr="00B660E9">
        <w:rPr>
          <w:rFonts w:ascii="Verdana" w:hAnsi="Verdana" w:cs="Arial"/>
          <w:sz w:val="20"/>
          <w:szCs w:val="20"/>
          <w:lang w:val="es-CR"/>
        </w:rPr>
        <w:t>los elementos de extrema gravedad, urgencia y daño irreparable”</w:t>
      </w:r>
      <w:r w:rsidR="00182605">
        <w:rPr>
          <w:rFonts w:ascii="Verdana" w:hAnsi="Verdana" w:cs="Arial"/>
          <w:sz w:val="20"/>
          <w:szCs w:val="20"/>
          <w:lang w:val="es-CR"/>
        </w:rPr>
        <w:t>,</w:t>
      </w:r>
      <w:r w:rsidR="001420BE" w:rsidRPr="00B660E9">
        <w:rPr>
          <w:rFonts w:ascii="Verdana" w:hAnsi="Verdana" w:cs="Arial"/>
          <w:sz w:val="20"/>
          <w:szCs w:val="20"/>
          <w:lang w:val="es-CR"/>
        </w:rPr>
        <w:t xml:space="preserve"> </w:t>
      </w:r>
      <w:r>
        <w:rPr>
          <w:rFonts w:ascii="Verdana" w:hAnsi="Verdana" w:cs="Arial"/>
          <w:sz w:val="20"/>
          <w:szCs w:val="20"/>
          <w:lang w:val="es-CR"/>
        </w:rPr>
        <w:t xml:space="preserve">respecto a lo cual </w:t>
      </w:r>
      <w:r w:rsidR="001420BE" w:rsidRPr="00B660E9">
        <w:rPr>
          <w:rFonts w:ascii="Verdana" w:hAnsi="Verdana" w:cs="Arial"/>
          <w:sz w:val="20"/>
          <w:szCs w:val="20"/>
          <w:lang w:val="es-CR"/>
        </w:rPr>
        <w:t>indicó lo siguiente:</w:t>
      </w:r>
    </w:p>
    <w:p w14:paraId="79EADC82" w14:textId="70DF12BB" w:rsidR="00E0505E" w:rsidRPr="00B660E9" w:rsidRDefault="00E0505E" w:rsidP="00352BCD">
      <w:pPr>
        <w:pStyle w:val="Prrafodelista"/>
        <w:numPr>
          <w:ilvl w:val="0"/>
          <w:numId w:val="11"/>
        </w:numPr>
        <w:autoSpaceDE w:val="0"/>
        <w:autoSpaceDN w:val="0"/>
        <w:adjustRightInd w:val="0"/>
        <w:ind w:left="851" w:hanging="425"/>
        <w:jc w:val="both"/>
        <w:rPr>
          <w:rFonts w:ascii="Verdana" w:hAnsi="Verdana" w:cs="Arial"/>
          <w:bCs/>
          <w:sz w:val="20"/>
          <w:szCs w:val="20"/>
          <w:lang w:val="es-CR"/>
        </w:rPr>
      </w:pPr>
      <w:r w:rsidRPr="00B660E9">
        <w:rPr>
          <w:rFonts w:ascii="Verdana" w:hAnsi="Verdana" w:cs="Arial"/>
          <w:bCs/>
          <w:sz w:val="20"/>
          <w:szCs w:val="20"/>
          <w:lang w:val="es-CR"/>
        </w:rPr>
        <w:t>L</w:t>
      </w:r>
      <w:r w:rsidR="00483D66">
        <w:rPr>
          <w:rFonts w:ascii="Verdana" w:hAnsi="Verdana" w:cs="Arial"/>
          <w:bCs/>
          <w:sz w:val="20"/>
          <w:szCs w:val="20"/>
          <w:lang w:val="es-CR"/>
        </w:rPr>
        <w:t>a</w:t>
      </w:r>
      <w:r w:rsidRPr="00B660E9">
        <w:rPr>
          <w:rFonts w:ascii="Verdana" w:hAnsi="Verdana" w:cs="Arial"/>
          <w:bCs/>
          <w:sz w:val="20"/>
          <w:szCs w:val="20"/>
          <w:lang w:val="es-CR"/>
        </w:rPr>
        <w:t>s representantes fundamenta</w:t>
      </w:r>
      <w:r w:rsidR="003A6EE1">
        <w:rPr>
          <w:rFonts w:ascii="Verdana" w:hAnsi="Verdana" w:cs="Arial"/>
          <w:bCs/>
          <w:sz w:val="20"/>
          <w:szCs w:val="20"/>
          <w:lang w:val="es-CR"/>
        </w:rPr>
        <w:t>ro</w:t>
      </w:r>
      <w:r w:rsidRPr="00B660E9">
        <w:rPr>
          <w:rFonts w:ascii="Verdana" w:hAnsi="Verdana" w:cs="Arial"/>
          <w:bCs/>
          <w:sz w:val="20"/>
          <w:szCs w:val="20"/>
          <w:lang w:val="es-CR"/>
        </w:rPr>
        <w:t xml:space="preserve">n la </w:t>
      </w:r>
      <w:r w:rsidRPr="00C268F0">
        <w:rPr>
          <w:rFonts w:ascii="Verdana" w:hAnsi="Verdana" w:cs="Arial"/>
          <w:bCs/>
          <w:i/>
          <w:sz w:val="20"/>
          <w:szCs w:val="20"/>
          <w:lang w:val="es-CR"/>
        </w:rPr>
        <w:t xml:space="preserve">extrema gravedad </w:t>
      </w:r>
      <w:r w:rsidR="005152B4" w:rsidRPr="00C268F0">
        <w:rPr>
          <w:rFonts w:ascii="Verdana" w:hAnsi="Verdana" w:cs="Arial"/>
          <w:bCs/>
          <w:i/>
          <w:sz w:val="20"/>
          <w:szCs w:val="20"/>
          <w:lang w:val="es-CR"/>
        </w:rPr>
        <w:t>y urgencia</w:t>
      </w:r>
      <w:r w:rsidR="005152B4">
        <w:rPr>
          <w:rFonts w:ascii="Verdana" w:hAnsi="Verdana" w:cs="Arial"/>
          <w:bCs/>
          <w:sz w:val="20"/>
          <w:szCs w:val="20"/>
          <w:lang w:val="es-CR"/>
        </w:rPr>
        <w:t xml:space="preserve"> </w:t>
      </w:r>
      <w:r w:rsidR="00884D8A" w:rsidRPr="00B660E9">
        <w:rPr>
          <w:rFonts w:ascii="Verdana" w:hAnsi="Verdana" w:cs="Arial"/>
          <w:bCs/>
          <w:sz w:val="20"/>
          <w:szCs w:val="20"/>
          <w:lang w:val="es-CR"/>
        </w:rPr>
        <w:t>“</w:t>
      </w:r>
      <w:r w:rsidRPr="00B660E9">
        <w:rPr>
          <w:rFonts w:ascii="Verdana" w:hAnsi="Verdana" w:cs="Arial"/>
          <w:bCs/>
          <w:sz w:val="20"/>
          <w:szCs w:val="20"/>
          <w:lang w:val="es-CR"/>
        </w:rPr>
        <w:t xml:space="preserve">en percepciones </w:t>
      </w:r>
      <w:r w:rsidR="002B726D" w:rsidRPr="00B660E9">
        <w:rPr>
          <w:rFonts w:ascii="Verdana" w:hAnsi="Verdana" w:cs="Arial"/>
          <w:bCs/>
          <w:sz w:val="20"/>
          <w:szCs w:val="20"/>
          <w:lang w:val="es-CR"/>
        </w:rPr>
        <w:t>subjetivas</w:t>
      </w:r>
      <w:r w:rsidR="00884D8A" w:rsidRPr="00B660E9">
        <w:rPr>
          <w:rFonts w:ascii="Verdana" w:hAnsi="Verdana" w:cs="Arial"/>
          <w:bCs/>
          <w:sz w:val="20"/>
          <w:szCs w:val="20"/>
          <w:lang w:val="es-CR"/>
        </w:rPr>
        <w:t>”</w:t>
      </w:r>
      <w:r w:rsidR="005152B4">
        <w:rPr>
          <w:rFonts w:ascii="Verdana" w:hAnsi="Verdana" w:cs="Arial"/>
          <w:bCs/>
          <w:sz w:val="20"/>
          <w:szCs w:val="20"/>
          <w:lang w:val="es-CR"/>
        </w:rPr>
        <w:t xml:space="preserve">, ya que </w:t>
      </w:r>
      <w:r w:rsidR="005152B4" w:rsidRPr="00B660E9">
        <w:rPr>
          <w:rFonts w:ascii="Verdana" w:hAnsi="Verdana" w:cs="Arial"/>
          <w:bCs/>
          <w:sz w:val="20"/>
          <w:szCs w:val="20"/>
          <w:lang w:val="es-CR"/>
        </w:rPr>
        <w:t>“</w:t>
      </w:r>
      <w:r w:rsidR="005152B4">
        <w:rPr>
          <w:rFonts w:ascii="Verdana" w:hAnsi="Verdana" w:cs="Arial"/>
          <w:sz w:val="20"/>
          <w:szCs w:val="20"/>
          <w:lang w:val="es-CR"/>
        </w:rPr>
        <w:t>l</w:t>
      </w:r>
      <w:r w:rsidR="005152B4" w:rsidRPr="00B660E9">
        <w:rPr>
          <w:rFonts w:ascii="Verdana" w:hAnsi="Verdana" w:cs="Arial"/>
          <w:sz w:val="20"/>
          <w:szCs w:val="20"/>
          <w:lang w:val="es-CR"/>
        </w:rPr>
        <w:t>os operadores de justicia gozan de esquemas de seguridad brindados por el Ministerio Público” y “un esquema de seguridad brindado por el Ministerio de Gobernación […] se encuentra a disposición del e</w:t>
      </w:r>
      <w:r w:rsidR="005152B4">
        <w:rPr>
          <w:rFonts w:ascii="Verdana" w:hAnsi="Verdana" w:cs="Arial"/>
          <w:sz w:val="20"/>
          <w:szCs w:val="20"/>
          <w:lang w:val="es-CR"/>
        </w:rPr>
        <w:t>x Fiscal</w:t>
      </w:r>
      <w:r w:rsidR="005B3268">
        <w:rPr>
          <w:rFonts w:ascii="Verdana" w:hAnsi="Verdana" w:cs="Arial"/>
          <w:sz w:val="20"/>
          <w:szCs w:val="20"/>
          <w:lang w:val="es-CR"/>
        </w:rPr>
        <w:t xml:space="preserve"> [Sandoval]</w:t>
      </w:r>
      <w:r w:rsidR="00996F94">
        <w:rPr>
          <w:rFonts w:ascii="Verdana" w:hAnsi="Verdana" w:cs="Arial"/>
          <w:sz w:val="20"/>
          <w:szCs w:val="20"/>
          <w:lang w:val="es-CR"/>
        </w:rPr>
        <w:t>”</w:t>
      </w:r>
      <w:r w:rsidR="005152B4">
        <w:rPr>
          <w:rFonts w:ascii="Verdana" w:hAnsi="Verdana" w:cs="Arial"/>
          <w:sz w:val="20"/>
          <w:szCs w:val="20"/>
          <w:lang w:val="es-CR"/>
        </w:rPr>
        <w:t xml:space="preserve">. Enfatizó que </w:t>
      </w:r>
      <w:r w:rsidR="005152B4">
        <w:rPr>
          <w:rFonts w:ascii="Verdana" w:hAnsi="Verdana" w:cs="Arial"/>
          <w:bCs/>
          <w:sz w:val="20"/>
          <w:szCs w:val="20"/>
          <w:lang w:val="es-CR"/>
        </w:rPr>
        <w:t>l</w:t>
      </w:r>
      <w:r w:rsidR="00490C5E">
        <w:rPr>
          <w:rFonts w:ascii="Verdana" w:hAnsi="Verdana" w:cs="Arial"/>
          <w:bCs/>
          <w:sz w:val="20"/>
          <w:szCs w:val="20"/>
          <w:lang w:val="es-CR"/>
        </w:rPr>
        <w:t xml:space="preserve">as </w:t>
      </w:r>
      <w:r w:rsidR="00F07C5A" w:rsidRPr="00B660E9">
        <w:rPr>
          <w:rFonts w:ascii="Verdana" w:hAnsi="Verdana" w:cs="Arial"/>
          <w:bCs/>
          <w:sz w:val="20"/>
          <w:szCs w:val="20"/>
          <w:lang w:val="es-CR"/>
        </w:rPr>
        <w:t xml:space="preserve">acciones </w:t>
      </w:r>
      <w:r w:rsidR="004235DB">
        <w:rPr>
          <w:rFonts w:ascii="Verdana" w:hAnsi="Verdana" w:cs="Arial"/>
          <w:bCs/>
          <w:sz w:val="20"/>
          <w:szCs w:val="20"/>
          <w:lang w:val="es-CR"/>
        </w:rPr>
        <w:t xml:space="preserve">para </w:t>
      </w:r>
      <w:r w:rsidR="00F07C5A" w:rsidRPr="00B660E9">
        <w:rPr>
          <w:rFonts w:ascii="Verdana" w:hAnsi="Verdana" w:cs="Arial"/>
          <w:bCs/>
          <w:sz w:val="20"/>
          <w:szCs w:val="20"/>
          <w:lang w:val="es-CR"/>
        </w:rPr>
        <w:t xml:space="preserve">“garantizar la seguridad de los operadores de justicia y del ex Fiscal, […] son informadas periódicamente en el marco de la supervisión de cumplimiento de la </w:t>
      </w:r>
      <w:r w:rsidR="00996F94">
        <w:rPr>
          <w:rFonts w:ascii="Verdana" w:hAnsi="Verdana" w:cs="Arial"/>
          <w:bCs/>
          <w:sz w:val="20"/>
          <w:szCs w:val="20"/>
          <w:lang w:val="es-CR"/>
        </w:rPr>
        <w:t>[S]</w:t>
      </w:r>
      <w:proofErr w:type="spellStart"/>
      <w:r w:rsidR="00F07C5A" w:rsidRPr="00B660E9">
        <w:rPr>
          <w:rFonts w:ascii="Verdana" w:hAnsi="Verdana" w:cs="Arial"/>
          <w:bCs/>
          <w:sz w:val="20"/>
          <w:szCs w:val="20"/>
          <w:lang w:val="es-CR"/>
        </w:rPr>
        <w:t>entencia</w:t>
      </w:r>
      <w:proofErr w:type="spellEnd"/>
      <w:r w:rsidR="00F07C5A" w:rsidRPr="00B660E9">
        <w:rPr>
          <w:rFonts w:ascii="Verdana" w:hAnsi="Verdana" w:cs="Arial"/>
          <w:bCs/>
          <w:sz w:val="20"/>
          <w:szCs w:val="20"/>
          <w:lang w:val="es-CR"/>
        </w:rPr>
        <w:t xml:space="preserve"> dictada dentro del caso </w:t>
      </w:r>
      <w:r w:rsidR="00F07C5A" w:rsidRPr="00B660E9">
        <w:rPr>
          <w:rFonts w:ascii="Verdana" w:hAnsi="Verdana" w:cs="Arial"/>
          <w:bCs/>
          <w:i/>
          <w:sz w:val="20"/>
          <w:szCs w:val="20"/>
          <w:lang w:val="es-CR"/>
        </w:rPr>
        <w:t>Valenzuela Ávila</w:t>
      </w:r>
      <w:r w:rsidR="00F07C5A" w:rsidRPr="00B660E9">
        <w:rPr>
          <w:rFonts w:ascii="Verdana" w:hAnsi="Verdana" w:cs="Arial"/>
          <w:bCs/>
          <w:sz w:val="20"/>
          <w:szCs w:val="20"/>
          <w:lang w:val="es-CR"/>
        </w:rPr>
        <w:t xml:space="preserve"> […], así como los informes periódicos de la supervisión reforzada en el caso </w:t>
      </w:r>
      <w:r w:rsidR="00F07C5A" w:rsidRPr="00B660E9">
        <w:rPr>
          <w:rFonts w:ascii="Verdana" w:hAnsi="Verdana" w:cs="Arial"/>
          <w:bCs/>
          <w:i/>
          <w:sz w:val="20"/>
          <w:szCs w:val="20"/>
          <w:lang w:val="es-CR"/>
        </w:rPr>
        <w:t>Ruiz Fuentes y otra</w:t>
      </w:r>
      <w:r w:rsidR="00F07C5A" w:rsidRPr="00B660E9">
        <w:rPr>
          <w:rFonts w:ascii="Verdana" w:hAnsi="Verdana" w:cs="Arial"/>
          <w:bCs/>
          <w:sz w:val="20"/>
          <w:szCs w:val="20"/>
          <w:lang w:val="es-CR"/>
        </w:rPr>
        <w:t>” (</w:t>
      </w:r>
      <w:r w:rsidR="00F07C5A" w:rsidRPr="00B660E9">
        <w:rPr>
          <w:rFonts w:ascii="Verdana" w:hAnsi="Verdana" w:cs="Arial"/>
          <w:bCs/>
          <w:i/>
          <w:sz w:val="20"/>
          <w:szCs w:val="20"/>
          <w:lang w:val="es-CR"/>
        </w:rPr>
        <w:t>infra</w:t>
      </w:r>
      <w:r w:rsidR="00F07C5A" w:rsidRPr="00B660E9">
        <w:rPr>
          <w:rFonts w:ascii="Verdana" w:hAnsi="Verdana" w:cs="Arial"/>
          <w:bCs/>
          <w:sz w:val="20"/>
          <w:szCs w:val="20"/>
          <w:lang w:val="es-CR"/>
        </w:rPr>
        <w:t xml:space="preserve"> Considerando </w:t>
      </w:r>
      <w:r w:rsidR="00CA4094">
        <w:rPr>
          <w:rFonts w:ascii="Verdana" w:hAnsi="Verdana" w:cs="Arial"/>
          <w:bCs/>
          <w:sz w:val="20"/>
          <w:szCs w:val="20"/>
          <w:lang w:val="es-CR"/>
        </w:rPr>
        <w:t>27</w:t>
      </w:r>
      <w:r w:rsidR="00F07C5A" w:rsidRPr="00CA4094">
        <w:rPr>
          <w:rFonts w:ascii="Verdana" w:hAnsi="Verdana" w:cs="Arial"/>
          <w:bCs/>
          <w:sz w:val="20"/>
          <w:szCs w:val="20"/>
          <w:lang w:val="es-CR"/>
        </w:rPr>
        <w:t>)</w:t>
      </w:r>
      <w:r w:rsidR="00F07C5A" w:rsidRPr="00B660E9">
        <w:rPr>
          <w:rFonts w:ascii="Verdana" w:hAnsi="Verdana" w:cs="Arial"/>
          <w:bCs/>
          <w:sz w:val="20"/>
          <w:szCs w:val="20"/>
          <w:lang w:val="es-CR"/>
        </w:rPr>
        <w:t xml:space="preserve">. </w:t>
      </w:r>
      <w:r w:rsidR="00490C5E">
        <w:rPr>
          <w:rFonts w:ascii="Verdana" w:hAnsi="Verdana" w:cs="Arial"/>
          <w:bCs/>
          <w:sz w:val="20"/>
          <w:szCs w:val="20"/>
          <w:lang w:val="es-CR"/>
        </w:rPr>
        <w:t xml:space="preserve">Sostuvo que </w:t>
      </w:r>
      <w:r w:rsidR="002634DD" w:rsidRPr="00B660E9">
        <w:rPr>
          <w:rFonts w:ascii="Verdana" w:hAnsi="Verdana" w:cs="Arial"/>
          <w:bCs/>
          <w:sz w:val="20"/>
          <w:szCs w:val="20"/>
          <w:lang w:val="es-CR"/>
        </w:rPr>
        <w:t xml:space="preserve">la </w:t>
      </w:r>
      <w:r w:rsidRPr="00B660E9">
        <w:rPr>
          <w:rFonts w:ascii="Verdana" w:hAnsi="Verdana" w:cs="Arial"/>
          <w:iCs/>
          <w:sz w:val="20"/>
          <w:szCs w:val="20"/>
          <w:lang w:val="es-CR"/>
        </w:rPr>
        <w:t xml:space="preserve">destitución del </w:t>
      </w:r>
      <w:r w:rsidR="00996F94">
        <w:rPr>
          <w:rFonts w:ascii="Verdana" w:hAnsi="Verdana" w:cs="Arial"/>
          <w:iCs/>
          <w:sz w:val="20"/>
          <w:szCs w:val="20"/>
          <w:lang w:val="es-CR"/>
        </w:rPr>
        <w:t>e</w:t>
      </w:r>
      <w:r w:rsidR="002634DD" w:rsidRPr="00B660E9">
        <w:rPr>
          <w:rFonts w:ascii="Verdana" w:hAnsi="Verdana" w:cs="Arial"/>
          <w:iCs/>
          <w:sz w:val="20"/>
          <w:szCs w:val="20"/>
          <w:lang w:val="es-CR"/>
        </w:rPr>
        <w:t xml:space="preserve">x Fiscal </w:t>
      </w:r>
      <w:r w:rsidRPr="00B660E9">
        <w:rPr>
          <w:rFonts w:ascii="Verdana" w:hAnsi="Verdana" w:cs="Arial"/>
          <w:iCs/>
          <w:sz w:val="20"/>
          <w:szCs w:val="20"/>
          <w:lang w:val="es-CR"/>
        </w:rPr>
        <w:t>Sandoval</w:t>
      </w:r>
      <w:r w:rsidR="00490C5E">
        <w:rPr>
          <w:rFonts w:ascii="Verdana" w:hAnsi="Verdana" w:cs="Arial"/>
          <w:iCs/>
          <w:sz w:val="20"/>
          <w:szCs w:val="20"/>
          <w:lang w:val="es-CR"/>
        </w:rPr>
        <w:t xml:space="preserve"> </w:t>
      </w:r>
      <w:r w:rsidRPr="00B660E9">
        <w:rPr>
          <w:rFonts w:ascii="Verdana" w:hAnsi="Verdana" w:cs="Arial"/>
          <w:iCs/>
          <w:sz w:val="20"/>
          <w:szCs w:val="20"/>
          <w:lang w:val="es-CR"/>
        </w:rPr>
        <w:t>“</w:t>
      </w:r>
      <w:r w:rsidRPr="00B660E9">
        <w:rPr>
          <w:rFonts w:ascii="Verdana" w:hAnsi="Verdana" w:cs="Arial"/>
          <w:sz w:val="20"/>
          <w:szCs w:val="20"/>
          <w:lang w:val="es-CR"/>
        </w:rPr>
        <w:t xml:space="preserve">no </w:t>
      </w:r>
      <w:r w:rsidRPr="00B660E9">
        <w:rPr>
          <w:rFonts w:ascii="Verdana" w:hAnsi="Verdana" w:cs="Arial"/>
          <w:sz w:val="20"/>
          <w:szCs w:val="20"/>
          <w:lang w:val="es-CR"/>
        </w:rPr>
        <w:lastRenderedPageBreak/>
        <w:t>se realizó con la intención de intimidar a ninguna persona, sino, más bien, como una medida para</w:t>
      </w:r>
      <w:r w:rsidRPr="00B660E9">
        <w:rPr>
          <w:rFonts w:ascii="Verdana" w:hAnsi="Verdana" w:cs="Arial"/>
          <w:iCs/>
          <w:sz w:val="20"/>
          <w:szCs w:val="20"/>
          <w:lang w:val="es-CR"/>
        </w:rPr>
        <w:t xml:space="preserve"> preservar el buen funcionamiento del Ministerio Público”. </w:t>
      </w:r>
      <w:r w:rsidR="002634DD" w:rsidRPr="00B660E9">
        <w:rPr>
          <w:rFonts w:ascii="Verdana" w:hAnsi="Verdana" w:cs="Arial"/>
          <w:iCs/>
          <w:sz w:val="20"/>
          <w:szCs w:val="20"/>
          <w:lang w:val="es-CR"/>
        </w:rPr>
        <w:t>Sobre el</w:t>
      </w:r>
      <w:r w:rsidR="00483D66">
        <w:rPr>
          <w:rFonts w:ascii="Verdana" w:hAnsi="Verdana" w:cs="Arial"/>
          <w:iCs/>
          <w:sz w:val="20"/>
          <w:szCs w:val="20"/>
          <w:lang w:val="es-CR"/>
        </w:rPr>
        <w:t xml:space="preserve"> alegato de la</w:t>
      </w:r>
      <w:r w:rsidRPr="00B660E9">
        <w:rPr>
          <w:rFonts w:ascii="Verdana" w:hAnsi="Verdana" w:cs="Arial"/>
          <w:iCs/>
          <w:sz w:val="20"/>
          <w:szCs w:val="20"/>
          <w:lang w:val="es-CR"/>
        </w:rPr>
        <w:t>s representantes de que “existen evidencias de seguimiento y vigilancia contra los fiscales de la FECI</w:t>
      </w:r>
      <w:r w:rsidR="002634DD" w:rsidRPr="00B660E9">
        <w:rPr>
          <w:rFonts w:ascii="Verdana" w:hAnsi="Verdana" w:cs="Arial"/>
          <w:iCs/>
          <w:sz w:val="20"/>
          <w:szCs w:val="20"/>
          <w:lang w:val="es-CR"/>
        </w:rPr>
        <w:t>”</w:t>
      </w:r>
      <w:r w:rsidRPr="00B660E9">
        <w:rPr>
          <w:rFonts w:ascii="Verdana" w:hAnsi="Verdana" w:cs="Arial"/>
          <w:iCs/>
          <w:sz w:val="20"/>
          <w:szCs w:val="20"/>
          <w:lang w:val="es-CR"/>
        </w:rPr>
        <w:t xml:space="preserve">, </w:t>
      </w:r>
      <w:r w:rsidR="002634DD" w:rsidRPr="00B660E9">
        <w:rPr>
          <w:rFonts w:ascii="Verdana" w:hAnsi="Verdana" w:cs="Arial"/>
          <w:iCs/>
          <w:sz w:val="20"/>
          <w:szCs w:val="20"/>
          <w:lang w:val="es-CR"/>
        </w:rPr>
        <w:t xml:space="preserve">reiteró que </w:t>
      </w:r>
      <w:r w:rsidR="00D309A9" w:rsidRPr="00B660E9">
        <w:rPr>
          <w:rFonts w:ascii="Verdana" w:hAnsi="Verdana" w:cs="Arial"/>
          <w:iCs/>
          <w:sz w:val="20"/>
          <w:szCs w:val="20"/>
          <w:lang w:val="es-CR"/>
        </w:rPr>
        <w:t>aquellos</w:t>
      </w:r>
      <w:r w:rsidR="002634DD" w:rsidRPr="00B660E9">
        <w:rPr>
          <w:rFonts w:ascii="Verdana" w:hAnsi="Verdana" w:cs="Arial"/>
          <w:iCs/>
          <w:sz w:val="20"/>
          <w:szCs w:val="20"/>
          <w:lang w:val="es-CR"/>
        </w:rPr>
        <w:t xml:space="preserve"> </w:t>
      </w:r>
      <w:r w:rsidRPr="00B660E9">
        <w:rPr>
          <w:rFonts w:ascii="Verdana" w:hAnsi="Verdana" w:cs="Arial"/>
          <w:iCs/>
          <w:sz w:val="20"/>
          <w:szCs w:val="20"/>
          <w:lang w:val="es-CR"/>
        </w:rPr>
        <w:t>cuentan con un esquema de seguridad,</w:t>
      </w:r>
      <w:r w:rsidR="005152B4">
        <w:rPr>
          <w:rFonts w:ascii="Verdana" w:hAnsi="Verdana" w:cs="Arial"/>
          <w:iCs/>
          <w:sz w:val="20"/>
          <w:szCs w:val="20"/>
          <w:lang w:val="es-CR"/>
        </w:rPr>
        <w:t xml:space="preserve"> y</w:t>
      </w:r>
      <w:r w:rsidRPr="00B660E9">
        <w:rPr>
          <w:rFonts w:ascii="Verdana" w:hAnsi="Verdana" w:cs="Arial"/>
          <w:iCs/>
          <w:sz w:val="20"/>
          <w:szCs w:val="20"/>
          <w:lang w:val="es-CR"/>
        </w:rPr>
        <w:t xml:space="preserve"> que</w:t>
      </w:r>
      <w:r w:rsidR="002634DD" w:rsidRPr="00B660E9">
        <w:rPr>
          <w:rFonts w:ascii="Verdana" w:hAnsi="Verdana" w:cs="Arial"/>
          <w:iCs/>
          <w:sz w:val="20"/>
          <w:szCs w:val="20"/>
          <w:lang w:val="es-CR"/>
        </w:rPr>
        <w:t xml:space="preserve"> se</w:t>
      </w:r>
      <w:r w:rsidRPr="00B660E9">
        <w:rPr>
          <w:rFonts w:ascii="Verdana" w:hAnsi="Verdana" w:cs="Arial"/>
          <w:iCs/>
          <w:sz w:val="20"/>
          <w:szCs w:val="20"/>
          <w:lang w:val="es-CR"/>
        </w:rPr>
        <w:t xml:space="preserve"> está investigando las denuncias que estos presentaron</w:t>
      </w:r>
      <w:r w:rsidR="008604A7" w:rsidRPr="00B660E9">
        <w:rPr>
          <w:rFonts w:ascii="Verdana" w:hAnsi="Verdana" w:cs="Arial"/>
          <w:iCs/>
          <w:sz w:val="20"/>
          <w:szCs w:val="20"/>
          <w:lang w:val="es-CR"/>
        </w:rPr>
        <w:t xml:space="preserve">. Teniendo en cuenta </w:t>
      </w:r>
      <w:r w:rsidR="005B3268">
        <w:rPr>
          <w:rFonts w:ascii="Verdana" w:hAnsi="Verdana" w:cs="Arial"/>
          <w:iCs/>
          <w:sz w:val="20"/>
          <w:szCs w:val="20"/>
          <w:lang w:val="es-CR"/>
        </w:rPr>
        <w:t>las</w:t>
      </w:r>
      <w:r w:rsidR="008604A7" w:rsidRPr="00B660E9">
        <w:rPr>
          <w:rFonts w:ascii="Verdana" w:hAnsi="Verdana" w:cs="Arial"/>
          <w:iCs/>
          <w:sz w:val="20"/>
          <w:szCs w:val="20"/>
          <w:lang w:val="es-CR"/>
        </w:rPr>
        <w:t xml:space="preserve"> acciones llevadas a cabo,</w:t>
      </w:r>
      <w:r w:rsidR="002634DD" w:rsidRPr="00B660E9">
        <w:rPr>
          <w:rFonts w:ascii="Verdana" w:hAnsi="Verdana" w:cs="Arial"/>
          <w:iCs/>
          <w:sz w:val="20"/>
          <w:szCs w:val="20"/>
          <w:lang w:val="es-CR"/>
        </w:rPr>
        <w:t xml:space="preserve"> se refirió a la </w:t>
      </w:r>
      <w:r w:rsidRPr="00B660E9">
        <w:rPr>
          <w:rFonts w:ascii="Verdana" w:hAnsi="Verdana" w:cs="Arial"/>
          <w:iCs/>
          <w:sz w:val="20"/>
          <w:szCs w:val="20"/>
          <w:lang w:val="es-CR"/>
        </w:rPr>
        <w:t xml:space="preserve">naturaleza subsidiaria del </w:t>
      </w:r>
      <w:r w:rsidR="00996F94">
        <w:rPr>
          <w:rFonts w:ascii="Verdana" w:hAnsi="Verdana" w:cs="Arial"/>
          <w:iCs/>
          <w:sz w:val="20"/>
          <w:szCs w:val="20"/>
          <w:lang w:val="es-CR"/>
        </w:rPr>
        <w:t>D</w:t>
      </w:r>
      <w:r w:rsidRPr="00B660E9">
        <w:rPr>
          <w:rFonts w:ascii="Verdana" w:hAnsi="Verdana" w:cs="Arial"/>
          <w:iCs/>
          <w:sz w:val="20"/>
          <w:szCs w:val="20"/>
          <w:lang w:val="es-CR"/>
        </w:rPr>
        <w:t xml:space="preserve">erecho </w:t>
      </w:r>
      <w:r w:rsidR="00996F94">
        <w:rPr>
          <w:rFonts w:ascii="Verdana" w:hAnsi="Verdana" w:cs="Arial"/>
          <w:iCs/>
          <w:sz w:val="20"/>
          <w:szCs w:val="20"/>
          <w:lang w:val="es-CR"/>
        </w:rPr>
        <w:t>I</w:t>
      </w:r>
      <w:r w:rsidRPr="00B660E9">
        <w:rPr>
          <w:rFonts w:ascii="Verdana" w:hAnsi="Verdana" w:cs="Arial"/>
          <w:iCs/>
          <w:sz w:val="20"/>
          <w:szCs w:val="20"/>
          <w:lang w:val="es-CR"/>
        </w:rPr>
        <w:t>nternacional</w:t>
      </w:r>
      <w:r w:rsidRPr="00B660E9">
        <w:rPr>
          <w:rFonts w:ascii="Verdana" w:hAnsi="Verdana" w:cs="Arial"/>
          <w:sz w:val="20"/>
          <w:szCs w:val="20"/>
          <w:lang w:val="es-CR"/>
        </w:rPr>
        <w:t>.</w:t>
      </w:r>
      <w:r w:rsidR="00352BCD" w:rsidRPr="00B660E9">
        <w:rPr>
          <w:rFonts w:ascii="Verdana" w:hAnsi="Verdana" w:cs="Arial"/>
          <w:sz w:val="20"/>
          <w:szCs w:val="20"/>
          <w:lang w:val="es-CR"/>
        </w:rPr>
        <w:t xml:space="preserve"> Respecto a </w:t>
      </w:r>
      <w:r w:rsidR="00352BCD" w:rsidRPr="00B660E9">
        <w:rPr>
          <w:rFonts w:ascii="Verdana" w:hAnsi="Verdana" w:cs="Arial"/>
          <w:iCs/>
          <w:sz w:val="20"/>
          <w:szCs w:val="20"/>
          <w:lang w:val="es-CR"/>
        </w:rPr>
        <w:t>l</w:t>
      </w:r>
      <w:r w:rsidRPr="00B660E9">
        <w:rPr>
          <w:rFonts w:ascii="Verdana" w:hAnsi="Verdana" w:cs="Arial"/>
          <w:iCs/>
          <w:sz w:val="20"/>
          <w:szCs w:val="20"/>
          <w:lang w:val="es-CR"/>
        </w:rPr>
        <w:t>a</w:t>
      </w:r>
      <w:r w:rsidR="00352BCD" w:rsidRPr="00B660E9">
        <w:rPr>
          <w:rFonts w:ascii="Verdana" w:hAnsi="Verdana" w:cs="Arial"/>
          <w:iCs/>
          <w:sz w:val="20"/>
          <w:szCs w:val="20"/>
          <w:lang w:val="es-CR"/>
        </w:rPr>
        <w:t>s alegadas campañas de estigmatización y desprestigio en redes sociales y medios de comunicación</w:t>
      </w:r>
      <w:r w:rsidR="00352BCD" w:rsidRPr="00B660E9">
        <w:rPr>
          <w:rFonts w:ascii="Verdana" w:hAnsi="Verdana" w:cs="Arial"/>
          <w:sz w:val="20"/>
          <w:szCs w:val="20"/>
          <w:lang w:val="es-CR"/>
        </w:rPr>
        <w:t>, señaló que</w:t>
      </w:r>
      <w:r w:rsidRPr="00B660E9">
        <w:rPr>
          <w:rFonts w:ascii="Verdana" w:hAnsi="Verdana" w:cs="Arial"/>
          <w:sz w:val="20"/>
          <w:szCs w:val="20"/>
          <w:lang w:val="es-CR"/>
        </w:rPr>
        <w:t xml:space="preserve"> no pueden ser consideradas una forma de hostigamiento, sino que son el ejercicio de la libertad de expresión. </w:t>
      </w:r>
      <w:r w:rsidR="005B3268">
        <w:rPr>
          <w:rFonts w:ascii="Verdana" w:hAnsi="Verdana" w:cs="Arial"/>
          <w:sz w:val="20"/>
          <w:szCs w:val="20"/>
          <w:lang w:val="es-CR"/>
        </w:rPr>
        <w:t>Sobre</w:t>
      </w:r>
      <w:r w:rsidR="00352BCD" w:rsidRPr="00B660E9">
        <w:rPr>
          <w:rFonts w:ascii="Verdana" w:hAnsi="Verdana" w:cs="Arial"/>
          <w:sz w:val="20"/>
          <w:szCs w:val="20"/>
          <w:lang w:val="es-CR"/>
        </w:rPr>
        <w:t xml:space="preserve"> las </w:t>
      </w:r>
      <w:r w:rsidRPr="00B660E9">
        <w:rPr>
          <w:rFonts w:ascii="Verdana" w:hAnsi="Verdana" w:cs="Arial"/>
          <w:sz w:val="20"/>
          <w:szCs w:val="20"/>
          <w:lang w:val="es-CR"/>
        </w:rPr>
        <w:t>denuncias presentadas en contra de los operadores de justicia</w:t>
      </w:r>
      <w:r w:rsidR="00352BCD" w:rsidRPr="00B660E9">
        <w:rPr>
          <w:rFonts w:ascii="Verdana" w:hAnsi="Verdana" w:cs="Arial"/>
          <w:sz w:val="20"/>
          <w:szCs w:val="20"/>
          <w:lang w:val="es-CR"/>
        </w:rPr>
        <w:t>, indicó que</w:t>
      </w:r>
      <w:r w:rsidRPr="00B660E9">
        <w:rPr>
          <w:rFonts w:ascii="Verdana" w:hAnsi="Verdana" w:cs="Arial"/>
          <w:sz w:val="20"/>
          <w:szCs w:val="20"/>
          <w:lang w:val="es-CR"/>
        </w:rPr>
        <w:t xml:space="preserve"> no representan en ningún sentido una forma de hostigamiento, sino más bien, representan el derecho al acceso libr</w:t>
      </w:r>
      <w:r w:rsidR="004235DB">
        <w:rPr>
          <w:rFonts w:ascii="Verdana" w:hAnsi="Verdana" w:cs="Arial"/>
          <w:sz w:val="20"/>
          <w:szCs w:val="20"/>
          <w:lang w:val="es-CR"/>
        </w:rPr>
        <w:t>e a la justicia de la población, y</w:t>
      </w:r>
    </w:p>
    <w:p w14:paraId="421A6FBF" w14:textId="3E4C95ED" w:rsidR="006A0908" w:rsidRPr="00D258D4" w:rsidRDefault="00483D66" w:rsidP="008B049C">
      <w:pPr>
        <w:pStyle w:val="Prrafodelista"/>
        <w:numPr>
          <w:ilvl w:val="0"/>
          <w:numId w:val="11"/>
        </w:numPr>
        <w:autoSpaceDE w:val="0"/>
        <w:autoSpaceDN w:val="0"/>
        <w:adjustRightInd w:val="0"/>
        <w:spacing w:before="120" w:after="120"/>
        <w:ind w:left="851" w:hanging="425"/>
        <w:contextualSpacing w:val="0"/>
        <w:jc w:val="both"/>
        <w:rPr>
          <w:rFonts w:ascii="Verdana" w:hAnsi="Verdana" w:cs="Arial"/>
          <w:bCs/>
          <w:sz w:val="20"/>
          <w:szCs w:val="20"/>
          <w:lang w:val="es-CR"/>
        </w:rPr>
      </w:pPr>
      <w:r>
        <w:rPr>
          <w:rFonts w:ascii="Verdana" w:hAnsi="Verdana" w:cs="Arial"/>
          <w:sz w:val="20"/>
          <w:szCs w:val="20"/>
          <w:lang w:val="es-CR"/>
        </w:rPr>
        <w:t>La</w:t>
      </w:r>
      <w:r w:rsidR="0051677C" w:rsidRPr="00B660E9">
        <w:rPr>
          <w:rFonts w:ascii="Verdana" w:hAnsi="Verdana" w:cs="Arial"/>
          <w:sz w:val="20"/>
          <w:szCs w:val="20"/>
          <w:lang w:val="es-CR"/>
        </w:rPr>
        <w:t xml:space="preserve">s representantes no </w:t>
      </w:r>
      <w:r w:rsidR="0033542B">
        <w:rPr>
          <w:rFonts w:ascii="Verdana" w:hAnsi="Verdana" w:cs="Arial"/>
          <w:sz w:val="20"/>
          <w:szCs w:val="20"/>
          <w:lang w:val="es-CR"/>
        </w:rPr>
        <w:t xml:space="preserve">han </w:t>
      </w:r>
      <w:r w:rsidR="0051677C" w:rsidRPr="00D258D4">
        <w:rPr>
          <w:rFonts w:ascii="Verdana" w:hAnsi="Verdana" w:cs="Arial"/>
          <w:sz w:val="20"/>
          <w:szCs w:val="20"/>
          <w:lang w:val="es-CR"/>
        </w:rPr>
        <w:t>cumpl</w:t>
      </w:r>
      <w:r w:rsidR="0033542B">
        <w:rPr>
          <w:rFonts w:ascii="Verdana" w:hAnsi="Verdana" w:cs="Arial"/>
          <w:sz w:val="20"/>
          <w:szCs w:val="20"/>
          <w:lang w:val="es-CR"/>
        </w:rPr>
        <w:t>ido</w:t>
      </w:r>
      <w:r w:rsidR="0051677C" w:rsidRPr="00D258D4">
        <w:rPr>
          <w:rFonts w:ascii="Verdana" w:hAnsi="Verdana" w:cs="Arial"/>
          <w:sz w:val="20"/>
          <w:szCs w:val="20"/>
          <w:lang w:val="es-CR"/>
        </w:rPr>
        <w:t xml:space="preserve"> con demostrar el requisito de </w:t>
      </w:r>
      <w:r w:rsidR="0051677C" w:rsidRPr="00D258D4">
        <w:rPr>
          <w:rFonts w:ascii="Verdana" w:hAnsi="Verdana" w:cs="Arial"/>
          <w:i/>
          <w:sz w:val="20"/>
          <w:szCs w:val="20"/>
          <w:lang w:val="es-CR"/>
        </w:rPr>
        <w:t>daño irreparable</w:t>
      </w:r>
      <w:r w:rsidR="00E0505E" w:rsidRPr="00D258D4">
        <w:rPr>
          <w:rFonts w:ascii="Verdana" w:hAnsi="Verdana" w:cs="Arial"/>
          <w:sz w:val="20"/>
          <w:szCs w:val="20"/>
          <w:lang w:val="es-CR"/>
        </w:rPr>
        <w:t>,</w:t>
      </w:r>
      <w:r w:rsidR="0051677C" w:rsidRPr="00D258D4">
        <w:rPr>
          <w:rFonts w:ascii="Verdana" w:hAnsi="Verdana" w:cs="Arial"/>
          <w:sz w:val="20"/>
          <w:szCs w:val="20"/>
          <w:lang w:val="es-CR"/>
        </w:rPr>
        <w:t xml:space="preserve"> ya que</w:t>
      </w:r>
      <w:r w:rsidR="00463DBE" w:rsidRPr="00D258D4">
        <w:rPr>
          <w:rFonts w:ascii="Verdana" w:hAnsi="Verdana" w:cs="Arial"/>
          <w:sz w:val="20"/>
          <w:szCs w:val="20"/>
          <w:lang w:val="es-CR"/>
        </w:rPr>
        <w:t xml:space="preserve"> </w:t>
      </w:r>
      <w:r w:rsidR="0051677C" w:rsidRPr="00D258D4">
        <w:rPr>
          <w:rFonts w:ascii="Verdana" w:hAnsi="Verdana" w:cs="Arial"/>
          <w:sz w:val="20"/>
          <w:szCs w:val="20"/>
          <w:lang w:val="es-CR"/>
        </w:rPr>
        <w:t>“</w:t>
      </w:r>
      <w:r w:rsidR="00E0505E" w:rsidRPr="00D258D4">
        <w:rPr>
          <w:rFonts w:ascii="Verdana" w:hAnsi="Verdana" w:cs="Arial"/>
          <w:sz w:val="20"/>
          <w:szCs w:val="20"/>
          <w:lang w:val="es-CR"/>
        </w:rPr>
        <w:t xml:space="preserve">el Estado brinda los recursos jurídicos para que el ex Fiscal </w:t>
      </w:r>
      <w:r w:rsidR="00463DBE" w:rsidRPr="00D258D4">
        <w:rPr>
          <w:rFonts w:ascii="Verdana" w:hAnsi="Verdana" w:cs="Arial"/>
          <w:sz w:val="20"/>
          <w:szCs w:val="20"/>
          <w:lang w:val="es-CR"/>
        </w:rPr>
        <w:t xml:space="preserve">[Sandoval Alfaro] </w:t>
      </w:r>
      <w:r w:rsidR="00E0505E" w:rsidRPr="00D258D4">
        <w:rPr>
          <w:rFonts w:ascii="Verdana" w:hAnsi="Verdana" w:cs="Arial"/>
          <w:sz w:val="20"/>
          <w:szCs w:val="20"/>
          <w:lang w:val="es-CR"/>
        </w:rPr>
        <w:t>pueda ejercer su derecho de defensa en contra de la resolución que considere que le vulne</w:t>
      </w:r>
      <w:r w:rsidR="0051677C" w:rsidRPr="00D258D4">
        <w:rPr>
          <w:rFonts w:ascii="Verdana" w:hAnsi="Verdana" w:cs="Arial"/>
          <w:sz w:val="20"/>
          <w:szCs w:val="20"/>
          <w:lang w:val="es-CR"/>
        </w:rPr>
        <w:t xml:space="preserve">ra sus derechos”. </w:t>
      </w:r>
      <w:r w:rsidR="00C461B4" w:rsidRPr="00D258D4">
        <w:rPr>
          <w:rFonts w:ascii="Verdana" w:hAnsi="Verdana" w:cs="Arial"/>
          <w:sz w:val="20"/>
          <w:szCs w:val="20"/>
          <w:lang w:val="es-CR"/>
        </w:rPr>
        <w:t>E</w:t>
      </w:r>
      <w:r w:rsidR="00E0505E" w:rsidRPr="00D258D4">
        <w:rPr>
          <w:rFonts w:ascii="Verdana" w:hAnsi="Verdana" w:cs="Arial"/>
          <w:sz w:val="20"/>
          <w:szCs w:val="20"/>
          <w:lang w:val="es-CR"/>
        </w:rPr>
        <w:t xml:space="preserve">l </w:t>
      </w:r>
      <w:r w:rsidR="0051677C" w:rsidRPr="00D258D4">
        <w:rPr>
          <w:rFonts w:ascii="Verdana" w:hAnsi="Verdana" w:cs="Arial"/>
          <w:sz w:val="20"/>
          <w:szCs w:val="20"/>
          <w:lang w:val="es-CR"/>
        </w:rPr>
        <w:t>2 de agosto de 2021</w:t>
      </w:r>
      <w:r w:rsidR="00E0505E" w:rsidRPr="00D258D4">
        <w:rPr>
          <w:rFonts w:ascii="Verdana" w:hAnsi="Verdana" w:cs="Arial"/>
          <w:sz w:val="20"/>
          <w:szCs w:val="20"/>
          <w:lang w:val="es-CR"/>
        </w:rPr>
        <w:t xml:space="preserve"> el </w:t>
      </w:r>
      <w:r w:rsidR="0051677C" w:rsidRPr="00D258D4">
        <w:rPr>
          <w:rFonts w:ascii="Verdana" w:hAnsi="Verdana" w:cs="Arial"/>
          <w:sz w:val="20"/>
          <w:szCs w:val="20"/>
          <w:lang w:val="es-CR"/>
        </w:rPr>
        <w:t>señor</w:t>
      </w:r>
      <w:r w:rsidR="00E0505E" w:rsidRPr="00D258D4">
        <w:rPr>
          <w:rFonts w:ascii="Verdana" w:hAnsi="Verdana" w:cs="Arial"/>
          <w:sz w:val="20"/>
          <w:szCs w:val="20"/>
          <w:lang w:val="es-CR"/>
        </w:rPr>
        <w:t xml:space="preserve"> </w:t>
      </w:r>
      <w:r w:rsidR="00D309A9" w:rsidRPr="00D258D4">
        <w:rPr>
          <w:rFonts w:ascii="Verdana" w:hAnsi="Verdana" w:cs="Arial"/>
          <w:sz w:val="20"/>
          <w:szCs w:val="20"/>
          <w:lang w:val="es-CR"/>
        </w:rPr>
        <w:t>Sandoval</w:t>
      </w:r>
      <w:r w:rsidR="00E0505E" w:rsidRPr="00D258D4">
        <w:rPr>
          <w:rFonts w:ascii="Verdana" w:hAnsi="Verdana" w:cs="Arial"/>
          <w:sz w:val="20"/>
          <w:szCs w:val="20"/>
          <w:lang w:val="es-CR"/>
        </w:rPr>
        <w:t>, a través de su Representante Legal, presentó ante la Corte Suprema de Justicia una Acción Constitucional de Am</w:t>
      </w:r>
      <w:r w:rsidR="0051677C" w:rsidRPr="00D258D4">
        <w:rPr>
          <w:rFonts w:ascii="Verdana" w:hAnsi="Verdana" w:cs="Arial"/>
          <w:sz w:val="20"/>
          <w:szCs w:val="20"/>
          <w:lang w:val="es-CR"/>
        </w:rPr>
        <w:t>paro</w:t>
      </w:r>
      <w:r w:rsidR="00463DBE" w:rsidRPr="00D258D4">
        <w:rPr>
          <w:rFonts w:ascii="Verdana" w:hAnsi="Verdana" w:cs="Arial"/>
          <w:sz w:val="20"/>
          <w:szCs w:val="20"/>
          <w:lang w:val="es-CR"/>
        </w:rPr>
        <w:t xml:space="preserve"> contra la decisión de destitución</w:t>
      </w:r>
      <w:r w:rsidR="00B422F1" w:rsidRPr="00D258D4">
        <w:rPr>
          <w:rFonts w:ascii="Verdana" w:hAnsi="Verdana" w:cs="Arial"/>
          <w:sz w:val="20"/>
          <w:szCs w:val="20"/>
          <w:lang w:val="es-CR"/>
        </w:rPr>
        <w:t xml:space="preserve">. </w:t>
      </w:r>
      <w:r w:rsidR="006132B8" w:rsidRPr="00D258D4">
        <w:rPr>
          <w:rFonts w:ascii="Verdana" w:hAnsi="Verdana" w:cs="Arial"/>
          <w:sz w:val="20"/>
          <w:szCs w:val="20"/>
          <w:lang w:val="es-CR"/>
        </w:rPr>
        <w:t xml:space="preserve">Además, el Estado otorga </w:t>
      </w:r>
      <w:r w:rsidR="00996F94">
        <w:rPr>
          <w:rFonts w:ascii="Verdana" w:hAnsi="Verdana" w:cs="Arial"/>
          <w:sz w:val="20"/>
          <w:szCs w:val="20"/>
          <w:lang w:val="es-CR"/>
        </w:rPr>
        <w:t>“</w:t>
      </w:r>
      <w:r w:rsidR="006132B8" w:rsidRPr="00D258D4">
        <w:rPr>
          <w:rFonts w:ascii="Verdana" w:hAnsi="Verdana" w:cs="Arial"/>
          <w:sz w:val="20"/>
          <w:szCs w:val="20"/>
          <w:lang w:val="es-CR"/>
        </w:rPr>
        <w:t>las garantías de seguridad efectivas que permitan que los operadores de justicia se desarrollen con libertad en las investigaciones que realizan</w:t>
      </w:r>
      <w:r w:rsidR="005763A4" w:rsidRPr="00D258D4">
        <w:rPr>
          <w:rFonts w:ascii="Verdana" w:hAnsi="Verdana" w:cs="Arial"/>
          <w:sz w:val="20"/>
          <w:szCs w:val="20"/>
          <w:lang w:val="es-CR"/>
        </w:rPr>
        <w:t>”</w:t>
      </w:r>
      <w:r w:rsidR="00E0505E" w:rsidRPr="00D258D4">
        <w:rPr>
          <w:rFonts w:ascii="Verdana" w:hAnsi="Verdana" w:cs="Arial"/>
          <w:sz w:val="20"/>
          <w:szCs w:val="20"/>
          <w:lang w:val="es-CR"/>
        </w:rPr>
        <w:t>.</w:t>
      </w:r>
      <w:bookmarkStart w:id="3" w:name="_Toc80273247"/>
    </w:p>
    <w:p w14:paraId="0B3DCA6E" w14:textId="424298BE" w:rsidR="00856B04" w:rsidRPr="00C755FA" w:rsidRDefault="00D258D4" w:rsidP="00C755FA">
      <w:pPr>
        <w:pStyle w:val="Prrafodelista"/>
        <w:numPr>
          <w:ilvl w:val="0"/>
          <w:numId w:val="2"/>
        </w:numPr>
        <w:autoSpaceDE w:val="0"/>
        <w:autoSpaceDN w:val="0"/>
        <w:adjustRightInd w:val="0"/>
        <w:spacing w:before="120" w:after="120"/>
        <w:ind w:left="0" w:firstLine="0"/>
        <w:contextualSpacing w:val="0"/>
        <w:jc w:val="both"/>
        <w:rPr>
          <w:rFonts w:ascii="Verdana" w:eastAsiaTheme="minorHAnsi" w:hAnsi="Verdana" w:cs="Verdana"/>
          <w:sz w:val="20"/>
          <w:szCs w:val="20"/>
          <w:lang w:val="es-CR"/>
        </w:rPr>
      </w:pPr>
      <w:r>
        <w:rPr>
          <w:rFonts w:ascii="Verdana" w:hAnsi="Verdana"/>
          <w:sz w:val="20"/>
          <w:szCs w:val="20"/>
        </w:rPr>
        <w:t>Durante la audiencia pública de 27 de agosto de 2021, sostuvo que</w:t>
      </w:r>
      <w:r w:rsidR="00045B73" w:rsidRPr="00045B73">
        <w:rPr>
          <w:rFonts w:ascii="Verdana" w:hAnsi="Verdana"/>
          <w:sz w:val="20"/>
          <w:szCs w:val="20"/>
        </w:rPr>
        <w:t xml:space="preserve"> </w:t>
      </w:r>
      <w:r w:rsidRPr="00045B73">
        <w:rPr>
          <w:rFonts w:ascii="Verdana" w:hAnsi="Verdana"/>
          <w:sz w:val="20"/>
          <w:szCs w:val="20"/>
        </w:rPr>
        <w:t xml:space="preserve">se encuentra pendiente de resolver recursos internos relativos </w:t>
      </w:r>
      <w:r w:rsidR="00D43D87">
        <w:rPr>
          <w:rFonts w:ascii="Verdana" w:hAnsi="Verdana"/>
          <w:sz w:val="20"/>
          <w:szCs w:val="20"/>
        </w:rPr>
        <w:t xml:space="preserve">a </w:t>
      </w:r>
      <w:r w:rsidRPr="00045B73">
        <w:rPr>
          <w:rFonts w:ascii="Verdana" w:hAnsi="Verdana"/>
          <w:sz w:val="20"/>
          <w:szCs w:val="20"/>
        </w:rPr>
        <w:t>la destitución del ex Fiscal Sandoval</w:t>
      </w:r>
      <w:r w:rsidR="00045B73" w:rsidRPr="00045B73">
        <w:rPr>
          <w:rFonts w:ascii="Verdana" w:hAnsi="Verdana"/>
          <w:sz w:val="20"/>
          <w:szCs w:val="20"/>
        </w:rPr>
        <w:t>, y que</w:t>
      </w:r>
      <w:r w:rsidR="00045B73" w:rsidRPr="00045B73">
        <w:rPr>
          <w:rFonts w:ascii="Verdana" w:eastAsiaTheme="minorHAnsi" w:hAnsi="Verdana" w:cs="Verdana"/>
          <w:sz w:val="20"/>
          <w:szCs w:val="20"/>
          <w:lang w:val="es-CR"/>
        </w:rPr>
        <w:t xml:space="preserve"> </w:t>
      </w:r>
      <w:r w:rsidRPr="00045B73">
        <w:rPr>
          <w:rFonts w:ascii="Verdana" w:hAnsi="Verdana"/>
          <w:sz w:val="20"/>
          <w:szCs w:val="20"/>
        </w:rPr>
        <w:t xml:space="preserve">las </w:t>
      </w:r>
      <w:r w:rsidRPr="00C755FA">
        <w:rPr>
          <w:rFonts w:ascii="Verdana" w:hAnsi="Verdana"/>
          <w:sz w:val="20"/>
          <w:szCs w:val="20"/>
        </w:rPr>
        <w:t>representantes est</w:t>
      </w:r>
      <w:r w:rsidR="00861A54" w:rsidRPr="00C755FA">
        <w:rPr>
          <w:rFonts w:ascii="Verdana" w:hAnsi="Verdana"/>
          <w:sz w:val="20"/>
          <w:szCs w:val="20"/>
        </w:rPr>
        <w:t xml:space="preserve">án invocando un derecho laboral que </w:t>
      </w:r>
      <w:r w:rsidR="00045B73" w:rsidRPr="00C755FA">
        <w:rPr>
          <w:rFonts w:ascii="Verdana" w:hAnsi="Verdana"/>
          <w:sz w:val="20"/>
          <w:szCs w:val="20"/>
        </w:rPr>
        <w:t>es reparable</w:t>
      </w:r>
      <w:r w:rsidR="00861A54" w:rsidRPr="00C755FA">
        <w:rPr>
          <w:rFonts w:ascii="Verdana" w:hAnsi="Verdana"/>
          <w:sz w:val="20"/>
          <w:szCs w:val="20"/>
        </w:rPr>
        <w:t>, pero a</w:t>
      </w:r>
      <w:r w:rsidRPr="00C755FA">
        <w:rPr>
          <w:rFonts w:ascii="Verdana" w:hAnsi="Verdana"/>
          <w:sz w:val="20"/>
          <w:szCs w:val="20"/>
        </w:rPr>
        <w:t xml:space="preserve">jeno a los hechos </w:t>
      </w:r>
      <w:r w:rsidR="00045B73" w:rsidRPr="00C755FA">
        <w:rPr>
          <w:rFonts w:ascii="Verdana" w:hAnsi="Verdana"/>
          <w:sz w:val="20"/>
          <w:szCs w:val="20"/>
          <w:lang w:val="es-MX"/>
        </w:rPr>
        <w:t xml:space="preserve">de los casos </w:t>
      </w:r>
      <w:r w:rsidR="00045B73" w:rsidRPr="00C755FA">
        <w:rPr>
          <w:rFonts w:ascii="Verdana" w:hAnsi="Verdana"/>
          <w:i/>
          <w:sz w:val="20"/>
          <w:szCs w:val="20"/>
          <w:lang w:val="es-MX"/>
        </w:rPr>
        <w:t>Valenzuela Ávila</w:t>
      </w:r>
      <w:r w:rsidR="00045B73" w:rsidRPr="00C755FA">
        <w:rPr>
          <w:rFonts w:ascii="Verdana" w:hAnsi="Verdana"/>
          <w:sz w:val="20"/>
          <w:szCs w:val="20"/>
          <w:lang w:val="es-MX"/>
        </w:rPr>
        <w:t xml:space="preserve"> y</w:t>
      </w:r>
      <w:r w:rsidR="00045B73" w:rsidRPr="00C755FA">
        <w:rPr>
          <w:rFonts w:ascii="Verdana" w:hAnsi="Verdana"/>
          <w:i/>
          <w:sz w:val="20"/>
          <w:szCs w:val="20"/>
          <w:lang w:val="es-MX"/>
        </w:rPr>
        <w:t xml:space="preserve"> Ruiz Fuentes y otra</w:t>
      </w:r>
      <w:r w:rsidRPr="00C755FA">
        <w:rPr>
          <w:rFonts w:ascii="Verdana" w:hAnsi="Verdana"/>
          <w:sz w:val="20"/>
          <w:szCs w:val="20"/>
        </w:rPr>
        <w:t>.</w:t>
      </w:r>
      <w:r w:rsidR="00045B73" w:rsidRPr="00C755FA">
        <w:rPr>
          <w:rFonts w:ascii="Verdana" w:hAnsi="Verdana"/>
          <w:sz w:val="20"/>
          <w:szCs w:val="20"/>
        </w:rPr>
        <w:t xml:space="preserve"> </w:t>
      </w:r>
      <w:r w:rsidR="00A41663">
        <w:rPr>
          <w:rFonts w:ascii="Verdana" w:hAnsi="Verdana"/>
          <w:sz w:val="20"/>
          <w:szCs w:val="20"/>
        </w:rPr>
        <w:t>Sobre el particular, argumentó que</w:t>
      </w:r>
      <w:r w:rsidR="00A41663">
        <w:rPr>
          <w:rFonts w:ascii="Verdana" w:eastAsiaTheme="minorHAnsi" w:hAnsi="Verdana" w:cs="Verdana"/>
          <w:sz w:val="20"/>
          <w:szCs w:val="20"/>
          <w:lang w:val="es-CR"/>
        </w:rPr>
        <w:t xml:space="preserve"> </w:t>
      </w:r>
      <w:r w:rsidR="00A41663" w:rsidRPr="00C755FA">
        <w:rPr>
          <w:rFonts w:ascii="Verdana" w:eastAsiaTheme="minorHAnsi" w:hAnsi="Verdana" w:cs="Verdana"/>
          <w:sz w:val="20"/>
          <w:szCs w:val="20"/>
          <w:lang w:val="es-CR"/>
        </w:rPr>
        <w:t>no han sido agotados los recursos admini</w:t>
      </w:r>
      <w:r w:rsidR="00A41663">
        <w:rPr>
          <w:rFonts w:ascii="Verdana" w:eastAsiaTheme="minorHAnsi" w:hAnsi="Verdana" w:cs="Verdana"/>
          <w:sz w:val="20"/>
          <w:szCs w:val="20"/>
          <w:lang w:val="es-CR"/>
        </w:rPr>
        <w:t>strativos y judiciales internos</w:t>
      </w:r>
      <w:r w:rsidR="00A41663">
        <w:rPr>
          <w:rFonts w:ascii="Verdana" w:hAnsi="Verdana" w:cs="Verdana"/>
          <w:sz w:val="20"/>
          <w:szCs w:val="20"/>
        </w:rPr>
        <w:t xml:space="preserve"> </w:t>
      </w:r>
      <w:r w:rsidR="00A41663">
        <w:rPr>
          <w:rFonts w:ascii="Verdana" w:hAnsi="Verdana"/>
          <w:sz w:val="20"/>
          <w:szCs w:val="20"/>
        </w:rPr>
        <w:t xml:space="preserve">debido a que </w:t>
      </w:r>
      <w:r w:rsidR="00A41663" w:rsidRPr="00F82418">
        <w:rPr>
          <w:rFonts w:ascii="Verdana" w:eastAsiaTheme="minorHAnsi" w:hAnsi="Verdana" w:cs="Verdana"/>
          <w:sz w:val="20"/>
          <w:szCs w:val="20"/>
          <w:lang w:val="es-CR"/>
        </w:rPr>
        <w:t xml:space="preserve">el 2 de agosto el </w:t>
      </w:r>
      <w:proofErr w:type="gramStart"/>
      <w:r w:rsidR="00A41663" w:rsidRPr="00F82418">
        <w:rPr>
          <w:rFonts w:ascii="Verdana" w:eastAsiaTheme="minorHAnsi" w:hAnsi="Verdana" w:cs="Verdana"/>
          <w:sz w:val="20"/>
          <w:szCs w:val="20"/>
          <w:lang w:val="es-CR"/>
        </w:rPr>
        <w:t>ex Fiscal</w:t>
      </w:r>
      <w:proofErr w:type="gramEnd"/>
      <w:r w:rsidR="00A41663" w:rsidRPr="00F82418">
        <w:rPr>
          <w:rFonts w:ascii="Verdana" w:eastAsiaTheme="minorHAnsi" w:hAnsi="Verdana" w:cs="Verdana"/>
          <w:sz w:val="20"/>
          <w:szCs w:val="20"/>
          <w:lang w:val="es-CR"/>
        </w:rPr>
        <w:t xml:space="preserve"> Sandoval promovió una Acción Constitucional de Amparo en contra de la Fiscal General por el acuerdo de destitución, y el 17 de agosto presentó una demanda en la vía laboral</w:t>
      </w:r>
      <w:r w:rsidR="00C755FA" w:rsidRPr="00C755FA">
        <w:rPr>
          <w:rStyle w:val="Refdenotaalpie"/>
          <w:rFonts w:eastAsiaTheme="minorHAnsi" w:cs="Verdana"/>
          <w:sz w:val="20"/>
          <w:szCs w:val="20"/>
          <w:lang w:val="es-CR"/>
        </w:rPr>
        <w:footnoteReference w:id="16"/>
      </w:r>
      <w:r w:rsidR="00C755FA" w:rsidRPr="00C755FA">
        <w:rPr>
          <w:rFonts w:ascii="Verdana" w:eastAsiaTheme="minorHAnsi" w:hAnsi="Verdana" w:cs="Verdana"/>
          <w:sz w:val="20"/>
          <w:szCs w:val="20"/>
          <w:lang w:val="es-CR"/>
        </w:rPr>
        <w:t xml:space="preserve">. </w:t>
      </w:r>
      <w:r w:rsidR="00045B73" w:rsidRPr="00C755FA">
        <w:rPr>
          <w:rFonts w:ascii="Verdana" w:eastAsiaTheme="minorHAnsi" w:hAnsi="Verdana" w:cs="Verdana"/>
          <w:sz w:val="20"/>
          <w:szCs w:val="20"/>
          <w:lang w:val="es-CR"/>
        </w:rPr>
        <w:t>E</w:t>
      </w:r>
      <w:r w:rsidR="00045B73" w:rsidRPr="00C755FA">
        <w:rPr>
          <w:rFonts w:ascii="Verdana" w:hAnsi="Verdana"/>
          <w:sz w:val="20"/>
          <w:szCs w:val="20"/>
        </w:rPr>
        <w:t>l</w:t>
      </w:r>
      <w:r w:rsidR="006A0908" w:rsidRPr="00C755FA">
        <w:rPr>
          <w:rFonts w:ascii="Verdana" w:hAnsi="Verdana"/>
          <w:sz w:val="20"/>
          <w:szCs w:val="20"/>
          <w:lang w:val="es-MX"/>
        </w:rPr>
        <w:t xml:space="preserve"> 3 de septiembre de 2021 </w:t>
      </w:r>
      <w:r w:rsidR="00861A54" w:rsidRPr="00C755FA">
        <w:rPr>
          <w:rFonts w:ascii="Verdana" w:hAnsi="Verdana"/>
          <w:sz w:val="20"/>
          <w:szCs w:val="20"/>
          <w:lang w:val="es-MX"/>
        </w:rPr>
        <w:t>expresó</w:t>
      </w:r>
      <w:r w:rsidR="006A0908" w:rsidRPr="00C755FA">
        <w:rPr>
          <w:rFonts w:ascii="Verdana" w:hAnsi="Verdana"/>
          <w:sz w:val="20"/>
          <w:szCs w:val="20"/>
          <w:lang w:val="es-MX"/>
        </w:rPr>
        <w:t xml:space="preserve"> qu</w:t>
      </w:r>
      <w:r w:rsidR="00FE0DFE" w:rsidRPr="00C755FA">
        <w:rPr>
          <w:rFonts w:ascii="Verdana" w:hAnsi="Verdana"/>
          <w:sz w:val="20"/>
          <w:szCs w:val="20"/>
          <w:lang w:val="es-MX"/>
        </w:rPr>
        <w:t>e</w:t>
      </w:r>
      <w:r w:rsidR="006A0908" w:rsidRPr="00C755FA">
        <w:rPr>
          <w:rFonts w:ascii="Verdana" w:hAnsi="Verdana"/>
          <w:sz w:val="20"/>
          <w:szCs w:val="20"/>
          <w:lang w:val="es-MX"/>
        </w:rPr>
        <w:t xml:space="preserve"> otorgará medidas de seguridad “adecuadas” a cualquier persona que esté a cargo de </w:t>
      </w:r>
      <w:r w:rsidR="00FE0DFE" w:rsidRPr="00C755FA">
        <w:rPr>
          <w:rFonts w:ascii="Verdana" w:hAnsi="Verdana"/>
          <w:sz w:val="20"/>
          <w:szCs w:val="20"/>
          <w:lang w:val="es-MX"/>
        </w:rPr>
        <w:t>las investigaciones y procesos penales</w:t>
      </w:r>
      <w:r w:rsidR="00045B73" w:rsidRPr="00C755FA">
        <w:rPr>
          <w:rFonts w:ascii="Verdana" w:hAnsi="Verdana"/>
          <w:sz w:val="20"/>
          <w:szCs w:val="20"/>
          <w:lang w:val="es-MX"/>
        </w:rPr>
        <w:t xml:space="preserve"> de tales casos</w:t>
      </w:r>
      <w:r w:rsidR="00FE0DFE" w:rsidRPr="00C755FA">
        <w:rPr>
          <w:rFonts w:ascii="Verdana" w:hAnsi="Verdana"/>
          <w:sz w:val="20"/>
          <w:szCs w:val="20"/>
          <w:lang w:val="es-MX"/>
        </w:rPr>
        <w:t>,</w:t>
      </w:r>
      <w:r w:rsidR="00FE0DFE" w:rsidRPr="00C755FA">
        <w:rPr>
          <w:rFonts w:ascii="Verdana" w:eastAsiaTheme="minorHAnsi" w:hAnsi="Verdana" w:cs="Verdana"/>
          <w:sz w:val="20"/>
          <w:szCs w:val="20"/>
          <w:lang w:val="es-CR"/>
        </w:rPr>
        <w:t xml:space="preserve"> </w:t>
      </w:r>
      <w:r w:rsidR="006A0908" w:rsidRPr="00C755FA">
        <w:rPr>
          <w:rFonts w:ascii="Verdana" w:hAnsi="Verdana"/>
          <w:sz w:val="20"/>
          <w:szCs w:val="20"/>
          <w:lang w:val="es-MX"/>
        </w:rPr>
        <w:t>para que pued</w:t>
      </w:r>
      <w:r w:rsidR="006A57C6" w:rsidRPr="00C755FA">
        <w:rPr>
          <w:rFonts w:ascii="Verdana" w:hAnsi="Verdana"/>
          <w:sz w:val="20"/>
          <w:szCs w:val="20"/>
          <w:lang w:val="es-MX"/>
        </w:rPr>
        <w:t>a</w:t>
      </w:r>
      <w:r w:rsidR="00861A54" w:rsidRPr="00C755FA">
        <w:rPr>
          <w:rFonts w:ascii="Verdana" w:hAnsi="Verdana"/>
          <w:sz w:val="20"/>
          <w:szCs w:val="20"/>
          <w:lang w:val="es-MX"/>
        </w:rPr>
        <w:t xml:space="preserve">n realizar su labor. </w:t>
      </w:r>
      <w:r w:rsidR="00045B73" w:rsidRPr="00C755FA">
        <w:rPr>
          <w:rFonts w:ascii="Verdana" w:hAnsi="Verdana"/>
          <w:sz w:val="20"/>
          <w:szCs w:val="20"/>
          <w:lang w:val="es-MX"/>
        </w:rPr>
        <w:t>Refirió</w:t>
      </w:r>
      <w:r w:rsidR="006A0908" w:rsidRPr="00C755FA">
        <w:rPr>
          <w:rFonts w:ascii="Verdana" w:hAnsi="Verdana"/>
          <w:sz w:val="20"/>
          <w:szCs w:val="20"/>
          <w:lang w:val="es-MX"/>
        </w:rPr>
        <w:t xml:space="preserve"> que el derecho al acceso a la justicia de las víctimas “no se encuentra” en la situación alegada de extrema gravedad, urgencia e </w:t>
      </w:r>
      <w:proofErr w:type="spellStart"/>
      <w:r w:rsidR="006A0908" w:rsidRPr="00C755FA">
        <w:rPr>
          <w:rFonts w:ascii="Verdana" w:hAnsi="Verdana"/>
          <w:sz w:val="20"/>
          <w:szCs w:val="20"/>
          <w:lang w:val="es-MX"/>
        </w:rPr>
        <w:t>irreparabilidad</w:t>
      </w:r>
      <w:proofErr w:type="spellEnd"/>
      <w:r w:rsidR="006A0908" w:rsidRPr="00C755FA">
        <w:rPr>
          <w:rFonts w:ascii="Verdana" w:hAnsi="Verdana"/>
          <w:sz w:val="20"/>
          <w:szCs w:val="20"/>
          <w:lang w:val="es-MX"/>
        </w:rPr>
        <w:t xml:space="preserve"> del daño, debido a que las investigaciones penales de los dos casos “continúan con su curso”.</w:t>
      </w:r>
      <w:r w:rsidR="004235DB" w:rsidRPr="00C755FA">
        <w:rPr>
          <w:rFonts w:ascii="Verdana" w:hAnsi="Verdana"/>
          <w:sz w:val="20"/>
          <w:szCs w:val="20"/>
          <w:lang w:val="es-MX"/>
        </w:rPr>
        <w:t xml:space="preserve"> </w:t>
      </w:r>
      <w:r w:rsidR="00856B04" w:rsidRPr="00C755FA">
        <w:rPr>
          <w:rFonts w:ascii="Verdana" w:eastAsiaTheme="minorHAnsi" w:hAnsi="Verdana" w:cs="Verdana"/>
          <w:sz w:val="20"/>
          <w:szCs w:val="20"/>
          <w:lang w:val="es-CR"/>
        </w:rPr>
        <w:t>El 10 de septiembre de 2021 manifestó que “la reorganización de algunos auxiliares fiscales es para apoyar y fortalecer el trabajo de los Agentes Fiscales”, y que las disposiciones administrativas que el Fiscal de Sección adopta “por ningún motivo se realizan con el ánimo de amedrentar al personal de la FECI tal como lo señalan los representantes”.</w:t>
      </w:r>
    </w:p>
    <w:p w14:paraId="5C8BA1D8" w14:textId="77777777" w:rsidR="008B049C" w:rsidRPr="00D258D4" w:rsidRDefault="0086736E" w:rsidP="005D370D">
      <w:pPr>
        <w:spacing w:before="120" w:after="120"/>
        <w:ind w:left="567"/>
        <w:jc w:val="both"/>
        <w:rPr>
          <w:rFonts w:ascii="Verdana" w:hAnsi="Verdana"/>
          <w:b/>
          <w:sz w:val="20"/>
          <w:szCs w:val="20"/>
        </w:rPr>
      </w:pPr>
      <w:r>
        <w:rPr>
          <w:rFonts w:ascii="Verdana" w:eastAsiaTheme="minorHAnsi" w:hAnsi="Verdana" w:cs="ArialMT"/>
          <w:b/>
          <w:i/>
          <w:sz w:val="20"/>
          <w:szCs w:val="20"/>
          <w:lang w:val="es-CR"/>
        </w:rPr>
        <w:t>E</w:t>
      </w:r>
      <w:r w:rsidR="008B049C" w:rsidRPr="00D258D4">
        <w:rPr>
          <w:rFonts w:ascii="Verdana" w:eastAsiaTheme="minorHAnsi" w:hAnsi="Verdana" w:cs="ArialMT"/>
          <w:b/>
          <w:i/>
          <w:sz w:val="20"/>
          <w:szCs w:val="20"/>
          <w:lang w:val="es-CR"/>
        </w:rPr>
        <w:t xml:space="preserve">) </w:t>
      </w:r>
      <w:r w:rsidR="008B049C" w:rsidRPr="00D258D4">
        <w:rPr>
          <w:rFonts w:ascii="Verdana" w:hAnsi="Verdana"/>
          <w:b/>
          <w:i/>
          <w:sz w:val="20"/>
          <w:szCs w:val="20"/>
        </w:rPr>
        <w:t>Información presentada en la</w:t>
      </w:r>
      <w:r w:rsidR="008B049C" w:rsidRPr="001B5E4F">
        <w:rPr>
          <w:rFonts w:ascii="Verdana" w:hAnsi="Verdana"/>
          <w:b/>
          <w:i/>
          <w:sz w:val="20"/>
          <w:szCs w:val="20"/>
        </w:rPr>
        <w:t xml:space="preserve"> supervisión </w:t>
      </w:r>
      <w:r w:rsidR="00EC789C" w:rsidRPr="001B5E4F">
        <w:rPr>
          <w:rFonts w:ascii="Verdana" w:hAnsi="Verdana"/>
          <w:b/>
          <w:i/>
          <w:sz w:val="20"/>
          <w:szCs w:val="20"/>
        </w:rPr>
        <w:t>de cumplimiento de las sentencias</w:t>
      </w:r>
    </w:p>
    <w:bookmarkEnd w:id="3"/>
    <w:p w14:paraId="73CCCB09" w14:textId="00570A72" w:rsidR="00CA2944" w:rsidRPr="00D258D4" w:rsidRDefault="006F3CC3" w:rsidP="00CA2944">
      <w:pPr>
        <w:pStyle w:val="Prrafodelista"/>
        <w:numPr>
          <w:ilvl w:val="0"/>
          <w:numId w:val="2"/>
        </w:numPr>
        <w:autoSpaceDE w:val="0"/>
        <w:autoSpaceDN w:val="0"/>
        <w:adjustRightInd w:val="0"/>
        <w:spacing w:before="120" w:after="120"/>
        <w:ind w:left="0" w:firstLine="0"/>
        <w:contextualSpacing w:val="0"/>
        <w:jc w:val="both"/>
        <w:rPr>
          <w:rFonts w:ascii="Verdana" w:eastAsiaTheme="minorHAnsi" w:hAnsi="Verdana" w:cs="Verdana"/>
          <w:sz w:val="20"/>
          <w:szCs w:val="20"/>
          <w:lang w:val="es-CR"/>
        </w:rPr>
      </w:pPr>
      <w:r w:rsidRPr="00D258D4">
        <w:rPr>
          <w:rFonts w:ascii="Verdana" w:eastAsia="Verdana" w:hAnsi="Verdana" w:cs="Verdana"/>
          <w:sz w:val="20"/>
          <w:szCs w:val="20"/>
          <w:lang w:val="es-CR"/>
        </w:rPr>
        <w:t>La información presentada por las partes en</w:t>
      </w:r>
      <w:r w:rsidR="00CA2944" w:rsidRPr="00D258D4">
        <w:rPr>
          <w:rFonts w:ascii="Verdana" w:eastAsia="Verdana" w:hAnsi="Verdana" w:cs="Verdana"/>
          <w:sz w:val="20"/>
          <w:szCs w:val="20"/>
          <w:lang w:val="es-CR"/>
        </w:rPr>
        <w:t xml:space="preserve"> la supervisión de cumplimiento de las </w:t>
      </w:r>
      <w:r w:rsidR="004235DB">
        <w:rPr>
          <w:rFonts w:ascii="Verdana" w:eastAsia="Verdana" w:hAnsi="Verdana" w:cs="Verdana"/>
          <w:sz w:val="20"/>
          <w:szCs w:val="20"/>
          <w:lang w:val="es-CR"/>
        </w:rPr>
        <w:t>se</w:t>
      </w:r>
      <w:r w:rsidR="00CA2944" w:rsidRPr="00D258D4">
        <w:rPr>
          <w:rFonts w:ascii="Verdana" w:eastAsia="Verdana" w:hAnsi="Verdana" w:cs="Verdana"/>
          <w:sz w:val="20"/>
          <w:szCs w:val="20"/>
          <w:lang w:val="es-CR"/>
        </w:rPr>
        <w:t xml:space="preserve">ntencias de los casos </w:t>
      </w:r>
      <w:r w:rsidR="00CA2944" w:rsidRPr="00D258D4">
        <w:rPr>
          <w:rFonts w:ascii="Verdana" w:eastAsia="Verdana" w:hAnsi="Verdana" w:cs="Verdana"/>
          <w:i/>
          <w:sz w:val="20"/>
          <w:szCs w:val="20"/>
          <w:lang w:val="es-CR"/>
        </w:rPr>
        <w:t>Ruiz Fuentes y otra</w:t>
      </w:r>
      <w:r w:rsidR="00CA2944" w:rsidRPr="00D258D4">
        <w:rPr>
          <w:rFonts w:ascii="Verdana" w:eastAsia="Verdana" w:hAnsi="Verdana" w:cs="Verdana"/>
          <w:sz w:val="20"/>
          <w:szCs w:val="20"/>
          <w:lang w:val="es-CR"/>
        </w:rPr>
        <w:t xml:space="preserve"> y </w:t>
      </w:r>
      <w:r w:rsidR="00CA2944" w:rsidRPr="00D258D4">
        <w:rPr>
          <w:rFonts w:ascii="Verdana" w:eastAsia="Verdana" w:hAnsi="Verdana" w:cs="Verdana"/>
          <w:i/>
          <w:sz w:val="20"/>
          <w:szCs w:val="20"/>
          <w:lang w:val="es-CR"/>
        </w:rPr>
        <w:t>Valenzuela Ávila</w:t>
      </w:r>
      <w:r w:rsidRPr="00D258D4">
        <w:rPr>
          <w:rFonts w:ascii="Verdana" w:eastAsia="Verdana" w:hAnsi="Verdana" w:cs="Verdana"/>
          <w:sz w:val="20"/>
          <w:szCs w:val="20"/>
          <w:lang w:val="es-CR"/>
        </w:rPr>
        <w:t xml:space="preserve"> indica que</w:t>
      </w:r>
      <w:r w:rsidR="000C041A">
        <w:rPr>
          <w:rFonts w:ascii="Verdana" w:eastAsia="Verdana" w:hAnsi="Verdana" w:cs="Verdana"/>
          <w:sz w:val="20"/>
          <w:szCs w:val="20"/>
          <w:lang w:val="es-CR"/>
        </w:rPr>
        <w:t xml:space="preserve"> el proceso </w:t>
      </w:r>
      <w:r w:rsidR="00CA2944" w:rsidRPr="00D258D4">
        <w:rPr>
          <w:rFonts w:ascii="Verdana" w:eastAsia="Verdana" w:hAnsi="Verdana" w:cs="Verdana"/>
          <w:sz w:val="20"/>
          <w:szCs w:val="20"/>
          <w:lang w:val="es-CR"/>
        </w:rPr>
        <w:t xml:space="preserve">penal </w:t>
      </w:r>
      <w:r w:rsidR="000C041A">
        <w:rPr>
          <w:rFonts w:ascii="Verdana" w:eastAsia="Verdana" w:hAnsi="Verdana" w:cs="Verdana"/>
          <w:sz w:val="20"/>
          <w:szCs w:val="20"/>
          <w:lang w:val="es-CR"/>
        </w:rPr>
        <w:t>por</w:t>
      </w:r>
      <w:r w:rsidR="00CA2944" w:rsidRPr="00D258D4">
        <w:rPr>
          <w:rFonts w:ascii="Verdana" w:eastAsia="Verdana" w:hAnsi="Verdana" w:cs="Verdana"/>
          <w:sz w:val="20"/>
          <w:szCs w:val="20"/>
          <w:lang w:val="es-CR"/>
        </w:rPr>
        <w:t xml:space="preserve"> la ejecución de Hugo Humberto Ruiz Fuentes se encuentra bajo el control jurisdiccional de la Jueza de Primera Instancia Penal, Narcoactividad y Delitos Contra el Ambiente con Competencia para Conocer Procesos de Mayor Riesgo, Grupo "A" (en adelante “Jueza de Primera Instancia”). El proceso penal se sigue en contra de tres acusados</w:t>
      </w:r>
      <w:r w:rsidR="000C041A">
        <w:rPr>
          <w:rFonts w:ascii="Verdana" w:eastAsia="Verdana" w:hAnsi="Verdana" w:cs="Verdana"/>
          <w:sz w:val="20"/>
          <w:szCs w:val="20"/>
          <w:lang w:val="es-CR"/>
        </w:rPr>
        <w:t>;</w:t>
      </w:r>
      <w:r w:rsidR="00CA2944" w:rsidRPr="00D258D4">
        <w:rPr>
          <w:rFonts w:ascii="Verdana" w:eastAsia="Verdana" w:hAnsi="Verdana" w:cs="Verdana"/>
          <w:sz w:val="20"/>
          <w:szCs w:val="20"/>
          <w:lang w:val="es-CR"/>
        </w:rPr>
        <w:t xml:space="preserve"> respecto a dos de ellos</w:t>
      </w:r>
      <w:r w:rsidR="00D43D87">
        <w:rPr>
          <w:rFonts w:ascii="Verdana" w:eastAsia="Verdana" w:hAnsi="Verdana" w:cs="Verdana"/>
          <w:sz w:val="20"/>
          <w:szCs w:val="20"/>
          <w:lang w:val="es-CR"/>
        </w:rPr>
        <w:t xml:space="preserve"> </w:t>
      </w:r>
      <w:r w:rsidR="00CA2944" w:rsidRPr="00D258D4">
        <w:rPr>
          <w:rFonts w:ascii="Verdana" w:eastAsia="Verdana" w:hAnsi="Verdana" w:cs="Verdana"/>
          <w:sz w:val="20"/>
          <w:szCs w:val="20"/>
          <w:lang w:val="es-CR"/>
        </w:rPr>
        <w:t>se encuentra en etapa intermedia desde el 5 de marzo de 2021, sin que haya sido posible continuar la discusión del acto conclusivo por motivos de la pandemia de COVID-19, y respecto al tercero, en la audiencia de primera declaración celebrada el 15 de junio de 2021</w:t>
      </w:r>
      <w:r w:rsidR="00FF03D2">
        <w:rPr>
          <w:rFonts w:ascii="Verdana" w:eastAsia="Verdana" w:hAnsi="Verdana" w:cs="Verdana"/>
          <w:sz w:val="20"/>
          <w:szCs w:val="20"/>
          <w:lang w:val="es-CR"/>
        </w:rPr>
        <w:t>,</w:t>
      </w:r>
      <w:r w:rsidR="00CA2944" w:rsidRPr="00D258D4">
        <w:rPr>
          <w:rFonts w:ascii="Verdana" w:eastAsia="Verdana" w:hAnsi="Verdana" w:cs="Verdana"/>
          <w:sz w:val="20"/>
          <w:szCs w:val="20"/>
          <w:lang w:val="es-CR"/>
        </w:rPr>
        <w:t xml:space="preserve"> la Jueza de Primera Instancia decretó la suspensión provisional de la persecución penal en atención </w:t>
      </w:r>
      <w:r w:rsidR="00FF03D2">
        <w:rPr>
          <w:rFonts w:ascii="Verdana" w:eastAsia="Verdana" w:hAnsi="Verdana" w:cs="Verdana"/>
          <w:sz w:val="20"/>
          <w:szCs w:val="20"/>
          <w:lang w:val="es-CR"/>
        </w:rPr>
        <w:t>al</w:t>
      </w:r>
      <w:r w:rsidR="00CA2944" w:rsidRPr="00D258D4">
        <w:rPr>
          <w:rFonts w:ascii="Verdana" w:eastAsia="Verdana" w:hAnsi="Verdana" w:cs="Verdana"/>
          <w:sz w:val="20"/>
          <w:szCs w:val="20"/>
          <w:lang w:val="es-CR"/>
        </w:rPr>
        <w:t xml:space="preserve"> estado de salud y</w:t>
      </w:r>
      <w:r w:rsidR="00FF03D2">
        <w:rPr>
          <w:rFonts w:ascii="Verdana" w:eastAsia="Verdana" w:hAnsi="Verdana" w:cs="Verdana"/>
          <w:sz w:val="20"/>
          <w:szCs w:val="20"/>
          <w:lang w:val="es-CR"/>
        </w:rPr>
        <w:t xml:space="preserve"> la</w:t>
      </w:r>
      <w:r w:rsidR="00CA2944" w:rsidRPr="00D258D4">
        <w:rPr>
          <w:rFonts w:ascii="Verdana" w:eastAsia="Verdana" w:hAnsi="Verdana" w:cs="Verdana"/>
          <w:sz w:val="20"/>
          <w:szCs w:val="20"/>
          <w:lang w:val="es-CR"/>
        </w:rPr>
        <w:t xml:space="preserve"> alegada incapacidad </w:t>
      </w:r>
      <w:r w:rsidR="00FF03D2">
        <w:rPr>
          <w:rFonts w:ascii="Verdana" w:eastAsia="Verdana" w:hAnsi="Verdana" w:cs="Verdana"/>
          <w:sz w:val="20"/>
          <w:szCs w:val="20"/>
          <w:lang w:val="es-CR"/>
        </w:rPr>
        <w:t xml:space="preserve">del acusado </w:t>
      </w:r>
      <w:r w:rsidR="00CA2944" w:rsidRPr="00D258D4">
        <w:rPr>
          <w:rFonts w:ascii="Verdana" w:eastAsia="Verdana" w:hAnsi="Verdana" w:cs="Verdana"/>
          <w:sz w:val="20"/>
          <w:szCs w:val="20"/>
          <w:lang w:val="es-CR"/>
        </w:rPr>
        <w:t>para enfrentar el proceso</w:t>
      </w:r>
      <w:r w:rsidR="00CA2944" w:rsidRPr="00D258D4">
        <w:rPr>
          <w:rStyle w:val="Refdenotaalpie"/>
          <w:rFonts w:eastAsia="Verdana" w:cs="Verdana"/>
          <w:sz w:val="20"/>
          <w:szCs w:val="20"/>
          <w:lang w:val="es-CR"/>
        </w:rPr>
        <w:footnoteReference w:id="17"/>
      </w:r>
      <w:r w:rsidR="00CA2944" w:rsidRPr="00D258D4">
        <w:rPr>
          <w:rFonts w:ascii="Verdana" w:eastAsia="Verdana" w:hAnsi="Verdana" w:cs="Verdana"/>
          <w:sz w:val="20"/>
          <w:szCs w:val="20"/>
          <w:lang w:val="es-CR"/>
        </w:rPr>
        <w:t xml:space="preserve">. </w:t>
      </w:r>
      <w:r w:rsidR="00CA2944" w:rsidRPr="00D258D4">
        <w:rPr>
          <w:rFonts w:ascii="Verdana" w:eastAsia="Verdana" w:hAnsi="Verdana" w:cs="Verdana"/>
          <w:sz w:val="20"/>
          <w:szCs w:val="20"/>
          <w:lang w:val="es-CR"/>
        </w:rPr>
        <w:lastRenderedPageBreak/>
        <w:t xml:space="preserve">Por su parte, el expediente penal </w:t>
      </w:r>
      <w:r w:rsidR="000C041A">
        <w:rPr>
          <w:rFonts w:ascii="Verdana" w:eastAsia="Verdana" w:hAnsi="Verdana" w:cs="Verdana"/>
          <w:sz w:val="20"/>
          <w:szCs w:val="20"/>
          <w:lang w:val="es-CR"/>
        </w:rPr>
        <w:t>por</w:t>
      </w:r>
      <w:r w:rsidR="00CA2944" w:rsidRPr="00D258D4">
        <w:rPr>
          <w:rFonts w:ascii="Verdana" w:eastAsia="Verdana" w:hAnsi="Verdana" w:cs="Verdana"/>
          <w:sz w:val="20"/>
          <w:szCs w:val="20"/>
          <w:lang w:val="es-CR"/>
        </w:rPr>
        <w:t xml:space="preserve"> la ejecución de </w:t>
      </w:r>
      <w:r w:rsidR="00CA2944" w:rsidRPr="00D258D4">
        <w:rPr>
          <w:rFonts w:ascii="Verdana" w:hAnsi="Verdana"/>
          <w:sz w:val="20"/>
          <w:szCs w:val="20"/>
        </w:rPr>
        <w:t>Tirso Román Valenzuela Ávila,</w:t>
      </w:r>
      <w:r w:rsidR="00CA2944" w:rsidRPr="00D258D4">
        <w:rPr>
          <w:rFonts w:ascii="Verdana" w:eastAsia="Verdana" w:hAnsi="Verdana" w:cs="Verdana"/>
          <w:sz w:val="20"/>
          <w:szCs w:val="20"/>
          <w:lang w:val="es-CR"/>
        </w:rPr>
        <w:t xml:space="preserve"> se encuentra en etapa de investigación a fin de individualizar a </w:t>
      </w:r>
      <w:r w:rsidR="00E30AB1" w:rsidRPr="00D258D4">
        <w:rPr>
          <w:rFonts w:ascii="Verdana" w:eastAsia="Verdana" w:hAnsi="Verdana" w:cs="Verdana"/>
          <w:sz w:val="20"/>
          <w:szCs w:val="20"/>
          <w:lang w:val="es-CR"/>
        </w:rPr>
        <w:t>sus</w:t>
      </w:r>
      <w:r w:rsidR="00CA2944" w:rsidRPr="00D258D4">
        <w:rPr>
          <w:rFonts w:ascii="Verdana" w:eastAsia="Verdana" w:hAnsi="Verdana" w:cs="Verdana"/>
          <w:sz w:val="20"/>
          <w:szCs w:val="20"/>
          <w:lang w:val="es-CR"/>
        </w:rPr>
        <w:t xml:space="preserve"> responsables. </w:t>
      </w:r>
      <w:r w:rsidR="004235DB">
        <w:rPr>
          <w:rFonts w:ascii="Verdana" w:eastAsia="Verdana" w:hAnsi="Verdana" w:cs="Verdana"/>
          <w:sz w:val="20"/>
          <w:szCs w:val="20"/>
          <w:lang w:val="es-CR"/>
        </w:rPr>
        <w:t>Tal</w:t>
      </w:r>
      <w:r w:rsidR="00CA2944" w:rsidRPr="00D258D4">
        <w:rPr>
          <w:rFonts w:ascii="Verdana" w:eastAsia="Verdana" w:hAnsi="Verdana" w:cs="Verdana"/>
          <w:sz w:val="20"/>
          <w:szCs w:val="20"/>
          <w:lang w:val="es-CR"/>
        </w:rPr>
        <w:t xml:space="preserve"> expediente se encuentra </w:t>
      </w:r>
      <w:r w:rsidR="00B30F95">
        <w:rPr>
          <w:rFonts w:ascii="Verdana" w:eastAsia="Verdana" w:hAnsi="Verdana" w:cs="Verdana"/>
          <w:sz w:val="20"/>
          <w:szCs w:val="20"/>
          <w:lang w:val="es-CR"/>
        </w:rPr>
        <w:t>conexo</w:t>
      </w:r>
      <w:r w:rsidR="00CA2944" w:rsidRPr="00D258D4">
        <w:rPr>
          <w:rFonts w:ascii="Verdana" w:eastAsia="Verdana" w:hAnsi="Verdana" w:cs="Verdana"/>
          <w:sz w:val="20"/>
          <w:szCs w:val="20"/>
          <w:lang w:val="es-CR"/>
        </w:rPr>
        <w:t xml:space="preserve"> al expediente </w:t>
      </w:r>
      <w:r w:rsidR="00E30AB1" w:rsidRPr="00D258D4">
        <w:rPr>
          <w:rFonts w:ascii="Verdana" w:eastAsia="Verdana" w:hAnsi="Verdana" w:cs="Verdana"/>
          <w:sz w:val="20"/>
          <w:szCs w:val="20"/>
          <w:lang w:val="es-CR"/>
        </w:rPr>
        <w:t>de</w:t>
      </w:r>
      <w:r w:rsidR="00CA2944" w:rsidRPr="00D258D4">
        <w:rPr>
          <w:rFonts w:ascii="Verdana" w:eastAsia="Verdana" w:hAnsi="Verdana" w:cs="Verdana"/>
          <w:sz w:val="20"/>
          <w:szCs w:val="20"/>
          <w:lang w:val="es-CR"/>
        </w:rPr>
        <w:t xml:space="preserve"> Ruiz Fuentes, ya que este último comprende los casos vinculados a las ejecuciones </w:t>
      </w:r>
      <w:r w:rsidR="004235DB">
        <w:rPr>
          <w:rFonts w:ascii="Verdana" w:eastAsia="Verdana" w:hAnsi="Verdana" w:cs="Verdana"/>
          <w:sz w:val="20"/>
          <w:szCs w:val="20"/>
          <w:lang w:val="es-CR"/>
        </w:rPr>
        <w:t>realizadas en el marco</w:t>
      </w:r>
      <w:r w:rsidR="00CA2944" w:rsidRPr="00D258D4">
        <w:rPr>
          <w:rFonts w:ascii="Verdana" w:eastAsia="Verdana" w:hAnsi="Verdana" w:cs="Verdana"/>
          <w:sz w:val="20"/>
          <w:szCs w:val="20"/>
          <w:lang w:val="es-CR"/>
        </w:rPr>
        <w:t xml:space="preserve"> del </w:t>
      </w:r>
      <w:r w:rsidR="00F00FE7">
        <w:rPr>
          <w:rFonts w:ascii="Verdana" w:eastAsia="Verdana" w:hAnsi="Verdana" w:cs="Verdana"/>
          <w:sz w:val="20"/>
          <w:szCs w:val="20"/>
          <w:lang w:val="es-CR"/>
        </w:rPr>
        <w:t>“</w:t>
      </w:r>
      <w:r w:rsidR="00CA2944" w:rsidRPr="00D258D4">
        <w:rPr>
          <w:rFonts w:ascii="Verdana" w:eastAsia="Verdana" w:hAnsi="Verdana" w:cs="Verdana"/>
          <w:sz w:val="20"/>
          <w:szCs w:val="20"/>
          <w:lang w:val="es-CR"/>
        </w:rPr>
        <w:t>Plan Gavilán</w:t>
      </w:r>
      <w:r w:rsidR="00F00FE7">
        <w:rPr>
          <w:rFonts w:ascii="Verdana" w:eastAsia="Verdana" w:hAnsi="Verdana" w:cs="Verdana"/>
          <w:sz w:val="20"/>
          <w:szCs w:val="20"/>
          <w:lang w:val="es-CR"/>
        </w:rPr>
        <w:t>”</w:t>
      </w:r>
      <w:r w:rsidR="00CA2944" w:rsidRPr="00D258D4">
        <w:rPr>
          <w:rFonts w:ascii="Verdana" w:eastAsia="Verdana" w:hAnsi="Verdana" w:cs="Verdana"/>
          <w:sz w:val="20"/>
          <w:szCs w:val="20"/>
          <w:lang w:val="es-CR"/>
        </w:rPr>
        <w:t>.</w:t>
      </w:r>
    </w:p>
    <w:p w14:paraId="129603DF" w14:textId="65E9C7DB" w:rsidR="00684EC5" w:rsidRPr="00D258D4" w:rsidRDefault="00463DBE" w:rsidP="00463DBE">
      <w:pPr>
        <w:pStyle w:val="Prrafodelista"/>
        <w:numPr>
          <w:ilvl w:val="0"/>
          <w:numId w:val="2"/>
        </w:numPr>
        <w:autoSpaceDE w:val="0"/>
        <w:autoSpaceDN w:val="0"/>
        <w:adjustRightInd w:val="0"/>
        <w:spacing w:before="120" w:after="120"/>
        <w:ind w:left="0" w:firstLine="0"/>
        <w:contextualSpacing w:val="0"/>
        <w:jc w:val="both"/>
        <w:rPr>
          <w:rFonts w:ascii="Verdana" w:eastAsiaTheme="minorHAnsi" w:hAnsi="Verdana" w:cs="Verdana"/>
          <w:sz w:val="20"/>
          <w:szCs w:val="20"/>
          <w:lang w:val="es-CR"/>
        </w:rPr>
      </w:pPr>
      <w:r w:rsidRPr="00D258D4">
        <w:rPr>
          <w:rFonts w:ascii="Verdana" w:hAnsi="Verdana"/>
          <w:sz w:val="20"/>
          <w:szCs w:val="20"/>
        </w:rPr>
        <w:t>E</w:t>
      </w:r>
      <w:r w:rsidR="008B049C" w:rsidRPr="00D258D4">
        <w:rPr>
          <w:rFonts w:ascii="Verdana" w:hAnsi="Verdana"/>
          <w:sz w:val="20"/>
          <w:szCs w:val="20"/>
        </w:rPr>
        <w:t>n el marco de</w:t>
      </w:r>
      <w:r w:rsidR="008B049C" w:rsidRPr="00CA2944">
        <w:rPr>
          <w:rFonts w:ascii="Verdana" w:hAnsi="Verdana"/>
          <w:sz w:val="20"/>
          <w:szCs w:val="20"/>
        </w:rPr>
        <w:t xml:space="preserve"> la supervisión reforzada respecto de la medida relativa a investigar, identificar, juzgar y,</w:t>
      </w:r>
      <w:r w:rsidR="008B049C" w:rsidRPr="00B660E9">
        <w:rPr>
          <w:rFonts w:ascii="Verdana" w:hAnsi="Verdana"/>
          <w:sz w:val="20"/>
          <w:szCs w:val="20"/>
        </w:rPr>
        <w:t xml:space="preserve"> en su caso, sancionar a los responsables de la muerte del señor Hugo Humberto Ruiz Fuentes ordenada en la Sentencia, en lo que respecta al deber de asegurar que los operadores de justicia (Fiscales “A”, “B” y Auxiliar Fiscal “C”) vinculados a las investigaciones cuenten con las debidas garantías de seguridad</w:t>
      </w:r>
      <w:r w:rsidR="00F00FE7" w:rsidRPr="00B660E9">
        <w:rPr>
          <w:rFonts w:ascii="Verdana" w:hAnsi="Verdana"/>
          <w:sz w:val="20"/>
          <w:szCs w:val="20"/>
        </w:rPr>
        <w:t xml:space="preserve"> (</w:t>
      </w:r>
      <w:r w:rsidR="00F00FE7" w:rsidRPr="00B660E9">
        <w:rPr>
          <w:rFonts w:ascii="Verdana" w:hAnsi="Verdana"/>
          <w:i/>
          <w:sz w:val="20"/>
          <w:szCs w:val="20"/>
        </w:rPr>
        <w:t>supra</w:t>
      </w:r>
      <w:r w:rsidR="00F00FE7" w:rsidRPr="00B660E9">
        <w:rPr>
          <w:rFonts w:ascii="Verdana" w:hAnsi="Verdana"/>
          <w:sz w:val="20"/>
          <w:szCs w:val="20"/>
        </w:rPr>
        <w:t xml:space="preserve"> </w:t>
      </w:r>
      <w:r w:rsidR="00F00FE7">
        <w:rPr>
          <w:rFonts w:ascii="Verdana" w:hAnsi="Verdana"/>
          <w:sz w:val="20"/>
          <w:szCs w:val="20"/>
        </w:rPr>
        <w:t xml:space="preserve">Visto </w:t>
      </w:r>
      <w:r w:rsidR="005F5CC0">
        <w:rPr>
          <w:rFonts w:ascii="Verdana" w:hAnsi="Verdana"/>
          <w:sz w:val="20"/>
          <w:szCs w:val="20"/>
        </w:rPr>
        <w:t>2</w:t>
      </w:r>
      <w:r w:rsidR="00F00FE7" w:rsidRPr="00B660E9">
        <w:rPr>
          <w:rFonts w:ascii="Verdana" w:hAnsi="Verdana"/>
          <w:sz w:val="20"/>
          <w:szCs w:val="20"/>
        </w:rPr>
        <w:t>)</w:t>
      </w:r>
      <w:r>
        <w:rPr>
          <w:rFonts w:ascii="Verdana" w:hAnsi="Verdana"/>
          <w:sz w:val="20"/>
          <w:szCs w:val="20"/>
        </w:rPr>
        <w:t>, e</w:t>
      </w:r>
      <w:r w:rsidR="00684EC5" w:rsidRPr="00463DBE">
        <w:rPr>
          <w:rFonts w:ascii="Verdana" w:hAnsi="Verdana"/>
          <w:sz w:val="20"/>
          <w:szCs w:val="20"/>
        </w:rPr>
        <w:t xml:space="preserve">l </w:t>
      </w:r>
      <w:r w:rsidR="00684EC5" w:rsidRPr="00447B7C">
        <w:rPr>
          <w:rFonts w:ascii="Verdana" w:hAnsi="Verdana"/>
          <w:bCs/>
          <w:iCs/>
          <w:sz w:val="20"/>
          <w:szCs w:val="20"/>
        </w:rPr>
        <w:t>Estado</w:t>
      </w:r>
      <w:r w:rsidR="005F5CC0" w:rsidRPr="00D258D4">
        <w:rPr>
          <w:rStyle w:val="Refdenotaalpie"/>
          <w:rFonts w:eastAsiaTheme="minorHAnsi" w:cs="Arial"/>
          <w:sz w:val="20"/>
          <w:szCs w:val="20"/>
          <w:lang w:val="es-CR"/>
        </w:rPr>
        <w:footnoteReference w:id="18"/>
      </w:r>
      <w:r w:rsidR="00684EC5" w:rsidRPr="00463DBE">
        <w:rPr>
          <w:rFonts w:ascii="Verdana" w:hAnsi="Verdana"/>
          <w:bCs/>
          <w:iCs/>
          <w:sz w:val="20"/>
          <w:szCs w:val="20"/>
        </w:rPr>
        <w:t xml:space="preserve"> </w:t>
      </w:r>
      <w:r w:rsidR="00684EC5" w:rsidRPr="00463DBE">
        <w:rPr>
          <w:rFonts w:ascii="Verdana" w:hAnsi="Verdana"/>
          <w:sz w:val="20"/>
          <w:szCs w:val="20"/>
        </w:rPr>
        <w:t>presentó información respecto a los esquemas de seguridad y los análisis de riesgo realizados a</w:t>
      </w:r>
      <w:r w:rsidR="00B422F1">
        <w:rPr>
          <w:rFonts w:ascii="Verdana" w:hAnsi="Verdana"/>
          <w:sz w:val="20"/>
          <w:szCs w:val="20"/>
        </w:rPr>
        <w:t xml:space="preserve"> </w:t>
      </w:r>
      <w:r w:rsidR="00684EC5" w:rsidRPr="00463DBE">
        <w:rPr>
          <w:rFonts w:ascii="Verdana" w:hAnsi="Verdana"/>
          <w:sz w:val="20"/>
          <w:szCs w:val="20"/>
        </w:rPr>
        <w:t>l</w:t>
      </w:r>
      <w:r w:rsidR="00B422F1">
        <w:rPr>
          <w:rFonts w:ascii="Verdana" w:hAnsi="Verdana"/>
          <w:sz w:val="20"/>
          <w:szCs w:val="20"/>
        </w:rPr>
        <w:t>os</w:t>
      </w:r>
      <w:r w:rsidR="00684EC5" w:rsidRPr="00463DBE">
        <w:rPr>
          <w:rFonts w:ascii="Verdana" w:hAnsi="Verdana"/>
          <w:sz w:val="20"/>
          <w:szCs w:val="20"/>
        </w:rPr>
        <w:t xml:space="preserve"> señor</w:t>
      </w:r>
      <w:r w:rsidR="00B422F1">
        <w:rPr>
          <w:rFonts w:ascii="Verdana" w:hAnsi="Verdana"/>
          <w:sz w:val="20"/>
          <w:szCs w:val="20"/>
        </w:rPr>
        <w:t>es</w:t>
      </w:r>
      <w:r w:rsidR="00684EC5" w:rsidRPr="00463DBE">
        <w:rPr>
          <w:rFonts w:ascii="Verdana" w:hAnsi="Verdana"/>
          <w:sz w:val="20"/>
          <w:szCs w:val="20"/>
        </w:rPr>
        <w:t xml:space="preserve"> Juan Francisco San</w:t>
      </w:r>
      <w:r w:rsidR="00B422F1">
        <w:rPr>
          <w:rFonts w:ascii="Verdana" w:hAnsi="Verdana"/>
          <w:sz w:val="20"/>
          <w:szCs w:val="20"/>
        </w:rPr>
        <w:t>doval,</w:t>
      </w:r>
      <w:r w:rsidR="00684EC5" w:rsidRPr="00463DBE">
        <w:rPr>
          <w:rFonts w:ascii="Verdana" w:hAnsi="Verdana"/>
          <w:sz w:val="20"/>
          <w:szCs w:val="20"/>
        </w:rPr>
        <w:t xml:space="preserve"> “B” y “C”, a través del Departamento de Seguridad del Ministerio Público</w:t>
      </w:r>
      <w:r>
        <w:rPr>
          <w:rFonts w:ascii="Verdana" w:hAnsi="Verdana"/>
          <w:sz w:val="20"/>
          <w:szCs w:val="20"/>
        </w:rPr>
        <w:t>.</w:t>
      </w:r>
      <w:r w:rsidR="00684EC5" w:rsidRPr="00463DBE">
        <w:rPr>
          <w:rFonts w:ascii="Verdana" w:hAnsi="Verdana"/>
          <w:sz w:val="20"/>
          <w:szCs w:val="20"/>
        </w:rPr>
        <w:t xml:space="preserve"> </w:t>
      </w:r>
      <w:r>
        <w:rPr>
          <w:rFonts w:ascii="Verdana" w:hAnsi="Verdana"/>
          <w:sz w:val="20"/>
          <w:szCs w:val="20"/>
        </w:rPr>
        <w:t>S</w:t>
      </w:r>
      <w:r w:rsidR="00684EC5" w:rsidRPr="00463DBE">
        <w:rPr>
          <w:rFonts w:ascii="Verdana" w:hAnsi="Verdana"/>
          <w:sz w:val="20"/>
          <w:szCs w:val="20"/>
        </w:rPr>
        <w:t>ostuvo que son “efectivo</w:t>
      </w:r>
      <w:r w:rsidRPr="00463DBE">
        <w:rPr>
          <w:rFonts w:ascii="Verdana" w:hAnsi="Verdana"/>
          <w:sz w:val="20"/>
          <w:szCs w:val="20"/>
        </w:rPr>
        <w:t>s</w:t>
      </w:r>
      <w:r w:rsidR="00684EC5" w:rsidRPr="00463DBE">
        <w:rPr>
          <w:rFonts w:ascii="Verdana" w:hAnsi="Verdana"/>
          <w:sz w:val="20"/>
          <w:szCs w:val="20"/>
        </w:rPr>
        <w:t xml:space="preserve">”, y </w:t>
      </w:r>
      <w:r w:rsidR="00684EC5" w:rsidRPr="00463DBE">
        <w:rPr>
          <w:rFonts w:ascii="Verdana" w:eastAsiaTheme="minorHAnsi" w:hAnsi="Verdana" w:cs="Arial"/>
          <w:sz w:val="20"/>
          <w:szCs w:val="20"/>
          <w:lang w:val="es-CR"/>
        </w:rPr>
        <w:t>que tales personas no han reportado acontecimientos que represent</w:t>
      </w:r>
      <w:r>
        <w:rPr>
          <w:rFonts w:ascii="Verdana" w:eastAsiaTheme="minorHAnsi" w:hAnsi="Verdana" w:cs="Arial"/>
          <w:sz w:val="20"/>
          <w:szCs w:val="20"/>
          <w:lang w:val="es-CR"/>
        </w:rPr>
        <w:t>e</w:t>
      </w:r>
      <w:r w:rsidR="00684EC5" w:rsidRPr="00463DBE">
        <w:rPr>
          <w:rFonts w:ascii="Verdana" w:eastAsiaTheme="minorHAnsi" w:hAnsi="Verdana" w:cs="Arial"/>
          <w:sz w:val="20"/>
          <w:szCs w:val="20"/>
          <w:lang w:val="es-CR"/>
        </w:rPr>
        <w:t>n “amenaza” a su vida e integridad física que implique la modificación del esquema de seguridad. Respecto a los señalamientos de las representantes de que la audiencia de la primera declaración de un sindicado el 15 de junio de 2021 suponía un “a</w:t>
      </w:r>
      <w:r w:rsidR="00684EC5" w:rsidRPr="0098517C">
        <w:rPr>
          <w:rFonts w:ascii="Verdana" w:eastAsiaTheme="minorHAnsi" w:hAnsi="Verdana" w:cs="Arial"/>
          <w:sz w:val="20"/>
          <w:szCs w:val="20"/>
          <w:lang w:val="es-CR"/>
        </w:rPr>
        <w:t>umento del riesgo” (</w:t>
      </w:r>
      <w:r w:rsidR="00684EC5" w:rsidRPr="00463DBE">
        <w:rPr>
          <w:rFonts w:ascii="Verdana" w:eastAsiaTheme="minorHAnsi" w:hAnsi="Verdana" w:cs="Arial"/>
          <w:i/>
          <w:sz w:val="20"/>
          <w:szCs w:val="20"/>
          <w:lang w:val="es-CR"/>
        </w:rPr>
        <w:t>infra</w:t>
      </w:r>
      <w:r w:rsidR="00684EC5" w:rsidRPr="00463DBE">
        <w:rPr>
          <w:rFonts w:ascii="Verdana" w:eastAsiaTheme="minorHAnsi" w:hAnsi="Verdana" w:cs="Arial"/>
          <w:sz w:val="20"/>
          <w:szCs w:val="20"/>
          <w:lang w:val="es-CR"/>
        </w:rPr>
        <w:t xml:space="preserve"> Considerando </w:t>
      </w:r>
      <w:r w:rsidR="00CA4094">
        <w:rPr>
          <w:rFonts w:ascii="Verdana" w:eastAsiaTheme="minorHAnsi" w:hAnsi="Verdana" w:cs="Arial"/>
          <w:sz w:val="20"/>
          <w:szCs w:val="20"/>
          <w:lang w:val="es-CR"/>
        </w:rPr>
        <w:t>28</w:t>
      </w:r>
      <w:r w:rsidR="00684EC5" w:rsidRPr="00463DBE">
        <w:rPr>
          <w:rFonts w:ascii="Verdana" w:eastAsiaTheme="minorHAnsi" w:hAnsi="Verdana" w:cs="Arial"/>
          <w:sz w:val="20"/>
          <w:szCs w:val="20"/>
          <w:lang w:val="es-CR"/>
        </w:rPr>
        <w:t>), indicó que los mismos se basa</w:t>
      </w:r>
      <w:r w:rsidR="006A57C6">
        <w:rPr>
          <w:rFonts w:ascii="Verdana" w:eastAsiaTheme="minorHAnsi" w:hAnsi="Verdana" w:cs="Arial"/>
          <w:sz w:val="20"/>
          <w:szCs w:val="20"/>
          <w:lang w:val="es-CR"/>
        </w:rPr>
        <w:t>ron</w:t>
      </w:r>
      <w:r w:rsidR="00684EC5" w:rsidRPr="00463DBE">
        <w:rPr>
          <w:rFonts w:ascii="Verdana" w:eastAsiaTheme="minorHAnsi" w:hAnsi="Verdana" w:cs="Arial"/>
          <w:sz w:val="20"/>
          <w:szCs w:val="20"/>
          <w:lang w:val="es-CR"/>
        </w:rPr>
        <w:t xml:space="preserve"> en “</w:t>
      </w:r>
      <w:r w:rsidR="00684EC5" w:rsidRPr="00D258D4">
        <w:rPr>
          <w:rFonts w:ascii="Verdana" w:eastAsiaTheme="minorHAnsi" w:hAnsi="Verdana" w:cs="Arial"/>
          <w:sz w:val="20"/>
          <w:szCs w:val="20"/>
          <w:lang w:val="es-CR"/>
        </w:rPr>
        <w:t xml:space="preserve">percepciones subjetivas” </w:t>
      </w:r>
      <w:r w:rsidR="006A57C6" w:rsidRPr="00D258D4">
        <w:rPr>
          <w:rFonts w:ascii="Verdana" w:eastAsiaTheme="minorHAnsi" w:hAnsi="Verdana" w:cs="Arial"/>
          <w:sz w:val="20"/>
          <w:szCs w:val="20"/>
          <w:lang w:val="es-CR"/>
        </w:rPr>
        <w:t>sin</w:t>
      </w:r>
      <w:r w:rsidR="00684EC5" w:rsidRPr="00D258D4">
        <w:rPr>
          <w:rFonts w:ascii="Verdana" w:eastAsiaTheme="minorHAnsi" w:hAnsi="Verdana" w:cs="Arial"/>
          <w:sz w:val="20"/>
          <w:szCs w:val="20"/>
          <w:lang w:val="es-CR"/>
        </w:rPr>
        <w:t xml:space="preserve"> considera</w:t>
      </w:r>
      <w:r w:rsidR="006A57C6" w:rsidRPr="00D258D4">
        <w:rPr>
          <w:rFonts w:ascii="Verdana" w:eastAsiaTheme="minorHAnsi" w:hAnsi="Verdana" w:cs="Arial"/>
          <w:sz w:val="20"/>
          <w:szCs w:val="20"/>
          <w:lang w:val="es-CR"/>
        </w:rPr>
        <w:t>r</w:t>
      </w:r>
      <w:r w:rsidR="00684EC5" w:rsidRPr="00D258D4">
        <w:rPr>
          <w:rFonts w:ascii="Verdana" w:eastAsiaTheme="minorHAnsi" w:hAnsi="Verdana" w:cs="Arial"/>
          <w:sz w:val="20"/>
          <w:szCs w:val="20"/>
          <w:lang w:val="es-CR"/>
        </w:rPr>
        <w:t xml:space="preserve"> “los esfuerzos constantes” de Guatemala para dar cumplimiento a la supervisión reforzada ordenada, siendo que el Fiscal “B” y el Auxiliar Fiscal “C” contaron con sus respectivos esquemas de seguridad durante tal audiencia realizada.</w:t>
      </w:r>
      <w:r w:rsidR="00B422F1" w:rsidRPr="00D258D4">
        <w:rPr>
          <w:rFonts w:ascii="Verdana" w:eastAsiaTheme="minorHAnsi" w:hAnsi="Verdana" w:cs="Arial"/>
          <w:sz w:val="20"/>
          <w:szCs w:val="20"/>
          <w:lang w:val="es-CR"/>
        </w:rPr>
        <w:t xml:space="preserve"> </w:t>
      </w:r>
      <w:r w:rsidR="00D965BB" w:rsidRPr="00D258D4">
        <w:rPr>
          <w:rFonts w:ascii="Verdana" w:eastAsiaTheme="minorHAnsi" w:hAnsi="Verdana" w:cs="Arial"/>
          <w:sz w:val="20"/>
          <w:szCs w:val="20"/>
          <w:lang w:val="es-CR"/>
        </w:rPr>
        <w:t>Asimismo</w:t>
      </w:r>
      <w:r w:rsidR="00B422F1" w:rsidRPr="00D258D4">
        <w:rPr>
          <w:rFonts w:ascii="Verdana" w:eastAsiaTheme="minorHAnsi" w:hAnsi="Verdana" w:cs="Arial"/>
          <w:sz w:val="20"/>
          <w:szCs w:val="20"/>
          <w:lang w:val="es-CR"/>
        </w:rPr>
        <w:t>, se refirió a las investigaciones que se estarían llevando a cabo derivado de l</w:t>
      </w:r>
      <w:r w:rsidR="00D965BB" w:rsidRPr="00D258D4">
        <w:rPr>
          <w:rFonts w:ascii="Verdana" w:eastAsiaTheme="minorHAnsi" w:hAnsi="Verdana" w:cs="Arial"/>
          <w:sz w:val="20"/>
          <w:szCs w:val="20"/>
          <w:lang w:val="es-CR"/>
        </w:rPr>
        <w:t>o</w:t>
      </w:r>
      <w:r w:rsidR="00B422F1" w:rsidRPr="00D258D4">
        <w:rPr>
          <w:rFonts w:ascii="Verdana" w:eastAsiaTheme="minorHAnsi" w:hAnsi="Verdana" w:cs="Arial"/>
          <w:sz w:val="20"/>
          <w:szCs w:val="20"/>
          <w:lang w:val="es-CR"/>
        </w:rPr>
        <w:t>s siguientes</w:t>
      </w:r>
      <w:r w:rsidR="00D965BB" w:rsidRPr="00D258D4">
        <w:rPr>
          <w:rFonts w:ascii="Verdana" w:eastAsiaTheme="minorHAnsi" w:hAnsi="Verdana" w:cs="Arial"/>
          <w:sz w:val="20"/>
          <w:szCs w:val="20"/>
          <w:lang w:val="es-CR"/>
        </w:rPr>
        <w:t xml:space="preserve"> hechos</w:t>
      </w:r>
      <w:r w:rsidR="00B422F1" w:rsidRPr="00D258D4">
        <w:rPr>
          <w:rFonts w:ascii="Verdana" w:eastAsiaTheme="minorHAnsi" w:hAnsi="Verdana" w:cs="Arial"/>
          <w:sz w:val="20"/>
          <w:szCs w:val="20"/>
          <w:lang w:val="es-CR"/>
        </w:rPr>
        <w:t xml:space="preserve"> </w:t>
      </w:r>
      <w:r w:rsidR="006A57C6" w:rsidRPr="00D258D4">
        <w:rPr>
          <w:rFonts w:ascii="Verdana" w:eastAsiaTheme="minorHAnsi" w:hAnsi="Verdana" w:cs="Arial"/>
          <w:sz w:val="20"/>
          <w:szCs w:val="20"/>
          <w:lang w:val="es-CR"/>
        </w:rPr>
        <w:t>denunciados</w:t>
      </w:r>
      <w:r w:rsidR="00B422F1" w:rsidRPr="00D258D4">
        <w:rPr>
          <w:rFonts w:ascii="Verdana" w:eastAsiaTheme="minorHAnsi" w:hAnsi="Verdana" w:cs="Arial"/>
          <w:sz w:val="20"/>
          <w:szCs w:val="20"/>
          <w:lang w:val="es-CR"/>
        </w:rPr>
        <w:t>: a) el “plan de asesinato” en contra del ex Fiscal Sandoval</w:t>
      </w:r>
      <w:r w:rsidR="00D965BB" w:rsidRPr="00D258D4">
        <w:rPr>
          <w:rStyle w:val="Refdenotaalpie"/>
          <w:rFonts w:eastAsiaTheme="minorHAnsi" w:cs="Arial"/>
          <w:sz w:val="20"/>
          <w:szCs w:val="20"/>
          <w:lang w:val="es-CR"/>
        </w:rPr>
        <w:footnoteReference w:id="19"/>
      </w:r>
      <w:r w:rsidR="00B422F1" w:rsidRPr="00D258D4">
        <w:rPr>
          <w:rFonts w:ascii="Verdana" w:eastAsiaTheme="minorHAnsi" w:hAnsi="Verdana" w:cs="Arial"/>
          <w:sz w:val="20"/>
          <w:szCs w:val="20"/>
          <w:lang w:val="es-CR"/>
        </w:rPr>
        <w:t>; b) los hechos acontecidos en febrero de 2020 respecto el Fiscal “B”</w:t>
      </w:r>
      <w:r w:rsidR="00B422F1" w:rsidRPr="00D258D4">
        <w:rPr>
          <w:rStyle w:val="Refdenotaalpie"/>
          <w:rFonts w:eastAsiaTheme="minorHAnsi" w:cs="Arial"/>
          <w:sz w:val="20"/>
          <w:szCs w:val="20"/>
          <w:lang w:val="es-CR"/>
        </w:rPr>
        <w:footnoteReference w:id="20"/>
      </w:r>
      <w:r w:rsidR="00B422F1" w:rsidRPr="00D258D4">
        <w:rPr>
          <w:rFonts w:ascii="Verdana" w:eastAsiaTheme="minorHAnsi" w:hAnsi="Verdana" w:cs="Arial"/>
          <w:sz w:val="20"/>
          <w:szCs w:val="20"/>
          <w:lang w:val="es-CR"/>
        </w:rPr>
        <w:t>; c)</w:t>
      </w:r>
      <w:r w:rsidR="00D965BB" w:rsidRPr="00D258D4">
        <w:rPr>
          <w:rFonts w:ascii="Verdana" w:eastAsiaTheme="minorHAnsi" w:hAnsi="Verdana" w:cs="Arial"/>
          <w:sz w:val="20"/>
          <w:szCs w:val="20"/>
          <w:lang w:val="es-CR"/>
        </w:rPr>
        <w:t xml:space="preserve"> </w:t>
      </w:r>
      <w:r w:rsidR="00B422F1" w:rsidRPr="00D258D4">
        <w:rPr>
          <w:rFonts w:ascii="Verdana" w:eastAsiaTheme="minorHAnsi" w:hAnsi="Verdana" w:cs="Arial"/>
          <w:sz w:val="20"/>
          <w:szCs w:val="20"/>
          <w:lang w:val="es-CR"/>
        </w:rPr>
        <w:t>las denuncias en las cuales el ex Fiscal Sandoval se encuentra como parte “agraviada”</w:t>
      </w:r>
      <w:r w:rsidR="005D370D">
        <w:rPr>
          <w:rFonts w:ascii="Verdana" w:eastAsiaTheme="minorHAnsi" w:hAnsi="Verdana" w:cs="Arial"/>
          <w:sz w:val="20"/>
          <w:szCs w:val="20"/>
          <w:lang w:val="es-CR"/>
        </w:rPr>
        <w:t>,</w:t>
      </w:r>
      <w:r w:rsidR="00D965BB" w:rsidRPr="00D258D4">
        <w:rPr>
          <w:rFonts w:ascii="Verdana" w:eastAsiaTheme="minorHAnsi" w:hAnsi="Verdana" w:cs="Arial"/>
          <w:sz w:val="20"/>
          <w:szCs w:val="20"/>
          <w:lang w:val="es-CR"/>
        </w:rPr>
        <w:t xml:space="preserve"> y d)</w:t>
      </w:r>
      <w:r w:rsidR="00B422F1" w:rsidRPr="00D258D4">
        <w:rPr>
          <w:rFonts w:ascii="Verdana" w:eastAsiaTheme="minorHAnsi" w:hAnsi="Verdana" w:cs="Arial"/>
          <w:sz w:val="20"/>
          <w:szCs w:val="20"/>
          <w:lang w:val="es-CR"/>
        </w:rPr>
        <w:t xml:space="preserve"> las denuncias penales y administrativas interpuestas en contra de los </w:t>
      </w:r>
      <w:r w:rsidR="00AD27B1">
        <w:rPr>
          <w:rFonts w:ascii="Verdana" w:eastAsiaTheme="minorHAnsi" w:hAnsi="Verdana" w:cs="Arial"/>
          <w:sz w:val="20"/>
          <w:szCs w:val="20"/>
          <w:lang w:val="es-CR"/>
        </w:rPr>
        <w:t xml:space="preserve">fiscales </w:t>
      </w:r>
      <w:r w:rsidR="00B422F1" w:rsidRPr="00D258D4">
        <w:rPr>
          <w:rFonts w:ascii="Verdana" w:eastAsiaTheme="minorHAnsi" w:hAnsi="Verdana" w:cs="Arial"/>
          <w:sz w:val="20"/>
          <w:szCs w:val="20"/>
          <w:lang w:val="es-CR"/>
        </w:rPr>
        <w:t>Sandoval</w:t>
      </w:r>
      <w:r w:rsidR="00AD27B1">
        <w:rPr>
          <w:rFonts w:ascii="Verdana" w:eastAsiaTheme="minorHAnsi" w:hAnsi="Verdana" w:cs="Arial"/>
          <w:sz w:val="20"/>
          <w:szCs w:val="20"/>
          <w:lang w:val="es-CR"/>
        </w:rPr>
        <w:t>,</w:t>
      </w:r>
      <w:r w:rsidR="00B422F1" w:rsidRPr="00D258D4">
        <w:rPr>
          <w:rFonts w:ascii="Verdana" w:eastAsiaTheme="minorHAnsi" w:hAnsi="Verdana" w:cs="Arial"/>
          <w:sz w:val="20"/>
          <w:szCs w:val="20"/>
          <w:lang w:val="es-CR"/>
        </w:rPr>
        <w:t xml:space="preserve"> “B”</w:t>
      </w:r>
      <w:r w:rsidR="00AD27B1">
        <w:rPr>
          <w:rFonts w:ascii="Verdana" w:eastAsiaTheme="minorHAnsi" w:hAnsi="Verdana" w:cs="Arial"/>
          <w:sz w:val="20"/>
          <w:szCs w:val="20"/>
          <w:lang w:val="es-CR"/>
        </w:rPr>
        <w:t xml:space="preserve"> y “C”</w:t>
      </w:r>
      <w:r w:rsidR="00B422F1" w:rsidRPr="00D258D4">
        <w:rPr>
          <w:rFonts w:ascii="Verdana" w:eastAsiaTheme="minorHAnsi" w:hAnsi="Verdana" w:cs="Arial"/>
          <w:sz w:val="20"/>
          <w:szCs w:val="20"/>
          <w:lang w:val="es-CR"/>
        </w:rPr>
        <w:t>.</w:t>
      </w:r>
    </w:p>
    <w:p w14:paraId="201F2F32" w14:textId="3F28712D" w:rsidR="003847BB" w:rsidRPr="00D258D4" w:rsidRDefault="00684EC5" w:rsidP="003847BB">
      <w:pPr>
        <w:pStyle w:val="Prrafodelista"/>
        <w:numPr>
          <w:ilvl w:val="0"/>
          <w:numId w:val="2"/>
        </w:numPr>
        <w:autoSpaceDE w:val="0"/>
        <w:autoSpaceDN w:val="0"/>
        <w:adjustRightInd w:val="0"/>
        <w:spacing w:before="120" w:after="120"/>
        <w:ind w:left="0" w:firstLine="0"/>
        <w:contextualSpacing w:val="0"/>
        <w:jc w:val="both"/>
        <w:rPr>
          <w:rFonts w:ascii="Verdana" w:eastAsiaTheme="minorHAnsi" w:hAnsi="Verdana" w:cs="Verdana"/>
          <w:sz w:val="20"/>
          <w:szCs w:val="20"/>
          <w:lang w:val="es-CR"/>
        </w:rPr>
      </w:pPr>
      <w:r w:rsidRPr="00D258D4">
        <w:rPr>
          <w:rFonts w:ascii="Verdana" w:eastAsiaTheme="minorHAnsi" w:hAnsi="Verdana" w:cs="Arial"/>
          <w:sz w:val="20"/>
          <w:szCs w:val="20"/>
          <w:lang w:val="es-CR"/>
        </w:rPr>
        <w:t xml:space="preserve">Las </w:t>
      </w:r>
      <w:r w:rsidRPr="00447B7C">
        <w:rPr>
          <w:rFonts w:ascii="Verdana" w:eastAsiaTheme="minorHAnsi" w:hAnsi="Verdana" w:cs="Arial"/>
          <w:sz w:val="20"/>
          <w:szCs w:val="20"/>
          <w:lang w:val="es-CR"/>
        </w:rPr>
        <w:t>representantes</w:t>
      </w:r>
      <w:r w:rsidRPr="00D258D4">
        <w:rPr>
          <w:rFonts w:ascii="Verdana" w:eastAsiaTheme="minorHAnsi" w:hAnsi="Verdana" w:cs="Arial"/>
          <w:i/>
          <w:sz w:val="20"/>
          <w:szCs w:val="20"/>
          <w:lang w:val="es-CR"/>
        </w:rPr>
        <w:t xml:space="preserve"> </w:t>
      </w:r>
      <w:r w:rsidRPr="00D258D4">
        <w:rPr>
          <w:rFonts w:ascii="Verdana" w:eastAsiaTheme="minorHAnsi" w:hAnsi="Verdana" w:cs="Arial"/>
          <w:sz w:val="20"/>
          <w:szCs w:val="20"/>
          <w:lang w:val="es-CR"/>
        </w:rPr>
        <w:t>señalaron que es necesario que se actualicen los análisis de riesgo conforme a los “incidentes de riesgo” que han reportado los fiscales</w:t>
      </w:r>
      <w:r w:rsidR="00612C25" w:rsidRPr="00D258D4">
        <w:rPr>
          <w:rFonts w:ascii="Verdana" w:eastAsiaTheme="minorHAnsi" w:hAnsi="Verdana" w:cs="Verdana"/>
          <w:sz w:val="20"/>
          <w:szCs w:val="20"/>
          <w:lang w:val="es-CR"/>
        </w:rPr>
        <w:t>, t</w:t>
      </w:r>
      <w:r w:rsidR="009408BC" w:rsidRPr="00D258D4">
        <w:rPr>
          <w:rFonts w:ascii="Verdana" w:eastAsiaTheme="minorHAnsi" w:hAnsi="Verdana" w:cs="Verdana"/>
          <w:sz w:val="20"/>
          <w:szCs w:val="20"/>
          <w:lang w:val="es-CR"/>
        </w:rPr>
        <w:t>ales como</w:t>
      </w:r>
      <w:r w:rsidR="00612C25" w:rsidRPr="00D258D4">
        <w:rPr>
          <w:rFonts w:ascii="Verdana" w:eastAsiaTheme="minorHAnsi" w:hAnsi="Verdana" w:cs="Verdana"/>
          <w:sz w:val="20"/>
          <w:szCs w:val="20"/>
          <w:lang w:val="es-CR"/>
        </w:rPr>
        <w:t>:</w:t>
      </w:r>
      <w:r w:rsidR="009408BC" w:rsidRPr="00D258D4">
        <w:rPr>
          <w:rFonts w:ascii="Verdana" w:eastAsiaTheme="minorHAnsi" w:hAnsi="Verdana" w:cs="Verdana"/>
          <w:sz w:val="20"/>
          <w:szCs w:val="20"/>
          <w:lang w:val="es-CR"/>
        </w:rPr>
        <w:t xml:space="preserve"> “las conspiraciones para cometer asesinato” contra el ex Fiscal Sandoval, la intercepción realizada contra el vehícu</w:t>
      </w:r>
      <w:r w:rsidR="006A57C6" w:rsidRPr="00D258D4">
        <w:rPr>
          <w:rFonts w:ascii="Verdana" w:eastAsiaTheme="minorHAnsi" w:hAnsi="Verdana" w:cs="Verdana"/>
          <w:sz w:val="20"/>
          <w:szCs w:val="20"/>
          <w:lang w:val="es-CR"/>
        </w:rPr>
        <w:t>lo del Fiscal</w:t>
      </w:r>
      <w:r w:rsidR="006A57C6">
        <w:rPr>
          <w:rFonts w:ascii="Verdana" w:eastAsiaTheme="minorHAnsi" w:hAnsi="Verdana" w:cs="Verdana"/>
          <w:sz w:val="20"/>
          <w:szCs w:val="20"/>
          <w:lang w:val="es-CR"/>
        </w:rPr>
        <w:t xml:space="preserve"> “B” por parte de a</w:t>
      </w:r>
      <w:r w:rsidR="009408BC" w:rsidRPr="00B660E9">
        <w:rPr>
          <w:rFonts w:ascii="Verdana" w:eastAsiaTheme="minorHAnsi" w:hAnsi="Verdana" w:cs="Verdana"/>
          <w:sz w:val="20"/>
          <w:szCs w:val="20"/>
          <w:lang w:val="es-CR"/>
        </w:rPr>
        <w:t xml:space="preserve">gentes de la Policía </w:t>
      </w:r>
      <w:r w:rsidR="006A57C6">
        <w:rPr>
          <w:rFonts w:ascii="Verdana" w:eastAsiaTheme="minorHAnsi" w:hAnsi="Verdana" w:cs="Verdana"/>
          <w:sz w:val="20"/>
          <w:szCs w:val="20"/>
          <w:lang w:val="es-CR"/>
        </w:rPr>
        <w:t xml:space="preserve">Nacional </w:t>
      </w:r>
      <w:r w:rsidR="009408BC" w:rsidRPr="00B660E9">
        <w:rPr>
          <w:rFonts w:ascii="Verdana" w:eastAsiaTheme="minorHAnsi" w:hAnsi="Verdana" w:cs="Verdana"/>
          <w:sz w:val="20"/>
          <w:szCs w:val="20"/>
          <w:lang w:val="es-CR"/>
        </w:rPr>
        <w:t xml:space="preserve">Civil, las “llamadas extorsivas” realizadas por medio de un número de WhatsApp que tiene como foto de perfil una imagen del rostro del ex Fiscal Sandoval, las denuncias presentadas por personas sindicadas en casos investigados por la FECI, </w:t>
      </w:r>
      <w:r w:rsidR="00612C25">
        <w:rPr>
          <w:rFonts w:ascii="Verdana" w:eastAsiaTheme="minorHAnsi" w:hAnsi="Verdana" w:cs="Verdana"/>
          <w:sz w:val="20"/>
          <w:szCs w:val="20"/>
          <w:lang w:val="es-CR"/>
        </w:rPr>
        <w:t xml:space="preserve">y </w:t>
      </w:r>
      <w:r w:rsidR="009408BC" w:rsidRPr="00B660E9">
        <w:rPr>
          <w:rFonts w:ascii="Verdana" w:eastAsiaTheme="minorHAnsi" w:hAnsi="Verdana" w:cs="Verdana"/>
          <w:sz w:val="20"/>
          <w:szCs w:val="20"/>
          <w:lang w:val="es-CR"/>
        </w:rPr>
        <w:t xml:space="preserve">los procedimientos administrativos interpuestos en contra de los fiscales. </w:t>
      </w:r>
      <w:r w:rsidRPr="00B660E9">
        <w:rPr>
          <w:rFonts w:ascii="Verdana" w:eastAsiaTheme="minorHAnsi" w:hAnsi="Verdana" w:cs="Arial"/>
          <w:sz w:val="20"/>
          <w:szCs w:val="20"/>
          <w:lang w:val="es-CR"/>
        </w:rPr>
        <w:t>Asimismo, se refirieron a las “deficiencias” que persisten en los esquemas de seguridad y solicitaron que estas se subsanen. Destacaron que la sola valoración de riesgo es “insuficiente</w:t>
      </w:r>
      <w:r w:rsidRPr="00B660E9">
        <w:rPr>
          <w:rFonts w:ascii="Verdana" w:eastAsiaTheme="minorHAnsi" w:hAnsi="Verdana" w:cs="ArialMT"/>
          <w:sz w:val="20"/>
          <w:szCs w:val="20"/>
          <w:lang w:val="es-CR"/>
        </w:rPr>
        <w:t xml:space="preserve"> porque no toma en cuenta que los sindicados en el caso Ruiz Fuentes están en libertad", y entre e</w:t>
      </w:r>
      <w:r w:rsidR="00D84744">
        <w:rPr>
          <w:rFonts w:ascii="Verdana" w:eastAsiaTheme="minorHAnsi" w:hAnsi="Verdana" w:cs="ArialMT"/>
          <w:sz w:val="20"/>
          <w:szCs w:val="20"/>
          <w:lang w:val="es-CR"/>
        </w:rPr>
        <w:t>llos hay personas que ostentan “</w:t>
      </w:r>
      <w:r w:rsidRPr="00B660E9">
        <w:rPr>
          <w:rFonts w:ascii="Verdana" w:eastAsiaTheme="minorHAnsi" w:hAnsi="Verdana" w:cs="ArialMT"/>
          <w:sz w:val="20"/>
          <w:szCs w:val="20"/>
          <w:lang w:val="es-CR"/>
        </w:rPr>
        <w:t xml:space="preserve">recursos suficientes y contactos en las fuerzas de seguridad, para poder atentar contra la vida e integridad de los </w:t>
      </w:r>
      <w:r w:rsidRPr="00B660E9">
        <w:rPr>
          <w:rFonts w:ascii="Verdana" w:eastAsiaTheme="minorHAnsi" w:hAnsi="Verdana" w:cs="ArialMT"/>
          <w:sz w:val="20"/>
          <w:szCs w:val="20"/>
          <w:lang w:val="es-CR"/>
        </w:rPr>
        <w:lastRenderedPageBreak/>
        <w:t>fiscales</w:t>
      </w:r>
      <w:r w:rsidR="00D84744">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 Advirtieron que, ante </w:t>
      </w:r>
      <w:r w:rsidRPr="00B660E9">
        <w:rPr>
          <w:rFonts w:ascii="Verdana" w:eastAsiaTheme="minorHAnsi" w:hAnsi="Verdana" w:cs="Arial"/>
          <w:sz w:val="20"/>
          <w:szCs w:val="20"/>
          <w:lang w:val="es-CR"/>
        </w:rPr>
        <w:t xml:space="preserve">la convocatoria a audiencia de la primera declaración de un sindicado en el caso de la muerte del señor Ruiz Fuentes, a </w:t>
      </w:r>
      <w:r w:rsidRPr="00D258D4">
        <w:rPr>
          <w:rFonts w:ascii="Verdana" w:eastAsiaTheme="minorHAnsi" w:hAnsi="Verdana" w:cs="Arial"/>
          <w:sz w:val="20"/>
          <w:szCs w:val="20"/>
          <w:lang w:val="es-CR"/>
        </w:rPr>
        <w:t xml:space="preserve">celebrarse el 15 de junio de 2021, </w:t>
      </w:r>
      <w:r w:rsidR="00612C25" w:rsidRPr="00D258D4">
        <w:rPr>
          <w:rFonts w:ascii="Verdana" w:eastAsiaTheme="minorHAnsi" w:hAnsi="Verdana" w:cs="Arial"/>
          <w:sz w:val="20"/>
          <w:szCs w:val="20"/>
          <w:lang w:val="es-CR"/>
        </w:rPr>
        <w:t xml:space="preserve">a pesar de que lo </w:t>
      </w:r>
      <w:r w:rsidRPr="00D258D4">
        <w:rPr>
          <w:rFonts w:ascii="Verdana" w:eastAsiaTheme="minorHAnsi" w:hAnsi="Verdana" w:cs="Arial"/>
          <w:sz w:val="20"/>
          <w:szCs w:val="20"/>
          <w:lang w:val="es-CR"/>
        </w:rPr>
        <w:t>solicitaron, el Estado “no reforzó las medidas existentes”</w:t>
      </w:r>
      <w:r w:rsidR="005F5CC0" w:rsidRPr="00D258D4">
        <w:rPr>
          <w:rStyle w:val="Refdenotaalpie"/>
          <w:rFonts w:eastAsiaTheme="minorHAnsi" w:cs="Arial"/>
          <w:sz w:val="20"/>
          <w:szCs w:val="20"/>
          <w:lang w:val="es-CR"/>
        </w:rPr>
        <w:footnoteReference w:id="21"/>
      </w:r>
      <w:r w:rsidRPr="00D258D4">
        <w:rPr>
          <w:rFonts w:ascii="Verdana" w:eastAsiaTheme="minorHAnsi" w:hAnsi="Verdana" w:cs="Arial"/>
          <w:sz w:val="20"/>
          <w:szCs w:val="20"/>
          <w:lang w:val="es-CR"/>
        </w:rPr>
        <w:t>.</w:t>
      </w:r>
      <w:bookmarkStart w:id="4" w:name="_Toc80273248"/>
    </w:p>
    <w:p w14:paraId="676258F1" w14:textId="7E22AD40" w:rsidR="003847BB" w:rsidRPr="00D258D4" w:rsidRDefault="00BD103E" w:rsidP="00FE0DFE">
      <w:pPr>
        <w:pStyle w:val="Prrafodelista"/>
        <w:numPr>
          <w:ilvl w:val="0"/>
          <w:numId w:val="2"/>
        </w:numPr>
        <w:autoSpaceDE w:val="0"/>
        <w:autoSpaceDN w:val="0"/>
        <w:adjustRightInd w:val="0"/>
        <w:spacing w:before="120" w:after="120"/>
        <w:ind w:left="0" w:firstLine="0"/>
        <w:contextualSpacing w:val="0"/>
        <w:jc w:val="both"/>
        <w:rPr>
          <w:rFonts w:ascii="Verdana" w:eastAsiaTheme="minorHAnsi" w:hAnsi="Verdana" w:cs="Verdana"/>
          <w:sz w:val="20"/>
          <w:szCs w:val="20"/>
          <w:lang w:val="es-CR"/>
        </w:rPr>
      </w:pPr>
      <w:r>
        <w:rPr>
          <w:rFonts w:ascii="Verdana" w:hAnsi="Verdana"/>
          <w:sz w:val="20"/>
          <w:szCs w:val="20"/>
        </w:rPr>
        <w:t>En cuanto a diversas</w:t>
      </w:r>
      <w:r w:rsidR="003847BB" w:rsidRPr="00D258D4">
        <w:rPr>
          <w:rFonts w:ascii="Verdana" w:hAnsi="Verdana"/>
          <w:sz w:val="20"/>
          <w:szCs w:val="20"/>
        </w:rPr>
        <w:t xml:space="preserve"> denuncias interpuestas en contra de</w:t>
      </w:r>
      <w:r w:rsidR="00E30AB1" w:rsidRPr="00D258D4">
        <w:rPr>
          <w:rFonts w:ascii="Verdana" w:hAnsi="Verdana"/>
          <w:sz w:val="20"/>
          <w:szCs w:val="20"/>
        </w:rPr>
        <w:t xml:space="preserve"> </w:t>
      </w:r>
      <w:r w:rsidR="003847BB" w:rsidRPr="00D258D4">
        <w:rPr>
          <w:rFonts w:ascii="Verdana" w:hAnsi="Verdana"/>
          <w:sz w:val="20"/>
          <w:szCs w:val="20"/>
        </w:rPr>
        <w:t>l</w:t>
      </w:r>
      <w:r w:rsidR="00E30AB1" w:rsidRPr="00D258D4">
        <w:rPr>
          <w:rFonts w:ascii="Verdana" w:hAnsi="Verdana"/>
          <w:sz w:val="20"/>
          <w:szCs w:val="20"/>
        </w:rPr>
        <w:t>os señores</w:t>
      </w:r>
      <w:r w:rsidR="003847BB" w:rsidRPr="00D258D4">
        <w:rPr>
          <w:rFonts w:ascii="Verdana" w:hAnsi="Verdana"/>
          <w:sz w:val="20"/>
          <w:szCs w:val="20"/>
        </w:rPr>
        <w:t xml:space="preserve"> Sandoval</w:t>
      </w:r>
      <w:r w:rsidR="00E30AB1" w:rsidRPr="00D258D4">
        <w:rPr>
          <w:rFonts w:ascii="Verdana" w:hAnsi="Verdana"/>
          <w:sz w:val="20"/>
          <w:szCs w:val="20"/>
        </w:rPr>
        <w:t xml:space="preserve"> Alfaro</w:t>
      </w:r>
      <w:r w:rsidR="003847BB" w:rsidRPr="00D258D4">
        <w:rPr>
          <w:rFonts w:ascii="Verdana" w:hAnsi="Verdana"/>
          <w:sz w:val="20"/>
          <w:szCs w:val="20"/>
        </w:rPr>
        <w:t xml:space="preserve">, “B” y “C”, las </w:t>
      </w:r>
      <w:r w:rsidR="003847BB" w:rsidRPr="00D258D4">
        <w:rPr>
          <w:rFonts w:ascii="Verdana" w:hAnsi="Verdana"/>
          <w:bCs/>
          <w:iCs/>
          <w:sz w:val="20"/>
          <w:szCs w:val="20"/>
        </w:rPr>
        <w:t>representantes</w:t>
      </w:r>
      <w:r w:rsidR="003847BB" w:rsidRPr="00D258D4">
        <w:rPr>
          <w:rFonts w:ascii="Verdana" w:hAnsi="Verdana"/>
          <w:sz w:val="20"/>
          <w:szCs w:val="20"/>
        </w:rPr>
        <w:t xml:space="preserve"> señalaron que el “despacho </w:t>
      </w:r>
      <w:r w:rsidR="003847BB" w:rsidRPr="00D258D4">
        <w:rPr>
          <w:rFonts w:ascii="Verdana" w:eastAsiaTheme="minorHAnsi" w:hAnsi="Verdana" w:cs="Arial"/>
          <w:sz w:val="20"/>
          <w:szCs w:val="20"/>
          <w:lang w:val="es-CR"/>
        </w:rPr>
        <w:t xml:space="preserve">de la </w:t>
      </w:r>
      <w:proofErr w:type="gramStart"/>
      <w:r w:rsidR="003847BB" w:rsidRPr="00D258D4">
        <w:rPr>
          <w:rFonts w:ascii="Verdana" w:eastAsiaTheme="minorHAnsi" w:hAnsi="Verdana" w:cs="Arial"/>
          <w:sz w:val="20"/>
          <w:szCs w:val="20"/>
          <w:lang w:val="es-CR"/>
        </w:rPr>
        <w:t>Fiscal General</w:t>
      </w:r>
      <w:proofErr w:type="gramEnd"/>
      <w:r w:rsidR="003847BB" w:rsidRPr="00D258D4">
        <w:rPr>
          <w:rFonts w:ascii="Verdana" w:eastAsiaTheme="minorHAnsi" w:hAnsi="Verdana" w:cs="Arial"/>
          <w:sz w:val="20"/>
          <w:szCs w:val="20"/>
          <w:lang w:val="es-CR"/>
        </w:rPr>
        <w:t>” habría ordenado</w:t>
      </w:r>
      <w:r w:rsidR="003847BB" w:rsidRPr="00D258D4">
        <w:rPr>
          <w:rFonts w:ascii="Verdana" w:hAnsi="Verdana"/>
          <w:sz w:val="20"/>
          <w:szCs w:val="20"/>
        </w:rPr>
        <w:t xml:space="preserve"> “instrucciones”</w:t>
      </w:r>
      <w:r w:rsidR="003847BB" w:rsidRPr="00D258D4">
        <w:rPr>
          <w:rFonts w:ascii="Verdana" w:eastAsiaTheme="minorHAnsi" w:hAnsi="Verdana" w:cs="Arial"/>
          <w:sz w:val="20"/>
          <w:szCs w:val="20"/>
          <w:lang w:val="es-CR"/>
        </w:rPr>
        <w:t xml:space="preserve"> para que se “inicien procedimientos administrativos en su contra”. Advirtieron con preocupación que se habría designado a un Fiscal Especial “para conocer todas las denuncias” interpuestas en contra del ex Fiscal Sandoval, respecto de quien </w:t>
      </w:r>
      <w:r w:rsidR="003847BB" w:rsidRPr="00D258D4">
        <w:rPr>
          <w:rFonts w:ascii="Verdana" w:hAnsi="Verdana"/>
          <w:sz w:val="20"/>
          <w:szCs w:val="20"/>
          <w:lang w:val="es-CR"/>
        </w:rPr>
        <w:t>existirían 54 “acusaciones” y tres casos</w:t>
      </w:r>
      <w:r w:rsidR="003847BB" w:rsidRPr="00D258D4">
        <w:rPr>
          <w:rFonts w:ascii="Verdana" w:eastAsiaTheme="minorHAnsi" w:hAnsi="Verdana" w:cs="Arial"/>
          <w:sz w:val="20"/>
          <w:szCs w:val="20"/>
          <w:lang w:val="es-CR"/>
        </w:rPr>
        <w:t xml:space="preserve"> “bajo reserva”. Asimismo, existirían tres denuncias en contra del Fiscal “B”, y una denuncia en contra del Auxiliar Fiscal “C”. Indicaron que </w:t>
      </w:r>
      <w:r w:rsidR="003847BB" w:rsidRPr="00D258D4">
        <w:rPr>
          <w:rFonts w:ascii="Verdana" w:hAnsi="Verdana"/>
          <w:sz w:val="20"/>
          <w:szCs w:val="20"/>
        </w:rPr>
        <w:t>tales</w:t>
      </w:r>
      <w:r w:rsidR="003847BB" w:rsidRPr="00D258D4">
        <w:rPr>
          <w:rFonts w:ascii="Verdana" w:eastAsiaTheme="minorHAnsi" w:hAnsi="Verdana" w:cs="Arial"/>
          <w:sz w:val="20"/>
          <w:szCs w:val="20"/>
          <w:lang w:val="es-CR"/>
        </w:rPr>
        <w:t xml:space="preserve"> denuncias “son de carácter sistemático, infundado y […] con el objetivo principal de acosar e intimidar a los operadores de justicia”. En relación con las denuncias presentadas por los fiscales de la FECI</w:t>
      </w:r>
      <w:r>
        <w:rPr>
          <w:rFonts w:ascii="Verdana" w:eastAsiaTheme="minorHAnsi" w:hAnsi="Verdana" w:cs="Arial"/>
          <w:sz w:val="20"/>
          <w:szCs w:val="20"/>
          <w:lang w:val="es-CR"/>
        </w:rPr>
        <w:t xml:space="preserve"> </w:t>
      </w:r>
      <w:r>
        <w:rPr>
          <w:rFonts w:ascii="Verdana" w:eastAsiaTheme="minorHAnsi" w:hAnsi="Verdana" w:cs="ArialMT"/>
          <w:sz w:val="20"/>
          <w:szCs w:val="20"/>
          <w:lang w:val="es-CR"/>
        </w:rPr>
        <w:t>por las</w:t>
      </w:r>
      <w:r w:rsidRPr="00D258D4">
        <w:rPr>
          <w:rFonts w:ascii="Verdana" w:eastAsiaTheme="minorHAnsi" w:hAnsi="Verdana" w:cs="ArialMT"/>
          <w:sz w:val="20"/>
          <w:szCs w:val="20"/>
          <w:lang w:val="es-CR"/>
        </w:rPr>
        <w:t xml:space="preserve"> </w:t>
      </w:r>
      <w:r>
        <w:rPr>
          <w:rFonts w:ascii="Verdana" w:eastAsiaTheme="minorHAnsi" w:hAnsi="Verdana" w:cs="ArialMT"/>
          <w:sz w:val="20"/>
          <w:szCs w:val="20"/>
          <w:lang w:val="es-CR"/>
        </w:rPr>
        <w:t>“</w:t>
      </w:r>
      <w:r w:rsidRPr="00D258D4">
        <w:rPr>
          <w:rFonts w:ascii="Verdana" w:eastAsiaTheme="minorHAnsi" w:hAnsi="Verdana" w:cs="ArialMT"/>
          <w:sz w:val="20"/>
          <w:szCs w:val="20"/>
          <w:lang w:val="es-CR"/>
        </w:rPr>
        <w:t>amenaza u hostigamiento</w:t>
      </w:r>
      <w:r>
        <w:rPr>
          <w:rFonts w:ascii="Verdana" w:eastAsiaTheme="minorHAnsi" w:hAnsi="Verdana" w:cs="ArialMT"/>
          <w:sz w:val="20"/>
          <w:szCs w:val="20"/>
          <w:lang w:val="es-CR"/>
        </w:rPr>
        <w:t>”</w:t>
      </w:r>
      <w:r w:rsidRPr="00D258D4">
        <w:rPr>
          <w:rFonts w:ascii="Verdana" w:eastAsiaTheme="minorHAnsi" w:hAnsi="Verdana" w:cs="ArialMT"/>
          <w:sz w:val="20"/>
          <w:szCs w:val="20"/>
          <w:lang w:val="es-CR"/>
        </w:rPr>
        <w:t xml:space="preserve"> </w:t>
      </w:r>
      <w:r>
        <w:rPr>
          <w:rFonts w:ascii="Verdana" w:eastAsiaTheme="minorHAnsi" w:hAnsi="Verdana" w:cs="ArialMT"/>
          <w:sz w:val="20"/>
          <w:szCs w:val="20"/>
          <w:lang w:val="es-CR"/>
        </w:rPr>
        <w:t xml:space="preserve">de los </w:t>
      </w:r>
      <w:r w:rsidRPr="00D258D4">
        <w:rPr>
          <w:rFonts w:ascii="Verdana" w:eastAsiaTheme="minorHAnsi" w:hAnsi="Verdana" w:cs="ArialMT"/>
          <w:sz w:val="20"/>
          <w:szCs w:val="20"/>
          <w:lang w:val="es-CR"/>
        </w:rPr>
        <w:t>que ha</w:t>
      </w:r>
      <w:r>
        <w:rPr>
          <w:rFonts w:ascii="Verdana" w:eastAsiaTheme="minorHAnsi" w:hAnsi="Verdana" w:cs="ArialMT"/>
          <w:sz w:val="20"/>
          <w:szCs w:val="20"/>
          <w:lang w:val="es-CR"/>
        </w:rPr>
        <w:t>brían</w:t>
      </w:r>
      <w:r w:rsidRPr="00D258D4">
        <w:rPr>
          <w:rFonts w:ascii="Verdana" w:eastAsiaTheme="minorHAnsi" w:hAnsi="Verdana" w:cs="ArialMT"/>
          <w:sz w:val="20"/>
          <w:szCs w:val="20"/>
          <w:lang w:val="es-CR"/>
        </w:rPr>
        <w:t xml:space="preserve"> sido </w:t>
      </w:r>
      <w:r>
        <w:rPr>
          <w:rFonts w:ascii="Verdana" w:eastAsiaTheme="minorHAnsi" w:hAnsi="Verdana" w:cs="ArialMT"/>
          <w:sz w:val="20"/>
          <w:szCs w:val="20"/>
          <w:lang w:val="es-CR"/>
        </w:rPr>
        <w:t>víctimas</w:t>
      </w:r>
      <w:r w:rsidR="003847BB" w:rsidRPr="00D258D4">
        <w:rPr>
          <w:rFonts w:ascii="Verdana" w:eastAsiaTheme="minorHAnsi" w:hAnsi="Verdana" w:cs="ArialMT"/>
          <w:sz w:val="20"/>
          <w:szCs w:val="20"/>
          <w:lang w:val="es-CR"/>
        </w:rPr>
        <w:t>, manifestaro</w:t>
      </w:r>
      <w:r w:rsidR="00447B7C">
        <w:rPr>
          <w:rFonts w:ascii="Verdana" w:eastAsiaTheme="minorHAnsi" w:hAnsi="Verdana" w:cs="ArialMT"/>
          <w:sz w:val="20"/>
          <w:szCs w:val="20"/>
          <w:lang w:val="es-CR"/>
        </w:rPr>
        <w:t>n que Guatemala no ha adoptado “</w:t>
      </w:r>
      <w:r w:rsidR="003847BB" w:rsidRPr="00D258D4">
        <w:rPr>
          <w:rFonts w:ascii="Verdana" w:eastAsiaTheme="minorHAnsi" w:hAnsi="Verdana" w:cs="ArialMT"/>
          <w:sz w:val="20"/>
          <w:szCs w:val="20"/>
          <w:lang w:val="es-CR"/>
        </w:rPr>
        <w:t>acciones concretas y diligentes […] para esclarecer todos los hechos</w:t>
      </w:r>
      <w:r>
        <w:rPr>
          <w:rFonts w:ascii="Verdana" w:eastAsiaTheme="minorHAnsi" w:hAnsi="Verdana" w:cs="ArialMT"/>
          <w:sz w:val="20"/>
          <w:szCs w:val="20"/>
          <w:lang w:val="es-CR"/>
        </w:rPr>
        <w:t>”</w:t>
      </w:r>
      <w:r w:rsidR="00E30AB1" w:rsidRPr="00D258D4">
        <w:rPr>
          <w:rFonts w:ascii="Verdana" w:eastAsiaTheme="minorHAnsi" w:hAnsi="Verdana" w:cs="ArialMT"/>
          <w:sz w:val="20"/>
          <w:szCs w:val="20"/>
          <w:lang w:val="es-CR"/>
        </w:rPr>
        <w:t>, y que</w:t>
      </w:r>
      <w:r w:rsidR="003847BB" w:rsidRPr="00D258D4">
        <w:rPr>
          <w:rFonts w:ascii="Verdana" w:eastAsiaTheme="minorHAnsi" w:hAnsi="Verdana" w:cs="Arial"/>
          <w:sz w:val="20"/>
          <w:szCs w:val="20"/>
          <w:lang w:val="es-CR"/>
        </w:rPr>
        <w:t xml:space="preserve"> tales denuncias son “</w:t>
      </w:r>
      <w:r w:rsidR="003847BB" w:rsidRPr="00D258D4">
        <w:rPr>
          <w:rFonts w:ascii="Verdana" w:eastAsiaTheme="minorHAnsi" w:hAnsi="Verdana" w:cs="ArialMT"/>
          <w:sz w:val="20"/>
          <w:szCs w:val="20"/>
          <w:lang w:val="es-CR"/>
        </w:rPr>
        <w:t xml:space="preserve">desestimadas en tiempo </w:t>
      </w:r>
      <w:proofErr w:type="spellStart"/>
      <w:r w:rsidR="003847BB" w:rsidRPr="00D258D4">
        <w:rPr>
          <w:rFonts w:ascii="Verdana" w:eastAsiaTheme="minorHAnsi" w:hAnsi="Verdana" w:cs="ArialMT"/>
          <w:sz w:val="20"/>
          <w:szCs w:val="20"/>
          <w:lang w:val="es-CR"/>
        </w:rPr>
        <w:t>record</w:t>
      </w:r>
      <w:proofErr w:type="spellEnd"/>
      <w:r w:rsidR="003847BB" w:rsidRPr="00D258D4">
        <w:rPr>
          <w:rFonts w:ascii="Verdana" w:eastAsiaTheme="minorHAnsi" w:hAnsi="Verdana" w:cs="ArialMT"/>
          <w:sz w:val="20"/>
          <w:szCs w:val="20"/>
          <w:lang w:val="es-CR"/>
        </w:rPr>
        <w:t xml:space="preserve"> o relegadas a no realizarse diligencias de investigación</w:t>
      </w:r>
      <w:r w:rsidR="00447B7C">
        <w:rPr>
          <w:rFonts w:ascii="Verdana" w:eastAsiaTheme="minorHAnsi" w:hAnsi="Verdana" w:cs="ArialMT"/>
          <w:sz w:val="20"/>
          <w:szCs w:val="20"/>
          <w:lang w:val="es-CR"/>
        </w:rPr>
        <w:t>”</w:t>
      </w:r>
      <w:r w:rsidR="005F5CC0" w:rsidRPr="00D258D4">
        <w:rPr>
          <w:rStyle w:val="Refdenotaalpie"/>
          <w:rFonts w:eastAsiaTheme="minorHAnsi" w:cs="Arial"/>
          <w:sz w:val="20"/>
          <w:szCs w:val="20"/>
          <w:lang w:val="es-CR"/>
        </w:rPr>
        <w:footnoteReference w:id="22"/>
      </w:r>
      <w:r w:rsidR="003847BB" w:rsidRPr="00D258D4">
        <w:rPr>
          <w:rFonts w:ascii="Verdana" w:eastAsiaTheme="minorHAnsi" w:hAnsi="Verdana" w:cs="ArialMT"/>
          <w:sz w:val="20"/>
          <w:szCs w:val="20"/>
          <w:lang w:val="es-CR"/>
        </w:rPr>
        <w:t>.</w:t>
      </w:r>
    </w:p>
    <w:p w14:paraId="42FB1634" w14:textId="0BF63555" w:rsidR="008F3B25" w:rsidRPr="00B660E9" w:rsidRDefault="0086736E" w:rsidP="005D370D">
      <w:pPr>
        <w:pStyle w:val="Prrafodelista"/>
        <w:autoSpaceDE w:val="0"/>
        <w:autoSpaceDN w:val="0"/>
        <w:adjustRightInd w:val="0"/>
        <w:spacing w:before="120" w:after="120"/>
        <w:ind w:left="567"/>
        <w:contextualSpacing w:val="0"/>
        <w:jc w:val="both"/>
        <w:rPr>
          <w:rFonts w:ascii="Verdana" w:hAnsi="Verdana" w:cs="Cambria"/>
          <w:b/>
          <w:sz w:val="20"/>
          <w:szCs w:val="20"/>
        </w:rPr>
      </w:pPr>
      <w:r>
        <w:rPr>
          <w:rFonts w:ascii="Verdana" w:eastAsia="Times New Roman" w:hAnsi="Verdana"/>
          <w:b/>
          <w:i/>
          <w:sz w:val="20"/>
          <w:szCs w:val="20"/>
        </w:rPr>
        <w:t>F</w:t>
      </w:r>
      <w:r w:rsidR="008F3B25" w:rsidRPr="00B660E9">
        <w:rPr>
          <w:rFonts w:ascii="Verdana" w:eastAsia="Times New Roman" w:hAnsi="Verdana"/>
          <w:b/>
          <w:i/>
          <w:sz w:val="20"/>
          <w:szCs w:val="20"/>
        </w:rPr>
        <w:t xml:space="preserve">) </w:t>
      </w:r>
      <w:r w:rsidR="00A27FAD" w:rsidRPr="00B660E9">
        <w:rPr>
          <w:rFonts w:ascii="Verdana" w:eastAsia="Times New Roman" w:hAnsi="Verdana"/>
          <w:b/>
          <w:i/>
          <w:sz w:val="20"/>
          <w:szCs w:val="20"/>
        </w:rPr>
        <w:t>Consideraciones de la Corte</w:t>
      </w:r>
      <w:bookmarkEnd w:id="2"/>
      <w:bookmarkEnd w:id="4"/>
    </w:p>
    <w:p w14:paraId="358F9E03" w14:textId="5B882190" w:rsidR="003904C8" w:rsidRPr="00B660E9" w:rsidRDefault="003904C8" w:rsidP="008B049C">
      <w:pPr>
        <w:numPr>
          <w:ilvl w:val="0"/>
          <w:numId w:val="2"/>
        </w:numPr>
        <w:spacing w:before="120" w:after="120"/>
        <w:ind w:left="0" w:firstLine="0"/>
        <w:jc w:val="both"/>
        <w:rPr>
          <w:rFonts w:ascii="Verdana" w:hAnsi="Verdana"/>
          <w:sz w:val="20"/>
          <w:szCs w:val="20"/>
        </w:rPr>
      </w:pPr>
      <w:r w:rsidRPr="00B660E9">
        <w:rPr>
          <w:rFonts w:ascii="Verdana" w:hAnsi="Verdana"/>
          <w:sz w:val="20"/>
          <w:szCs w:val="20"/>
        </w:rPr>
        <w:t>En el punto resolutivo 10 de la Sentencia de</w:t>
      </w:r>
      <w:r w:rsidR="00FF205E">
        <w:rPr>
          <w:rFonts w:ascii="Verdana" w:hAnsi="Verdana"/>
          <w:sz w:val="20"/>
          <w:szCs w:val="20"/>
        </w:rPr>
        <w:t>l</w:t>
      </w:r>
      <w:r w:rsidRPr="00B660E9">
        <w:rPr>
          <w:rFonts w:ascii="Verdana" w:hAnsi="Verdana"/>
          <w:sz w:val="20"/>
          <w:szCs w:val="20"/>
        </w:rPr>
        <w:t xml:space="preserve"> caso </w:t>
      </w:r>
      <w:r w:rsidRPr="00B660E9">
        <w:rPr>
          <w:rFonts w:ascii="Verdana" w:hAnsi="Verdana"/>
          <w:i/>
          <w:sz w:val="20"/>
          <w:szCs w:val="20"/>
        </w:rPr>
        <w:t>Ruiz Fuentes y otra,</w:t>
      </w:r>
      <w:r w:rsidRPr="00B660E9">
        <w:rPr>
          <w:rFonts w:ascii="Verdana" w:hAnsi="Verdana"/>
          <w:sz w:val="20"/>
          <w:szCs w:val="20"/>
        </w:rPr>
        <w:t xml:space="preserve"> y en el punto resolutivo 11 de la Sentencia de caso </w:t>
      </w:r>
      <w:r w:rsidRPr="00B660E9">
        <w:rPr>
          <w:rFonts w:ascii="Verdana" w:hAnsi="Verdana"/>
          <w:i/>
          <w:sz w:val="20"/>
          <w:szCs w:val="20"/>
        </w:rPr>
        <w:t>Valenzuela Ávila</w:t>
      </w:r>
      <w:r w:rsidRPr="00B660E9">
        <w:rPr>
          <w:rFonts w:ascii="Verdana" w:hAnsi="Verdana"/>
          <w:sz w:val="20"/>
          <w:szCs w:val="20"/>
        </w:rPr>
        <w:t xml:space="preserve"> (</w:t>
      </w:r>
      <w:r w:rsidRPr="00B660E9">
        <w:rPr>
          <w:rFonts w:ascii="Verdana" w:hAnsi="Verdana"/>
          <w:i/>
          <w:sz w:val="20"/>
          <w:szCs w:val="20"/>
        </w:rPr>
        <w:t>supra</w:t>
      </w:r>
      <w:r w:rsidRPr="00B660E9">
        <w:rPr>
          <w:rFonts w:ascii="Verdana" w:hAnsi="Verdana"/>
          <w:sz w:val="20"/>
          <w:szCs w:val="20"/>
        </w:rPr>
        <w:t xml:space="preserve"> Visto 1), se ordenó al Estado “continua[r] con las investigaciones que sean necesarias para identificar, juzgar y, en su caso, sancionar a los responsables” de las muertes de los señores Hugo Humberto Ruiz Fuentes y Tirso Román Valenzuela Ávila, en los términos de los párrafos 200 y 233 de los respectivos Fallos. Tales párrafos indican que:</w:t>
      </w:r>
    </w:p>
    <w:p w14:paraId="61AD99C0" w14:textId="0EA4DE0B" w:rsidR="003904C8" w:rsidRPr="00B660E9" w:rsidRDefault="003904C8" w:rsidP="00A62578">
      <w:pPr>
        <w:spacing w:before="120" w:after="120"/>
        <w:ind w:left="567" w:right="4"/>
        <w:jc w:val="both"/>
        <w:rPr>
          <w:rFonts w:ascii="Verdana" w:eastAsia="Verdana" w:hAnsi="Verdana" w:cs="Verdana"/>
          <w:sz w:val="16"/>
          <w:szCs w:val="16"/>
          <w:lang w:val="es-CR"/>
        </w:rPr>
      </w:pPr>
      <w:r w:rsidRPr="00B660E9">
        <w:rPr>
          <w:rFonts w:ascii="Verdana" w:eastAsia="Verdana" w:hAnsi="Verdana" w:cs="Verdana"/>
          <w:sz w:val="16"/>
          <w:szCs w:val="16"/>
          <w:lang w:val="es-CR"/>
        </w:rPr>
        <w:t xml:space="preserve">Dicha obligación debe ser cumplida de acuerdo a los estándares establecidos por la jurisprudencia de esta Corte, esto es, con la debida diligencia y en un plazo razonable. A tal fin, </w:t>
      </w:r>
      <w:r w:rsidRPr="00B660E9">
        <w:rPr>
          <w:rFonts w:ascii="Verdana" w:eastAsia="Verdana" w:hAnsi="Verdana" w:cs="Verdana"/>
          <w:b/>
          <w:sz w:val="16"/>
          <w:szCs w:val="16"/>
          <w:lang w:val="es-CR"/>
        </w:rPr>
        <w:t>el Estado debe</w:t>
      </w:r>
      <w:r w:rsidRPr="00B660E9">
        <w:rPr>
          <w:rFonts w:ascii="Verdana" w:eastAsia="Verdana" w:hAnsi="Verdana" w:cs="Verdana"/>
          <w:sz w:val="16"/>
          <w:szCs w:val="16"/>
          <w:lang w:val="es-CR"/>
        </w:rPr>
        <w:t xml:space="preserve">: (i) </w:t>
      </w:r>
      <w:r w:rsidRPr="00B660E9">
        <w:rPr>
          <w:rFonts w:ascii="Verdana" w:eastAsia="Verdana" w:hAnsi="Verdana" w:cs="Verdana"/>
          <w:b/>
          <w:sz w:val="16"/>
          <w:szCs w:val="16"/>
          <w:lang w:val="es-CR"/>
        </w:rPr>
        <w:t>asegurar</w:t>
      </w:r>
      <w:r w:rsidRPr="00B660E9">
        <w:rPr>
          <w:rFonts w:ascii="Verdana" w:eastAsia="Verdana" w:hAnsi="Verdana" w:cs="Verdana"/>
          <w:sz w:val="16"/>
          <w:szCs w:val="16"/>
          <w:lang w:val="es-CR"/>
        </w:rPr>
        <w:t xml:space="preserve"> que los distintos órganos del sistema de justicia involucrados en el caso cuenten con los recursos humanos y materiales necesarios para desempeñar sus tareas de manera adecuada, independiente e imparcial y </w:t>
      </w:r>
      <w:r w:rsidRPr="00B660E9">
        <w:rPr>
          <w:rFonts w:ascii="Verdana" w:eastAsia="Verdana" w:hAnsi="Verdana" w:cs="Verdana"/>
          <w:b/>
          <w:sz w:val="16"/>
          <w:szCs w:val="16"/>
          <w:lang w:val="es-CR"/>
        </w:rPr>
        <w:t xml:space="preserve">que las personas que participen en la investigación, entre ellas </w:t>
      </w:r>
      <w:r w:rsidRPr="00B660E9">
        <w:rPr>
          <w:rFonts w:ascii="Verdana" w:eastAsia="Verdana" w:hAnsi="Verdana" w:cs="Verdana"/>
          <w:sz w:val="16"/>
          <w:szCs w:val="16"/>
          <w:lang w:val="es-CR"/>
        </w:rPr>
        <w:t>víctimas, testigos y</w:t>
      </w:r>
      <w:r w:rsidRPr="00B660E9">
        <w:rPr>
          <w:rFonts w:ascii="Verdana" w:eastAsia="Verdana" w:hAnsi="Verdana" w:cs="Verdana"/>
          <w:b/>
          <w:sz w:val="16"/>
          <w:szCs w:val="16"/>
          <w:lang w:val="es-CR"/>
        </w:rPr>
        <w:t xml:space="preserve"> operadores de justicia, cuenten con las debidas garantías de seguridad</w:t>
      </w:r>
      <w:r w:rsidR="00FF205E">
        <w:rPr>
          <w:rFonts w:ascii="Verdana" w:eastAsia="Verdana" w:hAnsi="Verdana" w:cs="Verdana"/>
          <w:sz w:val="16"/>
          <w:szCs w:val="16"/>
          <w:lang w:val="es-CR"/>
        </w:rPr>
        <w:t xml:space="preserve"> […]</w:t>
      </w:r>
      <w:r w:rsidR="00CB3589" w:rsidRPr="00B660E9">
        <w:rPr>
          <w:rFonts w:ascii="Verdana" w:eastAsia="Verdana" w:hAnsi="Verdana" w:cs="Verdana"/>
          <w:sz w:val="16"/>
          <w:szCs w:val="16"/>
          <w:lang w:val="es-CR"/>
        </w:rPr>
        <w:t>. (Énfasis añadido)</w:t>
      </w:r>
    </w:p>
    <w:p w14:paraId="5BF05196" w14:textId="31DC1685" w:rsidR="00565486" w:rsidRPr="00B660E9" w:rsidRDefault="006D1CF7" w:rsidP="00565486">
      <w:pPr>
        <w:numPr>
          <w:ilvl w:val="0"/>
          <w:numId w:val="2"/>
        </w:numPr>
        <w:spacing w:before="120" w:after="120"/>
        <w:ind w:left="0" w:firstLine="0"/>
        <w:jc w:val="both"/>
        <w:rPr>
          <w:rFonts w:ascii="Verdana" w:hAnsi="Verdana"/>
          <w:sz w:val="20"/>
          <w:szCs w:val="20"/>
        </w:rPr>
      </w:pPr>
      <w:r w:rsidRPr="00B660E9">
        <w:rPr>
          <w:rFonts w:ascii="Verdana" w:hAnsi="Verdana"/>
          <w:sz w:val="20"/>
          <w:szCs w:val="20"/>
          <w:lang w:val="es-ES"/>
        </w:rPr>
        <w:t xml:space="preserve">La solicitud de medidas provisionales </w:t>
      </w:r>
      <w:r w:rsidR="00CB3589" w:rsidRPr="00B660E9">
        <w:rPr>
          <w:rFonts w:ascii="Verdana" w:eastAsia="Verdana" w:hAnsi="Verdana" w:cs="Verdana"/>
          <w:sz w:val="20"/>
          <w:szCs w:val="20"/>
          <w:lang w:val="es-CR"/>
        </w:rPr>
        <w:t>presentada busca</w:t>
      </w:r>
      <w:r w:rsidR="00CB3589" w:rsidRPr="00B660E9">
        <w:rPr>
          <w:rFonts w:ascii="Verdana" w:hAnsi="Verdana"/>
          <w:sz w:val="20"/>
          <w:szCs w:val="20"/>
        </w:rPr>
        <w:t xml:space="preserve"> </w:t>
      </w:r>
      <w:r w:rsidR="00EC789C" w:rsidRPr="00B660E9">
        <w:rPr>
          <w:rFonts w:ascii="Verdana" w:eastAsiaTheme="minorHAnsi" w:hAnsi="Verdana" w:cs="ArialMT"/>
          <w:sz w:val="20"/>
          <w:szCs w:val="20"/>
          <w:lang w:val="es-CR"/>
        </w:rPr>
        <w:t xml:space="preserve">garantizar el acceso a la justicia de las víctimas de los casos </w:t>
      </w:r>
      <w:r w:rsidR="00EC789C" w:rsidRPr="00B660E9">
        <w:rPr>
          <w:rFonts w:ascii="Verdana" w:hAnsi="Verdana"/>
          <w:i/>
          <w:sz w:val="20"/>
          <w:szCs w:val="20"/>
        </w:rPr>
        <w:t>Valenzuela Ávila</w:t>
      </w:r>
      <w:r w:rsidR="00EC789C" w:rsidRPr="00B660E9">
        <w:rPr>
          <w:rFonts w:ascii="Verdana" w:hAnsi="Verdana"/>
          <w:sz w:val="20"/>
          <w:szCs w:val="20"/>
        </w:rPr>
        <w:t xml:space="preserve">, y </w:t>
      </w:r>
      <w:r w:rsidR="00EC789C" w:rsidRPr="00B660E9">
        <w:rPr>
          <w:rFonts w:ascii="Verdana" w:hAnsi="Verdana"/>
          <w:i/>
          <w:sz w:val="20"/>
          <w:szCs w:val="20"/>
        </w:rPr>
        <w:t>Ruiz Fuentes y otra</w:t>
      </w:r>
      <w:r w:rsidR="00EC789C" w:rsidRPr="00B660E9">
        <w:rPr>
          <w:rFonts w:ascii="Verdana" w:eastAsiaTheme="minorHAnsi" w:hAnsi="Verdana" w:cs="ArialMT"/>
          <w:sz w:val="20"/>
          <w:szCs w:val="20"/>
          <w:lang w:val="es-CR"/>
        </w:rPr>
        <w:t>, y</w:t>
      </w:r>
      <w:r w:rsidR="00EC789C" w:rsidRPr="00B660E9">
        <w:rPr>
          <w:rFonts w:ascii="Verdana" w:hAnsi="Verdana"/>
          <w:sz w:val="20"/>
          <w:szCs w:val="20"/>
        </w:rPr>
        <w:t xml:space="preserve"> </w:t>
      </w:r>
      <w:r w:rsidR="00CB3589" w:rsidRPr="00B660E9">
        <w:rPr>
          <w:rFonts w:ascii="Verdana" w:hAnsi="Verdana"/>
          <w:sz w:val="20"/>
          <w:szCs w:val="20"/>
        </w:rPr>
        <w:t xml:space="preserve">proteger los </w:t>
      </w:r>
      <w:r w:rsidR="00CB3589" w:rsidRPr="00B660E9">
        <w:rPr>
          <w:rFonts w:ascii="Verdana" w:eastAsia="Verdana" w:hAnsi="Verdana" w:cs="Verdana"/>
          <w:sz w:val="20"/>
          <w:szCs w:val="20"/>
          <w:lang w:val="es-CR"/>
        </w:rPr>
        <w:t>derechos a la vida</w:t>
      </w:r>
      <w:r w:rsidR="00CB3589" w:rsidRPr="00B660E9">
        <w:rPr>
          <w:rFonts w:ascii="Verdana" w:eastAsiaTheme="minorHAnsi" w:hAnsi="Verdana" w:cs="Verdana"/>
          <w:sz w:val="20"/>
          <w:szCs w:val="20"/>
          <w:lang w:val="es-CR"/>
        </w:rPr>
        <w:t>, integridad personal, a vivir una vida libre de violencia, a la libertad y seguridad personales, de estabilidad en el ejercicio del cargo y las garantías judiciales</w:t>
      </w:r>
      <w:r w:rsidR="00CB3589" w:rsidRPr="00B660E9">
        <w:rPr>
          <w:rFonts w:ascii="Verdana" w:hAnsi="Verdana"/>
          <w:sz w:val="20"/>
          <w:szCs w:val="20"/>
        </w:rPr>
        <w:t xml:space="preserve"> </w:t>
      </w:r>
      <w:r w:rsidR="00CB3589" w:rsidRPr="00B660E9">
        <w:rPr>
          <w:rFonts w:ascii="Verdana" w:eastAsia="Verdana" w:hAnsi="Verdana" w:cs="Verdana"/>
          <w:sz w:val="20"/>
          <w:szCs w:val="20"/>
          <w:lang w:val="es-CR"/>
        </w:rPr>
        <w:t xml:space="preserve">del ex Fiscal </w:t>
      </w:r>
      <w:r w:rsidR="00CB3589" w:rsidRPr="00B660E9">
        <w:rPr>
          <w:rFonts w:ascii="Verdana" w:eastAsiaTheme="minorHAnsi" w:hAnsi="Verdana" w:cs="Verdana"/>
          <w:sz w:val="20"/>
          <w:szCs w:val="20"/>
          <w:lang w:val="es-CR"/>
        </w:rPr>
        <w:t>Juan Francisco Sandoval Alfaro, el Fiscal “B” y el Auxiliar Fiscal “C”</w:t>
      </w:r>
      <w:r w:rsidR="00CB3589" w:rsidRPr="00B660E9">
        <w:rPr>
          <w:rFonts w:ascii="Verdana" w:eastAsia="Calibri" w:hAnsi="Verdana" w:cs="Verdana"/>
          <w:color w:val="000000"/>
          <w:sz w:val="20"/>
          <w:szCs w:val="20"/>
          <w:lang w:val="es-CR"/>
        </w:rPr>
        <w:t>, miembros de la FECI,</w:t>
      </w:r>
      <w:r w:rsidR="00CB3589" w:rsidRPr="00B660E9">
        <w:rPr>
          <w:rFonts w:ascii="Verdana" w:eastAsiaTheme="minorHAnsi" w:hAnsi="Verdana" w:cs="Verdana"/>
          <w:sz w:val="20"/>
          <w:szCs w:val="20"/>
          <w:lang w:val="es-CR"/>
        </w:rPr>
        <w:t xml:space="preserve"> </w:t>
      </w:r>
      <w:r w:rsidR="00CB3589" w:rsidRPr="00B660E9">
        <w:rPr>
          <w:rFonts w:ascii="Verdana" w:eastAsia="Calibri" w:hAnsi="Verdana" w:cs="Verdana"/>
          <w:color w:val="000000"/>
          <w:sz w:val="20"/>
          <w:szCs w:val="20"/>
          <w:lang w:val="es-CR"/>
        </w:rPr>
        <w:t xml:space="preserve">involucrados en el proceso de investigación por las muertes de los señores </w:t>
      </w:r>
      <w:r w:rsidR="00EC789C" w:rsidRPr="00B660E9">
        <w:rPr>
          <w:rFonts w:ascii="Verdana" w:hAnsi="Verdana"/>
          <w:sz w:val="20"/>
          <w:szCs w:val="20"/>
        </w:rPr>
        <w:t>Valenzuela Ávila y Ruiz Fuentes</w:t>
      </w:r>
      <w:r w:rsidR="00CB3589" w:rsidRPr="00B660E9">
        <w:rPr>
          <w:rFonts w:ascii="Verdana" w:hAnsi="Verdana"/>
          <w:sz w:val="20"/>
          <w:szCs w:val="20"/>
        </w:rPr>
        <w:t>,</w:t>
      </w:r>
      <w:r w:rsidR="00D309A9" w:rsidRPr="00B660E9">
        <w:rPr>
          <w:rFonts w:ascii="Verdana" w:hAnsi="Verdana"/>
          <w:sz w:val="20"/>
          <w:szCs w:val="20"/>
        </w:rPr>
        <w:t xml:space="preserve"> </w:t>
      </w:r>
      <w:r w:rsidR="00EC789C" w:rsidRPr="00B660E9">
        <w:rPr>
          <w:rFonts w:ascii="Verdana" w:hAnsi="Verdana"/>
          <w:sz w:val="20"/>
          <w:szCs w:val="20"/>
        </w:rPr>
        <w:t xml:space="preserve">y que </w:t>
      </w:r>
      <w:r w:rsidR="00565486" w:rsidRPr="00B660E9">
        <w:rPr>
          <w:rFonts w:ascii="Verdana" w:eastAsiaTheme="minorHAnsi" w:hAnsi="Verdana" w:cs="ArialMT"/>
          <w:sz w:val="20"/>
          <w:szCs w:val="20"/>
          <w:lang w:val="es-CR"/>
        </w:rPr>
        <w:t xml:space="preserve">tales personas </w:t>
      </w:r>
      <w:r w:rsidR="00D9515B" w:rsidRPr="00B660E9">
        <w:rPr>
          <w:rFonts w:ascii="Verdana" w:eastAsiaTheme="minorHAnsi" w:hAnsi="Verdana" w:cs="ArialMT"/>
          <w:sz w:val="20"/>
          <w:szCs w:val="20"/>
          <w:lang w:val="es-CR"/>
        </w:rPr>
        <w:t>puedan realizar su labor</w:t>
      </w:r>
      <w:r w:rsidR="00EC789C" w:rsidRPr="00B660E9">
        <w:rPr>
          <w:rFonts w:ascii="Verdana" w:eastAsiaTheme="minorHAnsi" w:hAnsi="Verdana" w:cs="ArialMT"/>
          <w:sz w:val="20"/>
          <w:szCs w:val="20"/>
          <w:lang w:val="es-CR"/>
        </w:rPr>
        <w:t xml:space="preserve"> como operadores de justicia</w:t>
      </w:r>
      <w:r w:rsidR="00D9515B" w:rsidRPr="00B660E9">
        <w:rPr>
          <w:rFonts w:ascii="Verdana" w:eastAsiaTheme="minorHAnsi" w:hAnsi="Verdana" w:cs="ArialMT"/>
          <w:sz w:val="20"/>
          <w:szCs w:val="20"/>
          <w:lang w:val="es-CR"/>
        </w:rPr>
        <w:t xml:space="preserve"> en condiciones de independencia, lo cual implica no ser objeto de medidas de remoción o</w:t>
      </w:r>
      <w:r w:rsidR="00D9515B" w:rsidRPr="00B660E9">
        <w:rPr>
          <w:rFonts w:ascii="Verdana" w:hAnsi="Verdana"/>
          <w:sz w:val="20"/>
          <w:szCs w:val="20"/>
        </w:rPr>
        <w:t xml:space="preserve"> </w:t>
      </w:r>
      <w:r w:rsidR="00D9515B" w:rsidRPr="00B660E9">
        <w:rPr>
          <w:rFonts w:ascii="Verdana" w:eastAsiaTheme="minorHAnsi" w:hAnsi="Verdana" w:cs="ArialMT"/>
          <w:sz w:val="20"/>
          <w:szCs w:val="20"/>
          <w:lang w:val="es-CR"/>
        </w:rPr>
        <w:t>traslado arbitrarias</w:t>
      </w:r>
      <w:r w:rsidR="00565486" w:rsidRPr="00B660E9">
        <w:rPr>
          <w:rFonts w:ascii="Verdana" w:eastAsiaTheme="minorHAnsi" w:hAnsi="Verdana" w:cs="ArialMT"/>
          <w:sz w:val="20"/>
          <w:szCs w:val="20"/>
          <w:lang w:val="es-CR"/>
        </w:rPr>
        <w:t xml:space="preserve"> </w:t>
      </w:r>
      <w:r w:rsidR="00565486" w:rsidRPr="00B660E9">
        <w:rPr>
          <w:rFonts w:ascii="Verdana" w:eastAsia="Calibri" w:hAnsi="Verdana" w:cs="Verdana"/>
          <w:color w:val="000000"/>
          <w:sz w:val="20"/>
          <w:szCs w:val="20"/>
          <w:lang w:val="es-CR"/>
        </w:rPr>
        <w:t>(</w:t>
      </w:r>
      <w:r w:rsidR="00565486" w:rsidRPr="00B660E9">
        <w:rPr>
          <w:rFonts w:ascii="Verdana" w:eastAsia="Calibri" w:hAnsi="Verdana" w:cs="Verdana"/>
          <w:i/>
          <w:color w:val="000000"/>
          <w:sz w:val="20"/>
          <w:szCs w:val="20"/>
          <w:lang w:val="es-CR"/>
        </w:rPr>
        <w:t>supra</w:t>
      </w:r>
      <w:r w:rsidR="00565486" w:rsidRPr="00B660E9">
        <w:rPr>
          <w:rFonts w:ascii="Verdana" w:eastAsia="Calibri" w:hAnsi="Verdana" w:cs="Verdana"/>
          <w:color w:val="000000"/>
          <w:sz w:val="20"/>
          <w:szCs w:val="20"/>
          <w:lang w:val="es-CR"/>
        </w:rPr>
        <w:t xml:space="preserve"> Considerando</w:t>
      </w:r>
      <w:r w:rsidR="00D309A9" w:rsidRPr="00B660E9">
        <w:rPr>
          <w:rFonts w:ascii="Verdana" w:eastAsia="Calibri" w:hAnsi="Verdana" w:cs="Verdana"/>
          <w:color w:val="000000"/>
          <w:sz w:val="20"/>
          <w:szCs w:val="20"/>
          <w:lang w:val="es-CR"/>
        </w:rPr>
        <w:t>s</w:t>
      </w:r>
      <w:r w:rsidR="00565486" w:rsidRPr="00B660E9">
        <w:rPr>
          <w:rFonts w:ascii="Verdana" w:eastAsia="Calibri" w:hAnsi="Verdana" w:cs="Verdana"/>
          <w:color w:val="000000"/>
          <w:sz w:val="20"/>
          <w:szCs w:val="20"/>
          <w:lang w:val="es-CR"/>
        </w:rPr>
        <w:t xml:space="preserve"> </w:t>
      </w:r>
      <w:r w:rsidR="00A62578">
        <w:rPr>
          <w:rFonts w:ascii="Verdana" w:eastAsia="Calibri" w:hAnsi="Verdana" w:cs="Verdana"/>
          <w:color w:val="000000"/>
          <w:sz w:val="20"/>
          <w:szCs w:val="20"/>
          <w:lang w:val="es-CR"/>
        </w:rPr>
        <w:t>4 y 9</w:t>
      </w:r>
      <w:r w:rsidR="00565486" w:rsidRPr="00B660E9">
        <w:rPr>
          <w:rFonts w:ascii="Verdana" w:eastAsia="Calibri" w:hAnsi="Verdana" w:cs="Verdana"/>
          <w:color w:val="000000"/>
          <w:sz w:val="20"/>
          <w:szCs w:val="20"/>
          <w:lang w:val="es-CR"/>
        </w:rPr>
        <w:t>).</w:t>
      </w:r>
    </w:p>
    <w:p w14:paraId="2D76C47B" w14:textId="554A4B49" w:rsidR="00176183" w:rsidRPr="00895694" w:rsidRDefault="00D815B8" w:rsidP="00EE3044">
      <w:pPr>
        <w:numPr>
          <w:ilvl w:val="0"/>
          <w:numId w:val="2"/>
        </w:numPr>
        <w:spacing w:before="120" w:after="120"/>
        <w:ind w:left="0" w:firstLine="0"/>
        <w:jc w:val="both"/>
        <w:rPr>
          <w:rFonts w:ascii="Verdana" w:hAnsi="Verdana"/>
          <w:sz w:val="20"/>
          <w:szCs w:val="20"/>
        </w:rPr>
      </w:pPr>
      <w:r w:rsidRPr="00B660E9">
        <w:rPr>
          <w:rFonts w:ascii="Verdana" w:eastAsia="Verdana" w:hAnsi="Verdana" w:cs="Verdana"/>
          <w:sz w:val="20"/>
          <w:szCs w:val="20"/>
          <w:lang w:val="es-CR"/>
        </w:rPr>
        <w:t>E</w:t>
      </w:r>
      <w:r w:rsidR="00A205F7" w:rsidRPr="00B660E9">
        <w:rPr>
          <w:rFonts w:ascii="Verdana" w:eastAsia="Verdana" w:hAnsi="Verdana" w:cs="Verdana"/>
          <w:sz w:val="20"/>
          <w:szCs w:val="20"/>
          <w:lang w:val="es-CR"/>
        </w:rPr>
        <w:t xml:space="preserve">s necesario </w:t>
      </w:r>
      <w:r w:rsidR="00443F13" w:rsidRPr="00B660E9">
        <w:rPr>
          <w:rFonts w:ascii="Verdana" w:eastAsia="Verdana" w:hAnsi="Verdana" w:cs="Verdana"/>
          <w:sz w:val="20"/>
          <w:szCs w:val="20"/>
          <w:lang w:val="es-CR"/>
        </w:rPr>
        <w:t>recordar</w:t>
      </w:r>
      <w:r w:rsidR="00A205F7" w:rsidRPr="00B660E9">
        <w:rPr>
          <w:rFonts w:ascii="Verdana" w:eastAsia="Verdana" w:hAnsi="Verdana" w:cs="Verdana"/>
          <w:sz w:val="20"/>
          <w:szCs w:val="20"/>
          <w:lang w:val="es-CR"/>
        </w:rPr>
        <w:t xml:space="preserve"> que, derivado de la</w:t>
      </w:r>
      <w:r w:rsidR="00666B03" w:rsidRPr="00B660E9">
        <w:rPr>
          <w:rFonts w:ascii="Verdana" w:hAnsi="Verdana"/>
          <w:sz w:val="20"/>
          <w:szCs w:val="20"/>
          <w:lang w:val="es-CR"/>
        </w:rPr>
        <w:t xml:space="preserve"> </w:t>
      </w:r>
      <w:r w:rsidR="00666B03" w:rsidRPr="00B660E9">
        <w:rPr>
          <w:rFonts w:ascii="Verdana" w:eastAsia="Verdana" w:hAnsi="Verdana" w:cs="Verdana"/>
          <w:sz w:val="20"/>
          <w:szCs w:val="20"/>
          <w:lang w:val="es-CR"/>
        </w:rPr>
        <w:t>Resolución de 2 de septiembre de 2020,</w:t>
      </w:r>
      <w:r w:rsidR="00666B03" w:rsidRPr="00B660E9">
        <w:rPr>
          <w:rFonts w:ascii="Verdana" w:hAnsi="Verdana"/>
          <w:sz w:val="20"/>
          <w:szCs w:val="20"/>
          <w:lang w:val="es-CR"/>
        </w:rPr>
        <w:t xml:space="preserve"> </w:t>
      </w:r>
      <w:r w:rsidR="00A205F7" w:rsidRPr="00B660E9">
        <w:rPr>
          <w:rFonts w:ascii="Verdana" w:hAnsi="Verdana"/>
          <w:sz w:val="20"/>
          <w:szCs w:val="20"/>
          <w:lang w:val="es-CR"/>
        </w:rPr>
        <w:t xml:space="preserve">la Corte </w:t>
      </w:r>
      <w:r w:rsidR="00666B03" w:rsidRPr="00B660E9">
        <w:rPr>
          <w:rFonts w:ascii="Verdana" w:hAnsi="Verdana"/>
          <w:sz w:val="20"/>
          <w:szCs w:val="20"/>
          <w:lang w:val="es-CR"/>
        </w:rPr>
        <w:t>ha</w:t>
      </w:r>
      <w:r w:rsidR="00A601C6" w:rsidRPr="00B660E9">
        <w:rPr>
          <w:rFonts w:ascii="Verdana" w:hAnsi="Verdana"/>
          <w:sz w:val="20"/>
          <w:szCs w:val="20"/>
          <w:lang w:val="es-CR"/>
        </w:rPr>
        <w:t xml:space="preserve"> venido</w:t>
      </w:r>
      <w:r w:rsidR="00666B03" w:rsidRPr="00B660E9">
        <w:rPr>
          <w:rFonts w:ascii="Verdana" w:hAnsi="Verdana"/>
          <w:sz w:val="20"/>
          <w:szCs w:val="20"/>
          <w:lang w:val="es-CR"/>
        </w:rPr>
        <w:t xml:space="preserve"> </w:t>
      </w:r>
      <w:r w:rsidR="00A601C6" w:rsidRPr="00B660E9">
        <w:rPr>
          <w:rFonts w:ascii="Verdana" w:hAnsi="Verdana"/>
          <w:sz w:val="20"/>
          <w:szCs w:val="20"/>
          <w:lang w:val="es-CR"/>
        </w:rPr>
        <w:t>realiza</w:t>
      </w:r>
      <w:r w:rsidR="00762920">
        <w:rPr>
          <w:rFonts w:ascii="Verdana" w:hAnsi="Verdana"/>
          <w:sz w:val="20"/>
          <w:szCs w:val="20"/>
          <w:lang w:val="es-CR"/>
        </w:rPr>
        <w:t>n</w:t>
      </w:r>
      <w:r w:rsidR="00A601C6" w:rsidRPr="00B660E9">
        <w:rPr>
          <w:rFonts w:ascii="Verdana" w:hAnsi="Verdana"/>
          <w:sz w:val="20"/>
          <w:szCs w:val="20"/>
          <w:lang w:val="es-CR"/>
        </w:rPr>
        <w:t xml:space="preserve">do un monitoreo cercano respecto </w:t>
      </w:r>
      <w:r w:rsidR="00A205F7" w:rsidRPr="00B660E9">
        <w:rPr>
          <w:rFonts w:ascii="Verdana" w:hAnsi="Verdana"/>
          <w:sz w:val="20"/>
          <w:szCs w:val="20"/>
          <w:lang w:val="es-CR"/>
        </w:rPr>
        <w:t xml:space="preserve">a </w:t>
      </w:r>
      <w:r w:rsidR="00A601C6" w:rsidRPr="00B660E9">
        <w:rPr>
          <w:rFonts w:ascii="Verdana" w:hAnsi="Verdana"/>
          <w:sz w:val="20"/>
          <w:szCs w:val="20"/>
          <w:lang w:val="es-CR"/>
        </w:rPr>
        <w:t>la situación</w:t>
      </w:r>
      <w:r w:rsidR="00176183" w:rsidRPr="00B660E9">
        <w:rPr>
          <w:rFonts w:ascii="Verdana" w:hAnsi="Verdana"/>
          <w:sz w:val="20"/>
          <w:szCs w:val="20"/>
          <w:lang w:val="es-CR"/>
        </w:rPr>
        <w:t xml:space="preserve"> </w:t>
      </w:r>
      <w:r w:rsidR="00A205F7" w:rsidRPr="00B660E9">
        <w:rPr>
          <w:rFonts w:ascii="Verdana" w:hAnsi="Verdana"/>
          <w:sz w:val="20"/>
          <w:szCs w:val="20"/>
          <w:lang w:val="es-CR"/>
        </w:rPr>
        <w:t>de</w:t>
      </w:r>
      <w:r w:rsidR="00176183" w:rsidRPr="00B660E9">
        <w:rPr>
          <w:rFonts w:ascii="Verdana" w:hAnsi="Verdana"/>
          <w:sz w:val="20"/>
          <w:szCs w:val="20"/>
          <w:lang w:val="es-CR"/>
        </w:rPr>
        <w:t xml:space="preserve"> seguridad</w:t>
      </w:r>
      <w:r w:rsidR="00A601C6" w:rsidRPr="00B660E9">
        <w:rPr>
          <w:rFonts w:ascii="Verdana" w:hAnsi="Verdana"/>
          <w:sz w:val="20"/>
          <w:szCs w:val="20"/>
          <w:lang w:val="es-CR"/>
        </w:rPr>
        <w:t xml:space="preserve"> </w:t>
      </w:r>
      <w:r w:rsidR="00666B03" w:rsidRPr="00B660E9">
        <w:rPr>
          <w:rFonts w:ascii="Verdana" w:hAnsi="Verdana"/>
          <w:sz w:val="20"/>
          <w:szCs w:val="20"/>
          <w:lang w:val="es-CR"/>
        </w:rPr>
        <w:t>de</w:t>
      </w:r>
      <w:r w:rsidR="00666B03" w:rsidRPr="00B660E9">
        <w:rPr>
          <w:rFonts w:ascii="Verdana" w:eastAsia="Verdana" w:hAnsi="Verdana" w:cs="Verdana"/>
          <w:sz w:val="20"/>
          <w:szCs w:val="20"/>
          <w:lang w:val="es-CR"/>
        </w:rPr>
        <w:t xml:space="preserve">l ex Fiscal </w:t>
      </w:r>
      <w:r w:rsidR="00666B03" w:rsidRPr="00B660E9">
        <w:rPr>
          <w:rFonts w:ascii="Verdana" w:eastAsiaTheme="minorHAnsi" w:hAnsi="Verdana" w:cs="Verdana"/>
          <w:sz w:val="20"/>
          <w:szCs w:val="20"/>
          <w:lang w:val="es-CR"/>
        </w:rPr>
        <w:t>Juan Francisco Sandoval Alfaro</w:t>
      </w:r>
      <w:r w:rsidR="00666B03" w:rsidRPr="00B660E9">
        <w:rPr>
          <w:rFonts w:ascii="Verdana" w:eastAsia="Verdana" w:hAnsi="Verdana" w:cs="Verdana"/>
          <w:sz w:val="20"/>
          <w:szCs w:val="20"/>
          <w:lang w:val="es-CR"/>
        </w:rPr>
        <w:t>, el Fiscal “B” y el Auxiliar Fiscal “C”</w:t>
      </w:r>
      <w:r w:rsidR="00666B03" w:rsidRPr="00B660E9">
        <w:rPr>
          <w:rFonts w:ascii="Verdana" w:hAnsi="Verdana"/>
          <w:sz w:val="20"/>
          <w:szCs w:val="20"/>
          <w:lang w:val="es-CR"/>
        </w:rPr>
        <w:t xml:space="preserve"> (</w:t>
      </w:r>
      <w:r w:rsidR="00666B03" w:rsidRPr="00B660E9">
        <w:rPr>
          <w:rFonts w:ascii="Verdana" w:hAnsi="Verdana"/>
          <w:i/>
          <w:sz w:val="20"/>
          <w:szCs w:val="20"/>
          <w:lang w:val="es-CR"/>
        </w:rPr>
        <w:t>supra</w:t>
      </w:r>
      <w:r w:rsidR="00666B03" w:rsidRPr="00B660E9">
        <w:rPr>
          <w:rFonts w:ascii="Verdana" w:hAnsi="Verdana"/>
          <w:sz w:val="20"/>
          <w:szCs w:val="20"/>
          <w:lang w:val="es-CR"/>
        </w:rPr>
        <w:t xml:space="preserve"> </w:t>
      </w:r>
      <w:r w:rsidR="00991B79" w:rsidRPr="00B660E9">
        <w:rPr>
          <w:rFonts w:ascii="Verdana" w:hAnsi="Verdana"/>
          <w:sz w:val="20"/>
          <w:szCs w:val="20"/>
          <w:lang w:val="es-CR"/>
        </w:rPr>
        <w:t>Visto</w:t>
      </w:r>
      <w:r w:rsidR="005D370D">
        <w:rPr>
          <w:rFonts w:ascii="Verdana" w:hAnsi="Verdana"/>
          <w:sz w:val="20"/>
          <w:szCs w:val="20"/>
          <w:lang w:val="es-CR"/>
        </w:rPr>
        <w:t>s</w:t>
      </w:r>
      <w:r w:rsidR="00666B03" w:rsidRPr="00B660E9">
        <w:rPr>
          <w:rFonts w:ascii="Verdana" w:hAnsi="Verdana"/>
          <w:sz w:val="20"/>
          <w:szCs w:val="20"/>
          <w:lang w:val="es-CR"/>
        </w:rPr>
        <w:t xml:space="preserve"> </w:t>
      </w:r>
      <w:r w:rsidR="005D370D">
        <w:rPr>
          <w:rFonts w:ascii="Verdana" w:hAnsi="Verdana"/>
          <w:sz w:val="20"/>
          <w:szCs w:val="20"/>
          <w:lang w:val="es-CR"/>
        </w:rPr>
        <w:t xml:space="preserve">2 y </w:t>
      </w:r>
      <w:r w:rsidR="00CA4094">
        <w:rPr>
          <w:rFonts w:ascii="Verdana" w:hAnsi="Verdana"/>
          <w:sz w:val="20"/>
          <w:szCs w:val="20"/>
          <w:lang w:val="es-CR"/>
        </w:rPr>
        <w:t>3</w:t>
      </w:r>
      <w:r w:rsidR="00666B03" w:rsidRPr="00B660E9">
        <w:rPr>
          <w:rFonts w:ascii="Verdana" w:hAnsi="Verdana"/>
          <w:sz w:val="20"/>
          <w:szCs w:val="20"/>
          <w:lang w:val="es-CR"/>
        </w:rPr>
        <w:t xml:space="preserve">). En </w:t>
      </w:r>
      <w:r w:rsidR="005D370D">
        <w:rPr>
          <w:rFonts w:ascii="Verdana" w:hAnsi="Verdana"/>
          <w:sz w:val="20"/>
          <w:szCs w:val="20"/>
          <w:lang w:val="es-CR"/>
        </w:rPr>
        <w:t>dicha</w:t>
      </w:r>
      <w:r w:rsidR="00666B03" w:rsidRPr="00B660E9">
        <w:rPr>
          <w:rFonts w:ascii="Verdana" w:hAnsi="Verdana"/>
          <w:sz w:val="20"/>
          <w:szCs w:val="20"/>
          <w:lang w:val="es-CR"/>
        </w:rPr>
        <w:t xml:space="preserve"> Resolución, </w:t>
      </w:r>
      <w:r w:rsidR="005D370D">
        <w:rPr>
          <w:rFonts w:ascii="Verdana" w:hAnsi="Verdana"/>
          <w:sz w:val="20"/>
          <w:szCs w:val="20"/>
          <w:lang w:val="es-CR"/>
        </w:rPr>
        <w:t>el</w:t>
      </w:r>
      <w:r w:rsidR="00666B03" w:rsidRPr="00B660E9">
        <w:rPr>
          <w:rFonts w:ascii="Verdana" w:hAnsi="Verdana"/>
          <w:sz w:val="20"/>
          <w:szCs w:val="20"/>
          <w:lang w:val="es-CR"/>
        </w:rPr>
        <w:t xml:space="preserve"> Tribunal analizó una solicitud de medidas provisionales presenta</w:t>
      </w:r>
      <w:r w:rsidR="00762920">
        <w:rPr>
          <w:rFonts w:ascii="Verdana" w:hAnsi="Verdana"/>
          <w:sz w:val="20"/>
          <w:szCs w:val="20"/>
          <w:lang w:val="es-CR"/>
        </w:rPr>
        <w:t>da</w:t>
      </w:r>
      <w:r w:rsidR="00666B03" w:rsidRPr="00B660E9">
        <w:rPr>
          <w:rFonts w:ascii="Verdana" w:hAnsi="Verdana"/>
          <w:sz w:val="20"/>
          <w:szCs w:val="20"/>
          <w:lang w:val="es-CR"/>
        </w:rPr>
        <w:t xml:space="preserve"> a favor de los referidos fiscales</w:t>
      </w:r>
      <w:r w:rsidR="00620820" w:rsidRPr="00B660E9">
        <w:rPr>
          <w:rFonts w:ascii="Verdana" w:hAnsi="Verdana"/>
          <w:sz w:val="20"/>
          <w:szCs w:val="20"/>
          <w:lang w:val="es-CR"/>
        </w:rPr>
        <w:t xml:space="preserve"> </w:t>
      </w:r>
      <w:r w:rsidR="00620820" w:rsidRPr="00B660E9">
        <w:rPr>
          <w:rFonts w:ascii="Verdana" w:hAnsi="Verdana"/>
          <w:sz w:val="20"/>
          <w:szCs w:val="20"/>
        </w:rPr>
        <w:t>de la FECI</w:t>
      </w:r>
      <w:r w:rsidRPr="00B660E9">
        <w:rPr>
          <w:rFonts w:ascii="Verdana" w:hAnsi="Verdana"/>
          <w:sz w:val="20"/>
          <w:szCs w:val="20"/>
        </w:rPr>
        <w:t xml:space="preserve"> “</w:t>
      </w:r>
      <w:r w:rsidRPr="00B660E9">
        <w:rPr>
          <w:rFonts w:ascii="Verdana" w:hAnsi="Verdana"/>
          <w:sz w:val="20"/>
          <w:szCs w:val="20"/>
          <w:lang w:val="es-ES"/>
        </w:rPr>
        <w:t>a fin de evitar que se produzcan daños irreparables a sus derechos a la vida e integridad personal”</w:t>
      </w:r>
      <w:r w:rsidRPr="00B660E9">
        <w:rPr>
          <w:rFonts w:ascii="Verdana" w:hAnsi="Verdana"/>
          <w:sz w:val="20"/>
          <w:szCs w:val="20"/>
          <w:lang w:val="es-CR"/>
        </w:rPr>
        <w:t>. Sobre el particular</w:t>
      </w:r>
      <w:r w:rsidR="00991B79" w:rsidRPr="00B660E9">
        <w:rPr>
          <w:rFonts w:ascii="Verdana" w:hAnsi="Verdana"/>
          <w:sz w:val="20"/>
          <w:szCs w:val="20"/>
          <w:lang w:val="es-CR"/>
        </w:rPr>
        <w:t>,</w:t>
      </w:r>
      <w:r w:rsidR="00666B03" w:rsidRPr="00B660E9">
        <w:rPr>
          <w:rFonts w:ascii="Verdana" w:hAnsi="Verdana"/>
          <w:sz w:val="20"/>
          <w:szCs w:val="20"/>
          <w:lang w:val="es-CR"/>
        </w:rPr>
        <w:t xml:space="preserve"> </w:t>
      </w:r>
      <w:r w:rsidR="00666B03" w:rsidRPr="00B660E9">
        <w:rPr>
          <w:rFonts w:ascii="Verdana" w:hAnsi="Verdana"/>
          <w:i/>
          <w:sz w:val="20"/>
          <w:szCs w:val="20"/>
          <w:lang w:val="es-CR"/>
        </w:rPr>
        <w:t>prima facie</w:t>
      </w:r>
      <w:r w:rsidR="00991B79" w:rsidRPr="00B660E9">
        <w:rPr>
          <w:rFonts w:ascii="Verdana" w:hAnsi="Verdana"/>
          <w:sz w:val="20"/>
          <w:szCs w:val="20"/>
          <w:lang w:val="es-CR"/>
        </w:rPr>
        <w:t xml:space="preserve">, </w:t>
      </w:r>
      <w:r w:rsidR="00666B03" w:rsidRPr="00B660E9">
        <w:rPr>
          <w:rFonts w:ascii="Verdana" w:hAnsi="Verdana"/>
          <w:sz w:val="20"/>
          <w:szCs w:val="20"/>
          <w:lang w:val="es-CR"/>
        </w:rPr>
        <w:t xml:space="preserve">quedó de manifiesto </w:t>
      </w:r>
      <w:r w:rsidR="00666B03" w:rsidRPr="00B660E9">
        <w:rPr>
          <w:rFonts w:ascii="Verdana" w:eastAsia="Verdana" w:hAnsi="Verdana" w:cs="Verdana"/>
          <w:sz w:val="20"/>
          <w:szCs w:val="20"/>
          <w:lang w:val="es-CR"/>
        </w:rPr>
        <w:t xml:space="preserve">la existencia de una situación de intimidación, seguimientos y amenazas </w:t>
      </w:r>
      <w:r w:rsidR="00620820" w:rsidRPr="00B660E9">
        <w:rPr>
          <w:rFonts w:ascii="Verdana" w:eastAsia="Verdana" w:hAnsi="Verdana" w:cs="Verdana"/>
          <w:sz w:val="20"/>
          <w:szCs w:val="20"/>
          <w:lang w:val="es-CR"/>
        </w:rPr>
        <w:t>en su contra</w:t>
      </w:r>
      <w:r w:rsidR="00666B03" w:rsidRPr="00B660E9">
        <w:rPr>
          <w:rFonts w:ascii="Verdana" w:hAnsi="Verdana"/>
          <w:sz w:val="20"/>
          <w:szCs w:val="20"/>
        </w:rPr>
        <w:t>, en un</w:t>
      </w:r>
      <w:r w:rsidR="00666B03" w:rsidRPr="00B660E9">
        <w:rPr>
          <w:rFonts w:ascii="Verdana" w:eastAsia="Verdana" w:hAnsi="Verdana" w:cs="Verdana"/>
          <w:sz w:val="20"/>
          <w:szCs w:val="20"/>
          <w:lang w:val="es-CR"/>
        </w:rPr>
        <w:t xml:space="preserve"> contexto</w:t>
      </w:r>
      <w:r w:rsidR="00620820" w:rsidRPr="00B660E9">
        <w:rPr>
          <w:rFonts w:ascii="Verdana" w:eastAsia="Verdana" w:hAnsi="Verdana" w:cs="Verdana"/>
          <w:sz w:val="20"/>
          <w:szCs w:val="20"/>
          <w:lang w:val="es-CR"/>
        </w:rPr>
        <w:t>,</w:t>
      </w:r>
      <w:r w:rsidR="00666B03" w:rsidRPr="00B660E9">
        <w:rPr>
          <w:rFonts w:ascii="Verdana" w:eastAsia="Verdana" w:hAnsi="Verdana" w:cs="Verdana"/>
          <w:sz w:val="20"/>
          <w:szCs w:val="20"/>
          <w:lang w:val="es-CR"/>
        </w:rPr>
        <w:t xml:space="preserve"> referido por </w:t>
      </w:r>
      <w:r w:rsidR="00666B03" w:rsidRPr="00B660E9">
        <w:rPr>
          <w:rFonts w:ascii="Verdana" w:hAnsi="Verdana"/>
          <w:sz w:val="20"/>
          <w:szCs w:val="20"/>
        </w:rPr>
        <w:t>las representantes y la Comisión</w:t>
      </w:r>
      <w:r w:rsidR="00620820" w:rsidRPr="00B660E9">
        <w:rPr>
          <w:rFonts w:ascii="Verdana" w:hAnsi="Verdana"/>
          <w:sz w:val="20"/>
          <w:szCs w:val="20"/>
        </w:rPr>
        <w:t>,</w:t>
      </w:r>
      <w:r w:rsidR="00666B03" w:rsidRPr="00B660E9">
        <w:rPr>
          <w:rFonts w:ascii="Verdana" w:hAnsi="Verdana"/>
          <w:sz w:val="20"/>
          <w:szCs w:val="20"/>
        </w:rPr>
        <w:t xml:space="preserve"> de riesgo </w:t>
      </w:r>
      <w:r w:rsidR="00666B03" w:rsidRPr="00B660E9">
        <w:rPr>
          <w:rFonts w:ascii="Verdana" w:hAnsi="Verdana"/>
          <w:sz w:val="20"/>
          <w:szCs w:val="20"/>
          <w:lang w:val="es-CR"/>
        </w:rPr>
        <w:t>de ataques y amenazas en contra de los operadores de justicia en los intentos de avance en la lucha contra la impunidad y corrupción</w:t>
      </w:r>
      <w:r w:rsidR="00991B79" w:rsidRPr="00B660E9">
        <w:rPr>
          <w:rFonts w:ascii="Verdana" w:eastAsia="Verdana" w:hAnsi="Verdana" w:cs="Verdana"/>
          <w:sz w:val="20"/>
          <w:szCs w:val="20"/>
          <w:lang w:val="es-CR"/>
        </w:rPr>
        <w:t>.</w:t>
      </w:r>
      <w:r w:rsidR="00991B79" w:rsidRPr="00B660E9">
        <w:rPr>
          <w:rFonts w:ascii="Verdana" w:hAnsi="Verdana"/>
          <w:sz w:val="20"/>
          <w:szCs w:val="20"/>
        </w:rPr>
        <w:t xml:space="preserve"> A </w:t>
      </w:r>
      <w:r w:rsidR="00D72339">
        <w:rPr>
          <w:rFonts w:ascii="Verdana" w:hAnsi="Verdana"/>
          <w:sz w:val="20"/>
          <w:szCs w:val="20"/>
        </w:rPr>
        <w:t>esos</w:t>
      </w:r>
      <w:r w:rsidR="00991B79" w:rsidRPr="00B660E9">
        <w:rPr>
          <w:rFonts w:ascii="Verdana" w:hAnsi="Verdana"/>
          <w:sz w:val="20"/>
          <w:szCs w:val="20"/>
        </w:rPr>
        <w:t xml:space="preserve"> hechos se adicionaron factores que denotaron la </w:t>
      </w:r>
      <w:r w:rsidR="00991B79" w:rsidRPr="00B660E9">
        <w:rPr>
          <w:rFonts w:ascii="Verdana" w:hAnsi="Verdana"/>
          <w:sz w:val="20"/>
          <w:szCs w:val="20"/>
        </w:rPr>
        <w:lastRenderedPageBreak/>
        <w:t xml:space="preserve">permanencia del riesgo, tales como publicaciones amedrentadoras, de desprestigio, acoso selectivo e incitación al odio en redes sociales, mediante las cuales se llama a desacreditar el trabajo de los fiscales de la FECI asimilándolo con actividades delictivas, junto con el cúmulo de denuncias penales presentadas en </w:t>
      </w:r>
      <w:r w:rsidR="001C29B1">
        <w:rPr>
          <w:rFonts w:ascii="Verdana" w:hAnsi="Verdana"/>
          <w:sz w:val="20"/>
          <w:szCs w:val="20"/>
        </w:rPr>
        <w:t xml:space="preserve">su </w:t>
      </w:r>
      <w:r w:rsidR="00991B79" w:rsidRPr="00B660E9">
        <w:rPr>
          <w:rFonts w:ascii="Verdana" w:hAnsi="Verdana"/>
          <w:sz w:val="20"/>
          <w:szCs w:val="20"/>
        </w:rPr>
        <w:t>contra.</w:t>
      </w:r>
      <w:r w:rsidR="00176183" w:rsidRPr="00B660E9">
        <w:rPr>
          <w:rFonts w:ascii="Verdana" w:hAnsi="Verdana"/>
          <w:sz w:val="20"/>
          <w:szCs w:val="20"/>
        </w:rPr>
        <w:t xml:space="preserve"> </w:t>
      </w:r>
      <w:r w:rsidR="005D370D">
        <w:rPr>
          <w:rFonts w:ascii="Verdana" w:hAnsi="Verdana"/>
          <w:sz w:val="20"/>
          <w:szCs w:val="20"/>
        </w:rPr>
        <w:t>T</w:t>
      </w:r>
      <w:r w:rsidR="00EE3044">
        <w:rPr>
          <w:rFonts w:ascii="Verdana" w:hAnsi="Verdana"/>
          <w:sz w:val="20"/>
          <w:szCs w:val="20"/>
        </w:rPr>
        <w:t>ales hechos</w:t>
      </w:r>
      <w:r w:rsidR="00EE3044" w:rsidRPr="00EE3044">
        <w:rPr>
          <w:rFonts w:ascii="Verdana" w:hAnsi="Verdana"/>
          <w:sz w:val="20"/>
          <w:szCs w:val="20"/>
        </w:rPr>
        <w:t xml:space="preserve"> </w:t>
      </w:r>
      <w:r w:rsidR="00EE3044">
        <w:rPr>
          <w:rFonts w:ascii="Verdana" w:hAnsi="Verdana"/>
          <w:sz w:val="20"/>
          <w:szCs w:val="20"/>
        </w:rPr>
        <w:t>fueron incrementando</w:t>
      </w:r>
      <w:r w:rsidR="00EE3044" w:rsidRPr="00EE3044">
        <w:rPr>
          <w:rFonts w:ascii="Verdana" w:hAnsi="Verdana"/>
          <w:sz w:val="20"/>
          <w:szCs w:val="20"/>
        </w:rPr>
        <w:t xml:space="preserve"> en la medida que avanz</w:t>
      </w:r>
      <w:r w:rsidR="00EE3044">
        <w:rPr>
          <w:rFonts w:ascii="Verdana" w:hAnsi="Verdana"/>
          <w:sz w:val="20"/>
          <w:szCs w:val="20"/>
        </w:rPr>
        <w:t>ó</w:t>
      </w:r>
      <w:r w:rsidR="00EE3044" w:rsidRPr="00EE3044">
        <w:rPr>
          <w:rFonts w:ascii="Verdana" w:hAnsi="Verdana"/>
          <w:sz w:val="20"/>
          <w:szCs w:val="20"/>
        </w:rPr>
        <w:t xml:space="preserve"> la</w:t>
      </w:r>
      <w:r w:rsidR="00EE3044">
        <w:rPr>
          <w:rFonts w:ascii="Verdana" w:hAnsi="Verdana"/>
          <w:sz w:val="20"/>
          <w:szCs w:val="20"/>
        </w:rPr>
        <w:t xml:space="preserve"> </w:t>
      </w:r>
      <w:r w:rsidR="00EE3044" w:rsidRPr="00EE3044">
        <w:rPr>
          <w:rFonts w:ascii="Verdana" w:hAnsi="Verdana"/>
          <w:sz w:val="20"/>
          <w:szCs w:val="20"/>
        </w:rPr>
        <w:t xml:space="preserve">investigación penal </w:t>
      </w:r>
      <w:r w:rsidR="00895694">
        <w:rPr>
          <w:rFonts w:ascii="Verdana" w:hAnsi="Verdana"/>
          <w:sz w:val="20"/>
          <w:szCs w:val="20"/>
        </w:rPr>
        <w:t>sobre</w:t>
      </w:r>
      <w:r w:rsidR="00EE3044">
        <w:rPr>
          <w:rFonts w:ascii="Verdana" w:hAnsi="Verdana"/>
          <w:sz w:val="20"/>
          <w:szCs w:val="20"/>
        </w:rPr>
        <w:t xml:space="preserve"> la muerte del señor</w:t>
      </w:r>
      <w:r w:rsidR="00EE3044" w:rsidRPr="00EE3044">
        <w:rPr>
          <w:rFonts w:ascii="Verdana" w:hAnsi="Verdana"/>
          <w:sz w:val="20"/>
          <w:szCs w:val="20"/>
        </w:rPr>
        <w:t xml:space="preserve"> Ruiz Fuentes</w:t>
      </w:r>
      <w:r w:rsidR="00EE3044">
        <w:rPr>
          <w:rFonts w:ascii="Verdana" w:hAnsi="Verdana"/>
          <w:sz w:val="20"/>
          <w:szCs w:val="20"/>
        </w:rPr>
        <w:t xml:space="preserve"> hasta </w:t>
      </w:r>
      <w:r w:rsidR="00895694">
        <w:rPr>
          <w:rFonts w:ascii="Verdana" w:hAnsi="Verdana"/>
          <w:sz w:val="20"/>
          <w:szCs w:val="20"/>
        </w:rPr>
        <w:t xml:space="preserve">su intensificación en </w:t>
      </w:r>
      <w:r w:rsidR="00EE3044">
        <w:rPr>
          <w:rFonts w:ascii="Verdana" w:hAnsi="Verdana"/>
          <w:sz w:val="20"/>
          <w:szCs w:val="20"/>
        </w:rPr>
        <w:t xml:space="preserve">el </w:t>
      </w:r>
      <w:r w:rsidR="00EE3044" w:rsidRPr="00EE3044">
        <w:rPr>
          <w:rFonts w:ascii="Verdana" w:hAnsi="Verdana"/>
          <w:sz w:val="20"/>
          <w:szCs w:val="20"/>
        </w:rPr>
        <w:t>mes de febrero de 2020</w:t>
      </w:r>
      <w:r w:rsidR="00895694">
        <w:rPr>
          <w:rFonts w:ascii="Verdana" w:hAnsi="Verdana"/>
          <w:sz w:val="20"/>
          <w:szCs w:val="20"/>
        </w:rPr>
        <w:t>,</w:t>
      </w:r>
      <w:r w:rsidR="00EE3044" w:rsidRPr="00EE3044">
        <w:rPr>
          <w:rFonts w:ascii="Verdana" w:hAnsi="Verdana"/>
          <w:sz w:val="20"/>
          <w:szCs w:val="20"/>
        </w:rPr>
        <w:t xml:space="preserve"> tras la formalización de la acusación penal y el</w:t>
      </w:r>
      <w:r w:rsidR="00895694">
        <w:rPr>
          <w:rFonts w:ascii="Verdana" w:hAnsi="Verdana"/>
          <w:sz w:val="20"/>
          <w:szCs w:val="20"/>
        </w:rPr>
        <w:t xml:space="preserve"> </w:t>
      </w:r>
      <w:r w:rsidR="00EE3044" w:rsidRPr="00895694">
        <w:rPr>
          <w:rFonts w:ascii="Verdana" w:hAnsi="Verdana"/>
          <w:sz w:val="20"/>
          <w:szCs w:val="20"/>
        </w:rPr>
        <w:t>inició la fase intermedia del proceso</w:t>
      </w:r>
      <w:r w:rsidR="00895694">
        <w:rPr>
          <w:rFonts w:ascii="Verdana" w:hAnsi="Verdana"/>
          <w:sz w:val="20"/>
          <w:szCs w:val="20"/>
        </w:rPr>
        <w:t xml:space="preserve">. </w:t>
      </w:r>
      <w:r w:rsidR="000F55B2" w:rsidRPr="00895694">
        <w:rPr>
          <w:rFonts w:ascii="Verdana" w:hAnsi="Verdana"/>
          <w:sz w:val="20"/>
          <w:szCs w:val="20"/>
        </w:rPr>
        <w:t>En ese momento, p</w:t>
      </w:r>
      <w:r w:rsidR="000F55B2" w:rsidRPr="00895694">
        <w:rPr>
          <w:rFonts w:ascii="Verdana" w:eastAsia="Verdana" w:hAnsi="Verdana" w:cs="Verdana"/>
          <w:sz w:val="20"/>
          <w:szCs w:val="20"/>
          <w:lang w:val="es-CR"/>
        </w:rPr>
        <w:t xml:space="preserve">ara la </w:t>
      </w:r>
      <w:r w:rsidR="000F55B2" w:rsidRPr="00895694">
        <w:rPr>
          <w:rFonts w:ascii="Verdana" w:hAnsi="Verdana"/>
          <w:sz w:val="20"/>
          <w:szCs w:val="20"/>
          <w:lang w:val="es-CR"/>
        </w:rPr>
        <w:t>Corte resultó</w:t>
      </w:r>
      <w:r w:rsidR="00FE467D" w:rsidRPr="00895694">
        <w:rPr>
          <w:rFonts w:ascii="Verdana" w:hAnsi="Verdana"/>
          <w:sz w:val="20"/>
          <w:szCs w:val="20"/>
          <w:lang w:val="es-CR"/>
        </w:rPr>
        <w:t xml:space="preserve"> determinante, a la luz del principio de complementariedad, </w:t>
      </w:r>
      <w:r w:rsidR="000F55B2" w:rsidRPr="00895694">
        <w:rPr>
          <w:rFonts w:ascii="Verdana" w:hAnsi="Verdana"/>
          <w:sz w:val="20"/>
          <w:szCs w:val="20"/>
          <w:lang w:val="es-CR"/>
        </w:rPr>
        <w:t xml:space="preserve">la información aportada por el </w:t>
      </w:r>
      <w:r w:rsidR="00A601C6" w:rsidRPr="00895694">
        <w:rPr>
          <w:rFonts w:ascii="Verdana" w:hAnsi="Verdana"/>
          <w:sz w:val="20"/>
          <w:szCs w:val="20"/>
          <w:lang w:val="es-CR"/>
        </w:rPr>
        <w:t>E</w:t>
      </w:r>
      <w:r w:rsidR="000F55B2" w:rsidRPr="00895694">
        <w:rPr>
          <w:rFonts w:ascii="Verdana" w:hAnsi="Verdana"/>
          <w:sz w:val="20"/>
          <w:szCs w:val="20"/>
          <w:lang w:val="es-CR"/>
        </w:rPr>
        <w:t>stado sobre las medidas de protección brindadas a los tres fiscales de la FECI</w:t>
      </w:r>
      <w:r w:rsidR="00443F13" w:rsidRPr="00895694">
        <w:rPr>
          <w:rFonts w:ascii="Verdana" w:hAnsi="Verdana"/>
          <w:sz w:val="20"/>
          <w:szCs w:val="20"/>
          <w:lang w:val="es-CR"/>
        </w:rPr>
        <w:t>, por lo que,</w:t>
      </w:r>
      <w:r w:rsidR="00176183" w:rsidRPr="00895694">
        <w:rPr>
          <w:rFonts w:ascii="Verdana" w:hAnsi="Verdana"/>
          <w:sz w:val="20"/>
          <w:szCs w:val="20"/>
          <w:lang w:val="es-CR"/>
        </w:rPr>
        <w:t xml:space="preserve"> “</w:t>
      </w:r>
      <w:proofErr w:type="spellStart"/>
      <w:r w:rsidR="00176183" w:rsidRPr="00895694">
        <w:rPr>
          <w:rFonts w:ascii="Verdana" w:hAnsi="Verdana"/>
          <w:sz w:val="20"/>
          <w:szCs w:val="20"/>
        </w:rPr>
        <w:t>consider</w:t>
      </w:r>
      <w:proofErr w:type="spellEnd"/>
      <w:r w:rsidR="00176183" w:rsidRPr="00895694">
        <w:rPr>
          <w:rFonts w:ascii="Verdana" w:hAnsi="Verdana"/>
          <w:sz w:val="20"/>
          <w:szCs w:val="20"/>
        </w:rPr>
        <w:t>[</w:t>
      </w:r>
      <w:proofErr w:type="spellStart"/>
      <w:r w:rsidR="00176183" w:rsidRPr="00895694">
        <w:rPr>
          <w:rFonts w:ascii="Verdana" w:hAnsi="Verdana"/>
          <w:sz w:val="20"/>
          <w:szCs w:val="20"/>
        </w:rPr>
        <w:t>ó</w:t>
      </w:r>
      <w:proofErr w:type="spellEnd"/>
      <w:r w:rsidR="00176183" w:rsidRPr="00895694">
        <w:rPr>
          <w:rFonts w:ascii="Verdana" w:hAnsi="Verdana"/>
          <w:sz w:val="20"/>
          <w:szCs w:val="20"/>
        </w:rPr>
        <w:t xml:space="preserve">] </w:t>
      </w:r>
      <w:r w:rsidR="00176183" w:rsidRPr="00895694">
        <w:rPr>
          <w:rFonts w:ascii="Verdana" w:hAnsi="Verdana" w:cs="Verdana"/>
          <w:color w:val="000000"/>
          <w:spacing w:val="-4"/>
          <w:sz w:val="20"/>
          <w:szCs w:val="20"/>
        </w:rPr>
        <w:t xml:space="preserve">que no </w:t>
      </w:r>
      <w:proofErr w:type="spellStart"/>
      <w:r w:rsidR="00176183" w:rsidRPr="00895694">
        <w:rPr>
          <w:rFonts w:ascii="Verdana" w:hAnsi="Verdana" w:cs="Verdana"/>
          <w:color w:val="000000"/>
          <w:spacing w:val="-4"/>
          <w:sz w:val="20"/>
          <w:szCs w:val="20"/>
        </w:rPr>
        <w:t>correspond</w:t>
      </w:r>
      <w:proofErr w:type="spellEnd"/>
      <w:r w:rsidR="00762920">
        <w:rPr>
          <w:rFonts w:ascii="Verdana" w:hAnsi="Verdana" w:cs="Verdana"/>
          <w:color w:val="000000"/>
          <w:spacing w:val="-4"/>
          <w:sz w:val="20"/>
          <w:szCs w:val="20"/>
        </w:rPr>
        <w:t>[</w:t>
      </w:r>
      <w:proofErr w:type="spellStart"/>
      <w:r w:rsidR="00762920">
        <w:rPr>
          <w:rFonts w:ascii="Verdana" w:hAnsi="Verdana" w:cs="Verdana"/>
          <w:color w:val="000000"/>
          <w:spacing w:val="-4"/>
          <w:sz w:val="20"/>
          <w:szCs w:val="20"/>
        </w:rPr>
        <w:t>ía</w:t>
      </w:r>
      <w:proofErr w:type="spellEnd"/>
      <w:r w:rsidR="00762920">
        <w:rPr>
          <w:rFonts w:ascii="Verdana" w:hAnsi="Verdana" w:cs="Verdana"/>
          <w:color w:val="000000"/>
          <w:spacing w:val="-4"/>
          <w:sz w:val="20"/>
          <w:szCs w:val="20"/>
        </w:rPr>
        <w:t>]</w:t>
      </w:r>
      <w:r w:rsidR="00176183" w:rsidRPr="00895694">
        <w:rPr>
          <w:rFonts w:ascii="Verdana" w:hAnsi="Verdana" w:cs="Verdana"/>
          <w:color w:val="000000"/>
          <w:spacing w:val="-4"/>
          <w:sz w:val="20"/>
          <w:szCs w:val="20"/>
        </w:rPr>
        <w:t xml:space="preserve">, por el momento, ordenar medidas provisionales en </w:t>
      </w:r>
      <w:r w:rsidR="00D72339">
        <w:rPr>
          <w:rFonts w:ascii="Verdana" w:hAnsi="Verdana" w:cs="Verdana"/>
          <w:color w:val="000000"/>
          <w:spacing w:val="-4"/>
          <w:sz w:val="20"/>
          <w:szCs w:val="20"/>
        </w:rPr>
        <w:t>[el]</w:t>
      </w:r>
      <w:r w:rsidR="00176183" w:rsidRPr="00895694">
        <w:rPr>
          <w:rFonts w:ascii="Verdana" w:hAnsi="Verdana" w:cs="Verdana"/>
          <w:color w:val="000000"/>
          <w:spacing w:val="-4"/>
          <w:sz w:val="20"/>
          <w:szCs w:val="20"/>
        </w:rPr>
        <w:t xml:space="preserve"> caso, sino realizar una supervisión reforzada del cumplimiento de la obligación de investigar ordenada en la Sentencia”</w:t>
      </w:r>
      <w:r w:rsidR="00A205F7" w:rsidRPr="00B660E9">
        <w:rPr>
          <w:rStyle w:val="Refdenotaalpie"/>
          <w:rFonts w:cs="Verdana"/>
          <w:color w:val="000000"/>
          <w:spacing w:val="-4"/>
          <w:sz w:val="20"/>
          <w:szCs w:val="20"/>
        </w:rPr>
        <w:footnoteReference w:id="23"/>
      </w:r>
      <w:r w:rsidR="00176183" w:rsidRPr="00895694">
        <w:rPr>
          <w:rFonts w:ascii="Verdana" w:hAnsi="Verdana" w:cs="Verdana"/>
          <w:color w:val="000000"/>
          <w:spacing w:val="-4"/>
          <w:sz w:val="20"/>
          <w:szCs w:val="20"/>
        </w:rPr>
        <w:t>.</w:t>
      </w:r>
    </w:p>
    <w:p w14:paraId="405C661F" w14:textId="3B92CB09" w:rsidR="00906B73" w:rsidRPr="00B660E9" w:rsidRDefault="00D842E2" w:rsidP="00D815B8">
      <w:pPr>
        <w:numPr>
          <w:ilvl w:val="0"/>
          <w:numId w:val="2"/>
        </w:numPr>
        <w:spacing w:before="120" w:after="120"/>
        <w:ind w:left="0" w:firstLine="0"/>
        <w:jc w:val="both"/>
        <w:rPr>
          <w:rFonts w:ascii="Verdana" w:hAnsi="Verdana"/>
          <w:sz w:val="20"/>
          <w:szCs w:val="20"/>
          <w:lang w:val="es-CR"/>
        </w:rPr>
      </w:pPr>
      <w:r w:rsidRPr="00B660E9">
        <w:rPr>
          <w:rFonts w:ascii="Verdana" w:eastAsia="Calibri" w:hAnsi="Verdana" w:cs="Verdana"/>
          <w:color w:val="000000"/>
          <w:sz w:val="20"/>
          <w:szCs w:val="20"/>
          <w:lang w:val="es-CR"/>
        </w:rPr>
        <w:t>Recientemente, l</w:t>
      </w:r>
      <w:r w:rsidR="00906B73" w:rsidRPr="00B660E9">
        <w:rPr>
          <w:rFonts w:ascii="Verdana" w:hAnsi="Verdana"/>
          <w:sz w:val="20"/>
          <w:szCs w:val="20"/>
        </w:rPr>
        <w:t xml:space="preserve">as representantes </w:t>
      </w:r>
      <w:r w:rsidR="00A205F7" w:rsidRPr="00B660E9">
        <w:rPr>
          <w:rFonts w:ascii="Verdana" w:hAnsi="Verdana"/>
          <w:sz w:val="20"/>
          <w:szCs w:val="20"/>
        </w:rPr>
        <w:t>de l</w:t>
      </w:r>
      <w:r w:rsidRPr="00B660E9">
        <w:rPr>
          <w:rFonts w:ascii="Verdana" w:hAnsi="Verdana"/>
          <w:sz w:val="20"/>
          <w:szCs w:val="20"/>
        </w:rPr>
        <w:t>a</w:t>
      </w:r>
      <w:r w:rsidR="00A205F7" w:rsidRPr="00B660E9">
        <w:rPr>
          <w:rFonts w:ascii="Verdana" w:hAnsi="Verdana"/>
          <w:sz w:val="20"/>
          <w:szCs w:val="20"/>
        </w:rPr>
        <w:t>s</w:t>
      </w:r>
      <w:r w:rsidRPr="00B660E9">
        <w:rPr>
          <w:rFonts w:ascii="Verdana" w:hAnsi="Verdana"/>
          <w:sz w:val="20"/>
          <w:szCs w:val="20"/>
        </w:rPr>
        <w:t xml:space="preserve"> víctimas en los casos </w:t>
      </w:r>
      <w:r w:rsidRPr="00B660E9">
        <w:rPr>
          <w:rFonts w:ascii="Verdana" w:hAnsi="Verdana"/>
          <w:i/>
          <w:sz w:val="20"/>
          <w:szCs w:val="20"/>
        </w:rPr>
        <w:t>Valenzuela Ávila</w:t>
      </w:r>
      <w:r w:rsidRPr="00B660E9">
        <w:rPr>
          <w:rFonts w:ascii="Verdana" w:hAnsi="Verdana"/>
          <w:sz w:val="20"/>
          <w:szCs w:val="20"/>
        </w:rPr>
        <w:t xml:space="preserve"> y </w:t>
      </w:r>
      <w:r w:rsidRPr="00B660E9">
        <w:rPr>
          <w:rFonts w:ascii="Verdana" w:hAnsi="Verdana"/>
          <w:i/>
          <w:sz w:val="20"/>
          <w:szCs w:val="20"/>
        </w:rPr>
        <w:t>Ruiz Fuentes y otra</w:t>
      </w:r>
      <w:r w:rsidR="00A205F7" w:rsidRPr="00B660E9">
        <w:rPr>
          <w:rFonts w:ascii="Verdana" w:hAnsi="Verdana"/>
          <w:sz w:val="20"/>
          <w:szCs w:val="20"/>
        </w:rPr>
        <w:t xml:space="preserve"> </w:t>
      </w:r>
      <w:r w:rsidR="00D815B8" w:rsidRPr="00B660E9">
        <w:rPr>
          <w:rFonts w:ascii="Verdana" w:hAnsi="Verdana"/>
          <w:sz w:val="20"/>
          <w:szCs w:val="20"/>
        </w:rPr>
        <w:t xml:space="preserve">informaron sobre la destitución del </w:t>
      </w:r>
      <w:r w:rsidR="00992705">
        <w:rPr>
          <w:rFonts w:ascii="Verdana" w:hAnsi="Verdana"/>
          <w:sz w:val="20"/>
          <w:szCs w:val="20"/>
        </w:rPr>
        <w:t>e</w:t>
      </w:r>
      <w:r w:rsidR="00D815B8" w:rsidRPr="00B660E9">
        <w:rPr>
          <w:rFonts w:ascii="Verdana" w:hAnsi="Verdana"/>
          <w:sz w:val="20"/>
          <w:szCs w:val="20"/>
        </w:rPr>
        <w:t xml:space="preserve">x Fiscal Juan Francisco Sandoval Alfaro mediante </w:t>
      </w:r>
      <w:r w:rsidR="005F6FAB" w:rsidRPr="00B660E9">
        <w:rPr>
          <w:rFonts w:ascii="Verdana" w:hAnsi="Verdana"/>
          <w:sz w:val="20"/>
          <w:szCs w:val="20"/>
        </w:rPr>
        <w:t>el</w:t>
      </w:r>
      <w:r w:rsidR="00D815B8" w:rsidRPr="00B660E9">
        <w:rPr>
          <w:rFonts w:ascii="Verdana" w:hAnsi="Verdana"/>
          <w:sz w:val="20"/>
          <w:szCs w:val="20"/>
        </w:rPr>
        <w:t xml:space="preserve"> acuerdo</w:t>
      </w:r>
      <w:r w:rsidR="005F6FAB" w:rsidRPr="00B660E9">
        <w:rPr>
          <w:rFonts w:ascii="Verdana" w:hAnsi="Verdana"/>
          <w:sz w:val="20"/>
          <w:szCs w:val="20"/>
        </w:rPr>
        <w:t xml:space="preserve"> 215</w:t>
      </w:r>
      <w:r w:rsidR="00992705">
        <w:rPr>
          <w:rFonts w:ascii="Verdana" w:hAnsi="Verdana"/>
          <w:sz w:val="20"/>
          <w:szCs w:val="20"/>
        </w:rPr>
        <w:t>7</w:t>
      </w:r>
      <w:r w:rsidR="005F6FAB" w:rsidRPr="00B660E9">
        <w:rPr>
          <w:rFonts w:ascii="Verdana" w:hAnsi="Verdana"/>
          <w:sz w:val="20"/>
          <w:szCs w:val="20"/>
        </w:rPr>
        <w:t>-2021</w:t>
      </w:r>
      <w:r w:rsidR="00D815B8" w:rsidRPr="00B660E9">
        <w:rPr>
          <w:rFonts w:ascii="Verdana" w:hAnsi="Verdana"/>
          <w:sz w:val="20"/>
          <w:szCs w:val="20"/>
        </w:rPr>
        <w:t xml:space="preserve"> de </w:t>
      </w:r>
      <w:r w:rsidR="00D815B8" w:rsidRPr="00B660E9">
        <w:rPr>
          <w:rFonts w:ascii="Verdana" w:eastAsia="Times" w:hAnsi="Verdana"/>
          <w:sz w:val="20"/>
          <w:szCs w:val="20"/>
          <w:lang w:val="es-CR"/>
        </w:rPr>
        <w:t>la Fiscal General de la República y Jefa del Ministerio Público</w:t>
      </w:r>
      <w:r w:rsidR="00D815B8" w:rsidRPr="00B660E9">
        <w:rPr>
          <w:rFonts w:ascii="Verdana" w:hAnsi="Verdana"/>
          <w:sz w:val="20"/>
          <w:szCs w:val="20"/>
        </w:rPr>
        <w:t xml:space="preserve"> </w:t>
      </w:r>
      <w:r w:rsidR="005F6FAB" w:rsidRPr="00B660E9">
        <w:rPr>
          <w:rFonts w:ascii="Verdana" w:hAnsi="Verdana"/>
          <w:sz w:val="20"/>
          <w:szCs w:val="20"/>
        </w:rPr>
        <w:t>de</w:t>
      </w:r>
      <w:r w:rsidR="00D815B8" w:rsidRPr="00B660E9">
        <w:rPr>
          <w:rFonts w:ascii="Verdana" w:hAnsi="Verdana"/>
          <w:sz w:val="20"/>
          <w:szCs w:val="20"/>
        </w:rPr>
        <w:t xml:space="preserve"> 23 de julio de 2021</w:t>
      </w:r>
      <w:r w:rsidR="00D815B8" w:rsidRPr="00B660E9">
        <w:rPr>
          <w:rFonts w:ascii="Verdana" w:hAnsi="Verdana"/>
          <w:sz w:val="20"/>
          <w:szCs w:val="20"/>
          <w:lang w:val="es-CR"/>
        </w:rPr>
        <w:t xml:space="preserve">, por tanto, </w:t>
      </w:r>
      <w:r w:rsidRPr="00B660E9">
        <w:rPr>
          <w:rFonts w:ascii="Verdana" w:hAnsi="Verdana"/>
          <w:sz w:val="20"/>
          <w:szCs w:val="20"/>
          <w:lang w:val="es-CR"/>
        </w:rPr>
        <w:t xml:space="preserve">solicitaron a la Corte que dicte medidas provisionales y ordene </w:t>
      </w:r>
      <w:r w:rsidR="00906B73" w:rsidRPr="00B660E9">
        <w:rPr>
          <w:rFonts w:ascii="Verdana" w:hAnsi="Verdana"/>
          <w:sz w:val="20"/>
          <w:szCs w:val="20"/>
          <w:lang w:val="es-CR"/>
        </w:rPr>
        <w:t xml:space="preserve">la </w:t>
      </w:r>
      <w:r w:rsidR="00906B73" w:rsidRPr="00B660E9">
        <w:rPr>
          <w:rFonts w:ascii="Verdana" w:hAnsi="Verdana"/>
          <w:sz w:val="20"/>
          <w:szCs w:val="20"/>
        </w:rPr>
        <w:t xml:space="preserve">restitución </w:t>
      </w:r>
      <w:r w:rsidR="005F6FAB" w:rsidRPr="00B660E9">
        <w:rPr>
          <w:rFonts w:ascii="Verdana" w:hAnsi="Verdana"/>
          <w:sz w:val="20"/>
          <w:szCs w:val="20"/>
        </w:rPr>
        <w:t>de</w:t>
      </w:r>
      <w:r w:rsidR="00DF0A30">
        <w:rPr>
          <w:rFonts w:ascii="Verdana" w:hAnsi="Verdana"/>
          <w:sz w:val="20"/>
          <w:szCs w:val="20"/>
        </w:rPr>
        <w:t>l señor</w:t>
      </w:r>
      <w:r w:rsidR="005F6FAB" w:rsidRPr="00B660E9">
        <w:rPr>
          <w:rFonts w:ascii="Verdana" w:hAnsi="Verdana"/>
          <w:sz w:val="20"/>
          <w:szCs w:val="20"/>
        </w:rPr>
        <w:t xml:space="preserve"> Sandoval Alfaro al </w:t>
      </w:r>
      <w:r w:rsidR="00906B73" w:rsidRPr="00B660E9">
        <w:rPr>
          <w:rFonts w:ascii="Verdana" w:hAnsi="Verdana"/>
          <w:sz w:val="20"/>
          <w:szCs w:val="20"/>
        </w:rPr>
        <w:t xml:space="preserve">cargo de Fiscal Jefe de Sección de la </w:t>
      </w:r>
      <w:r w:rsidR="006715D6" w:rsidRPr="00B660E9">
        <w:rPr>
          <w:rFonts w:ascii="Verdana" w:hAnsi="Verdana"/>
          <w:sz w:val="20"/>
          <w:szCs w:val="20"/>
        </w:rPr>
        <w:t>FECI</w:t>
      </w:r>
      <w:r w:rsidR="00906B73" w:rsidRPr="00B660E9">
        <w:rPr>
          <w:rFonts w:ascii="Verdana" w:hAnsi="Verdana"/>
          <w:sz w:val="20"/>
          <w:szCs w:val="20"/>
        </w:rPr>
        <w:t xml:space="preserve">, </w:t>
      </w:r>
      <w:r w:rsidR="00992705">
        <w:rPr>
          <w:rFonts w:ascii="Verdana" w:hAnsi="Verdana"/>
          <w:sz w:val="20"/>
          <w:szCs w:val="20"/>
        </w:rPr>
        <w:t>“</w:t>
      </w:r>
      <w:r w:rsidR="00906B73" w:rsidRPr="00B660E9">
        <w:rPr>
          <w:rFonts w:ascii="Verdana" w:hAnsi="Verdana"/>
          <w:sz w:val="20"/>
          <w:szCs w:val="20"/>
        </w:rPr>
        <w:t xml:space="preserve">dejando sin efecto </w:t>
      </w:r>
      <w:r w:rsidR="005F6FAB" w:rsidRPr="00B660E9">
        <w:rPr>
          <w:rFonts w:ascii="Verdana" w:hAnsi="Verdana"/>
          <w:sz w:val="20"/>
          <w:szCs w:val="20"/>
        </w:rPr>
        <w:t xml:space="preserve">el </w:t>
      </w:r>
      <w:r w:rsidR="003927FB">
        <w:rPr>
          <w:rFonts w:ascii="Verdana" w:hAnsi="Verdana"/>
          <w:sz w:val="20"/>
          <w:szCs w:val="20"/>
        </w:rPr>
        <w:t>[</w:t>
      </w:r>
      <w:r w:rsidR="005F6FAB" w:rsidRPr="00B660E9">
        <w:rPr>
          <w:rFonts w:ascii="Verdana" w:hAnsi="Verdana"/>
          <w:sz w:val="20"/>
          <w:szCs w:val="20"/>
        </w:rPr>
        <w:t>referido</w:t>
      </w:r>
      <w:r w:rsidR="003927FB">
        <w:rPr>
          <w:rFonts w:ascii="Verdana" w:hAnsi="Verdana"/>
          <w:sz w:val="20"/>
          <w:szCs w:val="20"/>
        </w:rPr>
        <w:t>]</w:t>
      </w:r>
      <w:r w:rsidR="005F6FAB" w:rsidRPr="00B660E9">
        <w:rPr>
          <w:rFonts w:ascii="Verdana" w:hAnsi="Verdana"/>
          <w:sz w:val="20"/>
          <w:szCs w:val="20"/>
        </w:rPr>
        <w:t xml:space="preserve"> acuerdo</w:t>
      </w:r>
      <w:r w:rsidR="003927FB">
        <w:rPr>
          <w:rFonts w:ascii="Verdana" w:hAnsi="Verdana"/>
          <w:sz w:val="20"/>
          <w:szCs w:val="20"/>
        </w:rPr>
        <w:t>”</w:t>
      </w:r>
      <w:r w:rsidR="005F6FAB" w:rsidRPr="00B660E9">
        <w:rPr>
          <w:rFonts w:ascii="Verdana" w:hAnsi="Verdana"/>
          <w:sz w:val="20"/>
          <w:szCs w:val="20"/>
        </w:rPr>
        <w:t xml:space="preserve"> y </w:t>
      </w:r>
      <w:r w:rsidR="003927FB">
        <w:rPr>
          <w:rFonts w:ascii="Verdana" w:hAnsi="Verdana"/>
          <w:sz w:val="20"/>
          <w:szCs w:val="20"/>
        </w:rPr>
        <w:t>“</w:t>
      </w:r>
      <w:r w:rsidR="00906B73" w:rsidRPr="00B660E9">
        <w:rPr>
          <w:rFonts w:ascii="Verdana" w:hAnsi="Verdana"/>
          <w:sz w:val="20"/>
          <w:szCs w:val="20"/>
        </w:rPr>
        <w:t>se den plenas garantías para que pueda retornar a Guatemala para ejercer sus funciones fiscales, libre de todo acto de hostigamiento, amenaza y represalia por su labor fiscal</w:t>
      </w:r>
      <w:r w:rsidR="00992705">
        <w:rPr>
          <w:rFonts w:ascii="Verdana" w:hAnsi="Verdana"/>
          <w:sz w:val="20"/>
          <w:szCs w:val="20"/>
        </w:rPr>
        <w:t>”</w:t>
      </w:r>
      <w:r w:rsidR="00F8192D" w:rsidRPr="00B660E9">
        <w:rPr>
          <w:rFonts w:ascii="Verdana" w:hAnsi="Verdana"/>
          <w:sz w:val="20"/>
          <w:szCs w:val="20"/>
        </w:rPr>
        <w:t>. Asimismo</w:t>
      </w:r>
      <w:r w:rsidR="00906B73" w:rsidRPr="00B660E9">
        <w:rPr>
          <w:rFonts w:ascii="Verdana" w:hAnsi="Verdana"/>
          <w:sz w:val="20"/>
          <w:szCs w:val="20"/>
        </w:rPr>
        <w:t>,</w:t>
      </w:r>
      <w:r w:rsidR="00F8192D" w:rsidRPr="00B660E9">
        <w:rPr>
          <w:rFonts w:ascii="Verdana" w:hAnsi="Verdana"/>
          <w:sz w:val="20"/>
          <w:szCs w:val="20"/>
        </w:rPr>
        <w:t xml:space="preserve"> requir</w:t>
      </w:r>
      <w:r w:rsidR="00F04447">
        <w:rPr>
          <w:rFonts w:ascii="Verdana" w:hAnsi="Verdana"/>
          <w:sz w:val="20"/>
          <w:szCs w:val="20"/>
        </w:rPr>
        <w:t>i</w:t>
      </w:r>
      <w:r w:rsidR="00F8192D" w:rsidRPr="00B660E9">
        <w:rPr>
          <w:rFonts w:ascii="Verdana" w:hAnsi="Verdana"/>
          <w:sz w:val="20"/>
          <w:szCs w:val="20"/>
        </w:rPr>
        <w:t>e</w:t>
      </w:r>
      <w:r w:rsidR="00F04447">
        <w:rPr>
          <w:rFonts w:ascii="Verdana" w:hAnsi="Verdana"/>
          <w:sz w:val="20"/>
          <w:szCs w:val="20"/>
        </w:rPr>
        <w:t>ro</w:t>
      </w:r>
      <w:r w:rsidR="00F8192D" w:rsidRPr="00B660E9">
        <w:rPr>
          <w:rFonts w:ascii="Verdana" w:hAnsi="Verdana"/>
          <w:sz w:val="20"/>
          <w:szCs w:val="20"/>
        </w:rPr>
        <w:t>n que</w:t>
      </w:r>
      <w:r w:rsidR="00906B73" w:rsidRPr="00B660E9">
        <w:rPr>
          <w:rFonts w:ascii="Verdana" w:hAnsi="Verdana"/>
          <w:sz w:val="20"/>
          <w:szCs w:val="20"/>
        </w:rPr>
        <w:t xml:space="preserve"> se </w:t>
      </w:r>
      <w:r w:rsidR="00D22557" w:rsidRPr="00B660E9">
        <w:rPr>
          <w:rFonts w:ascii="Verdana" w:hAnsi="Verdana"/>
          <w:sz w:val="20"/>
          <w:szCs w:val="20"/>
        </w:rPr>
        <w:t>garantice al Fiscal “B</w:t>
      </w:r>
      <w:r w:rsidR="00906B73" w:rsidRPr="00B660E9">
        <w:rPr>
          <w:rFonts w:ascii="Verdana" w:hAnsi="Verdana"/>
          <w:sz w:val="20"/>
          <w:szCs w:val="20"/>
        </w:rPr>
        <w:t xml:space="preserve">” y Auxiliar Fiscal “C” su continuidad en sus cargos en la </w:t>
      </w:r>
      <w:r w:rsidR="006715D6" w:rsidRPr="00B660E9">
        <w:rPr>
          <w:rFonts w:ascii="Verdana" w:hAnsi="Verdana"/>
          <w:sz w:val="20"/>
          <w:szCs w:val="20"/>
        </w:rPr>
        <w:t>FECI,</w:t>
      </w:r>
      <w:r w:rsidR="00906B73" w:rsidRPr="00B660E9">
        <w:rPr>
          <w:rFonts w:ascii="Verdana" w:hAnsi="Verdana"/>
          <w:sz w:val="20"/>
          <w:szCs w:val="20"/>
        </w:rPr>
        <w:t xml:space="preserve"> que </w:t>
      </w:r>
      <w:r w:rsidRPr="00B660E9">
        <w:rPr>
          <w:rFonts w:ascii="Verdana" w:hAnsi="Verdana"/>
          <w:sz w:val="20"/>
          <w:szCs w:val="20"/>
        </w:rPr>
        <w:t>permanezcan</w:t>
      </w:r>
      <w:r w:rsidR="00906B73" w:rsidRPr="00B660E9">
        <w:rPr>
          <w:rFonts w:ascii="Verdana" w:hAnsi="Verdana"/>
          <w:sz w:val="20"/>
          <w:szCs w:val="20"/>
        </w:rPr>
        <w:t xml:space="preserve"> a cargo de la</w:t>
      </w:r>
      <w:r w:rsidR="003927FB">
        <w:rPr>
          <w:rFonts w:ascii="Verdana" w:hAnsi="Verdana"/>
          <w:sz w:val="20"/>
          <w:szCs w:val="20"/>
        </w:rPr>
        <w:t>s investigacio</w:t>
      </w:r>
      <w:r w:rsidR="00906B73" w:rsidRPr="00B660E9">
        <w:rPr>
          <w:rFonts w:ascii="Verdana" w:hAnsi="Verdana"/>
          <w:sz w:val="20"/>
          <w:szCs w:val="20"/>
        </w:rPr>
        <w:t>n</w:t>
      </w:r>
      <w:r w:rsidR="003927FB">
        <w:rPr>
          <w:rFonts w:ascii="Verdana" w:hAnsi="Verdana"/>
          <w:sz w:val="20"/>
          <w:szCs w:val="20"/>
        </w:rPr>
        <w:t>es</w:t>
      </w:r>
      <w:r w:rsidR="00906B73" w:rsidRPr="00B660E9">
        <w:rPr>
          <w:rFonts w:ascii="Verdana" w:hAnsi="Verdana"/>
          <w:sz w:val="20"/>
          <w:szCs w:val="20"/>
        </w:rPr>
        <w:t xml:space="preserve"> </w:t>
      </w:r>
      <w:r w:rsidR="003927FB">
        <w:rPr>
          <w:rFonts w:ascii="Verdana" w:hAnsi="Verdana"/>
          <w:sz w:val="20"/>
          <w:szCs w:val="20"/>
        </w:rPr>
        <w:t>de</w:t>
      </w:r>
      <w:r w:rsidR="00906B73" w:rsidRPr="00B660E9">
        <w:rPr>
          <w:rFonts w:ascii="Verdana" w:hAnsi="Verdana"/>
          <w:sz w:val="20"/>
          <w:szCs w:val="20"/>
        </w:rPr>
        <w:t xml:space="preserve"> las ejecuciones extrajudiciales de </w:t>
      </w:r>
      <w:r w:rsidR="006715D6" w:rsidRPr="00B660E9">
        <w:rPr>
          <w:rFonts w:ascii="Verdana" w:hAnsi="Verdana"/>
          <w:sz w:val="20"/>
          <w:szCs w:val="20"/>
        </w:rPr>
        <w:t xml:space="preserve">los señores </w:t>
      </w:r>
      <w:r w:rsidR="00906B73" w:rsidRPr="00B660E9">
        <w:rPr>
          <w:rFonts w:ascii="Verdana" w:hAnsi="Verdana"/>
          <w:sz w:val="20"/>
          <w:szCs w:val="20"/>
        </w:rPr>
        <w:t>Valenzuela Ávila</w:t>
      </w:r>
      <w:r w:rsidR="006715D6" w:rsidRPr="00B660E9">
        <w:rPr>
          <w:rFonts w:ascii="Verdana" w:hAnsi="Verdana"/>
          <w:sz w:val="20"/>
          <w:szCs w:val="20"/>
        </w:rPr>
        <w:t xml:space="preserve"> y </w:t>
      </w:r>
      <w:r w:rsidR="00906B73" w:rsidRPr="00B660E9">
        <w:rPr>
          <w:rFonts w:ascii="Verdana" w:hAnsi="Verdana"/>
          <w:sz w:val="20"/>
          <w:szCs w:val="20"/>
        </w:rPr>
        <w:t>Ruiz</w:t>
      </w:r>
      <w:r w:rsidR="006715D6" w:rsidRPr="00B660E9">
        <w:rPr>
          <w:rFonts w:ascii="Verdana" w:hAnsi="Verdana"/>
          <w:sz w:val="20"/>
          <w:szCs w:val="20"/>
        </w:rPr>
        <w:t xml:space="preserve"> Fuentes</w:t>
      </w:r>
      <w:r w:rsidR="00906B73" w:rsidRPr="00B660E9">
        <w:rPr>
          <w:rFonts w:ascii="Verdana" w:hAnsi="Verdana"/>
          <w:sz w:val="20"/>
          <w:szCs w:val="20"/>
        </w:rPr>
        <w:t xml:space="preserve"> </w:t>
      </w:r>
      <w:r w:rsidR="000912DA">
        <w:rPr>
          <w:rFonts w:ascii="Verdana" w:hAnsi="Verdana"/>
          <w:sz w:val="20"/>
          <w:szCs w:val="20"/>
        </w:rPr>
        <w:t>cometidas</w:t>
      </w:r>
      <w:r w:rsidR="006715D6" w:rsidRPr="00B660E9">
        <w:rPr>
          <w:rFonts w:ascii="Verdana" w:hAnsi="Verdana"/>
          <w:sz w:val="20"/>
          <w:szCs w:val="20"/>
        </w:rPr>
        <w:t xml:space="preserve"> en el marco del Plan Gavilán,</w:t>
      </w:r>
      <w:r w:rsidR="006715D6" w:rsidRPr="00B660E9">
        <w:rPr>
          <w:rFonts w:ascii="Verdana" w:hAnsi="Verdana"/>
          <w:sz w:val="20"/>
          <w:szCs w:val="20"/>
          <w:lang w:val="es-CR"/>
        </w:rPr>
        <w:t xml:space="preserve"> asegurando la objetividad e imparcialidad en que desempeñan su labor mediante la inamovilidad en sus cargos. </w:t>
      </w:r>
      <w:r w:rsidR="00F04447">
        <w:rPr>
          <w:rFonts w:ascii="Verdana" w:hAnsi="Verdana"/>
          <w:sz w:val="20"/>
          <w:szCs w:val="20"/>
          <w:lang w:val="es-CR"/>
        </w:rPr>
        <w:t xml:space="preserve">Finalmente, solicitaron </w:t>
      </w:r>
      <w:r w:rsidR="006715D6" w:rsidRPr="00B660E9">
        <w:rPr>
          <w:rFonts w:ascii="Verdana" w:hAnsi="Verdana"/>
          <w:sz w:val="20"/>
          <w:szCs w:val="20"/>
          <w:lang w:val="es-CR"/>
        </w:rPr>
        <w:t xml:space="preserve">que se garantice que </w:t>
      </w:r>
      <w:r w:rsidR="00F8192D" w:rsidRPr="00B660E9">
        <w:rPr>
          <w:rFonts w:ascii="Verdana" w:hAnsi="Verdana"/>
          <w:sz w:val="20"/>
          <w:szCs w:val="20"/>
          <w:lang w:val="es-CR"/>
        </w:rPr>
        <w:t>tales</w:t>
      </w:r>
      <w:r w:rsidR="006715D6" w:rsidRPr="00B660E9">
        <w:rPr>
          <w:rFonts w:ascii="Verdana" w:hAnsi="Verdana"/>
          <w:sz w:val="20"/>
          <w:szCs w:val="20"/>
          <w:lang w:val="es-CR"/>
        </w:rPr>
        <w:t xml:space="preserve"> fiscales cuenten con las medidas de seguridad adecuada</w:t>
      </w:r>
      <w:r w:rsidRPr="00B660E9">
        <w:rPr>
          <w:rFonts w:ascii="Verdana" w:hAnsi="Verdana"/>
          <w:sz w:val="20"/>
          <w:szCs w:val="20"/>
          <w:lang w:val="es-CR"/>
        </w:rPr>
        <w:t>s</w:t>
      </w:r>
      <w:r w:rsidR="006715D6" w:rsidRPr="00B660E9">
        <w:rPr>
          <w:rFonts w:ascii="Verdana" w:hAnsi="Verdana"/>
          <w:sz w:val="20"/>
          <w:szCs w:val="20"/>
          <w:lang w:val="es-CR"/>
        </w:rPr>
        <w:t xml:space="preserve"> para llevar a </w:t>
      </w:r>
      <w:r w:rsidR="00D22557" w:rsidRPr="00B660E9">
        <w:rPr>
          <w:rFonts w:ascii="Verdana" w:hAnsi="Verdana"/>
          <w:sz w:val="20"/>
          <w:szCs w:val="20"/>
          <w:lang w:val="es-CR"/>
        </w:rPr>
        <w:t>cabo su labor, lo que incluye</w:t>
      </w:r>
      <w:r w:rsidR="006715D6" w:rsidRPr="00B660E9">
        <w:rPr>
          <w:rFonts w:ascii="Verdana" w:hAnsi="Verdana"/>
          <w:sz w:val="20"/>
          <w:szCs w:val="20"/>
          <w:lang w:val="es-CR"/>
        </w:rPr>
        <w:t xml:space="preserve"> asegurar que las medidas de protección no sean brindadas por miembros de los organismos de segur</w:t>
      </w:r>
      <w:r w:rsidR="00D22557" w:rsidRPr="00B660E9">
        <w:rPr>
          <w:rFonts w:ascii="Verdana" w:hAnsi="Verdana"/>
          <w:sz w:val="20"/>
          <w:szCs w:val="20"/>
          <w:lang w:val="es-CR"/>
        </w:rPr>
        <w:t xml:space="preserve">idad involucrados en los hechos, y que cese los </w:t>
      </w:r>
      <w:r w:rsidR="006715D6" w:rsidRPr="00B660E9">
        <w:rPr>
          <w:rFonts w:ascii="Verdana" w:hAnsi="Verdana"/>
          <w:sz w:val="20"/>
          <w:szCs w:val="20"/>
          <w:lang w:val="es-CR"/>
        </w:rPr>
        <w:t xml:space="preserve">procesos de criminalización </w:t>
      </w:r>
      <w:r w:rsidR="00D22557" w:rsidRPr="00B660E9">
        <w:rPr>
          <w:rFonts w:ascii="Verdana" w:hAnsi="Verdana"/>
          <w:sz w:val="20"/>
          <w:szCs w:val="20"/>
          <w:lang w:val="es-CR"/>
        </w:rPr>
        <w:t xml:space="preserve">en su contra </w:t>
      </w:r>
      <w:r w:rsidR="00750F43" w:rsidRPr="00B660E9">
        <w:rPr>
          <w:rFonts w:ascii="Verdana" w:hAnsi="Verdana"/>
          <w:sz w:val="20"/>
          <w:szCs w:val="20"/>
          <w:lang w:val="es-CR"/>
        </w:rPr>
        <w:t>que puede</w:t>
      </w:r>
      <w:r w:rsidR="006715D6" w:rsidRPr="00B660E9">
        <w:rPr>
          <w:rFonts w:ascii="Verdana" w:hAnsi="Verdana"/>
          <w:sz w:val="20"/>
          <w:szCs w:val="20"/>
          <w:lang w:val="es-CR"/>
        </w:rPr>
        <w:t>n obstaculizar su labor.</w:t>
      </w:r>
      <w:r w:rsidR="00D22557" w:rsidRPr="00B660E9">
        <w:rPr>
          <w:rFonts w:ascii="Verdana" w:hAnsi="Verdana"/>
          <w:sz w:val="20"/>
          <w:szCs w:val="20"/>
          <w:lang w:val="es-CR"/>
        </w:rPr>
        <w:t xml:space="preserve"> </w:t>
      </w:r>
      <w:r w:rsidR="00027733" w:rsidRPr="00B660E9">
        <w:rPr>
          <w:rFonts w:ascii="Verdana" w:hAnsi="Verdana"/>
          <w:sz w:val="20"/>
          <w:szCs w:val="20"/>
          <w:lang w:val="es-CR"/>
        </w:rPr>
        <w:t>L</w:t>
      </w:r>
      <w:r w:rsidR="00D22557" w:rsidRPr="00B660E9">
        <w:rPr>
          <w:rFonts w:ascii="Verdana" w:hAnsi="Verdana"/>
          <w:sz w:val="20"/>
          <w:szCs w:val="20"/>
          <w:lang w:val="es-CR"/>
        </w:rPr>
        <w:t>as representantes</w:t>
      </w:r>
      <w:r w:rsidR="00906B73" w:rsidRPr="00B660E9">
        <w:rPr>
          <w:rFonts w:ascii="Verdana" w:hAnsi="Verdana"/>
          <w:sz w:val="20"/>
          <w:szCs w:val="20"/>
        </w:rPr>
        <w:t xml:space="preserve"> </w:t>
      </w:r>
      <w:r w:rsidR="00027733" w:rsidRPr="00B660E9">
        <w:rPr>
          <w:rFonts w:ascii="Verdana" w:hAnsi="Verdana"/>
          <w:sz w:val="20"/>
          <w:szCs w:val="20"/>
        </w:rPr>
        <w:t>indicaron</w:t>
      </w:r>
      <w:r w:rsidR="00D22557" w:rsidRPr="00B660E9">
        <w:rPr>
          <w:rFonts w:ascii="Verdana" w:hAnsi="Verdana"/>
          <w:sz w:val="20"/>
          <w:szCs w:val="20"/>
        </w:rPr>
        <w:t xml:space="preserve"> que </w:t>
      </w:r>
      <w:r w:rsidR="00587D1C" w:rsidRPr="00B660E9">
        <w:rPr>
          <w:rFonts w:ascii="Verdana" w:hAnsi="Verdana"/>
          <w:sz w:val="20"/>
          <w:szCs w:val="20"/>
        </w:rPr>
        <w:t>tales</w:t>
      </w:r>
      <w:r w:rsidR="00D22557" w:rsidRPr="00B660E9">
        <w:rPr>
          <w:rFonts w:ascii="Verdana" w:hAnsi="Verdana"/>
          <w:sz w:val="20"/>
          <w:szCs w:val="20"/>
        </w:rPr>
        <w:t xml:space="preserve"> </w:t>
      </w:r>
      <w:r w:rsidR="00587D1C" w:rsidRPr="00B660E9">
        <w:rPr>
          <w:rFonts w:ascii="Verdana" w:hAnsi="Verdana"/>
          <w:sz w:val="20"/>
          <w:szCs w:val="20"/>
        </w:rPr>
        <w:t xml:space="preserve">fiscales </w:t>
      </w:r>
      <w:r w:rsidR="00D22557" w:rsidRPr="00B660E9">
        <w:rPr>
          <w:rFonts w:ascii="Verdana" w:hAnsi="Verdana"/>
          <w:sz w:val="20"/>
          <w:szCs w:val="20"/>
        </w:rPr>
        <w:t>cuentan con</w:t>
      </w:r>
      <w:r w:rsidR="00906B73" w:rsidRPr="00B660E9">
        <w:rPr>
          <w:rFonts w:ascii="Verdana" w:hAnsi="Verdana"/>
          <w:sz w:val="20"/>
          <w:szCs w:val="20"/>
        </w:rPr>
        <w:t xml:space="preserve"> “esquema</w:t>
      </w:r>
      <w:r w:rsidR="00587D1C" w:rsidRPr="00B660E9">
        <w:rPr>
          <w:rFonts w:ascii="Verdana" w:hAnsi="Verdana"/>
          <w:sz w:val="20"/>
          <w:szCs w:val="20"/>
        </w:rPr>
        <w:t>s</w:t>
      </w:r>
      <w:r w:rsidR="00906B73" w:rsidRPr="00B660E9">
        <w:rPr>
          <w:rFonts w:ascii="Verdana" w:hAnsi="Verdana"/>
          <w:sz w:val="20"/>
          <w:szCs w:val="20"/>
        </w:rPr>
        <w:t xml:space="preserve"> de seguridad”, pero sostienen que </w:t>
      </w:r>
      <w:r w:rsidR="00587D1C" w:rsidRPr="00B660E9">
        <w:rPr>
          <w:rFonts w:ascii="Verdana" w:hAnsi="Verdana"/>
          <w:sz w:val="20"/>
          <w:szCs w:val="20"/>
        </w:rPr>
        <w:t xml:space="preserve">estos </w:t>
      </w:r>
      <w:r w:rsidR="00587D1C" w:rsidRPr="00B660E9">
        <w:rPr>
          <w:rFonts w:ascii="Verdana" w:hAnsi="Verdana"/>
          <w:sz w:val="20"/>
          <w:szCs w:val="20"/>
          <w:lang w:val="es-CR"/>
        </w:rPr>
        <w:t>son deficientes</w:t>
      </w:r>
      <w:r w:rsidR="00906B73" w:rsidRPr="00B660E9">
        <w:rPr>
          <w:rFonts w:ascii="Verdana" w:hAnsi="Verdana"/>
          <w:sz w:val="20"/>
          <w:szCs w:val="20"/>
          <w:lang w:val="es-CR"/>
        </w:rPr>
        <w:t xml:space="preserve"> </w:t>
      </w:r>
      <w:r w:rsidR="00587D1C" w:rsidRPr="00B660E9">
        <w:rPr>
          <w:rFonts w:ascii="Verdana" w:hAnsi="Verdana"/>
          <w:sz w:val="20"/>
          <w:szCs w:val="20"/>
          <w:lang w:val="es-CR"/>
        </w:rPr>
        <w:t xml:space="preserve">y </w:t>
      </w:r>
      <w:r w:rsidR="00906B73" w:rsidRPr="00B660E9">
        <w:rPr>
          <w:rFonts w:ascii="Verdana" w:hAnsi="Verdana"/>
          <w:sz w:val="20"/>
          <w:szCs w:val="20"/>
          <w:lang w:val="es-CR"/>
        </w:rPr>
        <w:t>presentan</w:t>
      </w:r>
      <w:r w:rsidR="00906B73" w:rsidRPr="00B660E9">
        <w:rPr>
          <w:rFonts w:ascii="Verdana" w:hAnsi="Verdana"/>
          <w:sz w:val="20"/>
          <w:szCs w:val="20"/>
        </w:rPr>
        <w:t xml:space="preserve"> anomalías</w:t>
      </w:r>
      <w:r w:rsidR="005F25B0">
        <w:rPr>
          <w:rFonts w:ascii="Verdana" w:hAnsi="Verdana"/>
          <w:sz w:val="20"/>
          <w:szCs w:val="20"/>
        </w:rPr>
        <w:t xml:space="preserve"> </w:t>
      </w:r>
      <w:r w:rsidR="005F25B0" w:rsidRPr="00B660E9">
        <w:rPr>
          <w:rFonts w:ascii="Verdana" w:hAnsi="Verdana"/>
          <w:sz w:val="20"/>
          <w:szCs w:val="20"/>
        </w:rPr>
        <w:t>(</w:t>
      </w:r>
      <w:r w:rsidR="005F25B0" w:rsidRPr="00B660E9">
        <w:rPr>
          <w:rFonts w:ascii="Verdana" w:hAnsi="Verdana"/>
          <w:i/>
          <w:sz w:val="20"/>
          <w:szCs w:val="20"/>
        </w:rPr>
        <w:t>supra</w:t>
      </w:r>
      <w:r w:rsidR="005F25B0" w:rsidRPr="00B660E9">
        <w:rPr>
          <w:rFonts w:ascii="Verdana" w:hAnsi="Verdana"/>
          <w:sz w:val="20"/>
          <w:szCs w:val="20"/>
        </w:rPr>
        <w:t xml:space="preserve"> Considerandos </w:t>
      </w:r>
      <w:r w:rsidR="00DC770D">
        <w:rPr>
          <w:rFonts w:ascii="Verdana" w:hAnsi="Verdana"/>
          <w:sz w:val="20"/>
          <w:szCs w:val="20"/>
        </w:rPr>
        <w:t>4 y</w:t>
      </w:r>
      <w:r w:rsidR="00D72339">
        <w:rPr>
          <w:rFonts w:ascii="Verdana" w:hAnsi="Verdana"/>
          <w:sz w:val="20"/>
          <w:szCs w:val="20"/>
        </w:rPr>
        <w:t xml:space="preserve"> 9</w:t>
      </w:r>
      <w:r w:rsidR="005F25B0" w:rsidRPr="00B660E9">
        <w:rPr>
          <w:rFonts w:ascii="Verdana" w:hAnsi="Verdana"/>
          <w:sz w:val="20"/>
          <w:szCs w:val="20"/>
        </w:rPr>
        <w:t>)</w:t>
      </w:r>
      <w:r w:rsidR="00906B73" w:rsidRPr="00B660E9">
        <w:rPr>
          <w:rFonts w:ascii="Verdana" w:hAnsi="Verdana"/>
          <w:sz w:val="20"/>
          <w:szCs w:val="20"/>
        </w:rPr>
        <w:t>.</w:t>
      </w:r>
    </w:p>
    <w:p w14:paraId="33C67905" w14:textId="267D4CDA" w:rsidR="00D11809" w:rsidRPr="00B660E9" w:rsidRDefault="00750F43" w:rsidP="008604A7">
      <w:pPr>
        <w:numPr>
          <w:ilvl w:val="0"/>
          <w:numId w:val="2"/>
        </w:numPr>
        <w:spacing w:before="120" w:after="120"/>
        <w:ind w:left="0" w:firstLine="0"/>
        <w:jc w:val="both"/>
        <w:rPr>
          <w:rFonts w:ascii="Verdana" w:hAnsi="Verdana"/>
          <w:sz w:val="20"/>
          <w:szCs w:val="20"/>
          <w:lang w:val="es-CR"/>
        </w:rPr>
      </w:pPr>
      <w:r w:rsidRPr="00B660E9">
        <w:rPr>
          <w:rFonts w:ascii="Verdana" w:hAnsi="Verdana"/>
          <w:sz w:val="20"/>
          <w:szCs w:val="20"/>
        </w:rPr>
        <w:t>E</w:t>
      </w:r>
      <w:r w:rsidR="00443F13" w:rsidRPr="00B660E9">
        <w:rPr>
          <w:rFonts w:ascii="Verdana" w:hAnsi="Verdana"/>
          <w:sz w:val="20"/>
          <w:szCs w:val="20"/>
        </w:rPr>
        <w:t xml:space="preserve">n </w:t>
      </w:r>
      <w:r w:rsidR="00DF0A30">
        <w:rPr>
          <w:rFonts w:ascii="Verdana" w:hAnsi="Verdana"/>
          <w:sz w:val="20"/>
          <w:szCs w:val="20"/>
        </w:rPr>
        <w:t xml:space="preserve">sus observaciones </w:t>
      </w:r>
      <w:r w:rsidR="00443F13" w:rsidRPr="00B660E9">
        <w:rPr>
          <w:rFonts w:ascii="Verdana" w:hAnsi="Verdana"/>
          <w:sz w:val="20"/>
          <w:szCs w:val="20"/>
        </w:rPr>
        <w:t>a la solicitud de medidas provisionales, e</w:t>
      </w:r>
      <w:r w:rsidR="00565486" w:rsidRPr="00B660E9">
        <w:rPr>
          <w:rFonts w:ascii="Verdana" w:hAnsi="Verdana"/>
          <w:sz w:val="20"/>
          <w:szCs w:val="20"/>
          <w:lang w:val="es-CR"/>
        </w:rPr>
        <w:t xml:space="preserve">l Estado </w:t>
      </w:r>
      <w:r w:rsidR="007F25D0" w:rsidRPr="00B660E9">
        <w:rPr>
          <w:rFonts w:ascii="Verdana" w:hAnsi="Verdana"/>
          <w:sz w:val="20"/>
          <w:szCs w:val="20"/>
          <w:lang w:val="es-CR"/>
        </w:rPr>
        <w:t xml:space="preserve">solicitó la desestimación e improcedencia </w:t>
      </w:r>
      <w:r w:rsidR="007F25D0">
        <w:rPr>
          <w:rFonts w:ascii="Verdana" w:hAnsi="Verdana" w:cs="Arial"/>
          <w:sz w:val="20"/>
          <w:szCs w:val="20"/>
          <w:lang w:val="es-CR"/>
        </w:rPr>
        <w:t xml:space="preserve">de la solicitud, bajo el </w:t>
      </w:r>
      <w:r w:rsidR="007F25D0">
        <w:rPr>
          <w:rFonts w:ascii="Verdana" w:hAnsi="Verdana"/>
          <w:sz w:val="20"/>
          <w:szCs w:val="20"/>
          <w:lang w:val="es-CR"/>
        </w:rPr>
        <w:t>argumento de</w:t>
      </w:r>
      <w:r w:rsidR="00DF0A30">
        <w:rPr>
          <w:rFonts w:ascii="Verdana" w:hAnsi="Verdana"/>
          <w:sz w:val="20"/>
          <w:szCs w:val="20"/>
          <w:lang w:val="es-CR"/>
        </w:rPr>
        <w:t xml:space="preserve"> </w:t>
      </w:r>
      <w:r w:rsidR="00B13354" w:rsidRPr="00B660E9">
        <w:rPr>
          <w:rFonts w:ascii="Verdana" w:hAnsi="Verdana"/>
          <w:sz w:val="20"/>
          <w:szCs w:val="20"/>
          <w:lang w:val="es-CR"/>
        </w:rPr>
        <w:t xml:space="preserve">que el </w:t>
      </w:r>
      <w:r w:rsidR="00B13354" w:rsidRPr="00B660E9">
        <w:rPr>
          <w:rFonts w:ascii="Verdana" w:eastAsia="Verdana" w:hAnsi="Verdana" w:cs="Verdana"/>
          <w:sz w:val="20"/>
          <w:szCs w:val="20"/>
          <w:lang w:val="es-CR"/>
        </w:rPr>
        <w:t xml:space="preserve">ex Fiscal </w:t>
      </w:r>
      <w:r w:rsidR="00B13354" w:rsidRPr="00B660E9">
        <w:rPr>
          <w:rFonts w:ascii="Verdana" w:eastAsiaTheme="minorHAnsi" w:hAnsi="Verdana" w:cs="Verdana"/>
          <w:sz w:val="20"/>
          <w:szCs w:val="20"/>
          <w:lang w:val="es-CR"/>
        </w:rPr>
        <w:t xml:space="preserve">Juan Francisco Sandoval Alfaro, el Fiscal “B” y el Auxiliar Fiscal “C” cuentan, </w:t>
      </w:r>
      <w:r w:rsidR="00B13354" w:rsidRPr="00B660E9">
        <w:rPr>
          <w:rFonts w:ascii="Verdana" w:hAnsi="Verdana"/>
          <w:sz w:val="20"/>
          <w:szCs w:val="20"/>
        </w:rPr>
        <w:t>cada uno,</w:t>
      </w:r>
      <w:r w:rsidR="00B13354" w:rsidRPr="00B660E9">
        <w:rPr>
          <w:rFonts w:ascii="Verdana" w:eastAsiaTheme="minorHAnsi" w:hAnsi="Verdana" w:cs="Verdana"/>
          <w:sz w:val="20"/>
          <w:szCs w:val="20"/>
          <w:lang w:val="es-CR"/>
        </w:rPr>
        <w:t xml:space="preserve"> con </w:t>
      </w:r>
      <w:r w:rsidR="00B13354" w:rsidRPr="00B660E9">
        <w:rPr>
          <w:rFonts w:ascii="Verdana" w:hAnsi="Verdana"/>
          <w:sz w:val="20"/>
          <w:szCs w:val="20"/>
        </w:rPr>
        <w:t>“</w:t>
      </w:r>
      <w:r w:rsidR="00B13354" w:rsidRPr="00B660E9">
        <w:rPr>
          <w:rFonts w:ascii="Verdana" w:eastAsia="Calibri" w:hAnsi="Verdana" w:cs="Verdana"/>
          <w:color w:val="000000"/>
          <w:sz w:val="20"/>
          <w:szCs w:val="20"/>
          <w:lang w:val="es-CR"/>
        </w:rPr>
        <w:t>esquema</w:t>
      </w:r>
      <w:r w:rsidR="00443F13" w:rsidRPr="00B660E9">
        <w:rPr>
          <w:rFonts w:ascii="Verdana" w:eastAsia="Calibri" w:hAnsi="Verdana" w:cs="Verdana"/>
          <w:color w:val="000000"/>
          <w:sz w:val="20"/>
          <w:szCs w:val="20"/>
          <w:lang w:val="es-CR"/>
        </w:rPr>
        <w:t>s</w:t>
      </w:r>
      <w:r w:rsidR="00B13354" w:rsidRPr="00B660E9">
        <w:rPr>
          <w:rFonts w:ascii="Verdana" w:eastAsia="Calibri" w:hAnsi="Verdana" w:cs="Verdana"/>
          <w:color w:val="000000"/>
          <w:sz w:val="20"/>
          <w:szCs w:val="20"/>
          <w:lang w:val="es-CR"/>
        </w:rPr>
        <w:t xml:space="preserve"> de seguridad</w:t>
      </w:r>
      <w:r w:rsidR="00B13354" w:rsidRPr="00B660E9">
        <w:rPr>
          <w:rFonts w:ascii="Verdana" w:hAnsi="Verdana"/>
          <w:sz w:val="20"/>
          <w:szCs w:val="20"/>
        </w:rPr>
        <w:t>”</w:t>
      </w:r>
      <w:r w:rsidR="00B13354" w:rsidRPr="00B660E9">
        <w:rPr>
          <w:rFonts w:ascii="Verdana" w:eastAsia="Calibri" w:hAnsi="Verdana" w:cs="Verdana"/>
          <w:color w:val="000000"/>
          <w:sz w:val="20"/>
          <w:szCs w:val="20"/>
          <w:lang w:val="es-CR"/>
        </w:rPr>
        <w:t xml:space="preserve">. </w:t>
      </w:r>
      <w:r w:rsidR="00443F13" w:rsidRPr="00B660E9">
        <w:rPr>
          <w:rFonts w:ascii="Verdana" w:hAnsi="Verdana"/>
          <w:sz w:val="20"/>
          <w:szCs w:val="20"/>
          <w:lang w:val="es-CR"/>
        </w:rPr>
        <w:t>S</w:t>
      </w:r>
      <w:r w:rsidR="00D11809" w:rsidRPr="00B660E9">
        <w:rPr>
          <w:rFonts w:ascii="Verdana" w:hAnsi="Verdana"/>
          <w:sz w:val="20"/>
          <w:szCs w:val="20"/>
          <w:lang w:val="es-CR"/>
        </w:rPr>
        <w:t xml:space="preserve">ostuvo que </w:t>
      </w:r>
      <w:r w:rsidR="00D11809" w:rsidRPr="00B660E9">
        <w:rPr>
          <w:rFonts w:ascii="Verdana" w:hAnsi="Verdana"/>
          <w:sz w:val="20"/>
          <w:szCs w:val="20"/>
        </w:rPr>
        <w:t>da seguimiento a las denuncias presentadas en contra de tales operadores de justicia para garantizar que se realice una investigación diligente y objetiva a fin de establecer la veracidad de los hechos denunciados</w:t>
      </w:r>
      <w:r w:rsidR="008604A7" w:rsidRPr="00B660E9">
        <w:rPr>
          <w:rFonts w:ascii="Verdana" w:hAnsi="Verdana"/>
          <w:sz w:val="20"/>
          <w:szCs w:val="20"/>
        </w:rPr>
        <w:t>, y</w:t>
      </w:r>
      <w:r w:rsidR="00906B73" w:rsidRPr="00B660E9">
        <w:rPr>
          <w:rFonts w:ascii="Verdana" w:hAnsi="Verdana"/>
          <w:sz w:val="20"/>
          <w:szCs w:val="20"/>
        </w:rPr>
        <w:t xml:space="preserve"> también</w:t>
      </w:r>
      <w:r w:rsidR="008604A7" w:rsidRPr="00B660E9">
        <w:rPr>
          <w:rFonts w:ascii="Verdana" w:hAnsi="Verdana"/>
          <w:sz w:val="20"/>
          <w:szCs w:val="20"/>
          <w:lang w:val="es-CR"/>
        </w:rPr>
        <w:t xml:space="preserve"> </w:t>
      </w:r>
      <w:r w:rsidR="008604A7" w:rsidRPr="00B660E9">
        <w:rPr>
          <w:rFonts w:ascii="Verdana" w:hAnsi="Verdana"/>
          <w:sz w:val="20"/>
          <w:szCs w:val="20"/>
        </w:rPr>
        <w:t xml:space="preserve">se investigan las denuncias que </w:t>
      </w:r>
      <w:r w:rsidR="00906B73" w:rsidRPr="00B660E9">
        <w:rPr>
          <w:rFonts w:ascii="Verdana" w:hAnsi="Verdana"/>
          <w:sz w:val="20"/>
          <w:szCs w:val="20"/>
        </w:rPr>
        <w:t>dichos operadores de justicia</w:t>
      </w:r>
      <w:r w:rsidR="008604A7" w:rsidRPr="00B660E9">
        <w:rPr>
          <w:rFonts w:ascii="Verdana" w:hAnsi="Verdana"/>
          <w:sz w:val="20"/>
          <w:szCs w:val="20"/>
        </w:rPr>
        <w:t xml:space="preserve"> presentaron</w:t>
      </w:r>
      <w:r w:rsidR="00906B73" w:rsidRPr="00B660E9">
        <w:rPr>
          <w:rFonts w:ascii="Verdana" w:hAnsi="Verdana"/>
          <w:sz w:val="20"/>
          <w:szCs w:val="20"/>
          <w:lang w:val="es-CR"/>
        </w:rPr>
        <w:t xml:space="preserve"> respecto a actos de </w:t>
      </w:r>
      <w:r w:rsidR="00906B73" w:rsidRPr="00B660E9">
        <w:rPr>
          <w:rFonts w:ascii="Verdana" w:hAnsi="Verdana" w:cs="Arial"/>
          <w:iCs/>
          <w:sz w:val="20"/>
          <w:szCs w:val="20"/>
          <w:lang w:val="es-CR"/>
        </w:rPr>
        <w:t xml:space="preserve">seguimiento y vigilancia </w:t>
      </w:r>
      <w:r w:rsidR="002A2468">
        <w:rPr>
          <w:rFonts w:ascii="Verdana" w:hAnsi="Verdana" w:cs="Arial"/>
          <w:iCs/>
          <w:sz w:val="20"/>
          <w:szCs w:val="20"/>
          <w:lang w:val="es-CR"/>
        </w:rPr>
        <w:t xml:space="preserve">en su </w:t>
      </w:r>
      <w:r w:rsidR="00906B73" w:rsidRPr="00B660E9">
        <w:rPr>
          <w:rFonts w:ascii="Verdana" w:hAnsi="Verdana" w:cs="Arial"/>
          <w:iCs/>
          <w:sz w:val="20"/>
          <w:szCs w:val="20"/>
          <w:lang w:val="es-CR"/>
        </w:rPr>
        <w:t xml:space="preserve">contra. Teniendo en cuenta dichas acciones llevadas a cabo, se refirió a la naturaleza subsidiaria del derecho internacional, y alegó que no se probó </w:t>
      </w:r>
      <w:r w:rsidR="00906B73" w:rsidRPr="00B660E9">
        <w:rPr>
          <w:rFonts w:ascii="Verdana" w:hAnsi="Verdana" w:cs="Arial"/>
          <w:i/>
          <w:iCs/>
          <w:sz w:val="20"/>
          <w:szCs w:val="20"/>
          <w:lang w:val="es-CR"/>
        </w:rPr>
        <w:t>prima facie</w:t>
      </w:r>
      <w:r w:rsidR="00906B73" w:rsidRPr="00B660E9">
        <w:rPr>
          <w:rFonts w:ascii="Verdana" w:hAnsi="Verdana" w:cs="Arial"/>
          <w:iCs/>
          <w:sz w:val="20"/>
          <w:szCs w:val="20"/>
          <w:lang w:val="es-CR"/>
        </w:rPr>
        <w:t xml:space="preserve"> los elementos de extrema gravedad, urgencia y daño irreparable</w:t>
      </w:r>
      <w:r w:rsidR="00D11809" w:rsidRPr="00B660E9">
        <w:rPr>
          <w:rFonts w:ascii="Verdana" w:hAnsi="Verdana"/>
          <w:sz w:val="20"/>
          <w:szCs w:val="20"/>
        </w:rPr>
        <w:t xml:space="preserve">. </w:t>
      </w:r>
      <w:r w:rsidR="00D11809" w:rsidRPr="00B660E9">
        <w:rPr>
          <w:rFonts w:ascii="Verdana" w:hAnsi="Verdana"/>
          <w:sz w:val="20"/>
          <w:szCs w:val="20"/>
          <w:lang w:val="es-CR"/>
        </w:rPr>
        <w:t>Por otro lado,</w:t>
      </w:r>
      <w:r w:rsidR="00906C3C" w:rsidRPr="00B660E9">
        <w:rPr>
          <w:rFonts w:ascii="Verdana" w:hAnsi="Verdana"/>
          <w:sz w:val="20"/>
          <w:szCs w:val="20"/>
          <w:lang w:val="es-CR"/>
        </w:rPr>
        <w:t xml:space="preserve"> </w:t>
      </w:r>
      <w:r w:rsidR="00906C3C" w:rsidRPr="00B660E9">
        <w:rPr>
          <w:rFonts w:ascii="Verdana" w:hAnsi="Verdana"/>
          <w:sz w:val="20"/>
          <w:szCs w:val="20"/>
        </w:rPr>
        <w:t xml:space="preserve">alegó la </w:t>
      </w:r>
      <w:r w:rsidR="00906C3C" w:rsidRPr="00B660E9">
        <w:rPr>
          <w:rFonts w:ascii="Verdana" w:eastAsiaTheme="minorHAnsi" w:hAnsi="Verdana" w:cs="Verdana"/>
          <w:sz w:val="20"/>
          <w:szCs w:val="20"/>
          <w:lang w:val="es-CR"/>
        </w:rPr>
        <w:t xml:space="preserve">falta de </w:t>
      </w:r>
      <w:r w:rsidR="00906C3C" w:rsidRPr="00B660E9">
        <w:rPr>
          <w:rFonts w:ascii="Verdana" w:hAnsi="Verdana" w:cs="Arial"/>
          <w:sz w:val="20"/>
          <w:szCs w:val="20"/>
          <w:lang w:val="es-CR"/>
        </w:rPr>
        <w:t xml:space="preserve">legitimación de las representantes de las víctimas y la preclusión procesal para solicitar </w:t>
      </w:r>
      <w:r w:rsidR="00906C3C" w:rsidRPr="00B660E9">
        <w:rPr>
          <w:rFonts w:ascii="Verdana" w:hAnsi="Verdana"/>
          <w:sz w:val="20"/>
          <w:szCs w:val="20"/>
        </w:rPr>
        <w:t xml:space="preserve">la restitución del ex Fiscal </w:t>
      </w:r>
      <w:r w:rsidR="00D72339">
        <w:rPr>
          <w:rFonts w:ascii="Verdana" w:eastAsiaTheme="minorHAnsi" w:hAnsi="Verdana" w:cs="Verdana"/>
          <w:sz w:val="20"/>
          <w:szCs w:val="20"/>
          <w:lang w:val="es-CR"/>
        </w:rPr>
        <w:t>Sandoval</w:t>
      </w:r>
      <w:r w:rsidRPr="00B660E9">
        <w:rPr>
          <w:rFonts w:ascii="Verdana" w:hAnsi="Verdana"/>
          <w:sz w:val="20"/>
          <w:szCs w:val="20"/>
        </w:rPr>
        <w:t xml:space="preserve"> </w:t>
      </w:r>
      <w:r w:rsidR="00906C3C" w:rsidRPr="00B660E9">
        <w:rPr>
          <w:rFonts w:ascii="Verdana" w:hAnsi="Verdana"/>
          <w:sz w:val="20"/>
          <w:szCs w:val="20"/>
        </w:rPr>
        <w:t xml:space="preserve">a su cargo como Fiscal de Sección de la FECI, </w:t>
      </w:r>
      <w:r w:rsidR="00D11809" w:rsidRPr="00B660E9">
        <w:rPr>
          <w:rFonts w:ascii="Verdana" w:hAnsi="Verdana"/>
          <w:sz w:val="20"/>
          <w:szCs w:val="20"/>
        </w:rPr>
        <w:t>y</w:t>
      </w:r>
      <w:r w:rsidR="00906C3C" w:rsidRPr="00B660E9">
        <w:rPr>
          <w:rFonts w:ascii="Verdana" w:hAnsi="Verdana"/>
          <w:sz w:val="20"/>
          <w:szCs w:val="20"/>
        </w:rPr>
        <w:t xml:space="preserve"> la estabilidad en el puesto </w:t>
      </w:r>
      <w:r w:rsidR="00A640EA" w:rsidRPr="00B660E9">
        <w:rPr>
          <w:rFonts w:ascii="Verdana" w:hAnsi="Verdana"/>
          <w:sz w:val="20"/>
          <w:szCs w:val="20"/>
        </w:rPr>
        <w:t xml:space="preserve">de </w:t>
      </w:r>
      <w:r w:rsidRPr="00B660E9">
        <w:rPr>
          <w:rFonts w:ascii="Verdana" w:hAnsi="Verdana"/>
          <w:sz w:val="20"/>
          <w:szCs w:val="20"/>
        </w:rPr>
        <w:t xml:space="preserve">“B” </w:t>
      </w:r>
      <w:r w:rsidR="00906C3C" w:rsidRPr="00B660E9">
        <w:rPr>
          <w:rFonts w:ascii="Verdana" w:hAnsi="Verdana"/>
          <w:sz w:val="20"/>
          <w:szCs w:val="20"/>
        </w:rPr>
        <w:t>y</w:t>
      </w:r>
      <w:r w:rsidRPr="00B660E9">
        <w:rPr>
          <w:rFonts w:ascii="Verdana" w:hAnsi="Verdana"/>
          <w:sz w:val="20"/>
          <w:szCs w:val="20"/>
        </w:rPr>
        <w:t xml:space="preserve"> “C”</w:t>
      </w:r>
      <w:r w:rsidR="00906C3C" w:rsidRPr="00B660E9">
        <w:rPr>
          <w:rFonts w:ascii="Verdana" w:hAnsi="Verdana"/>
          <w:sz w:val="20"/>
          <w:szCs w:val="20"/>
        </w:rPr>
        <w:t>,</w:t>
      </w:r>
      <w:r w:rsidR="00906C3C" w:rsidRPr="00B660E9">
        <w:rPr>
          <w:rFonts w:ascii="Verdana" w:hAnsi="Verdana"/>
          <w:sz w:val="20"/>
          <w:szCs w:val="20"/>
          <w:lang w:val="es-CR"/>
        </w:rPr>
        <w:t xml:space="preserve"> </w:t>
      </w:r>
      <w:r w:rsidR="00D11809" w:rsidRPr="00B660E9">
        <w:rPr>
          <w:rFonts w:ascii="Verdana" w:hAnsi="Verdana"/>
          <w:sz w:val="20"/>
          <w:szCs w:val="20"/>
          <w:lang w:val="es-CR"/>
        </w:rPr>
        <w:t xml:space="preserve">ya que </w:t>
      </w:r>
      <w:r w:rsidR="00D11809" w:rsidRPr="00B660E9">
        <w:rPr>
          <w:rFonts w:ascii="Verdana" w:hAnsi="Verdana" w:cs="Arial"/>
          <w:sz w:val="20"/>
          <w:szCs w:val="20"/>
          <w:lang w:val="es-CR"/>
        </w:rPr>
        <w:t>constituyen hechos</w:t>
      </w:r>
      <w:r w:rsidR="00D11809" w:rsidRPr="00B660E9">
        <w:rPr>
          <w:rFonts w:ascii="Verdana" w:hAnsi="Verdana" w:cs="Arial"/>
          <w:bCs/>
          <w:sz w:val="20"/>
          <w:szCs w:val="20"/>
          <w:lang w:val="es-CR"/>
        </w:rPr>
        <w:t xml:space="preserve"> </w:t>
      </w:r>
      <w:r w:rsidR="00D11809" w:rsidRPr="00B660E9">
        <w:rPr>
          <w:rFonts w:ascii="Verdana" w:hAnsi="Verdana" w:cs="Arial"/>
          <w:sz w:val="20"/>
          <w:szCs w:val="20"/>
          <w:lang w:val="es-CR"/>
        </w:rPr>
        <w:t xml:space="preserve">independientes </w:t>
      </w:r>
      <w:r w:rsidR="00D11809" w:rsidRPr="00B660E9">
        <w:rPr>
          <w:rFonts w:ascii="Verdana" w:hAnsi="Verdana" w:cs="Arial"/>
          <w:iCs/>
          <w:sz w:val="20"/>
          <w:szCs w:val="20"/>
          <w:lang w:val="es-CR"/>
        </w:rPr>
        <w:t xml:space="preserve">y </w:t>
      </w:r>
      <w:r w:rsidR="00D11809" w:rsidRPr="00B660E9">
        <w:rPr>
          <w:rFonts w:ascii="Verdana" w:hAnsi="Verdana" w:cs="Arial"/>
          <w:sz w:val="20"/>
          <w:szCs w:val="20"/>
          <w:lang w:val="es-CR"/>
        </w:rPr>
        <w:t>ajenos a los casos que se encuentran en supervisión de cumplimiento</w:t>
      </w:r>
      <w:r w:rsidR="00D72339">
        <w:rPr>
          <w:rFonts w:ascii="Verdana" w:hAnsi="Verdana" w:cs="Arial"/>
          <w:sz w:val="20"/>
          <w:szCs w:val="20"/>
          <w:lang w:val="es-CR"/>
        </w:rPr>
        <w:t xml:space="preserve"> </w:t>
      </w:r>
      <w:r w:rsidR="008A2DDE" w:rsidRPr="00B660E9">
        <w:rPr>
          <w:rFonts w:ascii="Verdana" w:hAnsi="Verdana"/>
          <w:sz w:val="20"/>
          <w:szCs w:val="20"/>
        </w:rPr>
        <w:t>(</w:t>
      </w:r>
      <w:r w:rsidR="008A2DDE" w:rsidRPr="00B660E9">
        <w:rPr>
          <w:rFonts w:ascii="Verdana" w:hAnsi="Verdana"/>
          <w:i/>
          <w:sz w:val="20"/>
          <w:szCs w:val="20"/>
        </w:rPr>
        <w:t>supra</w:t>
      </w:r>
      <w:r w:rsidR="008A2DDE" w:rsidRPr="00B660E9">
        <w:rPr>
          <w:rFonts w:ascii="Verdana" w:hAnsi="Verdana"/>
          <w:sz w:val="20"/>
          <w:szCs w:val="20"/>
        </w:rPr>
        <w:t xml:space="preserve"> Considerandos </w:t>
      </w:r>
      <w:r w:rsidR="008A2DDE">
        <w:rPr>
          <w:rFonts w:ascii="Verdana" w:hAnsi="Verdana"/>
          <w:sz w:val="20"/>
          <w:szCs w:val="20"/>
        </w:rPr>
        <w:t>19 a 21 y 24</w:t>
      </w:r>
      <w:r w:rsidR="008A2DDE" w:rsidRPr="00B660E9">
        <w:rPr>
          <w:rFonts w:ascii="Verdana" w:hAnsi="Verdana"/>
          <w:sz w:val="20"/>
          <w:szCs w:val="20"/>
        </w:rPr>
        <w:t>)</w:t>
      </w:r>
      <w:r w:rsidR="00D11809" w:rsidRPr="00B660E9">
        <w:rPr>
          <w:rFonts w:ascii="Verdana" w:hAnsi="Verdana" w:cs="Arial"/>
          <w:sz w:val="20"/>
          <w:szCs w:val="20"/>
          <w:lang w:val="es-CR"/>
        </w:rPr>
        <w:t>.</w:t>
      </w:r>
    </w:p>
    <w:p w14:paraId="7422EBA1" w14:textId="6920EBCD" w:rsidR="000F7739" w:rsidRPr="006D1360" w:rsidRDefault="00AA762E" w:rsidP="000F7739">
      <w:pPr>
        <w:numPr>
          <w:ilvl w:val="0"/>
          <w:numId w:val="2"/>
        </w:numPr>
        <w:spacing w:before="120" w:after="120"/>
        <w:ind w:left="0" w:firstLine="0"/>
        <w:jc w:val="both"/>
        <w:rPr>
          <w:rFonts w:ascii="Verdana" w:hAnsi="Verdana"/>
          <w:sz w:val="20"/>
          <w:szCs w:val="20"/>
          <w:lang w:val="es-CR"/>
        </w:rPr>
      </w:pPr>
      <w:r>
        <w:rPr>
          <w:rFonts w:ascii="Verdana" w:eastAsia="Verdana" w:hAnsi="Verdana" w:cs="Verdana"/>
          <w:sz w:val="20"/>
          <w:szCs w:val="20"/>
          <w:lang w:val="es-CR"/>
        </w:rPr>
        <w:t xml:space="preserve">Debido a que se trata de diferentes supuestos de medidas de protección las solicitadas respecto de la situación de destitución del señor </w:t>
      </w:r>
      <w:r w:rsidR="00D06168">
        <w:rPr>
          <w:rFonts w:ascii="Verdana" w:eastAsia="Verdana" w:hAnsi="Verdana" w:cs="Verdana"/>
          <w:sz w:val="20"/>
          <w:szCs w:val="20"/>
          <w:lang w:val="es-CR"/>
        </w:rPr>
        <w:t>Sandoval</w:t>
      </w:r>
      <w:r>
        <w:rPr>
          <w:rFonts w:ascii="Verdana" w:eastAsia="Verdana" w:hAnsi="Verdana" w:cs="Verdana"/>
          <w:sz w:val="20"/>
          <w:szCs w:val="20"/>
          <w:lang w:val="es-CR"/>
        </w:rPr>
        <w:t xml:space="preserve"> Alfaro como fiscal de Sección de la FEC</w:t>
      </w:r>
      <w:r w:rsidR="00162931">
        <w:rPr>
          <w:rFonts w:ascii="Verdana" w:eastAsia="Verdana" w:hAnsi="Verdana" w:cs="Verdana"/>
          <w:sz w:val="20"/>
          <w:szCs w:val="20"/>
          <w:lang w:val="es-CR"/>
        </w:rPr>
        <w:t xml:space="preserve">I y las solicitadas respecto </w:t>
      </w:r>
      <w:r w:rsidR="00447B7C">
        <w:rPr>
          <w:rFonts w:ascii="Verdana" w:eastAsia="Verdana" w:hAnsi="Verdana" w:cs="Verdana"/>
          <w:sz w:val="20"/>
          <w:szCs w:val="20"/>
          <w:lang w:val="es-CR"/>
        </w:rPr>
        <w:t>d</w:t>
      </w:r>
      <w:r w:rsidR="00027733" w:rsidRPr="00B660E9">
        <w:rPr>
          <w:rFonts w:ascii="Verdana" w:eastAsia="Verdana" w:hAnsi="Verdana" w:cs="Verdana"/>
          <w:sz w:val="20"/>
          <w:szCs w:val="20"/>
          <w:lang w:val="es-CR"/>
        </w:rPr>
        <w:t>el Fisc</w:t>
      </w:r>
      <w:r w:rsidR="00B67B7E" w:rsidRPr="00B660E9">
        <w:rPr>
          <w:rFonts w:ascii="Verdana" w:eastAsia="Verdana" w:hAnsi="Verdana" w:cs="Verdana"/>
          <w:sz w:val="20"/>
          <w:szCs w:val="20"/>
          <w:lang w:val="es-CR"/>
        </w:rPr>
        <w:t>al “B” y el Auxiliar Fiscal “C”,</w:t>
      </w:r>
      <w:r>
        <w:rPr>
          <w:rFonts w:ascii="Verdana" w:eastAsia="Verdana" w:hAnsi="Verdana" w:cs="Verdana"/>
          <w:sz w:val="20"/>
          <w:szCs w:val="20"/>
          <w:lang w:val="es-CR"/>
        </w:rPr>
        <w:t xml:space="preserve"> a </w:t>
      </w:r>
      <w:r w:rsidR="00D06168">
        <w:rPr>
          <w:rFonts w:ascii="Verdana" w:eastAsia="Verdana" w:hAnsi="Verdana" w:cs="Verdana"/>
          <w:sz w:val="20"/>
          <w:szCs w:val="20"/>
          <w:lang w:val="es-CR"/>
        </w:rPr>
        <w:t>continuación,</w:t>
      </w:r>
      <w:r>
        <w:rPr>
          <w:rFonts w:ascii="Verdana" w:eastAsia="Verdana" w:hAnsi="Verdana" w:cs="Verdana"/>
          <w:sz w:val="20"/>
          <w:szCs w:val="20"/>
          <w:lang w:val="es-CR"/>
        </w:rPr>
        <w:t xml:space="preserve"> la Corte se pronunciará de forma separada sobre cada una</w:t>
      </w:r>
      <w:r w:rsidR="00B67B7E" w:rsidRPr="00B660E9">
        <w:rPr>
          <w:rFonts w:ascii="Verdana" w:eastAsia="Verdana" w:hAnsi="Verdana" w:cs="Verdana"/>
          <w:sz w:val="20"/>
          <w:szCs w:val="20"/>
          <w:lang w:val="es-CR"/>
        </w:rPr>
        <w:t xml:space="preserve"> </w:t>
      </w:r>
      <w:r>
        <w:rPr>
          <w:rFonts w:ascii="Verdana" w:eastAsia="Verdana" w:hAnsi="Verdana" w:cs="Verdana"/>
          <w:sz w:val="20"/>
          <w:szCs w:val="20"/>
          <w:lang w:val="es-CR"/>
        </w:rPr>
        <w:t xml:space="preserve">de </w:t>
      </w:r>
      <w:r w:rsidR="00D06168">
        <w:rPr>
          <w:rFonts w:ascii="Verdana" w:eastAsia="Verdana" w:hAnsi="Verdana" w:cs="Verdana"/>
          <w:sz w:val="20"/>
          <w:szCs w:val="20"/>
          <w:lang w:val="es-CR"/>
        </w:rPr>
        <w:t>estas</w:t>
      </w:r>
      <w:r>
        <w:rPr>
          <w:rFonts w:ascii="Verdana" w:eastAsia="Verdana" w:hAnsi="Verdana" w:cs="Verdana"/>
          <w:sz w:val="20"/>
          <w:szCs w:val="20"/>
          <w:lang w:val="es-CR"/>
        </w:rPr>
        <w:t>.</w:t>
      </w:r>
    </w:p>
    <w:p w14:paraId="6994AD97" w14:textId="77777777" w:rsidR="00655869" w:rsidRPr="00B660E9" w:rsidRDefault="003315FC" w:rsidP="00655869">
      <w:pPr>
        <w:pStyle w:val="Prrafodelista"/>
        <w:numPr>
          <w:ilvl w:val="2"/>
          <w:numId w:val="16"/>
        </w:numPr>
        <w:spacing w:before="120" w:after="120"/>
        <w:ind w:left="1134"/>
        <w:jc w:val="both"/>
        <w:rPr>
          <w:rFonts w:ascii="Verdana" w:hAnsi="Verdana"/>
          <w:sz w:val="20"/>
          <w:szCs w:val="20"/>
        </w:rPr>
      </w:pPr>
      <w:r w:rsidRPr="00B660E9">
        <w:rPr>
          <w:rFonts w:ascii="Verdana" w:eastAsiaTheme="minorHAnsi" w:hAnsi="Verdana" w:cs="Verdana"/>
          <w:i/>
          <w:sz w:val="20"/>
          <w:szCs w:val="20"/>
          <w:lang w:val="es-CR"/>
        </w:rPr>
        <w:t xml:space="preserve">Sobre </w:t>
      </w:r>
      <w:r w:rsidRPr="00B660E9">
        <w:rPr>
          <w:rFonts w:ascii="Verdana" w:eastAsia="Verdana" w:hAnsi="Verdana" w:cs="Verdana"/>
          <w:i/>
          <w:sz w:val="20"/>
          <w:szCs w:val="20"/>
          <w:lang w:val="es-CR"/>
        </w:rPr>
        <w:t xml:space="preserve">las medidas solicitadas a favor del </w:t>
      </w:r>
      <w:r w:rsidR="00655869" w:rsidRPr="00B660E9">
        <w:rPr>
          <w:rFonts w:ascii="Verdana" w:eastAsia="Verdana" w:hAnsi="Verdana" w:cs="Verdana"/>
          <w:i/>
          <w:sz w:val="20"/>
          <w:szCs w:val="20"/>
          <w:lang w:val="es-CR"/>
        </w:rPr>
        <w:t>ex Fiscal Juan Francisco Sandoval Alfaro</w:t>
      </w:r>
    </w:p>
    <w:p w14:paraId="07D456C5" w14:textId="73630358" w:rsidR="0028644B" w:rsidRPr="00B660E9" w:rsidRDefault="004A3878" w:rsidP="00D47AB7">
      <w:pPr>
        <w:numPr>
          <w:ilvl w:val="0"/>
          <w:numId w:val="2"/>
        </w:numPr>
        <w:spacing w:before="120" w:after="120"/>
        <w:ind w:left="0" w:firstLine="0"/>
        <w:jc w:val="both"/>
        <w:rPr>
          <w:rFonts w:ascii="Verdana" w:hAnsi="Verdana"/>
          <w:sz w:val="20"/>
          <w:szCs w:val="20"/>
        </w:rPr>
      </w:pPr>
      <w:r w:rsidRPr="00B660E9">
        <w:rPr>
          <w:rFonts w:ascii="Verdana" w:hAnsi="Verdana"/>
          <w:sz w:val="20"/>
          <w:szCs w:val="20"/>
        </w:rPr>
        <w:lastRenderedPageBreak/>
        <w:t>En</w:t>
      </w:r>
      <w:r w:rsidR="003A3CD3" w:rsidRPr="00B660E9">
        <w:rPr>
          <w:rFonts w:ascii="Verdana" w:hAnsi="Verdana"/>
          <w:sz w:val="20"/>
          <w:szCs w:val="20"/>
        </w:rPr>
        <w:t xml:space="preserve"> est</w:t>
      </w:r>
      <w:r w:rsidR="003E642D" w:rsidRPr="00B660E9">
        <w:rPr>
          <w:rFonts w:ascii="Verdana" w:hAnsi="Verdana"/>
          <w:sz w:val="20"/>
          <w:szCs w:val="20"/>
        </w:rPr>
        <w:t>e aspecto de la</w:t>
      </w:r>
      <w:r w:rsidR="003A3CD3" w:rsidRPr="00B660E9">
        <w:rPr>
          <w:rFonts w:ascii="Verdana" w:hAnsi="Verdana"/>
          <w:sz w:val="20"/>
          <w:szCs w:val="20"/>
        </w:rPr>
        <w:t xml:space="preserve"> solicitud</w:t>
      </w:r>
      <w:r w:rsidR="006069E5" w:rsidRPr="00B660E9">
        <w:rPr>
          <w:rFonts w:ascii="Verdana" w:hAnsi="Verdana"/>
          <w:sz w:val="20"/>
          <w:szCs w:val="20"/>
        </w:rPr>
        <w:t xml:space="preserve"> de las medidas provisionales</w:t>
      </w:r>
      <w:r w:rsidR="003A3CD3" w:rsidRPr="00B660E9">
        <w:rPr>
          <w:rFonts w:ascii="Verdana" w:hAnsi="Verdana"/>
          <w:sz w:val="20"/>
          <w:szCs w:val="20"/>
        </w:rPr>
        <w:t>, las representantes buscan</w:t>
      </w:r>
      <w:r w:rsidRPr="00B660E9">
        <w:rPr>
          <w:rFonts w:ascii="Verdana" w:hAnsi="Verdana"/>
          <w:sz w:val="20"/>
          <w:szCs w:val="20"/>
        </w:rPr>
        <w:t xml:space="preserve"> proteger el derecho de </w:t>
      </w:r>
      <w:r w:rsidR="003E642D" w:rsidRPr="00B660E9">
        <w:rPr>
          <w:rFonts w:ascii="Verdana" w:eastAsiaTheme="minorHAnsi" w:hAnsi="Verdana" w:cs="ArialMT"/>
          <w:sz w:val="20"/>
          <w:szCs w:val="20"/>
          <w:lang w:val="es-CR"/>
        </w:rPr>
        <w:t xml:space="preserve">acceso a la justicia de las víctimas de los casos </w:t>
      </w:r>
      <w:r w:rsidR="003E642D" w:rsidRPr="00B660E9">
        <w:rPr>
          <w:rFonts w:ascii="Verdana" w:hAnsi="Verdana"/>
          <w:i/>
          <w:sz w:val="20"/>
          <w:szCs w:val="20"/>
        </w:rPr>
        <w:t>Valenzuela Ávila</w:t>
      </w:r>
      <w:r w:rsidR="003E642D" w:rsidRPr="00B660E9">
        <w:rPr>
          <w:rFonts w:ascii="Verdana" w:hAnsi="Verdana"/>
          <w:sz w:val="20"/>
          <w:szCs w:val="20"/>
        </w:rPr>
        <w:t xml:space="preserve">, y </w:t>
      </w:r>
      <w:r w:rsidR="003E642D" w:rsidRPr="00B660E9">
        <w:rPr>
          <w:rFonts w:ascii="Verdana" w:hAnsi="Verdana"/>
          <w:i/>
          <w:sz w:val="20"/>
          <w:szCs w:val="20"/>
        </w:rPr>
        <w:t>Ruiz Fuentes y otra</w:t>
      </w:r>
      <w:r w:rsidR="003E642D" w:rsidRPr="00B660E9">
        <w:rPr>
          <w:rFonts w:ascii="Verdana" w:eastAsiaTheme="minorHAnsi" w:hAnsi="Verdana" w:cs="ArialMT"/>
          <w:sz w:val="20"/>
          <w:szCs w:val="20"/>
          <w:lang w:val="es-CR"/>
        </w:rPr>
        <w:t>, y</w:t>
      </w:r>
      <w:r w:rsidR="003E642D" w:rsidRPr="00B660E9">
        <w:rPr>
          <w:rFonts w:ascii="Verdana" w:hAnsi="Verdana"/>
          <w:sz w:val="20"/>
          <w:szCs w:val="20"/>
        </w:rPr>
        <w:t xml:space="preserve"> los </w:t>
      </w:r>
      <w:r w:rsidR="003E642D" w:rsidRPr="00B660E9">
        <w:rPr>
          <w:rFonts w:ascii="Verdana" w:eastAsia="Verdana" w:hAnsi="Verdana" w:cs="Verdana"/>
          <w:sz w:val="20"/>
          <w:szCs w:val="20"/>
          <w:lang w:val="es-CR"/>
        </w:rPr>
        <w:t>derechos a la vida</w:t>
      </w:r>
      <w:r w:rsidR="003E642D" w:rsidRPr="00B660E9">
        <w:rPr>
          <w:rFonts w:ascii="Verdana" w:eastAsiaTheme="minorHAnsi" w:hAnsi="Verdana" w:cs="Verdana"/>
          <w:sz w:val="20"/>
          <w:szCs w:val="20"/>
          <w:lang w:val="es-CR"/>
        </w:rPr>
        <w:t>, integridad personal, vivir una vida libre de violencia, libertad y seguridad personales, de estabilidad en el ejercicio del cargo y las garantías judiciales</w:t>
      </w:r>
      <w:r w:rsidR="003E642D" w:rsidRPr="00B660E9">
        <w:rPr>
          <w:rFonts w:ascii="Verdana" w:hAnsi="Verdana"/>
          <w:sz w:val="20"/>
          <w:szCs w:val="20"/>
        </w:rPr>
        <w:t xml:space="preserve"> </w:t>
      </w:r>
      <w:r w:rsidR="003E642D" w:rsidRPr="00B660E9">
        <w:rPr>
          <w:rFonts w:ascii="Verdana" w:eastAsia="Verdana" w:hAnsi="Verdana" w:cs="Verdana"/>
          <w:sz w:val="20"/>
          <w:szCs w:val="20"/>
          <w:lang w:val="es-CR"/>
        </w:rPr>
        <w:t xml:space="preserve">del ex Fiscal </w:t>
      </w:r>
      <w:r w:rsidR="003E642D" w:rsidRPr="00B660E9">
        <w:rPr>
          <w:rFonts w:ascii="Verdana" w:eastAsiaTheme="minorHAnsi" w:hAnsi="Verdana" w:cs="Verdana"/>
          <w:sz w:val="20"/>
          <w:szCs w:val="20"/>
          <w:lang w:val="es-CR"/>
        </w:rPr>
        <w:t>Juan Francisco Sandoval Alfaro</w:t>
      </w:r>
      <w:r w:rsidR="003A3CD3" w:rsidRPr="00B660E9">
        <w:rPr>
          <w:rFonts w:ascii="Verdana" w:hAnsi="Verdana"/>
          <w:sz w:val="20"/>
          <w:szCs w:val="20"/>
        </w:rPr>
        <w:t>. Alega</w:t>
      </w:r>
      <w:r w:rsidR="000340CF">
        <w:rPr>
          <w:rFonts w:ascii="Verdana" w:hAnsi="Verdana"/>
          <w:sz w:val="20"/>
          <w:szCs w:val="20"/>
        </w:rPr>
        <w:t>ro</w:t>
      </w:r>
      <w:r w:rsidR="003A3CD3" w:rsidRPr="00B660E9">
        <w:rPr>
          <w:rFonts w:ascii="Verdana" w:hAnsi="Verdana"/>
          <w:sz w:val="20"/>
          <w:szCs w:val="20"/>
        </w:rPr>
        <w:t xml:space="preserve">n que </w:t>
      </w:r>
      <w:r w:rsidR="006069E5" w:rsidRPr="00B660E9">
        <w:rPr>
          <w:rFonts w:ascii="Verdana" w:hAnsi="Verdana"/>
          <w:sz w:val="20"/>
          <w:szCs w:val="20"/>
        </w:rPr>
        <w:t>tal solicitud</w:t>
      </w:r>
      <w:r w:rsidR="003A3CD3" w:rsidRPr="00B660E9">
        <w:rPr>
          <w:rFonts w:ascii="Verdana" w:hAnsi="Verdana"/>
          <w:sz w:val="20"/>
          <w:szCs w:val="20"/>
        </w:rPr>
        <w:t xml:space="preserve"> se relaciona con el cumplimiento de la</w:t>
      </w:r>
      <w:r w:rsidR="006069E5" w:rsidRPr="00B660E9">
        <w:rPr>
          <w:rFonts w:ascii="Verdana" w:hAnsi="Verdana"/>
          <w:sz w:val="20"/>
          <w:szCs w:val="20"/>
        </w:rPr>
        <w:t>s</w:t>
      </w:r>
      <w:r w:rsidR="003A3CD3" w:rsidRPr="00B660E9">
        <w:rPr>
          <w:rFonts w:ascii="Verdana" w:hAnsi="Verdana"/>
          <w:sz w:val="20"/>
          <w:szCs w:val="20"/>
        </w:rPr>
        <w:t xml:space="preserve"> medida</w:t>
      </w:r>
      <w:r w:rsidR="006069E5" w:rsidRPr="00B660E9">
        <w:rPr>
          <w:rFonts w:ascii="Verdana" w:hAnsi="Verdana"/>
          <w:sz w:val="20"/>
          <w:szCs w:val="20"/>
        </w:rPr>
        <w:t>s</w:t>
      </w:r>
      <w:r w:rsidR="003A3CD3" w:rsidRPr="00B660E9">
        <w:rPr>
          <w:rFonts w:ascii="Verdana" w:hAnsi="Verdana"/>
          <w:sz w:val="20"/>
          <w:szCs w:val="20"/>
        </w:rPr>
        <w:t xml:space="preserve"> de reparación ordenada</w:t>
      </w:r>
      <w:r w:rsidR="006069E5" w:rsidRPr="00B660E9">
        <w:rPr>
          <w:rFonts w:ascii="Verdana" w:hAnsi="Verdana"/>
          <w:sz w:val="20"/>
          <w:szCs w:val="20"/>
        </w:rPr>
        <w:t>s</w:t>
      </w:r>
      <w:r w:rsidR="003A3CD3" w:rsidRPr="00B660E9">
        <w:rPr>
          <w:rFonts w:ascii="Verdana" w:hAnsi="Verdana"/>
          <w:sz w:val="20"/>
          <w:szCs w:val="20"/>
        </w:rPr>
        <w:t xml:space="preserve"> en</w:t>
      </w:r>
      <w:r w:rsidR="003E642D" w:rsidRPr="00B660E9">
        <w:rPr>
          <w:rFonts w:ascii="Verdana" w:hAnsi="Verdana"/>
          <w:sz w:val="20"/>
          <w:szCs w:val="20"/>
        </w:rPr>
        <w:t xml:space="preserve"> </w:t>
      </w:r>
      <w:r w:rsidR="002575ED" w:rsidRPr="00B660E9">
        <w:rPr>
          <w:rFonts w:ascii="Verdana" w:hAnsi="Verdana"/>
          <w:sz w:val="20"/>
          <w:szCs w:val="20"/>
        </w:rPr>
        <w:t>los</w:t>
      </w:r>
      <w:r w:rsidR="003E642D" w:rsidRPr="00B660E9">
        <w:rPr>
          <w:rFonts w:ascii="Verdana" w:hAnsi="Verdana"/>
          <w:sz w:val="20"/>
          <w:szCs w:val="20"/>
        </w:rPr>
        <w:t xml:space="preserve"> </w:t>
      </w:r>
      <w:r w:rsidR="002575ED" w:rsidRPr="00B660E9">
        <w:rPr>
          <w:rFonts w:ascii="Verdana" w:hAnsi="Verdana"/>
          <w:sz w:val="20"/>
          <w:szCs w:val="20"/>
        </w:rPr>
        <w:t xml:space="preserve">respectivos </w:t>
      </w:r>
      <w:r w:rsidR="003E642D" w:rsidRPr="00B660E9">
        <w:rPr>
          <w:rFonts w:ascii="Verdana" w:hAnsi="Verdana"/>
          <w:sz w:val="20"/>
          <w:szCs w:val="20"/>
        </w:rPr>
        <w:t>punto</w:t>
      </w:r>
      <w:r w:rsidR="002575ED" w:rsidRPr="00B660E9">
        <w:rPr>
          <w:rFonts w:ascii="Verdana" w:hAnsi="Verdana"/>
          <w:sz w:val="20"/>
          <w:szCs w:val="20"/>
        </w:rPr>
        <w:t>s</w:t>
      </w:r>
      <w:r w:rsidR="003E642D" w:rsidRPr="00B660E9">
        <w:rPr>
          <w:rFonts w:ascii="Verdana" w:hAnsi="Verdana"/>
          <w:sz w:val="20"/>
          <w:szCs w:val="20"/>
        </w:rPr>
        <w:t xml:space="preserve"> resolutivo</w:t>
      </w:r>
      <w:r w:rsidR="002575ED" w:rsidRPr="00B660E9">
        <w:rPr>
          <w:rFonts w:ascii="Verdana" w:hAnsi="Verdana"/>
          <w:sz w:val="20"/>
          <w:szCs w:val="20"/>
        </w:rPr>
        <w:t>s</w:t>
      </w:r>
      <w:r w:rsidR="003E642D" w:rsidRPr="00B660E9">
        <w:rPr>
          <w:rFonts w:ascii="Verdana" w:hAnsi="Verdana"/>
          <w:sz w:val="20"/>
          <w:szCs w:val="20"/>
        </w:rPr>
        <w:t xml:space="preserve"> 10</w:t>
      </w:r>
      <w:r w:rsidR="002575ED" w:rsidRPr="00B660E9">
        <w:rPr>
          <w:rFonts w:ascii="Verdana" w:hAnsi="Verdana"/>
          <w:sz w:val="20"/>
          <w:szCs w:val="20"/>
        </w:rPr>
        <w:t xml:space="preserve"> y 11</w:t>
      </w:r>
      <w:r w:rsidR="003E642D" w:rsidRPr="00B660E9">
        <w:rPr>
          <w:rFonts w:ascii="Verdana" w:hAnsi="Verdana"/>
          <w:sz w:val="20"/>
          <w:szCs w:val="20"/>
        </w:rPr>
        <w:t xml:space="preserve"> de la</w:t>
      </w:r>
      <w:r w:rsidR="002575ED" w:rsidRPr="00B660E9">
        <w:rPr>
          <w:rFonts w:ascii="Verdana" w:hAnsi="Verdana"/>
          <w:sz w:val="20"/>
          <w:szCs w:val="20"/>
        </w:rPr>
        <w:t>s</w:t>
      </w:r>
      <w:r w:rsidR="003E642D" w:rsidRPr="00B660E9">
        <w:rPr>
          <w:rFonts w:ascii="Verdana" w:hAnsi="Verdana"/>
          <w:sz w:val="20"/>
          <w:szCs w:val="20"/>
        </w:rPr>
        <w:t xml:space="preserve"> Sentencia</w:t>
      </w:r>
      <w:r w:rsidR="002575ED" w:rsidRPr="00B660E9">
        <w:rPr>
          <w:rFonts w:ascii="Verdana" w:hAnsi="Verdana"/>
          <w:sz w:val="20"/>
          <w:szCs w:val="20"/>
        </w:rPr>
        <w:t>s</w:t>
      </w:r>
      <w:r w:rsidR="003E642D" w:rsidRPr="00B660E9">
        <w:rPr>
          <w:rFonts w:ascii="Verdana" w:hAnsi="Verdana"/>
          <w:sz w:val="20"/>
          <w:szCs w:val="20"/>
        </w:rPr>
        <w:t xml:space="preserve"> de</w:t>
      </w:r>
      <w:r w:rsidR="002575ED" w:rsidRPr="00B660E9">
        <w:rPr>
          <w:rFonts w:ascii="Verdana" w:hAnsi="Verdana"/>
          <w:sz w:val="20"/>
          <w:szCs w:val="20"/>
        </w:rPr>
        <w:t xml:space="preserve"> los</w:t>
      </w:r>
      <w:r w:rsidR="003E642D" w:rsidRPr="00B660E9">
        <w:rPr>
          <w:rFonts w:ascii="Verdana" w:hAnsi="Verdana"/>
          <w:sz w:val="20"/>
          <w:szCs w:val="20"/>
        </w:rPr>
        <w:t xml:space="preserve"> caso</w:t>
      </w:r>
      <w:r w:rsidR="002575ED" w:rsidRPr="00B660E9">
        <w:rPr>
          <w:rFonts w:ascii="Verdana" w:hAnsi="Verdana"/>
          <w:sz w:val="20"/>
          <w:szCs w:val="20"/>
        </w:rPr>
        <w:t>s</w:t>
      </w:r>
      <w:r w:rsidR="003E642D" w:rsidRPr="00B660E9">
        <w:rPr>
          <w:rFonts w:ascii="Verdana" w:hAnsi="Verdana"/>
          <w:sz w:val="20"/>
          <w:szCs w:val="20"/>
        </w:rPr>
        <w:t xml:space="preserve"> </w:t>
      </w:r>
      <w:r w:rsidR="003E642D" w:rsidRPr="00B660E9">
        <w:rPr>
          <w:rFonts w:ascii="Verdana" w:hAnsi="Verdana"/>
          <w:i/>
          <w:sz w:val="20"/>
          <w:szCs w:val="20"/>
        </w:rPr>
        <w:t>Ruiz Fuentes y otra,</w:t>
      </w:r>
      <w:r w:rsidR="003E642D" w:rsidRPr="00B660E9">
        <w:rPr>
          <w:rFonts w:ascii="Verdana" w:hAnsi="Verdana"/>
          <w:sz w:val="20"/>
          <w:szCs w:val="20"/>
        </w:rPr>
        <w:t xml:space="preserve"> y </w:t>
      </w:r>
      <w:r w:rsidR="003E642D" w:rsidRPr="00B660E9">
        <w:rPr>
          <w:rFonts w:ascii="Verdana" w:hAnsi="Verdana"/>
          <w:i/>
          <w:sz w:val="20"/>
          <w:szCs w:val="20"/>
        </w:rPr>
        <w:t>Valenzuela Ávila</w:t>
      </w:r>
      <w:r w:rsidR="003E642D" w:rsidRPr="00B660E9">
        <w:rPr>
          <w:rFonts w:ascii="Verdana" w:hAnsi="Verdana"/>
          <w:sz w:val="20"/>
          <w:szCs w:val="20"/>
        </w:rPr>
        <w:t xml:space="preserve">, </w:t>
      </w:r>
      <w:r w:rsidR="003A3CD3" w:rsidRPr="00B660E9">
        <w:rPr>
          <w:rFonts w:ascii="Verdana" w:hAnsi="Verdana"/>
          <w:sz w:val="20"/>
          <w:szCs w:val="20"/>
        </w:rPr>
        <w:t>en tanto</w:t>
      </w:r>
      <w:r w:rsidR="006069E5" w:rsidRPr="00B660E9">
        <w:rPr>
          <w:rFonts w:ascii="Verdana" w:hAnsi="Verdana"/>
          <w:sz w:val="20"/>
          <w:szCs w:val="20"/>
        </w:rPr>
        <w:t xml:space="preserve"> que</w:t>
      </w:r>
      <w:r w:rsidRPr="00B660E9">
        <w:rPr>
          <w:rFonts w:ascii="Verdana" w:eastAsia="Calibri" w:hAnsi="Verdana" w:cs="Verdana"/>
          <w:color w:val="000000"/>
          <w:sz w:val="20"/>
          <w:szCs w:val="20"/>
          <w:lang w:val="es-CR"/>
        </w:rPr>
        <w:t xml:space="preserve"> “actos de intimidación se han materializado, con la destitución arbitraria, ilegal e ilegítima</w:t>
      </w:r>
      <w:r w:rsidR="006069E5" w:rsidRPr="00B660E9">
        <w:rPr>
          <w:rFonts w:ascii="Verdana" w:eastAsia="Calibri" w:hAnsi="Verdana" w:cs="Verdana"/>
          <w:color w:val="000000"/>
          <w:sz w:val="20"/>
          <w:szCs w:val="20"/>
          <w:lang w:val="es-CR"/>
        </w:rPr>
        <w:t>” del ex Fiscal Sandoval Alfaro</w:t>
      </w:r>
      <w:r w:rsidRPr="00B660E9">
        <w:rPr>
          <w:rFonts w:ascii="Verdana" w:eastAsia="Calibri" w:hAnsi="Verdana" w:cs="Verdana"/>
          <w:color w:val="000000"/>
          <w:sz w:val="20"/>
          <w:szCs w:val="20"/>
          <w:lang w:val="es-CR"/>
        </w:rPr>
        <w:t xml:space="preserve"> mediante </w:t>
      </w:r>
      <w:r w:rsidR="00D47AB7" w:rsidRPr="00B660E9">
        <w:rPr>
          <w:rFonts w:ascii="Verdana" w:eastAsia="Calibri" w:hAnsi="Verdana" w:cs="Verdana"/>
          <w:color w:val="000000"/>
          <w:sz w:val="20"/>
          <w:szCs w:val="20"/>
          <w:lang w:val="es-CR"/>
        </w:rPr>
        <w:t xml:space="preserve">el </w:t>
      </w:r>
      <w:r w:rsidRPr="00B660E9">
        <w:rPr>
          <w:rFonts w:ascii="Verdana" w:eastAsia="Calibri" w:hAnsi="Verdana" w:cs="Verdana"/>
          <w:color w:val="000000"/>
          <w:sz w:val="20"/>
          <w:szCs w:val="20"/>
          <w:lang w:val="es-CR"/>
        </w:rPr>
        <w:t>acuerdo de 23 de julio de 2021</w:t>
      </w:r>
      <w:r w:rsidR="006069E5" w:rsidRPr="00B660E9">
        <w:rPr>
          <w:rFonts w:ascii="Verdana" w:eastAsia="Calibri" w:hAnsi="Verdana" w:cs="Verdana"/>
          <w:color w:val="000000"/>
          <w:sz w:val="20"/>
          <w:szCs w:val="20"/>
          <w:lang w:val="es-CR"/>
        </w:rPr>
        <w:t xml:space="preserve"> de la Fiscal General de la República y Jef</w:t>
      </w:r>
      <w:r w:rsidR="002A2468">
        <w:rPr>
          <w:rFonts w:ascii="Verdana" w:eastAsia="Calibri" w:hAnsi="Verdana" w:cs="Verdana"/>
          <w:color w:val="000000"/>
          <w:sz w:val="20"/>
          <w:szCs w:val="20"/>
          <w:lang w:val="es-CR"/>
        </w:rPr>
        <w:t>a</w:t>
      </w:r>
      <w:r w:rsidR="006069E5" w:rsidRPr="00B660E9">
        <w:rPr>
          <w:rFonts w:ascii="Verdana" w:eastAsia="Calibri" w:hAnsi="Verdana" w:cs="Verdana"/>
          <w:color w:val="000000"/>
          <w:sz w:val="20"/>
          <w:szCs w:val="20"/>
          <w:lang w:val="es-CR"/>
        </w:rPr>
        <w:t xml:space="preserve"> del Ministerio Público</w:t>
      </w:r>
      <w:r w:rsidR="002575ED" w:rsidRPr="00B660E9">
        <w:rPr>
          <w:rFonts w:ascii="Verdana" w:eastAsia="Calibri" w:hAnsi="Verdana" w:cs="Verdana"/>
          <w:color w:val="000000"/>
          <w:sz w:val="20"/>
          <w:szCs w:val="20"/>
          <w:lang w:val="es-CR"/>
        </w:rPr>
        <w:t xml:space="preserve">, razón por la cual el señor Sandoval </w:t>
      </w:r>
      <w:r w:rsidR="002575ED" w:rsidRPr="00B660E9">
        <w:rPr>
          <w:rFonts w:ascii="Verdana" w:hAnsi="Verdana"/>
          <w:sz w:val="20"/>
          <w:szCs w:val="20"/>
        </w:rPr>
        <w:t>se encontraría en el exilio a partir de esa fecha</w:t>
      </w:r>
      <w:r w:rsidR="00954D50" w:rsidRPr="00B660E9">
        <w:rPr>
          <w:rFonts w:ascii="Verdana" w:eastAsia="Calibri" w:hAnsi="Verdana" w:cs="Verdana"/>
          <w:color w:val="000000"/>
          <w:sz w:val="20"/>
          <w:szCs w:val="20"/>
          <w:lang w:val="es-CR"/>
        </w:rPr>
        <w:t xml:space="preserve"> </w:t>
      </w:r>
      <w:r w:rsidR="00954D50" w:rsidRPr="00B660E9">
        <w:rPr>
          <w:rFonts w:ascii="Verdana" w:hAnsi="Verdana"/>
          <w:sz w:val="20"/>
          <w:szCs w:val="20"/>
        </w:rPr>
        <w:t>(</w:t>
      </w:r>
      <w:r w:rsidR="00954D50" w:rsidRPr="00B660E9">
        <w:rPr>
          <w:rFonts w:ascii="Verdana" w:hAnsi="Verdana"/>
          <w:i/>
          <w:sz w:val="20"/>
          <w:szCs w:val="20"/>
        </w:rPr>
        <w:t>supra</w:t>
      </w:r>
      <w:r w:rsidR="00954D50" w:rsidRPr="00B660E9">
        <w:rPr>
          <w:rFonts w:ascii="Verdana" w:hAnsi="Verdana"/>
          <w:sz w:val="20"/>
          <w:szCs w:val="20"/>
        </w:rPr>
        <w:t xml:space="preserve"> Considerando</w:t>
      </w:r>
      <w:r w:rsidR="006616E6">
        <w:rPr>
          <w:rFonts w:ascii="Verdana" w:hAnsi="Verdana"/>
          <w:sz w:val="20"/>
          <w:szCs w:val="20"/>
        </w:rPr>
        <w:t>s</w:t>
      </w:r>
      <w:r w:rsidR="00954D50" w:rsidRPr="00B660E9">
        <w:rPr>
          <w:rFonts w:ascii="Verdana" w:hAnsi="Verdana"/>
          <w:sz w:val="20"/>
          <w:szCs w:val="20"/>
        </w:rPr>
        <w:t xml:space="preserve"> </w:t>
      </w:r>
      <w:r w:rsidR="001E0851">
        <w:rPr>
          <w:rFonts w:ascii="Verdana" w:hAnsi="Verdana"/>
          <w:sz w:val="20"/>
          <w:szCs w:val="20"/>
        </w:rPr>
        <w:t>4</w:t>
      </w:r>
      <w:r w:rsidR="006616E6">
        <w:rPr>
          <w:rFonts w:ascii="Verdana" w:hAnsi="Verdana"/>
          <w:sz w:val="20"/>
          <w:szCs w:val="20"/>
        </w:rPr>
        <w:t xml:space="preserve"> y 9</w:t>
      </w:r>
      <w:r w:rsidR="00954D50" w:rsidRPr="001E0851">
        <w:rPr>
          <w:rFonts w:ascii="Verdana" w:hAnsi="Verdana"/>
          <w:sz w:val="20"/>
          <w:szCs w:val="20"/>
        </w:rPr>
        <w:t>)</w:t>
      </w:r>
      <w:r w:rsidR="00954D50" w:rsidRPr="001E0851">
        <w:rPr>
          <w:rFonts w:ascii="Verdana" w:eastAsia="Calibri" w:hAnsi="Verdana" w:cs="Verdana"/>
          <w:color w:val="000000"/>
          <w:sz w:val="20"/>
          <w:szCs w:val="20"/>
          <w:lang w:val="es-CR"/>
        </w:rPr>
        <w:t>.</w:t>
      </w:r>
    </w:p>
    <w:p w14:paraId="78118008" w14:textId="6BA74C3F" w:rsidR="005B4F17" w:rsidRPr="00D00539" w:rsidRDefault="000F32B5" w:rsidP="005B4F17">
      <w:pPr>
        <w:numPr>
          <w:ilvl w:val="0"/>
          <w:numId w:val="2"/>
        </w:numPr>
        <w:spacing w:before="120" w:after="120"/>
        <w:ind w:left="0" w:firstLine="0"/>
        <w:jc w:val="both"/>
        <w:rPr>
          <w:rFonts w:ascii="Verdana" w:hAnsi="Verdana"/>
          <w:sz w:val="20"/>
          <w:szCs w:val="20"/>
        </w:rPr>
      </w:pPr>
      <w:r w:rsidRPr="00B660E9">
        <w:rPr>
          <w:rFonts w:ascii="Verdana" w:hAnsi="Verdana"/>
          <w:sz w:val="20"/>
          <w:szCs w:val="20"/>
          <w:lang w:val="es-CR"/>
        </w:rPr>
        <w:t xml:space="preserve">La Corte estima necesario recordar que en las </w:t>
      </w:r>
      <w:r w:rsidR="006616E6">
        <w:rPr>
          <w:rFonts w:ascii="Verdana" w:hAnsi="Verdana"/>
          <w:sz w:val="20"/>
          <w:szCs w:val="20"/>
          <w:lang w:val="es-CR"/>
        </w:rPr>
        <w:t>s</w:t>
      </w:r>
      <w:r w:rsidRPr="00B660E9">
        <w:rPr>
          <w:rFonts w:ascii="Verdana" w:hAnsi="Verdana"/>
          <w:sz w:val="20"/>
          <w:szCs w:val="20"/>
          <w:lang w:val="es-CR"/>
        </w:rPr>
        <w:t xml:space="preserve">entencias se pronunció, entre otros, sobre la violación al derecho a la vida por las </w:t>
      </w:r>
      <w:r w:rsidR="006616E6">
        <w:rPr>
          <w:rFonts w:ascii="Verdana" w:hAnsi="Verdana"/>
          <w:sz w:val="20"/>
          <w:szCs w:val="20"/>
          <w:lang w:val="es-CR"/>
        </w:rPr>
        <w:t>ejecuciones extrajudiciales</w:t>
      </w:r>
      <w:r w:rsidRPr="00B660E9">
        <w:rPr>
          <w:rFonts w:ascii="Verdana" w:hAnsi="Verdana"/>
          <w:sz w:val="20"/>
          <w:szCs w:val="20"/>
          <w:lang w:val="es-CR"/>
        </w:rPr>
        <w:t xml:space="preserve"> de los señores </w:t>
      </w:r>
      <w:r w:rsidRPr="00B660E9">
        <w:rPr>
          <w:rFonts w:ascii="Verdana" w:hAnsi="Verdana"/>
          <w:sz w:val="20"/>
          <w:szCs w:val="20"/>
        </w:rPr>
        <w:t xml:space="preserve">Valenzuela Ávila </w:t>
      </w:r>
      <w:r w:rsidR="00446944">
        <w:rPr>
          <w:rFonts w:ascii="Verdana" w:hAnsi="Verdana"/>
          <w:sz w:val="20"/>
          <w:szCs w:val="20"/>
        </w:rPr>
        <w:t xml:space="preserve">y </w:t>
      </w:r>
      <w:r w:rsidRPr="00B660E9">
        <w:rPr>
          <w:rFonts w:ascii="Verdana" w:hAnsi="Verdana"/>
          <w:sz w:val="20"/>
          <w:szCs w:val="20"/>
        </w:rPr>
        <w:t>Ruiz Fuentes</w:t>
      </w:r>
      <w:r w:rsidRPr="00B660E9">
        <w:rPr>
          <w:rFonts w:ascii="Verdana" w:hAnsi="Verdana"/>
          <w:sz w:val="20"/>
          <w:szCs w:val="20"/>
          <w:lang w:val="es-CR"/>
        </w:rPr>
        <w:t xml:space="preserve"> acontecidas en el </w:t>
      </w:r>
      <w:r w:rsidRPr="00B660E9">
        <w:rPr>
          <w:rFonts w:ascii="Verdana" w:eastAsia="Times" w:hAnsi="Verdana"/>
          <w:sz w:val="20"/>
          <w:szCs w:val="20"/>
          <w:lang w:val="es-CR"/>
        </w:rPr>
        <w:t>Operativo Plan Gavilán en 2005</w:t>
      </w:r>
      <w:r w:rsidR="009325BF" w:rsidRPr="00B660E9">
        <w:rPr>
          <w:rFonts w:ascii="Verdana" w:eastAsia="Times" w:hAnsi="Verdana"/>
          <w:sz w:val="20"/>
          <w:szCs w:val="20"/>
          <w:lang w:val="es-CR"/>
        </w:rPr>
        <w:t xml:space="preserve">, y </w:t>
      </w:r>
      <w:r w:rsidR="009325BF" w:rsidRPr="00B660E9">
        <w:rPr>
          <w:rFonts w:ascii="Verdana" w:hAnsi="Verdana"/>
          <w:sz w:val="20"/>
          <w:szCs w:val="20"/>
        </w:rPr>
        <w:t>ordenó sus respectivas</w:t>
      </w:r>
      <w:r w:rsidR="009325BF" w:rsidRPr="00B660E9">
        <w:rPr>
          <w:rFonts w:ascii="Verdana" w:hAnsi="Verdana"/>
          <w:sz w:val="20"/>
          <w:szCs w:val="20"/>
          <w:lang w:val="es-CR"/>
        </w:rPr>
        <w:t xml:space="preserve"> investigaciones, las cuales actualmente se encuentran en curso</w:t>
      </w:r>
      <w:r w:rsidR="005B4F17">
        <w:rPr>
          <w:rFonts w:ascii="Verdana" w:hAnsi="Verdana"/>
          <w:sz w:val="20"/>
          <w:szCs w:val="20"/>
          <w:lang w:val="es-CR"/>
        </w:rPr>
        <w:t xml:space="preserve"> </w:t>
      </w:r>
      <w:r w:rsidR="005B4F17" w:rsidRPr="00B660E9">
        <w:rPr>
          <w:rFonts w:ascii="Verdana" w:hAnsi="Verdana"/>
          <w:sz w:val="20"/>
          <w:szCs w:val="20"/>
        </w:rPr>
        <w:t>(</w:t>
      </w:r>
      <w:r w:rsidR="005B4F17" w:rsidRPr="00B660E9">
        <w:rPr>
          <w:rFonts w:ascii="Verdana" w:hAnsi="Verdana"/>
          <w:i/>
          <w:sz w:val="20"/>
          <w:szCs w:val="20"/>
        </w:rPr>
        <w:t>supra</w:t>
      </w:r>
      <w:r w:rsidR="005B4F17" w:rsidRPr="00B660E9">
        <w:rPr>
          <w:rFonts w:ascii="Verdana" w:hAnsi="Verdana"/>
          <w:sz w:val="20"/>
          <w:szCs w:val="20"/>
        </w:rPr>
        <w:t xml:space="preserve"> Considerando </w:t>
      </w:r>
      <w:r w:rsidR="001E0851">
        <w:rPr>
          <w:rFonts w:ascii="Verdana" w:hAnsi="Verdana"/>
          <w:sz w:val="20"/>
          <w:szCs w:val="20"/>
        </w:rPr>
        <w:t>26</w:t>
      </w:r>
      <w:r w:rsidR="005B4F17" w:rsidRPr="00B660E9">
        <w:rPr>
          <w:rFonts w:ascii="Verdana" w:hAnsi="Verdana"/>
          <w:sz w:val="20"/>
          <w:szCs w:val="20"/>
        </w:rPr>
        <w:t>)</w:t>
      </w:r>
      <w:r w:rsidR="009325BF" w:rsidRPr="00B660E9">
        <w:rPr>
          <w:rFonts w:ascii="Verdana" w:hAnsi="Verdana"/>
          <w:sz w:val="20"/>
          <w:szCs w:val="20"/>
          <w:lang w:val="es-CR"/>
        </w:rPr>
        <w:t>. En cambio, las medidas de protección solicitadas por las representantes se refieren a</w:t>
      </w:r>
      <w:r w:rsidR="00C43874">
        <w:rPr>
          <w:rFonts w:ascii="Verdana" w:hAnsi="Verdana"/>
          <w:sz w:val="20"/>
          <w:szCs w:val="20"/>
          <w:lang w:val="es-CR"/>
        </w:rPr>
        <w:t>l</w:t>
      </w:r>
      <w:r w:rsidR="009325BF" w:rsidRPr="00B660E9">
        <w:rPr>
          <w:rFonts w:ascii="Verdana" w:hAnsi="Verdana"/>
          <w:sz w:val="20"/>
          <w:szCs w:val="20"/>
          <w:lang w:val="es-CR"/>
        </w:rPr>
        <w:t xml:space="preserve"> hecho </w:t>
      </w:r>
      <w:r w:rsidR="00D47AB7" w:rsidRPr="00B660E9">
        <w:rPr>
          <w:rFonts w:ascii="Verdana" w:hAnsi="Verdana"/>
          <w:sz w:val="20"/>
          <w:szCs w:val="20"/>
          <w:lang w:val="es-CR"/>
        </w:rPr>
        <w:t>específico</w:t>
      </w:r>
      <w:r w:rsidR="009325BF" w:rsidRPr="00B660E9">
        <w:rPr>
          <w:rFonts w:ascii="Verdana" w:hAnsi="Verdana"/>
          <w:sz w:val="20"/>
          <w:szCs w:val="20"/>
          <w:lang w:val="es-CR"/>
        </w:rPr>
        <w:t xml:space="preserve"> </w:t>
      </w:r>
      <w:r w:rsidR="005B4F17">
        <w:rPr>
          <w:rFonts w:ascii="Verdana" w:hAnsi="Verdana"/>
          <w:sz w:val="20"/>
          <w:szCs w:val="20"/>
          <w:lang w:val="es-CR"/>
        </w:rPr>
        <w:t xml:space="preserve">de la destitución </w:t>
      </w:r>
      <w:r w:rsidR="00D00539" w:rsidRPr="00B660E9">
        <w:rPr>
          <w:rFonts w:ascii="Verdana" w:hAnsi="Verdana"/>
          <w:sz w:val="20"/>
          <w:szCs w:val="20"/>
          <w:lang w:val="es-CR"/>
        </w:rPr>
        <w:t xml:space="preserve">del </w:t>
      </w:r>
      <w:proofErr w:type="gramStart"/>
      <w:r w:rsidR="00D00539" w:rsidRPr="00B660E9">
        <w:rPr>
          <w:rFonts w:ascii="Verdana" w:eastAsia="Verdana" w:hAnsi="Verdana" w:cs="Verdana"/>
          <w:sz w:val="20"/>
          <w:szCs w:val="20"/>
          <w:lang w:val="es-CR"/>
        </w:rPr>
        <w:t xml:space="preserve">ex </w:t>
      </w:r>
      <w:r w:rsidR="00D00539" w:rsidRPr="00B660E9">
        <w:rPr>
          <w:rFonts w:ascii="Verdana" w:hAnsi="Verdana"/>
          <w:sz w:val="20"/>
          <w:szCs w:val="20"/>
        </w:rPr>
        <w:t>Fiscal</w:t>
      </w:r>
      <w:proofErr w:type="gramEnd"/>
      <w:r w:rsidR="00D00539" w:rsidRPr="00B660E9">
        <w:rPr>
          <w:rFonts w:ascii="Verdana" w:hAnsi="Verdana"/>
          <w:sz w:val="20"/>
          <w:szCs w:val="20"/>
        </w:rPr>
        <w:t xml:space="preserve"> </w:t>
      </w:r>
      <w:r w:rsidR="00D00539" w:rsidRPr="00B660E9">
        <w:rPr>
          <w:rFonts w:ascii="Verdana" w:eastAsiaTheme="minorHAnsi" w:hAnsi="Verdana" w:cs="Verdana"/>
          <w:sz w:val="20"/>
          <w:szCs w:val="20"/>
          <w:lang w:val="es-CR"/>
        </w:rPr>
        <w:t>Juan Francisco Sandoval Alfaro</w:t>
      </w:r>
      <w:r w:rsidR="00D00539">
        <w:rPr>
          <w:rFonts w:ascii="Verdana" w:hAnsi="Verdana"/>
          <w:sz w:val="20"/>
          <w:szCs w:val="20"/>
          <w:lang w:val="es-CR"/>
        </w:rPr>
        <w:t xml:space="preserve"> </w:t>
      </w:r>
      <w:r w:rsidR="005B4F17">
        <w:rPr>
          <w:rFonts w:ascii="Verdana" w:hAnsi="Verdana"/>
          <w:sz w:val="20"/>
          <w:szCs w:val="20"/>
          <w:lang w:val="es-CR"/>
        </w:rPr>
        <w:t>ocurrida</w:t>
      </w:r>
      <w:r w:rsidR="00C43874">
        <w:rPr>
          <w:rFonts w:ascii="Verdana" w:hAnsi="Verdana"/>
          <w:sz w:val="20"/>
          <w:szCs w:val="20"/>
          <w:lang w:val="es-CR"/>
        </w:rPr>
        <w:t xml:space="preserve"> el </w:t>
      </w:r>
      <w:r w:rsidR="00AB715D" w:rsidRPr="00B660E9">
        <w:rPr>
          <w:rFonts w:ascii="Verdana" w:eastAsia="Calibri" w:hAnsi="Verdana" w:cs="Verdana"/>
          <w:color w:val="000000"/>
          <w:sz w:val="20"/>
          <w:szCs w:val="20"/>
          <w:lang w:val="es-CR"/>
        </w:rPr>
        <w:t>23 de julio de 2021</w:t>
      </w:r>
      <w:r w:rsidR="00D00539">
        <w:rPr>
          <w:rFonts w:ascii="Verdana" w:eastAsia="Calibri" w:hAnsi="Verdana" w:cs="Verdana"/>
          <w:color w:val="000000"/>
          <w:sz w:val="20"/>
          <w:szCs w:val="20"/>
          <w:lang w:val="es-CR"/>
        </w:rPr>
        <w:t xml:space="preserve"> por acuerdo</w:t>
      </w:r>
      <w:r w:rsidR="00B743C8">
        <w:rPr>
          <w:rFonts w:ascii="Verdana" w:hAnsi="Verdana"/>
          <w:sz w:val="20"/>
          <w:szCs w:val="20"/>
          <w:lang w:val="es-CR"/>
        </w:rPr>
        <w:t xml:space="preserve"> </w:t>
      </w:r>
      <w:r w:rsidR="00D00539" w:rsidRPr="00440645">
        <w:rPr>
          <w:rFonts w:ascii="Verdana" w:eastAsia="Times" w:hAnsi="Verdana"/>
          <w:sz w:val="20"/>
          <w:szCs w:val="20"/>
          <w:lang w:val="es-CR"/>
        </w:rPr>
        <w:t>2157-2021</w:t>
      </w:r>
      <w:r w:rsidR="00D00539">
        <w:rPr>
          <w:rFonts w:ascii="Verdana" w:eastAsia="Times" w:hAnsi="Verdana"/>
          <w:sz w:val="20"/>
          <w:szCs w:val="20"/>
          <w:lang w:val="es-CR"/>
        </w:rPr>
        <w:t xml:space="preserve"> de</w:t>
      </w:r>
      <w:r w:rsidR="00D00539" w:rsidRPr="00440645">
        <w:rPr>
          <w:rFonts w:ascii="Verdana" w:eastAsia="Times" w:hAnsi="Verdana"/>
          <w:sz w:val="20"/>
          <w:szCs w:val="20"/>
          <w:lang w:val="es-CR"/>
        </w:rPr>
        <w:t xml:space="preserve"> la Fiscal General de la República y Jefa </w:t>
      </w:r>
      <w:r w:rsidR="00D00539" w:rsidRPr="006779E2">
        <w:rPr>
          <w:rFonts w:ascii="Verdana" w:eastAsia="Times" w:hAnsi="Verdana"/>
          <w:sz w:val="20"/>
          <w:szCs w:val="20"/>
          <w:lang w:val="es-CR"/>
        </w:rPr>
        <w:t>del Ministerio Público</w:t>
      </w:r>
      <w:r w:rsidR="00200088" w:rsidRPr="006779E2">
        <w:rPr>
          <w:rFonts w:ascii="Verdana" w:eastAsia="Times" w:hAnsi="Verdana"/>
          <w:sz w:val="20"/>
          <w:szCs w:val="20"/>
          <w:lang w:val="es-CR"/>
        </w:rPr>
        <w:t xml:space="preserve">. </w:t>
      </w:r>
      <w:r w:rsidR="00954244" w:rsidRPr="006779E2">
        <w:rPr>
          <w:rFonts w:ascii="Verdana" w:eastAsia="Times" w:hAnsi="Verdana"/>
          <w:sz w:val="20"/>
          <w:szCs w:val="20"/>
          <w:lang w:val="es-CR"/>
        </w:rPr>
        <w:t xml:space="preserve">Se </w:t>
      </w:r>
      <w:r w:rsidR="002575ED" w:rsidRPr="006779E2">
        <w:rPr>
          <w:rFonts w:ascii="Verdana" w:eastAsia="Times" w:hAnsi="Verdana"/>
          <w:sz w:val="20"/>
          <w:szCs w:val="20"/>
          <w:lang w:val="es-CR"/>
        </w:rPr>
        <w:t>alega</w:t>
      </w:r>
      <w:r w:rsidR="00954244" w:rsidRPr="006779E2">
        <w:rPr>
          <w:rFonts w:ascii="Verdana" w:eastAsia="Times" w:hAnsi="Verdana"/>
          <w:sz w:val="20"/>
          <w:szCs w:val="20"/>
          <w:lang w:val="es-CR"/>
        </w:rPr>
        <w:t xml:space="preserve"> que el señor </w:t>
      </w:r>
      <w:r w:rsidR="005B4F17" w:rsidRPr="006779E2">
        <w:rPr>
          <w:rFonts w:ascii="Verdana" w:eastAsia="Calibri" w:hAnsi="Verdana" w:cs="Verdana"/>
          <w:color w:val="000000"/>
          <w:sz w:val="20"/>
          <w:szCs w:val="20"/>
          <w:lang w:val="es-CR"/>
        </w:rPr>
        <w:t>Sandoval</w:t>
      </w:r>
      <w:r w:rsidR="00954244" w:rsidRPr="006779E2">
        <w:rPr>
          <w:rFonts w:ascii="Verdana" w:eastAsia="Calibri" w:hAnsi="Verdana" w:cs="Verdana"/>
          <w:color w:val="000000"/>
          <w:sz w:val="20"/>
          <w:szCs w:val="20"/>
          <w:lang w:val="es-CR"/>
        </w:rPr>
        <w:t xml:space="preserve"> </w:t>
      </w:r>
      <w:r w:rsidR="00954244" w:rsidRPr="006779E2">
        <w:rPr>
          <w:rFonts w:ascii="Verdana" w:eastAsiaTheme="minorHAnsi" w:hAnsi="Verdana" w:cs="Arial"/>
          <w:sz w:val="20"/>
          <w:szCs w:val="20"/>
          <w:lang w:val="es-CR"/>
        </w:rPr>
        <w:t>“</w:t>
      </w:r>
      <w:r w:rsidR="00954244" w:rsidRPr="006779E2">
        <w:rPr>
          <w:rFonts w:ascii="Verdana" w:eastAsiaTheme="minorHAnsi" w:hAnsi="Verdana" w:cs="ArialMT"/>
          <w:sz w:val="20"/>
          <w:szCs w:val="20"/>
          <w:lang w:val="es-CR"/>
        </w:rPr>
        <w:t>nunca fue sometido a un proceso</w:t>
      </w:r>
      <w:r w:rsidR="00954244" w:rsidRPr="006779E2">
        <w:rPr>
          <w:rFonts w:ascii="Verdana" w:eastAsiaTheme="minorHAnsi" w:hAnsi="Verdana" w:cs="Arial"/>
          <w:sz w:val="20"/>
          <w:szCs w:val="20"/>
          <w:lang w:val="es-CR"/>
        </w:rPr>
        <w:t xml:space="preserve"> </w:t>
      </w:r>
      <w:r w:rsidR="00954244" w:rsidRPr="006779E2">
        <w:rPr>
          <w:rFonts w:ascii="Verdana" w:eastAsiaTheme="minorHAnsi" w:hAnsi="Verdana" w:cs="ArialMT"/>
          <w:sz w:val="20"/>
          <w:szCs w:val="20"/>
          <w:lang w:val="es-CR"/>
        </w:rPr>
        <w:t>disciplinario que garantizase de manera objetiva e imparcial el debido proceso y su</w:t>
      </w:r>
      <w:r w:rsidR="00954244" w:rsidRPr="006779E2">
        <w:rPr>
          <w:rFonts w:ascii="Verdana" w:eastAsiaTheme="minorHAnsi" w:hAnsi="Verdana" w:cs="Arial"/>
          <w:sz w:val="20"/>
          <w:szCs w:val="20"/>
          <w:lang w:val="es-CR"/>
        </w:rPr>
        <w:t xml:space="preserve"> </w:t>
      </w:r>
      <w:r w:rsidR="00954244" w:rsidRPr="006779E2">
        <w:rPr>
          <w:rFonts w:ascii="Verdana" w:eastAsiaTheme="minorHAnsi" w:hAnsi="Verdana" w:cs="ArialMT"/>
          <w:sz w:val="20"/>
          <w:szCs w:val="20"/>
          <w:lang w:val="es-CR"/>
        </w:rPr>
        <w:t>derecho de defensa”</w:t>
      </w:r>
      <w:r w:rsidR="006779E2" w:rsidRPr="006779E2">
        <w:rPr>
          <w:rStyle w:val="Refdenotaalpie"/>
          <w:rFonts w:eastAsiaTheme="minorHAnsi" w:cs="ArialMT"/>
          <w:sz w:val="20"/>
          <w:szCs w:val="20"/>
          <w:lang w:val="es-CR"/>
        </w:rPr>
        <w:footnoteReference w:id="24"/>
      </w:r>
      <w:r w:rsidR="00954D50" w:rsidRPr="006779E2">
        <w:rPr>
          <w:rFonts w:ascii="Verdana" w:eastAsiaTheme="minorHAnsi" w:hAnsi="Verdana" w:cs="ArialMT"/>
          <w:sz w:val="20"/>
          <w:szCs w:val="20"/>
          <w:lang w:val="es-CR"/>
        </w:rPr>
        <w:t>,</w:t>
      </w:r>
      <w:r w:rsidR="00F010EB" w:rsidRPr="006779E2">
        <w:rPr>
          <w:rFonts w:ascii="Verdana" w:hAnsi="Verdana"/>
          <w:sz w:val="20"/>
          <w:szCs w:val="20"/>
        </w:rPr>
        <w:t xml:space="preserve"> </w:t>
      </w:r>
      <w:r w:rsidR="002575ED" w:rsidRPr="006779E2">
        <w:rPr>
          <w:rFonts w:ascii="Verdana" w:hAnsi="Verdana"/>
          <w:sz w:val="20"/>
          <w:szCs w:val="20"/>
        </w:rPr>
        <w:t>conforme lo dispuesto en los artículos 60 al 65 de la Ley Orgánica del Ministerio Público, y que</w:t>
      </w:r>
      <w:r w:rsidR="002575ED" w:rsidRPr="006779E2">
        <w:rPr>
          <w:rFonts w:ascii="Verdana" w:eastAsia="Times" w:hAnsi="Verdana"/>
          <w:sz w:val="20"/>
          <w:szCs w:val="20"/>
          <w:lang w:val="es-CR"/>
        </w:rPr>
        <w:t xml:space="preserve"> lo procedente era que la </w:t>
      </w:r>
      <w:proofErr w:type="gramStart"/>
      <w:r w:rsidR="002575ED" w:rsidRPr="006779E2">
        <w:rPr>
          <w:rFonts w:ascii="Verdana" w:eastAsia="Times" w:hAnsi="Verdana"/>
          <w:sz w:val="20"/>
          <w:szCs w:val="20"/>
          <w:lang w:val="es-CR"/>
        </w:rPr>
        <w:t>Fiscal General</w:t>
      </w:r>
      <w:proofErr w:type="gramEnd"/>
      <w:r w:rsidR="002575ED" w:rsidRPr="006779E2">
        <w:rPr>
          <w:rFonts w:ascii="Verdana" w:eastAsia="Times" w:hAnsi="Verdana"/>
          <w:sz w:val="20"/>
          <w:szCs w:val="20"/>
          <w:lang w:val="es-CR"/>
        </w:rPr>
        <w:t xml:space="preserve"> primero resolviera en cumplimiento a lo dispuesto en el artículo 68 de tal Ley</w:t>
      </w:r>
      <w:r w:rsidR="00F010EB" w:rsidRPr="006779E2">
        <w:rPr>
          <w:rFonts w:ascii="Verdana" w:eastAsia="Times" w:hAnsi="Verdana"/>
          <w:sz w:val="20"/>
          <w:szCs w:val="20"/>
          <w:lang w:val="es-CR"/>
        </w:rPr>
        <w:t>.</w:t>
      </w:r>
      <w:r w:rsidR="00F010EB" w:rsidRPr="006779E2">
        <w:rPr>
          <w:rFonts w:ascii="Verdana" w:hAnsi="Verdana"/>
          <w:sz w:val="20"/>
          <w:szCs w:val="20"/>
        </w:rPr>
        <w:t xml:space="preserve"> </w:t>
      </w:r>
      <w:r w:rsidR="00F010EB" w:rsidRPr="006779E2">
        <w:rPr>
          <w:rFonts w:ascii="Verdana" w:eastAsiaTheme="minorHAnsi" w:hAnsi="Verdana" w:cs="ArialMT"/>
          <w:sz w:val="20"/>
          <w:szCs w:val="20"/>
          <w:lang w:val="es-CR"/>
        </w:rPr>
        <w:t>P</w:t>
      </w:r>
      <w:r w:rsidR="00954D50" w:rsidRPr="006779E2">
        <w:rPr>
          <w:rFonts w:ascii="Verdana" w:eastAsiaTheme="minorHAnsi" w:hAnsi="Verdana" w:cs="ArialMT"/>
          <w:sz w:val="20"/>
          <w:szCs w:val="20"/>
          <w:lang w:val="es-CR"/>
        </w:rPr>
        <w:t>or tanto,</w:t>
      </w:r>
      <w:r w:rsidR="00F010EB" w:rsidRPr="006779E2">
        <w:rPr>
          <w:rFonts w:ascii="Verdana" w:eastAsiaTheme="minorHAnsi" w:hAnsi="Verdana" w:cs="ArialMT"/>
          <w:sz w:val="20"/>
          <w:szCs w:val="20"/>
          <w:lang w:val="es-CR"/>
        </w:rPr>
        <w:t xml:space="preserve"> se indica que</w:t>
      </w:r>
      <w:r w:rsidR="00200088" w:rsidRPr="006779E2">
        <w:rPr>
          <w:rFonts w:ascii="Verdana" w:eastAsia="Times" w:hAnsi="Verdana"/>
          <w:sz w:val="20"/>
          <w:szCs w:val="20"/>
          <w:lang w:val="es-CR"/>
        </w:rPr>
        <w:t xml:space="preserve"> </w:t>
      </w:r>
      <w:r w:rsidR="00236E9A" w:rsidRPr="006779E2">
        <w:rPr>
          <w:rFonts w:ascii="Verdana" w:eastAsia="Times" w:hAnsi="Verdana"/>
          <w:sz w:val="20"/>
          <w:szCs w:val="20"/>
          <w:lang w:val="es-CR"/>
        </w:rPr>
        <w:t>el acuerdo de destitución</w:t>
      </w:r>
      <w:r w:rsidR="000340CF" w:rsidRPr="006779E2">
        <w:rPr>
          <w:rFonts w:ascii="Verdana" w:eastAsia="Times" w:hAnsi="Verdana"/>
          <w:sz w:val="20"/>
          <w:szCs w:val="20"/>
          <w:lang w:val="es-CR"/>
        </w:rPr>
        <w:t xml:space="preserve"> sería</w:t>
      </w:r>
      <w:r w:rsidR="00236E9A" w:rsidRPr="006779E2">
        <w:rPr>
          <w:rFonts w:ascii="Verdana" w:eastAsia="Times" w:hAnsi="Verdana"/>
          <w:sz w:val="20"/>
          <w:szCs w:val="20"/>
          <w:lang w:val="es-CR"/>
        </w:rPr>
        <w:t xml:space="preserve"> “un acto ilegal, ilegitimo</w:t>
      </w:r>
      <w:r w:rsidR="00236E9A" w:rsidRPr="00B660E9">
        <w:rPr>
          <w:rFonts w:ascii="Verdana" w:eastAsia="Times" w:hAnsi="Verdana"/>
          <w:sz w:val="20"/>
          <w:szCs w:val="20"/>
          <w:lang w:val="es-CR"/>
        </w:rPr>
        <w:t xml:space="preserve"> y arbitrario”</w:t>
      </w:r>
      <w:r w:rsidR="00200088" w:rsidRPr="00B660E9">
        <w:rPr>
          <w:rFonts w:ascii="Verdana" w:eastAsiaTheme="minorHAnsi" w:hAnsi="Verdana" w:cs="ArialMT"/>
          <w:sz w:val="20"/>
          <w:szCs w:val="20"/>
          <w:lang w:val="es-CR"/>
        </w:rPr>
        <w:t>,</w:t>
      </w:r>
      <w:r w:rsidR="000340CF" w:rsidRPr="00B660E9">
        <w:rPr>
          <w:rFonts w:ascii="Verdana" w:eastAsiaTheme="minorHAnsi" w:hAnsi="Verdana" w:cs="ArialMT"/>
          <w:sz w:val="20"/>
          <w:szCs w:val="20"/>
          <w:lang w:val="es-CR"/>
        </w:rPr>
        <w:t xml:space="preserve"> </w:t>
      </w:r>
      <w:r w:rsidR="00200088" w:rsidRPr="00B660E9">
        <w:rPr>
          <w:rFonts w:ascii="Verdana" w:eastAsiaTheme="minorHAnsi" w:hAnsi="Verdana" w:cs="ArialMT"/>
          <w:sz w:val="20"/>
          <w:szCs w:val="20"/>
          <w:lang w:val="es-CR"/>
        </w:rPr>
        <w:t>contrario a</w:t>
      </w:r>
      <w:r w:rsidR="00446944">
        <w:rPr>
          <w:rFonts w:ascii="Verdana" w:eastAsiaTheme="minorHAnsi" w:hAnsi="Verdana" w:cs="ArialMT"/>
          <w:sz w:val="20"/>
          <w:szCs w:val="20"/>
          <w:lang w:val="es-CR"/>
        </w:rPr>
        <w:t xml:space="preserve"> la</w:t>
      </w:r>
      <w:r w:rsidR="00954244" w:rsidRPr="00B660E9">
        <w:rPr>
          <w:rFonts w:ascii="Verdana" w:eastAsiaTheme="minorHAnsi" w:hAnsi="Verdana" w:cs="ArialMT"/>
          <w:sz w:val="20"/>
          <w:szCs w:val="20"/>
          <w:lang w:val="es-CR"/>
        </w:rPr>
        <w:t xml:space="preserve"> </w:t>
      </w:r>
      <w:r w:rsidR="00954244" w:rsidRPr="00B660E9">
        <w:rPr>
          <w:rFonts w:ascii="Verdana" w:eastAsiaTheme="minorHAnsi" w:hAnsi="Verdana" w:cs="Arial"/>
          <w:sz w:val="20"/>
          <w:szCs w:val="20"/>
          <w:lang w:val="es-CR"/>
        </w:rPr>
        <w:t>“estabil</w:t>
      </w:r>
      <w:r w:rsidR="009775D4">
        <w:rPr>
          <w:rFonts w:ascii="Verdana" w:eastAsiaTheme="minorHAnsi" w:hAnsi="Verdana" w:cs="Arial"/>
          <w:sz w:val="20"/>
          <w:szCs w:val="20"/>
          <w:lang w:val="es-CR"/>
        </w:rPr>
        <w:t>idad e inamovilidad en el cargo”</w:t>
      </w:r>
      <w:r w:rsidR="00446944">
        <w:rPr>
          <w:rFonts w:ascii="Verdana" w:eastAsiaTheme="minorHAnsi" w:hAnsi="Verdana" w:cs="Arial"/>
          <w:sz w:val="20"/>
          <w:szCs w:val="20"/>
          <w:lang w:val="es-CR"/>
        </w:rPr>
        <w:t xml:space="preserve"> y</w:t>
      </w:r>
      <w:r w:rsidR="00446944" w:rsidRPr="00B660E9">
        <w:rPr>
          <w:rFonts w:ascii="Verdana" w:eastAsiaTheme="minorHAnsi" w:hAnsi="Verdana" w:cs="ArialMT"/>
          <w:sz w:val="20"/>
          <w:szCs w:val="20"/>
          <w:lang w:val="es-CR"/>
        </w:rPr>
        <w:t xml:space="preserve"> “carece</w:t>
      </w:r>
      <w:r w:rsidR="00446944">
        <w:rPr>
          <w:rFonts w:ascii="Verdana" w:eastAsiaTheme="minorHAnsi" w:hAnsi="Verdana" w:cs="ArialMT"/>
          <w:sz w:val="20"/>
          <w:szCs w:val="20"/>
          <w:lang w:val="es-CR"/>
        </w:rPr>
        <w:t>[ría]</w:t>
      </w:r>
      <w:r w:rsidR="00446944" w:rsidRPr="00B660E9">
        <w:rPr>
          <w:rFonts w:ascii="Verdana" w:eastAsiaTheme="minorHAnsi" w:hAnsi="Verdana" w:cs="ArialMT"/>
          <w:sz w:val="20"/>
          <w:szCs w:val="20"/>
          <w:lang w:val="es-CR"/>
        </w:rPr>
        <w:t xml:space="preserve"> de fundamento jurídico”</w:t>
      </w:r>
      <w:r w:rsidR="00954244" w:rsidRPr="00B660E9">
        <w:rPr>
          <w:rFonts w:ascii="Verdana" w:eastAsiaTheme="minorHAnsi" w:hAnsi="Verdana" w:cs="Arial"/>
          <w:sz w:val="20"/>
          <w:szCs w:val="20"/>
          <w:lang w:val="es-CR"/>
        </w:rPr>
        <w:t>.</w:t>
      </w:r>
      <w:r w:rsidR="00F050C8" w:rsidRPr="00B660E9">
        <w:rPr>
          <w:rFonts w:ascii="Verdana" w:eastAsiaTheme="minorHAnsi" w:hAnsi="Verdana" w:cs="Arial"/>
          <w:sz w:val="20"/>
          <w:szCs w:val="20"/>
          <w:lang w:val="es-CR"/>
        </w:rPr>
        <w:t xml:space="preserve"> </w:t>
      </w:r>
      <w:r w:rsidR="00446944">
        <w:rPr>
          <w:rFonts w:ascii="Verdana" w:hAnsi="Verdana"/>
          <w:sz w:val="20"/>
          <w:szCs w:val="20"/>
        </w:rPr>
        <w:t>L</w:t>
      </w:r>
      <w:r w:rsidR="00440645">
        <w:rPr>
          <w:rFonts w:ascii="Verdana" w:hAnsi="Verdana"/>
          <w:sz w:val="20"/>
          <w:szCs w:val="20"/>
        </w:rPr>
        <w:t>as representantes considera</w:t>
      </w:r>
      <w:r w:rsidR="000340CF">
        <w:rPr>
          <w:rFonts w:ascii="Verdana" w:hAnsi="Verdana"/>
          <w:sz w:val="20"/>
          <w:szCs w:val="20"/>
        </w:rPr>
        <w:t>ro</w:t>
      </w:r>
      <w:r w:rsidR="00440645">
        <w:rPr>
          <w:rFonts w:ascii="Verdana" w:hAnsi="Verdana"/>
          <w:sz w:val="20"/>
          <w:szCs w:val="20"/>
        </w:rPr>
        <w:t xml:space="preserve">n que </w:t>
      </w:r>
      <w:r w:rsidR="00D00539">
        <w:rPr>
          <w:rFonts w:ascii="Verdana" w:hAnsi="Verdana"/>
          <w:sz w:val="20"/>
          <w:szCs w:val="20"/>
        </w:rPr>
        <w:t>tal</w:t>
      </w:r>
      <w:r w:rsidR="00440645">
        <w:rPr>
          <w:rFonts w:ascii="Verdana" w:hAnsi="Verdana"/>
          <w:sz w:val="20"/>
          <w:szCs w:val="20"/>
        </w:rPr>
        <w:t xml:space="preserve"> </w:t>
      </w:r>
      <w:r w:rsidR="00440645" w:rsidRPr="00440645">
        <w:rPr>
          <w:rFonts w:ascii="Verdana" w:eastAsia="Times" w:hAnsi="Verdana"/>
          <w:sz w:val="20"/>
          <w:szCs w:val="20"/>
          <w:lang w:val="es-CR"/>
        </w:rPr>
        <w:t xml:space="preserve">acuerdo </w:t>
      </w:r>
      <w:r w:rsidR="00440645">
        <w:rPr>
          <w:rFonts w:ascii="Verdana" w:eastAsia="Calibri" w:hAnsi="Verdana" w:cs="Verdana"/>
          <w:color w:val="000000"/>
          <w:sz w:val="20"/>
          <w:szCs w:val="20"/>
          <w:lang w:val="es-CR"/>
        </w:rPr>
        <w:t xml:space="preserve">es </w:t>
      </w:r>
      <w:r w:rsidR="00440645" w:rsidRPr="00440645">
        <w:rPr>
          <w:rFonts w:ascii="Verdana" w:hAnsi="Verdana"/>
          <w:sz w:val="20"/>
          <w:szCs w:val="20"/>
        </w:rPr>
        <w:t>el motivo “formal”</w:t>
      </w:r>
      <w:r w:rsidR="00D00539">
        <w:rPr>
          <w:rFonts w:ascii="Verdana" w:hAnsi="Verdana"/>
          <w:sz w:val="20"/>
          <w:szCs w:val="20"/>
        </w:rPr>
        <w:t xml:space="preserve"> que ordenó</w:t>
      </w:r>
      <w:r w:rsidR="00440645" w:rsidRPr="00440645">
        <w:rPr>
          <w:rFonts w:ascii="Verdana" w:hAnsi="Verdana"/>
          <w:sz w:val="20"/>
          <w:szCs w:val="20"/>
        </w:rPr>
        <w:t xml:space="preserve"> la destitución</w:t>
      </w:r>
      <w:r w:rsidR="00D00539">
        <w:rPr>
          <w:rFonts w:ascii="Verdana" w:hAnsi="Verdana"/>
          <w:sz w:val="20"/>
          <w:szCs w:val="20"/>
        </w:rPr>
        <w:t xml:space="preserve"> </w:t>
      </w:r>
      <w:r w:rsidR="00D00539" w:rsidRPr="00D00539">
        <w:rPr>
          <w:rFonts w:ascii="Verdana" w:eastAsia="Times" w:hAnsi="Verdana"/>
          <w:sz w:val="20"/>
          <w:szCs w:val="20"/>
          <w:lang w:val="es-CR"/>
        </w:rPr>
        <w:t>d</w:t>
      </w:r>
      <w:r w:rsidR="00D00539" w:rsidRPr="00D00539">
        <w:rPr>
          <w:rFonts w:ascii="Verdana" w:hAnsi="Verdana"/>
          <w:sz w:val="20"/>
          <w:szCs w:val="20"/>
          <w:lang w:val="es-ES"/>
        </w:rPr>
        <w:t xml:space="preserve">el ex </w:t>
      </w:r>
      <w:r w:rsidR="00D00539" w:rsidRPr="00D00539">
        <w:rPr>
          <w:rFonts w:ascii="Verdana" w:eastAsia="Calibri" w:hAnsi="Verdana" w:cs="Verdana"/>
          <w:color w:val="000000"/>
          <w:sz w:val="20"/>
          <w:szCs w:val="20"/>
          <w:lang w:val="es-CR"/>
        </w:rPr>
        <w:t>Fiscal</w:t>
      </w:r>
      <w:r w:rsidR="00D00539" w:rsidRPr="00D00539">
        <w:rPr>
          <w:rFonts w:ascii="Verdana" w:hAnsi="Verdana"/>
          <w:sz w:val="20"/>
          <w:szCs w:val="20"/>
        </w:rPr>
        <w:t xml:space="preserve"> </w:t>
      </w:r>
      <w:r w:rsidR="00D00539" w:rsidRPr="00D00539">
        <w:rPr>
          <w:rFonts w:ascii="Verdana" w:eastAsia="Calibri" w:hAnsi="Verdana" w:cs="Verdana"/>
          <w:color w:val="000000"/>
          <w:sz w:val="20"/>
          <w:szCs w:val="20"/>
          <w:lang w:val="es-CR"/>
        </w:rPr>
        <w:t>Sandoval</w:t>
      </w:r>
      <w:r w:rsidR="00440645" w:rsidRPr="00D00539">
        <w:rPr>
          <w:rFonts w:ascii="Verdana" w:hAnsi="Verdana"/>
          <w:sz w:val="20"/>
          <w:szCs w:val="20"/>
        </w:rPr>
        <w:t>, pero la misma obedece</w:t>
      </w:r>
      <w:r w:rsidR="000340CF">
        <w:rPr>
          <w:rFonts w:ascii="Verdana" w:hAnsi="Verdana"/>
          <w:sz w:val="20"/>
          <w:szCs w:val="20"/>
        </w:rPr>
        <w:t>ría</w:t>
      </w:r>
      <w:r w:rsidR="00440645" w:rsidRPr="00D00539">
        <w:rPr>
          <w:rFonts w:ascii="Verdana" w:hAnsi="Verdana"/>
          <w:sz w:val="20"/>
          <w:szCs w:val="20"/>
        </w:rPr>
        <w:t xml:space="preserve"> a motivos relacionados con el avance de las investigaciones</w:t>
      </w:r>
      <w:r w:rsidR="006779E2">
        <w:rPr>
          <w:rFonts w:ascii="Verdana" w:hAnsi="Verdana"/>
          <w:sz w:val="20"/>
          <w:szCs w:val="20"/>
        </w:rPr>
        <w:t xml:space="preserve"> de la</w:t>
      </w:r>
      <w:r w:rsidR="00D00539">
        <w:rPr>
          <w:rFonts w:ascii="Verdana" w:hAnsi="Verdana"/>
          <w:sz w:val="20"/>
          <w:szCs w:val="20"/>
        </w:rPr>
        <w:t>s</w:t>
      </w:r>
      <w:r w:rsidR="006779E2">
        <w:rPr>
          <w:rFonts w:ascii="Verdana" w:hAnsi="Verdana"/>
          <w:sz w:val="20"/>
          <w:szCs w:val="20"/>
        </w:rPr>
        <w:t xml:space="preserve"> ejecuciones de los señores</w:t>
      </w:r>
      <w:r w:rsidR="00D00539">
        <w:rPr>
          <w:rFonts w:ascii="Verdana" w:hAnsi="Verdana"/>
          <w:sz w:val="20"/>
          <w:szCs w:val="20"/>
        </w:rPr>
        <w:t xml:space="preserve"> Ruiz Fuentes y Valenzuela Ávila </w:t>
      </w:r>
      <w:r w:rsidR="00D00539" w:rsidRPr="00D00539">
        <w:rPr>
          <w:rFonts w:ascii="Verdana" w:hAnsi="Verdana"/>
          <w:sz w:val="20"/>
          <w:szCs w:val="20"/>
        </w:rPr>
        <w:t>(</w:t>
      </w:r>
      <w:r w:rsidR="00D00539" w:rsidRPr="00D00539">
        <w:rPr>
          <w:rFonts w:ascii="Verdana" w:hAnsi="Verdana"/>
          <w:i/>
          <w:sz w:val="20"/>
          <w:szCs w:val="20"/>
        </w:rPr>
        <w:t>supra</w:t>
      </w:r>
      <w:r w:rsidR="00D00539" w:rsidRPr="00D00539">
        <w:rPr>
          <w:rFonts w:ascii="Verdana" w:hAnsi="Verdana"/>
          <w:sz w:val="20"/>
          <w:szCs w:val="20"/>
        </w:rPr>
        <w:t xml:space="preserve"> Considerando</w:t>
      </w:r>
      <w:r w:rsidR="00CF61B7">
        <w:rPr>
          <w:rFonts w:ascii="Verdana" w:hAnsi="Verdana"/>
          <w:sz w:val="20"/>
          <w:szCs w:val="20"/>
        </w:rPr>
        <w:t>s</w:t>
      </w:r>
      <w:r w:rsidR="001E0851">
        <w:rPr>
          <w:rFonts w:ascii="Verdana" w:hAnsi="Verdana"/>
          <w:sz w:val="20"/>
          <w:szCs w:val="20"/>
        </w:rPr>
        <w:t xml:space="preserve"> 7</w:t>
      </w:r>
      <w:r w:rsidR="00446944">
        <w:rPr>
          <w:rFonts w:ascii="Verdana" w:hAnsi="Verdana"/>
          <w:sz w:val="20"/>
          <w:szCs w:val="20"/>
        </w:rPr>
        <w:t>.</w:t>
      </w:r>
      <w:r w:rsidR="005D370D">
        <w:rPr>
          <w:rFonts w:ascii="Verdana" w:hAnsi="Verdana"/>
          <w:sz w:val="20"/>
          <w:szCs w:val="20"/>
        </w:rPr>
        <w:t>c</w:t>
      </w:r>
      <w:r w:rsidR="00446944">
        <w:rPr>
          <w:rFonts w:ascii="Verdana" w:hAnsi="Verdana"/>
          <w:sz w:val="20"/>
          <w:szCs w:val="20"/>
        </w:rPr>
        <w:t xml:space="preserve">, </w:t>
      </w:r>
      <w:r w:rsidR="005D370D">
        <w:rPr>
          <w:rFonts w:ascii="Verdana" w:hAnsi="Verdana"/>
          <w:sz w:val="20"/>
          <w:szCs w:val="20"/>
        </w:rPr>
        <w:t>d y</w:t>
      </w:r>
      <w:r w:rsidR="00446944">
        <w:rPr>
          <w:rFonts w:ascii="Verdana" w:hAnsi="Verdana"/>
          <w:sz w:val="20"/>
          <w:szCs w:val="20"/>
        </w:rPr>
        <w:t xml:space="preserve"> </w:t>
      </w:r>
      <w:r w:rsidR="005D370D">
        <w:rPr>
          <w:rFonts w:ascii="Verdana" w:hAnsi="Verdana"/>
          <w:sz w:val="20"/>
          <w:szCs w:val="20"/>
        </w:rPr>
        <w:t>e</w:t>
      </w:r>
      <w:r w:rsidR="00446944">
        <w:rPr>
          <w:rFonts w:ascii="Verdana" w:hAnsi="Verdana"/>
          <w:sz w:val="20"/>
          <w:szCs w:val="20"/>
        </w:rPr>
        <w:t>,</w:t>
      </w:r>
      <w:r w:rsidR="006779E2">
        <w:rPr>
          <w:rFonts w:ascii="Verdana" w:hAnsi="Verdana"/>
          <w:sz w:val="20"/>
          <w:szCs w:val="20"/>
        </w:rPr>
        <w:t xml:space="preserve"> </w:t>
      </w:r>
      <w:r w:rsidR="00446944">
        <w:rPr>
          <w:rFonts w:ascii="Verdana" w:hAnsi="Verdana"/>
          <w:sz w:val="20"/>
          <w:szCs w:val="20"/>
        </w:rPr>
        <w:t>8.</w:t>
      </w:r>
      <w:r w:rsidR="005D370D">
        <w:rPr>
          <w:rFonts w:ascii="Verdana" w:hAnsi="Verdana"/>
          <w:sz w:val="20"/>
          <w:szCs w:val="20"/>
        </w:rPr>
        <w:t>a,</w:t>
      </w:r>
      <w:r w:rsidR="006779E2">
        <w:rPr>
          <w:rFonts w:ascii="Verdana" w:hAnsi="Verdana"/>
          <w:sz w:val="20"/>
          <w:szCs w:val="20"/>
        </w:rPr>
        <w:t xml:space="preserve"> y</w:t>
      </w:r>
      <w:r w:rsidR="001439A8">
        <w:rPr>
          <w:rFonts w:ascii="Verdana" w:hAnsi="Verdana"/>
          <w:sz w:val="20"/>
          <w:szCs w:val="20"/>
        </w:rPr>
        <w:t xml:space="preserve"> </w:t>
      </w:r>
      <w:r w:rsidR="009775D4">
        <w:rPr>
          <w:rFonts w:ascii="Verdana" w:hAnsi="Verdana"/>
          <w:sz w:val="20"/>
          <w:szCs w:val="20"/>
        </w:rPr>
        <w:t>12</w:t>
      </w:r>
      <w:r w:rsidR="00D00539" w:rsidRPr="00D00539">
        <w:rPr>
          <w:rFonts w:ascii="Verdana" w:hAnsi="Verdana"/>
          <w:sz w:val="20"/>
          <w:szCs w:val="20"/>
        </w:rPr>
        <w:t>)</w:t>
      </w:r>
      <w:r w:rsidR="00D00539">
        <w:rPr>
          <w:rFonts w:ascii="Verdana" w:hAnsi="Verdana"/>
          <w:sz w:val="20"/>
          <w:szCs w:val="20"/>
        </w:rPr>
        <w:t xml:space="preserve">. </w:t>
      </w:r>
      <w:r w:rsidR="00440645" w:rsidRPr="00D00539">
        <w:rPr>
          <w:rFonts w:ascii="Verdana" w:eastAsiaTheme="minorHAnsi" w:hAnsi="Verdana" w:cs="Arial"/>
          <w:sz w:val="20"/>
          <w:szCs w:val="20"/>
          <w:lang w:val="es-CR"/>
        </w:rPr>
        <w:t xml:space="preserve">En este sentido, la solicitud </w:t>
      </w:r>
      <w:r w:rsidR="00440645" w:rsidRPr="00D00539">
        <w:rPr>
          <w:rFonts w:ascii="Verdana" w:hAnsi="Verdana"/>
          <w:sz w:val="20"/>
          <w:szCs w:val="20"/>
          <w:lang w:val="es-CR"/>
        </w:rPr>
        <w:t xml:space="preserve">apunta a requerir que este Tribunal emita órdenes concretas al Estado en relación </w:t>
      </w:r>
      <w:r w:rsidR="00355A2D">
        <w:rPr>
          <w:rFonts w:ascii="Verdana" w:hAnsi="Verdana"/>
          <w:sz w:val="20"/>
          <w:szCs w:val="20"/>
          <w:lang w:val="es-CR"/>
        </w:rPr>
        <w:t xml:space="preserve">con </w:t>
      </w:r>
      <w:r w:rsidR="00440645" w:rsidRPr="00D00539">
        <w:rPr>
          <w:rFonts w:ascii="Verdana" w:hAnsi="Verdana"/>
          <w:sz w:val="20"/>
          <w:szCs w:val="20"/>
          <w:lang w:val="es-CR"/>
        </w:rPr>
        <w:t xml:space="preserve">la restitución en el cargo </w:t>
      </w:r>
      <w:r w:rsidR="00440645" w:rsidRPr="00D00539">
        <w:rPr>
          <w:rFonts w:ascii="Verdana" w:hAnsi="Verdana"/>
          <w:sz w:val="20"/>
          <w:szCs w:val="20"/>
        </w:rPr>
        <w:t xml:space="preserve">como Fiscal </w:t>
      </w:r>
      <w:proofErr w:type="gramStart"/>
      <w:r w:rsidR="00440645" w:rsidRPr="00D00539">
        <w:rPr>
          <w:rFonts w:ascii="Verdana" w:hAnsi="Verdana"/>
          <w:sz w:val="20"/>
          <w:szCs w:val="20"/>
        </w:rPr>
        <w:t>Jefe</w:t>
      </w:r>
      <w:proofErr w:type="gramEnd"/>
      <w:r w:rsidR="00440645" w:rsidRPr="00D00539">
        <w:rPr>
          <w:rFonts w:ascii="Verdana" w:hAnsi="Verdana"/>
          <w:sz w:val="20"/>
          <w:szCs w:val="20"/>
        </w:rPr>
        <w:t xml:space="preserve"> de Sección de la FECI, dejando sin efecto tal acuerdo (</w:t>
      </w:r>
      <w:r w:rsidR="00440645" w:rsidRPr="00D00539">
        <w:rPr>
          <w:rFonts w:ascii="Verdana" w:hAnsi="Verdana"/>
          <w:i/>
          <w:sz w:val="20"/>
          <w:szCs w:val="20"/>
        </w:rPr>
        <w:t>supra</w:t>
      </w:r>
      <w:r w:rsidR="00440645" w:rsidRPr="00D00539">
        <w:rPr>
          <w:rFonts w:ascii="Verdana" w:hAnsi="Verdana"/>
          <w:sz w:val="20"/>
          <w:szCs w:val="20"/>
        </w:rPr>
        <w:t xml:space="preserve"> Considerando</w:t>
      </w:r>
      <w:r w:rsidR="001E0851">
        <w:rPr>
          <w:rFonts w:ascii="Verdana" w:hAnsi="Verdana"/>
          <w:sz w:val="20"/>
          <w:szCs w:val="20"/>
        </w:rPr>
        <w:t>s 4</w:t>
      </w:r>
      <w:r w:rsidR="005D370D">
        <w:rPr>
          <w:rFonts w:ascii="Verdana" w:hAnsi="Verdana"/>
          <w:sz w:val="20"/>
          <w:szCs w:val="20"/>
        </w:rPr>
        <w:t>.</w:t>
      </w:r>
      <w:r w:rsidR="006779E2">
        <w:rPr>
          <w:rFonts w:ascii="Verdana" w:hAnsi="Verdana"/>
          <w:sz w:val="20"/>
          <w:szCs w:val="20"/>
        </w:rPr>
        <w:t xml:space="preserve">1 </w:t>
      </w:r>
      <w:r w:rsidR="001E0851">
        <w:rPr>
          <w:rFonts w:ascii="Verdana" w:hAnsi="Verdana"/>
          <w:sz w:val="20"/>
          <w:szCs w:val="20"/>
        </w:rPr>
        <w:t>y</w:t>
      </w:r>
      <w:r w:rsidR="00440645" w:rsidRPr="00D00539">
        <w:rPr>
          <w:rFonts w:ascii="Verdana" w:hAnsi="Verdana"/>
          <w:sz w:val="20"/>
          <w:szCs w:val="20"/>
        </w:rPr>
        <w:t xml:space="preserve"> </w:t>
      </w:r>
      <w:r w:rsidR="001E0851" w:rsidRPr="001C1651">
        <w:rPr>
          <w:rFonts w:ascii="Verdana" w:hAnsi="Verdana"/>
          <w:sz w:val="20"/>
          <w:szCs w:val="20"/>
        </w:rPr>
        <w:t>9</w:t>
      </w:r>
      <w:r w:rsidR="005D370D">
        <w:rPr>
          <w:rFonts w:ascii="Verdana" w:hAnsi="Verdana"/>
          <w:sz w:val="20"/>
          <w:szCs w:val="20"/>
        </w:rPr>
        <w:t>.</w:t>
      </w:r>
      <w:r w:rsidR="006779E2">
        <w:rPr>
          <w:rFonts w:ascii="Verdana" w:hAnsi="Verdana"/>
          <w:sz w:val="20"/>
          <w:szCs w:val="20"/>
        </w:rPr>
        <w:t>1</w:t>
      </w:r>
      <w:r w:rsidR="00440645" w:rsidRPr="00D00539">
        <w:rPr>
          <w:rFonts w:ascii="Verdana" w:hAnsi="Verdana"/>
          <w:sz w:val="20"/>
          <w:szCs w:val="20"/>
        </w:rPr>
        <w:t>).</w:t>
      </w:r>
    </w:p>
    <w:p w14:paraId="5269A326" w14:textId="14141B19" w:rsidR="0081511B" w:rsidRPr="00E12B17" w:rsidRDefault="00E244E7" w:rsidP="00491DF4">
      <w:pPr>
        <w:numPr>
          <w:ilvl w:val="0"/>
          <w:numId w:val="2"/>
        </w:numPr>
        <w:spacing w:before="120" w:after="120"/>
        <w:ind w:left="0" w:firstLine="0"/>
        <w:jc w:val="both"/>
        <w:rPr>
          <w:rFonts w:ascii="Verdana" w:hAnsi="Verdana"/>
          <w:sz w:val="20"/>
          <w:szCs w:val="20"/>
        </w:rPr>
      </w:pPr>
      <w:r w:rsidRPr="00B660E9">
        <w:rPr>
          <w:rFonts w:ascii="Verdana" w:hAnsi="Verdana"/>
          <w:sz w:val="20"/>
          <w:szCs w:val="20"/>
        </w:rPr>
        <w:t xml:space="preserve">Luego </w:t>
      </w:r>
      <w:r w:rsidRPr="005564DD">
        <w:rPr>
          <w:rFonts w:ascii="Verdana" w:hAnsi="Verdana"/>
          <w:sz w:val="20"/>
          <w:szCs w:val="20"/>
        </w:rPr>
        <w:t xml:space="preserve">de analizar los fundamentos que sustentan la solicitud </w:t>
      </w:r>
      <w:r w:rsidRPr="00E12B17">
        <w:rPr>
          <w:rFonts w:ascii="Verdana" w:hAnsi="Verdana"/>
          <w:sz w:val="20"/>
          <w:szCs w:val="20"/>
        </w:rPr>
        <w:t>interpuesta, la Corte advierte que</w:t>
      </w:r>
      <w:r w:rsidR="00547C60" w:rsidRPr="00E12B17">
        <w:rPr>
          <w:rFonts w:ascii="Verdana" w:hAnsi="Verdana"/>
          <w:sz w:val="20"/>
          <w:szCs w:val="20"/>
        </w:rPr>
        <w:t xml:space="preserve"> no corresponde adoptarlas, </w:t>
      </w:r>
      <w:r w:rsidRPr="00E12B17">
        <w:rPr>
          <w:rFonts w:ascii="Verdana" w:hAnsi="Verdana"/>
          <w:sz w:val="20"/>
          <w:szCs w:val="20"/>
        </w:rPr>
        <w:t>en tanto exceden la relación con el objeto de</w:t>
      </w:r>
      <w:r w:rsidR="00961501">
        <w:rPr>
          <w:rFonts w:ascii="Verdana" w:hAnsi="Verdana"/>
          <w:sz w:val="20"/>
          <w:szCs w:val="20"/>
        </w:rPr>
        <w:t xml:space="preserve"> </w:t>
      </w:r>
      <w:r w:rsidRPr="00E12B17">
        <w:rPr>
          <w:rFonts w:ascii="Verdana" w:hAnsi="Verdana"/>
          <w:sz w:val="20"/>
          <w:szCs w:val="20"/>
        </w:rPr>
        <w:t>l</w:t>
      </w:r>
      <w:r w:rsidR="00961501">
        <w:rPr>
          <w:rFonts w:ascii="Verdana" w:hAnsi="Verdana"/>
          <w:sz w:val="20"/>
          <w:szCs w:val="20"/>
        </w:rPr>
        <w:t>os</w:t>
      </w:r>
      <w:r w:rsidRPr="00E12B17">
        <w:rPr>
          <w:rFonts w:ascii="Verdana" w:hAnsi="Verdana"/>
          <w:sz w:val="20"/>
          <w:szCs w:val="20"/>
        </w:rPr>
        <w:t xml:space="preserve"> caso</w:t>
      </w:r>
      <w:r w:rsidR="00961501">
        <w:rPr>
          <w:rFonts w:ascii="Verdana" w:hAnsi="Verdana"/>
          <w:sz w:val="20"/>
          <w:szCs w:val="20"/>
        </w:rPr>
        <w:t>s</w:t>
      </w:r>
      <w:r w:rsidRPr="00E12B17">
        <w:rPr>
          <w:rFonts w:ascii="Verdana" w:hAnsi="Verdana"/>
          <w:sz w:val="20"/>
          <w:szCs w:val="20"/>
        </w:rPr>
        <w:t xml:space="preserve"> bajo supervisión</w:t>
      </w:r>
      <w:r w:rsidR="00547C60" w:rsidRPr="00E12B17">
        <w:rPr>
          <w:rFonts w:ascii="Verdana" w:hAnsi="Verdana"/>
          <w:sz w:val="20"/>
          <w:szCs w:val="20"/>
        </w:rPr>
        <w:t xml:space="preserve"> </w:t>
      </w:r>
      <w:r w:rsidR="00CD6EE4" w:rsidRPr="00E12B17">
        <w:rPr>
          <w:rFonts w:ascii="Verdana" w:hAnsi="Verdana"/>
          <w:sz w:val="20"/>
          <w:szCs w:val="20"/>
        </w:rPr>
        <w:t xml:space="preserve">en términos de lo dispuesto en el artículo 27.3 del Reglamento, </w:t>
      </w:r>
      <w:r w:rsidR="00547C60" w:rsidRPr="00E12B17">
        <w:rPr>
          <w:rFonts w:ascii="Verdana" w:hAnsi="Verdana"/>
          <w:sz w:val="20"/>
          <w:szCs w:val="20"/>
        </w:rPr>
        <w:t xml:space="preserve">ya que se refiere a un </w:t>
      </w:r>
      <w:r w:rsidRPr="00E12B17">
        <w:rPr>
          <w:rFonts w:ascii="Verdana" w:hAnsi="Verdana"/>
          <w:sz w:val="20"/>
          <w:szCs w:val="20"/>
        </w:rPr>
        <w:t>nuev</w:t>
      </w:r>
      <w:r w:rsidR="00547C60" w:rsidRPr="00E12B17">
        <w:rPr>
          <w:rFonts w:ascii="Verdana" w:hAnsi="Verdana"/>
          <w:sz w:val="20"/>
          <w:szCs w:val="20"/>
        </w:rPr>
        <w:t>o asunto</w:t>
      </w:r>
      <w:r w:rsidRPr="00E12B17">
        <w:rPr>
          <w:rFonts w:ascii="Verdana" w:hAnsi="Verdana"/>
          <w:sz w:val="20"/>
          <w:szCs w:val="20"/>
        </w:rPr>
        <w:t xml:space="preserve"> </w:t>
      </w:r>
      <w:r w:rsidR="00547C60" w:rsidRPr="00E12B17">
        <w:rPr>
          <w:rFonts w:ascii="Verdana" w:hAnsi="Verdana"/>
          <w:sz w:val="20"/>
          <w:szCs w:val="20"/>
        </w:rPr>
        <w:t xml:space="preserve">en que se alega la violación de diversos derechos en perjuicio del señor </w:t>
      </w:r>
      <w:r w:rsidR="00547C60" w:rsidRPr="00E12B17">
        <w:rPr>
          <w:rFonts w:ascii="Verdana" w:eastAsiaTheme="minorHAnsi" w:hAnsi="Verdana" w:cs="Verdana"/>
          <w:sz w:val="20"/>
          <w:szCs w:val="20"/>
          <w:lang w:val="es-CR"/>
        </w:rPr>
        <w:t>Sandoval Alfaro</w:t>
      </w:r>
      <w:r w:rsidR="001B5E4F">
        <w:rPr>
          <w:rFonts w:ascii="Verdana" w:eastAsiaTheme="minorHAnsi" w:hAnsi="Verdana" w:cs="Verdana"/>
          <w:sz w:val="20"/>
          <w:szCs w:val="20"/>
          <w:lang w:val="es-CR"/>
        </w:rPr>
        <w:t>,</w:t>
      </w:r>
      <w:r w:rsidR="00547C60" w:rsidRPr="00E12B17">
        <w:rPr>
          <w:rFonts w:ascii="Verdana" w:hAnsi="Verdana"/>
          <w:sz w:val="20"/>
          <w:szCs w:val="20"/>
        </w:rPr>
        <w:t xml:space="preserve"> derivado de</w:t>
      </w:r>
      <w:r w:rsidR="001B5E4F">
        <w:rPr>
          <w:rFonts w:ascii="Verdana" w:hAnsi="Verdana"/>
          <w:sz w:val="20"/>
          <w:szCs w:val="20"/>
        </w:rPr>
        <w:t>l hecho</w:t>
      </w:r>
      <w:r w:rsidR="008B5280" w:rsidRPr="00E12B17">
        <w:rPr>
          <w:rFonts w:ascii="Verdana" w:hAnsi="Verdana"/>
          <w:sz w:val="20"/>
          <w:szCs w:val="20"/>
        </w:rPr>
        <w:t xml:space="preserve"> </w:t>
      </w:r>
      <w:r w:rsidR="001B5E4F">
        <w:rPr>
          <w:rFonts w:ascii="Verdana" w:hAnsi="Verdana"/>
          <w:sz w:val="20"/>
          <w:szCs w:val="20"/>
        </w:rPr>
        <w:t xml:space="preserve">relativo a </w:t>
      </w:r>
      <w:r w:rsidR="001B5E4F">
        <w:rPr>
          <w:rFonts w:ascii="Verdana" w:eastAsia="Calibri" w:hAnsi="Verdana" w:cs="Verdana"/>
          <w:color w:val="000000"/>
          <w:sz w:val="20"/>
          <w:szCs w:val="20"/>
          <w:lang w:val="es-CR"/>
        </w:rPr>
        <w:t xml:space="preserve">su destitución el </w:t>
      </w:r>
      <w:r w:rsidR="00547C60" w:rsidRPr="00E12B17">
        <w:rPr>
          <w:rFonts w:ascii="Verdana" w:eastAsia="Calibri" w:hAnsi="Verdana" w:cs="Verdana"/>
          <w:color w:val="000000"/>
          <w:sz w:val="20"/>
          <w:szCs w:val="20"/>
          <w:lang w:val="es-CR"/>
        </w:rPr>
        <w:t>23 de julio de 2021</w:t>
      </w:r>
      <w:r w:rsidR="001B5E4F">
        <w:rPr>
          <w:rFonts w:ascii="Verdana" w:hAnsi="Verdana"/>
          <w:sz w:val="20"/>
          <w:szCs w:val="20"/>
        </w:rPr>
        <w:t xml:space="preserve">. </w:t>
      </w:r>
      <w:r w:rsidR="001B42E0">
        <w:rPr>
          <w:rFonts w:ascii="Verdana" w:hAnsi="Verdana"/>
          <w:sz w:val="20"/>
          <w:szCs w:val="20"/>
        </w:rPr>
        <w:t xml:space="preserve">Aun cuando las representantes alegan que hay un nexo entre la destitución y las labores de investigación de los referidos casos ante la Corte, </w:t>
      </w:r>
      <w:r w:rsidR="00E4138A">
        <w:rPr>
          <w:rFonts w:ascii="Verdana" w:hAnsi="Verdana"/>
          <w:sz w:val="20"/>
          <w:szCs w:val="20"/>
        </w:rPr>
        <w:t xml:space="preserve">en </w:t>
      </w:r>
      <w:r w:rsidR="001B42E0">
        <w:rPr>
          <w:rFonts w:ascii="Verdana" w:hAnsi="Verdana"/>
          <w:sz w:val="20"/>
          <w:szCs w:val="20"/>
        </w:rPr>
        <w:t xml:space="preserve">el acto formal de destitución no se hace referencia a sus labores de investigación de los delitos contra los señores </w:t>
      </w:r>
      <w:r w:rsidR="001B42E0" w:rsidRPr="00E12B17">
        <w:rPr>
          <w:rFonts w:ascii="Verdana" w:hAnsi="Verdana"/>
          <w:sz w:val="20"/>
          <w:szCs w:val="20"/>
        </w:rPr>
        <w:t>Valenzuela Ávila y Ruiz Fuentes</w:t>
      </w:r>
      <w:r w:rsidR="001B42E0">
        <w:rPr>
          <w:rFonts w:ascii="Verdana" w:hAnsi="Verdana"/>
          <w:sz w:val="20"/>
          <w:szCs w:val="20"/>
        </w:rPr>
        <w:t xml:space="preserve">, sino que se afirma que desobedeció una instrucción dada por la </w:t>
      </w:r>
      <w:proofErr w:type="gramStart"/>
      <w:r w:rsidR="001B42E0">
        <w:rPr>
          <w:rFonts w:ascii="Verdana" w:hAnsi="Verdana"/>
          <w:sz w:val="20"/>
          <w:szCs w:val="20"/>
        </w:rPr>
        <w:t>Fiscal General</w:t>
      </w:r>
      <w:proofErr w:type="gramEnd"/>
      <w:r w:rsidR="001B42E0">
        <w:rPr>
          <w:rFonts w:ascii="Verdana" w:hAnsi="Verdana"/>
          <w:sz w:val="20"/>
          <w:szCs w:val="20"/>
        </w:rPr>
        <w:t xml:space="preserve"> respecto de otro caso</w:t>
      </w:r>
      <w:r w:rsidR="00E4138A" w:rsidRPr="00D8247F">
        <w:rPr>
          <w:rFonts w:ascii="Verdana" w:hAnsi="Verdana"/>
          <w:sz w:val="20"/>
          <w:szCs w:val="20"/>
          <w:vertAlign w:val="superscript"/>
          <w:lang w:val="es-CR"/>
        </w:rPr>
        <w:footnoteReference w:id="25"/>
      </w:r>
      <w:r w:rsidR="001B42E0">
        <w:rPr>
          <w:rFonts w:ascii="Verdana" w:hAnsi="Verdana"/>
          <w:sz w:val="20"/>
          <w:szCs w:val="20"/>
        </w:rPr>
        <w:t>.</w:t>
      </w:r>
      <w:r w:rsidR="001B42E0" w:rsidRPr="00E4138A">
        <w:rPr>
          <w:rFonts w:ascii="Verdana" w:hAnsi="Verdana"/>
          <w:sz w:val="20"/>
          <w:szCs w:val="20"/>
        </w:rPr>
        <w:t xml:space="preserve"> </w:t>
      </w:r>
      <w:r w:rsidR="001B5E4F" w:rsidRPr="00E4138A">
        <w:rPr>
          <w:rFonts w:ascii="Verdana" w:hAnsi="Verdana"/>
          <w:sz w:val="20"/>
          <w:szCs w:val="20"/>
        </w:rPr>
        <w:t>T</w:t>
      </w:r>
      <w:r w:rsidR="00CD6EE4" w:rsidRPr="00E4138A">
        <w:rPr>
          <w:rFonts w:ascii="Verdana" w:hAnsi="Verdana"/>
          <w:sz w:val="20"/>
          <w:szCs w:val="20"/>
        </w:rPr>
        <w:t xml:space="preserve">ales </w:t>
      </w:r>
      <w:r w:rsidR="00C461B4" w:rsidRPr="00E4138A">
        <w:rPr>
          <w:rFonts w:ascii="Verdana" w:hAnsi="Verdana"/>
          <w:sz w:val="20"/>
          <w:szCs w:val="20"/>
        </w:rPr>
        <w:t xml:space="preserve">hechos y </w:t>
      </w:r>
      <w:r w:rsidR="00CD6EE4" w:rsidRPr="00E4138A">
        <w:rPr>
          <w:rFonts w:ascii="Verdana" w:hAnsi="Verdana"/>
          <w:sz w:val="20"/>
          <w:szCs w:val="20"/>
        </w:rPr>
        <w:t xml:space="preserve">derechos son </w:t>
      </w:r>
      <w:r w:rsidRPr="00E4138A">
        <w:rPr>
          <w:rFonts w:ascii="Verdana" w:hAnsi="Verdana"/>
          <w:sz w:val="20"/>
          <w:szCs w:val="20"/>
        </w:rPr>
        <w:t>distinto</w:t>
      </w:r>
      <w:r w:rsidR="00C461B4" w:rsidRPr="00E4138A">
        <w:rPr>
          <w:rFonts w:ascii="Verdana" w:hAnsi="Verdana"/>
          <w:sz w:val="20"/>
          <w:szCs w:val="20"/>
        </w:rPr>
        <w:t>s</w:t>
      </w:r>
      <w:r w:rsidRPr="00E4138A">
        <w:rPr>
          <w:rFonts w:ascii="Verdana" w:hAnsi="Verdana"/>
          <w:sz w:val="20"/>
          <w:szCs w:val="20"/>
        </w:rPr>
        <w:t xml:space="preserve"> a aquellos que se encuentran </w:t>
      </w:r>
      <w:r w:rsidR="00CD6EE4" w:rsidRPr="00E4138A">
        <w:rPr>
          <w:rFonts w:ascii="Verdana" w:hAnsi="Verdana"/>
          <w:sz w:val="20"/>
          <w:szCs w:val="20"/>
        </w:rPr>
        <w:t xml:space="preserve">analizados en las sentencias de los casos </w:t>
      </w:r>
      <w:r w:rsidR="00CD6EE4" w:rsidRPr="00E4138A">
        <w:rPr>
          <w:rFonts w:ascii="Verdana" w:hAnsi="Verdana"/>
          <w:i/>
          <w:sz w:val="20"/>
          <w:szCs w:val="20"/>
        </w:rPr>
        <w:t>Valenzuela Ávila</w:t>
      </w:r>
      <w:r w:rsidR="00CD6EE4" w:rsidRPr="00E4138A">
        <w:rPr>
          <w:rFonts w:ascii="Verdana" w:hAnsi="Verdana"/>
          <w:sz w:val="20"/>
          <w:szCs w:val="20"/>
        </w:rPr>
        <w:t xml:space="preserve">, y </w:t>
      </w:r>
      <w:r w:rsidR="00CD6EE4" w:rsidRPr="00E4138A">
        <w:rPr>
          <w:rFonts w:ascii="Verdana" w:hAnsi="Verdana"/>
          <w:i/>
          <w:sz w:val="20"/>
          <w:szCs w:val="20"/>
        </w:rPr>
        <w:t>Ruiz Fuentes y otra.</w:t>
      </w:r>
      <w:r w:rsidR="0081511B" w:rsidRPr="00E4138A">
        <w:rPr>
          <w:rFonts w:ascii="Verdana" w:hAnsi="Verdana"/>
          <w:sz w:val="20"/>
          <w:szCs w:val="20"/>
        </w:rPr>
        <w:t xml:space="preserve"> </w:t>
      </w:r>
      <w:r w:rsidR="00685BF6" w:rsidRPr="00E4138A">
        <w:rPr>
          <w:rFonts w:ascii="Verdana" w:hAnsi="Verdana"/>
          <w:sz w:val="20"/>
          <w:szCs w:val="20"/>
        </w:rPr>
        <w:t xml:space="preserve">Al respecto, </w:t>
      </w:r>
      <w:r w:rsidR="00685BF6" w:rsidRPr="00E4138A">
        <w:rPr>
          <w:rFonts w:ascii="Verdana" w:hAnsi="Verdana"/>
          <w:sz w:val="20"/>
          <w:szCs w:val="20"/>
        </w:rPr>
        <w:lastRenderedPageBreak/>
        <w:t>la Corte advierte que</w:t>
      </w:r>
      <w:r w:rsidR="0081511B" w:rsidRPr="00E4138A">
        <w:rPr>
          <w:rFonts w:ascii="Verdana" w:hAnsi="Verdana"/>
          <w:sz w:val="20"/>
          <w:szCs w:val="20"/>
        </w:rPr>
        <w:t xml:space="preserve"> el presente caso se diferencia de</w:t>
      </w:r>
      <w:r w:rsidR="00491DF4" w:rsidRPr="00E4138A">
        <w:rPr>
          <w:rFonts w:ascii="Verdana" w:hAnsi="Verdana"/>
          <w:sz w:val="20"/>
          <w:szCs w:val="20"/>
        </w:rPr>
        <w:t xml:space="preserve"> </w:t>
      </w:r>
      <w:r w:rsidR="0081511B" w:rsidRPr="00E4138A">
        <w:rPr>
          <w:rFonts w:ascii="Verdana" w:hAnsi="Verdana"/>
          <w:sz w:val="20"/>
          <w:szCs w:val="20"/>
        </w:rPr>
        <w:t>l</w:t>
      </w:r>
      <w:r w:rsidR="00491DF4" w:rsidRPr="00E4138A">
        <w:rPr>
          <w:rFonts w:ascii="Verdana" w:hAnsi="Verdana"/>
          <w:sz w:val="20"/>
          <w:szCs w:val="20"/>
        </w:rPr>
        <w:t>as medidas provisionales otorgada</w:t>
      </w:r>
      <w:r w:rsidR="00685BF6" w:rsidRPr="00E4138A">
        <w:rPr>
          <w:rFonts w:ascii="Verdana" w:hAnsi="Verdana"/>
          <w:sz w:val="20"/>
          <w:szCs w:val="20"/>
        </w:rPr>
        <w:t>s</w:t>
      </w:r>
      <w:r w:rsidR="00491DF4" w:rsidRPr="00E4138A">
        <w:rPr>
          <w:rFonts w:ascii="Verdana" w:hAnsi="Verdana"/>
          <w:sz w:val="20"/>
          <w:szCs w:val="20"/>
        </w:rPr>
        <w:t xml:space="preserve"> en el</w:t>
      </w:r>
      <w:r w:rsidR="0081511B" w:rsidRPr="00E4138A">
        <w:rPr>
          <w:rFonts w:ascii="Verdana" w:hAnsi="Verdana"/>
          <w:sz w:val="20"/>
          <w:szCs w:val="20"/>
        </w:rPr>
        <w:t xml:space="preserve"> </w:t>
      </w:r>
      <w:r w:rsidR="0081511B" w:rsidRPr="00E4138A">
        <w:rPr>
          <w:rFonts w:ascii="Verdana" w:hAnsi="Verdana"/>
          <w:i/>
          <w:sz w:val="20"/>
          <w:szCs w:val="20"/>
        </w:rPr>
        <w:t>Caso Durand y Ugarte Vs. Perú</w:t>
      </w:r>
      <w:r w:rsidR="0081511B" w:rsidRPr="00E4138A">
        <w:rPr>
          <w:rFonts w:ascii="Verdana" w:hAnsi="Verdana"/>
          <w:sz w:val="20"/>
          <w:szCs w:val="20"/>
        </w:rPr>
        <w:t>, ya que</w:t>
      </w:r>
      <w:r w:rsidR="00685BF6" w:rsidRPr="00E4138A">
        <w:rPr>
          <w:rFonts w:ascii="Verdana" w:hAnsi="Verdana"/>
          <w:sz w:val="20"/>
          <w:szCs w:val="20"/>
        </w:rPr>
        <w:t>,</w:t>
      </w:r>
      <w:r w:rsidR="0081511B" w:rsidRPr="00E4138A">
        <w:rPr>
          <w:rFonts w:ascii="Verdana" w:hAnsi="Verdana"/>
          <w:sz w:val="20"/>
          <w:szCs w:val="20"/>
        </w:rPr>
        <w:t xml:space="preserve"> </w:t>
      </w:r>
      <w:r w:rsidR="00491DF4" w:rsidRPr="00E4138A">
        <w:rPr>
          <w:rFonts w:ascii="Verdana" w:hAnsi="Verdana"/>
          <w:sz w:val="20"/>
          <w:szCs w:val="20"/>
        </w:rPr>
        <w:t>en este último</w:t>
      </w:r>
      <w:r w:rsidR="00685BF6" w:rsidRPr="00E4138A">
        <w:rPr>
          <w:rFonts w:ascii="Verdana" w:hAnsi="Verdana"/>
          <w:sz w:val="20"/>
          <w:szCs w:val="20"/>
        </w:rPr>
        <w:t>,</w:t>
      </w:r>
      <w:r w:rsidR="00491DF4" w:rsidRPr="00E4138A">
        <w:rPr>
          <w:rFonts w:ascii="Verdana" w:hAnsi="Verdana"/>
          <w:sz w:val="20"/>
          <w:szCs w:val="20"/>
        </w:rPr>
        <w:t xml:space="preserve"> </w:t>
      </w:r>
      <w:r w:rsidR="00E4138A" w:rsidRPr="00E4138A">
        <w:rPr>
          <w:rFonts w:ascii="Verdana" w:hAnsi="Verdana"/>
          <w:sz w:val="20"/>
          <w:szCs w:val="20"/>
        </w:rPr>
        <w:t xml:space="preserve">la solicitud en cuestión se refería al procedimiento de acusación constitucional seguido ante el Congreso de la República contra cuatro magistrados del Tribunal Constitucional del Perú por decisiones emitidas respecto de un recurso de agravio constitucional presentado por imputados del proceso penal en trámite </w:t>
      </w:r>
      <w:r w:rsidR="00491DF4" w:rsidRPr="00E4138A">
        <w:rPr>
          <w:rFonts w:ascii="Verdana" w:hAnsi="Verdana"/>
          <w:sz w:val="20"/>
          <w:szCs w:val="20"/>
        </w:rPr>
        <w:t xml:space="preserve">por los hechos ocurridos </w:t>
      </w:r>
      <w:r w:rsidR="00685BF6" w:rsidRPr="00E4138A">
        <w:rPr>
          <w:rFonts w:ascii="Verdana" w:hAnsi="Verdana"/>
          <w:sz w:val="20"/>
          <w:szCs w:val="20"/>
        </w:rPr>
        <w:t>en ese caso</w:t>
      </w:r>
      <w:r w:rsidR="00685BF6" w:rsidRPr="00E4138A">
        <w:rPr>
          <w:rStyle w:val="Refdenotaalpie"/>
          <w:sz w:val="20"/>
          <w:szCs w:val="20"/>
        </w:rPr>
        <w:footnoteReference w:id="26"/>
      </w:r>
      <w:r w:rsidR="00685BF6" w:rsidRPr="00E4138A">
        <w:rPr>
          <w:rFonts w:ascii="Verdana" w:hAnsi="Verdana"/>
          <w:sz w:val="20"/>
          <w:szCs w:val="20"/>
        </w:rPr>
        <w:t>;</w:t>
      </w:r>
      <w:r w:rsidR="00491DF4" w:rsidRPr="00E4138A">
        <w:rPr>
          <w:rFonts w:ascii="Verdana" w:hAnsi="Verdana"/>
          <w:sz w:val="20"/>
          <w:szCs w:val="20"/>
        </w:rPr>
        <w:t xml:space="preserve"> </w:t>
      </w:r>
      <w:r w:rsidR="0081511B" w:rsidRPr="00E4138A">
        <w:rPr>
          <w:rFonts w:ascii="Verdana" w:hAnsi="Verdana"/>
          <w:sz w:val="20"/>
          <w:szCs w:val="20"/>
        </w:rPr>
        <w:t xml:space="preserve">a diferencia </w:t>
      </w:r>
      <w:r w:rsidR="00491DF4" w:rsidRPr="00E4138A">
        <w:rPr>
          <w:rFonts w:ascii="Verdana" w:hAnsi="Verdana"/>
          <w:sz w:val="20"/>
          <w:szCs w:val="20"/>
        </w:rPr>
        <w:t>d</w:t>
      </w:r>
      <w:r w:rsidR="0081511B" w:rsidRPr="00E4138A">
        <w:rPr>
          <w:rFonts w:ascii="Verdana" w:hAnsi="Verdana"/>
          <w:sz w:val="20"/>
          <w:szCs w:val="20"/>
        </w:rPr>
        <w:t xml:space="preserve">el caso del </w:t>
      </w:r>
      <w:r w:rsidR="00491DF4" w:rsidRPr="00E4138A">
        <w:rPr>
          <w:rFonts w:ascii="Verdana" w:hAnsi="Verdana"/>
          <w:sz w:val="20"/>
          <w:szCs w:val="20"/>
        </w:rPr>
        <w:t>s</w:t>
      </w:r>
      <w:r w:rsidR="0081511B" w:rsidRPr="00E4138A">
        <w:rPr>
          <w:rFonts w:ascii="Verdana" w:hAnsi="Verdana"/>
          <w:sz w:val="20"/>
          <w:szCs w:val="20"/>
        </w:rPr>
        <w:t>eñor Sandoval</w:t>
      </w:r>
      <w:r w:rsidR="00685BF6" w:rsidRPr="00E4138A">
        <w:rPr>
          <w:rFonts w:ascii="Verdana" w:hAnsi="Verdana"/>
          <w:sz w:val="20"/>
          <w:szCs w:val="20"/>
        </w:rPr>
        <w:t>,</w:t>
      </w:r>
      <w:r w:rsidR="00491DF4" w:rsidRPr="00E4138A">
        <w:rPr>
          <w:rFonts w:ascii="Verdana" w:hAnsi="Verdana"/>
          <w:sz w:val="20"/>
          <w:szCs w:val="20"/>
        </w:rPr>
        <w:t xml:space="preserve"> en que </w:t>
      </w:r>
      <w:r w:rsidR="0081511B" w:rsidRPr="00E4138A">
        <w:rPr>
          <w:rFonts w:ascii="Verdana" w:hAnsi="Verdana"/>
          <w:sz w:val="20"/>
          <w:szCs w:val="20"/>
        </w:rPr>
        <w:t xml:space="preserve">no se desprende una relación directa con los casos </w:t>
      </w:r>
      <w:r w:rsidR="00491DF4" w:rsidRPr="001C1651">
        <w:rPr>
          <w:rFonts w:ascii="Verdana" w:hAnsi="Verdana"/>
          <w:i/>
          <w:sz w:val="20"/>
          <w:szCs w:val="20"/>
        </w:rPr>
        <w:t>Valenzuela Ávila</w:t>
      </w:r>
      <w:r w:rsidR="001C1651">
        <w:rPr>
          <w:rFonts w:ascii="Verdana" w:hAnsi="Verdana"/>
          <w:i/>
          <w:sz w:val="20"/>
          <w:szCs w:val="20"/>
        </w:rPr>
        <w:t>,</w:t>
      </w:r>
      <w:r w:rsidR="00491DF4" w:rsidRPr="001C1651">
        <w:rPr>
          <w:rFonts w:ascii="Verdana" w:hAnsi="Verdana"/>
          <w:i/>
          <w:sz w:val="20"/>
          <w:szCs w:val="20"/>
        </w:rPr>
        <w:t xml:space="preserve"> y Ruiz Fuentes</w:t>
      </w:r>
      <w:r w:rsidR="001C1651">
        <w:rPr>
          <w:rFonts w:ascii="Verdana" w:hAnsi="Verdana"/>
          <w:i/>
          <w:sz w:val="20"/>
          <w:szCs w:val="20"/>
        </w:rPr>
        <w:t xml:space="preserve"> y otra</w:t>
      </w:r>
      <w:r w:rsidR="00E12B17" w:rsidRPr="00E4138A">
        <w:rPr>
          <w:rStyle w:val="Refdenotaalpie"/>
          <w:sz w:val="20"/>
          <w:szCs w:val="20"/>
        </w:rPr>
        <w:footnoteReference w:id="27"/>
      </w:r>
      <w:r w:rsidR="0081511B" w:rsidRPr="00E4138A">
        <w:rPr>
          <w:rFonts w:ascii="Verdana" w:hAnsi="Verdana"/>
          <w:sz w:val="20"/>
          <w:szCs w:val="20"/>
        </w:rPr>
        <w:t>.</w:t>
      </w:r>
    </w:p>
    <w:p w14:paraId="39A4C68A" w14:textId="14232390" w:rsidR="00E835F0" w:rsidRPr="00A06EE2" w:rsidRDefault="00E835F0" w:rsidP="00E835F0">
      <w:pPr>
        <w:numPr>
          <w:ilvl w:val="0"/>
          <w:numId w:val="2"/>
        </w:numPr>
        <w:spacing w:before="120" w:after="120"/>
        <w:ind w:left="0" w:firstLine="0"/>
        <w:jc w:val="both"/>
        <w:rPr>
          <w:rFonts w:ascii="Verdana" w:hAnsi="Verdana"/>
          <w:sz w:val="20"/>
          <w:szCs w:val="20"/>
        </w:rPr>
      </w:pPr>
      <w:r w:rsidRPr="00E12B17">
        <w:rPr>
          <w:rFonts w:ascii="Verdana" w:hAnsi="Verdana"/>
          <w:sz w:val="20"/>
          <w:szCs w:val="20"/>
        </w:rPr>
        <w:t>Respecto a este nuevo asunto,</w:t>
      </w:r>
      <w:r w:rsidR="00624DF8" w:rsidRPr="00E12B17">
        <w:rPr>
          <w:rFonts w:ascii="Verdana" w:hAnsi="Verdana"/>
          <w:sz w:val="20"/>
          <w:szCs w:val="20"/>
        </w:rPr>
        <w:t xml:space="preserve"> </w:t>
      </w:r>
      <w:r w:rsidRPr="00E12B17">
        <w:rPr>
          <w:rFonts w:ascii="Verdana" w:hAnsi="Verdana"/>
          <w:sz w:val="20"/>
          <w:szCs w:val="20"/>
        </w:rPr>
        <w:t xml:space="preserve">por un lado, la Corte aclara que </w:t>
      </w:r>
      <w:r w:rsidR="00624DF8" w:rsidRPr="00E12B17">
        <w:rPr>
          <w:rFonts w:ascii="Verdana" w:hAnsi="Verdana"/>
          <w:sz w:val="20"/>
          <w:szCs w:val="20"/>
        </w:rPr>
        <w:t>es a la Comisión a quien corresponde</w:t>
      </w:r>
      <w:r w:rsidR="00961501">
        <w:rPr>
          <w:rFonts w:ascii="Verdana" w:hAnsi="Verdana"/>
          <w:sz w:val="20"/>
          <w:szCs w:val="20"/>
        </w:rPr>
        <w:t>ría</w:t>
      </w:r>
      <w:r w:rsidR="00624DF8" w:rsidRPr="00E12B17">
        <w:rPr>
          <w:rFonts w:ascii="Verdana" w:hAnsi="Verdana"/>
          <w:sz w:val="20"/>
          <w:szCs w:val="20"/>
        </w:rPr>
        <w:t xml:space="preserve"> primeramente el</w:t>
      </w:r>
      <w:r w:rsidR="00624DF8" w:rsidRPr="005564DD">
        <w:rPr>
          <w:rFonts w:ascii="Verdana" w:hAnsi="Verdana"/>
          <w:sz w:val="20"/>
          <w:szCs w:val="20"/>
        </w:rPr>
        <w:t xml:space="preserve"> conocimiento del asunto, sobre la base de los procedimientos previstos en los artículos 48 a 50 de la Convención Americana</w:t>
      </w:r>
      <w:r w:rsidR="00624DF8" w:rsidRPr="005564DD">
        <w:rPr>
          <w:rStyle w:val="Refdenotaalpie"/>
          <w:sz w:val="20"/>
          <w:szCs w:val="20"/>
        </w:rPr>
        <w:footnoteReference w:id="28"/>
      </w:r>
      <w:r w:rsidR="00624DF8" w:rsidRPr="005564DD">
        <w:rPr>
          <w:rFonts w:ascii="Verdana" w:hAnsi="Verdana"/>
          <w:sz w:val="20"/>
          <w:szCs w:val="20"/>
        </w:rPr>
        <w:t>. A este respecto</w:t>
      </w:r>
      <w:r w:rsidR="00355A2D">
        <w:rPr>
          <w:rFonts w:ascii="Verdana" w:hAnsi="Verdana"/>
          <w:sz w:val="20"/>
          <w:szCs w:val="20"/>
        </w:rPr>
        <w:t>,</w:t>
      </w:r>
      <w:r w:rsidR="00624DF8" w:rsidRPr="005564DD">
        <w:rPr>
          <w:rFonts w:ascii="Verdana" w:hAnsi="Verdana"/>
          <w:sz w:val="20"/>
          <w:szCs w:val="20"/>
        </w:rPr>
        <w:t xml:space="preserve"> cabe hacer notar que los particulares legitimados por el artículo 44 para presentar </w:t>
      </w:r>
      <w:r w:rsidR="003A2173">
        <w:rPr>
          <w:rFonts w:ascii="Verdana" w:hAnsi="Verdana"/>
          <w:sz w:val="20"/>
          <w:szCs w:val="20"/>
        </w:rPr>
        <w:t>denuncias</w:t>
      </w:r>
      <w:r w:rsidR="003A2173" w:rsidRPr="005564DD">
        <w:rPr>
          <w:rFonts w:ascii="Verdana" w:hAnsi="Verdana"/>
          <w:sz w:val="20"/>
          <w:szCs w:val="20"/>
        </w:rPr>
        <w:t xml:space="preserve"> </w:t>
      </w:r>
      <w:r w:rsidR="00624DF8" w:rsidRPr="005564DD">
        <w:rPr>
          <w:rFonts w:ascii="Verdana" w:hAnsi="Verdana"/>
          <w:sz w:val="20"/>
          <w:szCs w:val="20"/>
        </w:rPr>
        <w:t>ante la Comisión, no pueden plantea</w:t>
      </w:r>
      <w:r w:rsidR="009B0FD1" w:rsidRPr="005564DD">
        <w:rPr>
          <w:rFonts w:ascii="Verdana" w:hAnsi="Verdana"/>
          <w:sz w:val="20"/>
          <w:szCs w:val="20"/>
        </w:rPr>
        <w:t>rlas directamente ante la Corte</w:t>
      </w:r>
      <w:r w:rsidR="00624DF8" w:rsidRPr="005564DD">
        <w:rPr>
          <w:rStyle w:val="Refdenotaalpie"/>
          <w:sz w:val="20"/>
          <w:szCs w:val="20"/>
        </w:rPr>
        <w:footnoteReference w:id="29"/>
      </w:r>
      <w:r w:rsidR="00624DF8" w:rsidRPr="005564DD">
        <w:rPr>
          <w:rFonts w:ascii="Verdana" w:hAnsi="Verdana"/>
          <w:sz w:val="20"/>
          <w:szCs w:val="20"/>
        </w:rPr>
        <w:t>.</w:t>
      </w:r>
      <w:r w:rsidR="009B0FD1" w:rsidRPr="005564DD">
        <w:rPr>
          <w:rFonts w:ascii="Verdana" w:hAnsi="Verdana"/>
          <w:sz w:val="20"/>
          <w:szCs w:val="20"/>
        </w:rPr>
        <w:t xml:space="preserve"> </w:t>
      </w:r>
      <w:r w:rsidRPr="005564DD">
        <w:rPr>
          <w:rFonts w:ascii="Verdana" w:hAnsi="Verdana"/>
          <w:sz w:val="20"/>
          <w:szCs w:val="20"/>
        </w:rPr>
        <w:t>Por otro lado</w:t>
      </w:r>
      <w:r w:rsidR="009B0FD1" w:rsidRPr="005564DD">
        <w:rPr>
          <w:rFonts w:ascii="Verdana" w:hAnsi="Verdana"/>
          <w:sz w:val="20"/>
          <w:szCs w:val="20"/>
        </w:rPr>
        <w:t>, la Corte estima pertinente recordar que, de la lectura conjunta de los artículos 63.2 de la Convención Americana y 27.2 del Reglamento</w:t>
      </w:r>
      <w:r w:rsidRPr="005564DD">
        <w:rPr>
          <w:rStyle w:val="Refdenotaalpie"/>
          <w:sz w:val="20"/>
          <w:szCs w:val="20"/>
        </w:rPr>
        <w:footnoteReference w:id="30"/>
      </w:r>
      <w:r w:rsidR="009B0FD1" w:rsidRPr="005564DD">
        <w:rPr>
          <w:rFonts w:ascii="Verdana" w:hAnsi="Verdana"/>
          <w:sz w:val="20"/>
          <w:szCs w:val="20"/>
        </w:rPr>
        <w:t>, se desprende que podrá ordenar la adopción de medidas provisionales en asuntos que aún no estén sometidos a su conocimiento a solicitud de la Comisión. En est</w:t>
      </w:r>
      <w:r w:rsidR="00A06EE2" w:rsidRPr="005564DD">
        <w:rPr>
          <w:rFonts w:ascii="Verdana" w:hAnsi="Verdana"/>
          <w:sz w:val="20"/>
          <w:szCs w:val="20"/>
        </w:rPr>
        <w:t>e sentido</w:t>
      </w:r>
      <w:r w:rsidR="009B0FD1" w:rsidRPr="005564DD">
        <w:rPr>
          <w:rFonts w:ascii="Verdana" w:hAnsi="Verdana"/>
          <w:sz w:val="20"/>
          <w:szCs w:val="20"/>
        </w:rPr>
        <w:t>, las solicitudes realizadas por las representantes no pueden ser consideradas por el Tribunal dado que es a la Comisión a quien correspondería solicitar medidas provisionales a la Corte en este caso, si lo considerase oportuno.</w:t>
      </w:r>
    </w:p>
    <w:p w14:paraId="01617EE4" w14:textId="77777777" w:rsidR="004C5CF9" w:rsidRDefault="004C5CF9" w:rsidP="004C5CF9">
      <w:pPr>
        <w:numPr>
          <w:ilvl w:val="0"/>
          <w:numId w:val="2"/>
        </w:numPr>
        <w:spacing w:before="120" w:after="120"/>
        <w:ind w:left="0" w:firstLine="0"/>
        <w:jc w:val="both"/>
        <w:rPr>
          <w:rFonts w:ascii="Verdana" w:hAnsi="Verdana"/>
          <w:sz w:val="20"/>
          <w:szCs w:val="20"/>
        </w:rPr>
      </w:pPr>
      <w:r w:rsidRPr="00B660E9">
        <w:rPr>
          <w:rFonts w:ascii="Verdana" w:hAnsi="Verdana"/>
          <w:sz w:val="20"/>
          <w:szCs w:val="20"/>
        </w:rPr>
        <w:t xml:space="preserve">Por </w:t>
      </w:r>
      <w:r>
        <w:rPr>
          <w:rFonts w:ascii="Verdana" w:hAnsi="Verdana"/>
          <w:sz w:val="20"/>
          <w:szCs w:val="20"/>
        </w:rPr>
        <w:t>las</w:t>
      </w:r>
      <w:r w:rsidRPr="00B660E9">
        <w:rPr>
          <w:rFonts w:ascii="Verdana" w:hAnsi="Verdana"/>
          <w:sz w:val="20"/>
          <w:szCs w:val="20"/>
        </w:rPr>
        <w:t xml:space="preserve"> razones expuestas, este Tribunal considera improcedente la adopción de las medidas provisionales solicitadas por las representantes a favor del seño</w:t>
      </w:r>
      <w:r w:rsidR="0059606E">
        <w:rPr>
          <w:rFonts w:ascii="Verdana" w:hAnsi="Verdana"/>
          <w:sz w:val="20"/>
          <w:szCs w:val="20"/>
        </w:rPr>
        <w:t>r Juan Francisco Sandoval Alfaro</w:t>
      </w:r>
      <w:r w:rsidRPr="00B660E9">
        <w:rPr>
          <w:rStyle w:val="Refdenotaalpie"/>
          <w:sz w:val="20"/>
          <w:szCs w:val="20"/>
        </w:rPr>
        <w:footnoteReference w:id="31"/>
      </w:r>
      <w:r w:rsidRPr="00B660E9">
        <w:rPr>
          <w:rFonts w:ascii="Verdana" w:hAnsi="Verdana"/>
          <w:sz w:val="20"/>
          <w:szCs w:val="20"/>
        </w:rPr>
        <w:t>.</w:t>
      </w:r>
    </w:p>
    <w:p w14:paraId="144DB3BE" w14:textId="31EF3674" w:rsidR="00E12B17" w:rsidRPr="00E12B17" w:rsidRDefault="00E12B17" w:rsidP="00E12B17">
      <w:pPr>
        <w:spacing w:before="120" w:after="120"/>
        <w:ind w:left="567"/>
        <w:jc w:val="both"/>
        <w:rPr>
          <w:rFonts w:ascii="Verdana" w:hAnsi="Verdana"/>
          <w:i/>
          <w:sz w:val="20"/>
          <w:szCs w:val="20"/>
        </w:rPr>
      </w:pPr>
      <w:r w:rsidRPr="00E12B17">
        <w:rPr>
          <w:rFonts w:ascii="Verdana" w:hAnsi="Verdana"/>
          <w:i/>
          <w:sz w:val="20"/>
          <w:szCs w:val="20"/>
        </w:rPr>
        <w:lastRenderedPageBreak/>
        <w:t xml:space="preserve">i.1 Control de </w:t>
      </w:r>
      <w:r w:rsidR="00DE39D9">
        <w:rPr>
          <w:rFonts w:ascii="Verdana" w:hAnsi="Verdana"/>
          <w:i/>
          <w:sz w:val="20"/>
          <w:szCs w:val="20"/>
        </w:rPr>
        <w:t>c</w:t>
      </w:r>
      <w:r w:rsidRPr="00E12B17">
        <w:rPr>
          <w:rFonts w:ascii="Verdana" w:hAnsi="Verdana"/>
          <w:i/>
          <w:sz w:val="20"/>
          <w:szCs w:val="20"/>
        </w:rPr>
        <w:t>onvencionalidad y garantía de estabilidad o inamovilidad en el cargo</w:t>
      </w:r>
    </w:p>
    <w:p w14:paraId="03F53B5F" w14:textId="6D335468" w:rsidR="007D2962" w:rsidRPr="00411EE2" w:rsidRDefault="00A3162A" w:rsidP="00BF34F6">
      <w:pPr>
        <w:numPr>
          <w:ilvl w:val="0"/>
          <w:numId w:val="2"/>
        </w:numPr>
        <w:spacing w:before="120" w:after="120"/>
        <w:ind w:left="0" w:firstLine="0"/>
        <w:jc w:val="both"/>
        <w:rPr>
          <w:rFonts w:ascii="Verdana" w:hAnsi="Verdana"/>
          <w:sz w:val="20"/>
          <w:szCs w:val="20"/>
        </w:rPr>
      </w:pPr>
      <w:r w:rsidRPr="00B660E9">
        <w:rPr>
          <w:rFonts w:ascii="Verdana" w:hAnsi="Verdana"/>
          <w:sz w:val="20"/>
          <w:szCs w:val="20"/>
        </w:rPr>
        <w:t>Adicionalmente</w:t>
      </w:r>
      <w:r w:rsidR="00917363" w:rsidRPr="00B660E9">
        <w:rPr>
          <w:rFonts w:ascii="Verdana" w:hAnsi="Verdana"/>
          <w:sz w:val="20"/>
          <w:szCs w:val="20"/>
        </w:rPr>
        <w:t>, las partes han informado que</w:t>
      </w:r>
      <w:r w:rsidR="00E566D9">
        <w:rPr>
          <w:rFonts w:ascii="Verdana" w:hAnsi="Verdana"/>
          <w:sz w:val="20"/>
          <w:szCs w:val="20"/>
        </w:rPr>
        <w:t>,</w:t>
      </w:r>
      <w:r w:rsidR="00917363" w:rsidRPr="00B660E9">
        <w:rPr>
          <w:rFonts w:ascii="Verdana" w:hAnsi="Verdana"/>
          <w:sz w:val="20"/>
          <w:szCs w:val="20"/>
        </w:rPr>
        <w:t xml:space="preserve"> en contra del </w:t>
      </w:r>
      <w:r w:rsidR="00917363" w:rsidRPr="00B660E9">
        <w:rPr>
          <w:rFonts w:ascii="Verdana" w:eastAsiaTheme="minorHAnsi" w:hAnsi="Verdana" w:cs="ArialMT"/>
          <w:sz w:val="20"/>
          <w:szCs w:val="20"/>
          <w:lang w:val="es-CR"/>
        </w:rPr>
        <w:t xml:space="preserve">acuerdo </w:t>
      </w:r>
      <w:r w:rsidR="00917363" w:rsidRPr="00B660E9">
        <w:rPr>
          <w:rFonts w:ascii="Verdana" w:eastAsia="Times" w:hAnsi="Verdana"/>
          <w:sz w:val="20"/>
          <w:szCs w:val="20"/>
          <w:lang w:val="es-CR"/>
        </w:rPr>
        <w:t>2157-2021</w:t>
      </w:r>
      <w:r w:rsidR="00917363" w:rsidRPr="00B660E9">
        <w:rPr>
          <w:rFonts w:ascii="Verdana" w:hAnsi="Verdana"/>
          <w:sz w:val="20"/>
          <w:szCs w:val="20"/>
        </w:rPr>
        <w:t xml:space="preserve"> </w:t>
      </w:r>
      <w:r w:rsidR="00917363" w:rsidRPr="00B660E9">
        <w:rPr>
          <w:rFonts w:ascii="Verdana" w:eastAsia="Calibri" w:hAnsi="Verdana" w:cs="Verdana"/>
          <w:color w:val="000000"/>
          <w:sz w:val="20"/>
          <w:szCs w:val="20"/>
          <w:lang w:val="es-CR"/>
        </w:rPr>
        <w:t xml:space="preserve">de 23 de julio de 2021 de la </w:t>
      </w:r>
      <w:proofErr w:type="gramStart"/>
      <w:r w:rsidR="00917363" w:rsidRPr="00B660E9">
        <w:rPr>
          <w:rFonts w:ascii="Verdana" w:eastAsia="Calibri" w:hAnsi="Verdana" w:cs="Verdana"/>
          <w:color w:val="000000"/>
          <w:sz w:val="20"/>
          <w:szCs w:val="20"/>
          <w:lang w:val="es-CR"/>
        </w:rPr>
        <w:t>Fiscal General</w:t>
      </w:r>
      <w:proofErr w:type="gramEnd"/>
      <w:r w:rsidR="00917363" w:rsidRPr="00B660E9">
        <w:rPr>
          <w:rFonts w:ascii="Verdana" w:eastAsia="Calibri" w:hAnsi="Verdana" w:cs="Verdana"/>
          <w:color w:val="000000"/>
          <w:sz w:val="20"/>
          <w:szCs w:val="20"/>
          <w:lang w:val="es-CR"/>
        </w:rPr>
        <w:t xml:space="preserve"> de la República y Jef</w:t>
      </w:r>
      <w:r w:rsidR="00143205">
        <w:rPr>
          <w:rFonts w:ascii="Verdana" w:eastAsia="Calibri" w:hAnsi="Verdana" w:cs="Verdana"/>
          <w:color w:val="000000"/>
          <w:sz w:val="20"/>
          <w:szCs w:val="20"/>
          <w:lang w:val="es-CR"/>
        </w:rPr>
        <w:t>a</w:t>
      </w:r>
      <w:r w:rsidR="00917363" w:rsidRPr="00B660E9">
        <w:rPr>
          <w:rFonts w:ascii="Verdana" w:eastAsia="Calibri" w:hAnsi="Verdana" w:cs="Verdana"/>
          <w:color w:val="000000"/>
          <w:sz w:val="20"/>
          <w:szCs w:val="20"/>
          <w:lang w:val="es-CR"/>
        </w:rPr>
        <w:t xml:space="preserve"> del Ministerio Público,</w:t>
      </w:r>
      <w:r w:rsidR="00917363" w:rsidRPr="00B660E9">
        <w:rPr>
          <w:rFonts w:ascii="Verdana" w:hAnsi="Verdana"/>
          <w:sz w:val="20"/>
          <w:szCs w:val="20"/>
        </w:rPr>
        <w:t xml:space="preserve"> </w:t>
      </w:r>
      <w:r w:rsidR="00917363" w:rsidRPr="00B660E9">
        <w:rPr>
          <w:rFonts w:ascii="Verdana" w:eastAsiaTheme="minorHAnsi" w:hAnsi="Verdana" w:cs="ArialMT"/>
          <w:sz w:val="20"/>
          <w:szCs w:val="20"/>
          <w:lang w:val="es-CR"/>
        </w:rPr>
        <w:t xml:space="preserve">se presentó </w:t>
      </w:r>
      <w:r w:rsidR="00917363" w:rsidRPr="00B660E9">
        <w:rPr>
          <w:rFonts w:ascii="Verdana" w:eastAsiaTheme="minorHAnsi" w:hAnsi="Verdana" w:cs="Arial"/>
          <w:sz w:val="20"/>
          <w:szCs w:val="20"/>
          <w:lang w:val="es-CR"/>
        </w:rPr>
        <w:t>un recurso de amparo y una demanda laboral</w:t>
      </w:r>
      <w:r w:rsidRPr="00B660E9">
        <w:rPr>
          <w:rFonts w:ascii="Verdana" w:eastAsiaTheme="minorHAnsi" w:hAnsi="Verdana" w:cs="Arial"/>
          <w:sz w:val="20"/>
          <w:szCs w:val="20"/>
          <w:lang w:val="es-CR"/>
        </w:rPr>
        <w:t xml:space="preserve">, y </w:t>
      </w:r>
      <w:r w:rsidRPr="00B660E9">
        <w:rPr>
          <w:rFonts w:ascii="Verdana" w:hAnsi="Verdana"/>
          <w:sz w:val="20"/>
          <w:szCs w:val="20"/>
        </w:rPr>
        <w:t xml:space="preserve">las representantes se </w:t>
      </w:r>
      <w:r w:rsidRPr="000D66C4">
        <w:rPr>
          <w:rFonts w:ascii="Verdana" w:hAnsi="Verdana"/>
          <w:sz w:val="20"/>
          <w:szCs w:val="20"/>
        </w:rPr>
        <w:t>refirieron al eventual retardo que podrían tener estas decisiones volviéndolas inefectivas</w:t>
      </w:r>
      <w:r w:rsidR="00E3099E">
        <w:rPr>
          <w:rFonts w:ascii="Verdana" w:hAnsi="Verdana"/>
          <w:sz w:val="20"/>
          <w:szCs w:val="20"/>
        </w:rPr>
        <w:t xml:space="preserve"> </w:t>
      </w:r>
      <w:r w:rsidR="00E3099E" w:rsidRPr="00B660E9">
        <w:rPr>
          <w:rFonts w:ascii="Verdana" w:hAnsi="Verdana"/>
          <w:sz w:val="20"/>
          <w:szCs w:val="20"/>
        </w:rPr>
        <w:t>(</w:t>
      </w:r>
      <w:r w:rsidR="00E3099E" w:rsidRPr="00B660E9">
        <w:rPr>
          <w:rFonts w:ascii="Verdana" w:hAnsi="Verdana"/>
          <w:i/>
          <w:sz w:val="20"/>
          <w:szCs w:val="20"/>
        </w:rPr>
        <w:t>supra</w:t>
      </w:r>
      <w:r w:rsidR="00E3099E" w:rsidRPr="00B660E9">
        <w:rPr>
          <w:rFonts w:ascii="Verdana" w:hAnsi="Verdana"/>
          <w:sz w:val="20"/>
          <w:szCs w:val="20"/>
        </w:rPr>
        <w:t xml:space="preserve"> Considerando</w:t>
      </w:r>
      <w:r w:rsidR="00E3099E">
        <w:rPr>
          <w:rFonts w:ascii="Verdana" w:hAnsi="Verdana"/>
          <w:sz w:val="20"/>
          <w:szCs w:val="20"/>
        </w:rPr>
        <w:t>s</w:t>
      </w:r>
      <w:r w:rsidR="00E3099E" w:rsidRPr="00B660E9">
        <w:rPr>
          <w:rFonts w:ascii="Verdana" w:hAnsi="Verdana"/>
          <w:sz w:val="20"/>
          <w:szCs w:val="20"/>
        </w:rPr>
        <w:t xml:space="preserve"> </w:t>
      </w:r>
      <w:r w:rsidR="00E3099E">
        <w:rPr>
          <w:rFonts w:ascii="Verdana" w:hAnsi="Verdana"/>
          <w:sz w:val="20"/>
          <w:szCs w:val="20"/>
        </w:rPr>
        <w:t>12, 15 y 25</w:t>
      </w:r>
      <w:r w:rsidR="00E3099E" w:rsidRPr="00B660E9">
        <w:rPr>
          <w:rFonts w:ascii="Verdana" w:hAnsi="Verdana"/>
          <w:sz w:val="20"/>
          <w:szCs w:val="20"/>
        </w:rPr>
        <w:t>)</w:t>
      </w:r>
      <w:r w:rsidRPr="000D66C4">
        <w:rPr>
          <w:rFonts w:ascii="Verdana" w:hAnsi="Verdana"/>
          <w:sz w:val="20"/>
          <w:szCs w:val="20"/>
          <w:lang w:val="es-CR"/>
        </w:rPr>
        <w:t xml:space="preserve">. </w:t>
      </w:r>
      <w:r w:rsidR="007D2962" w:rsidRPr="000D66C4">
        <w:rPr>
          <w:rFonts w:ascii="Verdana" w:hAnsi="Verdana"/>
          <w:sz w:val="20"/>
          <w:szCs w:val="20"/>
        </w:rPr>
        <w:t>Ante dicha situación</w:t>
      </w:r>
      <w:r w:rsidRPr="000D66C4">
        <w:rPr>
          <w:rFonts w:ascii="Verdana" w:hAnsi="Verdana"/>
          <w:sz w:val="20"/>
          <w:szCs w:val="20"/>
          <w:lang w:val="es-CR"/>
        </w:rPr>
        <w:t>,</w:t>
      </w:r>
      <w:r w:rsidRPr="000D66C4">
        <w:rPr>
          <w:rFonts w:ascii="Verdana" w:hAnsi="Verdana"/>
          <w:sz w:val="20"/>
          <w:szCs w:val="20"/>
        </w:rPr>
        <w:t xml:space="preserve"> </w:t>
      </w:r>
      <w:r w:rsidRPr="000D66C4">
        <w:rPr>
          <w:rFonts w:ascii="Verdana" w:hAnsi="Verdana"/>
          <w:sz w:val="20"/>
          <w:szCs w:val="20"/>
          <w:lang w:val="es-CR"/>
        </w:rPr>
        <w:t>la Corte</w:t>
      </w:r>
      <w:r w:rsidRPr="000D66C4">
        <w:rPr>
          <w:rFonts w:ascii="Verdana" w:hAnsi="Verdana"/>
          <w:sz w:val="20"/>
          <w:szCs w:val="20"/>
        </w:rPr>
        <w:t xml:space="preserve"> </w:t>
      </w:r>
      <w:r w:rsidRPr="000D66C4">
        <w:rPr>
          <w:rFonts w:ascii="Verdana" w:hAnsi="Verdana"/>
          <w:sz w:val="20"/>
          <w:szCs w:val="20"/>
          <w:lang w:val="es-CR"/>
        </w:rPr>
        <w:t xml:space="preserve">insta al Estado para que </w:t>
      </w:r>
      <w:r w:rsidR="007D2962" w:rsidRPr="000D66C4">
        <w:rPr>
          <w:rFonts w:ascii="Verdana" w:hAnsi="Verdana"/>
          <w:sz w:val="20"/>
          <w:szCs w:val="20"/>
          <w:lang w:val="es-CR"/>
        </w:rPr>
        <w:t>tales</w:t>
      </w:r>
      <w:r w:rsidRPr="000D66C4">
        <w:rPr>
          <w:rFonts w:ascii="Verdana" w:hAnsi="Verdana"/>
          <w:sz w:val="20"/>
          <w:szCs w:val="20"/>
          <w:lang w:val="es-CR"/>
        </w:rPr>
        <w:t xml:space="preserve"> </w:t>
      </w:r>
      <w:r w:rsidR="007D2962" w:rsidRPr="000D66C4">
        <w:rPr>
          <w:rFonts w:ascii="Verdana" w:hAnsi="Verdana"/>
          <w:sz w:val="20"/>
          <w:szCs w:val="20"/>
          <w:lang w:val="es-CR"/>
        </w:rPr>
        <w:t>procedimientos y sus respectivas decisiones</w:t>
      </w:r>
      <w:r w:rsidRPr="000D66C4">
        <w:rPr>
          <w:rFonts w:ascii="Verdana" w:hAnsi="Verdana"/>
          <w:sz w:val="20"/>
          <w:szCs w:val="20"/>
          <w:lang w:val="es-CR"/>
        </w:rPr>
        <w:t xml:space="preserve"> sea</w:t>
      </w:r>
      <w:r w:rsidR="007D2962" w:rsidRPr="000D66C4">
        <w:rPr>
          <w:rFonts w:ascii="Verdana" w:hAnsi="Verdana"/>
          <w:sz w:val="20"/>
          <w:szCs w:val="20"/>
          <w:lang w:val="es-CR"/>
        </w:rPr>
        <w:t>n</w:t>
      </w:r>
      <w:r w:rsidRPr="000D66C4">
        <w:rPr>
          <w:rFonts w:ascii="Verdana" w:hAnsi="Verdana"/>
          <w:sz w:val="20"/>
          <w:szCs w:val="20"/>
          <w:lang w:val="es-CR"/>
        </w:rPr>
        <w:t xml:space="preserve"> realizado</w:t>
      </w:r>
      <w:r w:rsidR="007D2962" w:rsidRPr="000D66C4">
        <w:rPr>
          <w:rFonts w:ascii="Verdana" w:hAnsi="Verdana"/>
          <w:sz w:val="20"/>
          <w:szCs w:val="20"/>
          <w:lang w:val="es-CR"/>
        </w:rPr>
        <w:t>s</w:t>
      </w:r>
      <w:r w:rsidRPr="000D66C4">
        <w:rPr>
          <w:rFonts w:ascii="Verdana" w:hAnsi="Verdana"/>
          <w:sz w:val="20"/>
          <w:szCs w:val="20"/>
          <w:lang w:val="es-CR"/>
        </w:rPr>
        <w:t xml:space="preserve"> en forma pronta.</w:t>
      </w:r>
      <w:r w:rsidR="007D2962" w:rsidRPr="000D66C4">
        <w:rPr>
          <w:rFonts w:ascii="Verdana" w:hAnsi="Verdana"/>
          <w:sz w:val="20"/>
          <w:szCs w:val="20"/>
          <w:lang w:val="es-CR"/>
        </w:rPr>
        <w:t xml:space="preserve"> Cabe aclarar que, al hacer este llamado, la Corte no está prejuzgando sobre los</w:t>
      </w:r>
      <w:r w:rsidR="007D2962" w:rsidRPr="000D66C4">
        <w:rPr>
          <w:rFonts w:ascii="Verdana" w:hAnsi="Verdana"/>
          <w:sz w:val="20"/>
          <w:szCs w:val="20"/>
        </w:rPr>
        <w:t xml:space="preserve"> </w:t>
      </w:r>
      <w:r w:rsidR="007D2962" w:rsidRPr="000D66C4">
        <w:rPr>
          <w:rFonts w:ascii="Verdana" w:hAnsi="Verdana"/>
          <w:sz w:val="20"/>
          <w:szCs w:val="20"/>
          <w:lang w:val="es-CR"/>
        </w:rPr>
        <w:t xml:space="preserve">presupuestos </w:t>
      </w:r>
      <w:r w:rsidR="00BF34F6" w:rsidRPr="000D66C4">
        <w:rPr>
          <w:rFonts w:ascii="Verdana" w:hAnsi="Verdana"/>
          <w:sz w:val="20"/>
          <w:szCs w:val="20"/>
        </w:rPr>
        <w:t xml:space="preserve">del agotamiento previo de los recursos de la </w:t>
      </w:r>
      <w:r w:rsidR="00BF34F6" w:rsidRPr="00411EE2">
        <w:rPr>
          <w:rFonts w:ascii="Verdana" w:hAnsi="Verdana"/>
          <w:sz w:val="20"/>
          <w:szCs w:val="20"/>
        </w:rPr>
        <w:t xml:space="preserve">jurisdicción interna que establece el artículo 46 </w:t>
      </w:r>
      <w:r w:rsidR="007D2962" w:rsidRPr="00411EE2">
        <w:rPr>
          <w:rFonts w:ascii="Verdana" w:hAnsi="Verdana"/>
          <w:sz w:val="20"/>
          <w:szCs w:val="20"/>
          <w:lang w:val="es-CR"/>
        </w:rPr>
        <w:t>de la Convención</w:t>
      </w:r>
      <w:r w:rsidR="00E3099E" w:rsidRPr="00411EE2">
        <w:rPr>
          <w:rFonts w:ascii="Verdana" w:hAnsi="Verdana"/>
          <w:sz w:val="20"/>
          <w:szCs w:val="20"/>
          <w:lang w:val="es-CR"/>
        </w:rPr>
        <w:t xml:space="preserve"> Americana</w:t>
      </w:r>
      <w:r w:rsidR="00961501" w:rsidRPr="00411EE2">
        <w:rPr>
          <w:rFonts w:ascii="Verdana" w:hAnsi="Verdana"/>
          <w:sz w:val="20"/>
          <w:szCs w:val="20"/>
          <w:lang w:val="es-CR"/>
        </w:rPr>
        <w:t xml:space="preserve"> ni sus excepciones</w:t>
      </w:r>
      <w:r w:rsidR="005A75A2" w:rsidRPr="00411EE2">
        <w:rPr>
          <w:rFonts w:ascii="Verdana" w:hAnsi="Verdana"/>
          <w:sz w:val="20"/>
          <w:szCs w:val="20"/>
          <w:lang w:val="es-CR"/>
        </w:rPr>
        <w:t>.</w:t>
      </w:r>
    </w:p>
    <w:p w14:paraId="71F36517" w14:textId="00EB4F80" w:rsidR="008764EA" w:rsidRPr="00B660E9" w:rsidRDefault="00961501" w:rsidP="00917363">
      <w:pPr>
        <w:numPr>
          <w:ilvl w:val="0"/>
          <w:numId w:val="2"/>
        </w:numPr>
        <w:spacing w:before="120" w:after="120"/>
        <w:ind w:left="0" w:firstLine="0"/>
        <w:jc w:val="both"/>
        <w:rPr>
          <w:rFonts w:ascii="Verdana" w:hAnsi="Verdana"/>
          <w:sz w:val="20"/>
          <w:szCs w:val="20"/>
        </w:rPr>
      </w:pPr>
      <w:r w:rsidRPr="00411EE2">
        <w:rPr>
          <w:rFonts w:ascii="Verdana" w:eastAsia="Calibri" w:hAnsi="Verdana" w:cs="Verdana"/>
          <w:color w:val="000000"/>
          <w:sz w:val="20"/>
          <w:szCs w:val="20"/>
          <w:lang w:val="es-CR"/>
        </w:rPr>
        <w:t>Asimismo</w:t>
      </w:r>
      <w:r w:rsidR="00917363" w:rsidRPr="00411EE2">
        <w:rPr>
          <w:rFonts w:ascii="Verdana" w:hAnsi="Verdana"/>
          <w:sz w:val="20"/>
          <w:szCs w:val="20"/>
        </w:rPr>
        <w:t xml:space="preserve">, la Corte </w:t>
      </w:r>
      <w:r w:rsidR="007D2962" w:rsidRPr="00411EE2">
        <w:rPr>
          <w:rFonts w:ascii="Verdana" w:hAnsi="Verdana"/>
          <w:sz w:val="20"/>
          <w:szCs w:val="20"/>
        </w:rPr>
        <w:t>considera pertinente recordar</w:t>
      </w:r>
      <w:r w:rsidR="00917363" w:rsidRPr="00B660E9">
        <w:rPr>
          <w:rFonts w:ascii="Verdana" w:hAnsi="Verdana"/>
          <w:sz w:val="20"/>
          <w:szCs w:val="20"/>
        </w:rPr>
        <w:t xml:space="preserve"> que todas las autoridades de un Estado Parte en la Convención Americana, incluidos las y los jueces y órganos vinculados a la administración de justicia, </w:t>
      </w:r>
      <w:r w:rsidR="008764EA" w:rsidRPr="00B660E9">
        <w:rPr>
          <w:rFonts w:ascii="Verdana" w:hAnsi="Verdana"/>
          <w:sz w:val="20"/>
          <w:szCs w:val="20"/>
        </w:rPr>
        <w:t>tiene</w:t>
      </w:r>
      <w:r w:rsidR="00917363" w:rsidRPr="00B660E9">
        <w:rPr>
          <w:rFonts w:ascii="Verdana" w:hAnsi="Verdana"/>
          <w:sz w:val="20"/>
          <w:szCs w:val="20"/>
        </w:rPr>
        <w:t xml:space="preserve"> la obligación de ejercer un </w:t>
      </w:r>
      <w:r w:rsidR="008764EA" w:rsidRPr="00B660E9">
        <w:rPr>
          <w:rFonts w:ascii="Verdana" w:hAnsi="Verdana"/>
          <w:sz w:val="20"/>
          <w:szCs w:val="20"/>
        </w:rPr>
        <w:t>“</w:t>
      </w:r>
      <w:r w:rsidR="00917363" w:rsidRPr="00B660E9">
        <w:rPr>
          <w:rFonts w:ascii="Verdana" w:hAnsi="Verdana"/>
          <w:sz w:val="20"/>
          <w:szCs w:val="20"/>
        </w:rPr>
        <w:t>control de convencionalidad</w:t>
      </w:r>
      <w:r w:rsidR="008764EA" w:rsidRPr="00B660E9">
        <w:rPr>
          <w:rFonts w:ascii="Verdana" w:hAnsi="Verdana"/>
          <w:sz w:val="20"/>
          <w:szCs w:val="20"/>
        </w:rPr>
        <w:t xml:space="preserve">”, evidentemente en el marco de sus respectivas competencias y de las regulaciones procesales correspondientes, </w:t>
      </w:r>
      <w:r w:rsidR="00917363" w:rsidRPr="00B660E9">
        <w:rPr>
          <w:rFonts w:ascii="Verdana" w:hAnsi="Verdana"/>
          <w:sz w:val="20"/>
          <w:szCs w:val="20"/>
        </w:rPr>
        <w:t xml:space="preserve">de forma tal que la interpretación y aplicación del derecho nacional sea consistente con las obligaciones internacionales del Estado en materia de derechos humanos. </w:t>
      </w:r>
      <w:r w:rsidR="008764EA" w:rsidRPr="00B660E9">
        <w:rPr>
          <w:rFonts w:ascii="Verdana" w:hAnsi="Verdana"/>
          <w:sz w:val="20"/>
          <w:szCs w:val="20"/>
        </w:rPr>
        <w:t>E</w:t>
      </w:r>
      <w:r w:rsidR="00917363" w:rsidRPr="00B660E9">
        <w:rPr>
          <w:rFonts w:ascii="Verdana" w:hAnsi="Verdana"/>
          <w:sz w:val="20"/>
          <w:szCs w:val="20"/>
        </w:rPr>
        <w:t>n esta tarea deben tener en cuenta no solamente la Convención Americana y demás instrumentos interamericanos, sino también la interpretación que de estos ha hecho la Corte Interamericana”</w:t>
      </w:r>
      <w:r w:rsidR="00E3099E" w:rsidRPr="00B660E9">
        <w:rPr>
          <w:rStyle w:val="Refdenotaalpie"/>
          <w:sz w:val="20"/>
          <w:szCs w:val="20"/>
        </w:rPr>
        <w:footnoteReference w:id="32"/>
      </w:r>
      <w:r w:rsidR="00917363" w:rsidRPr="00B660E9">
        <w:rPr>
          <w:rFonts w:ascii="Verdana" w:hAnsi="Verdana"/>
          <w:sz w:val="20"/>
          <w:szCs w:val="20"/>
        </w:rPr>
        <w:t>.</w:t>
      </w:r>
    </w:p>
    <w:p w14:paraId="217A270B" w14:textId="4905E8EA" w:rsidR="00BB2604" w:rsidRPr="00284178" w:rsidRDefault="00BB2604" w:rsidP="00BB2604">
      <w:pPr>
        <w:numPr>
          <w:ilvl w:val="0"/>
          <w:numId w:val="2"/>
        </w:numPr>
        <w:spacing w:before="120" w:after="120"/>
        <w:ind w:left="0" w:firstLine="0"/>
        <w:jc w:val="both"/>
        <w:rPr>
          <w:rFonts w:ascii="Verdana" w:hAnsi="Verdana"/>
          <w:sz w:val="20"/>
          <w:szCs w:val="20"/>
        </w:rPr>
      </w:pPr>
      <w:r w:rsidRPr="00BB2604">
        <w:rPr>
          <w:rFonts w:ascii="Verdana" w:hAnsi="Verdana"/>
          <w:sz w:val="20"/>
          <w:szCs w:val="20"/>
        </w:rPr>
        <w:t xml:space="preserve">Considerando que la Corte no puede, ni </w:t>
      </w:r>
      <w:r w:rsidRPr="00003477">
        <w:rPr>
          <w:rFonts w:ascii="Verdana" w:hAnsi="Verdana"/>
          <w:sz w:val="20"/>
          <w:szCs w:val="20"/>
        </w:rPr>
        <w:t>pretende, sustituir a las autoridades nacionales en su tarea de realizar un control jurisdiccional</w:t>
      </w:r>
      <w:r w:rsidR="00961501" w:rsidRPr="00003477">
        <w:rPr>
          <w:rStyle w:val="Refdenotaalpie"/>
          <w:sz w:val="20"/>
          <w:szCs w:val="20"/>
        </w:rPr>
        <w:footnoteReference w:id="33"/>
      </w:r>
      <w:r w:rsidRPr="00003477">
        <w:rPr>
          <w:rFonts w:ascii="Verdana" w:hAnsi="Verdana"/>
          <w:sz w:val="20"/>
          <w:szCs w:val="20"/>
        </w:rPr>
        <w:t xml:space="preserve"> de la referida decisión de </w:t>
      </w:r>
      <w:r w:rsidRPr="00003477">
        <w:rPr>
          <w:rFonts w:ascii="Verdana" w:eastAsia="Calibri" w:hAnsi="Verdana" w:cs="Verdana"/>
          <w:color w:val="000000"/>
          <w:sz w:val="20"/>
          <w:szCs w:val="20"/>
          <w:lang w:val="es-CR"/>
        </w:rPr>
        <w:t>23 de julio de 2021</w:t>
      </w:r>
      <w:r w:rsidRPr="00003477">
        <w:rPr>
          <w:rFonts w:ascii="Verdana" w:hAnsi="Verdana"/>
          <w:sz w:val="20"/>
          <w:szCs w:val="20"/>
        </w:rPr>
        <w:t>, y a fin de coadyuvar en el ejercicio que le compete al</w:t>
      </w:r>
      <w:r w:rsidRPr="00284178">
        <w:rPr>
          <w:rFonts w:ascii="Verdana" w:hAnsi="Verdana"/>
          <w:sz w:val="20"/>
          <w:szCs w:val="20"/>
        </w:rPr>
        <w:t xml:space="preserve"> Poder Judicial de ejercer un “control de convencionalidad” </w:t>
      </w:r>
      <w:r w:rsidRPr="00284178">
        <w:rPr>
          <w:rFonts w:ascii="Verdana" w:hAnsi="Verdana"/>
          <w:i/>
          <w:sz w:val="20"/>
          <w:szCs w:val="20"/>
        </w:rPr>
        <w:t xml:space="preserve">ex </w:t>
      </w:r>
      <w:proofErr w:type="spellStart"/>
      <w:r w:rsidRPr="00284178">
        <w:rPr>
          <w:rFonts w:ascii="Verdana" w:hAnsi="Verdana"/>
          <w:i/>
          <w:sz w:val="20"/>
          <w:szCs w:val="20"/>
        </w:rPr>
        <w:t>officio</w:t>
      </w:r>
      <w:proofErr w:type="spellEnd"/>
      <w:r w:rsidRPr="00284178">
        <w:rPr>
          <w:rFonts w:ascii="Verdana" w:hAnsi="Verdana"/>
          <w:sz w:val="20"/>
          <w:szCs w:val="20"/>
        </w:rPr>
        <w:t xml:space="preserve"> entre las normas internas y la Convención Americana, la Corte estima importante recordar el contenido y alcance de su jurisprudencia al respecto.</w:t>
      </w:r>
    </w:p>
    <w:p w14:paraId="6638A0A5" w14:textId="2247C1A1" w:rsidR="00284178" w:rsidRPr="00E22B28" w:rsidRDefault="00440058" w:rsidP="00284178">
      <w:pPr>
        <w:numPr>
          <w:ilvl w:val="0"/>
          <w:numId w:val="2"/>
        </w:numPr>
        <w:spacing w:before="120" w:after="120"/>
        <w:ind w:left="0" w:firstLine="0"/>
        <w:jc w:val="both"/>
        <w:rPr>
          <w:rFonts w:ascii="Verdana" w:hAnsi="Verdana"/>
          <w:sz w:val="20"/>
          <w:szCs w:val="20"/>
        </w:rPr>
      </w:pPr>
      <w:r>
        <w:rPr>
          <w:rFonts w:ascii="Verdana" w:hAnsi="Verdana"/>
          <w:sz w:val="20"/>
          <w:szCs w:val="20"/>
        </w:rPr>
        <w:t>E</w:t>
      </w:r>
      <w:r w:rsidR="00284178" w:rsidRPr="00284178">
        <w:rPr>
          <w:rFonts w:ascii="Verdana" w:hAnsi="Verdana"/>
          <w:sz w:val="20"/>
          <w:szCs w:val="20"/>
          <w:lang w:val="es-GT" w:eastAsia="es-MX"/>
        </w:rPr>
        <w:t xml:space="preserve">n lo que respecta a la función específica de las y los fiscales, </w:t>
      </w:r>
      <w:r w:rsidRPr="00284178">
        <w:rPr>
          <w:rFonts w:ascii="Verdana" w:hAnsi="Verdana"/>
          <w:sz w:val="20"/>
          <w:szCs w:val="20"/>
          <w:lang w:val="es-GT" w:eastAsia="es-MX"/>
        </w:rPr>
        <w:t xml:space="preserve">este Tribunal ha destacado </w:t>
      </w:r>
      <w:r w:rsidR="00284178" w:rsidRPr="00284178">
        <w:rPr>
          <w:rFonts w:ascii="Verdana" w:hAnsi="Verdana"/>
          <w:sz w:val="20"/>
          <w:szCs w:val="20"/>
          <w:lang w:val="es-GT" w:eastAsia="es-MX"/>
        </w:rPr>
        <w:t>que desempeñan funciones de operadores de justicia y, en tal carácter, requieren gozar de garantías de estabilidad laboral, entre otras, como condición elemental de su independencia para el debido cumplimiento de sus funciones procesales</w:t>
      </w:r>
      <w:r w:rsidR="00284178" w:rsidRPr="00284178">
        <w:rPr>
          <w:rFonts w:ascii="Verdana" w:hAnsi="Verdana"/>
          <w:sz w:val="20"/>
          <w:szCs w:val="20"/>
          <w:vertAlign w:val="superscript"/>
          <w:lang w:val="es-GT" w:eastAsia="es-MX"/>
        </w:rPr>
        <w:footnoteReference w:id="34"/>
      </w:r>
      <w:r w:rsidR="00284178" w:rsidRPr="00284178">
        <w:rPr>
          <w:rFonts w:ascii="Verdana" w:hAnsi="Verdana"/>
          <w:sz w:val="20"/>
          <w:szCs w:val="20"/>
          <w:lang w:val="es-GT" w:eastAsia="es-MX"/>
        </w:rPr>
        <w:t>.</w:t>
      </w:r>
      <w:r w:rsidR="00284178" w:rsidRPr="00284178">
        <w:rPr>
          <w:rFonts w:ascii="Verdana" w:hAnsi="Verdana" w:cs="Arial"/>
          <w:bCs/>
          <w:iCs/>
          <w:sz w:val="20"/>
          <w:szCs w:val="20"/>
          <w:lang w:val="es-CO" w:eastAsia="es-MX"/>
        </w:rPr>
        <w:t xml:space="preserve"> Por tanto, se encuentran amparados por </w:t>
      </w:r>
      <w:r w:rsidR="00284178" w:rsidRPr="00284178">
        <w:rPr>
          <w:rFonts w:ascii="Verdana" w:hAnsi="Verdana"/>
          <w:sz w:val="20"/>
          <w:szCs w:val="20"/>
          <w:lang w:val="es-GT" w:eastAsia="es-MX"/>
        </w:rPr>
        <w:t xml:space="preserve">las garantías a un adecuado nombramiento, a la inamovilidad en el cargo y a ser protegidos contra presiones externas. De otro modo, se pondrían en riesgo la independencia y la objetividad que son exigibles en su función como principios dirigidos a asegurar que las investigaciones efectuadas y </w:t>
      </w:r>
      <w:r w:rsidR="00284178" w:rsidRPr="00284178">
        <w:rPr>
          <w:rFonts w:ascii="Verdana" w:eastAsia="Calibri" w:hAnsi="Verdana" w:cs="Arial"/>
          <w:sz w:val="20"/>
          <w:szCs w:val="20"/>
          <w:lang w:val="es-GT"/>
        </w:rPr>
        <w:t>las</w:t>
      </w:r>
      <w:r w:rsidR="00284178" w:rsidRPr="00284178">
        <w:rPr>
          <w:rFonts w:ascii="Verdana" w:hAnsi="Verdana" w:cs="Arial"/>
          <w:sz w:val="20"/>
          <w:szCs w:val="20"/>
          <w:lang w:val="es-GT" w:eastAsia="es-MX"/>
        </w:rPr>
        <w:t xml:space="preserve"> pretensiones formuladas ante los órganos jurisdiccionales se dirijan exclusivamente a la realización de la justicia en el caso concreto, en coherencia con los alcances del artículo 8 de la Convención. </w:t>
      </w:r>
      <w:r>
        <w:rPr>
          <w:rFonts w:ascii="Verdana" w:hAnsi="Verdana" w:cs="Arial"/>
          <w:sz w:val="20"/>
          <w:szCs w:val="20"/>
          <w:lang w:val="es-GT" w:eastAsia="es-MX"/>
        </w:rPr>
        <w:t>L</w:t>
      </w:r>
      <w:r w:rsidR="00284178" w:rsidRPr="00284178">
        <w:rPr>
          <w:rFonts w:ascii="Verdana" w:hAnsi="Verdana"/>
          <w:sz w:val="20"/>
          <w:szCs w:val="20"/>
          <w:lang w:val="es-GT" w:eastAsia="es-MX"/>
        </w:rPr>
        <w:t>a falta de garantía de inamovilidad de las y los fiscales, al hacerlos vulnerables frente a represalias por las decisiones que asuman, conlleva violación a la independencia que garantiza, precisamente, el artículo 8.1 de la Convención</w:t>
      </w:r>
      <w:r w:rsidR="00284178" w:rsidRPr="00284178">
        <w:rPr>
          <w:rFonts w:ascii="Verdana" w:hAnsi="Verdana"/>
          <w:sz w:val="20"/>
          <w:szCs w:val="20"/>
          <w:vertAlign w:val="superscript"/>
          <w:lang w:val="es-GT" w:eastAsia="es-MX"/>
        </w:rPr>
        <w:footnoteReference w:id="35"/>
      </w:r>
      <w:r w:rsidR="00284178" w:rsidRPr="00284178">
        <w:rPr>
          <w:rFonts w:ascii="Verdana" w:hAnsi="Verdana"/>
          <w:sz w:val="20"/>
          <w:szCs w:val="20"/>
          <w:lang w:val="es-GT" w:eastAsia="es-MX"/>
        </w:rPr>
        <w:t xml:space="preserve">. </w:t>
      </w:r>
      <w:r w:rsidR="00284178" w:rsidRPr="00284178">
        <w:rPr>
          <w:rFonts w:ascii="Verdana" w:hAnsi="Verdana" w:cs="Arial"/>
          <w:bCs/>
          <w:iCs/>
          <w:sz w:val="20"/>
          <w:szCs w:val="20"/>
          <w:lang w:val="es-CO" w:eastAsia="es-MX"/>
        </w:rPr>
        <w:t>L</w:t>
      </w:r>
      <w:r w:rsidR="00284178" w:rsidRPr="00284178">
        <w:rPr>
          <w:rFonts w:ascii="Verdana" w:hAnsi="Verdana"/>
          <w:sz w:val="20"/>
          <w:szCs w:val="20"/>
          <w:lang w:val="es-GT" w:eastAsia="es-MX"/>
        </w:rPr>
        <w:t xml:space="preserve">a </w:t>
      </w:r>
      <w:r w:rsidR="00284178" w:rsidRPr="00E22B28">
        <w:rPr>
          <w:rFonts w:ascii="Verdana" w:hAnsi="Verdana"/>
          <w:sz w:val="20"/>
          <w:szCs w:val="20"/>
          <w:lang w:val="es-GT" w:eastAsia="es-MX"/>
        </w:rPr>
        <w:t xml:space="preserve">independencia que se reconoce a las y los fiscales configura la </w:t>
      </w:r>
      <w:r w:rsidR="00284178" w:rsidRPr="00E22B28">
        <w:rPr>
          <w:rFonts w:ascii="Verdana" w:hAnsi="Verdana"/>
          <w:sz w:val="20"/>
          <w:szCs w:val="20"/>
          <w:lang w:val="es-GT" w:eastAsia="es-MX"/>
        </w:rPr>
        <w:lastRenderedPageBreak/>
        <w:t>garantía de que no serán objeto de presiones políticas o injerencias indebidas en su actuación, ni de represalias por las decisiones que objetivamente hayan asumido, lo que exige, precisamente, la garantía de estabilidad e inamovilidad en el cargo</w:t>
      </w:r>
      <w:r w:rsidR="00284178" w:rsidRPr="00E22B28">
        <w:rPr>
          <w:rFonts w:ascii="Verdana" w:hAnsi="Verdana"/>
          <w:sz w:val="20"/>
          <w:szCs w:val="20"/>
          <w:vertAlign w:val="superscript"/>
          <w:lang w:val="es-GT" w:eastAsia="es-MX"/>
        </w:rPr>
        <w:footnoteReference w:id="36"/>
      </w:r>
      <w:r w:rsidR="00284178" w:rsidRPr="00E22B28">
        <w:rPr>
          <w:rFonts w:ascii="Verdana" w:hAnsi="Verdana"/>
          <w:sz w:val="20"/>
          <w:szCs w:val="20"/>
          <w:lang w:val="es-GT" w:eastAsia="es-MX"/>
        </w:rPr>
        <w:t>.</w:t>
      </w:r>
    </w:p>
    <w:p w14:paraId="2577B701" w14:textId="77777777" w:rsidR="008B60D8" w:rsidRPr="00E22B28" w:rsidRDefault="00284178" w:rsidP="00284178">
      <w:pPr>
        <w:numPr>
          <w:ilvl w:val="0"/>
          <w:numId w:val="2"/>
        </w:numPr>
        <w:spacing w:before="120" w:after="120"/>
        <w:ind w:left="0" w:firstLine="0"/>
        <w:jc w:val="both"/>
        <w:rPr>
          <w:rFonts w:ascii="Verdana" w:hAnsi="Verdana"/>
          <w:sz w:val="20"/>
          <w:szCs w:val="20"/>
        </w:rPr>
      </w:pPr>
      <w:r w:rsidRPr="00E22B28">
        <w:rPr>
          <w:rFonts w:ascii="Verdana" w:hAnsi="Verdana"/>
          <w:sz w:val="20"/>
          <w:szCs w:val="20"/>
          <w:lang w:val="es-GT" w:eastAsia="es-MX"/>
        </w:rPr>
        <w:t xml:space="preserve">En virtud de las anteriores consideraciones, esta Corte reitera que la garantía de estabilidad e inamovilidad en el cargo para los y las fiscales implica, a su vez, </w:t>
      </w:r>
      <w:r w:rsidRPr="00E22B28">
        <w:rPr>
          <w:rFonts w:ascii="Verdana" w:hAnsi="Verdana"/>
          <w:sz w:val="20"/>
          <w:szCs w:val="20"/>
        </w:rPr>
        <w:t xml:space="preserve">(i) </w:t>
      </w:r>
      <w:r w:rsidRPr="00E22B28">
        <w:rPr>
          <w:rFonts w:ascii="Verdana" w:hAnsi="Verdana" w:cs="Arial"/>
          <w:sz w:val="20"/>
          <w:szCs w:val="20"/>
        </w:rPr>
        <w:t xml:space="preserve">que la </w:t>
      </w:r>
      <w:r w:rsidRPr="00E22B28">
        <w:rPr>
          <w:rStyle w:val="nfasis"/>
          <w:rFonts w:ascii="Verdana" w:hAnsi="Verdana" w:cs="Arial"/>
          <w:i w:val="0"/>
          <w:sz w:val="20"/>
          <w:szCs w:val="20"/>
        </w:rPr>
        <w:t>separación del cargo obedezca exclusivamente a las causales permitidas</w:t>
      </w:r>
      <w:r w:rsidRPr="00E22B28">
        <w:rPr>
          <w:rFonts w:ascii="Verdana" w:hAnsi="Verdana" w:cs="Arial"/>
          <w:sz w:val="20"/>
          <w:szCs w:val="20"/>
        </w:rPr>
        <w:t xml:space="preserve">, ya sea por medio de un proceso que cumpla con </w:t>
      </w:r>
      <w:r w:rsidRPr="00E22B28">
        <w:rPr>
          <w:rStyle w:val="nfasis"/>
          <w:rFonts w:ascii="Verdana" w:hAnsi="Verdana" w:cs="Arial"/>
          <w:bCs/>
          <w:i w:val="0"/>
          <w:sz w:val="20"/>
          <w:szCs w:val="20"/>
        </w:rPr>
        <w:t>las</w:t>
      </w:r>
      <w:r w:rsidRPr="00E22B28">
        <w:rPr>
          <w:rFonts w:ascii="Verdana" w:hAnsi="Verdana" w:cs="Arial"/>
          <w:sz w:val="20"/>
          <w:szCs w:val="20"/>
        </w:rPr>
        <w:t xml:space="preserve"> garantías judiciales o porque se ha cumplido el término o período de su mandato; (</w:t>
      </w:r>
      <w:proofErr w:type="spellStart"/>
      <w:r w:rsidRPr="00E22B28">
        <w:rPr>
          <w:rFonts w:ascii="Verdana" w:hAnsi="Verdana" w:cs="Arial"/>
          <w:sz w:val="20"/>
          <w:szCs w:val="20"/>
        </w:rPr>
        <w:t>ii</w:t>
      </w:r>
      <w:proofErr w:type="spellEnd"/>
      <w:r w:rsidRPr="00E22B28">
        <w:rPr>
          <w:rFonts w:ascii="Verdana" w:hAnsi="Verdana" w:cs="Arial"/>
          <w:sz w:val="20"/>
          <w:szCs w:val="20"/>
        </w:rPr>
        <w:t>) que las y los fiscales solo pueden ser destituidas o destituidos por faltas de disciplina graves o incompetencia, y (</w:t>
      </w:r>
      <w:proofErr w:type="spellStart"/>
      <w:r w:rsidRPr="00E22B28">
        <w:rPr>
          <w:rFonts w:ascii="Verdana" w:hAnsi="Verdana" w:cs="Arial"/>
          <w:sz w:val="20"/>
          <w:szCs w:val="20"/>
        </w:rPr>
        <w:t>iii</w:t>
      </w:r>
      <w:proofErr w:type="spellEnd"/>
      <w:r w:rsidRPr="00E22B28">
        <w:rPr>
          <w:rFonts w:ascii="Verdana" w:hAnsi="Verdana" w:cs="Arial"/>
          <w:sz w:val="20"/>
          <w:szCs w:val="20"/>
        </w:rPr>
        <w:t xml:space="preserve">) que todo proceso seguido contra fiscales se resuelva mediante procedimientos justos, objetivos e imparciales, según la Constitución o la ley, </w:t>
      </w:r>
      <w:bookmarkStart w:id="5" w:name="_Hlk50400232"/>
      <w:r w:rsidRPr="00E22B28">
        <w:rPr>
          <w:rFonts w:ascii="Verdana" w:hAnsi="Verdana" w:cs="Arial"/>
          <w:sz w:val="20"/>
          <w:szCs w:val="20"/>
        </w:rPr>
        <w:t xml:space="preserve">pues la libre remoción de las y </w:t>
      </w:r>
      <w:r w:rsidRPr="00E22B28">
        <w:rPr>
          <w:rStyle w:val="nfasis"/>
          <w:rFonts w:ascii="Verdana" w:hAnsi="Verdana" w:cs="Arial"/>
          <w:bCs/>
          <w:i w:val="0"/>
          <w:sz w:val="20"/>
          <w:szCs w:val="20"/>
        </w:rPr>
        <w:t>los fiscales</w:t>
      </w:r>
      <w:r w:rsidRPr="00E22B28">
        <w:rPr>
          <w:rStyle w:val="nfasis"/>
          <w:rFonts w:ascii="Verdana" w:hAnsi="Verdana" w:cs="Arial"/>
          <w:bCs/>
          <w:sz w:val="20"/>
          <w:szCs w:val="20"/>
        </w:rPr>
        <w:t xml:space="preserve"> </w:t>
      </w:r>
      <w:r w:rsidRPr="00E22B28">
        <w:rPr>
          <w:rFonts w:ascii="Verdana" w:hAnsi="Verdana" w:cs="Arial"/>
          <w:sz w:val="20"/>
          <w:szCs w:val="20"/>
        </w:rPr>
        <w:t>fomenta la duda objetiva sobre la posibilidad efectiva que tienen de ejercer sus funciones sin temor a represalias</w:t>
      </w:r>
      <w:bookmarkEnd w:id="5"/>
      <w:r w:rsidRPr="00E22B28">
        <w:rPr>
          <w:rStyle w:val="Refdenotaalpie"/>
          <w:sz w:val="20"/>
          <w:szCs w:val="20"/>
        </w:rPr>
        <w:footnoteReference w:id="37"/>
      </w:r>
      <w:r w:rsidRPr="00E22B28">
        <w:rPr>
          <w:rFonts w:ascii="Verdana" w:hAnsi="Verdana"/>
          <w:sz w:val="20"/>
          <w:szCs w:val="20"/>
        </w:rPr>
        <w:t>.</w:t>
      </w:r>
    </w:p>
    <w:p w14:paraId="7CB46BC4" w14:textId="767BDA8D" w:rsidR="00E12B17" w:rsidRPr="00C80800" w:rsidRDefault="00440058" w:rsidP="00E12B17">
      <w:pPr>
        <w:numPr>
          <w:ilvl w:val="0"/>
          <w:numId w:val="2"/>
        </w:numPr>
        <w:spacing w:before="120" w:after="120"/>
        <w:ind w:left="0" w:firstLine="0"/>
        <w:jc w:val="both"/>
        <w:rPr>
          <w:rFonts w:ascii="Verdana" w:hAnsi="Verdana"/>
          <w:sz w:val="20"/>
          <w:szCs w:val="20"/>
        </w:rPr>
      </w:pPr>
      <w:r w:rsidRPr="00E22B28">
        <w:rPr>
          <w:rFonts w:ascii="Verdana" w:hAnsi="Verdana"/>
          <w:sz w:val="20"/>
          <w:szCs w:val="20"/>
          <w:lang w:val="es-CR"/>
        </w:rPr>
        <w:t>En específico, y teniendo en consideración que el artículo 23.1 c) de la Convención Americana establece el derecho a acceder a funciones públicas en condiciones generales de igualdad, esta Corte ha interpretado que el acceso en condiciones de igualdad es una garantía insuficiente si no está acompañada por la protección efectiva de la permanencia en aquello a lo que se accede</w:t>
      </w:r>
      <w:r w:rsidRPr="00E22B28">
        <w:rPr>
          <w:rStyle w:val="Refdenotaalpie"/>
          <w:sz w:val="20"/>
          <w:szCs w:val="20"/>
          <w:lang w:val="es-CO"/>
        </w:rPr>
        <w:footnoteReference w:id="38"/>
      </w:r>
      <w:r w:rsidRPr="00E22B28">
        <w:rPr>
          <w:rFonts w:ascii="Verdana" w:hAnsi="Verdana"/>
          <w:sz w:val="20"/>
          <w:szCs w:val="20"/>
          <w:lang w:val="es-CR"/>
        </w:rPr>
        <w:t>, lo que indica que los procedimientos de nombramiento, ascenso, suspensión y destitución de funcionarios públicos deben ser objetivos y razonables</w:t>
      </w:r>
      <w:r w:rsidR="00E22B28" w:rsidRPr="00E22B28">
        <w:rPr>
          <w:rStyle w:val="Refdenotaalpie"/>
          <w:sz w:val="20"/>
          <w:szCs w:val="20"/>
          <w:lang w:val="es-CO"/>
        </w:rPr>
        <w:footnoteReference w:id="39"/>
      </w:r>
      <w:r w:rsidRPr="00E22B28">
        <w:rPr>
          <w:rFonts w:ascii="Verdana" w:hAnsi="Verdana"/>
          <w:sz w:val="20"/>
          <w:szCs w:val="20"/>
          <w:lang w:val="es-CR"/>
        </w:rPr>
        <w:t>, es decir, deben respetar las garantías del debido proceso aplicables.</w:t>
      </w:r>
      <w:r w:rsidR="005C12DC" w:rsidRPr="00E22B28">
        <w:rPr>
          <w:rFonts w:ascii="Verdana" w:hAnsi="Verdana"/>
          <w:sz w:val="20"/>
          <w:szCs w:val="20"/>
        </w:rPr>
        <w:t xml:space="preserve"> </w:t>
      </w:r>
      <w:r w:rsidR="005C12DC" w:rsidRPr="00E22B28">
        <w:rPr>
          <w:rFonts w:ascii="Verdana" w:hAnsi="Verdana"/>
          <w:sz w:val="20"/>
          <w:szCs w:val="20"/>
          <w:lang w:val="es-CR"/>
        </w:rPr>
        <w:t>Esta Corte se ha pronunciado de manera reiterada sobre este derecho</w:t>
      </w:r>
      <w:r w:rsidR="003829C8">
        <w:rPr>
          <w:rFonts w:ascii="Verdana" w:hAnsi="Verdana"/>
          <w:sz w:val="20"/>
          <w:szCs w:val="20"/>
          <w:lang w:val="es-CR"/>
        </w:rPr>
        <w:t xml:space="preserve"> (</w:t>
      </w:r>
      <w:r w:rsidR="003829C8" w:rsidRPr="00E22B28">
        <w:rPr>
          <w:rFonts w:ascii="Verdana" w:hAnsi="Verdana"/>
          <w:sz w:val="20"/>
          <w:szCs w:val="20"/>
          <w:lang w:val="es-CR"/>
        </w:rPr>
        <w:t>artículo 23.1 c)</w:t>
      </w:r>
      <w:r w:rsidR="005C12DC" w:rsidRPr="00E22B28">
        <w:rPr>
          <w:rFonts w:ascii="Verdana" w:hAnsi="Verdana"/>
          <w:sz w:val="20"/>
          <w:szCs w:val="20"/>
          <w:lang w:val="es-CR"/>
        </w:rPr>
        <w:t xml:space="preserve"> en relación con procesos de destitución de fiscales</w:t>
      </w:r>
      <w:r w:rsidR="005C12DC" w:rsidRPr="00E22B28">
        <w:rPr>
          <w:rStyle w:val="Refdenotaalpie"/>
          <w:sz w:val="20"/>
          <w:szCs w:val="20"/>
          <w:lang w:val="es-CO"/>
        </w:rPr>
        <w:footnoteReference w:id="40"/>
      </w:r>
      <w:r w:rsidR="005C12DC" w:rsidRPr="00E22B28">
        <w:rPr>
          <w:rFonts w:ascii="Verdana" w:hAnsi="Verdana"/>
          <w:sz w:val="20"/>
          <w:szCs w:val="20"/>
          <w:lang w:val="es-CR"/>
        </w:rPr>
        <w:t xml:space="preserve"> y ha considerado que se relaciona con la garantía de estabilidad o inamovilidad en el cargo. De </w:t>
      </w:r>
      <w:r w:rsidR="00355A2D">
        <w:rPr>
          <w:rFonts w:ascii="Verdana" w:hAnsi="Verdana"/>
          <w:sz w:val="20"/>
          <w:szCs w:val="20"/>
          <w:lang w:val="es-CR"/>
        </w:rPr>
        <w:t xml:space="preserve">este </w:t>
      </w:r>
      <w:r w:rsidR="005C12DC" w:rsidRPr="00E22B28">
        <w:rPr>
          <w:rFonts w:ascii="Verdana" w:hAnsi="Verdana"/>
          <w:sz w:val="20"/>
          <w:szCs w:val="20"/>
          <w:lang w:val="es-CR"/>
        </w:rPr>
        <w:t>modo</w:t>
      </w:r>
      <w:r w:rsidR="00355A2D">
        <w:rPr>
          <w:rFonts w:ascii="Verdana" w:hAnsi="Verdana"/>
          <w:sz w:val="20"/>
          <w:szCs w:val="20"/>
          <w:lang w:val="es-CR"/>
        </w:rPr>
        <w:t>,</w:t>
      </w:r>
      <w:r w:rsidR="005C12DC" w:rsidRPr="00E22B28">
        <w:rPr>
          <w:rFonts w:ascii="Verdana" w:hAnsi="Verdana"/>
          <w:sz w:val="20"/>
          <w:szCs w:val="20"/>
          <w:lang w:val="es-CR"/>
        </w:rPr>
        <w:t xml:space="preserve"> el respeto y garantía de este derecho se cumple </w:t>
      </w:r>
      <w:r w:rsidR="005C12DC" w:rsidRPr="00C80800">
        <w:rPr>
          <w:rFonts w:ascii="Verdana" w:hAnsi="Verdana"/>
          <w:sz w:val="20"/>
          <w:szCs w:val="20"/>
          <w:lang w:val="es-CR"/>
        </w:rPr>
        <w:t>cuando los criterios y procedimientos para el nombramiento, ascenso, suspensión y destitución de fiscales son razonables y objetivos, y las personas no son objeto de discriminación en su ejercicio</w:t>
      </w:r>
      <w:r w:rsidR="005C12DC" w:rsidRPr="00C80800">
        <w:rPr>
          <w:rStyle w:val="Refdenotaalpie"/>
          <w:sz w:val="20"/>
          <w:szCs w:val="20"/>
          <w:lang w:val="es-CO"/>
        </w:rPr>
        <w:footnoteReference w:id="41"/>
      </w:r>
      <w:r w:rsidR="00FB25F0" w:rsidRPr="00C80800">
        <w:rPr>
          <w:rFonts w:ascii="Verdana" w:hAnsi="Verdana"/>
          <w:sz w:val="20"/>
          <w:szCs w:val="20"/>
          <w:lang w:val="es-CR"/>
        </w:rPr>
        <w:t>.</w:t>
      </w:r>
    </w:p>
    <w:p w14:paraId="30972634" w14:textId="46A8654E" w:rsidR="00E12B17" w:rsidRPr="00C80800" w:rsidRDefault="00E12B17" w:rsidP="00E12B17">
      <w:pPr>
        <w:numPr>
          <w:ilvl w:val="0"/>
          <w:numId w:val="2"/>
        </w:numPr>
        <w:spacing w:before="120" w:after="120"/>
        <w:ind w:left="0" w:firstLine="0"/>
        <w:jc w:val="both"/>
        <w:rPr>
          <w:rFonts w:ascii="Verdana" w:hAnsi="Verdana"/>
          <w:sz w:val="20"/>
          <w:szCs w:val="20"/>
        </w:rPr>
      </w:pPr>
      <w:r w:rsidRPr="00C80800">
        <w:rPr>
          <w:rFonts w:ascii="Verdana" w:hAnsi="Verdana"/>
          <w:sz w:val="20"/>
          <w:szCs w:val="20"/>
        </w:rPr>
        <w:t xml:space="preserve">De esta forma, la jurisprudencia de la Corte ha sido </w:t>
      </w:r>
      <w:r w:rsidR="00856B04" w:rsidRPr="00C80800">
        <w:rPr>
          <w:rFonts w:ascii="Verdana" w:hAnsi="Verdana"/>
          <w:sz w:val="20"/>
          <w:szCs w:val="20"/>
        </w:rPr>
        <w:t>reiterativa</w:t>
      </w:r>
      <w:r w:rsidRPr="00C80800">
        <w:rPr>
          <w:rFonts w:ascii="Verdana" w:hAnsi="Verdana"/>
          <w:sz w:val="20"/>
          <w:szCs w:val="20"/>
        </w:rPr>
        <w:t xml:space="preserve"> en cuanto a que </w:t>
      </w:r>
      <w:r w:rsidRPr="00C80800">
        <w:rPr>
          <w:rFonts w:ascii="Verdana" w:hAnsi="Verdana"/>
          <w:sz w:val="20"/>
          <w:szCs w:val="20"/>
          <w:lang w:val="es-CR"/>
        </w:rPr>
        <w:t>la destitución de un fiscal no es una cuestión</w:t>
      </w:r>
      <w:r w:rsidRPr="001C1651">
        <w:rPr>
          <w:rFonts w:ascii="Verdana" w:hAnsi="Verdana"/>
          <w:sz w:val="20"/>
          <w:szCs w:val="20"/>
          <w:lang w:val="es-CR"/>
        </w:rPr>
        <w:t xml:space="preserve"> </w:t>
      </w:r>
      <w:r w:rsidR="007407C3" w:rsidRPr="001C1651">
        <w:rPr>
          <w:rFonts w:ascii="Verdana" w:hAnsi="Verdana"/>
          <w:sz w:val="20"/>
          <w:szCs w:val="20"/>
          <w:lang w:val="es-CR"/>
        </w:rPr>
        <w:t>exclusivamente</w:t>
      </w:r>
      <w:r w:rsidR="007407C3" w:rsidRPr="00C80800">
        <w:rPr>
          <w:rFonts w:ascii="Verdana" w:hAnsi="Verdana"/>
          <w:b/>
          <w:sz w:val="20"/>
          <w:szCs w:val="20"/>
          <w:lang w:val="es-CR"/>
        </w:rPr>
        <w:t xml:space="preserve"> </w:t>
      </w:r>
      <w:r w:rsidRPr="00C80800">
        <w:rPr>
          <w:rFonts w:ascii="Verdana" w:hAnsi="Verdana"/>
          <w:sz w:val="20"/>
          <w:szCs w:val="20"/>
          <w:lang w:val="es-CR"/>
        </w:rPr>
        <w:t>laboral</w:t>
      </w:r>
      <w:r w:rsidR="0093317E" w:rsidRPr="00C80800">
        <w:rPr>
          <w:rStyle w:val="Refdenotaalpie"/>
          <w:sz w:val="20"/>
          <w:szCs w:val="20"/>
          <w:lang w:val="es-CR"/>
        </w:rPr>
        <w:footnoteReference w:id="42"/>
      </w:r>
      <w:r w:rsidRPr="00C80800">
        <w:rPr>
          <w:rFonts w:ascii="Verdana" w:hAnsi="Verdana"/>
          <w:sz w:val="20"/>
          <w:szCs w:val="20"/>
          <w:lang w:val="es-CR"/>
        </w:rPr>
        <w:t xml:space="preserve"> que se repara con el pago de una indemnización</w:t>
      </w:r>
      <w:r w:rsidR="00544FBC" w:rsidRPr="00C80800">
        <w:rPr>
          <w:rFonts w:ascii="Verdana" w:hAnsi="Verdana"/>
          <w:sz w:val="20"/>
          <w:szCs w:val="20"/>
          <w:lang w:val="es-CR"/>
        </w:rPr>
        <w:t>,</w:t>
      </w:r>
      <w:r w:rsidRPr="00C80800">
        <w:rPr>
          <w:rFonts w:ascii="Verdana" w:hAnsi="Verdana"/>
          <w:sz w:val="20"/>
          <w:szCs w:val="20"/>
          <w:lang w:val="es-CR"/>
        </w:rPr>
        <w:t xml:space="preserve"> sino lo que </w:t>
      </w:r>
      <w:r w:rsidR="00712529">
        <w:rPr>
          <w:rFonts w:ascii="Verdana" w:hAnsi="Verdana"/>
          <w:sz w:val="20"/>
          <w:szCs w:val="20"/>
          <w:lang w:val="es-CR"/>
        </w:rPr>
        <w:t xml:space="preserve">también </w:t>
      </w:r>
      <w:r w:rsidRPr="00C80800">
        <w:rPr>
          <w:rFonts w:ascii="Verdana" w:hAnsi="Verdana"/>
          <w:sz w:val="20"/>
          <w:szCs w:val="20"/>
          <w:lang w:val="es-CR"/>
        </w:rPr>
        <w:t>est</w:t>
      </w:r>
      <w:r w:rsidR="00544FBC" w:rsidRPr="00C80800">
        <w:rPr>
          <w:rFonts w:ascii="Verdana" w:hAnsi="Verdana"/>
          <w:sz w:val="20"/>
          <w:szCs w:val="20"/>
          <w:lang w:val="es-CR"/>
        </w:rPr>
        <w:t>á</w:t>
      </w:r>
      <w:r w:rsidRPr="00C80800">
        <w:rPr>
          <w:rFonts w:ascii="Verdana" w:hAnsi="Verdana"/>
          <w:sz w:val="20"/>
          <w:szCs w:val="20"/>
          <w:lang w:val="es-CR"/>
        </w:rPr>
        <w:t xml:space="preserve"> en juego </w:t>
      </w:r>
      <w:r w:rsidR="00355A2D">
        <w:rPr>
          <w:rFonts w:ascii="Verdana" w:hAnsi="Verdana"/>
          <w:sz w:val="20"/>
          <w:szCs w:val="20"/>
          <w:lang w:val="es-CR"/>
        </w:rPr>
        <w:t xml:space="preserve">es </w:t>
      </w:r>
      <w:r w:rsidRPr="00C80800">
        <w:rPr>
          <w:rFonts w:ascii="Verdana" w:hAnsi="Verdana"/>
          <w:sz w:val="20"/>
          <w:szCs w:val="20"/>
          <w:lang w:val="es-CR"/>
        </w:rPr>
        <w:t>la estabilidad en el ca</w:t>
      </w:r>
      <w:r w:rsidR="00F813EA">
        <w:rPr>
          <w:rFonts w:ascii="Verdana" w:hAnsi="Verdana"/>
          <w:sz w:val="20"/>
          <w:szCs w:val="20"/>
          <w:lang w:val="es-CR"/>
        </w:rPr>
        <w:t>r</w:t>
      </w:r>
      <w:r w:rsidRPr="00C80800">
        <w:rPr>
          <w:rFonts w:ascii="Verdana" w:hAnsi="Verdana"/>
          <w:sz w:val="20"/>
          <w:szCs w:val="20"/>
          <w:lang w:val="es-CR"/>
        </w:rPr>
        <w:t xml:space="preserve">go por la importancia </w:t>
      </w:r>
      <w:r w:rsidR="00544FBC" w:rsidRPr="00C80800">
        <w:rPr>
          <w:rFonts w:ascii="Verdana" w:hAnsi="Verdana"/>
          <w:sz w:val="20"/>
          <w:szCs w:val="20"/>
          <w:lang w:val="es-CR"/>
        </w:rPr>
        <w:t xml:space="preserve">y relevancia </w:t>
      </w:r>
      <w:r w:rsidRPr="00C80800">
        <w:rPr>
          <w:rFonts w:ascii="Verdana" w:hAnsi="Verdana"/>
          <w:sz w:val="20"/>
          <w:szCs w:val="20"/>
          <w:lang w:val="es-CR"/>
        </w:rPr>
        <w:t>que esto tiene para la administración de justicia.</w:t>
      </w:r>
    </w:p>
    <w:p w14:paraId="31A1773A" w14:textId="77777777" w:rsidR="00FB25F0" w:rsidRPr="00B660E9" w:rsidRDefault="00FB25F0" w:rsidP="00FB25F0">
      <w:pPr>
        <w:pStyle w:val="Prrafodelista"/>
        <w:numPr>
          <w:ilvl w:val="2"/>
          <w:numId w:val="16"/>
        </w:numPr>
        <w:spacing w:before="120" w:after="120"/>
        <w:ind w:left="1134"/>
        <w:jc w:val="both"/>
        <w:rPr>
          <w:rFonts w:ascii="Verdana" w:eastAsia="Verdana" w:hAnsi="Verdana" w:cs="Verdana"/>
          <w:i/>
          <w:sz w:val="20"/>
          <w:szCs w:val="20"/>
          <w:lang w:val="es-CR"/>
        </w:rPr>
      </w:pPr>
      <w:r w:rsidRPr="00B660E9">
        <w:rPr>
          <w:rFonts w:ascii="Verdana" w:eastAsiaTheme="minorHAnsi" w:hAnsi="Verdana" w:cs="Verdana"/>
          <w:i/>
          <w:sz w:val="20"/>
          <w:szCs w:val="20"/>
          <w:lang w:val="es-CR"/>
        </w:rPr>
        <w:t xml:space="preserve">Sobre </w:t>
      </w:r>
      <w:r w:rsidRPr="00B660E9">
        <w:rPr>
          <w:rFonts w:ascii="Verdana" w:eastAsia="Verdana" w:hAnsi="Verdana" w:cs="Verdana"/>
          <w:i/>
          <w:sz w:val="20"/>
          <w:szCs w:val="20"/>
          <w:lang w:val="es-CR"/>
        </w:rPr>
        <w:t>las medidas solicitadas a favor del Fiscal “B” y el Auxiliar Fiscal “C”</w:t>
      </w:r>
    </w:p>
    <w:p w14:paraId="1A67B9D9" w14:textId="3EFD2BE6" w:rsidR="00FB25F0" w:rsidRPr="00B660E9" w:rsidRDefault="00FB25F0" w:rsidP="00FB25F0">
      <w:pPr>
        <w:numPr>
          <w:ilvl w:val="0"/>
          <w:numId w:val="2"/>
        </w:numPr>
        <w:spacing w:before="120" w:after="120"/>
        <w:ind w:left="0" w:firstLine="0"/>
        <w:jc w:val="both"/>
        <w:rPr>
          <w:rFonts w:ascii="Verdana" w:hAnsi="Verdana"/>
          <w:sz w:val="20"/>
          <w:szCs w:val="20"/>
          <w:lang w:val="es-CR"/>
        </w:rPr>
      </w:pPr>
      <w:r w:rsidRPr="00B660E9">
        <w:rPr>
          <w:rFonts w:ascii="Verdana" w:eastAsia="Verdana" w:hAnsi="Verdana" w:cs="Verdana"/>
          <w:sz w:val="20"/>
          <w:szCs w:val="20"/>
          <w:lang w:val="es-CR"/>
        </w:rPr>
        <w:t>La Corte considera que</w:t>
      </w:r>
      <w:r w:rsidR="004079E0">
        <w:rPr>
          <w:rFonts w:ascii="Verdana" w:eastAsia="Verdana" w:hAnsi="Verdana" w:cs="Verdana"/>
          <w:sz w:val="20"/>
          <w:szCs w:val="20"/>
          <w:lang w:val="es-CR"/>
        </w:rPr>
        <w:t xml:space="preserve"> en el supuesto del Fiscal “B” y el Auxiliar Fiscal “C”</w:t>
      </w:r>
      <w:r w:rsidRPr="00B660E9">
        <w:rPr>
          <w:rFonts w:ascii="Verdana" w:eastAsia="Verdana" w:hAnsi="Verdana" w:cs="Verdana"/>
          <w:sz w:val="20"/>
          <w:szCs w:val="20"/>
          <w:lang w:val="es-CR"/>
        </w:rPr>
        <w:t xml:space="preserve"> se configura el requisito relativo a que la solicitud de las medidas provisionales tenga “relación con el objeto del caso”, dispuesto en el </w:t>
      </w:r>
      <w:r w:rsidRPr="00B660E9">
        <w:rPr>
          <w:rFonts w:ascii="Verdana" w:hAnsi="Verdana"/>
          <w:sz w:val="20"/>
          <w:szCs w:val="20"/>
        </w:rPr>
        <w:t>artículo 27.3 del Reglamento (</w:t>
      </w:r>
      <w:r w:rsidRPr="00B660E9">
        <w:rPr>
          <w:rFonts w:ascii="Verdana" w:hAnsi="Verdana"/>
          <w:i/>
          <w:sz w:val="20"/>
          <w:szCs w:val="20"/>
        </w:rPr>
        <w:t xml:space="preserve">supra </w:t>
      </w:r>
      <w:r w:rsidRPr="00B660E9">
        <w:rPr>
          <w:rFonts w:ascii="Verdana" w:hAnsi="Verdana"/>
          <w:sz w:val="20"/>
          <w:szCs w:val="20"/>
        </w:rPr>
        <w:t>Considerando 1)</w:t>
      </w:r>
      <w:r w:rsidRPr="00B660E9">
        <w:rPr>
          <w:rFonts w:ascii="Verdana" w:eastAsia="Verdana" w:hAnsi="Verdana" w:cs="Verdana"/>
          <w:sz w:val="20"/>
          <w:szCs w:val="20"/>
          <w:lang w:val="es-CR"/>
        </w:rPr>
        <w:t xml:space="preserve">, ya que </w:t>
      </w:r>
      <w:r w:rsidRPr="00B660E9">
        <w:rPr>
          <w:rFonts w:ascii="Verdana" w:hAnsi="Verdana"/>
          <w:sz w:val="20"/>
          <w:szCs w:val="20"/>
        </w:rPr>
        <w:t>en la Sentencia que emitió este Tribunal en los casos</w:t>
      </w:r>
      <w:r w:rsidRPr="00B660E9">
        <w:rPr>
          <w:rFonts w:ascii="Verdana" w:hAnsi="Verdana"/>
          <w:i/>
          <w:sz w:val="20"/>
          <w:szCs w:val="20"/>
        </w:rPr>
        <w:t xml:space="preserve"> Valenzuela Ávila</w:t>
      </w:r>
      <w:r w:rsidRPr="00B660E9">
        <w:rPr>
          <w:rFonts w:ascii="Verdana" w:hAnsi="Verdana"/>
          <w:sz w:val="20"/>
          <w:szCs w:val="20"/>
        </w:rPr>
        <w:t xml:space="preserve">, y </w:t>
      </w:r>
      <w:r w:rsidRPr="00B660E9">
        <w:rPr>
          <w:rFonts w:ascii="Verdana" w:hAnsi="Verdana"/>
          <w:i/>
          <w:sz w:val="20"/>
          <w:szCs w:val="20"/>
        </w:rPr>
        <w:t>Ruiz Fuentes y otra</w:t>
      </w:r>
      <w:r w:rsidR="008A4902">
        <w:rPr>
          <w:rFonts w:ascii="Verdana" w:hAnsi="Verdana"/>
          <w:sz w:val="20"/>
          <w:szCs w:val="20"/>
        </w:rPr>
        <w:t>,</w:t>
      </w:r>
      <w:r w:rsidRPr="00B660E9">
        <w:rPr>
          <w:rFonts w:ascii="Verdana" w:hAnsi="Verdana"/>
          <w:sz w:val="20"/>
          <w:szCs w:val="20"/>
        </w:rPr>
        <w:t xml:space="preserve"> </w:t>
      </w:r>
      <w:r w:rsidRPr="00B660E9">
        <w:rPr>
          <w:rFonts w:ascii="Verdana" w:eastAsia="Verdana" w:hAnsi="Verdana" w:cs="Verdana"/>
          <w:sz w:val="20"/>
          <w:szCs w:val="20"/>
          <w:lang w:val="es-CR"/>
        </w:rPr>
        <w:t>dispuso la obligación genérica e innominada de que</w:t>
      </w:r>
      <w:r w:rsidRPr="00B660E9">
        <w:rPr>
          <w:rFonts w:ascii="Verdana" w:hAnsi="Verdana"/>
          <w:sz w:val="20"/>
          <w:szCs w:val="20"/>
        </w:rPr>
        <w:t xml:space="preserve"> </w:t>
      </w:r>
      <w:r w:rsidRPr="00B660E9">
        <w:rPr>
          <w:rFonts w:ascii="Verdana" w:eastAsia="Verdana" w:hAnsi="Verdana" w:cs="Verdana"/>
          <w:sz w:val="20"/>
          <w:szCs w:val="20"/>
          <w:lang w:val="es-CR"/>
        </w:rPr>
        <w:t xml:space="preserve">las personas que participaran en la investigación </w:t>
      </w:r>
      <w:r w:rsidRPr="00B660E9">
        <w:rPr>
          <w:rFonts w:ascii="Verdana" w:hAnsi="Verdana"/>
          <w:sz w:val="20"/>
          <w:szCs w:val="20"/>
        </w:rPr>
        <w:t xml:space="preserve">de los hechos violatorios </w:t>
      </w:r>
      <w:r w:rsidRPr="00B660E9">
        <w:rPr>
          <w:rFonts w:ascii="Verdana" w:eastAsia="Verdana" w:hAnsi="Verdana" w:cs="Verdana"/>
          <w:sz w:val="20"/>
          <w:szCs w:val="20"/>
          <w:lang w:val="es-CR"/>
        </w:rPr>
        <w:t xml:space="preserve">sufridos por los señores </w:t>
      </w:r>
      <w:r w:rsidRPr="00B660E9">
        <w:rPr>
          <w:rFonts w:ascii="Verdana" w:hAnsi="Verdana"/>
          <w:sz w:val="20"/>
          <w:szCs w:val="20"/>
        </w:rPr>
        <w:t xml:space="preserve">Tirso Román Valenzuela Ávila </w:t>
      </w:r>
      <w:r w:rsidRPr="00B660E9">
        <w:rPr>
          <w:rFonts w:ascii="Verdana" w:hAnsi="Verdana"/>
          <w:sz w:val="20"/>
          <w:szCs w:val="20"/>
        </w:rPr>
        <w:lastRenderedPageBreak/>
        <w:t>y Hugo Humberto Ruiz Fuentes</w:t>
      </w:r>
      <w:r w:rsidRPr="00B660E9">
        <w:rPr>
          <w:rFonts w:ascii="Verdana" w:eastAsia="Verdana" w:hAnsi="Verdana" w:cs="Verdana"/>
          <w:sz w:val="20"/>
          <w:szCs w:val="20"/>
          <w:lang w:val="es-CR"/>
        </w:rPr>
        <w:t>, entre ellas, los “operadores de justicia, cuenten con las debidas garantías de seguridad” (</w:t>
      </w:r>
      <w:r w:rsidRPr="00B660E9">
        <w:rPr>
          <w:rFonts w:ascii="Verdana" w:eastAsia="Verdana" w:hAnsi="Verdana" w:cs="Verdana"/>
          <w:i/>
          <w:sz w:val="20"/>
          <w:szCs w:val="20"/>
          <w:lang w:val="es-CR"/>
        </w:rPr>
        <w:t>supra</w:t>
      </w:r>
      <w:r w:rsidRPr="00B660E9">
        <w:rPr>
          <w:rFonts w:ascii="Verdana" w:eastAsia="Verdana" w:hAnsi="Verdana" w:cs="Verdana"/>
          <w:sz w:val="20"/>
          <w:szCs w:val="20"/>
          <w:lang w:val="es-CR"/>
        </w:rPr>
        <w:t xml:space="preserve"> </w:t>
      </w:r>
      <w:r w:rsidRPr="00B660E9">
        <w:rPr>
          <w:rFonts w:ascii="Verdana" w:hAnsi="Verdana"/>
          <w:sz w:val="20"/>
          <w:szCs w:val="20"/>
        </w:rPr>
        <w:t xml:space="preserve">Considerando </w:t>
      </w:r>
      <w:r w:rsidR="00E903D8">
        <w:rPr>
          <w:rFonts w:ascii="Verdana" w:hAnsi="Verdana"/>
          <w:sz w:val="20"/>
          <w:szCs w:val="20"/>
        </w:rPr>
        <w:t>30</w:t>
      </w:r>
      <w:r w:rsidRPr="00B660E9">
        <w:rPr>
          <w:rFonts w:ascii="Verdana" w:eastAsia="Verdana" w:hAnsi="Verdana" w:cs="Verdana"/>
          <w:sz w:val="20"/>
          <w:szCs w:val="20"/>
          <w:lang w:val="es-CR"/>
        </w:rPr>
        <w:t>). En el momento actual es evidente que se debe efectivizar dicha obligación derivada de la Sentencia a favor de personas claramente determinadas, que han sido individualizadas e identificadas, esto es, el Fiscal “B” y el Auxiliar Fiscal “C”.</w:t>
      </w:r>
    </w:p>
    <w:p w14:paraId="2F0FEAD3" w14:textId="77777777" w:rsidR="00355A2D" w:rsidRDefault="00FB25F0" w:rsidP="00355A2D">
      <w:pPr>
        <w:numPr>
          <w:ilvl w:val="0"/>
          <w:numId w:val="2"/>
        </w:numPr>
        <w:spacing w:before="120" w:after="120"/>
        <w:ind w:left="0" w:firstLine="0"/>
        <w:jc w:val="both"/>
        <w:rPr>
          <w:rFonts w:ascii="Verdana" w:hAnsi="Verdana"/>
          <w:sz w:val="20"/>
          <w:szCs w:val="20"/>
          <w:lang w:val="es-CR"/>
        </w:rPr>
      </w:pPr>
      <w:r w:rsidRPr="00B660E9">
        <w:rPr>
          <w:rFonts w:ascii="Verdana" w:eastAsia="Verdana" w:hAnsi="Verdana" w:cs="Verdana"/>
          <w:sz w:val="20"/>
          <w:szCs w:val="20"/>
          <w:lang w:val="es-CR"/>
        </w:rPr>
        <w:t>En este sentido, se examinará la información y observaciones presentadas por las partes y la Comisión que resulte</w:t>
      </w:r>
      <w:r w:rsidR="00760840">
        <w:rPr>
          <w:rFonts w:ascii="Verdana" w:eastAsia="Verdana" w:hAnsi="Verdana" w:cs="Verdana"/>
          <w:sz w:val="20"/>
          <w:szCs w:val="20"/>
          <w:lang w:val="es-CR"/>
        </w:rPr>
        <w:t>n</w:t>
      </w:r>
      <w:r w:rsidRPr="00B660E9">
        <w:rPr>
          <w:rFonts w:ascii="Verdana" w:eastAsia="Verdana" w:hAnsi="Verdana" w:cs="Verdana"/>
          <w:sz w:val="20"/>
          <w:szCs w:val="20"/>
          <w:lang w:val="es-CR"/>
        </w:rPr>
        <w:t xml:space="preserve"> pertinente</w:t>
      </w:r>
      <w:r w:rsidR="00760840">
        <w:rPr>
          <w:rFonts w:ascii="Verdana" w:eastAsia="Verdana" w:hAnsi="Verdana" w:cs="Verdana"/>
          <w:sz w:val="20"/>
          <w:szCs w:val="20"/>
          <w:lang w:val="es-CR"/>
        </w:rPr>
        <w:t>s</w:t>
      </w:r>
      <w:r w:rsidRPr="00B660E9">
        <w:rPr>
          <w:rFonts w:ascii="Verdana" w:eastAsia="Verdana" w:hAnsi="Verdana" w:cs="Verdana"/>
          <w:sz w:val="20"/>
          <w:szCs w:val="20"/>
          <w:lang w:val="es-CR"/>
        </w:rPr>
        <w:t xml:space="preserve"> con el objeto de los casos de los señores </w:t>
      </w:r>
      <w:r w:rsidRPr="00B660E9">
        <w:rPr>
          <w:rFonts w:ascii="Verdana" w:hAnsi="Verdana"/>
          <w:sz w:val="20"/>
          <w:szCs w:val="20"/>
        </w:rPr>
        <w:t>Valenzuela Ávila y</w:t>
      </w:r>
      <w:r w:rsidRPr="00B660E9">
        <w:rPr>
          <w:rFonts w:ascii="Verdana" w:eastAsia="Verdana" w:hAnsi="Verdana" w:cs="Verdana"/>
          <w:sz w:val="20"/>
          <w:szCs w:val="20"/>
          <w:lang w:val="es-CR"/>
        </w:rPr>
        <w:t xml:space="preserve"> Ruiz Fuentes, y</w:t>
      </w:r>
      <w:r w:rsidRPr="00B660E9">
        <w:rPr>
          <w:rFonts w:ascii="Verdana" w:hAnsi="Verdana"/>
          <w:sz w:val="20"/>
          <w:szCs w:val="20"/>
          <w:lang w:val="es-CR"/>
        </w:rPr>
        <w:t xml:space="preserve"> el contexto en el que se enmarcarían los hechos de riesgo.</w:t>
      </w:r>
      <w:r w:rsidRPr="00B660E9">
        <w:rPr>
          <w:rFonts w:ascii="Verdana" w:eastAsia="Verdana" w:hAnsi="Verdana" w:cs="Verdana"/>
          <w:sz w:val="20"/>
          <w:szCs w:val="20"/>
          <w:lang w:val="es-CR"/>
        </w:rPr>
        <w:t xml:space="preserve"> Aunque la Corte toma nota de los señalamientos formulados sobre hechos relacionados con otras denuncias e investigaciones en que los fiscales de la FECI estarían participando</w:t>
      </w:r>
      <w:r w:rsidRPr="00B660E9">
        <w:rPr>
          <w:rStyle w:val="Refdenotaalpie"/>
          <w:rFonts w:eastAsia="Verdana" w:cs="Verdana"/>
          <w:sz w:val="20"/>
          <w:szCs w:val="20"/>
          <w:lang w:val="es-CR"/>
        </w:rPr>
        <w:footnoteReference w:id="43"/>
      </w:r>
      <w:r w:rsidRPr="00B660E9">
        <w:rPr>
          <w:rFonts w:ascii="Verdana" w:eastAsia="Verdana" w:hAnsi="Verdana" w:cs="Verdana"/>
          <w:sz w:val="20"/>
          <w:szCs w:val="20"/>
          <w:lang w:val="es-CR"/>
        </w:rPr>
        <w:t xml:space="preserve">, no considerará el detalle de </w:t>
      </w:r>
      <w:r w:rsidRPr="00355A2D">
        <w:rPr>
          <w:rFonts w:ascii="Verdana" w:eastAsia="Verdana" w:hAnsi="Verdana" w:cs="Verdana"/>
          <w:sz w:val="20"/>
          <w:szCs w:val="20"/>
          <w:lang w:val="es-CR"/>
        </w:rPr>
        <w:t xml:space="preserve">la información y argumentos vertidos al respecto, por entender que excede lo que corresponde examinar en relación con </w:t>
      </w:r>
      <w:r w:rsidR="00DB1498" w:rsidRPr="00355A2D">
        <w:rPr>
          <w:rFonts w:ascii="Verdana" w:eastAsia="Verdana" w:hAnsi="Verdana" w:cs="Verdana"/>
          <w:sz w:val="20"/>
          <w:szCs w:val="20"/>
          <w:lang w:val="es-CR"/>
        </w:rPr>
        <w:t xml:space="preserve">esta </w:t>
      </w:r>
      <w:r w:rsidRPr="00355A2D">
        <w:rPr>
          <w:rFonts w:ascii="Verdana" w:eastAsia="Verdana" w:hAnsi="Verdana" w:cs="Verdana"/>
          <w:sz w:val="20"/>
          <w:szCs w:val="20"/>
          <w:lang w:val="es-CR"/>
        </w:rPr>
        <w:t>solicitud de medidas provisionales.</w:t>
      </w:r>
    </w:p>
    <w:p w14:paraId="09FA5D6C" w14:textId="27A99042" w:rsidR="00FB25F0" w:rsidRPr="00355A2D" w:rsidRDefault="00FB25F0" w:rsidP="00355A2D">
      <w:pPr>
        <w:numPr>
          <w:ilvl w:val="0"/>
          <w:numId w:val="2"/>
        </w:numPr>
        <w:spacing w:before="120" w:after="120"/>
        <w:ind w:left="0" w:firstLine="0"/>
        <w:jc w:val="both"/>
        <w:rPr>
          <w:rFonts w:ascii="Verdana" w:hAnsi="Verdana"/>
          <w:sz w:val="20"/>
          <w:szCs w:val="20"/>
          <w:lang w:val="es-CR"/>
        </w:rPr>
      </w:pPr>
      <w:r w:rsidRPr="00355A2D">
        <w:rPr>
          <w:rFonts w:ascii="Verdana" w:hAnsi="Verdana"/>
          <w:spacing w:val="-4"/>
          <w:sz w:val="20"/>
          <w:szCs w:val="20"/>
          <w:lang w:val="es-CR"/>
        </w:rPr>
        <w:t xml:space="preserve">Este Tribunal pasará a examinar los demás requisitos convencionales y reglamentarios para la adopción de medidas provisionales. </w:t>
      </w:r>
      <w:r w:rsidR="00407A99" w:rsidRPr="00355A2D">
        <w:rPr>
          <w:rFonts w:ascii="Verdana" w:hAnsi="Verdana"/>
          <w:spacing w:val="-4"/>
          <w:sz w:val="20"/>
          <w:szCs w:val="20"/>
          <w:lang w:val="es-CR"/>
        </w:rPr>
        <w:t>La Corte</w:t>
      </w:r>
      <w:r w:rsidRPr="00355A2D">
        <w:rPr>
          <w:rFonts w:ascii="Verdana" w:hAnsi="Verdana"/>
          <w:spacing w:val="-4"/>
          <w:sz w:val="20"/>
          <w:szCs w:val="20"/>
          <w:lang w:val="es-CR"/>
        </w:rPr>
        <w:t xml:space="preserve"> ha señalado que las tres condiciones exigidas por el artículo 63.2 de la Convención</w:t>
      </w:r>
      <w:r w:rsidR="00F07B26" w:rsidRPr="00355A2D">
        <w:rPr>
          <w:rFonts w:ascii="Verdana" w:hAnsi="Verdana"/>
          <w:spacing w:val="-4"/>
          <w:sz w:val="20"/>
          <w:szCs w:val="20"/>
          <w:lang w:val="es-CR"/>
        </w:rPr>
        <w:t xml:space="preserve"> deben concurrir en toda situación en la que se soliciten </w:t>
      </w:r>
      <w:r w:rsidRPr="00355A2D">
        <w:rPr>
          <w:rFonts w:ascii="Verdana" w:hAnsi="Verdana"/>
          <w:spacing w:val="-4"/>
          <w:sz w:val="20"/>
          <w:szCs w:val="20"/>
          <w:lang w:val="es-CR"/>
        </w:rPr>
        <w:t>para que</w:t>
      </w:r>
      <w:r w:rsidR="00760840" w:rsidRPr="00355A2D">
        <w:rPr>
          <w:rFonts w:ascii="Verdana" w:hAnsi="Verdana"/>
          <w:spacing w:val="-4"/>
          <w:sz w:val="20"/>
          <w:szCs w:val="20"/>
          <w:lang w:val="es-CR"/>
        </w:rPr>
        <w:t xml:space="preserve"> se</w:t>
      </w:r>
      <w:r w:rsidRPr="00355A2D">
        <w:rPr>
          <w:rFonts w:ascii="Verdana" w:hAnsi="Verdana"/>
          <w:spacing w:val="-4"/>
          <w:sz w:val="20"/>
          <w:szCs w:val="20"/>
          <w:lang w:val="es-CR"/>
        </w:rPr>
        <w:t xml:space="preserve"> pueda disponer de medidas provisionales</w:t>
      </w:r>
      <w:r w:rsidRPr="00355A2D">
        <w:rPr>
          <w:rStyle w:val="Refdenotaalpie"/>
          <w:spacing w:val="-4"/>
          <w:sz w:val="20"/>
          <w:szCs w:val="20"/>
          <w:lang w:val="es-CR"/>
        </w:rPr>
        <w:footnoteReference w:id="44"/>
      </w:r>
      <w:r w:rsidRPr="00355A2D">
        <w:rPr>
          <w:rFonts w:ascii="Verdana" w:hAnsi="Verdana"/>
          <w:spacing w:val="-4"/>
          <w:sz w:val="20"/>
          <w:szCs w:val="20"/>
          <w:lang w:val="es-CR"/>
        </w:rPr>
        <w:t xml:space="preserve">. Conforme a la Convención y al Reglamento, la carga procesal de demostrar </w:t>
      </w:r>
      <w:r w:rsidRPr="00355A2D">
        <w:rPr>
          <w:rFonts w:ascii="Verdana" w:hAnsi="Verdana"/>
          <w:i/>
          <w:spacing w:val="-4"/>
          <w:sz w:val="20"/>
          <w:szCs w:val="20"/>
          <w:lang w:val="es-CR"/>
        </w:rPr>
        <w:t>prima facie</w:t>
      </w:r>
      <w:r w:rsidRPr="00355A2D">
        <w:rPr>
          <w:rFonts w:ascii="Verdana" w:hAnsi="Verdana"/>
          <w:spacing w:val="-4"/>
          <w:sz w:val="20"/>
          <w:szCs w:val="20"/>
          <w:lang w:val="es-CR"/>
        </w:rPr>
        <w:t xml:space="preserve"> dichos requisitos recae en el solicitante</w:t>
      </w:r>
      <w:r w:rsidRPr="00355A2D">
        <w:rPr>
          <w:rFonts w:ascii="Verdana" w:hAnsi="Verdana"/>
          <w:spacing w:val="-4"/>
          <w:sz w:val="20"/>
          <w:szCs w:val="20"/>
          <w:vertAlign w:val="superscript"/>
        </w:rPr>
        <w:footnoteReference w:id="45"/>
      </w:r>
      <w:r w:rsidRPr="00355A2D">
        <w:rPr>
          <w:rFonts w:ascii="Verdana" w:hAnsi="Verdana"/>
          <w:spacing w:val="-4"/>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355A2D">
        <w:rPr>
          <w:rFonts w:ascii="Verdana" w:hAnsi="Verdana"/>
          <w:spacing w:val="-4"/>
          <w:sz w:val="20"/>
          <w:szCs w:val="20"/>
          <w:vertAlign w:val="superscript"/>
        </w:rPr>
        <w:footnoteReference w:id="46"/>
      </w:r>
      <w:r w:rsidRPr="00355A2D">
        <w:rPr>
          <w:rFonts w:ascii="Verdana" w:hAnsi="Verdana"/>
          <w:spacing w:val="-4"/>
          <w:sz w:val="20"/>
          <w:szCs w:val="20"/>
          <w:lang w:val="es-CR"/>
        </w:rPr>
        <w:t>.</w:t>
      </w:r>
    </w:p>
    <w:p w14:paraId="64DEB081" w14:textId="4E5A9C92" w:rsidR="00FB25F0" w:rsidRPr="00B660E9" w:rsidRDefault="00FB25F0" w:rsidP="00FB25F0">
      <w:pPr>
        <w:numPr>
          <w:ilvl w:val="0"/>
          <w:numId w:val="2"/>
        </w:numPr>
        <w:spacing w:before="120" w:after="120"/>
        <w:ind w:left="0" w:firstLine="0"/>
        <w:jc w:val="both"/>
        <w:rPr>
          <w:rFonts w:ascii="Verdana" w:hAnsi="Verdana"/>
          <w:sz w:val="20"/>
          <w:szCs w:val="20"/>
          <w:lang w:val="es-CR"/>
        </w:rPr>
      </w:pPr>
      <w:r w:rsidRPr="00355A2D">
        <w:rPr>
          <w:rFonts w:ascii="Verdana" w:eastAsia="Verdana" w:hAnsi="Verdana" w:cs="Verdana"/>
          <w:sz w:val="20"/>
          <w:szCs w:val="20"/>
          <w:lang w:val="es-ES"/>
        </w:rPr>
        <w:t>L</w:t>
      </w:r>
      <w:r w:rsidRPr="00355A2D">
        <w:rPr>
          <w:rFonts w:ascii="Verdana" w:eastAsia="Verdana" w:hAnsi="Verdana" w:cs="Verdana"/>
          <w:sz w:val="20"/>
          <w:szCs w:val="20"/>
          <w:lang w:val="es-CR"/>
        </w:rPr>
        <w:t>a Corte constata que persiste la existencia de una situación de intimidación, seguimientos y amenazas</w:t>
      </w:r>
      <w:r w:rsidRPr="00B660E9">
        <w:rPr>
          <w:rFonts w:ascii="Verdana" w:eastAsia="Verdana" w:hAnsi="Verdana" w:cs="Verdana"/>
          <w:sz w:val="20"/>
          <w:szCs w:val="20"/>
          <w:lang w:val="es-CR"/>
        </w:rPr>
        <w:t xml:space="preserve"> en contra del Fiscal “B” y el Auxiliar Fiscal “C” </w:t>
      </w:r>
      <w:r w:rsidRPr="00B660E9">
        <w:rPr>
          <w:rFonts w:ascii="Verdana" w:hAnsi="Verdana"/>
          <w:sz w:val="20"/>
          <w:szCs w:val="20"/>
        </w:rPr>
        <w:t>(</w:t>
      </w:r>
      <w:r w:rsidRPr="00B660E9">
        <w:rPr>
          <w:rFonts w:ascii="Verdana" w:hAnsi="Verdana"/>
          <w:i/>
          <w:sz w:val="20"/>
          <w:szCs w:val="20"/>
        </w:rPr>
        <w:t>supra</w:t>
      </w:r>
      <w:r w:rsidRPr="00B660E9">
        <w:rPr>
          <w:rFonts w:ascii="Verdana" w:hAnsi="Verdana"/>
          <w:sz w:val="20"/>
          <w:szCs w:val="20"/>
        </w:rPr>
        <w:t xml:space="preserve"> Considerandos </w:t>
      </w:r>
      <w:r w:rsidR="00797344">
        <w:rPr>
          <w:rFonts w:ascii="Verdana" w:hAnsi="Verdana"/>
          <w:sz w:val="20"/>
          <w:szCs w:val="20"/>
        </w:rPr>
        <w:t>7</w:t>
      </w:r>
      <w:r w:rsidR="00407A99">
        <w:rPr>
          <w:rFonts w:ascii="Verdana" w:hAnsi="Verdana"/>
          <w:sz w:val="20"/>
          <w:szCs w:val="20"/>
        </w:rPr>
        <w:t>.h</w:t>
      </w:r>
      <w:r w:rsidR="00494AA9">
        <w:rPr>
          <w:rFonts w:ascii="Verdana" w:hAnsi="Verdana"/>
          <w:sz w:val="20"/>
          <w:szCs w:val="20"/>
        </w:rPr>
        <w:t xml:space="preserve"> y</w:t>
      </w:r>
      <w:r w:rsidR="00797344">
        <w:rPr>
          <w:rFonts w:ascii="Verdana" w:hAnsi="Verdana"/>
          <w:sz w:val="20"/>
          <w:szCs w:val="20"/>
        </w:rPr>
        <w:t xml:space="preserve"> </w:t>
      </w:r>
      <w:r w:rsidR="00494AA9">
        <w:rPr>
          <w:rFonts w:ascii="Verdana" w:hAnsi="Verdana"/>
          <w:sz w:val="20"/>
          <w:szCs w:val="20"/>
        </w:rPr>
        <w:t>28</w:t>
      </w:r>
      <w:r w:rsidRPr="00B660E9">
        <w:rPr>
          <w:rFonts w:ascii="Verdana" w:hAnsi="Verdana"/>
          <w:sz w:val="20"/>
          <w:szCs w:val="20"/>
        </w:rPr>
        <w:t>), en un</w:t>
      </w:r>
      <w:r w:rsidRPr="00B660E9">
        <w:rPr>
          <w:rFonts w:ascii="Verdana" w:eastAsia="Verdana" w:hAnsi="Verdana" w:cs="Verdana"/>
          <w:sz w:val="20"/>
          <w:szCs w:val="20"/>
          <w:lang w:val="es-CR"/>
        </w:rPr>
        <w:t xml:space="preserve"> contexto </w:t>
      </w:r>
      <w:r w:rsidRPr="00B660E9">
        <w:rPr>
          <w:rFonts w:ascii="Verdana" w:hAnsi="Verdana"/>
          <w:sz w:val="20"/>
          <w:szCs w:val="20"/>
        </w:rPr>
        <w:t xml:space="preserve">de riesgo </w:t>
      </w:r>
      <w:r w:rsidRPr="00B660E9">
        <w:rPr>
          <w:rFonts w:ascii="Verdana" w:hAnsi="Verdana" w:cs="Cambria"/>
          <w:sz w:val="20"/>
          <w:szCs w:val="20"/>
        </w:rPr>
        <w:t>adverso hacia el trabajo de la FECI</w:t>
      </w:r>
      <w:r w:rsidR="00355A2D">
        <w:rPr>
          <w:rFonts w:ascii="Verdana" w:hAnsi="Verdana" w:cs="Cambria"/>
          <w:sz w:val="20"/>
          <w:szCs w:val="20"/>
        </w:rPr>
        <w:t>, así como</w:t>
      </w:r>
      <w:r w:rsidRPr="00B660E9">
        <w:rPr>
          <w:rFonts w:ascii="Verdana" w:hAnsi="Verdana"/>
          <w:sz w:val="20"/>
          <w:szCs w:val="20"/>
        </w:rPr>
        <w:t xml:space="preserve"> </w:t>
      </w:r>
      <w:r w:rsidRPr="00B660E9">
        <w:rPr>
          <w:rFonts w:ascii="Verdana" w:hAnsi="Verdana"/>
          <w:sz w:val="20"/>
          <w:szCs w:val="20"/>
          <w:lang w:val="es-CR"/>
        </w:rPr>
        <w:t>de ataques y amenazas en contra de los operadores de justicia en “los intentos de avance en la lucha contra la impunidad y corrupción”</w:t>
      </w:r>
      <w:r w:rsidRPr="00B660E9">
        <w:rPr>
          <w:rFonts w:ascii="Verdana" w:eastAsia="Verdana" w:hAnsi="Verdana" w:cs="Verdana"/>
          <w:sz w:val="20"/>
          <w:szCs w:val="20"/>
          <w:lang w:val="es-CR"/>
        </w:rPr>
        <w:t xml:space="preserve">, referido nuevamente por </w:t>
      </w:r>
      <w:r w:rsidRPr="00B660E9">
        <w:rPr>
          <w:rFonts w:ascii="Verdana" w:hAnsi="Verdana"/>
          <w:sz w:val="20"/>
          <w:szCs w:val="20"/>
        </w:rPr>
        <w:t xml:space="preserve">la Comisión </w:t>
      </w:r>
      <w:r w:rsidRPr="00B660E9">
        <w:rPr>
          <w:rFonts w:ascii="Verdana" w:eastAsia="Verdana" w:hAnsi="Verdana" w:cs="Verdana"/>
          <w:sz w:val="20"/>
          <w:szCs w:val="20"/>
          <w:lang w:val="es-CR"/>
        </w:rPr>
        <w:t>(</w:t>
      </w:r>
      <w:r w:rsidRPr="00B660E9">
        <w:rPr>
          <w:rFonts w:ascii="Verdana" w:eastAsia="Verdana" w:hAnsi="Verdana" w:cs="Verdana"/>
          <w:i/>
          <w:sz w:val="20"/>
          <w:szCs w:val="20"/>
          <w:lang w:val="es-CR"/>
        </w:rPr>
        <w:t>supra</w:t>
      </w:r>
      <w:r w:rsidRPr="00B660E9">
        <w:rPr>
          <w:rFonts w:ascii="Verdana" w:eastAsia="Verdana" w:hAnsi="Verdana" w:cs="Verdana"/>
          <w:sz w:val="20"/>
          <w:szCs w:val="20"/>
          <w:lang w:val="es-CR"/>
        </w:rPr>
        <w:t xml:space="preserve"> Considerando </w:t>
      </w:r>
      <w:r w:rsidR="00797344">
        <w:rPr>
          <w:rFonts w:ascii="Verdana" w:eastAsia="Verdana" w:hAnsi="Verdana" w:cs="Verdana"/>
          <w:sz w:val="20"/>
          <w:szCs w:val="20"/>
          <w:lang w:val="es-CR"/>
        </w:rPr>
        <w:t>16</w:t>
      </w:r>
      <w:r w:rsidRPr="00B660E9">
        <w:rPr>
          <w:rFonts w:ascii="Verdana" w:eastAsia="Verdana" w:hAnsi="Verdana" w:cs="Verdana"/>
          <w:sz w:val="20"/>
          <w:szCs w:val="20"/>
          <w:lang w:val="es-CR"/>
        </w:rPr>
        <w:t>).</w:t>
      </w:r>
      <w:r w:rsidRPr="00B660E9">
        <w:rPr>
          <w:rFonts w:ascii="Verdana" w:hAnsi="Verdana"/>
          <w:sz w:val="20"/>
          <w:szCs w:val="20"/>
          <w:lang w:val="es-CR"/>
        </w:rPr>
        <w:t xml:space="preserve"> </w:t>
      </w:r>
      <w:r w:rsidRPr="00B660E9">
        <w:rPr>
          <w:rFonts w:ascii="Verdana" w:hAnsi="Verdana"/>
          <w:sz w:val="20"/>
          <w:szCs w:val="20"/>
        </w:rPr>
        <w:t>A ello se añade</w:t>
      </w:r>
      <w:r w:rsidRPr="00B660E9">
        <w:rPr>
          <w:rFonts w:ascii="Verdana" w:hAnsi="Verdana" w:cs="Cambria"/>
          <w:sz w:val="20"/>
          <w:szCs w:val="20"/>
        </w:rPr>
        <w:t xml:space="preserve"> la continuidad</w:t>
      </w:r>
      <w:r w:rsidRPr="00B660E9">
        <w:rPr>
          <w:rFonts w:ascii="Verdana" w:hAnsi="Verdana"/>
          <w:sz w:val="20"/>
          <w:szCs w:val="20"/>
          <w:lang w:val="es-CR"/>
        </w:rPr>
        <w:t xml:space="preserve"> de </w:t>
      </w:r>
      <w:r w:rsidRPr="00B660E9">
        <w:rPr>
          <w:rFonts w:ascii="Verdana" w:eastAsia="Verdana" w:hAnsi="Verdana" w:cs="Verdana"/>
          <w:sz w:val="20"/>
          <w:szCs w:val="20"/>
          <w:lang w:val="es-CR"/>
        </w:rPr>
        <w:t>factores</w:t>
      </w:r>
      <w:r w:rsidRPr="00B660E9">
        <w:rPr>
          <w:rFonts w:ascii="Verdana" w:hAnsi="Verdana"/>
          <w:sz w:val="20"/>
          <w:szCs w:val="20"/>
        </w:rPr>
        <w:t xml:space="preserve"> que denotan la permanencia del riesgo en fechas recientes, tales como</w:t>
      </w:r>
      <w:r w:rsidRPr="00B660E9">
        <w:rPr>
          <w:rFonts w:ascii="Verdana" w:eastAsia="Verdana" w:hAnsi="Verdana" w:cs="Verdana"/>
          <w:sz w:val="20"/>
          <w:szCs w:val="20"/>
          <w:lang w:val="es-CR"/>
        </w:rPr>
        <w:t xml:space="preserve"> las publicaciones de </w:t>
      </w:r>
      <w:r w:rsidRPr="00B660E9">
        <w:rPr>
          <w:rFonts w:ascii="Verdana" w:eastAsia="Calibri" w:hAnsi="Verdana" w:cs="Verdana"/>
          <w:color w:val="000000"/>
          <w:sz w:val="20"/>
          <w:szCs w:val="20"/>
          <w:lang w:val="es-CR"/>
        </w:rPr>
        <w:t>acoso selectivo</w:t>
      </w:r>
      <w:r w:rsidRPr="00B660E9">
        <w:rPr>
          <w:rFonts w:ascii="Verdana" w:eastAsia="Verdana" w:hAnsi="Verdana" w:cs="Verdana"/>
          <w:sz w:val="20"/>
          <w:szCs w:val="20"/>
          <w:lang w:val="es-CR"/>
        </w:rPr>
        <w:t xml:space="preserve">, </w:t>
      </w:r>
      <w:r w:rsidRPr="00B660E9">
        <w:rPr>
          <w:rFonts w:ascii="Verdana" w:hAnsi="Verdana" w:cs="Arial"/>
          <w:iCs/>
          <w:sz w:val="20"/>
          <w:szCs w:val="20"/>
          <w:lang w:val="es-CR"/>
        </w:rPr>
        <w:t>estigmatización y desprestigio en redes sociales y medios de comunicación</w:t>
      </w:r>
      <w:r w:rsidRPr="00B660E9">
        <w:rPr>
          <w:rFonts w:ascii="Verdana" w:hAnsi="Verdana"/>
          <w:sz w:val="20"/>
          <w:szCs w:val="20"/>
          <w:lang w:val="es-CR"/>
        </w:rPr>
        <w:t xml:space="preserve">, </w:t>
      </w:r>
      <w:r w:rsidRPr="00B660E9">
        <w:rPr>
          <w:rFonts w:ascii="Verdana" w:eastAsia="Verdana" w:hAnsi="Verdana" w:cs="Verdana"/>
          <w:sz w:val="20"/>
          <w:szCs w:val="20"/>
          <w:lang w:val="es-CR"/>
        </w:rPr>
        <w:t xml:space="preserve">mediante las cuales se llama a desacreditar el trabajo de los fiscales de la FECI asimilándolo con actividades delictivas, y que </w:t>
      </w:r>
      <w:r w:rsidRPr="00B660E9">
        <w:rPr>
          <w:rFonts w:ascii="Verdana" w:eastAsia="Verdana" w:hAnsi="Verdana" w:cs="Verdana"/>
          <w:sz w:val="20"/>
          <w:szCs w:val="20"/>
          <w:lang w:val="es-CR"/>
        </w:rPr>
        <w:lastRenderedPageBreak/>
        <w:t>evidencian la persistencia de actos de</w:t>
      </w:r>
      <w:r w:rsidRPr="00B660E9">
        <w:rPr>
          <w:rFonts w:ascii="Verdana" w:hAnsi="Verdana"/>
          <w:sz w:val="20"/>
          <w:szCs w:val="20"/>
          <w:lang w:val="es-CR"/>
        </w:rPr>
        <w:t xml:space="preserve"> </w:t>
      </w:r>
      <w:r w:rsidRPr="00B660E9">
        <w:rPr>
          <w:rFonts w:ascii="Verdana" w:eastAsia="Verdana" w:hAnsi="Verdana" w:cs="Verdana"/>
          <w:sz w:val="20"/>
          <w:szCs w:val="20"/>
          <w:lang w:val="es-CR"/>
        </w:rPr>
        <w:t>vigilancia y hostigamiento en su contra</w:t>
      </w:r>
      <w:r w:rsidRPr="00B660E9">
        <w:rPr>
          <w:rStyle w:val="Refdenotaalpie"/>
          <w:rFonts w:eastAsia="Verdana" w:cs="Verdana"/>
          <w:sz w:val="20"/>
          <w:szCs w:val="20"/>
          <w:lang w:val="es-CR"/>
        </w:rPr>
        <w:footnoteReference w:id="47"/>
      </w:r>
      <w:r w:rsidRPr="00B660E9">
        <w:rPr>
          <w:rFonts w:ascii="Verdana" w:eastAsia="Verdana" w:hAnsi="Verdana" w:cs="Verdana"/>
          <w:sz w:val="20"/>
          <w:szCs w:val="20"/>
          <w:lang w:val="es-CR"/>
        </w:rPr>
        <w:t xml:space="preserve">, junto con </w:t>
      </w:r>
      <w:r w:rsidR="002D62AD">
        <w:rPr>
          <w:rFonts w:ascii="Verdana" w:eastAsia="Verdana" w:hAnsi="Verdana" w:cs="Verdana"/>
          <w:sz w:val="20"/>
          <w:szCs w:val="20"/>
          <w:lang w:val="es-CR"/>
        </w:rPr>
        <w:t>las</w:t>
      </w:r>
      <w:r w:rsidRPr="00B660E9">
        <w:rPr>
          <w:rFonts w:ascii="Verdana" w:eastAsia="Verdana" w:hAnsi="Verdana" w:cs="Verdana"/>
          <w:sz w:val="20"/>
          <w:szCs w:val="20"/>
          <w:lang w:val="es-CR"/>
        </w:rPr>
        <w:t xml:space="preserve"> denuncias penales presentadas y aún activas</w:t>
      </w:r>
      <w:r w:rsidRPr="00B660E9">
        <w:rPr>
          <w:rStyle w:val="Refdenotaalpie"/>
          <w:rFonts w:eastAsia="Verdana" w:cs="Verdana"/>
          <w:sz w:val="20"/>
          <w:szCs w:val="20"/>
          <w:lang w:val="es-CR"/>
        </w:rPr>
        <w:footnoteReference w:id="48"/>
      </w:r>
      <w:r w:rsidR="00B671AF">
        <w:rPr>
          <w:rFonts w:ascii="Verdana" w:eastAsia="Verdana" w:hAnsi="Verdana" w:cs="Verdana"/>
          <w:sz w:val="20"/>
          <w:szCs w:val="20"/>
          <w:lang w:val="es-CR"/>
        </w:rPr>
        <w:t xml:space="preserve"> (</w:t>
      </w:r>
      <w:r w:rsidR="00B671AF" w:rsidRPr="00B671AF">
        <w:rPr>
          <w:rFonts w:ascii="Verdana" w:eastAsia="Verdana" w:hAnsi="Verdana" w:cs="Verdana"/>
          <w:i/>
          <w:sz w:val="20"/>
          <w:szCs w:val="20"/>
          <w:lang w:val="es-CR"/>
        </w:rPr>
        <w:t>supra</w:t>
      </w:r>
      <w:r w:rsidR="00B671AF">
        <w:rPr>
          <w:rFonts w:ascii="Verdana" w:eastAsia="Verdana" w:hAnsi="Verdana" w:cs="Verdana"/>
          <w:sz w:val="20"/>
          <w:szCs w:val="20"/>
          <w:lang w:val="es-CR"/>
        </w:rPr>
        <w:t xml:space="preserve"> Considerando 29)</w:t>
      </w:r>
      <w:r w:rsidRPr="00B660E9">
        <w:rPr>
          <w:rFonts w:ascii="Verdana" w:eastAsia="Verdana" w:hAnsi="Verdana" w:cs="Verdana"/>
          <w:sz w:val="20"/>
          <w:szCs w:val="20"/>
          <w:lang w:val="es-CR"/>
        </w:rPr>
        <w:t>.</w:t>
      </w:r>
    </w:p>
    <w:p w14:paraId="4E262E83" w14:textId="5B2BDBEB" w:rsidR="00FB25F0" w:rsidRPr="002D62AD" w:rsidRDefault="00FB25F0" w:rsidP="002D62AD">
      <w:pPr>
        <w:numPr>
          <w:ilvl w:val="0"/>
          <w:numId w:val="2"/>
        </w:numPr>
        <w:spacing w:before="120" w:after="120"/>
        <w:ind w:left="0" w:firstLine="0"/>
        <w:jc w:val="both"/>
        <w:rPr>
          <w:rFonts w:ascii="Verdana" w:hAnsi="Verdana"/>
          <w:sz w:val="20"/>
          <w:szCs w:val="20"/>
          <w:lang w:val="es-CR"/>
        </w:rPr>
      </w:pPr>
      <w:r w:rsidRPr="00B660E9">
        <w:rPr>
          <w:rFonts w:ascii="Verdana" w:eastAsia="Verdana" w:hAnsi="Verdana" w:cs="Verdana"/>
          <w:sz w:val="20"/>
          <w:szCs w:val="20"/>
          <w:lang w:val="es-CR"/>
        </w:rPr>
        <w:t xml:space="preserve">El Estado </w:t>
      </w:r>
      <w:r w:rsidR="00355A2D">
        <w:rPr>
          <w:rFonts w:ascii="Verdana" w:eastAsia="Verdana" w:hAnsi="Verdana" w:cs="Verdana"/>
          <w:sz w:val="20"/>
          <w:szCs w:val="20"/>
          <w:lang w:val="es-CR"/>
        </w:rPr>
        <w:t>sostuvo</w:t>
      </w:r>
      <w:r w:rsidRPr="00B660E9">
        <w:rPr>
          <w:rFonts w:ascii="Verdana" w:eastAsia="Verdana" w:hAnsi="Verdana" w:cs="Verdana"/>
          <w:sz w:val="20"/>
          <w:szCs w:val="20"/>
          <w:lang w:val="es-CR"/>
        </w:rPr>
        <w:t xml:space="preserve"> que las referidas publicaciones </w:t>
      </w:r>
      <w:r w:rsidRPr="00B660E9">
        <w:rPr>
          <w:rFonts w:ascii="Verdana" w:hAnsi="Verdana"/>
          <w:sz w:val="20"/>
          <w:szCs w:val="20"/>
        </w:rPr>
        <w:t>“</w:t>
      </w:r>
      <w:r w:rsidRPr="00B660E9">
        <w:rPr>
          <w:rFonts w:ascii="Verdana" w:hAnsi="Verdana" w:cs="Arial"/>
          <w:sz w:val="20"/>
          <w:szCs w:val="20"/>
          <w:lang w:val="es-CR"/>
        </w:rPr>
        <w:t>son el ejercicio de la libertad de expresión</w:t>
      </w:r>
      <w:r w:rsidRPr="00B660E9">
        <w:rPr>
          <w:rFonts w:ascii="Verdana" w:hAnsi="Verdana"/>
          <w:sz w:val="20"/>
          <w:szCs w:val="20"/>
        </w:rPr>
        <w:t>”</w:t>
      </w:r>
      <w:r w:rsidRPr="00B660E9">
        <w:rPr>
          <w:rFonts w:ascii="Verdana" w:eastAsia="Calibri" w:hAnsi="Verdana" w:cs="Verdana"/>
          <w:color w:val="000000"/>
          <w:sz w:val="20"/>
          <w:szCs w:val="20"/>
          <w:lang w:val="es-CR"/>
        </w:rPr>
        <w:t xml:space="preserve"> y</w:t>
      </w:r>
      <w:r w:rsidR="00BC564C">
        <w:rPr>
          <w:rFonts w:ascii="Verdana" w:eastAsia="Calibri" w:hAnsi="Verdana" w:cs="Verdana"/>
          <w:color w:val="000000"/>
          <w:sz w:val="20"/>
          <w:szCs w:val="20"/>
          <w:lang w:val="es-CR"/>
        </w:rPr>
        <w:t xml:space="preserve"> las</w:t>
      </w:r>
      <w:r w:rsidRPr="00B660E9">
        <w:rPr>
          <w:rFonts w:ascii="Verdana" w:eastAsia="Calibri" w:hAnsi="Verdana" w:cs="Verdana"/>
          <w:color w:val="000000"/>
          <w:sz w:val="20"/>
          <w:szCs w:val="20"/>
          <w:lang w:val="es-CR"/>
        </w:rPr>
        <w:t xml:space="preserve"> </w:t>
      </w:r>
      <w:r w:rsidR="00412B76">
        <w:rPr>
          <w:rFonts w:ascii="Verdana" w:hAnsi="Verdana"/>
          <w:sz w:val="20"/>
          <w:szCs w:val="20"/>
        </w:rPr>
        <w:t>mencionadas</w:t>
      </w:r>
      <w:r w:rsidRPr="00B660E9">
        <w:rPr>
          <w:rFonts w:ascii="Verdana" w:hAnsi="Verdana"/>
          <w:sz w:val="20"/>
          <w:szCs w:val="20"/>
        </w:rPr>
        <w:t xml:space="preserve"> denuncias</w:t>
      </w:r>
      <w:r w:rsidRPr="00B660E9">
        <w:rPr>
          <w:rFonts w:ascii="Verdana" w:hAnsi="Verdana"/>
          <w:sz w:val="20"/>
          <w:szCs w:val="20"/>
          <w:lang w:val="es-CR"/>
        </w:rPr>
        <w:t xml:space="preserve"> </w:t>
      </w:r>
      <w:r w:rsidR="00BC564C">
        <w:rPr>
          <w:rFonts w:ascii="Verdana" w:hAnsi="Verdana"/>
          <w:sz w:val="20"/>
          <w:szCs w:val="20"/>
        </w:rPr>
        <w:t>penales presentadas</w:t>
      </w:r>
      <w:r w:rsidRPr="00B660E9">
        <w:rPr>
          <w:rFonts w:ascii="Verdana" w:hAnsi="Verdana"/>
          <w:sz w:val="20"/>
          <w:szCs w:val="20"/>
        </w:rPr>
        <w:t xml:space="preserve"> “representan el derecho al acceso libre a la justicia de la población”</w:t>
      </w:r>
      <w:r w:rsidR="002D62AD">
        <w:rPr>
          <w:rFonts w:ascii="Verdana" w:hAnsi="Verdana"/>
          <w:sz w:val="20"/>
          <w:szCs w:val="20"/>
        </w:rPr>
        <w:t xml:space="preserve"> </w:t>
      </w:r>
      <w:r w:rsidR="002D62AD">
        <w:rPr>
          <w:rFonts w:ascii="Verdana" w:eastAsia="Times" w:hAnsi="Verdana"/>
          <w:sz w:val="20"/>
          <w:szCs w:val="20"/>
          <w:lang w:val="es-CR"/>
        </w:rPr>
        <w:t>(</w:t>
      </w:r>
      <w:r w:rsidR="002D62AD" w:rsidRPr="00B7262B">
        <w:rPr>
          <w:rFonts w:ascii="Verdana" w:hAnsi="Verdana"/>
          <w:i/>
          <w:sz w:val="20"/>
          <w:szCs w:val="20"/>
        </w:rPr>
        <w:t>supra</w:t>
      </w:r>
      <w:r w:rsidR="00CF61B7">
        <w:rPr>
          <w:rFonts w:ascii="Verdana" w:hAnsi="Verdana"/>
          <w:sz w:val="20"/>
          <w:szCs w:val="20"/>
        </w:rPr>
        <w:t xml:space="preserve"> Considerando</w:t>
      </w:r>
      <w:r w:rsidR="00412B76">
        <w:rPr>
          <w:rFonts w:ascii="Verdana" w:hAnsi="Verdana"/>
          <w:sz w:val="20"/>
          <w:szCs w:val="20"/>
        </w:rPr>
        <w:t xml:space="preserve"> 24.a</w:t>
      </w:r>
      <w:r w:rsidR="002D62AD" w:rsidRPr="00B7262B">
        <w:rPr>
          <w:rFonts w:ascii="Verdana" w:hAnsi="Verdana"/>
          <w:sz w:val="20"/>
          <w:szCs w:val="20"/>
        </w:rPr>
        <w:t>)</w:t>
      </w:r>
      <w:r w:rsidRPr="002D62AD">
        <w:rPr>
          <w:rFonts w:ascii="Verdana" w:eastAsia="Calibri" w:hAnsi="Verdana" w:cs="Verdana"/>
          <w:color w:val="000000"/>
          <w:sz w:val="20"/>
          <w:szCs w:val="20"/>
          <w:lang w:val="es-CR"/>
        </w:rPr>
        <w:t xml:space="preserve">. Este Tribunal recuerda que, en cuanto se ha denunciado </w:t>
      </w:r>
      <w:r w:rsidR="00A35CED" w:rsidRPr="002D62AD">
        <w:rPr>
          <w:rFonts w:ascii="Verdana" w:eastAsia="Calibri" w:hAnsi="Verdana" w:cs="Verdana"/>
          <w:color w:val="000000"/>
          <w:sz w:val="20"/>
          <w:szCs w:val="20"/>
          <w:lang w:val="es-CR"/>
        </w:rPr>
        <w:t xml:space="preserve">que </w:t>
      </w:r>
      <w:r w:rsidRPr="002D62AD">
        <w:rPr>
          <w:rFonts w:ascii="Verdana" w:eastAsia="Calibri" w:hAnsi="Verdana" w:cs="Verdana"/>
          <w:color w:val="000000"/>
          <w:sz w:val="20"/>
          <w:szCs w:val="20"/>
          <w:lang w:val="es-CR"/>
        </w:rPr>
        <w:t xml:space="preserve">dichas publicaciones derivan de actos de </w:t>
      </w:r>
      <w:r w:rsidRPr="002D62AD">
        <w:rPr>
          <w:rFonts w:ascii="Verdana" w:hAnsi="Verdana" w:cs="Cambria"/>
          <w:sz w:val="20"/>
          <w:szCs w:val="20"/>
          <w:lang w:val="es-CR"/>
        </w:rPr>
        <w:t>vigilancia,</w:t>
      </w:r>
      <w:r w:rsidRPr="002D62AD">
        <w:rPr>
          <w:rFonts w:ascii="Verdana" w:hAnsi="Verdana"/>
          <w:sz w:val="20"/>
          <w:szCs w:val="20"/>
          <w:lang w:val="es-CR"/>
        </w:rPr>
        <w:t xml:space="preserve"> </w:t>
      </w:r>
      <w:r w:rsidRPr="002D62AD">
        <w:rPr>
          <w:rFonts w:ascii="Verdana" w:eastAsia="Verdana" w:hAnsi="Verdana" w:cs="Verdana"/>
          <w:sz w:val="20"/>
          <w:szCs w:val="20"/>
          <w:lang w:val="es-CR"/>
        </w:rPr>
        <w:t>seguimientos y hostigamiento</w:t>
      </w:r>
      <w:r w:rsidRPr="002D62AD">
        <w:rPr>
          <w:rFonts w:ascii="Verdana" w:hAnsi="Verdana" w:cs="Cambria"/>
          <w:sz w:val="20"/>
          <w:szCs w:val="20"/>
          <w:lang w:val="es-CR"/>
        </w:rPr>
        <w:t xml:space="preserve">, se vuelve necesario evitar que sean estos actos los que </w:t>
      </w:r>
      <w:r w:rsidRPr="002D62AD">
        <w:rPr>
          <w:rFonts w:ascii="Verdana" w:eastAsia="Calibri" w:hAnsi="Verdana" w:cs="Verdana"/>
          <w:color w:val="000000"/>
          <w:sz w:val="20"/>
          <w:szCs w:val="20"/>
          <w:lang w:val="es-CR"/>
        </w:rPr>
        <w:t xml:space="preserve">generen un </w:t>
      </w:r>
      <w:r w:rsidRPr="002D62AD">
        <w:rPr>
          <w:rFonts w:ascii="Verdana" w:hAnsi="Verdana"/>
          <w:sz w:val="20"/>
          <w:szCs w:val="20"/>
        </w:rPr>
        <w:t xml:space="preserve">efecto amedrentador e intimidante en los fiscales y </w:t>
      </w:r>
      <w:r w:rsidRPr="002D62AD">
        <w:rPr>
          <w:rFonts w:ascii="Verdana" w:eastAsia="Calibri" w:hAnsi="Verdana" w:cs="Verdana"/>
          <w:color w:val="000000"/>
          <w:sz w:val="20"/>
          <w:szCs w:val="20"/>
          <w:lang w:val="es-CR"/>
        </w:rPr>
        <w:t>obstaculicen su labor,</w:t>
      </w:r>
      <w:r w:rsidRPr="002D62AD">
        <w:rPr>
          <w:rFonts w:ascii="Verdana" w:hAnsi="Verdana"/>
          <w:sz w:val="20"/>
          <w:szCs w:val="20"/>
        </w:rPr>
        <w:t xml:space="preserve"> y</w:t>
      </w:r>
      <w:r w:rsidRPr="002D62AD">
        <w:rPr>
          <w:rFonts w:ascii="Verdana" w:eastAsia="Calibri" w:hAnsi="Verdana" w:cs="Verdana"/>
          <w:color w:val="000000"/>
          <w:sz w:val="20"/>
          <w:szCs w:val="20"/>
          <w:lang w:val="es-CR"/>
        </w:rPr>
        <w:t xml:space="preserve"> que es preciso que</w:t>
      </w:r>
      <w:r w:rsidRPr="002D62AD">
        <w:rPr>
          <w:rFonts w:ascii="Verdana" w:hAnsi="Verdana"/>
          <w:sz w:val="20"/>
          <w:szCs w:val="20"/>
        </w:rPr>
        <w:t xml:space="preserve"> las denuncias penales interpuestas por las</w:t>
      </w:r>
      <w:r w:rsidRPr="002D62AD">
        <w:rPr>
          <w:rFonts w:ascii="Verdana" w:eastAsia="Calibri" w:hAnsi="Verdana" w:cs="Verdana"/>
          <w:color w:val="000000"/>
          <w:sz w:val="20"/>
          <w:szCs w:val="20"/>
          <w:lang w:val="es-CR"/>
        </w:rPr>
        <w:t xml:space="preserve"> personas que han sido acusadas, procesadas o condenadas como resultado de las investigaciones de la FECI, tampoco se conviertan en un instrumento de</w:t>
      </w:r>
      <w:r w:rsidRPr="002D62AD">
        <w:rPr>
          <w:rFonts w:ascii="Verdana" w:hAnsi="Verdana"/>
          <w:sz w:val="20"/>
          <w:szCs w:val="20"/>
        </w:rPr>
        <w:t xml:space="preserve"> hostigamiento que obstaculice la labor de tales fiscales</w:t>
      </w:r>
      <w:r w:rsidRPr="00B660E9">
        <w:rPr>
          <w:rStyle w:val="Refdenotaalpie"/>
          <w:sz w:val="20"/>
          <w:szCs w:val="20"/>
        </w:rPr>
        <w:footnoteReference w:id="49"/>
      </w:r>
      <w:r w:rsidRPr="002D62AD">
        <w:rPr>
          <w:rFonts w:ascii="Verdana" w:eastAsia="Calibri" w:hAnsi="Verdana" w:cs="Verdana"/>
          <w:color w:val="000000"/>
          <w:sz w:val="20"/>
          <w:szCs w:val="20"/>
          <w:lang w:val="es-CR"/>
        </w:rPr>
        <w:t>.</w:t>
      </w:r>
    </w:p>
    <w:p w14:paraId="29D335C7" w14:textId="5ECD2678" w:rsidR="00FB25F0" w:rsidRPr="00BC564C" w:rsidRDefault="00FB25F0" w:rsidP="00BC564C">
      <w:pPr>
        <w:numPr>
          <w:ilvl w:val="0"/>
          <w:numId w:val="2"/>
        </w:numPr>
        <w:spacing w:before="120" w:after="120"/>
        <w:ind w:left="0" w:firstLine="0"/>
        <w:jc w:val="both"/>
        <w:rPr>
          <w:rFonts w:ascii="Verdana" w:hAnsi="Verdana"/>
          <w:sz w:val="20"/>
          <w:szCs w:val="20"/>
          <w:lang w:val="es-CR"/>
        </w:rPr>
      </w:pPr>
      <w:r w:rsidRPr="00B660E9">
        <w:rPr>
          <w:rFonts w:ascii="Verdana" w:eastAsia="Verdana" w:hAnsi="Verdana" w:cs="Verdana"/>
          <w:sz w:val="20"/>
          <w:szCs w:val="20"/>
          <w:lang w:val="es-CR"/>
        </w:rPr>
        <w:t xml:space="preserve">La Corte reitera, tal como indicó en la Resolución de 2 de septiembre de 2020, que </w:t>
      </w:r>
      <w:r w:rsidRPr="00B660E9">
        <w:rPr>
          <w:rFonts w:ascii="Verdana" w:hAnsi="Verdana"/>
          <w:sz w:val="20"/>
          <w:szCs w:val="20"/>
        </w:rPr>
        <w:t xml:space="preserve">los actos de intimidación, seguimientos y amenazas recibidos por </w:t>
      </w:r>
      <w:r w:rsidR="00BC564C">
        <w:rPr>
          <w:rFonts w:ascii="Verdana" w:hAnsi="Verdana"/>
          <w:sz w:val="20"/>
          <w:szCs w:val="20"/>
        </w:rPr>
        <w:t>“B” y “C”</w:t>
      </w:r>
      <w:r w:rsidRPr="00B660E9">
        <w:rPr>
          <w:rFonts w:ascii="Verdana" w:hAnsi="Verdana"/>
          <w:sz w:val="20"/>
          <w:szCs w:val="20"/>
        </w:rPr>
        <w:t xml:space="preserve">, así como los </w:t>
      </w:r>
      <w:r w:rsidRPr="00B660E9">
        <w:rPr>
          <w:rFonts w:ascii="Verdana" w:eastAsia="Verdana" w:hAnsi="Verdana" w:cs="Verdana"/>
          <w:sz w:val="20"/>
          <w:szCs w:val="20"/>
          <w:lang w:val="es-CR"/>
        </w:rPr>
        <w:t>factores</w:t>
      </w:r>
      <w:r w:rsidRPr="00B660E9">
        <w:rPr>
          <w:rFonts w:ascii="Verdana" w:hAnsi="Verdana"/>
          <w:sz w:val="20"/>
          <w:szCs w:val="20"/>
        </w:rPr>
        <w:t xml:space="preserve"> que denotan la permanencia del riesgo en fechas recientes</w:t>
      </w:r>
      <w:r w:rsidRPr="00B660E9">
        <w:rPr>
          <w:rFonts w:ascii="Verdana" w:hAnsi="Verdana"/>
          <w:sz w:val="20"/>
          <w:szCs w:val="20"/>
          <w:lang w:val="es-CR"/>
        </w:rPr>
        <w:t xml:space="preserve">, </w:t>
      </w:r>
      <w:r w:rsidRPr="00B660E9">
        <w:rPr>
          <w:rFonts w:ascii="Verdana" w:hAnsi="Verdana"/>
          <w:sz w:val="20"/>
          <w:szCs w:val="20"/>
        </w:rPr>
        <w:t>se han ido incrementando en la medida que avanza</w:t>
      </w:r>
      <w:r>
        <w:rPr>
          <w:rFonts w:ascii="Verdana" w:hAnsi="Verdana"/>
          <w:sz w:val="20"/>
          <w:szCs w:val="20"/>
        </w:rPr>
        <w:t>n</w:t>
      </w:r>
      <w:r w:rsidRPr="00B660E9">
        <w:rPr>
          <w:rFonts w:ascii="Verdana" w:hAnsi="Verdana"/>
          <w:sz w:val="20"/>
          <w:szCs w:val="20"/>
        </w:rPr>
        <w:t xml:space="preserve"> la</w:t>
      </w:r>
      <w:r>
        <w:rPr>
          <w:rFonts w:ascii="Verdana" w:hAnsi="Verdana"/>
          <w:sz w:val="20"/>
          <w:szCs w:val="20"/>
        </w:rPr>
        <w:t>s investigacio</w:t>
      </w:r>
      <w:r w:rsidRPr="00B660E9">
        <w:rPr>
          <w:rFonts w:ascii="Verdana" w:hAnsi="Verdana"/>
          <w:sz w:val="20"/>
          <w:szCs w:val="20"/>
        </w:rPr>
        <w:t>n</w:t>
      </w:r>
      <w:r>
        <w:rPr>
          <w:rFonts w:ascii="Verdana" w:hAnsi="Verdana"/>
          <w:sz w:val="20"/>
          <w:szCs w:val="20"/>
        </w:rPr>
        <w:t xml:space="preserve">es y procesos penales </w:t>
      </w:r>
      <w:r w:rsidRPr="00B660E9">
        <w:rPr>
          <w:rFonts w:ascii="Verdana" w:hAnsi="Verdana"/>
          <w:sz w:val="20"/>
          <w:szCs w:val="20"/>
        </w:rPr>
        <w:t>que involucra</w:t>
      </w:r>
      <w:r>
        <w:rPr>
          <w:rFonts w:ascii="Verdana" w:hAnsi="Verdana"/>
          <w:sz w:val="20"/>
          <w:szCs w:val="20"/>
        </w:rPr>
        <w:t>n</w:t>
      </w:r>
      <w:r w:rsidRPr="00B660E9">
        <w:rPr>
          <w:rFonts w:ascii="Verdana" w:hAnsi="Verdana"/>
          <w:sz w:val="20"/>
          <w:szCs w:val="20"/>
        </w:rPr>
        <w:t xml:space="preserve"> a </w:t>
      </w:r>
      <w:proofErr w:type="spellStart"/>
      <w:r w:rsidRPr="00B660E9">
        <w:rPr>
          <w:rFonts w:ascii="Verdana" w:hAnsi="Verdana"/>
          <w:sz w:val="20"/>
          <w:szCs w:val="20"/>
        </w:rPr>
        <w:t>ex-funcionarios</w:t>
      </w:r>
      <w:proofErr w:type="spellEnd"/>
      <w:r w:rsidRPr="00B660E9">
        <w:rPr>
          <w:rFonts w:ascii="Verdana" w:hAnsi="Verdana"/>
          <w:sz w:val="20"/>
          <w:szCs w:val="20"/>
        </w:rPr>
        <w:t xml:space="preserve"> </w:t>
      </w:r>
      <w:r w:rsidRPr="00B660E9">
        <w:rPr>
          <w:rFonts w:ascii="Verdana" w:eastAsia="Times New Roman" w:hAnsi="Verdana" w:cs="Cambria"/>
          <w:sz w:val="20"/>
          <w:szCs w:val="20"/>
          <w:lang w:val="es-CR"/>
        </w:rPr>
        <w:t>del Estado</w:t>
      </w:r>
      <w:r w:rsidRPr="00B660E9">
        <w:rPr>
          <w:rFonts w:ascii="Verdana" w:hAnsi="Verdana"/>
          <w:sz w:val="20"/>
          <w:szCs w:val="20"/>
        </w:rPr>
        <w:t>.</w:t>
      </w:r>
      <w:r w:rsidRPr="00B660E9">
        <w:rPr>
          <w:rFonts w:ascii="Verdana" w:hAnsi="Verdana"/>
          <w:sz w:val="20"/>
          <w:szCs w:val="20"/>
          <w:lang w:val="es-CR"/>
        </w:rPr>
        <w:t xml:space="preserve"> </w:t>
      </w:r>
      <w:r w:rsidRPr="00B660E9">
        <w:rPr>
          <w:rFonts w:ascii="Verdana" w:hAnsi="Verdana"/>
          <w:sz w:val="20"/>
          <w:szCs w:val="20"/>
        </w:rPr>
        <w:t>En este sentido,</w:t>
      </w:r>
      <w:r w:rsidRPr="00B660E9">
        <w:rPr>
          <w:rFonts w:ascii="Verdana" w:eastAsia="Verdana" w:hAnsi="Verdana" w:cs="Verdana"/>
          <w:sz w:val="20"/>
          <w:szCs w:val="20"/>
          <w:lang w:val="es-CR"/>
        </w:rPr>
        <w:t xml:space="preserve"> </w:t>
      </w:r>
      <w:r w:rsidRPr="00B660E9">
        <w:rPr>
          <w:rFonts w:ascii="Verdana" w:hAnsi="Verdana"/>
          <w:sz w:val="20"/>
          <w:szCs w:val="20"/>
        </w:rPr>
        <w:t xml:space="preserve">se advierte </w:t>
      </w:r>
      <w:r w:rsidRPr="00B660E9">
        <w:rPr>
          <w:rFonts w:ascii="Verdana" w:hAnsi="Verdana"/>
          <w:i/>
          <w:iCs/>
          <w:sz w:val="20"/>
          <w:szCs w:val="20"/>
        </w:rPr>
        <w:t>prima facie</w:t>
      </w:r>
      <w:r w:rsidRPr="00B660E9">
        <w:rPr>
          <w:rFonts w:ascii="Verdana" w:hAnsi="Verdana"/>
          <w:sz w:val="20"/>
          <w:szCs w:val="20"/>
        </w:rPr>
        <w:t xml:space="preserve"> que pareciera existir una relación directa entre </w:t>
      </w:r>
      <w:r>
        <w:rPr>
          <w:rFonts w:ascii="Verdana" w:hAnsi="Verdana"/>
          <w:sz w:val="20"/>
          <w:szCs w:val="20"/>
        </w:rPr>
        <w:t>tales</w:t>
      </w:r>
      <w:r w:rsidRPr="00B660E9">
        <w:rPr>
          <w:rFonts w:ascii="Verdana" w:hAnsi="Verdana"/>
          <w:sz w:val="20"/>
          <w:szCs w:val="20"/>
        </w:rPr>
        <w:t xml:space="preserve"> avances, con la intensificación </w:t>
      </w:r>
      <w:r w:rsidRPr="00B660E9">
        <w:rPr>
          <w:rFonts w:ascii="Verdana" w:eastAsia="Verdana" w:hAnsi="Verdana" w:cs="Verdana"/>
          <w:sz w:val="20"/>
          <w:szCs w:val="20"/>
          <w:lang w:val="es-CR"/>
        </w:rPr>
        <w:t xml:space="preserve">del riesgo </w:t>
      </w:r>
      <w:r w:rsidR="008B5591">
        <w:rPr>
          <w:rFonts w:ascii="Verdana" w:eastAsia="Verdana" w:hAnsi="Verdana" w:cs="Verdana"/>
          <w:sz w:val="20"/>
          <w:szCs w:val="20"/>
          <w:lang w:val="es-CR"/>
        </w:rPr>
        <w:t>sobre</w:t>
      </w:r>
      <w:r w:rsidRPr="00B660E9">
        <w:rPr>
          <w:rFonts w:ascii="Verdana" w:eastAsia="Verdana" w:hAnsi="Verdana" w:cs="Verdana"/>
          <w:sz w:val="20"/>
          <w:szCs w:val="20"/>
          <w:lang w:val="es-CR"/>
        </w:rPr>
        <w:t xml:space="preserve"> </w:t>
      </w:r>
      <w:r w:rsidR="008B5591">
        <w:rPr>
          <w:rFonts w:ascii="Verdana" w:eastAsia="Verdana" w:hAnsi="Verdana" w:cs="Verdana"/>
          <w:sz w:val="20"/>
          <w:szCs w:val="20"/>
          <w:lang w:val="es-CR"/>
        </w:rPr>
        <w:t>dichos fiscales</w:t>
      </w:r>
      <w:r w:rsidRPr="00B660E9">
        <w:rPr>
          <w:rStyle w:val="Refdenotaalpie"/>
          <w:rFonts w:eastAsia="Calibri" w:cs="Verdana"/>
          <w:color w:val="000000"/>
          <w:sz w:val="20"/>
          <w:szCs w:val="20"/>
          <w:lang w:val="es-CR"/>
        </w:rPr>
        <w:footnoteReference w:id="50"/>
      </w:r>
      <w:r w:rsidRPr="00B660E9">
        <w:rPr>
          <w:rFonts w:ascii="Verdana" w:hAnsi="Verdana"/>
          <w:sz w:val="20"/>
          <w:szCs w:val="20"/>
          <w:lang w:val="es-CR"/>
        </w:rPr>
        <w:t xml:space="preserve">. </w:t>
      </w:r>
      <w:r w:rsidR="008B5591">
        <w:rPr>
          <w:rFonts w:ascii="Verdana" w:eastAsia="Verdana" w:hAnsi="Verdana" w:cs="Verdana"/>
          <w:sz w:val="20"/>
          <w:szCs w:val="20"/>
          <w:lang w:val="es-CR"/>
        </w:rPr>
        <w:t>A tal</w:t>
      </w:r>
      <w:r w:rsidRPr="00B660E9">
        <w:rPr>
          <w:rFonts w:ascii="Verdana" w:eastAsia="Verdana" w:hAnsi="Verdana" w:cs="Verdana"/>
          <w:sz w:val="20"/>
          <w:szCs w:val="20"/>
          <w:lang w:val="es-CR"/>
        </w:rPr>
        <w:t xml:space="preserve"> situación se suma </w:t>
      </w:r>
      <w:r w:rsidRPr="00B660E9">
        <w:rPr>
          <w:rFonts w:ascii="Verdana" w:hAnsi="Verdana"/>
          <w:sz w:val="20"/>
          <w:szCs w:val="20"/>
          <w:lang w:val="es-CR"/>
        </w:rPr>
        <w:t>que recientemente se ha informado que</w:t>
      </w:r>
      <w:r>
        <w:rPr>
          <w:rFonts w:ascii="Verdana" w:hAnsi="Verdana"/>
          <w:sz w:val="20"/>
          <w:szCs w:val="20"/>
          <w:lang w:val="es-CR"/>
        </w:rPr>
        <w:t xml:space="preserve"> </w:t>
      </w:r>
      <w:r w:rsidR="00BC564C">
        <w:rPr>
          <w:rFonts w:ascii="Verdana" w:hAnsi="Verdana"/>
          <w:sz w:val="20"/>
          <w:szCs w:val="20"/>
          <w:lang w:val="es-CR"/>
        </w:rPr>
        <w:t>el proceso penal del caso del señor Ruiz Fue</w:t>
      </w:r>
      <w:r w:rsidR="009E19FB">
        <w:rPr>
          <w:rFonts w:ascii="Verdana" w:hAnsi="Verdana"/>
          <w:sz w:val="20"/>
          <w:szCs w:val="20"/>
          <w:lang w:val="es-CR"/>
        </w:rPr>
        <w:t>n</w:t>
      </w:r>
      <w:r w:rsidR="00BC564C">
        <w:rPr>
          <w:rFonts w:ascii="Verdana" w:hAnsi="Verdana"/>
          <w:sz w:val="20"/>
          <w:szCs w:val="20"/>
          <w:lang w:val="es-CR"/>
        </w:rPr>
        <w:t xml:space="preserve">tes </w:t>
      </w:r>
      <w:r>
        <w:rPr>
          <w:rFonts w:ascii="Verdana" w:hAnsi="Verdana"/>
          <w:sz w:val="20"/>
          <w:szCs w:val="20"/>
          <w:lang w:val="es-CR"/>
        </w:rPr>
        <w:t xml:space="preserve">se encuentra en etapa intermedia, y </w:t>
      </w:r>
      <w:r w:rsidR="00BC564C">
        <w:rPr>
          <w:rFonts w:ascii="Verdana" w:hAnsi="Verdana"/>
          <w:sz w:val="20"/>
          <w:szCs w:val="20"/>
          <w:lang w:val="es-CR"/>
        </w:rPr>
        <w:t xml:space="preserve">el caso del señor </w:t>
      </w:r>
      <w:r w:rsidR="00BC564C" w:rsidRPr="00B660E9">
        <w:rPr>
          <w:rFonts w:ascii="Verdana" w:eastAsia="Times" w:hAnsi="Verdana"/>
          <w:sz w:val="20"/>
          <w:szCs w:val="20"/>
          <w:lang w:val="es-CR"/>
        </w:rPr>
        <w:t>Valenzuela Ávila</w:t>
      </w:r>
      <w:r w:rsidR="00BC564C">
        <w:rPr>
          <w:rFonts w:ascii="Verdana" w:eastAsia="Times" w:hAnsi="Verdana"/>
          <w:sz w:val="20"/>
          <w:szCs w:val="20"/>
          <w:lang w:val="es-CR"/>
        </w:rPr>
        <w:t xml:space="preserve"> se encuentra</w:t>
      </w:r>
      <w:r w:rsidR="00BC564C">
        <w:rPr>
          <w:rFonts w:ascii="Verdana" w:hAnsi="Verdana"/>
          <w:sz w:val="20"/>
          <w:szCs w:val="20"/>
          <w:lang w:val="es-CR"/>
        </w:rPr>
        <w:t xml:space="preserve"> </w:t>
      </w:r>
      <w:r>
        <w:rPr>
          <w:rFonts w:ascii="Verdana" w:hAnsi="Verdana"/>
          <w:sz w:val="20"/>
          <w:szCs w:val="20"/>
          <w:lang w:val="es-CR"/>
        </w:rPr>
        <w:t xml:space="preserve">en etapa investigativa </w:t>
      </w:r>
      <w:r>
        <w:rPr>
          <w:rFonts w:ascii="Verdana" w:eastAsia="Times" w:hAnsi="Verdana"/>
          <w:sz w:val="20"/>
          <w:szCs w:val="20"/>
          <w:lang w:val="es-CR"/>
        </w:rPr>
        <w:t>(</w:t>
      </w:r>
      <w:r w:rsidRPr="00B7262B">
        <w:rPr>
          <w:rFonts w:ascii="Verdana" w:hAnsi="Verdana"/>
          <w:i/>
          <w:sz w:val="20"/>
          <w:szCs w:val="20"/>
        </w:rPr>
        <w:t>supra</w:t>
      </w:r>
      <w:r w:rsidRPr="00B7262B">
        <w:rPr>
          <w:rFonts w:ascii="Verdana" w:hAnsi="Verdana"/>
          <w:sz w:val="20"/>
          <w:szCs w:val="20"/>
        </w:rPr>
        <w:t xml:space="preserve"> Considerandos </w:t>
      </w:r>
      <w:r w:rsidR="00BC564C">
        <w:rPr>
          <w:rFonts w:ascii="Verdana" w:hAnsi="Verdana"/>
          <w:sz w:val="20"/>
          <w:szCs w:val="20"/>
        </w:rPr>
        <w:t xml:space="preserve">8.a y b, y </w:t>
      </w:r>
      <w:r w:rsidR="002B5F49">
        <w:rPr>
          <w:rFonts w:ascii="Verdana" w:hAnsi="Verdana"/>
          <w:sz w:val="20"/>
          <w:szCs w:val="20"/>
        </w:rPr>
        <w:t>26</w:t>
      </w:r>
      <w:r w:rsidRPr="00B7262B">
        <w:rPr>
          <w:rFonts w:ascii="Verdana" w:hAnsi="Verdana"/>
          <w:sz w:val="20"/>
          <w:szCs w:val="20"/>
        </w:rPr>
        <w:t>)</w:t>
      </w:r>
      <w:r>
        <w:rPr>
          <w:rFonts w:ascii="Verdana" w:hAnsi="Verdana"/>
          <w:sz w:val="20"/>
          <w:szCs w:val="20"/>
          <w:lang w:val="es-CR"/>
        </w:rPr>
        <w:t xml:space="preserve">. Asimismo, </w:t>
      </w:r>
      <w:r w:rsidRPr="00B7262B">
        <w:rPr>
          <w:rFonts w:ascii="Verdana" w:hAnsi="Verdana"/>
          <w:sz w:val="20"/>
          <w:szCs w:val="20"/>
          <w:lang w:val="es-CR"/>
        </w:rPr>
        <w:t xml:space="preserve">se señala que </w:t>
      </w:r>
      <w:r w:rsidR="00BC564C">
        <w:rPr>
          <w:rFonts w:ascii="Verdana" w:hAnsi="Verdana"/>
          <w:sz w:val="20"/>
          <w:szCs w:val="20"/>
          <w:lang w:val="es-CR"/>
        </w:rPr>
        <w:t>los</w:t>
      </w:r>
      <w:r w:rsidRPr="00B7262B">
        <w:rPr>
          <w:rFonts w:ascii="Verdana" w:hAnsi="Verdana"/>
          <w:sz w:val="20"/>
          <w:szCs w:val="20"/>
          <w:lang w:val="es-CR"/>
        </w:rPr>
        <w:t xml:space="preserve"> </w:t>
      </w:r>
      <w:r w:rsidR="005C03C1">
        <w:rPr>
          <w:rFonts w:ascii="Verdana" w:hAnsi="Verdana"/>
          <w:sz w:val="20"/>
          <w:szCs w:val="20"/>
          <w:lang w:val="es-CR"/>
        </w:rPr>
        <w:t xml:space="preserve">presuntos </w:t>
      </w:r>
      <w:r w:rsidRPr="00B7262B">
        <w:rPr>
          <w:rFonts w:ascii="Verdana" w:hAnsi="Verdana"/>
          <w:sz w:val="20"/>
          <w:szCs w:val="20"/>
          <w:lang w:val="es-CR"/>
        </w:rPr>
        <w:t>“</w:t>
      </w:r>
      <w:r w:rsidRPr="00B7262B">
        <w:rPr>
          <w:rFonts w:ascii="Verdana" w:eastAsia="Verdana" w:hAnsi="Verdana" w:cs="Verdana"/>
          <w:sz w:val="20"/>
          <w:szCs w:val="20"/>
          <w:lang w:val="es-CR"/>
        </w:rPr>
        <w:t>autores”</w:t>
      </w:r>
      <w:r w:rsidRPr="00B7262B">
        <w:rPr>
          <w:rFonts w:ascii="Verdana" w:hAnsi="Verdana"/>
          <w:sz w:val="20"/>
          <w:szCs w:val="20"/>
          <w:lang w:val="es-CR"/>
        </w:rPr>
        <w:t xml:space="preserve"> </w:t>
      </w:r>
      <w:r w:rsidR="00BC564C">
        <w:rPr>
          <w:rFonts w:ascii="Verdana" w:hAnsi="Verdana"/>
          <w:sz w:val="20"/>
          <w:szCs w:val="20"/>
          <w:lang w:val="es-CR"/>
        </w:rPr>
        <w:t xml:space="preserve">de las ejecuciones de las víctimas </w:t>
      </w:r>
      <w:r w:rsidR="00BC564C" w:rsidRPr="00BC564C">
        <w:rPr>
          <w:rFonts w:ascii="Verdana" w:hAnsi="Verdana"/>
          <w:sz w:val="20"/>
          <w:szCs w:val="20"/>
          <w:lang w:val="es-CR"/>
        </w:rPr>
        <w:t xml:space="preserve">ocurridas </w:t>
      </w:r>
      <w:r w:rsidR="00BC564C" w:rsidRPr="00BC564C">
        <w:rPr>
          <w:rFonts w:ascii="Verdana" w:eastAsia="Times" w:hAnsi="Verdana"/>
          <w:sz w:val="20"/>
          <w:szCs w:val="20"/>
          <w:lang w:val="es-CR"/>
        </w:rPr>
        <w:t>en el marco del Operativo Plan Gavilán</w:t>
      </w:r>
      <w:r w:rsidR="00BC564C">
        <w:rPr>
          <w:rFonts w:ascii="Verdana" w:hAnsi="Verdana"/>
          <w:sz w:val="20"/>
          <w:szCs w:val="20"/>
          <w:lang w:val="es-CR"/>
        </w:rPr>
        <w:t xml:space="preserve"> </w:t>
      </w:r>
      <w:r w:rsidRPr="00BC564C">
        <w:rPr>
          <w:rFonts w:ascii="Verdana" w:hAnsi="Verdana"/>
          <w:sz w:val="20"/>
          <w:szCs w:val="20"/>
          <w:lang w:val="es-CR"/>
        </w:rPr>
        <w:t>son de</w:t>
      </w:r>
      <w:r w:rsidRPr="00BC564C">
        <w:rPr>
          <w:rFonts w:ascii="Verdana" w:eastAsia="Verdana" w:hAnsi="Verdana" w:cs="Verdana"/>
          <w:sz w:val="20"/>
          <w:szCs w:val="20"/>
          <w:lang w:val="es-CR"/>
        </w:rPr>
        <w:t xml:space="preserve"> alto grado de peligrosidad,</w:t>
      </w:r>
      <w:r w:rsidRPr="00BC564C">
        <w:rPr>
          <w:rFonts w:ascii="Verdana" w:hAnsi="Verdana"/>
          <w:sz w:val="20"/>
          <w:szCs w:val="20"/>
          <w:lang w:val="es-CR"/>
        </w:rPr>
        <w:t xml:space="preserve"> ex funcionarios de la </w:t>
      </w:r>
      <w:r w:rsidRPr="00BC564C">
        <w:rPr>
          <w:rFonts w:ascii="Verdana" w:eastAsia="Times" w:hAnsi="Verdana"/>
          <w:sz w:val="20"/>
          <w:szCs w:val="20"/>
          <w:lang w:val="es-CR"/>
        </w:rPr>
        <w:t xml:space="preserve">Policía Nacional Civil y </w:t>
      </w:r>
      <w:r w:rsidR="003753A9" w:rsidRPr="00BC564C">
        <w:rPr>
          <w:rFonts w:ascii="Verdana" w:eastAsia="Times" w:hAnsi="Verdana"/>
          <w:sz w:val="20"/>
          <w:szCs w:val="20"/>
          <w:lang w:val="es-CR"/>
        </w:rPr>
        <w:t xml:space="preserve">del </w:t>
      </w:r>
      <w:r w:rsidRPr="00BC564C">
        <w:rPr>
          <w:rFonts w:ascii="Verdana" w:eastAsia="Times" w:hAnsi="Verdana"/>
          <w:sz w:val="20"/>
          <w:szCs w:val="20"/>
          <w:lang w:val="es-CR"/>
        </w:rPr>
        <w:t>Ministerio de Gobernación,</w:t>
      </w:r>
      <w:r w:rsidRPr="00BC564C">
        <w:rPr>
          <w:rFonts w:ascii="Verdana" w:eastAsia="Verdana" w:hAnsi="Verdana" w:cs="Verdana"/>
          <w:sz w:val="20"/>
          <w:szCs w:val="20"/>
          <w:lang w:val="es-CR"/>
        </w:rPr>
        <w:t xml:space="preserve"> y que</w:t>
      </w:r>
      <w:r w:rsidRPr="00BC564C">
        <w:rPr>
          <w:rFonts w:ascii="Verdana" w:hAnsi="Verdana"/>
          <w:sz w:val="20"/>
          <w:szCs w:val="20"/>
          <w:lang w:val="es-CR"/>
        </w:rPr>
        <w:t xml:space="preserve"> varios de los sindicados se encuentran prófugos o indebidamente en libertad</w:t>
      </w:r>
      <w:r w:rsidR="005C03C1">
        <w:rPr>
          <w:rFonts w:ascii="Verdana" w:hAnsi="Verdana"/>
          <w:sz w:val="20"/>
          <w:szCs w:val="20"/>
          <w:lang w:val="es-CR"/>
        </w:rPr>
        <w:t>,</w:t>
      </w:r>
      <w:r w:rsidRPr="00BC564C">
        <w:rPr>
          <w:rFonts w:ascii="Verdana" w:hAnsi="Verdana"/>
          <w:sz w:val="20"/>
          <w:szCs w:val="20"/>
          <w:lang w:val="es-CR"/>
        </w:rPr>
        <w:t xml:space="preserve"> pues no se han ejecutado las órdenes judiciales de </w:t>
      </w:r>
      <w:r w:rsidRPr="00BC564C">
        <w:rPr>
          <w:rFonts w:ascii="Verdana" w:eastAsiaTheme="minorHAnsi" w:hAnsi="Verdana" w:cs="ArialMT"/>
          <w:sz w:val="20"/>
          <w:szCs w:val="20"/>
          <w:lang w:val="es-CR"/>
        </w:rPr>
        <w:t>prisión preventiva en su contra</w:t>
      </w:r>
      <w:r w:rsidRPr="00BC564C">
        <w:rPr>
          <w:rFonts w:ascii="Verdana" w:hAnsi="Verdana"/>
          <w:sz w:val="20"/>
          <w:szCs w:val="20"/>
          <w:lang w:val="es-CR"/>
        </w:rPr>
        <w:t xml:space="preserve"> </w:t>
      </w:r>
      <w:r w:rsidR="003753A9" w:rsidRPr="00BC564C">
        <w:rPr>
          <w:rFonts w:ascii="Verdana" w:hAnsi="Verdana"/>
          <w:sz w:val="20"/>
          <w:szCs w:val="20"/>
          <w:lang w:val="es-CR"/>
        </w:rPr>
        <w:t>(</w:t>
      </w:r>
      <w:r w:rsidRPr="00BC564C">
        <w:rPr>
          <w:rFonts w:ascii="Verdana" w:hAnsi="Verdana"/>
          <w:i/>
          <w:sz w:val="20"/>
          <w:szCs w:val="20"/>
        </w:rPr>
        <w:t>supra</w:t>
      </w:r>
      <w:r w:rsidRPr="00BC564C">
        <w:rPr>
          <w:rFonts w:ascii="Verdana" w:hAnsi="Verdana"/>
          <w:sz w:val="20"/>
          <w:szCs w:val="20"/>
        </w:rPr>
        <w:t xml:space="preserve"> Considerandos </w:t>
      </w:r>
      <w:r w:rsidR="008B5591">
        <w:rPr>
          <w:rFonts w:ascii="Verdana" w:hAnsi="Verdana"/>
          <w:sz w:val="20"/>
          <w:szCs w:val="20"/>
        </w:rPr>
        <w:t xml:space="preserve">7.a y b, </w:t>
      </w:r>
      <w:r w:rsidR="002B5F49" w:rsidRPr="00BC564C">
        <w:rPr>
          <w:rFonts w:ascii="Verdana" w:hAnsi="Verdana"/>
          <w:sz w:val="20"/>
          <w:szCs w:val="20"/>
        </w:rPr>
        <w:t>8</w:t>
      </w:r>
      <w:r w:rsidR="008B5591">
        <w:rPr>
          <w:rFonts w:ascii="Verdana" w:hAnsi="Verdana"/>
          <w:sz w:val="20"/>
          <w:szCs w:val="20"/>
        </w:rPr>
        <w:t>.a y b</w:t>
      </w:r>
      <w:r w:rsidR="00D11632">
        <w:rPr>
          <w:rFonts w:ascii="Verdana" w:hAnsi="Verdana"/>
          <w:sz w:val="20"/>
          <w:szCs w:val="20"/>
        </w:rPr>
        <w:t>, y 11</w:t>
      </w:r>
      <w:r w:rsidRPr="00BC564C">
        <w:rPr>
          <w:rFonts w:ascii="Verdana" w:hAnsi="Verdana"/>
          <w:sz w:val="20"/>
          <w:szCs w:val="20"/>
        </w:rPr>
        <w:t>)</w:t>
      </w:r>
      <w:r w:rsidRPr="00BC564C">
        <w:rPr>
          <w:rFonts w:ascii="Verdana" w:eastAsia="Verdana" w:hAnsi="Verdana" w:cs="Verdana"/>
          <w:sz w:val="20"/>
          <w:szCs w:val="20"/>
          <w:lang w:val="es-CR"/>
        </w:rPr>
        <w:t>.</w:t>
      </w:r>
    </w:p>
    <w:p w14:paraId="26C2D322" w14:textId="17C15F29" w:rsidR="00FB25F0" w:rsidRPr="00B660E9" w:rsidRDefault="00FB25F0" w:rsidP="00FB25F0">
      <w:pPr>
        <w:numPr>
          <w:ilvl w:val="0"/>
          <w:numId w:val="2"/>
        </w:numPr>
        <w:spacing w:before="120" w:after="120"/>
        <w:ind w:left="0" w:firstLine="0"/>
        <w:jc w:val="both"/>
        <w:rPr>
          <w:rFonts w:ascii="Verdana" w:hAnsi="Verdana"/>
          <w:sz w:val="20"/>
          <w:szCs w:val="20"/>
          <w:lang w:val="es-CR"/>
        </w:rPr>
      </w:pPr>
      <w:r w:rsidRPr="00B660E9">
        <w:rPr>
          <w:rFonts w:ascii="Verdana" w:eastAsia="Verdana" w:hAnsi="Verdana" w:cs="Verdana"/>
          <w:sz w:val="20"/>
          <w:szCs w:val="20"/>
          <w:lang w:val="es-CR"/>
        </w:rPr>
        <w:t xml:space="preserve">El Estado no </w:t>
      </w:r>
      <w:r w:rsidRPr="00B660E9">
        <w:rPr>
          <w:rFonts w:ascii="Verdana" w:hAnsi="Verdana"/>
          <w:sz w:val="20"/>
          <w:szCs w:val="20"/>
        </w:rPr>
        <w:t>controvirtió</w:t>
      </w:r>
      <w:r w:rsidRPr="00B660E9">
        <w:rPr>
          <w:rFonts w:ascii="Verdana" w:eastAsia="Verdana" w:hAnsi="Verdana" w:cs="Verdana"/>
          <w:sz w:val="20"/>
          <w:szCs w:val="20"/>
          <w:lang w:val="es-CR"/>
        </w:rPr>
        <w:t xml:space="preserve"> la situación manifiesta en que se encuentran el Fiscal “B” y el Auxiliar Fiscal “C”</w:t>
      </w:r>
      <w:r w:rsidR="008B5591">
        <w:rPr>
          <w:rFonts w:ascii="Verdana" w:hAnsi="Verdana"/>
          <w:sz w:val="20"/>
          <w:szCs w:val="20"/>
          <w:lang w:val="es-CR"/>
        </w:rPr>
        <w:t>,</w:t>
      </w:r>
      <w:r w:rsidRPr="00B660E9">
        <w:rPr>
          <w:rFonts w:ascii="Verdana" w:hAnsi="Verdana"/>
          <w:sz w:val="20"/>
          <w:szCs w:val="20"/>
          <w:lang w:val="es-CR"/>
        </w:rPr>
        <w:t xml:space="preserve"> sin embargo,</w:t>
      </w:r>
      <w:r w:rsidRPr="00B660E9">
        <w:rPr>
          <w:rFonts w:ascii="Verdana" w:hAnsi="Verdana"/>
          <w:sz w:val="20"/>
          <w:szCs w:val="20"/>
        </w:rPr>
        <w:t xml:space="preserve"> reiteró que ambos cuentan con un esquema de seguridad, y que se está investigando las denuncias que estos presentaron y, teniendo en cuenta dichas acciones llevadas a cabo, se refirió a la naturaleza subsidiaria del derecho internacional</w:t>
      </w:r>
      <w:r w:rsidR="008B5591">
        <w:rPr>
          <w:rFonts w:ascii="Verdana" w:hAnsi="Verdana"/>
          <w:sz w:val="20"/>
          <w:szCs w:val="20"/>
        </w:rPr>
        <w:t xml:space="preserve"> </w:t>
      </w:r>
      <w:r w:rsidR="008B5591" w:rsidRPr="00B660E9">
        <w:rPr>
          <w:rFonts w:ascii="Verdana" w:eastAsia="Verdana" w:hAnsi="Verdana" w:cs="Verdana"/>
          <w:sz w:val="20"/>
          <w:szCs w:val="20"/>
          <w:lang w:val="es-CR"/>
        </w:rPr>
        <w:t>(</w:t>
      </w:r>
      <w:r w:rsidR="008B5591" w:rsidRPr="00B660E9">
        <w:rPr>
          <w:rFonts w:ascii="Verdana" w:hAnsi="Verdana"/>
          <w:i/>
          <w:sz w:val="20"/>
          <w:szCs w:val="20"/>
        </w:rPr>
        <w:t>supra</w:t>
      </w:r>
      <w:r w:rsidR="008B5591" w:rsidRPr="00B660E9">
        <w:rPr>
          <w:rFonts w:ascii="Verdana" w:hAnsi="Verdana"/>
          <w:sz w:val="20"/>
          <w:szCs w:val="20"/>
        </w:rPr>
        <w:t xml:space="preserve"> Considerandos </w:t>
      </w:r>
      <w:r w:rsidR="008B5591">
        <w:rPr>
          <w:rFonts w:ascii="Verdana" w:hAnsi="Verdana"/>
          <w:sz w:val="20"/>
          <w:szCs w:val="20"/>
        </w:rPr>
        <w:t>20</w:t>
      </w:r>
      <w:r w:rsidR="00A97D6D">
        <w:rPr>
          <w:rFonts w:ascii="Verdana" w:hAnsi="Verdana"/>
          <w:sz w:val="20"/>
          <w:szCs w:val="20"/>
        </w:rPr>
        <w:t>, 24.a</w:t>
      </w:r>
      <w:r w:rsidR="008B5591">
        <w:rPr>
          <w:rFonts w:ascii="Verdana" w:hAnsi="Verdana"/>
          <w:sz w:val="20"/>
          <w:szCs w:val="20"/>
        </w:rPr>
        <w:t xml:space="preserve"> </w:t>
      </w:r>
      <w:r w:rsidR="00A97D6D">
        <w:rPr>
          <w:rFonts w:ascii="Verdana" w:hAnsi="Verdana"/>
          <w:sz w:val="20"/>
          <w:szCs w:val="20"/>
        </w:rPr>
        <w:t>y</w:t>
      </w:r>
      <w:r w:rsidR="008B5591">
        <w:rPr>
          <w:rFonts w:ascii="Verdana" w:hAnsi="Verdana"/>
          <w:sz w:val="20"/>
          <w:szCs w:val="20"/>
        </w:rPr>
        <w:t xml:space="preserve"> 27</w:t>
      </w:r>
      <w:r w:rsidR="008B5591" w:rsidRPr="00B660E9">
        <w:rPr>
          <w:rFonts w:ascii="Verdana" w:hAnsi="Verdana"/>
          <w:sz w:val="20"/>
          <w:szCs w:val="20"/>
        </w:rPr>
        <w:t>)</w:t>
      </w:r>
      <w:r w:rsidRPr="00B660E9">
        <w:rPr>
          <w:rFonts w:ascii="Verdana" w:hAnsi="Verdana"/>
          <w:sz w:val="20"/>
          <w:szCs w:val="20"/>
        </w:rPr>
        <w:t>. La Corte recuerda que, “atendiendo al principio de complementariedad y subsidiariedad, una orden de adopción o mantenimiento de medidas provisionales se justifica en situaciones contempladas bajo el artículo 63.2 de la Convención respecto de las cuales las garantías ordinarias existentes en el Estado resultan insuficientes o inefectivas o las autoridades internas no puedan o no quieran hacerlas prevalecer</w:t>
      </w:r>
      <w:r w:rsidR="00A97D6D">
        <w:rPr>
          <w:rFonts w:ascii="Verdana" w:hAnsi="Verdana"/>
          <w:sz w:val="20"/>
          <w:szCs w:val="20"/>
        </w:rPr>
        <w:t>”</w:t>
      </w:r>
      <w:r w:rsidRPr="00B660E9">
        <w:rPr>
          <w:rStyle w:val="Refdenotaalpie"/>
          <w:sz w:val="20"/>
          <w:szCs w:val="20"/>
        </w:rPr>
        <w:footnoteReference w:id="51"/>
      </w:r>
      <w:r w:rsidRPr="00B660E9">
        <w:rPr>
          <w:rFonts w:ascii="Verdana" w:hAnsi="Verdana"/>
          <w:sz w:val="20"/>
          <w:szCs w:val="20"/>
        </w:rPr>
        <w:t>.</w:t>
      </w:r>
    </w:p>
    <w:p w14:paraId="1B2A8FE7" w14:textId="280A4C31" w:rsidR="00FB25F0" w:rsidRPr="00B660E9" w:rsidRDefault="00FB25F0" w:rsidP="00FB25F0">
      <w:pPr>
        <w:numPr>
          <w:ilvl w:val="0"/>
          <w:numId w:val="2"/>
        </w:numPr>
        <w:spacing w:before="120" w:after="120"/>
        <w:ind w:left="0" w:firstLine="0"/>
        <w:jc w:val="both"/>
        <w:rPr>
          <w:rFonts w:ascii="Verdana" w:hAnsi="Verdana"/>
          <w:sz w:val="20"/>
          <w:szCs w:val="20"/>
          <w:lang w:val="es-CR"/>
        </w:rPr>
      </w:pPr>
      <w:r w:rsidRPr="00B660E9">
        <w:rPr>
          <w:rFonts w:ascii="Verdana" w:hAnsi="Verdana"/>
          <w:sz w:val="20"/>
          <w:szCs w:val="20"/>
          <w:lang w:val="es-CR"/>
        </w:rPr>
        <w:t xml:space="preserve">Al respecto, la Corte valora como positivo </w:t>
      </w:r>
      <w:r w:rsidRPr="00B660E9">
        <w:rPr>
          <w:rFonts w:ascii="Verdana" w:eastAsia="Verdana" w:hAnsi="Verdana" w:cs="Verdana"/>
          <w:sz w:val="20"/>
          <w:szCs w:val="20"/>
          <w:lang w:val="es-CR"/>
        </w:rPr>
        <w:t xml:space="preserve">que </w:t>
      </w:r>
      <w:r w:rsidRPr="00B660E9">
        <w:rPr>
          <w:rFonts w:ascii="Verdana" w:hAnsi="Verdana"/>
          <w:sz w:val="20"/>
          <w:szCs w:val="20"/>
        </w:rPr>
        <w:t>el Estado continúa asigna</w:t>
      </w:r>
      <w:r>
        <w:rPr>
          <w:rFonts w:ascii="Verdana" w:hAnsi="Verdana"/>
          <w:sz w:val="20"/>
          <w:szCs w:val="20"/>
        </w:rPr>
        <w:t>n</w:t>
      </w:r>
      <w:r w:rsidRPr="00B660E9">
        <w:rPr>
          <w:rFonts w:ascii="Verdana" w:hAnsi="Verdana"/>
          <w:sz w:val="20"/>
          <w:szCs w:val="20"/>
        </w:rPr>
        <w:t>do e implementando un “</w:t>
      </w:r>
      <w:r w:rsidRPr="00B660E9">
        <w:rPr>
          <w:rFonts w:ascii="Verdana" w:eastAsia="Calibri" w:hAnsi="Verdana" w:cs="Verdana"/>
          <w:color w:val="000000"/>
          <w:sz w:val="20"/>
          <w:szCs w:val="20"/>
          <w:lang w:val="es-CR"/>
        </w:rPr>
        <w:t>esquema de seguridad</w:t>
      </w:r>
      <w:r w:rsidR="00A97D6D">
        <w:rPr>
          <w:rFonts w:ascii="Verdana" w:hAnsi="Verdana"/>
          <w:sz w:val="20"/>
          <w:szCs w:val="20"/>
        </w:rPr>
        <w:t xml:space="preserve">” a favor del </w:t>
      </w:r>
      <w:r w:rsidRPr="00B660E9">
        <w:rPr>
          <w:rFonts w:ascii="Verdana" w:eastAsia="Verdana" w:hAnsi="Verdana" w:cs="Verdana"/>
          <w:sz w:val="20"/>
          <w:szCs w:val="20"/>
          <w:lang w:val="es-CR"/>
        </w:rPr>
        <w:t xml:space="preserve">Fiscal “B” y </w:t>
      </w:r>
      <w:r w:rsidR="00A97D6D">
        <w:rPr>
          <w:rFonts w:ascii="Verdana" w:eastAsia="Verdana" w:hAnsi="Verdana" w:cs="Verdana"/>
          <w:sz w:val="20"/>
          <w:szCs w:val="20"/>
          <w:lang w:val="es-CR"/>
        </w:rPr>
        <w:t>d</w:t>
      </w:r>
      <w:r w:rsidRPr="00B660E9">
        <w:rPr>
          <w:rFonts w:ascii="Verdana" w:eastAsia="Verdana" w:hAnsi="Verdana" w:cs="Verdana"/>
          <w:sz w:val="20"/>
          <w:szCs w:val="20"/>
          <w:lang w:val="es-CR"/>
        </w:rPr>
        <w:t>el Auxiliar Fiscal “C”</w:t>
      </w:r>
      <w:r w:rsidRPr="00B660E9">
        <w:rPr>
          <w:rFonts w:ascii="Verdana" w:eastAsia="Calibri" w:hAnsi="Verdana" w:cs="Verdana"/>
          <w:color w:val="000000"/>
          <w:sz w:val="20"/>
          <w:szCs w:val="20"/>
          <w:lang w:val="es-CR"/>
        </w:rPr>
        <w:t xml:space="preserve">, </w:t>
      </w:r>
      <w:r w:rsidRPr="00B660E9">
        <w:rPr>
          <w:rFonts w:ascii="Verdana" w:hAnsi="Verdana"/>
          <w:sz w:val="20"/>
          <w:szCs w:val="20"/>
        </w:rPr>
        <w:t xml:space="preserve">mediante el </w:t>
      </w:r>
      <w:r w:rsidRPr="00B660E9">
        <w:rPr>
          <w:rFonts w:ascii="Verdana" w:eastAsia="Calibri" w:hAnsi="Verdana" w:cs="Verdana"/>
          <w:color w:val="000000"/>
          <w:sz w:val="20"/>
          <w:szCs w:val="20"/>
          <w:lang w:val="es-CR"/>
        </w:rPr>
        <w:t>Departamento de Seguridad del Ministerio Público,</w:t>
      </w:r>
      <w:r w:rsidRPr="00B660E9">
        <w:rPr>
          <w:rFonts w:ascii="Verdana" w:hAnsi="Verdana"/>
          <w:sz w:val="20"/>
          <w:szCs w:val="20"/>
        </w:rPr>
        <w:t xml:space="preserve"> en el marco de los cuales se desprende que Guatemala ha desarrollado diversas acciones, tales como elaboración de análisis de riesgo, asignación de agentes de seguridad</w:t>
      </w:r>
      <w:r w:rsidRPr="00B660E9">
        <w:rPr>
          <w:rFonts w:ascii="Verdana" w:eastAsia="Calibri" w:hAnsi="Verdana" w:cs="Verdana"/>
          <w:color w:val="000000"/>
          <w:sz w:val="20"/>
          <w:szCs w:val="20"/>
          <w:lang w:val="es-CR"/>
        </w:rPr>
        <w:t xml:space="preserve">, </w:t>
      </w:r>
      <w:r w:rsidRPr="00B660E9">
        <w:rPr>
          <w:rFonts w:ascii="Verdana" w:hAnsi="Verdana"/>
          <w:sz w:val="20"/>
          <w:szCs w:val="20"/>
        </w:rPr>
        <w:t xml:space="preserve">provisión de chalecos antibalas y vehículos </w:t>
      </w:r>
      <w:r w:rsidRPr="00B660E9">
        <w:rPr>
          <w:rFonts w:ascii="Verdana" w:eastAsia="Calibri" w:hAnsi="Verdana" w:cs="Verdana"/>
          <w:color w:val="000000"/>
          <w:sz w:val="20"/>
          <w:szCs w:val="20"/>
          <w:lang w:val="es-CR"/>
        </w:rPr>
        <w:t>institucionales</w:t>
      </w:r>
      <w:r w:rsidRPr="00B660E9">
        <w:rPr>
          <w:rFonts w:ascii="Verdana" w:hAnsi="Verdana"/>
          <w:sz w:val="20"/>
          <w:szCs w:val="20"/>
        </w:rPr>
        <w:t xml:space="preserve"> para su protección (</w:t>
      </w:r>
      <w:r w:rsidRPr="00B660E9">
        <w:rPr>
          <w:rFonts w:ascii="Verdana" w:hAnsi="Verdana"/>
          <w:i/>
          <w:sz w:val="20"/>
          <w:szCs w:val="20"/>
        </w:rPr>
        <w:t>supra</w:t>
      </w:r>
      <w:r w:rsidRPr="00B660E9">
        <w:rPr>
          <w:rFonts w:ascii="Verdana" w:hAnsi="Verdana"/>
          <w:sz w:val="20"/>
          <w:szCs w:val="20"/>
        </w:rPr>
        <w:t xml:space="preserve"> Considerandos </w:t>
      </w:r>
      <w:r w:rsidR="00A97D6D">
        <w:rPr>
          <w:rFonts w:ascii="Verdana" w:hAnsi="Verdana"/>
          <w:sz w:val="20"/>
          <w:szCs w:val="20"/>
        </w:rPr>
        <w:t>20</w:t>
      </w:r>
      <w:r w:rsidR="0074025F">
        <w:rPr>
          <w:rFonts w:ascii="Verdana" w:hAnsi="Verdana"/>
          <w:sz w:val="20"/>
          <w:szCs w:val="20"/>
        </w:rPr>
        <w:t xml:space="preserve"> y 27</w:t>
      </w:r>
      <w:r w:rsidRPr="00B660E9">
        <w:rPr>
          <w:rFonts w:ascii="Verdana" w:hAnsi="Verdana"/>
          <w:sz w:val="20"/>
          <w:szCs w:val="20"/>
        </w:rPr>
        <w:t>).</w:t>
      </w:r>
    </w:p>
    <w:p w14:paraId="4ADF4E82" w14:textId="1E58B1BF" w:rsidR="00FB25F0" w:rsidRPr="00411EE2" w:rsidRDefault="00FB25F0" w:rsidP="00FB25F0">
      <w:pPr>
        <w:numPr>
          <w:ilvl w:val="0"/>
          <w:numId w:val="2"/>
        </w:numPr>
        <w:spacing w:before="120" w:after="120"/>
        <w:ind w:left="0" w:firstLine="0"/>
        <w:jc w:val="both"/>
        <w:rPr>
          <w:rFonts w:ascii="Verdana" w:hAnsi="Verdana"/>
          <w:sz w:val="20"/>
          <w:szCs w:val="20"/>
        </w:rPr>
      </w:pPr>
      <w:r w:rsidRPr="00B660E9">
        <w:rPr>
          <w:rFonts w:ascii="Verdana" w:hAnsi="Verdana"/>
          <w:sz w:val="20"/>
          <w:szCs w:val="20"/>
        </w:rPr>
        <w:t xml:space="preserve">Sin embargo, este Tribunal nota con preocupación que </w:t>
      </w:r>
      <w:r w:rsidR="005C03C1">
        <w:rPr>
          <w:rFonts w:ascii="Verdana" w:hAnsi="Verdana"/>
          <w:sz w:val="20"/>
          <w:szCs w:val="20"/>
        </w:rPr>
        <w:t xml:space="preserve">reiteradamente los representantes han alegado que </w:t>
      </w:r>
      <w:r w:rsidRPr="00B660E9">
        <w:rPr>
          <w:rFonts w:ascii="Verdana" w:hAnsi="Verdana"/>
          <w:sz w:val="20"/>
          <w:szCs w:val="20"/>
        </w:rPr>
        <w:t xml:space="preserve">tales esquemas presentan deficiencias y anomalías, y que </w:t>
      </w:r>
      <w:r w:rsidRPr="00B660E9">
        <w:rPr>
          <w:rFonts w:ascii="Verdana" w:hAnsi="Verdana"/>
          <w:sz w:val="20"/>
          <w:szCs w:val="20"/>
        </w:rPr>
        <w:lastRenderedPageBreak/>
        <w:t xml:space="preserve">posibles causas generadoras de riesgo no han sido valoradas, lo cual ha sido </w:t>
      </w:r>
      <w:r w:rsidRPr="00D11632">
        <w:rPr>
          <w:rFonts w:ascii="Verdana" w:hAnsi="Verdana"/>
          <w:sz w:val="20"/>
          <w:szCs w:val="20"/>
        </w:rPr>
        <w:t>puest</w:t>
      </w:r>
      <w:r w:rsidR="005C03C1">
        <w:rPr>
          <w:rFonts w:ascii="Verdana" w:hAnsi="Verdana"/>
          <w:sz w:val="20"/>
          <w:szCs w:val="20"/>
        </w:rPr>
        <w:t>o</w:t>
      </w:r>
      <w:r w:rsidRPr="00D11632">
        <w:rPr>
          <w:rFonts w:ascii="Verdana" w:hAnsi="Verdana"/>
          <w:sz w:val="20"/>
          <w:szCs w:val="20"/>
        </w:rPr>
        <w:t xml:space="preserve"> en conocimiento del Estado, tanto en el marco de la supervisión de cumplimiento de las </w:t>
      </w:r>
      <w:r w:rsidR="00A97D6D" w:rsidRPr="00D11632">
        <w:rPr>
          <w:rFonts w:ascii="Verdana" w:hAnsi="Verdana"/>
          <w:sz w:val="20"/>
          <w:szCs w:val="20"/>
        </w:rPr>
        <w:t>s</w:t>
      </w:r>
      <w:r w:rsidRPr="00D11632">
        <w:rPr>
          <w:rFonts w:ascii="Verdana" w:hAnsi="Verdana"/>
          <w:sz w:val="20"/>
          <w:szCs w:val="20"/>
        </w:rPr>
        <w:t>entencias como de la solicitud de medidas provisionales</w:t>
      </w:r>
      <w:r w:rsidRPr="00D11632">
        <w:rPr>
          <w:rStyle w:val="Refdenotaalpie"/>
          <w:sz w:val="20"/>
          <w:szCs w:val="20"/>
        </w:rPr>
        <w:footnoteReference w:id="52"/>
      </w:r>
      <w:r w:rsidR="00D11632" w:rsidRPr="00D11632">
        <w:rPr>
          <w:rFonts w:ascii="Verdana" w:hAnsi="Verdana"/>
          <w:sz w:val="20"/>
          <w:szCs w:val="20"/>
        </w:rPr>
        <w:t xml:space="preserve"> </w:t>
      </w:r>
      <w:r w:rsidR="00D11632" w:rsidRPr="00D11632">
        <w:rPr>
          <w:rFonts w:ascii="Verdana" w:eastAsia="Calibri" w:hAnsi="Verdana" w:cs="Verdana"/>
          <w:sz w:val="20"/>
          <w:szCs w:val="20"/>
          <w:lang w:val="es-CR"/>
        </w:rPr>
        <w:t>(</w:t>
      </w:r>
      <w:r w:rsidR="00D11632" w:rsidRPr="00D11632">
        <w:rPr>
          <w:rFonts w:ascii="Verdana" w:eastAsia="Calibri" w:hAnsi="Verdana" w:cs="Verdana"/>
          <w:i/>
          <w:sz w:val="20"/>
          <w:szCs w:val="20"/>
          <w:lang w:val="es-CR"/>
        </w:rPr>
        <w:t>supra</w:t>
      </w:r>
      <w:r w:rsidR="00D11632" w:rsidRPr="00D11632">
        <w:rPr>
          <w:rFonts w:ascii="Verdana" w:eastAsia="Calibri" w:hAnsi="Verdana" w:cs="Verdana"/>
          <w:sz w:val="20"/>
          <w:szCs w:val="20"/>
          <w:lang w:val="es-CR"/>
        </w:rPr>
        <w:t xml:space="preserve"> Considerando</w:t>
      </w:r>
      <w:r w:rsidR="00D11632">
        <w:rPr>
          <w:rFonts w:ascii="Verdana" w:eastAsia="Calibri" w:hAnsi="Verdana" w:cs="Verdana"/>
          <w:sz w:val="20"/>
          <w:szCs w:val="20"/>
          <w:lang w:val="es-CR"/>
        </w:rPr>
        <w:t>s 11 y</w:t>
      </w:r>
      <w:r w:rsidR="00D11632" w:rsidRPr="00D11632">
        <w:rPr>
          <w:rFonts w:ascii="Verdana" w:eastAsia="Calibri" w:hAnsi="Verdana" w:cs="Verdana"/>
          <w:sz w:val="20"/>
          <w:szCs w:val="20"/>
          <w:lang w:val="es-CR"/>
        </w:rPr>
        <w:t xml:space="preserve"> 28)</w:t>
      </w:r>
      <w:r w:rsidRPr="00D11632">
        <w:rPr>
          <w:rFonts w:ascii="Verdana" w:hAnsi="Verdana"/>
          <w:sz w:val="20"/>
          <w:szCs w:val="20"/>
        </w:rPr>
        <w:t>, pero el</w:t>
      </w:r>
      <w:r w:rsidRPr="00B660E9">
        <w:rPr>
          <w:rFonts w:ascii="Verdana" w:hAnsi="Verdana"/>
          <w:sz w:val="20"/>
          <w:szCs w:val="20"/>
        </w:rPr>
        <w:t xml:space="preserve"> Estado no ha informado que haya tomado acciones para superarlas</w:t>
      </w:r>
      <w:r w:rsidRPr="00B660E9">
        <w:rPr>
          <w:rFonts w:ascii="Verdana" w:hAnsi="Verdana"/>
          <w:sz w:val="20"/>
          <w:szCs w:val="20"/>
          <w:lang w:val="es-CR"/>
        </w:rPr>
        <w:t>, y tampoco que haya implementado</w:t>
      </w:r>
      <w:r w:rsidRPr="00B660E9">
        <w:rPr>
          <w:rFonts w:ascii="Verdana" w:hAnsi="Verdana"/>
          <w:sz w:val="20"/>
          <w:szCs w:val="20"/>
        </w:rPr>
        <w:t xml:space="preserve"> los cambios necesarios,</w:t>
      </w:r>
      <w:r w:rsidRPr="00B660E9">
        <w:rPr>
          <w:rFonts w:ascii="Verdana" w:hAnsi="Verdana"/>
          <w:sz w:val="20"/>
          <w:szCs w:val="20"/>
          <w:lang w:val="es-CR"/>
        </w:rPr>
        <w:t xml:space="preserve"> de tal forma que aquellas han persistido</w:t>
      </w:r>
      <w:r w:rsidRPr="00B660E9">
        <w:rPr>
          <w:rFonts w:ascii="Verdana" w:hAnsi="Verdana"/>
          <w:sz w:val="20"/>
          <w:szCs w:val="20"/>
        </w:rPr>
        <w:t xml:space="preserve"> en el tiempo.</w:t>
      </w:r>
      <w:r w:rsidRPr="00B660E9">
        <w:rPr>
          <w:rFonts w:ascii="Verdana" w:hAnsi="Verdana"/>
          <w:sz w:val="20"/>
          <w:szCs w:val="20"/>
          <w:lang w:val="es-CR"/>
        </w:rPr>
        <w:t xml:space="preserve"> Se adiciona a ello que, recientemente, </w:t>
      </w:r>
      <w:r w:rsidRPr="00B660E9">
        <w:rPr>
          <w:rFonts w:ascii="Verdana" w:eastAsiaTheme="minorHAnsi" w:hAnsi="Verdana" w:cs="ArialMT"/>
          <w:sz w:val="20"/>
          <w:szCs w:val="20"/>
          <w:lang w:val="es-CR"/>
        </w:rPr>
        <w:t xml:space="preserve">el 28 de julio de 2021, la Policía Nacional Civil se comunicó con </w:t>
      </w:r>
      <w:r w:rsidRPr="00B660E9">
        <w:rPr>
          <w:rFonts w:ascii="Verdana" w:eastAsia="Arial" w:hAnsi="Verdana" w:cs="Arial"/>
          <w:sz w:val="20"/>
          <w:szCs w:val="20"/>
          <w:lang w:val="es-CR"/>
        </w:rPr>
        <w:t>“</w:t>
      </w:r>
      <w:r w:rsidRPr="00B660E9">
        <w:rPr>
          <w:rFonts w:ascii="Verdana" w:eastAsiaTheme="minorHAnsi" w:hAnsi="Verdana" w:cs="ArialMT"/>
          <w:sz w:val="20"/>
          <w:szCs w:val="20"/>
          <w:lang w:val="es-CR"/>
        </w:rPr>
        <w:t>B</w:t>
      </w:r>
      <w:r w:rsidRPr="00B660E9">
        <w:rPr>
          <w:rFonts w:ascii="Verdana" w:eastAsia="Arial" w:hAnsi="Verdana" w:cs="Arial"/>
          <w:sz w:val="20"/>
          <w:szCs w:val="20"/>
          <w:lang w:val="es-CR"/>
        </w:rPr>
        <w:t>”</w:t>
      </w:r>
      <w:r w:rsidRPr="00B660E9">
        <w:rPr>
          <w:rFonts w:ascii="Verdana" w:eastAsiaTheme="minorHAnsi" w:hAnsi="Verdana" w:cs="ArialMT"/>
          <w:sz w:val="20"/>
          <w:szCs w:val="20"/>
          <w:lang w:val="es-CR"/>
        </w:rPr>
        <w:t xml:space="preserve"> </w:t>
      </w:r>
      <w:r w:rsidRPr="00B660E9">
        <w:rPr>
          <w:rFonts w:ascii="Verdana" w:eastAsia="Arial" w:hAnsi="Verdana" w:cs="Arial"/>
          <w:sz w:val="20"/>
          <w:szCs w:val="20"/>
          <w:lang w:val="es-CR"/>
        </w:rPr>
        <w:t>y “</w:t>
      </w:r>
      <w:r w:rsidRPr="00B660E9">
        <w:rPr>
          <w:rFonts w:ascii="Verdana" w:eastAsiaTheme="minorHAnsi" w:hAnsi="Verdana" w:cs="ArialMT"/>
          <w:sz w:val="20"/>
          <w:szCs w:val="20"/>
          <w:lang w:val="es-CR"/>
        </w:rPr>
        <w:t>C</w:t>
      </w:r>
      <w:r w:rsidRPr="00B660E9">
        <w:rPr>
          <w:rFonts w:ascii="Verdana" w:eastAsia="Arial" w:hAnsi="Verdana" w:cs="Arial"/>
          <w:sz w:val="20"/>
          <w:szCs w:val="20"/>
          <w:lang w:val="es-CR"/>
        </w:rPr>
        <w:t>”</w:t>
      </w:r>
      <w:r w:rsidRPr="00B660E9">
        <w:rPr>
          <w:rFonts w:ascii="Verdana" w:eastAsiaTheme="minorHAnsi" w:hAnsi="Verdana" w:cs="ArialMT"/>
          <w:sz w:val="20"/>
          <w:szCs w:val="20"/>
          <w:lang w:val="es-CR"/>
        </w:rPr>
        <w:t xml:space="preserve"> </w:t>
      </w:r>
      <w:r w:rsidRPr="00B660E9">
        <w:rPr>
          <w:rFonts w:ascii="Verdana" w:eastAsiaTheme="minorHAnsi" w:hAnsi="Verdana" w:cs="Arial"/>
          <w:sz w:val="20"/>
          <w:szCs w:val="20"/>
          <w:lang w:val="es-CR"/>
        </w:rPr>
        <w:t>para brindarles seguridad personalizada</w:t>
      </w:r>
      <w:r>
        <w:rPr>
          <w:rFonts w:ascii="Verdana" w:eastAsiaTheme="minorHAnsi" w:hAnsi="Verdana" w:cs="ArialMT"/>
          <w:sz w:val="20"/>
          <w:szCs w:val="20"/>
          <w:lang w:val="es-CR"/>
        </w:rPr>
        <w:t xml:space="preserve">, </w:t>
      </w:r>
      <w:r w:rsidRPr="00B660E9">
        <w:rPr>
          <w:rFonts w:ascii="Verdana" w:eastAsiaTheme="minorHAnsi" w:hAnsi="Verdana" w:cs="ArialMT"/>
          <w:sz w:val="20"/>
          <w:szCs w:val="20"/>
          <w:lang w:val="es-CR"/>
        </w:rPr>
        <w:t xml:space="preserve">y les solicitó fijar fecha y hora para llevar a cabo una audiencia en aras de </w:t>
      </w:r>
      <w:r w:rsidRPr="00B660E9">
        <w:rPr>
          <w:rFonts w:ascii="Verdana" w:eastAsia="Verdana" w:hAnsi="Verdana" w:cs="Verdana"/>
          <w:sz w:val="20"/>
          <w:szCs w:val="20"/>
          <w:lang w:val="es-CR"/>
        </w:rPr>
        <w:t>“</w:t>
      </w:r>
      <w:proofErr w:type="spellStart"/>
      <w:r w:rsidRPr="00B660E9">
        <w:rPr>
          <w:rFonts w:ascii="Verdana" w:eastAsiaTheme="minorHAnsi" w:hAnsi="Verdana" w:cs="ArialMT"/>
          <w:sz w:val="20"/>
          <w:szCs w:val="20"/>
          <w:lang w:val="es-CR"/>
        </w:rPr>
        <w:t>aperturar</w:t>
      </w:r>
      <w:proofErr w:type="spellEnd"/>
      <w:r w:rsidRPr="00B660E9">
        <w:rPr>
          <w:rFonts w:ascii="Verdana" w:eastAsia="Verdana" w:hAnsi="Verdana" w:cs="Verdana"/>
          <w:sz w:val="20"/>
          <w:szCs w:val="20"/>
          <w:lang w:val="es-CR"/>
        </w:rPr>
        <w:t xml:space="preserve">” </w:t>
      </w:r>
      <w:r>
        <w:rPr>
          <w:rFonts w:ascii="Verdana" w:eastAsiaTheme="minorHAnsi" w:hAnsi="Verdana" w:cs="ArialMT"/>
          <w:sz w:val="20"/>
          <w:szCs w:val="20"/>
          <w:lang w:val="es-CR"/>
        </w:rPr>
        <w:t>su</w:t>
      </w:r>
      <w:r w:rsidRPr="00B660E9">
        <w:rPr>
          <w:rFonts w:ascii="Verdana" w:eastAsiaTheme="minorHAnsi" w:hAnsi="Verdana" w:cs="ArialMT"/>
          <w:sz w:val="20"/>
          <w:szCs w:val="20"/>
          <w:lang w:val="es-CR"/>
        </w:rPr>
        <w:t xml:space="preserve"> esquema de seguridad</w:t>
      </w:r>
      <w:r w:rsidR="002C26D6">
        <w:rPr>
          <w:rFonts w:ascii="Verdana" w:eastAsiaTheme="minorHAnsi" w:hAnsi="Verdana" w:cs="ArialMT"/>
          <w:sz w:val="20"/>
          <w:szCs w:val="20"/>
          <w:lang w:val="es-CR"/>
        </w:rPr>
        <w:t xml:space="preserve"> (</w:t>
      </w:r>
      <w:r w:rsidR="002C26D6" w:rsidRPr="002C26D6">
        <w:rPr>
          <w:rFonts w:ascii="Verdana" w:eastAsiaTheme="minorHAnsi" w:hAnsi="Verdana" w:cs="ArialMT"/>
          <w:i/>
          <w:sz w:val="20"/>
          <w:szCs w:val="20"/>
          <w:lang w:val="es-CR"/>
        </w:rPr>
        <w:t>supra</w:t>
      </w:r>
      <w:r w:rsidR="002C26D6">
        <w:rPr>
          <w:rFonts w:ascii="Verdana" w:eastAsiaTheme="minorHAnsi" w:hAnsi="Verdana" w:cs="ArialMT"/>
          <w:sz w:val="20"/>
          <w:szCs w:val="20"/>
          <w:lang w:val="es-CR"/>
        </w:rPr>
        <w:t xml:space="preserve"> Considerando 13),</w:t>
      </w:r>
      <w:r w:rsidRPr="00B660E9">
        <w:rPr>
          <w:rFonts w:ascii="Verdana" w:eastAsiaTheme="minorHAnsi" w:hAnsi="Verdana" w:cs="ArialMT"/>
          <w:sz w:val="20"/>
          <w:szCs w:val="20"/>
          <w:lang w:val="es-CR"/>
        </w:rPr>
        <w:t xml:space="preserve"> </w:t>
      </w:r>
      <w:r w:rsidR="003D2257">
        <w:rPr>
          <w:rFonts w:ascii="Verdana" w:eastAsiaTheme="minorHAnsi" w:hAnsi="Verdana" w:cs="ArialMT"/>
          <w:sz w:val="20"/>
          <w:szCs w:val="20"/>
          <w:lang w:val="es-CR"/>
        </w:rPr>
        <w:t xml:space="preserve">a pesar </w:t>
      </w:r>
      <w:r w:rsidRPr="00B660E9">
        <w:rPr>
          <w:rFonts w:ascii="Verdana" w:eastAsiaTheme="minorHAnsi" w:hAnsi="Verdana" w:cs="ArialMT"/>
          <w:sz w:val="20"/>
          <w:szCs w:val="20"/>
          <w:lang w:val="es-CR"/>
        </w:rPr>
        <w:t xml:space="preserve">que </w:t>
      </w:r>
      <w:r w:rsidRPr="00B660E9">
        <w:rPr>
          <w:rFonts w:ascii="Verdana" w:hAnsi="Verdana"/>
          <w:sz w:val="20"/>
          <w:szCs w:val="20"/>
          <w:lang w:val="es-CR"/>
        </w:rPr>
        <w:t>l</w:t>
      </w:r>
      <w:r w:rsidRPr="00B660E9">
        <w:rPr>
          <w:rFonts w:ascii="Verdana" w:eastAsiaTheme="minorHAnsi" w:hAnsi="Verdana" w:cs="ArialMT"/>
          <w:sz w:val="20"/>
          <w:szCs w:val="20"/>
          <w:lang w:val="es-CR"/>
        </w:rPr>
        <w:t xml:space="preserve">os esquemas de seguridad son brindados por el </w:t>
      </w:r>
      <w:r w:rsidR="00A97D6D" w:rsidRPr="0048764E">
        <w:rPr>
          <w:rFonts w:ascii="Verdana" w:hAnsi="Verdana"/>
          <w:sz w:val="20"/>
          <w:szCs w:val="20"/>
        </w:rPr>
        <w:t>Departamento de Seguridad del Ministerio Público</w:t>
      </w:r>
      <w:r>
        <w:rPr>
          <w:rFonts w:ascii="Verdana" w:eastAsiaTheme="minorHAnsi" w:hAnsi="Verdana" w:cs="ArialMT"/>
          <w:sz w:val="20"/>
          <w:szCs w:val="20"/>
          <w:lang w:val="es-CR"/>
        </w:rPr>
        <w:t>,</w:t>
      </w:r>
      <w:r w:rsidRPr="00B660E9">
        <w:rPr>
          <w:rFonts w:ascii="Verdana" w:eastAsiaTheme="minorHAnsi" w:hAnsi="Verdana" w:cs="ArialMT"/>
          <w:sz w:val="20"/>
          <w:szCs w:val="20"/>
          <w:lang w:val="es-CR"/>
        </w:rPr>
        <w:t xml:space="preserve"> y que </w:t>
      </w:r>
      <w:r>
        <w:rPr>
          <w:rFonts w:ascii="Verdana" w:eastAsia="Calibri" w:hAnsi="Verdana" w:cs="Verdana"/>
          <w:color w:val="000000"/>
          <w:sz w:val="20"/>
          <w:szCs w:val="20"/>
          <w:lang w:val="es-CR"/>
        </w:rPr>
        <w:t>en el año 2020</w:t>
      </w:r>
      <w:r w:rsidRPr="00B660E9">
        <w:rPr>
          <w:rFonts w:ascii="Verdana" w:eastAsia="Calibri" w:hAnsi="Verdana" w:cs="Verdana"/>
          <w:color w:val="000000"/>
          <w:sz w:val="20"/>
          <w:szCs w:val="20"/>
          <w:lang w:val="es-CR"/>
        </w:rPr>
        <w:t xml:space="preserve"> </w:t>
      </w:r>
      <w:r w:rsidRPr="00B660E9">
        <w:rPr>
          <w:rFonts w:ascii="Verdana" w:eastAsiaTheme="minorHAnsi" w:hAnsi="Verdana" w:cs="ArialMT"/>
          <w:sz w:val="20"/>
          <w:szCs w:val="20"/>
          <w:lang w:val="es-CR"/>
        </w:rPr>
        <w:t xml:space="preserve">el Estado </w:t>
      </w:r>
      <w:r w:rsidRPr="00B660E9">
        <w:rPr>
          <w:rFonts w:ascii="Verdana" w:hAnsi="Verdana"/>
          <w:sz w:val="20"/>
          <w:szCs w:val="20"/>
          <w:lang w:val="es-CR"/>
        </w:rPr>
        <w:t xml:space="preserve">se </w:t>
      </w:r>
      <w:r w:rsidRPr="00B660E9">
        <w:rPr>
          <w:rFonts w:ascii="Verdana" w:eastAsia="Calibri" w:hAnsi="Verdana" w:cs="Verdana"/>
          <w:color w:val="000000"/>
          <w:sz w:val="20"/>
          <w:szCs w:val="20"/>
          <w:lang w:val="es-CR"/>
        </w:rPr>
        <w:t>comprometió que así seguiría haciéndolo</w:t>
      </w:r>
      <w:r w:rsidRPr="00B660E9">
        <w:rPr>
          <w:rStyle w:val="Refdenotaalpie"/>
          <w:rFonts w:eastAsia="Calibri" w:cs="Verdana"/>
          <w:color w:val="000000"/>
          <w:sz w:val="20"/>
          <w:szCs w:val="20"/>
          <w:lang w:val="es-CR"/>
        </w:rPr>
        <w:footnoteReference w:id="53"/>
      </w:r>
      <w:r w:rsidRPr="00B660E9">
        <w:rPr>
          <w:rFonts w:ascii="Verdana" w:hAnsi="Verdana"/>
          <w:sz w:val="20"/>
          <w:szCs w:val="20"/>
        </w:rPr>
        <w:t>.</w:t>
      </w:r>
      <w:r>
        <w:rPr>
          <w:rFonts w:ascii="Verdana" w:hAnsi="Verdana"/>
          <w:sz w:val="20"/>
          <w:szCs w:val="20"/>
        </w:rPr>
        <w:t xml:space="preserve"> En este sentido, en</w:t>
      </w:r>
      <w:r w:rsidRPr="00B660E9">
        <w:rPr>
          <w:rFonts w:ascii="Verdana" w:eastAsia="Verdana" w:hAnsi="Verdana" w:cs="Verdana"/>
          <w:sz w:val="20"/>
          <w:szCs w:val="20"/>
          <w:lang w:val="es-CR"/>
        </w:rPr>
        <w:t xml:space="preserve"> la Resolución de 2 de septiembre de 2020</w:t>
      </w:r>
      <w:r>
        <w:rPr>
          <w:rFonts w:ascii="Verdana" w:eastAsia="Verdana" w:hAnsi="Verdana" w:cs="Verdana"/>
          <w:sz w:val="20"/>
          <w:szCs w:val="20"/>
          <w:lang w:val="es-CR"/>
        </w:rPr>
        <w:t xml:space="preserve"> se requirió al Estado</w:t>
      </w:r>
      <w:r>
        <w:rPr>
          <w:rFonts w:ascii="Verdana" w:hAnsi="Verdana"/>
          <w:sz w:val="20"/>
          <w:szCs w:val="20"/>
          <w:lang w:val="es-CR"/>
        </w:rPr>
        <w:t xml:space="preserve"> “</w:t>
      </w:r>
      <w:r w:rsidRPr="0048764E">
        <w:rPr>
          <w:rFonts w:ascii="Verdana" w:hAnsi="Verdana"/>
          <w:sz w:val="20"/>
          <w:szCs w:val="20"/>
        </w:rPr>
        <w:t>que los esquemas de seguridad se adopten en</w:t>
      </w:r>
      <w:r>
        <w:rPr>
          <w:rFonts w:ascii="Verdana" w:hAnsi="Verdana"/>
          <w:sz w:val="20"/>
          <w:szCs w:val="20"/>
          <w:lang w:val="es-CR"/>
        </w:rPr>
        <w:t xml:space="preserve"> </w:t>
      </w:r>
      <w:r w:rsidRPr="0048764E">
        <w:rPr>
          <w:rFonts w:ascii="Verdana" w:hAnsi="Verdana"/>
          <w:sz w:val="20"/>
          <w:szCs w:val="20"/>
        </w:rPr>
        <w:t>común acuerdo y en coordinación con los tres</w:t>
      </w:r>
      <w:r w:rsidR="00A97D6D">
        <w:rPr>
          <w:rFonts w:ascii="Verdana" w:hAnsi="Verdana"/>
          <w:sz w:val="20"/>
          <w:szCs w:val="20"/>
        </w:rPr>
        <w:t xml:space="preserve"> Fiscales de la FECI, a través [de tal Departamento]</w:t>
      </w:r>
      <w:r w:rsidRPr="0048764E">
        <w:rPr>
          <w:rFonts w:ascii="Verdana" w:hAnsi="Verdana"/>
          <w:sz w:val="20"/>
          <w:szCs w:val="20"/>
        </w:rPr>
        <w:t>, y se debe evitar que se brinden por</w:t>
      </w:r>
      <w:r>
        <w:rPr>
          <w:rFonts w:ascii="Verdana" w:hAnsi="Verdana"/>
          <w:sz w:val="20"/>
          <w:szCs w:val="20"/>
          <w:lang w:val="es-CR"/>
        </w:rPr>
        <w:t xml:space="preserve"> </w:t>
      </w:r>
      <w:r w:rsidRPr="0048764E">
        <w:rPr>
          <w:rFonts w:ascii="Verdana" w:hAnsi="Verdana"/>
          <w:sz w:val="20"/>
          <w:szCs w:val="20"/>
        </w:rPr>
        <w:t>funcionarios pertenecientes a las instituciones públicas a las que pertenecieron las personas</w:t>
      </w:r>
      <w:r>
        <w:rPr>
          <w:rFonts w:ascii="Verdana" w:hAnsi="Verdana"/>
          <w:sz w:val="20"/>
          <w:szCs w:val="20"/>
          <w:lang w:val="es-CR"/>
        </w:rPr>
        <w:t xml:space="preserve"> </w:t>
      </w:r>
      <w:r w:rsidRPr="0048764E">
        <w:rPr>
          <w:rFonts w:ascii="Verdana" w:hAnsi="Verdana"/>
          <w:sz w:val="20"/>
          <w:szCs w:val="20"/>
        </w:rPr>
        <w:t xml:space="preserve">investigadas por los </w:t>
      </w:r>
      <w:r w:rsidRPr="00411EE2">
        <w:rPr>
          <w:rFonts w:ascii="Verdana" w:hAnsi="Verdana"/>
          <w:sz w:val="20"/>
          <w:szCs w:val="20"/>
        </w:rPr>
        <w:t xml:space="preserve">referidos fiscales”. </w:t>
      </w:r>
    </w:p>
    <w:p w14:paraId="73D3B6E7" w14:textId="4AE77DA8" w:rsidR="00FB25F0" w:rsidRPr="00746119" w:rsidRDefault="005C03C1" w:rsidP="00FB25F0">
      <w:pPr>
        <w:numPr>
          <w:ilvl w:val="0"/>
          <w:numId w:val="2"/>
        </w:numPr>
        <w:spacing w:before="120" w:after="120"/>
        <w:ind w:left="0" w:firstLine="0"/>
        <w:jc w:val="both"/>
        <w:rPr>
          <w:rFonts w:ascii="Verdana" w:hAnsi="Verdana"/>
          <w:sz w:val="20"/>
          <w:szCs w:val="20"/>
          <w:lang w:val="es-CR"/>
        </w:rPr>
      </w:pPr>
      <w:r w:rsidRPr="00411EE2">
        <w:rPr>
          <w:rFonts w:ascii="Verdana" w:hAnsi="Verdana"/>
          <w:sz w:val="20"/>
          <w:szCs w:val="20"/>
        </w:rPr>
        <w:t xml:space="preserve">La Corte considera que, aun cuando el Estado </w:t>
      </w:r>
      <w:r w:rsidR="00B24F96" w:rsidRPr="00411EE2">
        <w:rPr>
          <w:rFonts w:ascii="Verdana" w:hAnsi="Verdana"/>
          <w:sz w:val="20"/>
          <w:szCs w:val="20"/>
        </w:rPr>
        <w:t xml:space="preserve">ha brindado </w:t>
      </w:r>
      <w:r w:rsidRPr="00411EE2">
        <w:rPr>
          <w:rFonts w:ascii="Verdana" w:hAnsi="Verdana"/>
          <w:sz w:val="20"/>
          <w:szCs w:val="20"/>
        </w:rPr>
        <w:t>esquemas de seguridad en el marco del cumplimiento de la obligación de investigar (</w:t>
      </w:r>
      <w:r w:rsidR="00DC1AE7" w:rsidRPr="00411EE2">
        <w:rPr>
          <w:rFonts w:ascii="Verdana" w:hAnsi="Verdana"/>
          <w:i/>
          <w:sz w:val="20"/>
          <w:szCs w:val="20"/>
        </w:rPr>
        <w:t>supra</w:t>
      </w:r>
      <w:r w:rsidR="00DC1AE7" w:rsidRPr="00411EE2">
        <w:rPr>
          <w:rFonts w:ascii="Verdana" w:hAnsi="Verdana"/>
          <w:sz w:val="20"/>
          <w:szCs w:val="20"/>
        </w:rPr>
        <w:t xml:space="preserve"> </w:t>
      </w:r>
      <w:r w:rsidRPr="00411EE2">
        <w:rPr>
          <w:rFonts w:ascii="Verdana" w:hAnsi="Verdana"/>
          <w:sz w:val="20"/>
          <w:szCs w:val="20"/>
        </w:rPr>
        <w:t xml:space="preserve">Considerandos </w:t>
      </w:r>
      <w:r w:rsidR="00353FC3" w:rsidRPr="00411EE2">
        <w:rPr>
          <w:rFonts w:ascii="Verdana" w:hAnsi="Verdana"/>
          <w:sz w:val="20"/>
          <w:szCs w:val="20"/>
        </w:rPr>
        <w:t>54 y 55</w:t>
      </w:r>
      <w:r w:rsidRPr="00411EE2">
        <w:rPr>
          <w:rFonts w:ascii="Verdana" w:hAnsi="Verdana"/>
          <w:sz w:val="20"/>
          <w:szCs w:val="20"/>
        </w:rPr>
        <w:t xml:space="preserve">), </w:t>
      </w:r>
      <w:r w:rsidR="00DC1AE7" w:rsidRPr="00411EE2">
        <w:rPr>
          <w:rFonts w:ascii="Verdana" w:hAnsi="Verdana"/>
          <w:sz w:val="20"/>
          <w:szCs w:val="20"/>
        </w:rPr>
        <w:t xml:space="preserve">tales medidas son insuficientes puesto que </w:t>
      </w:r>
      <w:r w:rsidR="00FB25F0" w:rsidRPr="00411EE2">
        <w:rPr>
          <w:rFonts w:ascii="Verdana" w:hAnsi="Verdana"/>
          <w:sz w:val="20"/>
          <w:szCs w:val="20"/>
        </w:rPr>
        <w:t xml:space="preserve">la situación de riesgo que </w:t>
      </w:r>
      <w:r w:rsidR="00DC1AE7" w:rsidRPr="00411EE2">
        <w:rPr>
          <w:rFonts w:ascii="Verdana" w:hAnsi="Verdana"/>
          <w:sz w:val="20"/>
          <w:szCs w:val="20"/>
        </w:rPr>
        <w:t xml:space="preserve">actualmente enfrentan </w:t>
      </w:r>
      <w:r w:rsidR="00FB25F0" w:rsidRPr="00411EE2">
        <w:rPr>
          <w:rFonts w:ascii="Verdana" w:hAnsi="Verdana"/>
          <w:sz w:val="20"/>
          <w:szCs w:val="20"/>
        </w:rPr>
        <w:t>el Fiscal “B” y el Auxiliar Fiscal “C”</w:t>
      </w:r>
      <w:r w:rsidR="00FB25F0" w:rsidRPr="00411EE2">
        <w:rPr>
          <w:rStyle w:val="Refdenotaalpie"/>
          <w:sz w:val="20"/>
          <w:szCs w:val="20"/>
        </w:rPr>
        <w:footnoteReference w:id="54"/>
      </w:r>
      <w:r w:rsidR="006D1360" w:rsidRPr="00411EE2">
        <w:rPr>
          <w:rFonts w:ascii="Verdana" w:hAnsi="Verdana"/>
          <w:sz w:val="20"/>
          <w:szCs w:val="20"/>
        </w:rPr>
        <w:t>,</w:t>
      </w:r>
      <w:r w:rsidR="00FB25F0" w:rsidRPr="00411EE2">
        <w:rPr>
          <w:rFonts w:ascii="Verdana" w:hAnsi="Verdana"/>
          <w:sz w:val="20"/>
          <w:szCs w:val="20"/>
        </w:rPr>
        <w:t xml:space="preserve"> </w:t>
      </w:r>
      <w:r w:rsidR="00FB25F0" w:rsidRPr="00411EE2">
        <w:rPr>
          <w:rFonts w:ascii="Verdana" w:hAnsi="Verdana"/>
          <w:sz w:val="20"/>
          <w:szCs w:val="20"/>
          <w:lang w:val="es-CR"/>
        </w:rPr>
        <w:t xml:space="preserve">requiere una respuesta estatal inmediata </w:t>
      </w:r>
      <w:r w:rsidR="00DC1AE7" w:rsidRPr="00411EE2">
        <w:rPr>
          <w:rFonts w:ascii="Verdana" w:hAnsi="Verdana"/>
          <w:sz w:val="20"/>
          <w:szCs w:val="20"/>
          <w:lang w:val="es-CR"/>
        </w:rPr>
        <w:t xml:space="preserve">que mejore tales esquemas tomando en cuenta las deficiencias, anomalías y causas generadoras de riesgo referidas por las representantes </w:t>
      </w:r>
      <w:r w:rsidR="00FB25F0" w:rsidRPr="00411EE2">
        <w:rPr>
          <w:rFonts w:ascii="Verdana" w:hAnsi="Verdana"/>
          <w:sz w:val="20"/>
          <w:szCs w:val="20"/>
        </w:rPr>
        <w:t>(</w:t>
      </w:r>
      <w:r w:rsidR="00FB25F0" w:rsidRPr="00411EE2">
        <w:rPr>
          <w:rFonts w:ascii="Verdana" w:hAnsi="Verdana"/>
          <w:i/>
          <w:sz w:val="20"/>
          <w:szCs w:val="20"/>
        </w:rPr>
        <w:t>supra</w:t>
      </w:r>
      <w:r w:rsidR="00FB25F0" w:rsidRPr="00411EE2">
        <w:rPr>
          <w:rFonts w:ascii="Verdana" w:hAnsi="Verdana"/>
          <w:sz w:val="20"/>
          <w:szCs w:val="20"/>
        </w:rPr>
        <w:t xml:space="preserve"> Considerandos </w:t>
      </w:r>
      <w:r w:rsidR="00062BF2" w:rsidRPr="00411EE2">
        <w:rPr>
          <w:rFonts w:ascii="Verdana" w:hAnsi="Verdana"/>
          <w:sz w:val="20"/>
          <w:szCs w:val="20"/>
        </w:rPr>
        <w:t>51</w:t>
      </w:r>
      <w:r w:rsidR="00C66DBF" w:rsidRPr="00411EE2">
        <w:rPr>
          <w:rFonts w:ascii="Verdana" w:hAnsi="Verdana"/>
          <w:sz w:val="20"/>
          <w:szCs w:val="20"/>
        </w:rPr>
        <w:t xml:space="preserve"> </w:t>
      </w:r>
      <w:r w:rsidR="00062BF2" w:rsidRPr="00411EE2">
        <w:rPr>
          <w:rFonts w:ascii="Verdana" w:hAnsi="Verdana"/>
          <w:sz w:val="20"/>
          <w:szCs w:val="20"/>
        </w:rPr>
        <w:t>y</w:t>
      </w:r>
      <w:r w:rsidR="00C66DBF" w:rsidRPr="00411EE2">
        <w:rPr>
          <w:rFonts w:ascii="Verdana" w:hAnsi="Verdana"/>
          <w:sz w:val="20"/>
          <w:szCs w:val="20"/>
        </w:rPr>
        <w:t xml:space="preserve"> </w:t>
      </w:r>
      <w:r w:rsidR="00062BF2" w:rsidRPr="00411EE2">
        <w:rPr>
          <w:rFonts w:ascii="Verdana" w:hAnsi="Verdana"/>
          <w:sz w:val="20"/>
          <w:szCs w:val="20"/>
        </w:rPr>
        <w:t>53</w:t>
      </w:r>
      <w:r w:rsidR="00FB25F0" w:rsidRPr="00411EE2">
        <w:rPr>
          <w:rFonts w:ascii="Verdana" w:hAnsi="Verdana"/>
          <w:sz w:val="20"/>
          <w:szCs w:val="20"/>
        </w:rPr>
        <w:t>).</w:t>
      </w:r>
      <w:r w:rsidR="00FB25F0" w:rsidRPr="00411EE2">
        <w:rPr>
          <w:rFonts w:ascii="Verdana" w:hAnsi="Verdana"/>
          <w:sz w:val="20"/>
          <w:szCs w:val="20"/>
          <w:lang w:val="es-CR"/>
        </w:rPr>
        <w:t xml:space="preserve"> Po</w:t>
      </w:r>
      <w:r w:rsidR="00FB25F0" w:rsidRPr="00411EE2">
        <w:rPr>
          <w:rFonts w:ascii="Verdana" w:hAnsi="Verdana"/>
          <w:sz w:val="20"/>
          <w:szCs w:val="20"/>
        </w:rPr>
        <w:t>r lo tanto, surge la necesidad de que</w:t>
      </w:r>
      <w:r w:rsidR="00DC1AE7" w:rsidRPr="00411EE2">
        <w:rPr>
          <w:rFonts w:ascii="Verdana" w:hAnsi="Verdana"/>
          <w:sz w:val="20"/>
          <w:szCs w:val="20"/>
        </w:rPr>
        <w:t>, en aplicación del artículo 63.2 de la Convención,</w:t>
      </w:r>
      <w:r w:rsidR="00FB25F0" w:rsidRPr="00411EE2">
        <w:rPr>
          <w:rFonts w:ascii="Verdana" w:hAnsi="Verdana"/>
          <w:sz w:val="20"/>
          <w:szCs w:val="20"/>
        </w:rPr>
        <w:t xml:space="preserve"> Guatemala adopte, de forma inmediata e individualizada, las medidas que fuesen necesarias para </w:t>
      </w:r>
      <w:r w:rsidR="00FB25F0" w:rsidRPr="00411EE2">
        <w:rPr>
          <w:rFonts w:ascii="Verdana" w:eastAsia="Calibri" w:hAnsi="Verdana" w:cs="Calibri"/>
          <w:sz w:val="20"/>
          <w:szCs w:val="20"/>
          <w:lang w:val="es-ES" w:eastAsia="es-ES"/>
        </w:rPr>
        <w:t>proteger eficazmente los derechos a la vida y a la integridad personal del Fiscal de la FECI</w:t>
      </w:r>
      <w:r w:rsidR="00FB25F0" w:rsidRPr="00B660E9">
        <w:rPr>
          <w:rFonts w:ascii="Verdana" w:eastAsia="Calibri" w:hAnsi="Verdana" w:cs="Calibri"/>
          <w:sz w:val="20"/>
          <w:szCs w:val="20"/>
          <w:lang w:val="es-ES" w:eastAsia="es-ES"/>
        </w:rPr>
        <w:t xml:space="preserve"> “B” y el Auxiliar Fiscal de la FECI “C”</w:t>
      </w:r>
      <w:r w:rsidR="00FB25F0">
        <w:rPr>
          <w:rFonts w:ascii="Verdana" w:eastAsia="Calibri" w:hAnsi="Verdana" w:cs="Calibri"/>
          <w:sz w:val="20"/>
          <w:szCs w:val="20"/>
          <w:lang w:val="es-ES" w:eastAsia="es-ES"/>
        </w:rPr>
        <w:t>,</w:t>
      </w:r>
      <w:r w:rsidR="00FB25F0">
        <w:rPr>
          <w:rFonts w:ascii="Verdana" w:hAnsi="Verdana"/>
          <w:sz w:val="20"/>
          <w:szCs w:val="20"/>
          <w:lang w:val="es-CR"/>
        </w:rPr>
        <w:t xml:space="preserve"> </w:t>
      </w:r>
      <w:r w:rsidR="00FB25F0" w:rsidRPr="00746119">
        <w:rPr>
          <w:rFonts w:ascii="Verdana" w:eastAsia="Calibri" w:hAnsi="Verdana" w:cs="Calibri"/>
          <w:sz w:val="20"/>
          <w:szCs w:val="20"/>
          <w:lang w:val="es-ES" w:eastAsia="es-ES"/>
        </w:rPr>
        <w:t xml:space="preserve">para garantizar el derecho al acceso a la justicia de las víctimas de los casos </w:t>
      </w:r>
      <w:r w:rsidR="00FB25F0" w:rsidRPr="00746119">
        <w:rPr>
          <w:rFonts w:ascii="Verdana" w:hAnsi="Verdana"/>
          <w:i/>
          <w:sz w:val="20"/>
          <w:szCs w:val="20"/>
        </w:rPr>
        <w:t>Ruiz Fuentes y otra,</w:t>
      </w:r>
      <w:r w:rsidR="00FB25F0" w:rsidRPr="00746119">
        <w:rPr>
          <w:rFonts w:ascii="Verdana" w:hAnsi="Verdana"/>
          <w:sz w:val="20"/>
          <w:szCs w:val="20"/>
        </w:rPr>
        <w:t xml:space="preserve"> y </w:t>
      </w:r>
      <w:r w:rsidR="00FB25F0" w:rsidRPr="00746119">
        <w:rPr>
          <w:rFonts w:ascii="Verdana" w:hAnsi="Verdana"/>
          <w:i/>
          <w:sz w:val="20"/>
          <w:szCs w:val="20"/>
        </w:rPr>
        <w:t>Valenzuela Ávila</w:t>
      </w:r>
      <w:r w:rsidR="00807DED">
        <w:rPr>
          <w:rFonts w:ascii="Verdana" w:hAnsi="Verdana"/>
          <w:sz w:val="20"/>
          <w:szCs w:val="20"/>
        </w:rPr>
        <w:t>.</w:t>
      </w:r>
    </w:p>
    <w:p w14:paraId="1C1CA86B" w14:textId="53CB88FC" w:rsidR="00FB25F0" w:rsidRPr="007011B9" w:rsidRDefault="00FB25F0" w:rsidP="00FB25F0">
      <w:pPr>
        <w:numPr>
          <w:ilvl w:val="0"/>
          <w:numId w:val="2"/>
        </w:numPr>
        <w:spacing w:before="120" w:after="120"/>
        <w:ind w:left="0" w:firstLine="0"/>
        <w:jc w:val="both"/>
        <w:rPr>
          <w:rFonts w:ascii="Verdana" w:hAnsi="Verdana"/>
          <w:sz w:val="20"/>
          <w:szCs w:val="20"/>
          <w:lang w:val="es-CR"/>
        </w:rPr>
      </w:pPr>
      <w:r w:rsidRPr="00B660E9">
        <w:rPr>
          <w:rFonts w:ascii="Verdana" w:hAnsi="Verdana"/>
          <w:sz w:val="20"/>
          <w:szCs w:val="20"/>
        </w:rPr>
        <w:t>E</w:t>
      </w:r>
      <w:r>
        <w:rPr>
          <w:rFonts w:ascii="Verdana" w:hAnsi="Verdana"/>
          <w:sz w:val="20"/>
          <w:szCs w:val="20"/>
        </w:rPr>
        <w:t xml:space="preserve">s imprescindible que se refuercen los esquemas de seguridad </w:t>
      </w:r>
      <w:r w:rsidRPr="00B660E9">
        <w:rPr>
          <w:rFonts w:ascii="Verdana" w:hAnsi="Verdana"/>
          <w:sz w:val="20"/>
          <w:szCs w:val="20"/>
        </w:rPr>
        <w:t>y protección</w:t>
      </w:r>
      <w:r w:rsidRPr="00B660E9">
        <w:rPr>
          <w:rFonts w:ascii="Verdana" w:hAnsi="Verdana"/>
          <w:sz w:val="20"/>
          <w:szCs w:val="20"/>
          <w:lang w:val="es-CR"/>
        </w:rPr>
        <w:t xml:space="preserve"> </w:t>
      </w:r>
      <w:r w:rsidRPr="00B660E9">
        <w:rPr>
          <w:rFonts w:ascii="Verdana" w:hAnsi="Verdana"/>
          <w:sz w:val="20"/>
          <w:szCs w:val="20"/>
        </w:rPr>
        <w:t>para enfrentar los eventos de riesgo a los que actualmente se encuentran expuestos “B” y “C”</w:t>
      </w:r>
      <w:r w:rsidRPr="00B660E9">
        <w:rPr>
          <w:rFonts w:ascii="Verdana" w:hAnsi="Verdana"/>
          <w:sz w:val="20"/>
          <w:szCs w:val="20"/>
          <w:lang w:val="es-CR"/>
        </w:rPr>
        <w:t xml:space="preserve">. </w:t>
      </w:r>
      <w:r w:rsidRPr="00B660E9">
        <w:rPr>
          <w:rFonts w:ascii="Verdana" w:hAnsi="Verdana"/>
          <w:sz w:val="20"/>
          <w:szCs w:val="20"/>
        </w:rPr>
        <w:t>Debe</w:t>
      </w:r>
      <w:r w:rsidRPr="00B660E9">
        <w:rPr>
          <w:rFonts w:ascii="Verdana" w:eastAsia="Calibri" w:hAnsi="Verdana" w:cs="Verdana"/>
          <w:color w:val="000000"/>
          <w:sz w:val="20"/>
          <w:szCs w:val="20"/>
          <w:lang w:val="es-CR"/>
        </w:rPr>
        <w:t xml:space="preserve"> insistirse </w:t>
      </w:r>
      <w:r w:rsidRPr="00B660E9">
        <w:rPr>
          <w:rFonts w:ascii="Verdana" w:hAnsi="Verdana"/>
          <w:sz w:val="20"/>
          <w:szCs w:val="20"/>
          <w:lang w:val="es-CR"/>
        </w:rPr>
        <w:t xml:space="preserve">en que </w:t>
      </w:r>
      <w:r w:rsidRPr="00B660E9">
        <w:rPr>
          <w:rFonts w:ascii="Verdana" w:hAnsi="Verdana"/>
          <w:sz w:val="20"/>
          <w:szCs w:val="20"/>
        </w:rPr>
        <w:t xml:space="preserve">los esquemas de seguridad se adopten en común acuerdo y en coordinación con los beneficiarios, a través del Departamento de Seguridad del Ministerio Público, </w:t>
      </w:r>
      <w:r w:rsidRPr="00B660E9">
        <w:rPr>
          <w:rFonts w:ascii="Verdana" w:eastAsia="Calibri" w:hAnsi="Verdana" w:cs="Cambria"/>
          <w:sz w:val="20"/>
          <w:szCs w:val="20"/>
          <w:lang w:val="es-CR"/>
        </w:rPr>
        <w:t xml:space="preserve">y se debe </w:t>
      </w:r>
      <w:r w:rsidR="00470B2F">
        <w:rPr>
          <w:rFonts w:ascii="Verdana" w:eastAsia="Calibri" w:hAnsi="Verdana" w:cs="Cambria"/>
          <w:sz w:val="20"/>
          <w:szCs w:val="20"/>
          <w:lang w:val="es-CR"/>
        </w:rPr>
        <w:t>impedir</w:t>
      </w:r>
      <w:r w:rsidRPr="00B660E9">
        <w:rPr>
          <w:rFonts w:ascii="Verdana" w:eastAsia="Calibri" w:hAnsi="Verdana" w:cs="Cambria"/>
          <w:sz w:val="20"/>
          <w:szCs w:val="20"/>
          <w:lang w:val="es-CR"/>
        </w:rPr>
        <w:t xml:space="preserve"> que</w:t>
      </w:r>
      <w:r w:rsidRPr="00B660E9">
        <w:rPr>
          <w:rFonts w:ascii="Verdana" w:hAnsi="Verdana"/>
          <w:sz w:val="20"/>
          <w:szCs w:val="20"/>
        </w:rPr>
        <w:t xml:space="preserve"> </w:t>
      </w:r>
      <w:r w:rsidRPr="00B660E9">
        <w:rPr>
          <w:rFonts w:ascii="Verdana" w:eastAsia="Calibri" w:hAnsi="Verdana" w:cs="Cambria"/>
          <w:sz w:val="20"/>
          <w:szCs w:val="20"/>
          <w:lang w:val="es-CR"/>
        </w:rPr>
        <w:t xml:space="preserve">se brinden por funcionarios pertenecientes a las instituciones públicas a las que pertenecieron las personas investigadas por los </w:t>
      </w:r>
      <w:r w:rsidRPr="007011B9">
        <w:rPr>
          <w:rFonts w:ascii="Verdana" w:eastAsia="Calibri" w:hAnsi="Verdana" w:cs="Cambria"/>
          <w:sz w:val="20"/>
          <w:szCs w:val="20"/>
          <w:lang w:val="es-CR"/>
        </w:rPr>
        <w:t>referidos fiscales”</w:t>
      </w:r>
      <w:r w:rsidRPr="007011B9">
        <w:rPr>
          <w:rStyle w:val="Refdenotaalpie"/>
          <w:rFonts w:eastAsia="Calibri" w:cs="Cambria"/>
          <w:sz w:val="20"/>
          <w:szCs w:val="20"/>
          <w:lang w:val="es-CR"/>
        </w:rPr>
        <w:footnoteReference w:id="55"/>
      </w:r>
      <w:r w:rsidRPr="007011B9">
        <w:rPr>
          <w:rFonts w:ascii="Verdana" w:eastAsia="Calibri" w:hAnsi="Verdana" w:cs="Cambria"/>
          <w:sz w:val="20"/>
          <w:szCs w:val="20"/>
          <w:lang w:val="es-CR"/>
        </w:rPr>
        <w:t>,</w:t>
      </w:r>
      <w:r w:rsidRPr="007011B9">
        <w:rPr>
          <w:rFonts w:ascii="Verdana" w:hAnsi="Verdana"/>
          <w:sz w:val="20"/>
          <w:szCs w:val="20"/>
          <w:lang w:val="es-CR"/>
        </w:rPr>
        <w:t xml:space="preserve"> </w:t>
      </w:r>
      <w:r w:rsidRPr="00251BB3">
        <w:rPr>
          <w:rFonts w:ascii="Verdana" w:hAnsi="Verdana"/>
          <w:spacing w:val="-4"/>
          <w:sz w:val="20"/>
          <w:szCs w:val="20"/>
          <w:lang w:val="es-CR"/>
        </w:rPr>
        <w:t xml:space="preserve">tomando en cuenta lo indicado en el Considerando </w:t>
      </w:r>
      <w:r w:rsidR="00701E76" w:rsidRPr="00251BB3">
        <w:rPr>
          <w:rFonts w:ascii="Verdana" w:hAnsi="Verdana"/>
          <w:spacing w:val="-4"/>
          <w:sz w:val="20"/>
          <w:szCs w:val="20"/>
          <w:lang w:val="es-CR"/>
        </w:rPr>
        <w:t>53</w:t>
      </w:r>
      <w:r w:rsidRPr="00251BB3">
        <w:rPr>
          <w:rFonts w:ascii="Verdana" w:hAnsi="Verdana"/>
          <w:spacing w:val="-4"/>
          <w:sz w:val="20"/>
          <w:szCs w:val="20"/>
          <w:lang w:val="es-CR"/>
        </w:rPr>
        <w:t xml:space="preserve"> de la presente Resolución</w:t>
      </w:r>
      <w:r w:rsidRPr="00793710">
        <w:rPr>
          <w:rFonts w:ascii="Verdana" w:hAnsi="Verdana"/>
          <w:sz w:val="20"/>
          <w:szCs w:val="20"/>
        </w:rPr>
        <w:t>.</w:t>
      </w:r>
    </w:p>
    <w:p w14:paraId="1275C4F3" w14:textId="77777777" w:rsidR="00FB25F0" w:rsidRPr="00F83C02" w:rsidRDefault="00FB25F0" w:rsidP="00FB25F0">
      <w:pPr>
        <w:numPr>
          <w:ilvl w:val="0"/>
          <w:numId w:val="2"/>
        </w:numPr>
        <w:spacing w:before="120" w:after="120"/>
        <w:ind w:left="0" w:firstLine="0"/>
        <w:jc w:val="both"/>
        <w:rPr>
          <w:rFonts w:ascii="Verdana" w:hAnsi="Verdana"/>
          <w:sz w:val="20"/>
          <w:szCs w:val="20"/>
          <w:lang w:val="es-CR"/>
        </w:rPr>
      </w:pPr>
      <w:r w:rsidRPr="007011B9">
        <w:rPr>
          <w:rFonts w:ascii="Verdana" w:hAnsi="Verdana"/>
          <w:sz w:val="20"/>
          <w:szCs w:val="20"/>
        </w:rPr>
        <w:t xml:space="preserve">A este respecto, la Corte advierte que la situación actual a la que están sometidos dichos fiscales podría provocarles temor y desconfianza impactando de manera directa en la realización de sus labores investigativas. El Tribunal recuerda </w:t>
      </w:r>
      <w:r w:rsidRPr="007011B9">
        <w:rPr>
          <w:rFonts w:ascii="Verdana" w:eastAsia="Verdana" w:hAnsi="Verdana" w:cs="Verdana"/>
          <w:sz w:val="20"/>
          <w:szCs w:val="20"/>
          <w:lang w:val="es-CR"/>
        </w:rPr>
        <w:t xml:space="preserve">que </w:t>
      </w:r>
      <w:r w:rsidRPr="007011B9">
        <w:rPr>
          <w:rFonts w:ascii="Verdana" w:hAnsi="Verdana"/>
          <w:sz w:val="20"/>
          <w:szCs w:val="20"/>
        </w:rPr>
        <w:t xml:space="preserve">los Estados, para garantizar </w:t>
      </w:r>
      <w:r w:rsidRPr="007011B9">
        <w:rPr>
          <w:rFonts w:ascii="Verdana" w:hAnsi="Verdana"/>
          <w:sz w:val="20"/>
          <w:szCs w:val="20"/>
        </w:rPr>
        <w:lastRenderedPageBreak/>
        <w:t>un debido proceso, deben facilitar todos los me</w:t>
      </w:r>
      <w:r w:rsidRPr="007011B9">
        <w:rPr>
          <w:rFonts w:ascii="Verdana" w:hAnsi="Verdana"/>
          <w:spacing w:val="-4"/>
          <w:sz w:val="20"/>
          <w:szCs w:val="20"/>
        </w:rPr>
        <w:t xml:space="preserve">dios </w:t>
      </w:r>
      <w:r w:rsidRPr="007011B9">
        <w:rPr>
          <w:rFonts w:ascii="Verdana" w:hAnsi="Verdana"/>
          <w:sz w:val="20"/>
          <w:szCs w:val="20"/>
        </w:rPr>
        <w:t>necesarios</w:t>
      </w:r>
      <w:r w:rsidRPr="007011B9">
        <w:rPr>
          <w:rFonts w:ascii="Verdana" w:hAnsi="Verdana"/>
          <w:spacing w:val="-4"/>
          <w:sz w:val="20"/>
          <w:szCs w:val="20"/>
        </w:rPr>
        <w:t xml:space="preserve"> para proteger a los operadores de justicia de hostigamientos y amenazas que tengan como finalidad </w:t>
      </w:r>
      <w:r w:rsidRPr="007011B9">
        <w:rPr>
          <w:rFonts w:ascii="Verdana" w:hAnsi="Verdana"/>
          <w:sz w:val="20"/>
          <w:szCs w:val="20"/>
        </w:rPr>
        <w:t>entorpecer</w:t>
      </w:r>
      <w:r w:rsidRPr="00B660E9">
        <w:rPr>
          <w:rFonts w:ascii="Verdana" w:hAnsi="Verdana"/>
          <w:sz w:val="20"/>
          <w:szCs w:val="20"/>
        </w:rPr>
        <w:t xml:space="preserve"> el proceso, evitar el esclarecimiento de los hechos y encubrir a los responsables de los mismos</w:t>
      </w:r>
      <w:r w:rsidRPr="00B660E9">
        <w:rPr>
          <w:rFonts w:ascii="Verdana" w:hAnsi="Verdana"/>
          <w:sz w:val="20"/>
          <w:szCs w:val="20"/>
          <w:vertAlign w:val="superscript"/>
        </w:rPr>
        <w:footnoteReference w:id="56"/>
      </w:r>
      <w:r w:rsidRPr="00B660E9">
        <w:rPr>
          <w:rFonts w:ascii="Verdana" w:hAnsi="Verdana"/>
          <w:sz w:val="20"/>
          <w:szCs w:val="20"/>
        </w:rPr>
        <w:t>, pues de lo contrario eso tendría un efecto amedrentador e intimidante en quienes investigan, afectando seriamente la efectividad de la investigación</w:t>
      </w:r>
      <w:r w:rsidRPr="00B660E9">
        <w:rPr>
          <w:rFonts w:ascii="Verdana" w:hAnsi="Verdana"/>
          <w:sz w:val="20"/>
          <w:szCs w:val="20"/>
          <w:vertAlign w:val="superscript"/>
        </w:rPr>
        <w:footnoteReference w:id="57"/>
      </w:r>
      <w:r w:rsidRPr="00B660E9">
        <w:rPr>
          <w:rFonts w:ascii="Verdana" w:hAnsi="Verdana"/>
          <w:sz w:val="20"/>
          <w:szCs w:val="20"/>
        </w:rPr>
        <w:t>. Tales hechos se convierten en otro medio para perpetuar la impunidad e impedir que se conozca la verdad de lo ocurrido</w:t>
      </w:r>
      <w:r w:rsidRPr="00B660E9">
        <w:rPr>
          <w:rFonts w:ascii="Verdana" w:hAnsi="Verdana"/>
          <w:sz w:val="20"/>
          <w:szCs w:val="20"/>
          <w:vertAlign w:val="superscript"/>
        </w:rPr>
        <w:footnoteReference w:id="58"/>
      </w:r>
      <w:r w:rsidRPr="00B660E9">
        <w:rPr>
          <w:rFonts w:ascii="Verdana" w:hAnsi="Verdana"/>
          <w:sz w:val="20"/>
          <w:szCs w:val="20"/>
        </w:rPr>
        <w:t>.</w:t>
      </w:r>
      <w:r>
        <w:rPr>
          <w:rFonts w:ascii="Verdana" w:hAnsi="Verdana"/>
          <w:sz w:val="20"/>
          <w:szCs w:val="20"/>
        </w:rPr>
        <w:t xml:space="preserve"> L</w:t>
      </w:r>
      <w:r w:rsidRPr="001C3FC8">
        <w:rPr>
          <w:rFonts w:ascii="Verdana" w:hAnsi="Verdana"/>
          <w:sz w:val="20"/>
          <w:szCs w:val="20"/>
        </w:rPr>
        <w:t xml:space="preserve">os Estados </w:t>
      </w:r>
      <w:r>
        <w:rPr>
          <w:rFonts w:ascii="Verdana" w:hAnsi="Verdana"/>
          <w:sz w:val="20"/>
          <w:szCs w:val="20"/>
        </w:rPr>
        <w:t>están obligados a</w:t>
      </w:r>
      <w:r w:rsidRPr="001C3FC8">
        <w:rPr>
          <w:rFonts w:ascii="Verdana" w:hAnsi="Verdana"/>
          <w:sz w:val="20"/>
          <w:szCs w:val="20"/>
        </w:rPr>
        <w:t xml:space="preserve"> garantizar “que los fiscales puedan ejercer sus funciones profesionales sin intimidación, trabas, hostigamiento, injerencias indebidas o riesgo injustificado de incurrir en responsabilidad civil, penal o de otra índole”</w:t>
      </w:r>
      <w:r w:rsidRPr="00B660E9">
        <w:rPr>
          <w:rStyle w:val="Refdenotaalpie"/>
          <w:sz w:val="20"/>
          <w:szCs w:val="20"/>
        </w:rPr>
        <w:footnoteReference w:id="59"/>
      </w:r>
      <w:r w:rsidRPr="001C3FC8">
        <w:rPr>
          <w:rFonts w:ascii="Verdana" w:hAnsi="Verdana"/>
          <w:sz w:val="20"/>
          <w:szCs w:val="20"/>
        </w:rPr>
        <w:t>.</w:t>
      </w:r>
    </w:p>
    <w:p w14:paraId="4B115AF8" w14:textId="581D85D6" w:rsidR="00FB25F0" w:rsidRPr="00FB25F0" w:rsidRDefault="00FB25F0" w:rsidP="00FB25F0">
      <w:pPr>
        <w:numPr>
          <w:ilvl w:val="0"/>
          <w:numId w:val="2"/>
        </w:numPr>
        <w:spacing w:before="120" w:after="120"/>
        <w:ind w:left="0" w:firstLine="0"/>
        <w:jc w:val="both"/>
        <w:rPr>
          <w:rFonts w:ascii="Verdana" w:hAnsi="Verdana"/>
          <w:sz w:val="20"/>
          <w:szCs w:val="20"/>
          <w:lang w:val="es-CR"/>
        </w:rPr>
      </w:pPr>
      <w:r>
        <w:rPr>
          <w:rFonts w:ascii="Verdana" w:hAnsi="Verdana"/>
          <w:sz w:val="20"/>
          <w:szCs w:val="20"/>
          <w:lang w:val="es-CR"/>
        </w:rPr>
        <w:t>La Corte destaca que</w:t>
      </w:r>
      <w:r w:rsidR="00DA2A20">
        <w:rPr>
          <w:rFonts w:ascii="Verdana" w:hAnsi="Verdana"/>
          <w:sz w:val="20"/>
          <w:szCs w:val="20"/>
          <w:lang w:val="es-CR"/>
        </w:rPr>
        <w:t>,</w:t>
      </w:r>
      <w:r>
        <w:rPr>
          <w:rFonts w:ascii="Verdana" w:hAnsi="Verdana"/>
          <w:sz w:val="20"/>
          <w:szCs w:val="20"/>
          <w:lang w:val="es-CR"/>
        </w:rPr>
        <w:t xml:space="preserve"> </w:t>
      </w:r>
      <w:r w:rsidR="00DC1AE7">
        <w:rPr>
          <w:rFonts w:ascii="Verdana" w:hAnsi="Verdana"/>
          <w:sz w:val="20"/>
          <w:szCs w:val="20"/>
          <w:lang w:val="es-CR"/>
        </w:rPr>
        <w:t xml:space="preserve">no solo fue destituido </w:t>
      </w:r>
      <w:r w:rsidR="00B24F96">
        <w:rPr>
          <w:rFonts w:ascii="Verdana" w:hAnsi="Verdana"/>
          <w:sz w:val="20"/>
          <w:szCs w:val="20"/>
          <w:lang w:val="es-CR"/>
        </w:rPr>
        <w:t xml:space="preserve">el </w:t>
      </w:r>
      <w:r w:rsidR="007E55DE">
        <w:rPr>
          <w:rFonts w:ascii="Verdana" w:eastAsiaTheme="minorHAnsi" w:hAnsi="Verdana" w:cs="ArialMT"/>
          <w:sz w:val="20"/>
          <w:szCs w:val="20"/>
          <w:lang w:val="es-CR"/>
        </w:rPr>
        <w:t xml:space="preserve">entonces </w:t>
      </w:r>
      <w:r>
        <w:rPr>
          <w:rFonts w:ascii="Verdana" w:hAnsi="Verdana"/>
          <w:sz w:val="20"/>
          <w:szCs w:val="20"/>
          <w:lang w:val="es-CR"/>
        </w:rPr>
        <w:t>J</w:t>
      </w:r>
      <w:r w:rsidRPr="00F83C02">
        <w:rPr>
          <w:rFonts w:ascii="Verdana" w:hAnsi="Verdana"/>
          <w:sz w:val="20"/>
          <w:szCs w:val="20"/>
          <w:lang w:val="es-CR"/>
        </w:rPr>
        <w:t xml:space="preserve">efe de la FECI </w:t>
      </w:r>
      <w:r w:rsidR="00D079B2" w:rsidRPr="00B660E9">
        <w:rPr>
          <w:rFonts w:ascii="Verdana" w:eastAsiaTheme="minorHAnsi" w:hAnsi="Verdana" w:cs="Verdana"/>
          <w:sz w:val="20"/>
          <w:szCs w:val="20"/>
          <w:lang w:val="es-CR"/>
        </w:rPr>
        <w:t>Juan Francisco Sandoval Alfaro</w:t>
      </w:r>
      <w:r>
        <w:rPr>
          <w:rFonts w:ascii="Verdana" w:hAnsi="Verdana"/>
          <w:sz w:val="20"/>
          <w:szCs w:val="20"/>
          <w:lang w:val="es-CR"/>
        </w:rPr>
        <w:t>,</w:t>
      </w:r>
      <w:r w:rsidRPr="00A63776">
        <w:rPr>
          <w:rFonts w:ascii="Verdana" w:hAnsi="Verdana"/>
          <w:sz w:val="20"/>
          <w:szCs w:val="20"/>
          <w:lang w:val="es-CR"/>
        </w:rPr>
        <w:t xml:space="preserve"> </w:t>
      </w:r>
      <w:r w:rsidR="00B24F96">
        <w:rPr>
          <w:rFonts w:ascii="Verdana" w:hAnsi="Verdana"/>
          <w:sz w:val="20"/>
          <w:szCs w:val="20"/>
          <w:lang w:val="es-CR"/>
        </w:rPr>
        <w:t xml:space="preserve">sino que </w:t>
      </w:r>
      <w:r w:rsidRPr="00A63776">
        <w:rPr>
          <w:rFonts w:ascii="Verdana" w:eastAsiaTheme="minorHAnsi" w:hAnsi="Verdana" w:cs="ArialMT"/>
          <w:sz w:val="20"/>
          <w:szCs w:val="20"/>
          <w:lang w:val="es-CR"/>
        </w:rPr>
        <w:t xml:space="preserve">tan solo </w:t>
      </w:r>
      <w:r w:rsidR="00062BF2">
        <w:rPr>
          <w:rFonts w:ascii="Verdana" w:eastAsiaTheme="minorHAnsi" w:hAnsi="Verdana" w:cs="ArialMT"/>
          <w:sz w:val="20"/>
          <w:szCs w:val="20"/>
          <w:lang w:val="es-CR"/>
        </w:rPr>
        <w:t>unos</w:t>
      </w:r>
      <w:r w:rsidRPr="00A63776">
        <w:rPr>
          <w:rFonts w:ascii="Verdana" w:eastAsiaTheme="minorHAnsi" w:hAnsi="Verdana" w:cs="ArialMT"/>
          <w:sz w:val="20"/>
          <w:szCs w:val="20"/>
          <w:lang w:val="es-CR"/>
        </w:rPr>
        <w:t xml:space="preserve"> días después del nombramiento de la nueva </w:t>
      </w:r>
      <w:r>
        <w:rPr>
          <w:rFonts w:ascii="Verdana" w:eastAsiaTheme="minorHAnsi" w:hAnsi="Verdana" w:cs="ArialMT"/>
          <w:sz w:val="20"/>
          <w:szCs w:val="20"/>
          <w:lang w:val="es-CR"/>
        </w:rPr>
        <w:t>J</w:t>
      </w:r>
      <w:r w:rsidRPr="00A63776">
        <w:rPr>
          <w:rFonts w:ascii="Verdana" w:eastAsiaTheme="minorHAnsi" w:hAnsi="Verdana" w:cs="ArialMT"/>
          <w:sz w:val="20"/>
          <w:szCs w:val="20"/>
          <w:lang w:val="es-CR"/>
        </w:rPr>
        <w:t>efa de la FECI, aquella fue nuevamente trasladada</w:t>
      </w:r>
      <w:r w:rsidR="00D079B2">
        <w:rPr>
          <w:rFonts w:ascii="Verdana" w:eastAsiaTheme="minorHAnsi" w:hAnsi="Verdana" w:cs="ArialMT"/>
          <w:sz w:val="20"/>
          <w:szCs w:val="20"/>
          <w:lang w:val="es-CR"/>
        </w:rPr>
        <w:t xml:space="preserve"> </w:t>
      </w:r>
      <w:r w:rsidR="00D079B2" w:rsidRPr="00780E28">
        <w:rPr>
          <w:rFonts w:ascii="Verdana" w:eastAsiaTheme="minorHAnsi" w:hAnsi="Verdana" w:cs="Verdana"/>
          <w:sz w:val="20"/>
          <w:szCs w:val="20"/>
          <w:lang w:val="es-CR"/>
        </w:rPr>
        <w:t>(</w:t>
      </w:r>
      <w:r w:rsidR="00D079B2">
        <w:rPr>
          <w:rFonts w:ascii="Verdana" w:eastAsiaTheme="minorHAnsi" w:hAnsi="Verdana" w:cs="Verdana"/>
          <w:i/>
          <w:sz w:val="20"/>
          <w:szCs w:val="20"/>
          <w:lang w:val="es-CR"/>
        </w:rPr>
        <w:t>supra</w:t>
      </w:r>
      <w:r w:rsidR="00D079B2" w:rsidRPr="00780E28">
        <w:rPr>
          <w:rFonts w:ascii="Verdana" w:eastAsiaTheme="minorHAnsi" w:hAnsi="Verdana" w:cs="Verdana"/>
          <w:sz w:val="20"/>
          <w:szCs w:val="20"/>
          <w:lang w:val="es-CR"/>
        </w:rPr>
        <w:t xml:space="preserve"> Considerando </w:t>
      </w:r>
      <w:r w:rsidR="00C66DBF">
        <w:rPr>
          <w:rFonts w:ascii="Verdana" w:eastAsiaTheme="minorHAnsi" w:hAnsi="Verdana" w:cs="Verdana"/>
          <w:sz w:val="20"/>
          <w:szCs w:val="20"/>
          <w:lang w:val="es-CR"/>
        </w:rPr>
        <w:t>14</w:t>
      </w:r>
      <w:r w:rsidR="00062BF2">
        <w:rPr>
          <w:rFonts w:ascii="Verdana" w:eastAsiaTheme="minorHAnsi" w:hAnsi="Verdana" w:cs="Verdana"/>
          <w:sz w:val="20"/>
          <w:szCs w:val="20"/>
          <w:lang w:val="es-CR"/>
        </w:rPr>
        <w:t>.b</w:t>
      </w:r>
      <w:r w:rsidR="00D079B2" w:rsidRPr="00780E28">
        <w:rPr>
          <w:rFonts w:ascii="Verdana" w:eastAsiaTheme="minorHAnsi" w:hAnsi="Verdana" w:cs="ArialMT"/>
          <w:sz w:val="20"/>
          <w:szCs w:val="20"/>
          <w:lang w:val="es-CR"/>
        </w:rPr>
        <w:t>)</w:t>
      </w:r>
      <w:r>
        <w:rPr>
          <w:rFonts w:ascii="Verdana" w:eastAsiaTheme="minorHAnsi" w:hAnsi="Verdana" w:cs="ArialMT"/>
          <w:sz w:val="20"/>
          <w:szCs w:val="20"/>
          <w:lang w:val="es-CR"/>
        </w:rPr>
        <w:t>, y que</w:t>
      </w:r>
      <w:r>
        <w:rPr>
          <w:rFonts w:ascii="Verdana" w:hAnsi="Verdana"/>
          <w:sz w:val="20"/>
          <w:szCs w:val="20"/>
          <w:lang w:val="es-CR"/>
        </w:rPr>
        <w:t xml:space="preserve"> </w:t>
      </w:r>
      <w:r w:rsidRPr="00A63776">
        <w:rPr>
          <w:rFonts w:ascii="Verdana" w:hAnsi="Verdana"/>
          <w:sz w:val="20"/>
          <w:szCs w:val="20"/>
          <w:lang w:val="es-CR"/>
        </w:rPr>
        <w:t xml:space="preserve">se han producido otros cambios en cuanto a la integración de dicha fiscalía </w:t>
      </w:r>
      <w:r>
        <w:rPr>
          <w:rFonts w:ascii="Verdana" w:hAnsi="Verdana"/>
          <w:sz w:val="20"/>
          <w:szCs w:val="20"/>
          <w:lang w:val="es-CR"/>
        </w:rPr>
        <w:t xml:space="preserve">que involucraron, al menos, el traslado de tres auxiliares fiscales, y que </w:t>
      </w:r>
      <w:r w:rsidRPr="00FB25F0">
        <w:rPr>
          <w:rFonts w:ascii="Verdana" w:eastAsiaTheme="minorHAnsi" w:hAnsi="Verdana" w:cs="Verdana"/>
          <w:sz w:val="20"/>
          <w:szCs w:val="20"/>
          <w:lang w:val="es-CR"/>
        </w:rPr>
        <w:t>el actual Jefe de la FECI</w:t>
      </w:r>
      <w:r>
        <w:rPr>
          <w:rFonts w:ascii="Verdana" w:eastAsiaTheme="minorHAnsi" w:hAnsi="Verdana" w:cs="Verdana"/>
          <w:sz w:val="20"/>
          <w:szCs w:val="20"/>
          <w:lang w:val="es-CR"/>
        </w:rPr>
        <w:t xml:space="preserve"> </w:t>
      </w:r>
      <w:r w:rsidRPr="00FB25F0">
        <w:rPr>
          <w:rFonts w:ascii="Verdana" w:eastAsiaTheme="minorHAnsi" w:hAnsi="Verdana" w:cs="Verdana"/>
          <w:sz w:val="20"/>
          <w:szCs w:val="20"/>
          <w:lang w:val="es-CR"/>
        </w:rPr>
        <w:t xml:space="preserve">señaló que “continuarán los movimientos de personal”, </w:t>
      </w:r>
      <w:r>
        <w:rPr>
          <w:rFonts w:ascii="Verdana" w:eastAsiaTheme="minorHAnsi" w:hAnsi="Verdana" w:cs="Verdana"/>
          <w:sz w:val="20"/>
          <w:szCs w:val="20"/>
          <w:lang w:val="es-CR"/>
        </w:rPr>
        <w:t>pues</w:t>
      </w:r>
      <w:r w:rsidRPr="00FB25F0">
        <w:rPr>
          <w:rFonts w:ascii="Verdana" w:eastAsiaTheme="minorHAnsi" w:hAnsi="Verdana" w:cs="Verdana"/>
          <w:sz w:val="20"/>
          <w:szCs w:val="20"/>
          <w:lang w:val="es-CR"/>
        </w:rPr>
        <w:t xml:space="preserve"> “necesita reestructurar la Fiscalía”</w:t>
      </w:r>
      <w:r w:rsidR="00D079B2">
        <w:rPr>
          <w:rFonts w:ascii="Verdana" w:eastAsiaTheme="minorHAnsi" w:hAnsi="Verdana" w:cs="Verdana"/>
          <w:sz w:val="20"/>
          <w:szCs w:val="20"/>
          <w:lang w:val="es-CR"/>
        </w:rPr>
        <w:t xml:space="preserve"> </w:t>
      </w:r>
      <w:r w:rsidR="00D079B2" w:rsidRPr="00780E28">
        <w:rPr>
          <w:rFonts w:ascii="Verdana" w:eastAsiaTheme="minorHAnsi" w:hAnsi="Verdana" w:cs="Verdana"/>
          <w:sz w:val="20"/>
          <w:szCs w:val="20"/>
          <w:lang w:val="es-CR"/>
        </w:rPr>
        <w:t>(</w:t>
      </w:r>
      <w:r w:rsidR="00D079B2">
        <w:rPr>
          <w:rFonts w:ascii="Verdana" w:eastAsiaTheme="minorHAnsi" w:hAnsi="Verdana" w:cs="Verdana"/>
          <w:i/>
          <w:sz w:val="20"/>
          <w:szCs w:val="20"/>
          <w:lang w:val="es-CR"/>
        </w:rPr>
        <w:t>supra</w:t>
      </w:r>
      <w:r w:rsidR="00D079B2" w:rsidRPr="00780E28">
        <w:rPr>
          <w:rFonts w:ascii="Verdana" w:eastAsiaTheme="minorHAnsi" w:hAnsi="Verdana" w:cs="Verdana"/>
          <w:sz w:val="20"/>
          <w:szCs w:val="20"/>
          <w:lang w:val="es-CR"/>
        </w:rPr>
        <w:t xml:space="preserve"> Considerando</w:t>
      </w:r>
      <w:r w:rsidR="00294B29">
        <w:rPr>
          <w:rFonts w:ascii="Verdana" w:eastAsiaTheme="minorHAnsi" w:hAnsi="Verdana" w:cs="Verdana"/>
          <w:sz w:val="20"/>
          <w:szCs w:val="20"/>
          <w:lang w:val="es-CR"/>
        </w:rPr>
        <w:t>s</w:t>
      </w:r>
      <w:r w:rsidR="00C66DBF">
        <w:rPr>
          <w:rFonts w:ascii="Verdana" w:eastAsiaTheme="minorHAnsi" w:hAnsi="Verdana" w:cs="Verdana"/>
          <w:sz w:val="20"/>
          <w:szCs w:val="20"/>
          <w:lang w:val="es-CR"/>
        </w:rPr>
        <w:t xml:space="preserve"> 15</w:t>
      </w:r>
      <w:r w:rsidR="00046B22">
        <w:rPr>
          <w:rFonts w:ascii="Verdana" w:eastAsiaTheme="minorHAnsi" w:hAnsi="Verdana" w:cs="Verdana"/>
          <w:sz w:val="20"/>
          <w:szCs w:val="20"/>
          <w:lang w:val="es-CR"/>
        </w:rPr>
        <w:t xml:space="preserve"> y 25</w:t>
      </w:r>
      <w:r w:rsidR="00D079B2" w:rsidRPr="00780E28">
        <w:rPr>
          <w:rFonts w:ascii="Verdana" w:eastAsiaTheme="minorHAnsi" w:hAnsi="Verdana" w:cs="ArialMT"/>
          <w:sz w:val="20"/>
          <w:szCs w:val="20"/>
          <w:lang w:val="es-CR"/>
        </w:rPr>
        <w:t>)</w:t>
      </w:r>
      <w:r>
        <w:rPr>
          <w:rFonts w:ascii="Verdana" w:hAnsi="Verdana"/>
          <w:sz w:val="20"/>
          <w:szCs w:val="20"/>
          <w:lang w:val="es-CR"/>
        </w:rPr>
        <w:t xml:space="preserve">. Tal situación </w:t>
      </w:r>
      <w:r w:rsidRPr="00FB25F0">
        <w:rPr>
          <w:rFonts w:ascii="Verdana" w:hAnsi="Verdana"/>
          <w:sz w:val="20"/>
          <w:szCs w:val="20"/>
          <w:lang w:val="es-CR"/>
        </w:rPr>
        <w:t>crea un temor fundado respecto a la posibilidad de que también el Fiscal “B” y el Auxiliar Fiscal “C” podrían ser destituidos o trasladados, lo cual afectaría el trabajo de investigación que han venido efectuando sobre las muertes de los señores Valenzuela Ávila y Ruiz Fuentes.</w:t>
      </w:r>
    </w:p>
    <w:p w14:paraId="73DBBAE0" w14:textId="1D70DECE" w:rsidR="00FD2023" w:rsidRDefault="00FB25F0" w:rsidP="00FB25F0">
      <w:pPr>
        <w:numPr>
          <w:ilvl w:val="0"/>
          <w:numId w:val="2"/>
        </w:numPr>
        <w:spacing w:before="120" w:after="120"/>
        <w:ind w:left="0" w:firstLine="0"/>
        <w:jc w:val="both"/>
        <w:rPr>
          <w:rFonts w:ascii="Verdana" w:hAnsi="Verdana"/>
          <w:sz w:val="20"/>
          <w:szCs w:val="20"/>
        </w:rPr>
      </w:pPr>
      <w:r>
        <w:rPr>
          <w:rFonts w:ascii="Verdana" w:hAnsi="Verdana"/>
          <w:sz w:val="20"/>
          <w:szCs w:val="20"/>
        </w:rPr>
        <w:t>T</w:t>
      </w:r>
      <w:r w:rsidRPr="00780E28">
        <w:rPr>
          <w:rFonts w:ascii="Verdana" w:hAnsi="Verdana"/>
          <w:sz w:val="20"/>
          <w:szCs w:val="20"/>
        </w:rPr>
        <w:t>eniendo en cuenta que</w:t>
      </w:r>
      <w:r>
        <w:rPr>
          <w:rFonts w:ascii="Verdana" w:hAnsi="Verdana"/>
          <w:sz w:val="20"/>
          <w:szCs w:val="20"/>
        </w:rPr>
        <w:t xml:space="preserve"> </w:t>
      </w:r>
      <w:r w:rsidRPr="00780E28">
        <w:rPr>
          <w:rFonts w:ascii="Verdana" w:eastAsiaTheme="minorHAnsi" w:hAnsi="Verdana" w:cs="ArialMT"/>
          <w:sz w:val="20"/>
          <w:szCs w:val="20"/>
          <w:lang w:val="es-CR"/>
        </w:rPr>
        <w:t xml:space="preserve">existe </w:t>
      </w:r>
      <w:r w:rsidR="005564DD" w:rsidRPr="00FB25F0">
        <w:rPr>
          <w:rFonts w:ascii="Verdana" w:hAnsi="Verdana"/>
          <w:sz w:val="20"/>
          <w:szCs w:val="20"/>
          <w:lang w:val="es-CR"/>
        </w:rPr>
        <w:t xml:space="preserve">un temor fundado </w:t>
      </w:r>
      <w:r w:rsidRPr="00780E28">
        <w:rPr>
          <w:rFonts w:ascii="Verdana" w:eastAsiaTheme="minorHAnsi" w:hAnsi="Verdana" w:cs="ArialMT"/>
          <w:sz w:val="20"/>
          <w:szCs w:val="20"/>
          <w:lang w:val="es-CR"/>
        </w:rPr>
        <w:t>de que sean apartados (por remoción</w:t>
      </w:r>
      <w:r w:rsidR="00D30108">
        <w:rPr>
          <w:rFonts w:ascii="Verdana" w:eastAsiaTheme="minorHAnsi" w:hAnsi="Verdana" w:cs="ArialMT"/>
          <w:sz w:val="20"/>
          <w:szCs w:val="20"/>
          <w:lang w:val="es-CR"/>
        </w:rPr>
        <w:t>,</w:t>
      </w:r>
      <w:r w:rsidRPr="00780E28">
        <w:rPr>
          <w:rFonts w:ascii="Verdana" w:eastAsiaTheme="minorHAnsi" w:hAnsi="Verdana" w:cs="ArialMT"/>
          <w:sz w:val="20"/>
          <w:szCs w:val="20"/>
          <w:lang w:val="es-CR"/>
        </w:rPr>
        <w:t xml:space="preserve"> traslado o destitución) de las investigaciones</w:t>
      </w:r>
      <w:r>
        <w:rPr>
          <w:rFonts w:ascii="Verdana" w:eastAsiaTheme="minorHAnsi" w:hAnsi="Verdana" w:cs="ArialMT"/>
          <w:sz w:val="20"/>
          <w:szCs w:val="20"/>
          <w:lang w:val="es-CR"/>
        </w:rPr>
        <w:t xml:space="preserve"> penales</w:t>
      </w:r>
      <w:r w:rsidRPr="00780E28">
        <w:rPr>
          <w:rFonts w:ascii="Verdana" w:eastAsiaTheme="minorHAnsi" w:hAnsi="Verdana" w:cs="ArialMT"/>
          <w:sz w:val="20"/>
          <w:szCs w:val="20"/>
          <w:lang w:val="es-CR"/>
        </w:rPr>
        <w:t xml:space="preserve"> </w:t>
      </w:r>
      <w:r>
        <w:rPr>
          <w:rFonts w:ascii="Verdana" w:eastAsiaTheme="minorHAnsi" w:hAnsi="Verdana" w:cs="ArialMT"/>
          <w:sz w:val="20"/>
          <w:szCs w:val="20"/>
          <w:lang w:val="es-CR"/>
        </w:rPr>
        <w:t>sobre</w:t>
      </w:r>
      <w:r w:rsidRPr="00780E28">
        <w:rPr>
          <w:rFonts w:ascii="Verdana" w:eastAsiaTheme="minorHAnsi" w:hAnsi="Verdana" w:cs="ArialMT"/>
          <w:sz w:val="20"/>
          <w:szCs w:val="20"/>
          <w:lang w:val="es-CR"/>
        </w:rPr>
        <w:t xml:space="preserve"> las muertes de los señores </w:t>
      </w:r>
      <w:r w:rsidRPr="00B660E9">
        <w:rPr>
          <w:rFonts w:ascii="Verdana" w:hAnsi="Verdana"/>
          <w:sz w:val="20"/>
          <w:szCs w:val="20"/>
        </w:rPr>
        <w:t>Tirso Román Valenzuela Ávila y Hugo Humberto Ruiz Fuentes</w:t>
      </w:r>
      <w:r w:rsidRPr="00780E28">
        <w:rPr>
          <w:rFonts w:ascii="Verdana" w:eastAsiaTheme="minorHAnsi" w:hAnsi="Verdana" w:cs="Verdana"/>
          <w:sz w:val="20"/>
          <w:szCs w:val="20"/>
          <w:lang w:val="es-CR"/>
        </w:rPr>
        <w:t xml:space="preserve"> (</w:t>
      </w:r>
      <w:r w:rsidRPr="00780E28">
        <w:rPr>
          <w:rFonts w:ascii="Verdana" w:eastAsiaTheme="minorHAnsi" w:hAnsi="Verdana" w:cs="Verdana"/>
          <w:i/>
          <w:sz w:val="20"/>
          <w:szCs w:val="20"/>
          <w:lang w:val="es-CR"/>
        </w:rPr>
        <w:t>supra</w:t>
      </w:r>
      <w:r w:rsidRPr="00780E28">
        <w:rPr>
          <w:rFonts w:ascii="Verdana" w:eastAsiaTheme="minorHAnsi" w:hAnsi="Verdana" w:cs="Verdana"/>
          <w:sz w:val="20"/>
          <w:szCs w:val="20"/>
          <w:lang w:val="es-CR"/>
        </w:rPr>
        <w:t xml:space="preserve"> Considerando </w:t>
      </w:r>
      <w:r w:rsidR="00046B22">
        <w:rPr>
          <w:rFonts w:ascii="Verdana" w:eastAsiaTheme="minorHAnsi" w:hAnsi="Verdana" w:cs="Verdana"/>
          <w:sz w:val="20"/>
          <w:szCs w:val="20"/>
          <w:lang w:val="es-CR"/>
        </w:rPr>
        <w:t>60</w:t>
      </w:r>
      <w:r w:rsidRPr="00780E28">
        <w:rPr>
          <w:rFonts w:ascii="Verdana" w:eastAsiaTheme="minorHAnsi" w:hAnsi="Verdana" w:cs="ArialMT"/>
          <w:sz w:val="20"/>
          <w:szCs w:val="20"/>
          <w:lang w:val="es-CR"/>
        </w:rPr>
        <w:t>)</w:t>
      </w:r>
      <w:r>
        <w:rPr>
          <w:rFonts w:ascii="Verdana" w:eastAsiaTheme="minorHAnsi" w:hAnsi="Verdana" w:cs="ArialMT"/>
          <w:sz w:val="20"/>
          <w:szCs w:val="20"/>
          <w:lang w:val="es-CR"/>
        </w:rPr>
        <w:t xml:space="preserve">, </w:t>
      </w:r>
      <w:r>
        <w:rPr>
          <w:rFonts w:ascii="Verdana" w:hAnsi="Verdana"/>
          <w:sz w:val="20"/>
          <w:szCs w:val="20"/>
        </w:rPr>
        <w:t>la Corte dispone como medida de protección</w:t>
      </w:r>
      <w:r w:rsidR="00DB1498">
        <w:rPr>
          <w:rFonts w:ascii="Verdana" w:hAnsi="Verdana"/>
          <w:sz w:val="20"/>
          <w:szCs w:val="20"/>
        </w:rPr>
        <w:t xml:space="preserve"> adicional</w:t>
      </w:r>
      <w:r>
        <w:rPr>
          <w:rFonts w:ascii="Verdana" w:hAnsi="Verdana"/>
          <w:sz w:val="20"/>
          <w:szCs w:val="20"/>
        </w:rPr>
        <w:t xml:space="preserve"> que</w:t>
      </w:r>
      <w:r w:rsidRPr="001C3FC8">
        <w:rPr>
          <w:rFonts w:ascii="Verdana" w:hAnsi="Verdana"/>
          <w:sz w:val="20"/>
          <w:szCs w:val="20"/>
        </w:rPr>
        <w:t xml:space="preserve"> </w:t>
      </w:r>
      <w:r>
        <w:rPr>
          <w:rFonts w:ascii="Verdana" w:hAnsi="Verdana"/>
          <w:sz w:val="20"/>
          <w:szCs w:val="20"/>
        </w:rPr>
        <w:t xml:space="preserve">el Estado </w:t>
      </w:r>
      <w:r w:rsidRPr="001C3FC8">
        <w:rPr>
          <w:rFonts w:ascii="Verdana" w:hAnsi="Verdana"/>
          <w:sz w:val="20"/>
          <w:szCs w:val="20"/>
        </w:rPr>
        <w:t>debe garantiza</w:t>
      </w:r>
      <w:r>
        <w:rPr>
          <w:rFonts w:ascii="Verdana" w:hAnsi="Verdana"/>
          <w:sz w:val="20"/>
          <w:szCs w:val="20"/>
        </w:rPr>
        <w:t>r</w:t>
      </w:r>
      <w:r w:rsidRPr="001C3FC8">
        <w:rPr>
          <w:rFonts w:ascii="Verdana" w:hAnsi="Verdana"/>
          <w:sz w:val="20"/>
          <w:szCs w:val="20"/>
        </w:rPr>
        <w:t xml:space="preserve"> </w:t>
      </w:r>
      <w:r>
        <w:rPr>
          <w:rFonts w:ascii="Verdana" w:hAnsi="Verdana"/>
          <w:sz w:val="20"/>
          <w:szCs w:val="20"/>
        </w:rPr>
        <w:t>la</w:t>
      </w:r>
      <w:r w:rsidRPr="001C3FC8">
        <w:rPr>
          <w:rFonts w:ascii="Verdana" w:hAnsi="Verdana"/>
          <w:sz w:val="20"/>
          <w:szCs w:val="20"/>
        </w:rPr>
        <w:t xml:space="preserve"> independencia </w:t>
      </w:r>
      <w:r>
        <w:rPr>
          <w:rFonts w:ascii="Verdana" w:hAnsi="Verdana"/>
          <w:sz w:val="20"/>
          <w:szCs w:val="20"/>
        </w:rPr>
        <w:t xml:space="preserve">en el ejercicio del cargo </w:t>
      </w:r>
      <w:r w:rsidRPr="00780E28">
        <w:rPr>
          <w:rFonts w:ascii="Verdana" w:hAnsi="Verdana"/>
          <w:sz w:val="20"/>
          <w:szCs w:val="20"/>
        </w:rPr>
        <w:t>del Fiscal "B" y Auxiliar Fiscal “C</w:t>
      </w:r>
      <w:r>
        <w:rPr>
          <w:rFonts w:ascii="Verdana" w:hAnsi="Verdana"/>
          <w:sz w:val="20"/>
          <w:szCs w:val="20"/>
        </w:rPr>
        <w:t>”</w:t>
      </w:r>
      <w:r w:rsidRPr="00780E28">
        <w:rPr>
          <w:rFonts w:ascii="Verdana" w:hAnsi="Verdana"/>
          <w:sz w:val="20"/>
          <w:szCs w:val="20"/>
        </w:rPr>
        <w:t>, respecto de lo cual hará un seguimiento cercano de su situación y estará atenta a lo que suceda con e</w:t>
      </w:r>
      <w:r>
        <w:rPr>
          <w:rFonts w:ascii="Verdana" w:hAnsi="Verdana"/>
          <w:sz w:val="20"/>
          <w:szCs w:val="20"/>
        </w:rPr>
        <w:t>llos</w:t>
      </w:r>
      <w:r w:rsidRPr="00780E28">
        <w:rPr>
          <w:rFonts w:ascii="Verdana" w:hAnsi="Verdana"/>
          <w:sz w:val="20"/>
          <w:szCs w:val="20"/>
        </w:rPr>
        <w:t xml:space="preserve"> </w:t>
      </w:r>
      <w:r>
        <w:rPr>
          <w:rFonts w:ascii="Verdana" w:hAnsi="Verdana"/>
          <w:sz w:val="20"/>
          <w:szCs w:val="20"/>
        </w:rPr>
        <w:t>en el marco de las medidas provisionales ordenadas (</w:t>
      </w:r>
      <w:r w:rsidR="00DF4938" w:rsidRPr="00780E28">
        <w:rPr>
          <w:rFonts w:ascii="Verdana" w:eastAsiaTheme="minorHAnsi" w:hAnsi="Verdana" w:cs="Verdana"/>
          <w:i/>
          <w:sz w:val="20"/>
          <w:szCs w:val="20"/>
          <w:lang w:val="es-CR"/>
        </w:rPr>
        <w:t>supr</w:t>
      </w:r>
      <w:r w:rsidR="00DF4938">
        <w:rPr>
          <w:rFonts w:ascii="Verdana" w:eastAsiaTheme="minorHAnsi" w:hAnsi="Verdana" w:cs="Verdana"/>
          <w:i/>
          <w:sz w:val="20"/>
          <w:szCs w:val="20"/>
          <w:lang w:val="es-CR"/>
        </w:rPr>
        <w:t>a</w:t>
      </w:r>
      <w:r>
        <w:rPr>
          <w:rFonts w:ascii="Verdana" w:hAnsi="Verdana"/>
          <w:sz w:val="20"/>
          <w:szCs w:val="20"/>
        </w:rPr>
        <w:t xml:space="preserve"> Considerando</w:t>
      </w:r>
      <w:r w:rsidR="00046B22">
        <w:rPr>
          <w:rFonts w:ascii="Verdana" w:hAnsi="Verdana"/>
          <w:sz w:val="20"/>
          <w:szCs w:val="20"/>
        </w:rPr>
        <w:t xml:space="preserve"> </w:t>
      </w:r>
      <w:r w:rsidR="00353FC3">
        <w:rPr>
          <w:rFonts w:ascii="Verdana" w:hAnsi="Verdana"/>
          <w:sz w:val="20"/>
          <w:szCs w:val="20"/>
        </w:rPr>
        <w:t>57</w:t>
      </w:r>
      <w:r w:rsidR="00294B29">
        <w:rPr>
          <w:rFonts w:ascii="Verdana" w:hAnsi="Verdana"/>
          <w:sz w:val="20"/>
          <w:szCs w:val="20"/>
        </w:rPr>
        <w:t>).</w:t>
      </w:r>
    </w:p>
    <w:p w14:paraId="4F9D1AF6" w14:textId="6C1AEC3B" w:rsidR="00FB25F0" w:rsidRPr="00FD2023" w:rsidRDefault="00FD2023" w:rsidP="00FD2023">
      <w:pPr>
        <w:numPr>
          <w:ilvl w:val="0"/>
          <w:numId w:val="2"/>
        </w:numPr>
        <w:spacing w:before="120" w:after="120"/>
        <w:ind w:left="0" w:firstLine="0"/>
        <w:jc w:val="both"/>
        <w:rPr>
          <w:rFonts w:ascii="Verdana" w:hAnsi="Verdana"/>
          <w:sz w:val="20"/>
          <w:szCs w:val="20"/>
        </w:rPr>
      </w:pPr>
      <w:r>
        <w:rPr>
          <w:rFonts w:ascii="Verdana" w:hAnsi="Verdana"/>
          <w:sz w:val="20"/>
          <w:szCs w:val="20"/>
        </w:rPr>
        <w:t xml:space="preserve">En razón de todo lo anterior, la </w:t>
      </w:r>
      <w:r w:rsidRPr="00FD2023">
        <w:rPr>
          <w:rFonts w:ascii="Verdana" w:hAnsi="Verdana"/>
          <w:sz w:val="20"/>
          <w:szCs w:val="20"/>
        </w:rPr>
        <w:t xml:space="preserve">Corte estima necesario ordenar la adopción de </w:t>
      </w:r>
      <w:r>
        <w:rPr>
          <w:rFonts w:ascii="Verdana" w:hAnsi="Verdana"/>
          <w:sz w:val="20"/>
          <w:szCs w:val="20"/>
        </w:rPr>
        <w:t xml:space="preserve">medidas provisionales, </w:t>
      </w:r>
      <w:r w:rsidRPr="00FD2023">
        <w:rPr>
          <w:rFonts w:ascii="Verdana" w:hAnsi="Verdana"/>
          <w:sz w:val="20"/>
          <w:szCs w:val="20"/>
        </w:rPr>
        <w:t>tanto para proteger</w:t>
      </w:r>
      <w:r w:rsidR="00D30108">
        <w:rPr>
          <w:rFonts w:ascii="Verdana" w:hAnsi="Verdana"/>
          <w:sz w:val="20"/>
          <w:szCs w:val="20"/>
        </w:rPr>
        <w:t xml:space="preserve"> la</w:t>
      </w:r>
      <w:r w:rsidRPr="00FD2023">
        <w:rPr>
          <w:rFonts w:ascii="Verdana" w:hAnsi="Verdana"/>
          <w:sz w:val="20"/>
          <w:szCs w:val="20"/>
        </w:rPr>
        <w:t xml:space="preserve"> vida e integridad </w:t>
      </w:r>
      <w:r>
        <w:rPr>
          <w:rFonts w:ascii="Verdana" w:hAnsi="Verdana"/>
          <w:sz w:val="20"/>
          <w:szCs w:val="20"/>
        </w:rPr>
        <w:t>persona</w:t>
      </w:r>
      <w:r w:rsidR="00D30108">
        <w:rPr>
          <w:rFonts w:ascii="Verdana" w:hAnsi="Verdana"/>
          <w:sz w:val="20"/>
          <w:szCs w:val="20"/>
        </w:rPr>
        <w:t>l</w:t>
      </w:r>
      <w:r>
        <w:rPr>
          <w:rFonts w:ascii="Verdana" w:hAnsi="Verdana"/>
          <w:sz w:val="20"/>
          <w:szCs w:val="20"/>
        </w:rPr>
        <w:t xml:space="preserve"> </w:t>
      </w:r>
      <w:r w:rsidRPr="00FD2023">
        <w:rPr>
          <w:rFonts w:ascii="Verdana" w:hAnsi="Verdana"/>
          <w:sz w:val="20"/>
          <w:szCs w:val="20"/>
        </w:rPr>
        <w:t xml:space="preserve">como </w:t>
      </w:r>
      <w:r>
        <w:rPr>
          <w:rFonts w:ascii="Verdana" w:hAnsi="Verdana"/>
          <w:sz w:val="20"/>
          <w:szCs w:val="20"/>
        </w:rPr>
        <w:t xml:space="preserve">la </w:t>
      </w:r>
      <w:r w:rsidRPr="00FD2023">
        <w:rPr>
          <w:rFonts w:ascii="Verdana" w:hAnsi="Verdana"/>
          <w:sz w:val="20"/>
          <w:szCs w:val="20"/>
        </w:rPr>
        <w:t>independencia</w:t>
      </w:r>
      <w:r>
        <w:rPr>
          <w:rFonts w:ascii="Verdana" w:hAnsi="Verdana"/>
          <w:sz w:val="20"/>
          <w:szCs w:val="20"/>
        </w:rPr>
        <w:t xml:space="preserve"> en el ejercicio del cargo </w:t>
      </w:r>
      <w:r w:rsidRPr="00FD2023">
        <w:rPr>
          <w:rFonts w:ascii="Verdana" w:eastAsia="Calibri" w:hAnsi="Verdana" w:cs="Calibri"/>
          <w:sz w:val="20"/>
          <w:szCs w:val="20"/>
          <w:lang w:val="es-ES" w:eastAsia="es-ES"/>
        </w:rPr>
        <w:t>del Fiscal de la FECI “B” y el Auxiliar Fiscal de la FECI “C”,</w:t>
      </w:r>
      <w:r w:rsidRPr="00FD2023">
        <w:rPr>
          <w:rFonts w:ascii="Verdana" w:hAnsi="Verdana"/>
          <w:sz w:val="20"/>
          <w:szCs w:val="20"/>
          <w:lang w:val="es-CR"/>
        </w:rPr>
        <w:t xml:space="preserve"> </w:t>
      </w:r>
      <w:r>
        <w:rPr>
          <w:rFonts w:ascii="Verdana" w:eastAsia="Calibri" w:hAnsi="Verdana" w:cs="Calibri"/>
          <w:sz w:val="20"/>
          <w:szCs w:val="20"/>
          <w:lang w:val="es-ES" w:eastAsia="es-ES"/>
        </w:rPr>
        <w:t>y con ello</w:t>
      </w:r>
      <w:r w:rsidRPr="00FD2023">
        <w:rPr>
          <w:rFonts w:ascii="Verdana" w:eastAsia="Calibri" w:hAnsi="Verdana" w:cs="Calibri"/>
          <w:sz w:val="20"/>
          <w:szCs w:val="20"/>
          <w:lang w:val="es-ES" w:eastAsia="es-ES"/>
        </w:rPr>
        <w:t xml:space="preserve"> garantizar el derecho al acceso a la justicia de las víctimas de los casos </w:t>
      </w:r>
      <w:r w:rsidRPr="00FD2023">
        <w:rPr>
          <w:rFonts w:ascii="Verdana" w:hAnsi="Verdana"/>
          <w:i/>
          <w:sz w:val="20"/>
          <w:szCs w:val="20"/>
        </w:rPr>
        <w:t>Ruiz Fuentes y otra,</w:t>
      </w:r>
      <w:r w:rsidRPr="00FD2023">
        <w:rPr>
          <w:rFonts w:ascii="Verdana" w:hAnsi="Verdana"/>
          <w:sz w:val="20"/>
          <w:szCs w:val="20"/>
        </w:rPr>
        <w:t xml:space="preserve"> y </w:t>
      </w:r>
      <w:r w:rsidRPr="00FD2023">
        <w:rPr>
          <w:rFonts w:ascii="Verdana" w:hAnsi="Verdana"/>
          <w:i/>
          <w:sz w:val="20"/>
          <w:szCs w:val="20"/>
        </w:rPr>
        <w:t>Valenzuela Ávila</w:t>
      </w:r>
      <w:r w:rsidRPr="00FD2023">
        <w:rPr>
          <w:rFonts w:ascii="Verdana" w:hAnsi="Verdana"/>
          <w:sz w:val="20"/>
          <w:szCs w:val="20"/>
        </w:rPr>
        <w:t>.</w:t>
      </w:r>
    </w:p>
    <w:p w14:paraId="5920254F" w14:textId="77777777" w:rsidR="000275BB" w:rsidRPr="00E22B28" w:rsidRDefault="000275BB" w:rsidP="00B660E9">
      <w:pPr>
        <w:pStyle w:val="Prrafodelista"/>
        <w:numPr>
          <w:ilvl w:val="2"/>
          <w:numId w:val="16"/>
        </w:numPr>
        <w:spacing w:before="120" w:after="120"/>
        <w:ind w:left="1134"/>
        <w:contextualSpacing w:val="0"/>
        <w:jc w:val="both"/>
        <w:rPr>
          <w:rFonts w:ascii="Verdana" w:hAnsi="Verdana"/>
          <w:i/>
          <w:sz w:val="20"/>
          <w:szCs w:val="20"/>
          <w:lang w:val="es-CR"/>
        </w:rPr>
      </w:pPr>
      <w:r w:rsidRPr="00E22B28">
        <w:rPr>
          <w:rFonts w:ascii="Verdana" w:eastAsiaTheme="minorHAnsi" w:hAnsi="Verdana" w:cs="Verdana"/>
          <w:i/>
          <w:sz w:val="20"/>
          <w:szCs w:val="20"/>
          <w:lang w:val="es-CR"/>
        </w:rPr>
        <w:t>S</w:t>
      </w:r>
      <w:r w:rsidRPr="00E22B28">
        <w:rPr>
          <w:rFonts w:ascii="Verdana" w:hAnsi="Verdana"/>
          <w:i/>
          <w:sz w:val="20"/>
          <w:szCs w:val="20"/>
          <w:lang w:val="es-CR"/>
        </w:rPr>
        <w:t>upervisión de cumplimiento respecto de la obligación de investigar, juzgar y, en su caso, sancionar</w:t>
      </w:r>
    </w:p>
    <w:p w14:paraId="2FDB3BD5" w14:textId="5730394E" w:rsidR="00FE692F" w:rsidRPr="00CB55AB" w:rsidRDefault="000275BB" w:rsidP="00D47773">
      <w:pPr>
        <w:numPr>
          <w:ilvl w:val="0"/>
          <w:numId w:val="2"/>
        </w:numPr>
        <w:spacing w:before="120" w:after="120"/>
        <w:ind w:left="0" w:firstLine="0"/>
        <w:jc w:val="both"/>
        <w:rPr>
          <w:rFonts w:ascii="Verdana" w:hAnsi="Verdana"/>
          <w:sz w:val="20"/>
          <w:szCs w:val="20"/>
          <w:lang w:val="es-CR"/>
        </w:rPr>
      </w:pPr>
      <w:r w:rsidRPr="00B660E9">
        <w:rPr>
          <w:rFonts w:ascii="Verdana" w:hAnsi="Verdana"/>
          <w:sz w:val="20"/>
          <w:szCs w:val="20"/>
          <w:lang w:val="es-CR"/>
        </w:rPr>
        <w:t xml:space="preserve">Debido a que todo lo indicado por la Corte en los Considerandos </w:t>
      </w:r>
      <w:r w:rsidR="00046B22">
        <w:rPr>
          <w:rFonts w:ascii="Verdana" w:hAnsi="Verdana"/>
          <w:sz w:val="20"/>
          <w:szCs w:val="20"/>
          <w:lang w:val="es-CR"/>
        </w:rPr>
        <w:t>48 a 61</w:t>
      </w:r>
      <w:r w:rsidRPr="00B660E9">
        <w:rPr>
          <w:rFonts w:ascii="Verdana" w:hAnsi="Verdana"/>
          <w:sz w:val="20"/>
          <w:szCs w:val="20"/>
          <w:lang w:val="es-CR"/>
        </w:rPr>
        <w:t xml:space="preserve"> concierne al cumplimiento de lo dispuesto en las Sentencias respecto de la obligación de investigar, juzgar</w:t>
      </w:r>
      <w:r w:rsidR="00714AEA" w:rsidRPr="00B660E9">
        <w:rPr>
          <w:rFonts w:ascii="Verdana" w:hAnsi="Verdana"/>
          <w:sz w:val="20"/>
          <w:szCs w:val="20"/>
          <w:lang w:val="es-CR"/>
        </w:rPr>
        <w:t xml:space="preserve"> </w:t>
      </w:r>
      <w:r w:rsidRPr="00B660E9">
        <w:rPr>
          <w:rFonts w:ascii="Verdana" w:hAnsi="Verdana"/>
          <w:sz w:val="20"/>
          <w:szCs w:val="20"/>
          <w:lang w:val="es-CR"/>
        </w:rPr>
        <w:t>y, en su caso, sancionar, la información que las partes y la Comisión aporten al respecto se</w:t>
      </w:r>
      <w:r w:rsidR="00714AEA" w:rsidRPr="00B660E9">
        <w:rPr>
          <w:rFonts w:ascii="Verdana" w:hAnsi="Verdana"/>
          <w:sz w:val="20"/>
          <w:szCs w:val="20"/>
          <w:lang w:val="es-CR"/>
        </w:rPr>
        <w:t xml:space="preserve"> </w:t>
      </w:r>
      <w:r w:rsidRPr="00B660E9">
        <w:rPr>
          <w:rFonts w:ascii="Verdana" w:hAnsi="Verdana"/>
          <w:sz w:val="20"/>
          <w:szCs w:val="20"/>
          <w:lang w:val="es-CR"/>
        </w:rPr>
        <w:t>incluirá también en los expedientes relativos a dicha etapa de supervisión de los casos</w:t>
      </w:r>
      <w:r w:rsidR="008B5280" w:rsidRPr="00B660E9">
        <w:rPr>
          <w:rFonts w:ascii="Verdana" w:hAnsi="Verdana"/>
          <w:sz w:val="20"/>
          <w:szCs w:val="20"/>
          <w:lang w:val="es-CR"/>
        </w:rPr>
        <w:t xml:space="preserve"> </w:t>
      </w:r>
      <w:r w:rsidR="008B5280" w:rsidRPr="00B660E9">
        <w:rPr>
          <w:rFonts w:ascii="Verdana" w:hAnsi="Verdana"/>
          <w:i/>
          <w:sz w:val="20"/>
          <w:szCs w:val="20"/>
        </w:rPr>
        <w:t>Ruiz Fuentes y otra,</w:t>
      </w:r>
      <w:r w:rsidR="008B5280" w:rsidRPr="00B660E9">
        <w:rPr>
          <w:rFonts w:ascii="Verdana" w:hAnsi="Verdana"/>
          <w:sz w:val="20"/>
          <w:szCs w:val="20"/>
        </w:rPr>
        <w:t xml:space="preserve"> y </w:t>
      </w:r>
      <w:r w:rsidR="008B5280" w:rsidRPr="00B660E9">
        <w:rPr>
          <w:rFonts w:ascii="Verdana" w:hAnsi="Verdana"/>
          <w:i/>
          <w:sz w:val="20"/>
          <w:szCs w:val="20"/>
        </w:rPr>
        <w:t>Valenzuela Ávila</w:t>
      </w:r>
      <w:r w:rsidRPr="00B660E9">
        <w:rPr>
          <w:rFonts w:ascii="Verdana" w:hAnsi="Verdana"/>
          <w:sz w:val="20"/>
          <w:szCs w:val="20"/>
          <w:lang w:val="es-CR"/>
        </w:rPr>
        <w:t>.</w:t>
      </w:r>
    </w:p>
    <w:p w14:paraId="153D9855" w14:textId="77777777" w:rsidR="00352B55" w:rsidRDefault="00352B55">
      <w:pPr>
        <w:spacing w:after="160" w:line="259" w:lineRule="auto"/>
        <w:rPr>
          <w:rFonts w:ascii="Verdana" w:eastAsia="Verdana" w:hAnsi="Verdana" w:cs="Verdana"/>
          <w:b/>
          <w:bCs/>
          <w:spacing w:val="-4"/>
          <w:sz w:val="20"/>
          <w:szCs w:val="20"/>
          <w:lang w:val="es-CR"/>
        </w:rPr>
      </w:pPr>
      <w:r>
        <w:rPr>
          <w:rFonts w:ascii="Verdana" w:eastAsia="Verdana" w:hAnsi="Verdana" w:cs="Verdana"/>
          <w:b/>
          <w:bCs/>
          <w:spacing w:val="-4"/>
          <w:sz w:val="20"/>
          <w:szCs w:val="20"/>
          <w:lang w:val="es-CR"/>
        </w:rPr>
        <w:br w:type="page"/>
      </w:r>
    </w:p>
    <w:p w14:paraId="349E86C8" w14:textId="4EEA8001" w:rsidR="00175BFF" w:rsidRPr="00B660E9" w:rsidRDefault="00175BFF" w:rsidP="00175BFF">
      <w:pPr>
        <w:spacing w:before="120" w:after="120"/>
        <w:jc w:val="both"/>
        <w:rPr>
          <w:rFonts w:ascii="Verdana" w:eastAsia="Verdana" w:hAnsi="Verdana" w:cs="Verdana"/>
          <w:b/>
          <w:bCs/>
          <w:spacing w:val="-4"/>
          <w:sz w:val="20"/>
          <w:szCs w:val="20"/>
          <w:lang w:val="es-CR"/>
        </w:rPr>
      </w:pPr>
      <w:r w:rsidRPr="00B660E9">
        <w:rPr>
          <w:rFonts w:ascii="Verdana" w:eastAsia="Verdana" w:hAnsi="Verdana" w:cs="Verdana"/>
          <w:b/>
          <w:bCs/>
          <w:spacing w:val="-4"/>
          <w:sz w:val="20"/>
          <w:szCs w:val="20"/>
          <w:lang w:val="es-CR"/>
        </w:rPr>
        <w:lastRenderedPageBreak/>
        <w:t>POR TANTO:</w:t>
      </w:r>
    </w:p>
    <w:p w14:paraId="40A57003" w14:textId="77777777" w:rsidR="00B022D7" w:rsidRPr="00B660E9" w:rsidRDefault="00B022D7" w:rsidP="00A15B8B">
      <w:pPr>
        <w:spacing w:before="120" w:after="120"/>
        <w:jc w:val="both"/>
        <w:rPr>
          <w:rFonts w:ascii="Verdana" w:eastAsia="Verdana" w:hAnsi="Verdana" w:cs="Verdana"/>
          <w:b/>
          <w:bCs/>
          <w:spacing w:val="-4"/>
          <w:sz w:val="20"/>
          <w:szCs w:val="20"/>
          <w:lang w:val="es-CR"/>
        </w:rPr>
      </w:pPr>
    </w:p>
    <w:p w14:paraId="25C6F643" w14:textId="77777777" w:rsidR="00A15B8B" w:rsidRPr="00B660E9" w:rsidRDefault="00A15B8B" w:rsidP="00A15B8B">
      <w:pPr>
        <w:spacing w:before="120" w:after="120"/>
        <w:jc w:val="both"/>
        <w:rPr>
          <w:rFonts w:ascii="Verdana" w:eastAsia="Verdana" w:hAnsi="Verdana" w:cs="Verdana"/>
          <w:spacing w:val="-4"/>
          <w:sz w:val="20"/>
          <w:szCs w:val="20"/>
          <w:lang w:val="es-CR"/>
        </w:rPr>
      </w:pPr>
      <w:r w:rsidRPr="00B660E9">
        <w:rPr>
          <w:rFonts w:ascii="Verdana" w:eastAsia="Verdana" w:hAnsi="Verdana" w:cs="Verdana"/>
          <w:b/>
          <w:bCs/>
          <w:spacing w:val="-4"/>
          <w:sz w:val="20"/>
          <w:szCs w:val="20"/>
          <w:lang w:val="es-CR"/>
        </w:rPr>
        <w:t>LA CORTE INTERAMERICANA DE DERECHOS HUMANOS,</w:t>
      </w:r>
    </w:p>
    <w:p w14:paraId="5CE233A4" w14:textId="77777777" w:rsidR="00A15B8B" w:rsidRPr="00B660E9" w:rsidRDefault="00A15B8B" w:rsidP="00A15B8B">
      <w:pPr>
        <w:spacing w:before="120" w:after="120"/>
        <w:jc w:val="both"/>
        <w:rPr>
          <w:rFonts w:ascii="Verdana" w:eastAsia="Verdana" w:hAnsi="Verdana" w:cs="Verdana"/>
          <w:spacing w:val="-4"/>
          <w:sz w:val="20"/>
          <w:szCs w:val="20"/>
          <w:highlight w:val="yellow"/>
          <w:lang w:val="es-CR"/>
        </w:rPr>
      </w:pPr>
      <w:r w:rsidRPr="00B660E9">
        <w:rPr>
          <w:rFonts w:ascii="Verdana" w:hAnsi="Verdana"/>
          <w:spacing w:val="-4"/>
          <w:sz w:val="20"/>
          <w:szCs w:val="20"/>
          <w:lang w:val="es-CR"/>
        </w:rPr>
        <w:t>en uso de las atribuciones que le confieren los artículos 63.2 y 68 de la Convención Americana sobre Derechos Humanos y 27, 31.2 y 69 del Reglamento del Tribunal,</w:t>
      </w:r>
    </w:p>
    <w:p w14:paraId="6CE40978" w14:textId="77777777" w:rsidR="00B022D7" w:rsidRPr="00B660E9" w:rsidRDefault="00B022D7" w:rsidP="000275BB">
      <w:pPr>
        <w:spacing w:before="120" w:after="120"/>
        <w:jc w:val="both"/>
        <w:rPr>
          <w:rFonts w:ascii="Verdana" w:eastAsia="Verdana" w:hAnsi="Verdana" w:cs="Verdana"/>
          <w:b/>
          <w:bCs/>
          <w:spacing w:val="-4"/>
          <w:sz w:val="20"/>
          <w:szCs w:val="20"/>
          <w:lang w:val="es-CR"/>
        </w:rPr>
      </w:pPr>
    </w:p>
    <w:p w14:paraId="034C3A35" w14:textId="09287838" w:rsidR="00A15B8B" w:rsidRDefault="00D47773" w:rsidP="000275BB">
      <w:pPr>
        <w:spacing w:before="120" w:after="120"/>
        <w:jc w:val="both"/>
        <w:rPr>
          <w:rFonts w:ascii="Verdana" w:eastAsia="Verdana" w:hAnsi="Verdana" w:cs="Verdana"/>
          <w:b/>
          <w:bCs/>
          <w:spacing w:val="-4"/>
          <w:sz w:val="20"/>
          <w:szCs w:val="20"/>
          <w:lang w:val="es-CR"/>
        </w:rPr>
      </w:pPr>
      <w:r>
        <w:rPr>
          <w:rFonts w:ascii="Verdana" w:eastAsia="Verdana" w:hAnsi="Verdana" w:cs="Verdana"/>
          <w:b/>
          <w:bCs/>
          <w:spacing w:val="-4"/>
          <w:sz w:val="20"/>
          <w:szCs w:val="20"/>
          <w:lang w:val="es-CR"/>
        </w:rPr>
        <w:t>RESUELVE:</w:t>
      </w:r>
    </w:p>
    <w:p w14:paraId="32C82F51" w14:textId="77777777" w:rsidR="00D47773" w:rsidRPr="00EC4488" w:rsidRDefault="00D47773" w:rsidP="00D47773">
      <w:pPr>
        <w:spacing w:before="120" w:after="120"/>
        <w:jc w:val="both"/>
        <w:rPr>
          <w:rFonts w:ascii="Verdana" w:hAnsi="Verdana"/>
          <w:sz w:val="20"/>
          <w:szCs w:val="20"/>
        </w:rPr>
      </w:pPr>
      <w:r w:rsidRPr="00EC4488">
        <w:rPr>
          <w:rFonts w:ascii="Verdana" w:hAnsi="Verdana"/>
          <w:sz w:val="20"/>
          <w:szCs w:val="20"/>
        </w:rPr>
        <w:t xml:space="preserve">Por seis votos a favor y uno en contra, </w:t>
      </w:r>
    </w:p>
    <w:p w14:paraId="7098BAC2" w14:textId="15F988D9" w:rsidR="00D47773" w:rsidRPr="00D47773" w:rsidRDefault="00D47773" w:rsidP="000275BB">
      <w:pPr>
        <w:spacing w:before="120" w:after="120"/>
        <w:jc w:val="both"/>
        <w:rPr>
          <w:rFonts w:ascii="Verdana" w:hAnsi="Verdana"/>
          <w:sz w:val="20"/>
          <w:szCs w:val="20"/>
        </w:rPr>
      </w:pPr>
      <w:r w:rsidRPr="00EC4488">
        <w:rPr>
          <w:rFonts w:ascii="Verdana" w:hAnsi="Verdana"/>
          <w:sz w:val="20"/>
          <w:szCs w:val="20"/>
        </w:rPr>
        <w:t>Disidente el Juez Eduardo Vio Grossi.</w:t>
      </w:r>
    </w:p>
    <w:p w14:paraId="1E61AF3D" w14:textId="2A954436" w:rsidR="00714AEA" w:rsidRPr="00B660E9" w:rsidRDefault="00714AEA" w:rsidP="00714AEA">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B660E9">
        <w:rPr>
          <w:rFonts w:ascii="Verdana" w:eastAsia="Calibri" w:hAnsi="Verdana" w:cs="Calibri"/>
          <w:sz w:val="20"/>
          <w:szCs w:val="20"/>
          <w:lang w:val="es-ES" w:eastAsia="es-ES"/>
        </w:rPr>
        <w:t xml:space="preserve">Requerir al Estado de Guatemala que, para garantizar el derecho al acceso a la justicia de las víctimas de los casos </w:t>
      </w:r>
      <w:r w:rsidRPr="00B660E9">
        <w:rPr>
          <w:rFonts w:ascii="Verdana" w:hAnsi="Verdana"/>
          <w:i/>
          <w:sz w:val="20"/>
          <w:szCs w:val="20"/>
        </w:rPr>
        <w:t>Ruiz Fuentes y otra,</w:t>
      </w:r>
      <w:r w:rsidRPr="00B660E9">
        <w:rPr>
          <w:rFonts w:ascii="Verdana" w:hAnsi="Verdana"/>
          <w:sz w:val="20"/>
          <w:szCs w:val="20"/>
        </w:rPr>
        <w:t xml:space="preserve"> y </w:t>
      </w:r>
      <w:r w:rsidRPr="00B660E9">
        <w:rPr>
          <w:rFonts w:ascii="Verdana" w:hAnsi="Verdana"/>
          <w:i/>
          <w:sz w:val="20"/>
          <w:szCs w:val="20"/>
        </w:rPr>
        <w:t>Valenzuela Ávila</w:t>
      </w:r>
      <w:r w:rsidRPr="00B660E9">
        <w:rPr>
          <w:rFonts w:ascii="Verdana" w:eastAsia="Calibri" w:hAnsi="Verdana" w:cs="Calibri"/>
          <w:sz w:val="20"/>
          <w:szCs w:val="20"/>
          <w:lang w:val="es-ES" w:eastAsia="es-ES"/>
        </w:rPr>
        <w:t xml:space="preserve">, de conformidad con lo señalado en los Considerandos </w:t>
      </w:r>
      <w:r w:rsidR="00D47773">
        <w:rPr>
          <w:rFonts w:ascii="Verdana" w:eastAsia="Calibri" w:hAnsi="Verdana" w:cs="Calibri"/>
          <w:sz w:val="20"/>
          <w:szCs w:val="20"/>
          <w:lang w:val="es-ES" w:eastAsia="es-ES"/>
        </w:rPr>
        <w:t>57 a 62</w:t>
      </w:r>
      <w:r w:rsidRPr="00B660E9">
        <w:rPr>
          <w:rFonts w:ascii="Verdana" w:eastAsia="Calibri" w:hAnsi="Verdana" w:cs="Calibri"/>
          <w:sz w:val="20"/>
          <w:szCs w:val="20"/>
          <w:lang w:val="es-ES" w:eastAsia="es-ES"/>
        </w:rPr>
        <w:t xml:space="preserve"> de la presente Resolución, adopte de forma inmediata e individualizada, las medidas necesarias para proteger eficazmente los derechos a la vida</w:t>
      </w:r>
      <w:r w:rsidR="00C7405D">
        <w:rPr>
          <w:rFonts w:ascii="Verdana" w:eastAsia="Calibri" w:hAnsi="Verdana" w:cs="Calibri"/>
          <w:sz w:val="20"/>
          <w:szCs w:val="20"/>
          <w:lang w:val="es-ES" w:eastAsia="es-ES"/>
        </w:rPr>
        <w:t>,</w:t>
      </w:r>
      <w:r w:rsidRPr="00B660E9">
        <w:rPr>
          <w:rFonts w:ascii="Verdana" w:eastAsia="Calibri" w:hAnsi="Verdana" w:cs="Calibri"/>
          <w:sz w:val="20"/>
          <w:szCs w:val="20"/>
          <w:lang w:val="es-ES" w:eastAsia="es-ES"/>
        </w:rPr>
        <w:t xml:space="preserve"> a la integridad personal</w:t>
      </w:r>
      <w:r w:rsidR="00C7405D">
        <w:rPr>
          <w:rFonts w:ascii="Verdana" w:eastAsia="Calibri" w:hAnsi="Verdana" w:cs="Calibri"/>
          <w:sz w:val="20"/>
          <w:szCs w:val="20"/>
          <w:lang w:val="es-ES" w:eastAsia="es-ES"/>
        </w:rPr>
        <w:t xml:space="preserve"> y a </w:t>
      </w:r>
      <w:r w:rsidR="00C7405D">
        <w:rPr>
          <w:rFonts w:ascii="Verdana" w:hAnsi="Verdana"/>
          <w:sz w:val="20"/>
          <w:szCs w:val="20"/>
        </w:rPr>
        <w:t xml:space="preserve">la </w:t>
      </w:r>
      <w:r w:rsidR="00C7405D" w:rsidRPr="00FD2023">
        <w:rPr>
          <w:rFonts w:ascii="Verdana" w:hAnsi="Verdana"/>
          <w:sz w:val="20"/>
          <w:szCs w:val="20"/>
        </w:rPr>
        <w:t>independencia</w:t>
      </w:r>
      <w:r w:rsidR="00C7405D">
        <w:rPr>
          <w:rFonts w:ascii="Verdana" w:hAnsi="Verdana"/>
          <w:sz w:val="20"/>
          <w:szCs w:val="20"/>
        </w:rPr>
        <w:t xml:space="preserve"> en el ejercicio del cargo</w:t>
      </w:r>
      <w:r w:rsidRPr="00B660E9">
        <w:rPr>
          <w:rFonts w:ascii="Verdana" w:eastAsia="Calibri" w:hAnsi="Verdana" w:cs="Calibri"/>
          <w:sz w:val="20"/>
          <w:szCs w:val="20"/>
          <w:lang w:val="es-ES" w:eastAsia="es-ES"/>
        </w:rPr>
        <w:t xml:space="preserve"> del Fiscal de la FECI “B” y el Auxiliar Fiscal de la FECI “C”.</w:t>
      </w:r>
    </w:p>
    <w:p w14:paraId="248C828B" w14:textId="5FCA79AB" w:rsidR="00714AEA" w:rsidRPr="00746119" w:rsidRDefault="00714AEA" w:rsidP="00746119">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B660E9">
        <w:rPr>
          <w:rFonts w:ascii="Verdana" w:eastAsia="Calibri" w:hAnsi="Verdana" w:cs="Calibri"/>
          <w:sz w:val="20"/>
          <w:szCs w:val="20"/>
          <w:lang w:val="es-ES" w:eastAsia="es-ES"/>
        </w:rPr>
        <w:t xml:space="preserve">Requerir, de conformidad con lo señalado en </w:t>
      </w:r>
      <w:r w:rsidR="00D47773">
        <w:rPr>
          <w:rFonts w:ascii="Verdana" w:eastAsia="Calibri" w:hAnsi="Verdana" w:cs="Calibri"/>
          <w:sz w:val="20"/>
          <w:szCs w:val="20"/>
          <w:lang w:val="es-ES" w:eastAsia="es-ES"/>
        </w:rPr>
        <w:t>los</w:t>
      </w:r>
      <w:r w:rsidRPr="00B660E9">
        <w:rPr>
          <w:rFonts w:ascii="Verdana" w:eastAsia="Calibri" w:hAnsi="Verdana" w:cs="Calibri"/>
          <w:sz w:val="20"/>
          <w:szCs w:val="20"/>
          <w:lang w:val="es-ES" w:eastAsia="es-ES"/>
        </w:rPr>
        <w:t xml:space="preserve"> Considerando</w:t>
      </w:r>
      <w:r w:rsidR="00D47773">
        <w:rPr>
          <w:rFonts w:ascii="Verdana" w:eastAsia="Calibri" w:hAnsi="Verdana" w:cs="Calibri"/>
          <w:sz w:val="20"/>
          <w:szCs w:val="20"/>
          <w:lang w:val="es-ES" w:eastAsia="es-ES"/>
        </w:rPr>
        <w:t>s</w:t>
      </w:r>
      <w:r w:rsidRPr="00B660E9">
        <w:rPr>
          <w:rFonts w:ascii="Verdana" w:eastAsia="Calibri" w:hAnsi="Verdana" w:cs="Calibri"/>
          <w:sz w:val="20"/>
          <w:szCs w:val="20"/>
          <w:lang w:val="es-ES" w:eastAsia="es-ES"/>
        </w:rPr>
        <w:t xml:space="preserve"> </w:t>
      </w:r>
      <w:r w:rsidR="00D47773">
        <w:rPr>
          <w:rFonts w:ascii="Verdana" w:eastAsia="Calibri" w:hAnsi="Verdana" w:cs="Calibri"/>
          <w:sz w:val="20"/>
          <w:szCs w:val="20"/>
          <w:lang w:val="es-ES" w:eastAsia="es-ES"/>
        </w:rPr>
        <w:t>57 y 58</w:t>
      </w:r>
      <w:r w:rsidRPr="00B660E9">
        <w:rPr>
          <w:rFonts w:ascii="Verdana" w:eastAsia="Calibri" w:hAnsi="Verdana" w:cs="Calibri"/>
          <w:sz w:val="20"/>
          <w:szCs w:val="20"/>
          <w:lang w:val="es-ES" w:eastAsia="es-ES"/>
        </w:rPr>
        <w:t xml:space="preserve"> de la presente Resolución, que el Estado refuerce los esquemas de segu</w:t>
      </w:r>
      <w:r w:rsidR="00746119">
        <w:rPr>
          <w:rFonts w:ascii="Verdana" w:eastAsia="Calibri" w:hAnsi="Verdana" w:cs="Calibri"/>
          <w:sz w:val="20"/>
          <w:szCs w:val="20"/>
          <w:lang w:val="es-ES" w:eastAsia="es-ES"/>
        </w:rPr>
        <w:t>ridad asignados al</w:t>
      </w:r>
      <w:r w:rsidRPr="00B660E9">
        <w:rPr>
          <w:rFonts w:ascii="Verdana" w:eastAsia="Calibri" w:hAnsi="Verdana" w:cs="Calibri"/>
          <w:sz w:val="20"/>
          <w:szCs w:val="20"/>
          <w:lang w:val="es-ES" w:eastAsia="es-ES"/>
        </w:rPr>
        <w:t xml:space="preserve"> Fiscal de la FECI </w:t>
      </w:r>
      <w:r w:rsidR="00746119">
        <w:rPr>
          <w:rFonts w:ascii="Verdana" w:eastAsia="Calibri" w:hAnsi="Verdana" w:cs="Calibri"/>
          <w:sz w:val="20"/>
          <w:szCs w:val="20"/>
          <w:lang w:val="es-ES" w:eastAsia="es-ES"/>
        </w:rPr>
        <w:t>“B”</w:t>
      </w:r>
      <w:r w:rsidRPr="00B660E9">
        <w:rPr>
          <w:rFonts w:ascii="Verdana" w:eastAsia="Calibri" w:hAnsi="Verdana" w:cs="Calibri"/>
          <w:sz w:val="20"/>
          <w:szCs w:val="20"/>
          <w:lang w:val="es-ES" w:eastAsia="es-ES"/>
        </w:rPr>
        <w:t xml:space="preserve"> y </w:t>
      </w:r>
      <w:r w:rsidR="00746119">
        <w:rPr>
          <w:rFonts w:ascii="Verdana" w:eastAsia="Calibri" w:hAnsi="Verdana" w:cs="Calibri"/>
          <w:sz w:val="20"/>
          <w:szCs w:val="20"/>
          <w:lang w:val="es-ES" w:eastAsia="es-ES"/>
        </w:rPr>
        <w:t xml:space="preserve">al Auxiliar Fiscal de la FECI </w:t>
      </w:r>
      <w:r w:rsidRPr="00B660E9">
        <w:rPr>
          <w:rFonts w:ascii="Verdana" w:eastAsia="Calibri" w:hAnsi="Verdana" w:cs="Calibri"/>
          <w:sz w:val="20"/>
          <w:szCs w:val="20"/>
          <w:lang w:val="es-ES" w:eastAsia="es-ES"/>
        </w:rPr>
        <w:t>“C”. Dichos esquemas de seguridad deben adoptarse en común acuerdo y en coordinación con los beneficiarios</w:t>
      </w:r>
      <w:r w:rsidR="00746119">
        <w:rPr>
          <w:rFonts w:ascii="Verdana" w:eastAsia="Calibri" w:hAnsi="Verdana" w:cs="Calibri"/>
          <w:sz w:val="20"/>
          <w:szCs w:val="20"/>
          <w:lang w:val="es-ES" w:eastAsia="es-ES"/>
        </w:rPr>
        <w:t xml:space="preserve"> </w:t>
      </w:r>
      <w:r w:rsidR="00746119" w:rsidRPr="00746119">
        <w:rPr>
          <w:rFonts w:ascii="Verdana" w:hAnsi="Verdana"/>
          <w:sz w:val="20"/>
          <w:szCs w:val="20"/>
        </w:rPr>
        <w:t xml:space="preserve">a través del Departamento de Seguridad del Ministerio Público, </w:t>
      </w:r>
      <w:r w:rsidR="00746119" w:rsidRPr="00746119">
        <w:rPr>
          <w:rFonts w:ascii="Verdana" w:eastAsia="Calibri" w:hAnsi="Verdana" w:cs="Cambria"/>
          <w:sz w:val="20"/>
          <w:szCs w:val="20"/>
          <w:lang w:val="es-CR"/>
        </w:rPr>
        <w:t xml:space="preserve">y se debe </w:t>
      </w:r>
      <w:r w:rsidR="00BB1AF1" w:rsidRPr="00251BB3">
        <w:rPr>
          <w:rFonts w:ascii="Verdana" w:eastAsia="Calibri" w:hAnsi="Verdana" w:cs="Cambria"/>
          <w:sz w:val="20"/>
          <w:szCs w:val="20"/>
          <w:lang w:val="es-CR"/>
        </w:rPr>
        <w:t>impedir</w:t>
      </w:r>
      <w:r w:rsidR="00746119" w:rsidRPr="00D00E4B">
        <w:rPr>
          <w:rFonts w:ascii="Verdana" w:eastAsia="Calibri" w:hAnsi="Verdana" w:cs="Cambria"/>
          <w:b/>
          <w:sz w:val="20"/>
          <w:szCs w:val="20"/>
          <w:lang w:val="es-CR"/>
        </w:rPr>
        <w:t xml:space="preserve"> </w:t>
      </w:r>
      <w:r w:rsidR="00746119" w:rsidRPr="00746119">
        <w:rPr>
          <w:rFonts w:ascii="Verdana" w:eastAsia="Calibri" w:hAnsi="Verdana" w:cs="Cambria"/>
          <w:sz w:val="20"/>
          <w:szCs w:val="20"/>
          <w:lang w:val="es-CR"/>
        </w:rPr>
        <w:t>que</w:t>
      </w:r>
      <w:r w:rsidR="00746119" w:rsidRPr="00746119">
        <w:rPr>
          <w:rFonts w:ascii="Verdana" w:hAnsi="Verdana"/>
          <w:sz w:val="20"/>
          <w:szCs w:val="20"/>
        </w:rPr>
        <w:t xml:space="preserve"> </w:t>
      </w:r>
      <w:r w:rsidR="00746119" w:rsidRPr="00746119">
        <w:rPr>
          <w:rFonts w:ascii="Verdana" w:eastAsia="Calibri" w:hAnsi="Verdana" w:cs="Cambria"/>
          <w:sz w:val="20"/>
          <w:szCs w:val="20"/>
          <w:lang w:val="es-CR"/>
        </w:rPr>
        <w:t>se brinden por funcionarios pertenecientes a las instituciones públicas a las que pertenecieron las personas investigadas por los referidos fiscales</w:t>
      </w:r>
      <w:r w:rsidRPr="00746119">
        <w:rPr>
          <w:rFonts w:ascii="Verdana" w:eastAsia="Calibri" w:hAnsi="Verdana" w:cs="Calibri"/>
          <w:sz w:val="20"/>
          <w:szCs w:val="20"/>
          <w:lang w:val="es-ES" w:eastAsia="es-ES"/>
        </w:rPr>
        <w:t>.</w:t>
      </w:r>
    </w:p>
    <w:p w14:paraId="3D78CEA3" w14:textId="65D16156" w:rsidR="00714AEA" w:rsidRPr="00B660E9" w:rsidRDefault="00535380" w:rsidP="00714AEA">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B660E9">
        <w:rPr>
          <w:rFonts w:ascii="Verdana" w:hAnsi="Verdana"/>
          <w:sz w:val="20"/>
          <w:szCs w:val="20"/>
        </w:rPr>
        <w:t>Declarar</w:t>
      </w:r>
      <w:r w:rsidR="00D47773">
        <w:rPr>
          <w:rFonts w:ascii="Verdana" w:hAnsi="Verdana"/>
          <w:sz w:val="20"/>
          <w:szCs w:val="20"/>
        </w:rPr>
        <w:t xml:space="preserve"> </w:t>
      </w:r>
      <w:r w:rsidRPr="00B660E9">
        <w:rPr>
          <w:rFonts w:ascii="Verdana" w:hAnsi="Verdana"/>
          <w:sz w:val="20"/>
          <w:szCs w:val="20"/>
        </w:rPr>
        <w:t xml:space="preserve">improcedente la adopción de las medidas provisionales solicitadas por las representantes de las víctimas en los casos </w:t>
      </w:r>
      <w:r w:rsidRPr="00B660E9">
        <w:rPr>
          <w:rFonts w:ascii="Verdana" w:hAnsi="Verdana"/>
          <w:i/>
          <w:sz w:val="20"/>
          <w:szCs w:val="20"/>
        </w:rPr>
        <w:t>Valenzuela Ávila</w:t>
      </w:r>
      <w:r w:rsidRPr="00B660E9">
        <w:rPr>
          <w:rFonts w:ascii="Verdana" w:hAnsi="Verdana"/>
          <w:sz w:val="20"/>
          <w:szCs w:val="20"/>
        </w:rPr>
        <w:t xml:space="preserve">, y </w:t>
      </w:r>
      <w:r w:rsidRPr="00B660E9">
        <w:rPr>
          <w:rFonts w:ascii="Verdana" w:hAnsi="Verdana"/>
          <w:i/>
          <w:sz w:val="20"/>
          <w:szCs w:val="20"/>
        </w:rPr>
        <w:t>Ruiz Fuentes y otra</w:t>
      </w:r>
      <w:r w:rsidRPr="00B660E9">
        <w:rPr>
          <w:rFonts w:ascii="Verdana" w:eastAsia="Calibri" w:hAnsi="Verdana" w:cs="Calibri"/>
          <w:sz w:val="20"/>
          <w:szCs w:val="20"/>
          <w:lang w:val="es-ES" w:eastAsia="es-ES"/>
        </w:rPr>
        <w:t xml:space="preserve"> </w:t>
      </w:r>
      <w:r w:rsidRPr="00B660E9">
        <w:rPr>
          <w:rFonts w:ascii="Verdana" w:eastAsia="Verdana" w:hAnsi="Verdana" w:cs="Verdana"/>
          <w:sz w:val="20"/>
          <w:szCs w:val="20"/>
          <w:lang w:val="es-CR"/>
        </w:rPr>
        <w:t>a favor del ex Fiscal Juan Francisco Sandoval Alfaro</w:t>
      </w:r>
      <w:r w:rsidR="00D47773">
        <w:rPr>
          <w:rFonts w:ascii="Verdana" w:eastAsia="Verdana" w:hAnsi="Verdana" w:cs="Verdana"/>
          <w:sz w:val="20"/>
          <w:szCs w:val="20"/>
          <w:lang w:val="es-CR"/>
        </w:rPr>
        <w:t xml:space="preserve">, </w:t>
      </w:r>
      <w:r w:rsidR="00D47773" w:rsidRPr="00B86AA8">
        <w:rPr>
          <w:rFonts w:ascii="Verdana" w:eastAsia="Calibri" w:hAnsi="Verdana" w:cs="Calibri"/>
          <w:sz w:val="20"/>
          <w:szCs w:val="20"/>
          <w:lang w:val="es-ES" w:eastAsia="es-ES"/>
        </w:rPr>
        <w:t xml:space="preserve">de conformidad con lo </w:t>
      </w:r>
      <w:r w:rsidR="00D47773">
        <w:rPr>
          <w:rFonts w:ascii="Verdana" w:eastAsia="Calibri" w:hAnsi="Verdana" w:cs="Calibri"/>
          <w:sz w:val="20"/>
          <w:szCs w:val="20"/>
          <w:lang w:val="es-ES" w:eastAsia="es-ES"/>
        </w:rPr>
        <w:t>expuesto en los Considerandos 36 a 40</w:t>
      </w:r>
      <w:r w:rsidR="00D47773" w:rsidRPr="00B86AA8">
        <w:rPr>
          <w:rFonts w:ascii="Verdana" w:eastAsia="Calibri" w:hAnsi="Verdana" w:cs="Calibri"/>
          <w:sz w:val="20"/>
          <w:szCs w:val="20"/>
          <w:lang w:val="es-ES" w:eastAsia="es-ES"/>
        </w:rPr>
        <w:t xml:space="preserve"> de la presente Resolución</w:t>
      </w:r>
      <w:r w:rsidR="00D47773" w:rsidRPr="00B86AA8">
        <w:rPr>
          <w:rFonts w:ascii="Verdana" w:hAnsi="Verdana"/>
          <w:sz w:val="20"/>
          <w:szCs w:val="20"/>
        </w:rPr>
        <w:t>.</w:t>
      </w:r>
    </w:p>
    <w:p w14:paraId="5E9C0945" w14:textId="2B761F1D" w:rsidR="00714AEA" w:rsidRPr="00B660E9" w:rsidRDefault="00632F57" w:rsidP="00714AEA">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B660E9">
        <w:rPr>
          <w:rFonts w:ascii="Verdana" w:hAnsi="Verdana"/>
          <w:sz w:val="20"/>
          <w:szCs w:val="20"/>
        </w:rPr>
        <w:t xml:space="preserve">Requerir al Estado que, a más tardar el </w:t>
      </w:r>
      <w:r>
        <w:rPr>
          <w:rFonts w:ascii="Verdana" w:hAnsi="Verdana"/>
          <w:sz w:val="20"/>
          <w:szCs w:val="20"/>
        </w:rPr>
        <w:t>13</w:t>
      </w:r>
      <w:r w:rsidRPr="00B660E9">
        <w:rPr>
          <w:rFonts w:ascii="Verdana" w:hAnsi="Verdana"/>
          <w:sz w:val="20"/>
          <w:szCs w:val="20"/>
        </w:rPr>
        <w:t xml:space="preserve"> de </w:t>
      </w:r>
      <w:r>
        <w:rPr>
          <w:rFonts w:ascii="Verdana" w:hAnsi="Verdana"/>
          <w:sz w:val="20"/>
          <w:szCs w:val="20"/>
        </w:rPr>
        <w:t>diciembre</w:t>
      </w:r>
      <w:r w:rsidRPr="00B660E9">
        <w:rPr>
          <w:rFonts w:ascii="Verdana" w:hAnsi="Verdana"/>
          <w:sz w:val="20"/>
          <w:szCs w:val="20"/>
        </w:rPr>
        <w:t xml:space="preserve"> de 202</w:t>
      </w:r>
      <w:r>
        <w:rPr>
          <w:rFonts w:ascii="Verdana" w:hAnsi="Verdana"/>
          <w:sz w:val="20"/>
          <w:szCs w:val="20"/>
        </w:rPr>
        <w:t>1</w:t>
      </w:r>
      <w:r w:rsidRPr="00B660E9">
        <w:rPr>
          <w:rFonts w:ascii="Verdana" w:hAnsi="Verdana"/>
          <w:sz w:val="20"/>
          <w:szCs w:val="20"/>
        </w:rPr>
        <w:t>, presente a la Corte Interamericana un informe actualizado y detallado sobre las medidas de protección adoptadas en cumplimiento</w:t>
      </w:r>
      <w:r>
        <w:rPr>
          <w:rFonts w:ascii="Verdana" w:hAnsi="Verdana"/>
          <w:sz w:val="20"/>
          <w:szCs w:val="20"/>
        </w:rPr>
        <w:t xml:space="preserve"> </w:t>
      </w:r>
      <w:r w:rsidRPr="00A36AAA">
        <w:rPr>
          <w:rFonts w:ascii="Verdana" w:hAnsi="Verdana"/>
          <w:sz w:val="20"/>
        </w:rPr>
        <w:t xml:space="preserve">a </w:t>
      </w:r>
      <w:r w:rsidRPr="00B86AA8">
        <w:rPr>
          <w:rFonts w:ascii="Verdana" w:hAnsi="Verdana"/>
          <w:sz w:val="20"/>
          <w:szCs w:val="20"/>
        </w:rPr>
        <w:t xml:space="preserve">lo ordenado en </w:t>
      </w:r>
      <w:r w:rsidRPr="00A36AAA">
        <w:rPr>
          <w:rFonts w:ascii="Verdana" w:hAnsi="Verdana"/>
          <w:sz w:val="20"/>
        </w:rPr>
        <w:t xml:space="preserve">los puntos resolutivos primero y segundo de esta </w:t>
      </w:r>
      <w:r w:rsidRPr="00B86AA8">
        <w:rPr>
          <w:rFonts w:ascii="Verdana" w:hAnsi="Verdana"/>
          <w:sz w:val="20"/>
          <w:szCs w:val="20"/>
        </w:rPr>
        <w:t>decisión,</w:t>
      </w:r>
      <w:r w:rsidRPr="002A4696">
        <w:rPr>
          <w:rFonts w:ascii="Verdana" w:hAnsi="Verdana"/>
          <w:sz w:val="20"/>
          <w:szCs w:val="20"/>
        </w:rPr>
        <w:t xml:space="preserve"> luego de lo cual deberá continuar informando a la Corte cada tres meses, contados a partir</w:t>
      </w:r>
      <w:r w:rsidRPr="002A4696">
        <w:rPr>
          <w:rFonts w:ascii="Verdana" w:eastAsia="Calibri" w:hAnsi="Verdana" w:cs="Calibri"/>
          <w:sz w:val="20"/>
          <w:szCs w:val="20"/>
          <w:lang w:val="es-ES" w:eastAsia="es-ES"/>
        </w:rPr>
        <w:t xml:space="preserve"> </w:t>
      </w:r>
      <w:r w:rsidRPr="002A4696">
        <w:rPr>
          <w:rFonts w:ascii="Verdana" w:hAnsi="Verdana"/>
          <w:sz w:val="20"/>
          <w:szCs w:val="20"/>
        </w:rPr>
        <w:t>de la remisión de su último informe, sobre las</w:t>
      </w:r>
      <w:r w:rsidRPr="00B660E9">
        <w:rPr>
          <w:rFonts w:ascii="Verdana" w:hAnsi="Verdana"/>
          <w:sz w:val="20"/>
          <w:szCs w:val="20"/>
        </w:rPr>
        <w:t xml:space="preserve"> medidas provisionales adoptadas.</w:t>
      </w:r>
    </w:p>
    <w:p w14:paraId="231C95E7" w14:textId="77777777" w:rsidR="00714AEA" w:rsidRPr="00B660E9" w:rsidRDefault="00714AEA" w:rsidP="00714AEA">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B660E9">
        <w:rPr>
          <w:rFonts w:ascii="Verdana" w:hAnsi="Verdana"/>
          <w:sz w:val="20"/>
          <w:szCs w:val="20"/>
        </w:rPr>
        <w:t>Requerir a las representantes de las víctimas que presenten sus observaciones dentro de un plazo de cuatro semanas contadas a partir de la notificación de los informes del Estado,</w:t>
      </w:r>
      <w:r w:rsidRPr="00B660E9">
        <w:rPr>
          <w:rFonts w:ascii="Verdana" w:eastAsia="Calibri" w:hAnsi="Verdana" w:cs="Calibri"/>
          <w:sz w:val="20"/>
          <w:szCs w:val="20"/>
          <w:lang w:val="es-ES" w:eastAsia="es-ES"/>
        </w:rPr>
        <w:t xml:space="preserve"> </w:t>
      </w:r>
      <w:r w:rsidRPr="00B660E9">
        <w:rPr>
          <w:rFonts w:ascii="Verdana" w:hAnsi="Verdana"/>
          <w:sz w:val="20"/>
          <w:szCs w:val="20"/>
        </w:rPr>
        <w:t>así como a la Comisión Interamericana de Derechos Humanos que presente sus observaciones</w:t>
      </w:r>
      <w:r w:rsidRPr="00B660E9">
        <w:rPr>
          <w:rFonts w:ascii="Verdana" w:eastAsia="Calibri" w:hAnsi="Verdana" w:cs="Calibri"/>
          <w:sz w:val="20"/>
          <w:szCs w:val="20"/>
          <w:lang w:val="es-ES" w:eastAsia="es-ES"/>
        </w:rPr>
        <w:t xml:space="preserve"> </w:t>
      </w:r>
      <w:r w:rsidRPr="00B660E9">
        <w:rPr>
          <w:rFonts w:ascii="Verdana" w:hAnsi="Verdana"/>
          <w:sz w:val="20"/>
          <w:szCs w:val="20"/>
        </w:rPr>
        <w:t>a dichos informes del Estado dentro de un plazo de dos semanas contadas a partir de la</w:t>
      </w:r>
      <w:r w:rsidRPr="00B660E9">
        <w:rPr>
          <w:rFonts w:ascii="Verdana" w:eastAsia="Calibri" w:hAnsi="Verdana" w:cs="Calibri"/>
          <w:sz w:val="20"/>
          <w:szCs w:val="20"/>
          <w:lang w:val="es-ES" w:eastAsia="es-ES"/>
        </w:rPr>
        <w:t xml:space="preserve"> </w:t>
      </w:r>
      <w:r w:rsidRPr="00B660E9">
        <w:rPr>
          <w:rFonts w:ascii="Verdana" w:hAnsi="Verdana"/>
          <w:sz w:val="20"/>
          <w:szCs w:val="20"/>
        </w:rPr>
        <w:t>rece</w:t>
      </w:r>
      <w:r w:rsidR="00483D66">
        <w:rPr>
          <w:rFonts w:ascii="Verdana" w:hAnsi="Verdana"/>
          <w:sz w:val="20"/>
          <w:szCs w:val="20"/>
        </w:rPr>
        <w:t>pción de las observaciones de la</w:t>
      </w:r>
      <w:r w:rsidRPr="00B660E9">
        <w:rPr>
          <w:rFonts w:ascii="Verdana" w:hAnsi="Verdana"/>
          <w:sz w:val="20"/>
          <w:szCs w:val="20"/>
        </w:rPr>
        <w:t>s representantes.</w:t>
      </w:r>
    </w:p>
    <w:p w14:paraId="1AAF7FBC" w14:textId="610ADBF2" w:rsidR="00E0534F" w:rsidRPr="00632F57" w:rsidRDefault="00A15B8B" w:rsidP="000275BB">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B660E9">
        <w:rPr>
          <w:rFonts w:ascii="Verdana" w:hAnsi="Verdana"/>
          <w:sz w:val="20"/>
          <w:szCs w:val="20"/>
        </w:rPr>
        <w:t>Disponer que la Secretaría de la Corte notifique la presente Resoluc</w:t>
      </w:r>
      <w:r w:rsidR="00714AEA" w:rsidRPr="00B660E9">
        <w:rPr>
          <w:rFonts w:ascii="Verdana" w:hAnsi="Verdana"/>
          <w:sz w:val="20"/>
          <w:szCs w:val="20"/>
        </w:rPr>
        <w:t>ión al Estado de Guatemala, a la</w:t>
      </w:r>
      <w:r w:rsidRPr="00B660E9">
        <w:rPr>
          <w:rFonts w:ascii="Verdana" w:hAnsi="Verdana"/>
          <w:sz w:val="20"/>
          <w:szCs w:val="20"/>
        </w:rPr>
        <w:t>s representantes de las víctimas y a la Comisión Interamericana de Derechos Humanos.</w:t>
      </w:r>
    </w:p>
    <w:p w14:paraId="78A4BFDB" w14:textId="6A79D4E0" w:rsidR="00632F57" w:rsidRDefault="00632F57" w:rsidP="00632F57">
      <w:pPr>
        <w:autoSpaceDE w:val="0"/>
        <w:autoSpaceDN w:val="0"/>
        <w:adjustRightInd w:val="0"/>
        <w:spacing w:before="120" w:after="120"/>
        <w:jc w:val="both"/>
        <w:rPr>
          <w:rFonts w:ascii="Verdana" w:hAnsi="Verdana"/>
          <w:sz w:val="20"/>
          <w:szCs w:val="20"/>
        </w:rPr>
      </w:pPr>
      <w:r w:rsidRPr="00632F57">
        <w:rPr>
          <w:rFonts w:ascii="Verdana" w:hAnsi="Verdana"/>
          <w:sz w:val="20"/>
          <w:szCs w:val="20"/>
        </w:rPr>
        <w:t>El Juez Eduardo Vio Grossi hizo conocer a la Corte su Voto Disidente, el cual acompaña la presente Resolución.</w:t>
      </w:r>
    </w:p>
    <w:p w14:paraId="5EE8967A" w14:textId="1C0A5D73" w:rsidR="00352B55" w:rsidRDefault="00352B55">
      <w:pPr>
        <w:spacing w:after="160" w:line="259" w:lineRule="auto"/>
        <w:rPr>
          <w:rFonts w:ascii="Verdana" w:hAnsi="Verdana"/>
          <w:sz w:val="20"/>
          <w:szCs w:val="20"/>
        </w:rPr>
      </w:pPr>
      <w:r>
        <w:rPr>
          <w:rFonts w:ascii="Verdana" w:hAnsi="Verdana"/>
          <w:sz w:val="20"/>
          <w:szCs w:val="20"/>
        </w:rPr>
        <w:br w:type="page"/>
      </w:r>
    </w:p>
    <w:p w14:paraId="3777D806" w14:textId="74108B3A" w:rsidR="00352B55" w:rsidRDefault="00352B55" w:rsidP="00352B55">
      <w:pPr>
        <w:jc w:val="both"/>
        <w:rPr>
          <w:rFonts w:ascii="Verdana" w:hAnsi="Verdana"/>
          <w:sz w:val="20"/>
          <w:lang w:val="es-ES"/>
        </w:rPr>
      </w:pPr>
      <w:r>
        <w:rPr>
          <w:rFonts w:ascii="Verdana" w:eastAsia="Calibri" w:hAnsi="Verdana" w:cs="Times"/>
          <w:sz w:val="20"/>
          <w:szCs w:val="20"/>
          <w:lang w:eastAsia="es-ES"/>
        </w:rPr>
        <w:lastRenderedPageBreak/>
        <w:t xml:space="preserve">Corte IDH. </w:t>
      </w:r>
      <w:r w:rsidRPr="004E4855">
        <w:rPr>
          <w:rFonts w:ascii="Verdana" w:eastAsia="Times" w:hAnsi="Verdana"/>
          <w:bCs/>
          <w:i/>
          <w:sz w:val="20"/>
          <w:szCs w:val="20"/>
          <w:lang w:val="es-CR"/>
        </w:rPr>
        <w:t xml:space="preserve">Caso Valenzuela Ávila, </w:t>
      </w:r>
      <w:r>
        <w:rPr>
          <w:rFonts w:ascii="Verdana" w:eastAsia="Times" w:hAnsi="Verdana"/>
          <w:bCs/>
          <w:i/>
          <w:sz w:val="20"/>
          <w:szCs w:val="20"/>
          <w:lang w:val="es-CR"/>
        </w:rPr>
        <w:t>y Caso Ruiz Fuentes y</w:t>
      </w:r>
      <w:r w:rsidR="00762F99">
        <w:rPr>
          <w:rFonts w:ascii="Verdana" w:eastAsia="Times" w:hAnsi="Verdana"/>
          <w:bCs/>
          <w:i/>
          <w:sz w:val="20"/>
          <w:szCs w:val="20"/>
          <w:lang w:val="es-CR"/>
        </w:rPr>
        <w:t xml:space="preserve"> o</w:t>
      </w:r>
      <w:r w:rsidRPr="004E4855">
        <w:rPr>
          <w:rFonts w:ascii="Verdana" w:eastAsia="Times" w:hAnsi="Verdana"/>
          <w:bCs/>
          <w:i/>
          <w:sz w:val="20"/>
          <w:szCs w:val="20"/>
          <w:lang w:val="es-CR"/>
        </w:rPr>
        <w:t>tra Vs. Guatemala</w:t>
      </w:r>
      <w:r w:rsidR="00762F99">
        <w:rPr>
          <w:rFonts w:ascii="Verdana" w:eastAsia="Times" w:hAnsi="Verdana"/>
          <w:bCs/>
          <w:i/>
          <w:sz w:val="20"/>
          <w:szCs w:val="20"/>
          <w:lang w:val="es-CR"/>
        </w:rPr>
        <w:t>.</w:t>
      </w:r>
      <w:r>
        <w:rPr>
          <w:rFonts w:ascii="Verdana" w:eastAsia="Times" w:hAnsi="Verdana" w:cs="Courier New"/>
          <w:noProof/>
          <w:sz w:val="20"/>
          <w:szCs w:val="20"/>
        </w:rPr>
        <w:t xml:space="preserve"> Medidas Provisionales</w:t>
      </w:r>
      <w:r>
        <w:rPr>
          <w:rFonts w:ascii="Verdana" w:hAnsi="Verdana"/>
          <w:bCs/>
          <w:sz w:val="20"/>
        </w:rPr>
        <w:t xml:space="preserve"> y Supervisión de Cumplimiento de Sentencia</w:t>
      </w:r>
      <w:r>
        <w:rPr>
          <w:rFonts w:ascii="Verdana" w:hAnsi="Verdana" w:cs="Arial"/>
          <w:sz w:val="20"/>
        </w:rPr>
        <w:t>.</w:t>
      </w:r>
      <w:r>
        <w:rPr>
          <w:rFonts w:ascii="Verdana" w:eastAsia="Times" w:hAnsi="Verdana"/>
          <w:bCs/>
          <w:i/>
          <w:sz w:val="20"/>
          <w:szCs w:val="20"/>
        </w:rPr>
        <w:t xml:space="preserve"> </w:t>
      </w:r>
      <w:r>
        <w:rPr>
          <w:rFonts w:ascii="Verdana" w:hAnsi="Verdana"/>
          <w:sz w:val="20"/>
          <w:lang w:val="es-ES"/>
        </w:rPr>
        <w:t>Resolución de la Corte Interamericana de Derechos Humanos de 23 de septiembre</w:t>
      </w:r>
      <w:r>
        <w:rPr>
          <w:rFonts w:ascii="Verdana" w:hAnsi="Verdana"/>
          <w:sz w:val="20"/>
        </w:rPr>
        <w:t xml:space="preserve"> de 2021</w:t>
      </w:r>
      <w:r>
        <w:rPr>
          <w:rFonts w:ascii="Verdana" w:hAnsi="Verdana"/>
          <w:sz w:val="20"/>
          <w:lang w:val="es-ES"/>
        </w:rPr>
        <w:t xml:space="preserve">. </w:t>
      </w:r>
      <w:r>
        <w:rPr>
          <w:rFonts w:ascii="Verdana" w:hAnsi="Verdana"/>
          <w:iCs/>
          <w:sz w:val="20"/>
        </w:rPr>
        <w:t>Resolución adoptada en San José de Costa Rica por medio de sesión virtual.</w:t>
      </w:r>
    </w:p>
    <w:p w14:paraId="0BA728D0" w14:textId="09B187DC" w:rsidR="00352B55" w:rsidRDefault="00352B55" w:rsidP="00352B55">
      <w:pPr>
        <w:jc w:val="center"/>
        <w:rPr>
          <w:rFonts w:ascii="Verdana" w:eastAsia="Times" w:hAnsi="Verdana"/>
          <w:sz w:val="20"/>
          <w:szCs w:val="20"/>
          <w:lang w:val="es-ES"/>
        </w:rPr>
      </w:pPr>
    </w:p>
    <w:p w14:paraId="26D563BE" w14:textId="77777777" w:rsidR="00352B55" w:rsidRDefault="00352B55" w:rsidP="00352B55">
      <w:pPr>
        <w:jc w:val="center"/>
        <w:rPr>
          <w:rFonts w:ascii="Verdana" w:eastAsia="Times" w:hAnsi="Verdana"/>
          <w:sz w:val="20"/>
          <w:szCs w:val="20"/>
          <w:lang w:val="es-ES"/>
        </w:rPr>
      </w:pPr>
    </w:p>
    <w:p w14:paraId="636041FE" w14:textId="77777777" w:rsidR="00352B55" w:rsidRDefault="00352B55" w:rsidP="00352B55">
      <w:pPr>
        <w:jc w:val="center"/>
        <w:rPr>
          <w:rFonts w:ascii="Verdana" w:eastAsia="Times" w:hAnsi="Verdana"/>
          <w:sz w:val="20"/>
          <w:szCs w:val="20"/>
          <w:lang w:val="es-ES"/>
        </w:rPr>
      </w:pPr>
    </w:p>
    <w:p w14:paraId="7ED0A288" w14:textId="77777777" w:rsidR="00352B55" w:rsidRDefault="00352B55" w:rsidP="00352B55">
      <w:pPr>
        <w:jc w:val="center"/>
        <w:rPr>
          <w:rFonts w:ascii="Verdana" w:eastAsia="Times" w:hAnsi="Verdana"/>
          <w:sz w:val="20"/>
          <w:szCs w:val="20"/>
          <w:lang w:val="es-ES"/>
        </w:rPr>
      </w:pPr>
    </w:p>
    <w:p w14:paraId="24F845E0" w14:textId="77777777" w:rsidR="00352B55" w:rsidRDefault="00352B55" w:rsidP="00352B55">
      <w:pPr>
        <w:jc w:val="center"/>
        <w:rPr>
          <w:rFonts w:ascii="Verdana" w:eastAsia="Times" w:hAnsi="Verdana"/>
          <w:sz w:val="20"/>
          <w:szCs w:val="20"/>
          <w:lang w:val="es-ES"/>
        </w:rPr>
      </w:pPr>
    </w:p>
    <w:p w14:paraId="639D6FA0" w14:textId="77777777" w:rsidR="00352B55" w:rsidRDefault="00352B55" w:rsidP="00352B55">
      <w:pPr>
        <w:jc w:val="center"/>
        <w:rPr>
          <w:rFonts w:ascii="Verdana" w:hAnsi="Verdana"/>
          <w:sz w:val="20"/>
          <w:szCs w:val="20"/>
          <w:lang w:val="pt-BR"/>
        </w:rPr>
      </w:pPr>
      <w:r>
        <w:rPr>
          <w:rFonts w:ascii="Verdana" w:hAnsi="Verdana"/>
          <w:sz w:val="20"/>
          <w:szCs w:val="20"/>
          <w:lang w:val="pt-BR"/>
        </w:rPr>
        <w:t xml:space="preserve">Elizabeth </w:t>
      </w:r>
      <w:proofErr w:type="spellStart"/>
      <w:r>
        <w:rPr>
          <w:rFonts w:ascii="Verdana" w:hAnsi="Verdana"/>
          <w:sz w:val="20"/>
          <w:szCs w:val="20"/>
          <w:lang w:val="pt-BR"/>
        </w:rPr>
        <w:t>Odio</w:t>
      </w:r>
      <w:proofErr w:type="spellEnd"/>
      <w:r>
        <w:rPr>
          <w:rFonts w:ascii="Verdana" w:hAnsi="Verdana"/>
          <w:sz w:val="20"/>
          <w:szCs w:val="20"/>
          <w:lang w:val="pt-BR"/>
        </w:rPr>
        <w:t xml:space="preserve"> Benito</w:t>
      </w:r>
    </w:p>
    <w:p w14:paraId="29D03161" w14:textId="378FB44B" w:rsidR="00352B55" w:rsidRDefault="00352B55" w:rsidP="00352B55">
      <w:pPr>
        <w:jc w:val="center"/>
        <w:rPr>
          <w:rFonts w:ascii="Verdana" w:hAnsi="Verdana"/>
          <w:sz w:val="20"/>
          <w:szCs w:val="20"/>
          <w:lang w:val="pt-BR"/>
        </w:rPr>
      </w:pPr>
      <w:r>
        <w:rPr>
          <w:rFonts w:ascii="Verdana" w:hAnsi="Verdana"/>
          <w:sz w:val="20"/>
          <w:szCs w:val="20"/>
          <w:lang w:val="pt-BR"/>
        </w:rPr>
        <w:t>Presidenta</w:t>
      </w:r>
    </w:p>
    <w:p w14:paraId="3303316D" w14:textId="77777777" w:rsidR="00352B55" w:rsidRDefault="00352B55" w:rsidP="00352B55">
      <w:pPr>
        <w:jc w:val="both"/>
        <w:rPr>
          <w:rFonts w:ascii="Verdana" w:hAnsi="Verdana"/>
          <w:sz w:val="20"/>
          <w:szCs w:val="20"/>
          <w:lang w:val="pt-BR"/>
        </w:rPr>
      </w:pPr>
    </w:p>
    <w:p w14:paraId="1C8BFE9D" w14:textId="77777777" w:rsidR="00352B55" w:rsidRDefault="00352B55" w:rsidP="00352B55">
      <w:pPr>
        <w:jc w:val="both"/>
        <w:rPr>
          <w:rFonts w:ascii="Verdana" w:hAnsi="Verdana"/>
          <w:sz w:val="20"/>
          <w:szCs w:val="20"/>
          <w:lang w:val="pt-BR"/>
        </w:rPr>
      </w:pPr>
    </w:p>
    <w:p w14:paraId="41B3829C" w14:textId="77777777" w:rsidR="00352B55" w:rsidRDefault="00352B55" w:rsidP="00352B55">
      <w:pPr>
        <w:jc w:val="both"/>
        <w:rPr>
          <w:rFonts w:ascii="Verdana" w:hAnsi="Verdana"/>
          <w:sz w:val="20"/>
          <w:szCs w:val="20"/>
          <w:lang w:val="pt-BR"/>
        </w:rPr>
      </w:pPr>
    </w:p>
    <w:p w14:paraId="1EA66FA5" w14:textId="77777777" w:rsidR="00352B55" w:rsidRDefault="00352B55" w:rsidP="00352B55">
      <w:pPr>
        <w:jc w:val="both"/>
        <w:rPr>
          <w:rFonts w:ascii="Verdana" w:hAnsi="Verdana"/>
          <w:sz w:val="20"/>
          <w:szCs w:val="20"/>
          <w:lang w:val="pt-BR"/>
        </w:rPr>
      </w:pPr>
    </w:p>
    <w:p w14:paraId="7215BFAA" w14:textId="77777777" w:rsidR="00352B55" w:rsidRDefault="00352B55" w:rsidP="00352B55">
      <w:pPr>
        <w:jc w:val="both"/>
        <w:rPr>
          <w:rFonts w:ascii="Verdana" w:hAnsi="Verdana"/>
          <w:sz w:val="20"/>
          <w:szCs w:val="20"/>
          <w:lang w:val="pt-BR"/>
        </w:rPr>
      </w:pPr>
    </w:p>
    <w:p w14:paraId="4766DBD6" w14:textId="3767ACAC" w:rsidR="00352B55" w:rsidRDefault="00352B55" w:rsidP="00352B55">
      <w:pPr>
        <w:jc w:val="both"/>
        <w:rPr>
          <w:rFonts w:ascii="Verdana" w:hAnsi="Verdana"/>
          <w:sz w:val="20"/>
          <w:szCs w:val="20"/>
          <w:lang w:val="pt-BR"/>
        </w:rPr>
      </w:pPr>
      <w:r>
        <w:rPr>
          <w:rFonts w:ascii="Verdana" w:hAnsi="Verdana"/>
          <w:sz w:val="20"/>
          <w:szCs w:val="20"/>
          <w:lang w:val="pt-BR"/>
        </w:rPr>
        <w:t>L. Patricio Pazmiño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Eduardo Vio Grossi</w:t>
      </w:r>
    </w:p>
    <w:p w14:paraId="500C7CFA" w14:textId="77777777" w:rsidR="00352B55" w:rsidRDefault="00352B55" w:rsidP="00352B55">
      <w:pPr>
        <w:jc w:val="both"/>
        <w:rPr>
          <w:rFonts w:ascii="Verdana" w:hAnsi="Verdana"/>
          <w:sz w:val="20"/>
          <w:szCs w:val="20"/>
          <w:lang w:val="pt-BR"/>
        </w:rPr>
      </w:pPr>
    </w:p>
    <w:p w14:paraId="0A2373AA" w14:textId="77777777" w:rsidR="00352B55" w:rsidRDefault="00352B55" w:rsidP="00352B55">
      <w:pPr>
        <w:jc w:val="both"/>
        <w:rPr>
          <w:rFonts w:ascii="Verdana" w:hAnsi="Verdana"/>
          <w:sz w:val="20"/>
          <w:szCs w:val="20"/>
          <w:lang w:val="pt-BR"/>
        </w:rPr>
      </w:pPr>
    </w:p>
    <w:p w14:paraId="0D19095E" w14:textId="77777777" w:rsidR="00352B55" w:rsidRDefault="00352B55" w:rsidP="00352B55">
      <w:pPr>
        <w:jc w:val="both"/>
        <w:rPr>
          <w:rFonts w:ascii="Verdana" w:hAnsi="Verdana"/>
          <w:sz w:val="20"/>
          <w:szCs w:val="20"/>
          <w:lang w:val="pt-BR"/>
        </w:rPr>
      </w:pPr>
    </w:p>
    <w:p w14:paraId="14890F00" w14:textId="77777777" w:rsidR="00352B55" w:rsidRDefault="00352B55" w:rsidP="00352B55">
      <w:pPr>
        <w:jc w:val="both"/>
        <w:rPr>
          <w:rFonts w:ascii="Verdana" w:hAnsi="Verdana"/>
          <w:sz w:val="20"/>
          <w:szCs w:val="20"/>
          <w:lang w:val="pt-BR"/>
        </w:rPr>
      </w:pPr>
    </w:p>
    <w:p w14:paraId="69114126" w14:textId="77777777" w:rsidR="00352B55" w:rsidRDefault="00352B55" w:rsidP="00352B55">
      <w:pPr>
        <w:jc w:val="both"/>
        <w:rPr>
          <w:rFonts w:ascii="Verdana" w:hAnsi="Verdana"/>
          <w:sz w:val="20"/>
          <w:szCs w:val="20"/>
          <w:lang w:val="pt-BR"/>
        </w:rPr>
      </w:pPr>
    </w:p>
    <w:p w14:paraId="55FD39F3" w14:textId="77777777" w:rsidR="00352B55" w:rsidRDefault="00352B55" w:rsidP="00352B55">
      <w:pPr>
        <w:jc w:val="both"/>
        <w:rPr>
          <w:rFonts w:ascii="Verdana" w:hAnsi="Verdana"/>
          <w:sz w:val="20"/>
          <w:szCs w:val="20"/>
          <w:lang w:val="pt-BR"/>
        </w:rPr>
      </w:pPr>
      <w:r>
        <w:rPr>
          <w:rFonts w:ascii="Verdana" w:eastAsia="Times" w:hAnsi="Verdana"/>
          <w:sz w:val="20"/>
          <w:szCs w:val="20"/>
          <w:lang w:val="pt-BR"/>
        </w:rPr>
        <w:t xml:space="preserve">Humberto </w:t>
      </w:r>
      <w:proofErr w:type="spellStart"/>
      <w:r>
        <w:rPr>
          <w:rFonts w:ascii="Verdana" w:eastAsia="Times" w:hAnsi="Verdana"/>
          <w:sz w:val="20"/>
          <w:szCs w:val="20"/>
          <w:lang w:val="pt-BR"/>
        </w:rPr>
        <w:t>Antonio</w:t>
      </w:r>
      <w:proofErr w:type="spellEnd"/>
      <w:r>
        <w:rPr>
          <w:rFonts w:ascii="Verdana" w:eastAsia="Times" w:hAnsi="Verdana"/>
          <w:sz w:val="20"/>
          <w:szCs w:val="20"/>
          <w:lang w:val="pt-BR"/>
        </w:rPr>
        <w:t xml:space="preserve"> </w:t>
      </w:r>
      <w:proofErr w:type="spellStart"/>
      <w:r>
        <w:rPr>
          <w:rFonts w:ascii="Verdana" w:eastAsia="Times" w:hAnsi="Verdana"/>
          <w:sz w:val="20"/>
          <w:szCs w:val="20"/>
          <w:lang w:val="pt-BR"/>
        </w:rPr>
        <w:t>Sierra</w:t>
      </w:r>
      <w:proofErr w:type="spellEnd"/>
      <w:r>
        <w:rPr>
          <w:rFonts w:ascii="Verdana" w:eastAsia="Times" w:hAnsi="Verdana"/>
          <w:sz w:val="20"/>
          <w:szCs w:val="20"/>
          <w:lang w:val="pt-BR"/>
        </w:rPr>
        <w:t xml:space="preserve"> </w:t>
      </w:r>
      <w:proofErr w:type="gramStart"/>
      <w:r>
        <w:rPr>
          <w:rFonts w:ascii="Verdana" w:eastAsia="Times" w:hAnsi="Verdana"/>
          <w:sz w:val="20"/>
          <w:szCs w:val="20"/>
          <w:lang w:val="pt-BR"/>
        </w:rPr>
        <w:t>Porto</w:t>
      </w:r>
      <w:r>
        <w:rPr>
          <w:rFonts w:ascii="Verdana" w:hAnsi="Verdana"/>
          <w:sz w:val="20"/>
          <w:szCs w:val="20"/>
          <w:lang w:val="pt-BR"/>
        </w:rPr>
        <w:t xml:space="preserve">  </w:t>
      </w:r>
      <w:r>
        <w:rPr>
          <w:rFonts w:ascii="Verdana" w:hAnsi="Verdana"/>
          <w:sz w:val="20"/>
          <w:szCs w:val="20"/>
          <w:lang w:val="pt-BR"/>
        </w:rPr>
        <w:tab/>
      </w:r>
      <w:proofErr w:type="gramEnd"/>
      <w:r>
        <w:rPr>
          <w:rFonts w:ascii="Verdana" w:hAnsi="Verdana"/>
          <w:sz w:val="20"/>
          <w:szCs w:val="20"/>
          <w:lang w:val="pt-BR"/>
        </w:rPr>
        <w:tab/>
      </w:r>
      <w:r>
        <w:rPr>
          <w:rFonts w:ascii="Verdana" w:hAnsi="Verdana"/>
          <w:sz w:val="20"/>
          <w:szCs w:val="20"/>
          <w:lang w:val="pt-BR"/>
        </w:rPr>
        <w:tab/>
        <w:t xml:space="preserve">      Eduardo Ferrer </w:t>
      </w:r>
      <w:proofErr w:type="spellStart"/>
      <w:r>
        <w:rPr>
          <w:rFonts w:ascii="Verdana" w:hAnsi="Verdana"/>
          <w:sz w:val="20"/>
          <w:szCs w:val="20"/>
          <w:lang w:val="pt-BR"/>
        </w:rPr>
        <w:t>Mac-Gregor</w:t>
      </w:r>
      <w:proofErr w:type="spellEnd"/>
      <w:r>
        <w:rPr>
          <w:rFonts w:ascii="Verdana" w:hAnsi="Verdana"/>
          <w:sz w:val="20"/>
          <w:szCs w:val="20"/>
          <w:lang w:val="pt-BR"/>
        </w:rPr>
        <w:t xml:space="preserve"> </w:t>
      </w:r>
      <w:proofErr w:type="spellStart"/>
      <w:r>
        <w:rPr>
          <w:rFonts w:ascii="Verdana" w:hAnsi="Verdana"/>
          <w:sz w:val="20"/>
          <w:szCs w:val="20"/>
          <w:lang w:val="pt-BR"/>
        </w:rPr>
        <w:t>Poisot</w:t>
      </w:r>
      <w:proofErr w:type="spellEnd"/>
    </w:p>
    <w:p w14:paraId="6EA515BD" w14:textId="55D7382F" w:rsidR="00352B55" w:rsidRDefault="00352B55" w:rsidP="00352B55">
      <w:pPr>
        <w:jc w:val="both"/>
        <w:rPr>
          <w:rFonts w:ascii="Verdana" w:hAnsi="Verdana"/>
          <w:sz w:val="20"/>
          <w:szCs w:val="20"/>
          <w:lang w:val="pt-BR"/>
        </w:rPr>
      </w:pPr>
    </w:p>
    <w:p w14:paraId="4E3FD42B" w14:textId="77777777" w:rsidR="00352B55" w:rsidRDefault="00352B55" w:rsidP="00352B55">
      <w:pPr>
        <w:jc w:val="both"/>
        <w:rPr>
          <w:rFonts w:ascii="Verdana" w:hAnsi="Verdana"/>
          <w:sz w:val="20"/>
          <w:szCs w:val="20"/>
          <w:lang w:val="pt-BR"/>
        </w:rPr>
      </w:pPr>
    </w:p>
    <w:p w14:paraId="01BB4DAA" w14:textId="09DA3DC5" w:rsidR="00352B55" w:rsidRDefault="00352B55" w:rsidP="00352B55">
      <w:pPr>
        <w:jc w:val="both"/>
        <w:rPr>
          <w:rFonts w:ascii="Verdana" w:hAnsi="Verdana"/>
          <w:sz w:val="20"/>
          <w:szCs w:val="20"/>
          <w:lang w:val="pt-BR"/>
        </w:rPr>
      </w:pPr>
    </w:p>
    <w:p w14:paraId="099F36A6" w14:textId="77777777" w:rsidR="00352B55" w:rsidRDefault="00352B55" w:rsidP="00352B55">
      <w:pPr>
        <w:jc w:val="both"/>
        <w:rPr>
          <w:rFonts w:ascii="Verdana" w:hAnsi="Verdana"/>
          <w:sz w:val="20"/>
          <w:szCs w:val="20"/>
          <w:lang w:val="pt-BR"/>
        </w:rPr>
      </w:pPr>
    </w:p>
    <w:p w14:paraId="3C002126" w14:textId="77777777" w:rsidR="00352B55" w:rsidRDefault="00352B55" w:rsidP="00352B55">
      <w:pPr>
        <w:jc w:val="both"/>
        <w:rPr>
          <w:rFonts w:ascii="Verdana" w:hAnsi="Verdana"/>
          <w:sz w:val="20"/>
          <w:szCs w:val="20"/>
          <w:lang w:val="pt-BR"/>
        </w:rPr>
      </w:pPr>
    </w:p>
    <w:p w14:paraId="6C048B08" w14:textId="482D81EB" w:rsidR="00352B55" w:rsidRDefault="00352B55" w:rsidP="00352B55">
      <w:pPr>
        <w:jc w:val="both"/>
        <w:rPr>
          <w:rFonts w:ascii="Verdana" w:hAnsi="Verdana"/>
          <w:sz w:val="20"/>
          <w:szCs w:val="20"/>
          <w:lang w:val="pt-BR"/>
        </w:rPr>
      </w:pPr>
      <w:r>
        <w:rPr>
          <w:rFonts w:ascii="Verdana" w:hAnsi="Verdana"/>
          <w:sz w:val="20"/>
          <w:szCs w:val="20"/>
          <w:lang w:val="pt-BR"/>
        </w:rPr>
        <w:t xml:space="preserve">Eugenio </w:t>
      </w:r>
      <w:proofErr w:type="spellStart"/>
      <w:r>
        <w:rPr>
          <w:rFonts w:ascii="Verdana" w:hAnsi="Verdana"/>
          <w:sz w:val="20"/>
          <w:szCs w:val="20"/>
          <w:lang w:val="pt-BR"/>
        </w:rPr>
        <w:t>Raúl</w:t>
      </w:r>
      <w:proofErr w:type="spellEnd"/>
      <w:r>
        <w:rPr>
          <w:rFonts w:ascii="Verdana" w:hAnsi="Verdana"/>
          <w:sz w:val="20"/>
          <w:szCs w:val="20"/>
          <w:lang w:val="pt-BR"/>
        </w:rPr>
        <w:t xml:space="preserve"> </w:t>
      </w:r>
      <w:proofErr w:type="spellStart"/>
      <w:r>
        <w:rPr>
          <w:rFonts w:ascii="Verdana" w:hAnsi="Verdana"/>
          <w:sz w:val="20"/>
          <w:szCs w:val="20"/>
          <w:lang w:val="pt-BR"/>
        </w:rPr>
        <w:t>Zaffaroni</w:t>
      </w:r>
      <w:proofErr w:type="spellEnd"/>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Ricardo C. Pérez Manrique</w:t>
      </w:r>
    </w:p>
    <w:p w14:paraId="05569378" w14:textId="77777777" w:rsidR="00352B55" w:rsidRDefault="00352B55" w:rsidP="00352B55">
      <w:pPr>
        <w:jc w:val="both"/>
        <w:rPr>
          <w:rFonts w:ascii="Verdana" w:hAnsi="Verdana"/>
          <w:sz w:val="20"/>
          <w:szCs w:val="20"/>
          <w:lang w:val="pt-BR"/>
        </w:rPr>
      </w:pPr>
    </w:p>
    <w:p w14:paraId="656402E3" w14:textId="77777777" w:rsidR="00352B55" w:rsidRDefault="00352B55" w:rsidP="00352B55">
      <w:pPr>
        <w:jc w:val="both"/>
        <w:rPr>
          <w:rFonts w:ascii="Verdana" w:hAnsi="Verdana"/>
          <w:sz w:val="20"/>
          <w:szCs w:val="20"/>
          <w:lang w:val="pt-BR"/>
        </w:rPr>
      </w:pPr>
    </w:p>
    <w:p w14:paraId="48CFA351" w14:textId="77777777" w:rsidR="00352B55" w:rsidRPr="00D95C10" w:rsidRDefault="00352B55" w:rsidP="00352B55">
      <w:pPr>
        <w:rPr>
          <w:rFonts w:ascii="Verdana" w:eastAsia="Times" w:hAnsi="Verdana"/>
          <w:sz w:val="20"/>
          <w:szCs w:val="20"/>
          <w:lang w:val="pt-BR"/>
        </w:rPr>
      </w:pPr>
    </w:p>
    <w:p w14:paraId="60B946FF" w14:textId="77777777" w:rsidR="00352B55" w:rsidRDefault="00352B55" w:rsidP="00352B55">
      <w:pPr>
        <w:jc w:val="both"/>
        <w:rPr>
          <w:rFonts w:ascii="Verdana" w:eastAsia="Times" w:hAnsi="Verdana"/>
          <w:sz w:val="20"/>
          <w:szCs w:val="20"/>
          <w:lang w:val="pt-BR"/>
        </w:rPr>
      </w:pPr>
    </w:p>
    <w:p w14:paraId="3EE5860B" w14:textId="77777777" w:rsidR="00352B55" w:rsidRDefault="00352B55" w:rsidP="00352B55">
      <w:pPr>
        <w:jc w:val="both"/>
        <w:rPr>
          <w:rFonts w:ascii="Verdana" w:eastAsia="Times" w:hAnsi="Verdana"/>
          <w:sz w:val="20"/>
          <w:szCs w:val="20"/>
          <w:lang w:val="pt-BR"/>
        </w:rPr>
      </w:pPr>
    </w:p>
    <w:p w14:paraId="065432EF" w14:textId="77777777" w:rsidR="00352B55" w:rsidRDefault="00352B55" w:rsidP="00352B55">
      <w:pPr>
        <w:jc w:val="both"/>
        <w:rPr>
          <w:rFonts w:ascii="Verdana" w:eastAsia="Times" w:hAnsi="Verdana"/>
          <w:sz w:val="20"/>
          <w:szCs w:val="20"/>
          <w:lang w:val="pt-BR"/>
        </w:rPr>
      </w:pPr>
    </w:p>
    <w:p w14:paraId="6732B39E" w14:textId="77777777" w:rsidR="00352B55" w:rsidRDefault="00352B55" w:rsidP="00352B55">
      <w:pPr>
        <w:jc w:val="center"/>
        <w:rPr>
          <w:rFonts w:ascii="Verdana" w:eastAsia="Times" w:hAnsi="Verdana"/>
          <w:sz w:val="20"/>
          <w:szCs w:val="20"/>
          <w:lang w:val="pt-BR"/>
        </w:rPr>
      </w:pPr>
      <w:r>
        <w:rPr>
          <w:rFonts w:ascii="Verdana" w:eastAsia="Times" w:hAnsi="Verdana"/>
          <w:sz w:val="20"/>
          <w:szCs w:val="20"/>
          <w:lang w:val="pt-BR"/>
        </w:rPr>
        <w:t>Pablo Saavedra Alessandri</w:t>
      </w:r>
    </w:p>
    <w:p w14:paraId="1F21A877" w14:textId="77777777" w:rsidR="00352B55" w:rsidRDefault="00352B55" w:rsidP="00352B55">
      <w:pPr>
        <w:jc w:val="center"/>
        <w:rPr>
          <w:rFonts w:ascii="Verdana" w:eastAsia="Times" w:hAnsi="Verdana"/>
          <w:sz w:val="20"/>
          <w:szCs w:val="20"/>
          <w:lang w:val="pt-BR"/>
        </w:rPr>
      </w:pPr>
      <w:r>
        <w:rPr>
          <w:rFonts w:ascii="Verdana" w:eastAsia="Times" w:hAnsi="Verdana"/>
          <w:sz w:val="20"/>
          <w:szCs w:val="20"/>
          <w:lang w:val="pt-BR"/>
        </w:rPr>
        <w:t>Secretario</w:t>
      </w:r>
    </w:p>
    <w:p w14:paraId="69489E91" w14:textId="77777777" w:rsidR="00352B55" w:rsidRPr="00F154FF" w:rsidRDefault="00352B55" w:rsidP="00352B55">
      <w:pPr>
        <w:jc w:val="both"/>
        <w:rPr>
          <w:rFonts w:ascii="Verdana" w:eastAsia="Times" w:hAnsi="Verdana"/>
          <w:sz w:val="20"/>
          <w:szCs w:val="20"/>
          <w:lang w:val="pt-BR"/>
        </w:rPr>
      </w:pPr>
    </w:p>
    <w:p w14:paraId="21F80981" w14:textId="77777777" w:rsidR="00352B55" w:rsidRPr="00F154FF" w:rsidRDefault="00352B55" w:rsidP="00352B55">
      <w:pPr>
        <w:jc w:val="both"/>
        <w:rPr>
          <w:rFonts w:ascii="Verdana" w:eastAsia="Times" w:hAnsi="Verdana"/>
          <w:sz w:val="20"/>
          <w:szCs w:val="20"/>
          <w:lang w:val="pt-BR"/>
        </w:rPr>
      </w:pPr>
      <w:proofErr w:type="spellStart"/>
      <w:r w:rsidRPr="00F154FF">
        <w:rPr>
          <w:rFonts w:ascii="Verdana" w:eastAsia="Times" w:hAnsi="Verdana"/>
          <w:sz w:val="20"/>
          <w:szCs w:val="20"/>
          <w:lang w:val="pt-BR"/>
        </w:rPr>
        <w:t>Comuníquese</w:t>
      </w:r>
      <w:proofErr w:type="spellEnd"/>
      <w:r w:rsidRPr="00F154FF">
        <w:rPr>
          <w:rFonts w:ascii="Verdana" w:eastAsia="Times" w:hAnsi="Verdana"/>
          <w:sz w:val="20"/>
          <w:szCs w:val="20"/>
          <w:lang w:val="pt-BR"/>
        </w:rPr>
        <w:t xml:space="preserve"> y </w:t>
      </w:r>
      <w:proofErr w:type="spellStart"/>
      <w:r w:rsidRPr="00F154FF">
        <w:rPr>
          <w:rFonts w:ascii="Verdana" w:eastAsia="Times" w:hAnsi="Verdana"/>
          <w:sz w:val="20"/>
          <w:szCs w:val="20"/>
          <w:lang w:val="pt-BR"/>
        </w:rPr>
        <w:t>ejecútese</w:t>
      </w:r>
      <w:proofErr w:type="spellEnd"/>
      <w:r w:rsidRPr="00F154FF">
        <w:rPr>
          <w:rFonts w:ascii="Verdana" w:eastAsia="Times" w:hAnsi="Verdana"/>
          <w:sz w:val="20"/>
          <w:szCs w:val="20"/>
          <w:lang w:val="pt-BR"/>
        </w:rPr>
        <w:t>,</w:t>
      </w:r>
    </w:p>
    <w:p w14:paraId="439151C3" w14:textId="47D34A58" w:rsidR="00352B55" w:rsidRPr="00F154FF" w:rsidRDefault="00352B55" w:rsidP="00352B55">
      <w:pPr>
        <w:jc w:val="both"/>
        <w:rPr>
          <w:rFonts w:ascii="Verdana" w:eastAsia="Times" w:hAnsi="Verdana"/>
          <w:sz w:val="20"/>
          <w:szCs w:val="20"/>
          <w:lang w:val="pt-BR"/>
        </w:rPr>
      </w:pPr>
    </w:p>
    <w:p w14:paraId="38FA6CA6" w14:textId="77777777" w:rsidR="00352B55" w:rsidRPr="00F154FF" w:rsidRDefault="00352B55" w:rsidP="00352B55">
      <w:pPr>
        <w:jc w:val="both"/>
        <w:rPr>
          <w:rFonts w:ascii="Verdana" w:eastAsia="Times" w:hAnsi="Verdana"/>
          <w:sz w:val="20"/>
          <w:szCs w:val="20"/>
          <w:lang w:val="pt-BR"/>
        </w:rPr>
      </w:pPr>
    </w:p>
    <w:p w14:paraId="7A26E8BA" w14:textId="77777777" w:rsidR="00352B55" w:rsidRPr="00F154FF" w:rsidRDefault="00352B55" w:rsidP="00352B55">
      <w:pPr>
        <w:jc w:val="both"/>
        <w:rPr>
          <w:rFonts w:ascii="Verdana" w:eastAsia="Times" w:hAnsi="Verdana"/>
          <w:sz w:val="20"/>
          <w:szCs w:val="20"/>
          <w:lang w:val="pt-BR"/>
        </w:rPr>
      </w:pPr>
    </w:p>
    <w:p w14:paraId="41BB3243" w14:textId="77777777" w:rsidR="00352B55" w:rsidRDefault="00352B55" w:rsidP="00352B55">
      <w:pPr>
        <w:jc w:val="both"/>
        <w:rPr>
          <w:rFonts w:ascii="Verdana" w:eastAsia="Times" w:hAnsi="Verdana"/>
          <w:sz w:val="20"/>
          <w:szCs w:val="20"/>
          <w:lang w:val="pt-BR"/>
        </w:rPr>
      </w:pPr>
    </w:p>
    <w:p w14:paraId="45841692" w14:textId="39DD60D0" w:rsidR="00352B55" w:rsidRPr="00F154FF" w:rsidRDefault="00352B55" w:rsidP="00352B55">
      <w:pPr>
        <w:jc w:val="both"/>
        <w:rPr>
          <w:rFonts w:ascii="Verdana" w:eastAsia="Times" w:hAnsi="Verdana"/>
          <w:sz w:val="20"/>
          <w:szCs w:val="20"/>
          <w:lang w:val="pt-BR"/>
        </w:rPr>
      </w:pPr>
    </w:p>
    <w:p w14:paraId="7762BDE5" w14:textId="77777777" w:rsidR="00352B55" w:rsidRPr="00F154FF" w:rsidRDefault="00352B55" w:rsidP="00352B55">
      <w:pPr>
        <w:ind w:left="4248" w:firstLine="708"/>
        <w:jc w:val="center"/>
        <w:rPr>
          <w:rFonts w:ascii="Verdana" w:eastAsia="Times" w:hAnsi="Verdana"/>
          <w:sz w:val="20"/>
          <w:szCs w:val="20"/>
          <w:lang w:val="es-CO"/>
        </w:rPr>
      </w:pPr>
      <w:r w:rsidRPr="00F154FF">
        <w:rPr>
          <w:rFonts w:ascii="Verdana" w:eastAsia="Times" w:hAnsi="Verdana"/>
          <w:sz w:val="20"/>
          <w:szCs w:val="20"/>
          <w:lang w:val="pt-BR"/>
        </w:rPr>
        <w:t xml:space="preserve">Elizabeth </w:t>
      </w:r>
      <w:proofErr w:type="spellStart"/>
      <w:r w:rsidRPr="00F154FF">
        <w:rPr>
          <w:rFonts w:ascii="Verdana" w:eastAsia="Times" w:hAnsi="Verdana"/>
          <w:sz w:val="20"/>
          <w:szCs w:val="20"/>
          <w:lang w:val="pt-BR"/>
        </w:rPr>
        <w:t>Odio</w:t>
      </w:r>
      <w:proofErr w:type="spellEnd"/>
      <w:r w:rsidRPr="00F154FF">
        <w:rPr>
          <w:rFonts w:ascii="Verdana" w:eastAsia="Times" w:hAnsi="Verdana"/>
          <w:sz w:val="20"/>
          <w:szCs w:val="20"/>
          <w:lang w:val="pt-BR"/>
        </w:rPr>
        <w:t xml:space="preserve"> Benito</w:t>
      </w:r>
    </w:p>
    <w:p w14:paraId="221BF8BF" w14:textId="77777777" w:rsidR="00352B55" w:rsidRPr="00F154FF" w:rsidRDefault="00352B55" w:rsidP="00352B55">
      <w:pPr>
        <w:ind w:left="4248" w:firstLine="708"/>
        <w:jc w:val="center"/>
        <w:rPr>
          <w:rFonts w:ascii="Verdana" w:eastAsia="Times" w:hAnsi="Verdana"/>
          <w:sz w:val="20"/>
          <w:szCs w:val="20"/>
          <w:lang w:val="pt-BR"/>
        </w:rPr>
      </w:pPr>
      <w:r>
        <w:rPr>
          <w:rFonts w:ascii="Verdana" w:eastAsia="Times" w:hAnsi="Verdana"/>
          <w:sz w:val="20"/>
          <w:szCs w:val="20"/>
          <w:lang w:val="pt-BR"/>
        </w:rPr>
        <w:t>Presidenta</w:t>
      </w:r>
    </w:p>
    <w:p w14:paraId="26228949" w14:textId="77777777" w:rsidR="00352B55" w:rsidRPr="00F154FF" w:rsidRDefault="00352B55" w:rsidP="00352B55">
      <w:pPr>
        <w:jc w:val="both"/>
        <w:rPr>
          <w:rFonts w:ascii="Verdana" w:eastAsia="Times" w:hAnsi="Verdana"/>
          <w:sz w:val="20"/>
          <w:szCs w:val="20"/>
          <w:lang w:val="pt-BR"/>
        </w:rPr>
      </w:pPr>
    </w:p>
    <w:p w14:paraId="15F97D74" w14:textId="77777777" w:rsidR="00352B55" w:rsidRPr="00F154FF" w:rsidRDefault="00352B55" w:rsidP="00352B55">
      <w:pPr>
        <w:jc w:val="both"/>
        <w:rPr>
          <w:rFonts w:ascii="Verdana" w:eastAsia="Times" w:hAnsi="Verdana"/>
          <w:sz w:val="20"/>
          <w:szCs w:val="20"/>
          <w:lang w:val="pt-BR"/>
        </w:rPr>
      </w:pPr>
    </w:p>
    <w:p w14:paraId="1F4E8D01" w14:textId="77777777" w:rsidR="00352B55" w:rsidRDefault="00352B55" w:rsidP="00352B55">
      <w:pPr>
        <w:jc w:val="both"/>
        <w:rPr>
          <w:rFonts w:ascii="Verdana" w:eastAsia="Times" w:hAnsi="Verdana"/>
          <w:sz w:val="20"/>
          <w:szCs w:val="20"/>
          <w:lang w:val="pt-BR"/>
        </w:rPr>
      </w:pPr>
    </w:p>
    <w:p w14:paraId="23842C3E" w14:textId="77777777" w:rsidR="00352B55" w:rsidRPr="00F154FF" w:rsidRDefault="00352B55" w:rsidP="00352B55">
      <w:pPr>
        <w:jc w:val="both"/>
        <w:rPr>
          <w:rFonts w:ascii="Verdana" w:eastAsia="Times" w:hAnsi="Verdana"/>
          <w:sz w:val="20"/>
          <w:szCs w:val="20"/>
          <w:lang w:val="pt-BR"/>
        </w:rPr>
      </w:pPr>
    </w:p>
    <w:p w14:paraId="20A207F0" w14:textId="77777777" w:rsidR="00352B55" w:rsidRPr="00F154FF" w:rsidRDefault="00352B55" w:rsidP="00352B55">
      <w:pPr>
        <w:jc w:val="both"/>
        <w:rPr>
          <w:rFonts w:ascii="Verdana" w:eastAsia="Times" w:hAnsi="Verdana"/>
          <w:sz w:val="20"/>
          <w:szCs w:val="20"/>
          <w:lang w:val="es-ES"/>
        </w:rPr>
      </w:pPr>
      <w:r w:rsidRPr="00F154FF">
        <w:rPr>
          <w:rFonts w:ascii="Verdana" w:eastAsia="Times" w:hAnsi="Verdana"/>
          <w:sz w:val="20"/>
          <w:szCs w:val="20"/>
          <w:lang w:val="es-ES"/>
        </w:rPr>
        <w:t>Pablo Saavedra Alessandri</w:t>
      </w:r>
    </w:p>
    <w:p w14:paraId="36200099" w14:textId="77777777" w:rsidR="00967631" w:rsidRDefault="00352B55" w:rsidP="00352B55">
      <w:pPr>
        <w:rPr>
          <w:rFonts w:ascii="Verdana" w:eastAsia="Times" w:hAnsi="Verdana"/>
          <w:sz w:val="20"/>
          <w:szCs w:val="20"/>
          <w:lang w:val="es-CR"/>
        </w:rPr>
        <w:sectPr w:rsidR="00967631" w:rsidSect="00722EEF">
          <w:headerReference w:type="even" r:id="rId8"/>
          <w:footerReference w:type="default" r:id="rId9"/>
          <w:headerReference w:type="first" r:id="rId10"/>
          <w:pgSz w:w="12240" w:h="15840"/>
          <w:pgMar w:top="1440" w:right="1440" w:bottom="1440" w:left="1440" w:header="720" w:footer="624" w:gutter="0"/>
          <w:cols w:space="720"/>
          <w:docGrid w:linePitch="360"/>
        </w:sectPr>
      </w:pPr>
      <w:r w:rsidRPr="00F154FF">
        <w:rPr>
          <w:rFonts w:ascii="Verdana" w:eastAsia="Times" w:hAnsi="Verdana"/>
          <w:sz w:val="20"/>
          <w:szCs w:val="20"/>
          <w:lang w:val="es-ES"/>
        </w:rPr>
        <w:tab/>
      </w:r>
      <w:r w:rsidRPr="00F154FF">
        <w:rPr>
          <w:rFonts w:ascii="Verdana" w:eastAsia="Times" w:hAnsi="Verdana"/>
          <w:sz w:val="20"/>
          <w:szCs w:val="20"/>
          <w:lang w:val="es-CR"/>
        </w:rPr>
        <w:t>Secretario</w:t>
      </w:r>
    </w:p>
    <w:p w14:paraId="04C3AE79" w14:textId="77777777" w:rsidR="00967631" w:rsidRPr="00967631" w:rsidRDefault="00967631" w:rsidP="00967631">
      <w:pPr>
        <w:pStyle w:val="Default"/>
        <w:jc w:val="center"/>
        <w:rPr>
          <w:rFonts w:ascii="Verdana" w:eastAsiaTheme="minorHAnsi" w:hAnsi="Verdana" w:cs="Verdana"/>
          <w:b/>
          <w:bCs/>
          <w:sz w:val="20"/>
          <w:szCs w:val="20"/>
          <w:lang w:val="es-CL" w:eastAsia="en-US"/>
        </w:rPr>
      </w:pPr>
      <w:r w:rsidRPr="00967631">
        <w:rPr>
          <w:rFonts w:ascii="Verdana" w:eastAsiaTheme="minorHAnsi" w:hAnsi="Verdana" w:cs="Verdana"/>
          <w:b/>
          <w:bCs/>
          <w:sz w:val="20"/>
          <w:szCs w:val="20"/>
          <w:lang w:val="es-CL" w:eastAsia="en-US"/>
        </w:rPr>
        <w:lastRenderedPageBreak/>
        <w:t>VOTO DISIDENTE DEL JUEZ EDUARDO VIO GROSSI,</w:t>
      </w:r>
    </w:p>
    <w:p w14:paraId="620916F8" w14:textId="77777777" w:rsidR="00967631" w:rsidRPr="00967631" w:rsidRDefault="00967631" w:rsidP="00967631">
      <w:pPr>
        <w:pStyle w:val="Default"/>
        <w:jc w:val="center"/>
        <w:rPr>
          <w:rFonts w:ascii="Verdana" w:eastAsiaTheme="minorHAnsi" w:hAnsi="Verdana" w:cs="Verdana"/>
          <w:b/>
          <w:bCs/>
          <w:sz w:val="20"/>
          <w:szCs w:val="20"/>
          <w:lang w:val="es-CL" w:eastAsia="en-US"/>
        </w:rPr>
      </w:pPr>
      <w:r w:rsidRPr="00967631">
        <w:rPr>
          <w:rFonts w:ascii="Verdana" w:eastAsiaTheme="minorHAnsi" w:hAnsi="Verdana" w:cs="Verdana"/>
          <w:b/>
          <w:bCs/>
          <w:sz w:val="20"/>
          <w:szCs w:val="20"/>
          <w:lang w:val="es-CL" w:eastAsia="en-US"/>
        </w:rPr>
        <w:t>RESOLUCIÓN DE LA</w:t>
      </w:r>
    </w:p>
    <w:p w14:paraId="11C31F15" w14:textId="77777777" w:rsidR="00967631" w:rsidRPr="00967631" w:rsidRDefault="00967631" w:rsidP="00967631">
      <w:pPr>
        <w:pStyle w:val="Default"/>
        <w:jc w:val="center"/>
        <w:rPr>
          <w:rFonts w:ascii="Verdana" w:eastAsiaTheme="minorHAnsi" w:hAnsi="Verdana" w:cs="Verdana"/>
          <w:b/>
          <w:bCs/>
          <w:sz w:val="20"/>
          <w:szCs w:val="20"/>
          <w:lang w:val="es-CL" w:eastAsia="en-US"/>
        </w:rPr>
      </w:pPr>
      <w:r w:rsidRPr="00967631">
        <w:rPr>
          <w:rFonts w:ascii="Verdana" w:eastAsiaTheme="minorHAnsi" w:hAnsi="Verdana" w:cs="Verdana"/>
          <w:b/>
          <w:bCs/>
          <w:sz w:val="20"/>
          <w:szCs w:val="20"/>
          <w:lang w:val="es-CL" w:eastAsia="en-US"/>
        </w:rPr>
        <w:t>CORTE INTERAMERICANA DE DERECHOS HUMANOS</w:t>
      </w:r>
    </w:p>
    <w:p w14:paraId="058C2D31" w14:textId="77777777" w:rsidR="00967631" w:rsidRPr="00967631" w:rsidRDefault="00967631" w:rsidP="00967631">
      <w:pPr>
        <w:pStyle w:val="Default"/>
        <w:jc w:val="center"/>
        <w:rPr>
          <w:rFonts w:ascii="Verdana" w:eastAsiaTheme="minorHAnsi" w:hAnsi="Verdana" w:cs="Verdana"/>
          <w:b/>
          <w:bCs/>
          <w:sz w:val="20"/>
          <w:szCs w:val="20"/>
          <w:lang w:val="es-CL" w:eastAsia="en-US"/>
        </w:rPr>
      </w:pPr>
      <w:r w:rsidRPr="00967631">
        <w:rPr>
          <w:rFonts w:ascii="Verdana" w:eastAsiaTheme="minorHAnsi" w:hAnsi="Verdana" w:cs="Verdana"/>
          <w:b/>
          <w:bCs/>
          <w:sz w:val="20"/>
          <w:szCs w:val="20"/>
          <w:lang w:val="es-CL" w:eastAsia="en-US"/>
        </w:rPr>
        <w:t>DE 23 DE SEPTIEMBRE DE 2021,</w:t>
      </w:r>
    </w:p>
    <w:p w14:paraId="6DAE6BFE" w14:textId="77777777" w:rsidR="00967631" w:rsidRPr="00967631" w:rsidRDefault="00967631" w:rsidP="00967631">
      <w:pPr>
        <w:pStyle w:val="Default"/>
        <w:ind w:left="1416" w:hanging="1416"/>
        <w:jc w:val="center"/>
        <w:rPr>
          <w:rFonts w:ascii="Verdana" w:eastAsiaTheme="minorHAnsi" w:hAnsi="Verdana" w:cs="Verdana"/>
          <w:b/>
          <w:bCs/>
          <w:sz w:val="20"/>
          <w:szCs w:val="20"/>
          <w:lang w:val="es-CL" w:eastAsia="en-US"/>
        </w:rPr>
      </w:pPr>
      <w:r w:rsidRPr="00967631">
        <w:rPr>
          <w:rFonts w:ascii="Verdana" w:eastAsiaTheme="minorHAnsi" w:hAnsi="Verdana" w:cs="Verdana"/>
          <w:b/>
          <w:bCs/>
          <w:sz w:val="20"/>
          <w:szCs w:val="20"/>
          <w:lang w:val="es-CL" w:eastAsia="en-US"/>
        </w:rPr>
        <w:t>MEDIDAS PROVISIONALES Y</w:t>
      </w:r>
    </w:p>
    <w:p w14:paraId="5771DC25" w14:textId="77777777" w:rsidR="00967631" w:rsidRPr="00967631" w:rsidRDefault="00967631" w:rsidP="00967631">
      <w:pPr>
        <w:pStyle w:val="Default"/>
        <w:jc w:val="center"/>
        <w:rPr>
          <w:rFonts w:ascii="Verdana" w:eastAsiaTheme="minorHAnsi" w:hAnsi="Verdana" w:cs="Verdana"/>
          <w:b/>
          <w:bCs/>
          <w:sz w:val="20"/>
          <w:szCs w:val="20"/>
          <w:lang w:val="es-CL" w:eastAsia="en-US"/>
        </w:rPr>
      </w:pPr>
      <w:r w:rsidRPr="00967631">
        <w:rPr>
          <w:rFonts w:ascii="Verdana" w:eastAsiaTheme="minorHAnsi" w:hAnsi="Verdana" w:cs="Verdana"/>
          <w:b/>
          <w:bCs/>
          <w:sz w:val="20"/>
          <w:szCs w:val="20"/>
          <w:lang w:val="es-CL" w:eastAsia="en-US"/>
        </w:rPr>
        <w:t>SUPERVISIÓN DE CUMPLIMIENTO DE SENTENCIAS,</w:t>
      </w:r>
    </w:p>
    <w:p w14:paraId="46174E6F" w14:textId="77777777" w:rsidR="00967631" w:rsidRPr="00967631" w:rsidRDefault="00967631" w:rsidP="00967631">
      <w:pPr>
        <w:pStyle w:val="Default"/>
        <w:jc w:val="center"/>
        <w:rPr>
          <w:rFonts w:ascii="Verdana" w:eastAsiaTheme="minorHAnsi" w:hAnsi="Verdana" w:cs="Verdana"/>
          <w:b/>
          <w:bCs/>
          <w:sz w:val="20"/>
          <w:szCs w:val="20"/>
          <w:lang w:val="es-CL" w:eastAsia="en-US"/>
        </w:rPr>
      </w:pPr>
      <w:r w:rsidRPr="00967631">
        <w:rPr>
          <w:rFonts w:ascii="Verdana" w:eastAsiaTheme="minorHAnsi" w:hAnsi="Verdana" w:cs="Verdana"/>
          <w:b/>
          <w:bCs/>
          <w:sz w:val="20"/>
          <w:szCs w:val="20"/>
          <w:lang w:val="es-CL" w:eastAsia="en-US"/>
        </w:rPr>
        <w:t>CASO VALENZUELA ÁVILA, Y CASO RUIZ FUENTES Y OTRA VS. GUATEMALA.</w:t>
      </w:r>
    </w:p>
    <w:p w14:paraId="0728CDBF" w14:textId="77777777" w:rsidR="00967631" w:rsidRDefault="00967631" w:rsidP="00967631">
      <w:pPr>
        <w:jc w:val="center"/>
        <w:rPr>
          <w:rFonts w:ascii="Verdana" w:hAnsi="Verdana"/>
          <w:b/>
          <w:bCs/>
          <w:i/>
          <w:iCs/>
          <w:sz w:val="20"/>
          <w:szCs w:val="20"/>
        </w:rPr>
      </w:pPr>
    </w:p>
    <w:p w14:paraId="4369CE8F" w14:textId="77777777" w:rsidR="00967631" w:rsidRDefault="00967631" w:rsidP="00967631">
      <w:pPr>
        <w:jc w:val="both"/>
        <w:rPr>
          <w:rFonts w:ascii="Verdana" w:hAnsi="Verdana"/>
          <w:bCs/>
          <w:iCs/>
          <w:sz w:val="20"/>
          <w:szCs w:val="20"/>
        </w:rPr>
      </w:pPr>
      <w:r>
        <w:rPr>
          <w:rFonts w:ascii="Verdana" w:hAnsi="Verdana"/>
          <w:bCs/>
          <w:iCs/>
          <w:sz w:val="20"/>
          <w:szCs w:val="20"/>
        </w:rPr>
        <w:t>Se emite el presente voto disidente en atención a que, a juicio del suscrito, no procede la adopción de medidas provisionales en casos con sentencia a firme, como acontece en autos, en virtud de que la facultad de la Corte Interamericana de Derechos Humanos al respecto ha precluido, tal como se ha indicado en otros votos individuales concernientes a la materia</w:t>
      </w:r>
      <w:r>
        <w:rPr>
          <w:rStyle w:val="Refdenotaalpie"/>
          <w:bCs/>
          <w:iCs/>
        </w:rPr>
        <w:footnoteReference w:id="60"/>
      </w:r>
      <w:r>
        <w:rPr>
          <w:rFonts w:ascii="Verdana" w:hAnsi="Verdana"/>
          <w:bCs/>
          <w:iCs/>
          <w:sz w:val="20"/>
          <w:szCs w:val="20"/>
        </w:rPr>
        <w:t>.</w:t>
      </w:r>
    </w:p>
    <w:p w14:paraId="4D262A4D" w14:textId="77777777" w:rsidR="00967631" w:rsidRDefault="00967631" w:rsidP="00967631">
      <w:pPr>
        <w:jc w:val="right"/>
        <w:rPr>
          <w:rFonts w:ascii="Verdana" w:hAnsi="Verdana"/>
          <w:bCs/>
          <w:iCs/>
          <w:sz w:val="20"/>
          <w:szCs w:val="20"/>
        </w:rPr>
      </w:pPr>
    </w:p>
    <w:p w14:paraId="4C31AA75" w14:textId="77777777" w:rsidR="00967631" w:rsidRDefault="00967631" w:rsidP="00967631">
      <w:pPr>
        <w:jc w:val="right"/>
        <w:rPr>
          <w:rFonts w:ascii="Verdana" w:hAnsi="Verdana"/>
          <w:bCs/>
          <w:iCs/>
          <w:sz w:val="20"/>
          <w:szCs w:val="20"/>
        </w:rPr>
      </w:pPr>
      <w:r>
        <w:rPr>
          <w:rFonts w:ascii="Verdana" w:hAnsi="Verdana"/>
          <w:bCs/>
          <w:iCs/>
          <w:sz w:val="20"/>
          <w:szCs w:val="20"/>
        </w:rPr>
        <w:t>Eduardo Vio Grossi</w:t>
      </w:r>
    </w:p>
    <w:p w14:paraId="28652638" w14:textId="77777777" w:rsidR="00967631" w:rsidRDefault="00967631" w:rsidP="00967631">
      <w:pPr>
        <w:ind w:left="7080"/>
        <w:jc w:val="center"/>
        <w:rPr>
          <w:rFonts w:ascii="Verdana" w:hAnsi="Verdana"/>
          <w:bCs/>
          <w:iCs/>
          <w:sz w:val="20"/>
          <w:szCs w:val="20"/>
        </w:rPr>
      </w:pPr>
      <w:r>
        <w:rPr>
          <w:rFonts w:ascii="Verdana" w:hAnsi="Verdana"/>
          <w:bCs/>
          <w:iCs/>
          <w:sz w:val="20"/>
          <w:szCs w:val="20"/>
        </w:rPr>
        <w:t>Juez</w:t>
      </w:r>
    </w:p>
    <w:p w14:paraId="4B77F268" w14:textId="77777777" w:rsidR="00967631" w:rsidRDefault="00967631" w:rsidP="00967631">
      <w:pPr>
        <w:jc w:val="right"/>
        <w:rPr>
          <w:rFonts w:ascii="Open Sans" w:hAnsi="Open Sans" w:cs="Open Sans"/>
          <w:sz w:val="20"/>
          <w:szCs w:val="20"/>
          <w:shd w:val="clear" w:color="auto" w:fill="FFFFFF"/>
        </w:rPr>
      </w:pPr>
    </w:p>
    <w:p w14:paraId="539B653C" w14:textId="77777777" w:rsidR="00967631" w:rsidRDefault="00967631" w:rsidP="00967631">
      <w:pPr>
        <w:spacing w:before="120" w:after="120"/>
        <w:contextualSpacing/>
        <w:jc w:val="both"/>
        <w:rPr>
          <w:rFonts w:ascii="Verdana" w:eastAsia="Calibri" w:hAnsi="Verdana"/>
          <w:spacing w:val="-4"/>
          <w:sz w:val="20"/>
          <w:szCs w:val="20"/>
          <w:lang w:val="es-CR"/>
        </w:rPr>
      </w:pPr>
    </w:p>
    <w:p w14:paraId="0B878664" w14:textId="77777777" w:rsidR="00967631" w:rsidRDefault="00967631" w:rsidP="00967631">
      <w:pPr>
        <w:autoSpaceDE w:val="0"/>
        <w:autoSpaceDN w:val="0"/>
        <w:adjustRightInd w:val="0"/>
        <w:rPr>
          <w:rFonts w:ascii="Verdana" w:hAnsi="Verdana" w:cs="Arial"/>
          <w:iCs/>
          <w:color w:val="000000"/>
          <w:spacing w:val="-4"/>
          <w:sz w:val="20"/>
          <w:szCs w:val="20"/>
          <w:lang w:val="es-CR"/>
        </w:rPr>
      </w:pPr>
      <w:r>
        <w:rPr>
          <w:rFonts w:ascii="Verdana" w:hAnsi="Verdana" w:cs="Arial"/>
          <w:iCs/>
          <w:color w:val="000000"/>
          <w:spacing w:val="-4"/>
          <w:sz w:val="20"/>
          <w:szCs w:val="20"/>
          <w:lang w:val="es-CR"/>
        </w:rPr>
        <w:t>Pablo Saavedra Alessandri</w:t>
      </w:r>
    </w:p>
    <w:p w14:paraId="693B6AC4" w14:textId="77777777" w:rsidR="00967631" w:rsidRDefault="00967631" w:rsidP="00967631">
      <w:pPr>
        <w:autoSpaceDE w:val="0"/>
        <w:autoSpaceDN w:val="0"/>
        <w:adjustRightInd w:val="0"/>
        <w:ind w:firstLine="567"/>
        <w:rPr>
          <w:rFonts w:ascii="Verdana" w:hAnsi="Verdana"/>
        </w:rPr>
      </w:pPr>
      <w:r>
        <w:rPr>
          <w:rFonts w:ascii="Verdana" w:hAnsi="Verdana" w:cs="Arial"/>
          <w:iCs/>
          <w:color w:val="000000"/>
          <w:spacing w:val="-4"/>
          <w:sz w:val="20"/>
          <w:szCs w:val="20"/>
          <w:lang w:val="es-CR"/>
        </w:rPr>
        <w:t>Secretario</w:t>
      </w:r>
    </w:p>
    <w:p w14:paraId="277BC323" w14:textId="77777777" w:rsidR="00967631" w:rsidRPr="00BD6812" w:rsidRDefault="00967631" w:rsidP="00967631">
      <w:pPr>
        <w:autoSpaceDE w:val="0"/>
        <w:autoSpaceDN w:val="0"/>
        <w:adjustRightInd w:val="0"/>
        <w:rPr>
          <w:rFonts w:ascii="Verdana" w:hAnsi="Verdana"/>
        </w:rPr>
      </w:pPr>
    </w:p>
    <w:p w14:paraId="54AFD660" w14:textId="2398C08F" w:rsidR="00352B55" w:rsidRPr="00632F57" w:rsidRDefault="00352B55" w:rsidP="00352B55">
      <w:pPr>
        <w:rPr>
          <w:rFonts w:ascii="Verdana" w:eastAsia="Calibri" w:hAnsi="Verdana" w:cs="Calibri"/>
          <w:sz w:val="20"/>
          <w:szCs w:val="20"/>
          <w:lang w:val="es-ES" w:eastAsia="es-ES"/>
        </w:rPr>
      </w:pPr>
    </w:p>
    <w:sectPr w:rsidR="00352B55" w:rsidRPr="00632F5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9BC17" w14:textId="77777777" w:rsidR="00F526B0" w:rsidRDefault="00F526B0" w:rsidP="00CC5731">
      <w:r>
        <w:separator/>
      </w:r>
    </w:p>
  </w:endnote>
  <w:endnote w:type="continuationSeparator" w:id="0">
    <w:p w14:paraId="63892B79" w14:textId="77777777" w:rsidR="00F526B0" w:rsidRDefault="00F526B0" w:rsidP="00CC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MT">
    <w:altName w:val="MS 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Italic">
    <w:panose1 w:val="00000000000000000000"/>
    <w:charset w:val="00"/>
    <w:family w:val="swiss"/>
    <w:notTrueType/>
    <w:pitch w:val="default"/>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6A26" w14:textId="6E51380C" w:rsidR="00961501" w:rsidRPr="004456A3" w:rsidRDefault="00961501" w:rsidP="004456A3">
    <w:pPr>
      <w:pStyle w:val="Piedepgina"/>
      <w:jc w:val="center"/>
      <w:rPr>
        <w:rFonts w:ascii="Verdana" w:hAnsi="Verdana"/>
        <w:sz w:val="20"/>
        <w:szCs w:val="20"/>
      </w:rPr>
    </w:pPr>
    <w:r w:rsidRPr="004456A3">
      <w:rPr>
        <w:rFonts w:ascii="Verdana" w:hAnsi="Verdana"/>
        <w:sz w:val="20"/>
        <w:szCs w:val="20"/>
      </w:rPr>
      <w:fldChar w:fldCharType="begin"/>
    </w:r>
    <w:r w:rsidRPr="004456A3">
      <w:rPr>
        <w:rFonts w:ascii="Verdana" w:hAnsi="Verdana"/>
        <w:sz w:val="20"/>
        <w:szCs w:val="20"/>
      </w:rPr>
      <w:instrText>PAGE   \* MERGEFORMAT</w:instrText>
    </w:r>
    <w:r w:rsidRPr="004456A3">
      <w:rPr>
        <w:rFonts w:ascii="Verdana" w:hAnsi="Verdana"/>
        <w:sz w:val="20"/>
        <w:szCs w:val="20"/>
      </w:rPr>
      <w:fldChar w:fldCharType="separate"/>
    </w:r>
    <w:r w:rsidR="001E4D0B" w:rsidRPr="001E4D0B">
      <w:rPr>
        <w:rFonts w:ascii="Verdana" w:hAnsi="Verdana"/>
        <w:noProof/>
        <w:sz w:val="20"/>
        <w:szCs w:val="20"/>
        <w:lang w:val="es-ES"/>
      </w:rPr>
      <w:t>25</w:t>
    </w:r>
    <w:r w:rsidRPr="004456A3">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7638A" w14:textId="77777777" w:rsidR="00F526B0" w:rsidRDefault="00F526B0" w:rsidP="00CC5731">
      <w:r>
        <w:separator/>
      </w:r>
    </w:p>
  </w:footnote>
  <w:footnote w:type="continuationSeparator" w:id="0">
    <w:p w14:paraId="3BD4AB08" w14:textId="77777777" w:rsidR="00F526B0" w:rsidRDefault="00F526B0" w:rsidP="00CC5731">
      <w:r>
        <w:continuationSeparator/>
      </w:r>
    </w:p>
  </w:footnote>
  <w:footnote w:id="1">
    <w:p w14:paraId="2B08881C" w14:textId="77777777" w:rsidR="00961501" w:rsidRPr="00F713C5" w:rsidRDefault="00961501" w:rsidP="00F713C5">
      <w:pPr>
        <w:pStyle w:val="Textonotapie"/>
        <w:tabs>
          <w:tab w:val="left" w:pos="567"/>
        </w:tabs>
        <w:jc w:val="both"/>
        <w:rPr>
          <w:rFonts w:ascii="Verdana" w:hAnsi="Verdana"/>
          <w:sz w:val="16"/>
          <w:szCs w:val="16"/>
          <w:lang w:val="es-MX"/>
        </w:rPr>
      </w:pPr>
      <w:r w:rsidRPr="00F713C5">
        <w:rPr>
          <w:rFonts w:ascii="Verdana" w:hAnsi="Verdana"/>
          <w:sz w:val="16"/>
          <w:szCs w:val="16"/>
          <w:lang w:val="es-MX"/>
        </w:rPr>
        <w:t xml:space="preserve">* </w:t>
      </w:r>
      <w:r w:rsidRPr="00F713C5">
        <w:rPr>
          <w:rFonts w:ascii="Verdana" w:hAnsi="Verdana"/>
          <w:sz w:val="16"/>
          <w:szCs w:val="16"/>
          <w:lang w:val="es-MX"/>
        </w:rPr>
        <w:tab/>
        <w:t>Debido a las circunstancias excepcionales ocasionadas por la pandemia COVID-19, esta Resolución fue deliberada y aprobada durante el 143 Período Ordinario de Sesiones, el cual se llevó a cabo de forma no presencial utilizando medios tecnológicos de conformidad con lo establecido en el Reglamento de la Corte.</w:t>
      </w:r>
    </w:p>
    <w:p w14:paraId="015A5CF0" w14:textId="4E20D706"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lang w:val="pt-BR"/>
        </w:rPr>
        <w:t xml:space="preserve"> </w:t>
      </w:r>
      <w:r w:rsidRPr="00F713C5">
        <w:rPr>
          <w:rFonts w:ascii="Verdana" w:hAnsi="Verdana"/>
          <w:sz w:val="16"/>
          <w:szCs w:val="16"/>
          <w:lang w:val="pt-BR"/>
        </w:rPr>
        <w:tab/>
      </w:r>
      <w:r w:rsidRPr="00F713C5">
        <w:rPr>
          <w:rFonts w:ascii="Verdana" w:hAnsi="Verdana"/>
          <w:i/>
          <w:sz w:val="16"/>
          <w:szCs w:val="16"/>
          <w:lang w:val="pt-BR"/>
        </w:rPr>
        <w:t xml:space="preserve">Cfr. </w:t>
      </w:r>
      <w:r w:rsidRPr="00F713C5">
        <w:rPr>
          <w:rFonts w:ascii="Verdana" w:hAnsi="Verdana" w:cs="Arial"/>
          <w:i/>
          <w:sz w:val="16"/>
          <w:szCs w:val="16"/>
          <w:shd w:val="clear" w:color="auto" w:fill="FFFFFF"/>
          <w:lang w:val="pt-BR"/>
        </w:rPr>
        <w:t xml:space="preserve">Caso </w:t>
      </w:r>
      <w:proofErr w:type="spellStart"/>
      <w:r w:rsidRPr="00F713C5">
        <w:rPr>
          <w:rFonts w:ascii="Verdana" w:hAnsi="Verdana" w:cs="Arial"/>
          <w:i/>
          <w:sz w:val="16"/>
          <w:szCs w:val="16"/>
          <w:shd w:val="clear" w:color="auto" w:fill="FFFFFF"/>
          <w:lang w:val="pt-BR"/>
        </w:rPr>
        <w:t>Valenzuela</w:t>
      </w:r>
      <w:proofErr w:type="spellEnd"/>
      <w:r w:rsidRPr="00F713C5">
        <w:rPr>
          <w:rFonts w:ascii="Verdana" w:hAnsi="Verdana" w:cs="Arial"/>
          <w:i/>
          <w:sz w:val="16"/>
          <w:szCs w:val="16"/>
          <w:shd w:val="clear" w:color="auto" w:fill="FFFFFF"/>
          <w:lang w:val="pt-BR"/>
        </w:rPr>
        <w:t xml:space="preserve"> Ávila Vs. </w:t>
      </w:r>
      <w:r w:rsidRPr="00F713C5">
        <w:rPr>
          <w:rFonts w:ascii="Verdana" w:hAnsi="Verdana" w:cs="Arial"/>
          <w:i/>
          <w:sz w:val="16"/>
          <w:szCs w:val="16"/>
          <w:shd w:val="clear" w:color="auto" w:fill="FFFFFF"/>
        </w:rPr>
        <w:t xml:space="preserve">Guatemala. Fondo, Reparaciones y Costas. </w:t>
      </w:r>
      <w:r w:rsidRPr="00F713C5">
        <w:rPr>
          <w:rFonts w:ascii="Verdana" w:hAnsi="Verdana" w:cs="Arial"/>
          <w:sz w:val="16"/>
          <w:szCs w:val="16"/>
          <w:shd w:val="clear" w:color="auto" w:fill="FFFFFF"/>
        </w:rPr>
        <w:t xml:space="preserve">Sentencia de 11 de octubre de 2019. Serie C No. 386. El texto íntegro de la Sentencia se encuentra disponible en </w:t>
      </w:r>
      <w:hyperlink r:id="rId1" w:history="1">
        <w:r w:rsidRPr="00F713C5">
          <w:rPr>
            <w:rStyle w:val="Hipervnculo"/>
            <w:rFonts w:ascii="Verdana" w:hAnsi="Verdana" w:cs="Arial"/>
            <w:color w:val="auto"/>
            <w:sz w:val="16"/>
            <w:szCs w:val="16"/>
            <w:u w:val="none"/>
            <w:shd w:val="clear" w:color="auto" w:fill="FFFFFF"/>
          </w:rPr>
          <w:t>http://www.corteidh.or.cr/docs/casos/articulos/seriec_386_esp.pdf</w:t>
        </w:r>
      </w:hyperlink>
      <w:r w:rsidRPr="00F713C5">
        <w:rPr>
          <w:rFonts w:ascii="Verdana" w:hAnsi="Verdana" w:cs="Arial"/>
          <w:sz w:val="16"/>
          <w:szCs w:val="16"/>
          <w:shd w:val="clear" w:color="auto" w:fill="FFFFFF"/>
        </w:rPr>
        <w:t xml:space="preserve">. La Sentencia fue notificada </w:t>
      </w:r>
      <w:r w:rsidRPr="00F713C5">
        <w:rPr>
          <w:rFonts w:ascii="Verdana" w:hAnsi="Verdana"/>
          <w:sz w:val="16"/>
          <w:szCs w:val="16"/>
          <w:lang w:val="es-MX"/>
        </w:rPr>
        <w:t>al Estado</w:t>
      </w:r>
      <w:r w:rsidRPr="00F713C5">
        <w:rPr>
          <w:rFonts w:ascii="Verdana" w:hAnsi="Verdana" w:cs="Arial"/>
          <w:sz w:val="16"/>
          <w:szCs w:val="16"/>
          <w:shd w:val="clear" w:color="auto" w:fill="FFFFFF"/>
        </w:rPr>
        <w:t xml:space="preserve"> el </w:t>
      </w:r>
      <w:r w:rsidRPr="00F713C5">
        <w:rPr>
          <w:rFonts w:ascii="Verdana" w:hAnsi="Verdana"/>
          <w:sz w:val="16"/>
          <w:szCs w:val="16"/>
        </w:rPr>
        <w:t xml:space="preserve">6 de diciembre de 2019. </w:t>
      </w:r>
    </w:p>
  </w:footnote>
  <w:footnote w:id="2">
    <w:p w14:paraId="02AC1099" w14:textId="77777777"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CR"/>
        </w:rPr>
        <w:tab/>
      </w:r>
      <w:r w:rsidRPr="00F713C5">
        <w:rPr>
          <w:rFonts w:ascii="Verdana" w:hAnsi="Verdana"/>
          <w:i/>
          <w:sz w:val="16"/>
          <w:szCs w:val="16"/>
          <w:lang w:val="es-MX"/>
        </w:rPr>
        <w:t xml:space="preserve">Cfr. Caso Ruiz Fuentes y otra Vs. Guatemala. Excepción Preliminar, Fondo, Reparaciones y Costas. </w:t>
      </w:r>
      <w:r w:rsidRPr="00F713C5">
        <w:rPr>
          <w:rFonts w:ascii="Verdana" w:hAnsi="Verdana"/>
          <w:sz w:val="16"/>
          <w:szCs w:val="16"/>
          <w:lang w:val="es-MX"/>
        </w:rPr>
        <w:t xml:space="preserve">Sentencia de 10 de octubre de 2019. Serie C No. 385. El texto íntegro de la Sentencia se encuentra disponible en: </w:t>
      </w:r>
      <w:hyperlink r:id="rId2" w:history="1">
        <w:r w:rsidRPr="00F713C5">
          <w:rPr>
            <w:rStyle w:val="Hipervnculo"/>
            <w:rFonts w:ascii="Verdana" w:hAnsi="Verdana"/>
            <w:color w:val="auto"/>
            <w:sz w:val="16"/>
            <w:szCs w:val="16"/>
            <w:u w:val="none"/>
            <w:lang w:val="es-MX"/>
          </w:rPr>
          <w:t>http://www.corteidh.or.cr/docs/casos/articulos/seriec_384_esp.pdf</w:t>
        </w:r>
      </w:hyperlink>
      <w:r w:rsidRPr="00F713C5">
        <w:rPr>
          <w:rFonts w:ascii="Verdana" w:hAnsi="Verdana"/>
          <w:sz w:val="16"/>
          <w:szCs w:val="16"/>
          <w:lang w:val="es-MX"/>
        </w:rPr>
        <w:t>. La Sentencia fue notificada al Estado el 8 de noviembre de 2019.</w:t>
      </w:r>
    </w:p>
  </w:footnote>
  <w:footnote w:id="3">
    <w:p w14:paraId="1E0573E9" w14:textId="34989C37"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sz w:val="16"/>
          <w:szCs w:val="16"/>
        </w:rPr>
        <w:t>Asimismo, el Tribunal consideró que el Estado incumplió la obligación de adoptar disposiciones de derecho interno por la falta de legislación nacional que hiciera efectivo el derecho a solicitar indulto en los supuestos de la normativa interna que fue aplicada al señor Ruiz Fuentes, la cual implicaba la imposición automática y obligatoria de la pena de muerte.</w:t>
      </w:r>
    </w:p>
  </w:footnote>
  <w:footnote w:id="4">
    <w:p w14:paraId="523C64B4" w14:textId="7A886257" w:rsidR="00961501" w:rsidRPr="00F713C5" w:rsidRDefault="00961501" w:rsidP="00F713C5">
      <w:pPr>
        <w:pStyle w:val="Textonotapie"/>
        <w:tabs>
          <w:tab w:val="left" w:pos="567"/>
        </w:tabs>
        <w:jc w:val="both"/>
        <w:rPr>
          <w:rFonts w:ascii="Verdana" w:hAnsi="Verdana" w:cs="Arial"/>
          <w:sz w:val="16"/>
          <w:szCs w:val="16"/>
          <w:shd w:val="clear" w:color="auto" w:fill="FFFFFF"/>
        </w:rPr>
      </w:pPr>
      <w:r w:rsidRPr="00F713C5">
        <w:rPr>
          <w:rStyle w:val="Refdenotaalpie"/>
          <w:szCs w:val="16"/>
        </w:rPr>
        <w:footnoteRef/>
      </w:r>
      <w:r w:rsidRPr="00F713C5">
        <w:rPr>
          <w:rFonts w:ascii="Verdana" w:hAnsi="Verdana"/>
          <w:sz w:val="16"/>
          <w:szCs w:val="16"/>
          <w:lang w:val="pt-BR"/>
        </w:rPr>
        <w:t xml:space="preserve"> </w:t>
      </w:r>
      <w:r w:rsidRPr="00F713C5">
        <w:rPr>
          <w:rFonts w:ascii="Verdana" w:hAnsi="Verdana"/>
          <w:sz w:val="16"/>
          <w:szCs w:val="16"/>
          <w:lang w:val="pt-BR"/>
        </w:rPr>
        <w:tab/>
      </w:r>
      <w:r w:rsidRPr="00F713C5">
        <w:rPr>
          <w:rFonts w:ascii="Verdana" w:hAnsi="Verdana"/>
          <w:i/>
          <w:sz w:val="16"/>
          <w:szCs w:val="16"/>
          <w:lang w:val="pt-BR"/>
        </w:rPr>
        <w:t xml:space="preserve">Cfr. </w:t>
      </w:r>
      <w:r w:rsidRPr="00F713C5">
        <w:rPr>
          <w:rFonts w:ascii="Verdana" w:hAnsi="Verdana" w:cs="Arial"/>
          <w:i/>
          <w:sz w:val="16"/>
          <w:szCs w:val="16"/>
          <w:shd w:val="clear" w:color="auto" w:fill="FFFFFF"/>
          <w:lang w:val="pt-BR"/>
        </w:rPr>
        <w:t xml:space="preserve">Caso </w:t>
      </w:r>
      <w:proofErr w:type="spellStart"/>
      <w:r w:rsidRPr="00F713C5">
        <w:rPr>
          <w:rFonts w:ascii="Verdana" w:hAnsi="Verdana" w:cs="Arial"/>
          <w:i/>
          <w:sz w:val="16"/>
          <w:szCs w:val="16"/>
          <w:shd w:val="clear" w:color="auto" w:fill="FFFFFF"/>
          <w:lang w:val="pt-BR"/>
        </w:rPr>
        <w:t>Valenzuela</w:t>
      </w:r>
      <w:proofErr w:type="spellEnd"/>
      <w:r w:rsidRPr="00F713C5">
        <w:rPr>
          <w:rFonts w:ascii="Verdana" w:hAnsi="Verdana" w:cs="Arial"/>
          <w:i/>
          <w:sz w:val="16"/>
          <w:szCs w:val="16"/>
          <w:shd w:val="clear" w:color="auto" w:fill="FFFFFF"/>
          <w:lang w:val="pt-BR"/>
        </w:rPr>
        <w:t xml:space="preserve"> Ávila Vs. </w:t>
      </w:r>
      <w:r w:rsidRPr="00F713C5">
        <w:rPr>
          <w:rFonts w:ascii="Verdana" w:hAnsi="Verdana" w:cs="Arial"/>
          <w:i/>
          <w:sz w:val="16"/>
          <w:szCs w:val="16"/>
          <w:shd w:val="clear" w:color="auto" w:fill="FFFFFF"/>
        </w:rPr>
        <w:t xml:space="preserve">Guatemala, supra </w:t>
      </w:r>
      <w:r w:rsidRPr="00F713C5">
        <w:rPr>
          <w:rFonts w:ascii="Verdana" w:hAnsi="Verdana" w:cs="Arial"/>
          <w:sz w:val="16"/>
          <w:szCs w:val="16"/>
          <w:shd w:val="clear" w:color="auto" w:fill="FFFFFF"/>
        </w:rPr>
        <w:t xml:space="preserve">nota 1, párr. 233 y punto resolutivo 11, y </w:t>
      </w:r>
      <w:r w:rsidRPr="00F713C5">
        <w:rPr>
          <w:rFonts w:ascii="Verdana" w:hAnsi="Verdana"/>
          <w:i/>
          <w:sz w:val="16"/>
          <w:szCs w:val="16"/>
          <w:lang w:val="es-MX"/>
        </w:rPr>
        <w:t xml:space="preserve">Caso Ruiz Fuentes y otra Vs. Guatemala, supra </w:t>
      </w:r>
      <w:r w:rsidRPr="00F713C5">
        <w:rPr>
          <w:rFonts w:ascii="Verdana" w:hAnsi="Verdana"/>
          <w:sz w:val="16"/>
          <w:szCs w:val="16"/>
          <w:lang w:val="es-MX"/>
        </w:rPr>
        <w:t>nota 2</w:t>
      </w:r>
      <w:r w:rsidRPr="00F713C5">
        <w:rPr>
          <w:rFonts w:ascii="Verdana" w:hAnsi="Verdana"/>
          <w:i/>
          <w:sz w:val="16"/>
          <w:szCs w:val="16"/>
          <w:lang w:val="es-MX"/>
        </w:rPr>
        <w:t>,</w:t>
      </w:r>
      <w:r w:rsidRPr="00F713C5">
        <w:rPr>
          <w:rFonts w:ascii="Verdana" w:hAnsi="Verdana" w:cs="Arial"/>
          <w:sz w:val="16"/>
          <w:szCs w:val="16"/>
          <w:shd w:val="clear" w:color="auto" w:fill="FFFFFF"/>
        </w:rPr>
        <w:t xml:space="preserve"> </w:t>
      </w:r>
      <w:r w:rsidRPr="00F713C5">
        <w:rPr>
          <w:rFonts w:ascii="Verdana" w:hAnsi="Verdana"/>
          <w:sz w:val="16"/>
          <w:szCs w:val="16"/>
          <w:lang w:val="es-MX"/>
        </w:rPr>
        <w:t>párr. 200 y punto resolutivo 10.</w:t>
      </w:r>
    </w:p>
  </w:footnote>
  <w:footnote w:id="5">
    <w:p w14:paraId="71F041A4" w14:textId="77777777"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Cfr</w:t>
      </w:r>
      <w:r w:rsidRPr="00F713C5">
        <w:rPr>
          <w:rFonts w:ascii="Verdana" w:hAnsi="Verdana"/>
          <w:sz w:val="16"/>
          <w:szCs w:val="16"/>
        </w:rPr>
        <w:t xml:space="preserve">. </w:t>
      </w:r>
      <w:r w:rsidRPr="00F713C5">
        <w:rPr>
          <w:rFonts w:ascii="Verdana" w:hAnsi="Verdana"/>
          <w:i/>
          <w:sz w:val="16"/>
          <w:szCs w:val="16"/>
        </w:rPr>
        <w:t xml:space="preserve">Caso Ruiz Fuentes y otra Vs. Guatemala. Solicitud de Medidas Provisionales y Supervisión de Cumplimiento de Sentencia. </w:t>
      </w:r>
      <w:r w:rsidRPr="00F713C5">
        <w:rPr>
          <w:rFonts w:ascii="Verdana" w:hAnsi="Verdana"/>
          <w:sz w:val="16"/>
          <w:szCs w:val="16"/>
        </w:rPr>
        <w:t xml:space="preserve">Resolución de la Corte Interamericana de Derechos Humanos de 2 de septiembre de 2020. Disponible en: </w:t>
      </w:r>
      <w:hyperlink r:id="rId3" w:history="1">
        <w:r w:rsidRPr="00F713C5">
          <w:rPr>
            <w:rStyle w:val="Hipervnculo"/>
            <w:rFonts w:ascii="Verdana" w:hAnsi="Verdana"/>
            <w:color w:val="auto"/>
            <w:sz w:val="16"/>
            <w:szCs w:val="16"/>
            <w:u w:val="none"/>
          </w:rPr>
          <w:t>http://www.corteidh.or.cr/docs/supervisiones/ruizfuentes_02_09_20.pdf</w:t>
        </w:r>
      </w:hyperlink>
    </w:p>
  </w:footnote>
  <w:footnote w:id="6">
    <w:p w14:paraId="2913167B" w14:textId="5024BCDE"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t>Las representantes de las víctimas son el Centro por la Justicia y el Derecho Internacional (CEJIL) y el Instituto de Estudios Comparados en Ciencias Penales de Guatemala (ICCPG).</w:t>
      </w:r>
    </w:p>
  </w:footnote>
  <w:footnote w:id="7">
    <w:p w14:paraId="5C5247B8" w14:textId="7D28AD9B"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t>Las representantes de las víctimas son el Instituto de Estudios Comparados en Ciencias Penales de Guatemala (ICCPG) y el Instituto de la Defensa Pública Penal de Guatemala (IDPP).</w:t>
      </w:r>
    </w:p>
  </w:footnote>
  <w:footnote w:id="8">
    <w:p w14:paraId="5B965248" w14:textId="5B6C91A4"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t>A solicitud de la representación de las víctimas en los dos casos,</w:t>
      </w:r>
      <w:r w:rsidRPr="00F713C5">
        <w:rPr>
          <w:rFonts w:ascii="Verdana" w:eastAsia="Calibri" w:hAnsi="Verdana" w:cs="Calibri"/>
          <w:sz w:val="16"/>
          <w:szCs w:val="16"/>
          <w:lang w:val="es-CR"/>
        </w:rPr>
        <w:t xml:space="preserve"> la Corte dispuso levantar la reserva de la identidad de Juan Francisco Sandoval Alfaro, </w:t>
      </w:r>
      <w:proofErr w:type="gramStart"/>
      <w:r w:rsidRPr="00F713C5">
        <w:rPr>
          <w:rFonts w:ascii="Verdana" w:eastAsia="Calibri" w:hAnsi="Verdana" w:cs="Calibri"/>
          <w:sz w:val="16"/>
          <w:szCs w:val="16"/>
          <w:lang w:val="es-CR"/>
        </w:rPr>
        <w:t>ex Fiscal</w:t>
      </w:r>
      <w:proofErr w:type="gramEnd"/>
      <w:r w:rsidRPr="00F713C5">
        <w:rPr>
          <w:rFonts w:ascii="Verdana" w:eastAsia="Calibri" w:hAnsi="Verdana" w:cs="Calibri"/>
          <w:sz w:val="16"/>
          <w:szCs w:val="16"/>
          <w:lang w:val="es-CR"/>
        </w:rPr>
        <w:t xml:space="preserve"> Jefe de la FECI, quien fue identificado como Fiscal “A” en la </w:t>
      </w:r>
      <w:r w:rsidRPr="00F713C5">
        <w:rPr>
          <w:rFonts w:ascii="Verdana" w:hAnsi="Verdana"/>
          <w:sz w:val="16"/>
          <w:szCs w:val="16"/>
        </w:rPr>
        <w:t>Resolución de Corte de 2 de septiembre de 2020 (</w:t>
      </w:r>
      <w:r w:rsidRPr="00F713C5">
        <w:rPr>
          <w:rFonts w:ascii="Verdana" w:hAnsi="Verdana"/>
          <w:i/>
          <w:sz w:val="16"/>
          <w:szCs w:val="16"/>
        </w:rPr>
        <w:t>supra</w:t>
      </w:r>
      <w:r w:rsidRPr="00F713C5">
        <w:rPr>
          <w:rFonts w:ascii="Verdana" w:hAnsi="Verdana"/>
          <w:sz w:val="16"/>
          <w:szCs w:val="16"/>
        </w:rPr>
        <w:t xml:space="preserve"> Visto 2)</w:t>
      </w:r>
      <w:r w:rsidRPr="00F713C5">
        <w:rPr>
          <w:rFonts w:ascii="Verdana" w:hAnsi="Verdana"/>
          <w:sz w:val="16"/>
          <w:szCs w:val="16"/>
          <w:lang w:val="es-MX"/>
        </w:rPr>
        <w:t>.</w:t>
      </w:r>
    </w:p>
  </w:footnote>
  <w:footnote w:id="9">
    <w:p w14:paraId="01D4E7F1" w14:textId="057484D5"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sz w:val="16"/>
          <w:szCs w:val="16"/>
        </w:rPr>
        <w:t xml:space="preserve">El Tribunal decidió limitar el objeto de la audiencia pública “únicamente a la información y argumentos relativos a la solicitud de las representantes de las víctimas de ‘restituir’ al señor Juan Francisco Sandoval Alfaro en el cargo de Fiscal Jefe de Sección de la [FECI]”, y que “la información y argumentos relativos a las restantes solicitudes de medidas de protección efectuadas por las representantes de las víctimas en ambos casos se mantienen en el marco del procedimiento escrito, en el cual las partes pueden ejercer su derecho de defensa”. </w:t>
      </w:r>
      <w:r w:rsidRPr="00F713C5">
        <w:rPr>
          <w:rFonts w:ascii="Verdana" w:hAnsi="Verdana"/>
          <w:i/>
          <w:sz w:val="16"/>
          <w:szCs w:val="16"/>
        </w:rPr>
        <w:t>Cfr.</w:t>
      </w:r>
      <w:r w:rsidRPr="00F713C5">
        <w:rPr>
          <w:rFonts w:ascii="Verdana" w:hAnsi="Verdana"/>
          <w:sz w:val="16"/>
          <w:szCs w:val="16"/>
        </w:rPr>
        <w:t xml:space="preserve"> Nota de Secretaría de 25 de agosto de 2021. Al respecto, las partes y la Comisión tuvieron oportunidad de presentar información o argumentos adicionales durante el procedimiento escrito (</w:t>
      </w:r>
      <w:r w:rsidRPr="00F713C5">
        <w:rPr>
          <w:rFonts w:ascii="Verdana" w:hAnsi="Verdana"/>
          <w:i/>
          <w:sz w:val="16"/>
          <w:szCs w:val="16"/>
        </w:rPr>
        <w:t>supra</w:t>
      </w:r>
      <w:r w:rsidRPr="00F713C5">
        <w:rPr>
          <w:rFonts w:ascii="Verdana" w:hAnsi="Verdana"/>
          <w:sz w:val="16"/>
          <w:szCs w:val="16"/>
        </w:rPr>
        <w:t xml:space="preserve"> Vistos 10 y 11).</w:t>
      </w:r>
    </w:p>
  </w:footnote>
  <w:footnote w:id="10">
    <w:p w14:paraId="08184F77" w14:textId="27ABEA2E" w:rsidR="00961501" w:rsidRPr="00F713C5" w:rsidRDefault="00961501" w:rsidP="00F713C5">
      <w:pPr>
        <w:pStyle w:val="Textonotapie"/>
        <w:tabs>
          <w:tab w:val="left" w:pos="567"/>
        </w:tabs>
        <w:contextualSpacing/>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t xml:space="preserve">A dicha audiencia comparecieron: a) por las representantes de las víctimas: los señores y las señoras Gisela De León, Lucas </w:t>
      </w:r>
      <w:proofErr w:type="spellStart"/>
      <w:r w:rsidRPr="00F713C5">
        <w:rPr>
          <w:rFonts w:ascii="Verdana" w:hAnsi="Verdana"/>
          <w:sz w:val="16"/>
          <w:szCs w:val="16"/>
        </w:rPr>
        <w:t>Mantelli</w:t>
      </w:r>
      <w:proofErr w:type="spellEnd"/>
      <w:r w:rsidRPr="00F713C5">
        <w:rPr>
          <w:rFonts w:ascii="Verdana" w:hAnsi="Verdana"/>
          <w:sz w:val="16"/>
          <w:szCs w:val="16"/>
        </w:rPr>
        <w:t xml:space="preserve"> y María José Araya, del Centro por la Justicia y el Derecho Internacional (CEJIL); Alejandro Rodríguez y Marisol Flores, del Instituto de Estudios Comparados en Ciencias Penales de Guatemala (ICCPG); Fidencia Orozco de </w:t>
      </w:r>
      <w:proofErr w:type="spellStart"/>
      <w:r w:rsidRPr="00F713C5">
        <w:rPr>
          <w:rFonts w:ascii="Verdana" w:hAnsi="Verdana"/>
          <w:sz w:val="16"/>
          <w:szCs w:val="16"/>
        </w:rPr>
        <w:t>Lecardi</w:t>
      </w:r>
      <w:proofErr w:type="spellEnd"/>
      <w:r w:rsidRPr="00F713C5">
        <w:rPr>
          <w:rFonts w:ascii="Verdana" w:hAnsi="Verdana"/>
          <w:sz w:val="16"/>
          <w:szCs w:val="16"/>
        </w:rPr>
        <w:t xml:space="preserve">, del Instituto de la Defensa Pública Penal de Guatemala (IDPP); </w:t>
      </w:r>
      <w:proofErr w:type="spellStart"/>
      <w:r w:rsidRPr="00F713C5">
        <w:rPr>
          <w:rFonts w:ascii="Verdana" w:hAnsi="Verdana"/>
          <w:sz w:val="16"/>
          <w:szCs w:val="16"/>
        </w:rPr>
        <w:t>Leyli</w:t>
      </w:r>
      <w:proofErr w:type="spellEnd"/>
      <w:r w:rsidRPr="00F713C5">
        <w:rPr>
          <w:rFonts w:ascii="Verdana" w:hAnsi="Verdana"/>
          <w:sz w:val="16"/>
          <w:szCs w:val="16"/>
        </w:rPr>
        <w:t xml:space="preserve"> Santizo, abogada defensora del Fiscal “B” y del Auxiliar Fiscal “C”; Claudia González, abogada defensora del ex Fiscal Juan Francisco Sandoval Alfaro, y el señor Juan Francisco Sandoval Alfaro; b) por el Estado: las señoras y los señores Jorge Luis Donado Vivar, Procurador General de la Nación y Agente; Ana Isabel Carrillo Fabián, Directora General de Relaciones Internacionales Multilaterales y Económicas; Sandra Noriega Urizar, Embajadora de Guatemala en Costa Rica; Lilian Elizabeth Nájera Reyes, Agente alterna y Jefa de la Unidad de Asuntos Internacionales de la Procuraduría General de la Nación; María Gabriela Hernández </w:t>
      </w:r>
      <w:proofErr w:type="spellStart"/>
      <w:r w:rsidRPr="00F713C5">
        <w:rPr>
          <w:rFonts w:ascii="Verdana" w:hAnsi="Verdana"/>
          <w:sz w:val="16"/>
          <w:szCs w:val="16"/>
        </w:rPr>
        <w:t>Siguantay</w:t>
      </w:r>
      <w:proofErr w:type="spellEnd"/>
      <w:r w:rsidRPr="00F713C5">
        <w:rPr>
          <w:rFonts w:ascii="Verdana" w:hAnsi="Verdana"/>
          <w:sz w:val="16"/>
          <w:szCs w:val="16"/>
        </w:rPr>
        <w:t xml:space="preserve">, Agente alterna y Profesional Jurídica de la Procuraduría General de la Nación; María José del Águila Castillo, Directora de Derechos Humanos del Ministerio de Relaciones Exteriores; Walter Beltrán, Director de Vigilancia y Promoción de Derechos Humanos de la Comisión Presidencial por la Paz y los Derechos Humanos (COPADEH); Verónica Elizabeth Jiménez Tobar, Subdirectora de Derechos Humanos del Ministerio de Relaciones Exteriores; </w:t>
      </w:r>
      <w:proofErr w:type="spellStart"/>
      <w:r w:rsidRPr="00F713C5">
        <w:rPr>
          <w:rFonts w:ascii="Verdana" w:hAnsi="Verdana"/>
          <w:sz w:val="16"/>
          <w:szCs w:val="16"/>
        </w:rPr>
        <w:t>Milgen</w:t>
      </w:r>
      <w:proofErr w:type="spellEnd"/>
      <w:r w:rsidRPr="00F713C5">
        <w:rPr>
          <w:rFonts w:ascii="Verdana" w:hAnsi="Verdana"/>
          <w:sz w:val="16"/>
          <w:szCs w:val="16"/>
        </w:rPr>
        <w:t xml:space="preserve"> Vinicio Ramos López y Erick Gamaliel Lima Velásquez, Oficiales Primeros de las Divisiones de Fuerzas Especiales y de Protección de Personas y Seguridad de la Policía Nacional Civil del Ministerio de Gobernación; Ana Lucía Campos Meléndez y Luis Fernando Ávila, Profesional y Técnico Jurídicos de la Procuraduría General de la Nación; Ronald Villalobos López, Asesor profesional de la Dirección de Derechos Humanos del Ministerio de Relaciones Exteriores, y Azucena Flores, Profesional de Compromisos en Derechos Humanos de la Comisión Presidencial por la Paz y los Derechos Humanos (COPADEH); c) por la Comisión Interamericana: el señor y las señoras Esmeralda Arosemena, Comisionada; Tania </w:t>
      </w:r>
      <w:proofErr w:type="spellStart"/>
      <w:r w:rsidRPr="00F713C5">
        <w:rPr>
          <w:rFonts w:ascii="Verdana" w:hAnsi="Verdana"/>
          <w:sz w:val="16"/>
          <w:szCs w:val="16"/>
        </w:rPr>
        <w:t>Reneaum</w:t>
      </w:r>
      <w:proofErr w:type="spellEnd"/>
      <w:r w:rsidRPr="00F713C5">
        <w:rPr>
          <w:rFonts w:ascii="Verdana" w:hAnsi="Verdana"/>
          <w:sz w:val="16"/>
          <w:szCs w:val="16"/>
        </w:rPr>
        <w:t xml:space="preserve">, Secretaria Ejecutiva; Marisol Blanchard, Secretaria Ejecutiva Adjunta; Fernanda Alves dos </w:t>
      </w:r>
      <w:proofErr w:type="spellStart"/>
      <w:r w:rsidRPr="00F713C5">
        <w:rPr>
          <w:rFonts w:ascii="Verdana" w:hAnsi="Verdana"/>
          <w:sz w:val="16"/>
          <w:szCs w:val="16"/>
        </w:rPr>
        <w:t>Anjos</w:t>
      </w:r>
      <w:proofErr w:type="spellEnd"/>
      <w:r w:rsidRPr="00F713C5">
        <w:rPr>
          <w:rFonts w:ascii="Verdana" w:hAnsi="Verdana"/>
          <w:sz w:val="16"/>
          <w:szCs w:val="16"/>
        </w:rPr>
        <w:t xml:space="preserve">, Lucia Azofeifa y Carlos Elguera, asesoras y asesor de la Secretaría Ejecutiva, y d) por la Procuraduría de los Derechos Humanos de Guatemala: el señor Augusto Jordán Rodas Andrade, Procurador de los Derechos Humanos, y la señora María Gabriela Mundo Rodríguez, Directora de Cooperación y Relaciones Internacionales de dicha Procuraduría. Dicha participación de la Procuraduría de los Derechos Humanos se realizó en aplicación del artículo 27.8 del Reglamento de la Corte. Audiencia disponible en: </w:t>
      </w:r>
      <w:hyperlink r:id="rId4" w:history="1">
        <w:r w:rsidRPr="00F713C5">
          <w:rPr>
            <w:rStyle w:val="Hipervnculo"/>
            <w:rFonts w:ascii="Verdana" w:hAnsi="Verdana"/>
            <w:color w:val="auto"/>
            <w:sz w:val="16"/>
            <w:szCs w:val="16"/>
            <w:u w:val="none"/>
            <w:lang w:val="es-CR"/>
          </w:rPr>
          <w:t>https://www.youtube.com/watch?v=5kkRyIOoHx8</w:t>
        </w:r>
      </w:hyperlink>
    </w:p>
  </w:footnote>
  <w:footnote w:id="11">
    <w:p w14:paraId="27AD4201" w14:textId="77777777"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sz w:val="16"/>
          <w:szCs w:val="16"/>
          <w:lang w:val="es-CR"/>
        </w:rPr>
        <w:t>La información de la Procuraduría de los Derechos Humanos será valorada por el Tribunal como “otra fuente de información” que le permita apreciar “la gravedad y urgencia de la situación y la eficacia de las medidas”, conforme lo dispuesto en el artículo 27.8 del Reglamento de la Corte, y se entiende que esta información es distinta a la que brinda el Estado en su carácter de parte.</w:t>
      </w:r>
      <w:r w:rsidRPr="00F713C5">
        <w:rPr>
          <w:rFonts w:ascii="Verdana" w:hAnsi="Verdana"/>
          <w:sz w:val="16"/>
          <w:szCs w:val="16"/>
          <w:lang w:val="es-MX"/>
        </w:rPr>
        <w:t xml:space="preserve"> El referido artículo </w:t>
      </w:r>
      <w:r w:rsidRPr="00F713C5">
        <w:rPr>
          <w:rFonts w:ascii="Verdana" w:hAnsi="Verdana"/>
          <w:sz w:val="16"/>
          <w:szCs w:val="16"/>
          <w:lang w:val="es-CR"/>
        </w:rPr>
        <w:t xml:space="preserve">27.8, en lo pertinente señala que: </w:t>
      </w:r>
      <w:r w:rsidRPr="00F713C5">
        <w:rPr>
          <w:rFonts w:ascii="Verdana" w:hAnsi="Verdana"/>
          <w:sz w:val="16"/>
          <w:szCs w:val="16"/>
          <w:lang w:val="es-MX"/>
        </w:rPr>
        <w:t>“En las circunstancias que estime pertinente, la Corte podrá requerir de otras fuentes de información datos relevantes sobre el asunto, que permitan apreciar la gravedad y urgencia de la situación y la eficacia de las medidas. Para los mismos efectos, podrá también requerir los peritajes e informes que considere oportunos”.</w:t>
      </w:r>
    </w:p>
  </w:footnote>
  <w:footnote w:id="12">
    <w:p w14:paraId="3CC9D590" w14:textId="696B3A45" w:rsidR="00961501" w:rsidRPr="00F713C5" w:rsidRDefault="00C33993" w:rsidP="00F713C5">
      <w:pPr>
        <w:tabs>
          <w:tab w:val="left" w:pos="567"/>
        </w:tabs>
        <w:autoSpaceDE w:val="0"/>
        <w:autoSpaceDN w:val="0"/>
        <w:adjustRightInd w:val="0"/>
        <w:jc w:val="both"/>
        <w:rPr>
          <w:rFonts w:ascii="Verdana" w:eastAsiaTheme="minorHAnsi" w:hAnsi="Verdana" w:cs="Calibri"/>
          <w:sz w:val="16"/>
          <w:szCs w:val="16"/>
          <w:lang w:val="es-CR"/>
        </w:rPr>
      </w:pPr>
      <w:r>
        <w:rPr>
          <w:rFonts w:ascii="Verdana" w:hAnsi="Verdana"/>
          <w:sz w:val="16"/>
          <w:szCs w:val="16"/>
        </w:rPr>
        <w:t>g</w:t>
      </w:r>
      <w:r w:rsidR="00961501" w:rsidRPr="00F713C5">
        <w:rPr>
          <w:rStyle w:val="Refdenotaalpie"/>
          <w:szCs w:val="16"/>
        </w:rPr>
        <w:footnoteRef/>
      </w:r>
      <w:r w:rsidR="00961501" w:rsidRPr="00F713C5">
        <w:rPr>
          <w:rFonts w:ascii="Verdana" w:hAnsi="Verdana"/>
          <w:sz w:val="16"/>
          <w:szCs w:val="16"/>
        </w:rPr>
        <w:t xml:space="preserve"> </w:t>
      </w:r>
      <w:r w:rsidR="00961501" w:rsidRPr="00F713C5">
        <w:rPr>
          <w:rFonts w:ascii="Verdana" w:hAnsi="Verdana"/>
          <w:sz w:val="16"/>
          <w:szCs w:val="16"/>
        </w:rPr>
        <w:tab/>
      </w:r>
      <w:r w:rsidR="00961501" w:rsidRPr="00F713C5">
        <w:rPr>
          <w:rFonts w:ascii="Verdana" w:hAnsi="Verdana"/>
          <w:i/>
          <w:sz w:val="16"/>
          <w:szCs w:val="16"/>
        </w:rPr>
        <w:t>Cfr.</w:t>
      </w:r>
      <w:r w:rsidR="00961501" w:rsidRPr="00F713C5">
        <w:rPr>
          <w:rFonts w:ascii="Verdana" w:hAnsi="Verdana"/>
          <w:sz w:val="16"/>
          <w:szCs w:val="16"/>
        </w:rPr>
        <w:t xml:space="preserve"> </w:t>
      </w:r>
      <w:r w:rsidR="00961501" w:rsidRPr="00F713C5">
        <w:rPr>
          <w:rFonts w:ascii="Verdana" w:eastAsiaTheme="minorHAnsi" w:hAnsi="Verdana" w:cs="Calibri"/>
          <w:sz w:val="16"/>
          <w:szCs w:val="16"/>
          <w:lang w:val="es-CR"/>
        </w:rPr>
        <w:t xml:space="preserve">Escrito de 22 de julio del 2021 de objeción presentado por el Fiscal Juan Francisco Sandoval Alfaro a la </w:t>
      </w:r>
      <w:proofErr w:type="gramStart"/>
      <w:r w:rsidR="00961501" w:rsidRPr="00F713C5">
        <w:rPr>
          <w:rFonts w:ascii="Verdana" w:eastAsiaTheme="minorHAnsi" w:hAnsi="Verdana" w:cs="Calibri"/>
          <w:sz w:val="16"/>
          <w:szCs w:val="16"/>
          <w:lang w:val="es-CR"/>
        </w:rPr>
        <w:t>Fiscal General</w:t>
      </w:r>
      <w:proofErr w:type="gramEnd"/>
      <w:r w:rsidR="00961501" w:rsidRPr="00F713C5">
        <w:rPr>
          <w:rFonts w:ascii="Verdana" w:eastAsiaTheme="minorHAnsi" w:hAnsi="Verdana" w:cs="Calibri"/>
          <w:sz w:val="16"/>
          <w:szCs w:val="16"/>
          <w:lang w:val="es-CR"/>
        </w:rPr>
        <w:t xml:space="preserve"> y Jefa del Ministerio Público</w:t>
      </w:r>
      <w:r w:rsidR="00961501" w:rsidRPr="00F713C5">
        <w:rPr>
          <w:rFonts w:ascii="Verdana" w:eastAsiaTheme="minorHAnsi" w:hAnsi="Verdana" w:cs="Arial"/>
          <w:bCs/>
          <w:sz w:val="16"/>
          <w:szCs w:val="16"/>
          <w:lang w:val="es-CR"/>
        </w:rPr>
        <w:t xml:space="preserve"> (anexo al escrito de</w:t>
      </w:r>
      <w:r w:rsidR="00F82418" w:rsidRPr="00F713C5">
        <w:rPr>
          <w:rFonts w:ascii="Verdana" w:eastAsiaTheme="minorHAnsi" w:hAnsi="Verdana" w:cs="Arial"/>
          <w:bCs/>
          <w:sz w:val="16"/>
          <w:szCs w:val="16"/>
          <w:lang w:val="es-CR"/>
        </w:rPr>
        <w:t xml:space="preserve"> las representantes de</w:t>
      </w:r>
      <w:r w:rsidR="00961501" w:rsidRPr="00F713C5">
        <w:rPr>
          <w:rFonts w:ascii="Verdana" w:eastAsiaTheme="minorHAnsi" w:hAnsi="Verdana" w:cs="Arial"/>
          <w:bCs/>
          <w:sz w:val="16"/>
          <w:szCs w:val="16"/>
          <w:lang w:val="es-CR"/>
        </w:rPr>
        <w:t xml:space="preserve"> 25 de julio de 2021).</w:t>
      </w:r>
    </w:p>
  </w:footnote>
  <w:footnote w:id="13">
    <w:p w14:paraId="3A6E1F2B" w14:textId="7536BDA8"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eastAsia="Times" w:hAnsi="Verdana"/>
          <w:sz w:val="16"/>
          <w:szCs w:val="16"/>
          <w:lang w:val="es-CR"/>
        </w:rPr>
        <w:t xml:space="preserve">Las denuncias presentadas en contra del ex Fiscal </w:t>
      </w:r>
      <w:r w:rsidRPr="00F713C5">
        <w:rPr>
          <w:rFonts w:ascii="Verdana" w:eastAsia="Calibri" w:hAnsi="Verdana" w:cs="Verdana"/>
          <w:sz w:val="16"/>
          <w:szCs w:val="16"/>
          <w:lang w:val="es-CR"/>
        </w:rPr>
        <w:t>Juan Francisco Sandoval Alfaro “</w:t>
      </w:r>
      <w:r w:rsidRPr="00F713C5">
        <w:rPr>
          <w:rFonts w:ascii="Verdana" w:eastAsia="Times" w:hAnsi="Verdana"/>
          <w:sz w:val="16"/>
          <w:szCs w:val="16"/>
          <w:lang w:val="es-CR"/>
        </w:rPr>
        <w:t xml:space="preserve">actualmente en </w:t>
      </w:r>
      <w:proofErr w:type="gramStart"/>
      <w:r w:rsidRPr="00F713C5">
        <w:rPr>
          <w:rFonts w:ascii="Verdana" w:eastAsia="Times" w:hAnsi="Verdana"/>
          <w:sz w:val="16"/>
          <w:szCs w:val="16"/>
          <w:lang w:val="es-CR"/>
        </w:rPr>
        <w:t>investigación[</w:t>
      </w:r>
      <w:proofErr w:type="gramEnd"/>
      <w:r w:rsidRPr="00F713C5">
        <w:rPr>
          <w:rFonts w:ascii="Verdana" w:eastAsia="Times" w:hAnsi="Verdana"/>
          <w:sz w:val="16"/>
          <w:szCs w:val="16"/>
          <w:lang w:val="es-CR"/>
        </w:rPr>
        <w:t>,] se concentran principalmente en la Fiscalía de Asuntos Internos y a mayo de 2021, existían 53 denuncias presentadas en su contra”.</w:t>
      </w:r>
    </w:p>
  </w:footnote>
  <w:footnote w:id="14">
    <w:p w14:paraId="6A896E09" w14:textId="1EAF8677" w:rsidR="00740567" w:rsidRPr="00F713C5" w:rsidRDefault="00740567" w:rsidP="00F713C5">
      <w:pPr>
        <w:pStyle w:val="Textonotapie"/>
        <w:tabs>
          <w:tab w:val="left" w:pos="567"/>
        </w:tabs>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eastAsiaTheme="minorHAnsi" w:hAnsi="Verdana" w:cs="Verdana"/>
          <w:i/>
          <w:sz w:val="16"/>
          <w:szCs w:val="16"/>
          <w:lang w:val="es-CR"/>
        </w:rPr>
        <w:t xml:space="preserve">Cfr. </w:t>
      </w:r>
      <w:r w:rsidRPr="00F713C5">
        <w:rPr>
          <w:rFonts w:ascii="Verdana" w:eastAsiaTheme="minorHAnsi" w:hAnsi="Verdana" w:cs="Verdana"/>
          <w:sz w:val="16"/>
          <w:szCs w:val="16"/>
          <w:lang w:val="es-CR"/>
        </w:rPr>
        <w:t>Escrito de las representantes de 10 de septiembre de 2021.</w:t>
      </w:r>
    </w:p>
  </w:footnote>
  <w:footnote w:id="15">
    <w:p w14:paraId="2DAE8B77" w14:textId="03551193" w:rsidR="00961501" w:rsidRPr="00F713C5" w:rsidRDefault="00961501" w:rsidP="00F713C5">
      <w:pPr>
        <w:pStyle w:val="Textonotapie"/>
        <w:tabs>
          <w:tab w:val="left" w:pos="567"/>
        </w:tabs>
        <w:jc w:val="both"/>
        <w:rPr>
          <w:rFonts w:ascii="Verdana" w:hAnsi="Verdana" w:cs="Arial"/>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cs="Arial"/>
          <w:sz w:val="16"/>
          <w:szCs w:val="16"/>
          <w:lang w:val="es-CR"/>
        </w:rPr>
        <w:t>El Estado sostuvo que “[l]a objeción regulada en el artículo 68 de la Ley Orgánica del Ministerio Público, no procede en contra de sus instrucciones”, y que “el pacto colectivo de condiciones de trabajo entre el Ministerio Público y el Sindicato de Trabajadores del Ministerio Público de la República de Guatemala, faculta al Ministerio Público para destituir a los trabajadores sin responsabilidad de su parte, siempre que sea comprobada la causal”</w:t>
      </w:r>
      <w:r w:rsidRPr="00F713C5">
        <w:rPr>
          <w:rFonts w:ascii="Verdana" w:hAnsi="Verdana" w:cs="Arial"/>
          <w:iCs/>
          <w:sz w:val="16"/>
          <w:szCs w:val="16"/>
          <w:lang w:val="es-CR"/>
        </w:rPr>
        <w:t>.</w:t>
      </w:r>
    </w:p>
  </w:footnote>
  <w:footnote w:id="16">
    <w:p w14:paraId="6F6F65B1" w14:textId="5CC96F2C" w:rsidR="00C755FA" w:rsidRPr="00F713C5" w:rsidRDefault="00C755FA" w:rsidP="00F713C5">
      <w:pPr>
        <w:pStyle w:val="Textonotapie"/>
        <w:tabs>
          <w:tab w:val="left" w:pos="567"/>
        </w:tabs>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eastAsiaTheme="minorHAnsi" w:hAnsi="Verdana" w:cs="Verdana"/>
          <w:i/>
          <w:sz w:val="16"/>
          <w:szCs w:val="16"/>
          <w:lang w:val="es-CR"/>
        </w:rPr>
        <w:t xml:space="preserve">Cfr. </w:t>
      </w:r>
      <w:r w:rsidRPr="00F713C5">
        <w:rPr>
          <w:rFonts w:ascii="Verdana" w:hAnsi="Verdana"/>
          <w:sz w:val="16"/>
          <w:szCs w:val="16"/>
          <w:lang w:val="es-CR"/>
        </w:rPr>
        <w:t xml:space="preserve">Informe del Estado de </w:t>
      </w:r>
      <w:r w:rsidRPr="00F713C5">
        <w:rPr>
          <w:rFonts w:ascii="Verdana" w:eastAsiaTheme="minorHAnsi" w:hAnsi="Verdana" w:cs="Verdana"/>
          <w:sz w:val="16"/>
          <w:szCs w:val="16"/>
          <w:lang w:val="es-CR"/>
        </w:rPr>
        <w:t>10 de septiembre de 2021.</w:t>
      </w:r>
    </w:p>
  </w:footnote>
  <w:footnote w:id="17">
    <w:p w14:paraId="1C291BB7" w14:textId="34D67DED"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eastAsia="Verdana" w:hAnsi="Verdana" w:cs="Verdana"/>
          <w:sz w:val="16"/>
          <w:szCs w:val="16"/>
          <w:lang w:val="es-CR"/>
        </w:rPr>
        <w:t>Al respecto, la Jueza ordenó una serie de medidas sustitutivas, consistentes en arresto domiciliario, arraigo, prohibición de reunirse con determinadas personas, cuidado y vigilancia, así como la obligación de informar al Juzgado, el último día hábil de cada mes, sobre su estado de salud y evolución. Además, trimestralmente se oficiará al Hospital de Occidente, al Instituto Nacional de Ciencias Forenses y al Ministerio de Salud y Asistencia Social para que le realicen evaluación médica y psiquiátrica a dicha persona para determinar la evolución de su estado de salud.</w:t>
      </w:r>
    </w:p>
  </w:footnote>
  <w:footnote w:id="18">
    <w:p w14:paraId="5B6573E3" w14:textId="3296A2B6"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CR"/>
        </w:rPr>
        <w:tab/>
      </w:r>
      <w:r w:rsidRPr="00F713C5">
        <w:rPr>
          <w:rFonts w:ascii="Verdana" w:hAnsi="Verdana"/>
          <w:i/>
          <w:sz w:val="16"/>
          <w:szCs w:val="16"/>
          <w:lang w:val="es-CR"/>
        </w:rPr>
        <w:t xml:space="preserve">Cfr. </w:t>
      </w:r>
      <w:r w:rsidRPr="00F713C5">
        <w:rPr>
          <w:rFonts w:ascii="Verdana" w:hAnsi="Verdana"/>
          <w:sz w:val="16"/>
          <w:szCs w:val="16"/>
          <w:lang w:val="es-CR"/>
        </w:rPr>
        <w:t xml:space="preserve">Informes del Estado de 9 de noviembre y 4 de diciembre de 2020, y 22 de enero, 8 de marzo, 8 de mayo y 21 de julio de 2021. Ver </w:t>
      </w:r>
      <w:r w:rsidRPr="00F713C5">
        <w:rPr>
          <w:rFonts w:ascii="Verdana" w:hAnsi="Verdana"/>
          <w:i/>
          <w:sz w:val="16"/>
          <w:szCs w:val="16"/>
          <w:lang w:val="es-CR"/>
        </w:rPr>
        <w:t>supra</w:t>
      </w:r>
      <w:r w:rsidRPr="00F713C5">
        <w:rPr>
          <w:rFonts w:ascii="Verdana" w:hAnsi="Verdana"/>
          <w:sz w:val="16"/>
          <w:szCs w:val="16"/>
          <w:lang w:val="es-CR"/>
        </w:rPr>
        <w:t xml:space="preserve"> Visto 3.</w:t>
      </w:r>
    </w:p>
  </w:footnote>
  <w:footnote w:id="19">
    <w:p w14:paraId="7018F9E5" w14:textId="156DB60A"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CR"/>
        </w:rPr>
        <w:tab/>
        <w:t xml:space="preserve">El 28 de febrero de 2020 el Fiscal Sandoval denunció que personas habían escuchado que “desde diciembre de 2019 habrían entrado al país sicarios con órdenes directas de darle muerte”. </w:t>
      </w:r>
      <w:r w:rsidRPr="00F713C5">
        <w:rPr>
          <w:rFonts w:ascii="Verdana" w:hAnsi="Verdana"/>
          <w:i/>
          <w:sz w:val="16"/>
          <w:szCs w:val="16"/>
        </w:rPr>
        <w:t>Cfr</w:t>
      </w:r>
      <w:r w:rsidRPr="00F713C5">
        <w:rPr>
          <w:rFonts w:ascii="Verdana" w:hAnsi="Verdana"/>
          <w:sz w:val="16"/>
          <w:szCs w:val="16"/>
        </w:rPr>
        <w:t xml:space="preserve">. </w:t>
      </w:r>
      <w:r w:rsidRPr="00F713C5">
        <w:rPr>
          <w:rFonts w:ascii="Verdana" w:hAnsi="Verdana"/>
          <w:i/>
          <w:sz w:val="16"/>
          <w:szCs w:val="16"/>
        </w:rPr>
        <w:t xml:space="preserve">Caso Ruiz Fuentes y otra Vs. Guatemala, supra </w:t>
      </w:r>
      <w:r w:rsidRPr="00F713C5">
        <w:rPr>
          <w:rFonts w:ascii="Verdana" w:hAnsi="Verdana"/>
          <w:sz w:val="16"/>
          <w:szCs w:val="16"/>
        </w:rPr>
        <w:t>nota 5, Considerando 5.ii).</w:t>
      </w:r>
    </w:p>
  </w:footnote>
  <w:footnote w:id="20">
    <w:p w14:paraId="0937ABCC" w14:textId="347734EC" w:rsidR="00961501" w:rsidRPr="00F713C5" w:rsidRDefault="00961501" w:rsidP="00F713C5">
      <w:pPr>
        <w:pStyle w:val="Textonotapie"/>
        <w:tabs>
          <w:tab w:val="left" w:pos="567"/>
        </w:tabs>
        <w:jc w:val="both"/>
        <w:rPr>
          <w:rFonts w:ascii="Verdana" w:hAnsi="Verdana"/>
          <w:i/>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t>En el marco del proceso penal seguido por la muerte del señor Ruiz Fuentes, el 10 de febrero de 2020, cuando el Fiscal “B” se dirigía desde su residencia hacia el Juzgado para asistir a la audiencia del caso, “el vehículo en el que se transportaba con su conductor y un elemento de seguridad, fue interceptado por dos patrullas de la PNC”. Tres agentes de la Policía, “con actitud hostil y agresiva, y apuntando directamente con su arma de fuego hacia el interior del vehículo, se dirigieron al piloto solicitándole que se identificaran y que todos los ocupantes descendieran”. Uno de los agentes manifestó “que estaban ahí porque habían recibido instrucciones directamente de un [V]</w:t>
      </w:r>
      <w:proofErr w:type="spellStart"/>
      <w:r w:rsidRPr="00F713C5">
        <w:rPr>
          <w:rFonts w:ascii="Verdana" w:hAnsi="Verdana"/>
          <w:sz w:val="16"/>
          <w:szCs w:val="16"/>
          <w:lang w:val="es-MX"/>
        </w:rPr>
        <w:t>iceministro</w:t>
      </w:r>
      <w:proofErr w:type="spellEnd"/>
      <w:r w:rsidRPr="00F713C5">
        <w:rPr>
          <w:rFonts w:ascii="Verdana" w:hAnsi="Verdana"/>
          <w:sz w:val="16"/>
          <w:szCs w:val="16"/>
          <w:lang w:val="es-MX"/>
        </w:rPr>
        <w:t xml:space="preserve"> de [G]</w:t>
      </w:r>
      <w:proofErr w:type="spellStart"/>
      <w:r w:rsidRPr="00F713C5">
        <w:rPr>
          <w:rFonts w:ascii="Verdana" w:hAnsi="Verdana"/>
          <w:sz w:val="16"/>
          <w:szCs w:val="16"/>
          <w:lang w:val="es-MX"/>
        </w:rPr>
        <w:t>obernación</w:t>
      </w:r>
      <w:proofErr w:type="spellEnd"/>
      <w:r w:rsidRPr="00F713C5">
        <w:rPr>
          <w:rFonts w:ascii="Verdana" w:hAnsi="Verdana"/>
          <w:sz w:val="16"/>
          <w:szCs w:val="16"/>
          <w:lang w:val="es-MX"/>
        </w:rPr>
        <w:t xml:space="preserve"> para detenerlos. Tras permanecer largo rato retenidos, finalmente, los agentes policiales les permitieron seguir su camino”. Estos hechos fueron denunciados penalmente.</w:t>
      </w:r>
      <w:r w:rsidRPr="00F713C5">
        <w:rPr>
          <w:rFonts w:ascii="Verdana" w:hAnsi="Verdana"/>
          <w:i/>
          <w:sz w:val="16"/>
          <w:szCs w:val="16"/>
          <w:lang w:val="es-MX"/>
        </w:rPr>
        <w:t xml:space="preserve"> </w:t>
      </w:r>
      <w:r w:rsidRPr="00F713C5">
        <w:rPr>
          <w:rFonts w:ascii="Verdana" w:hAnsi="Verdana"/>
          <w:i/>
          <w:sz w:val="16"/>
          <w:szCs w:val="16"/>
        </w:rPr>
        <w:t>Cfr</w:t>
      </w:r>
      <w:r w:rsidRPr="00F713C5">
        <w:rPr>
          <w:rFonts w:ascii="Verdana" w:hAnsi="Verdana"/>
          <w:sz w:val="16"/>
          <w:szCs w:val="16"/>
        </w:rPr>
        <w:t xml:space="preserve">. </w:t>
      </w:r>
      <w:r w:rsidRPr="00F713C5">
        <w:rPr>
          <w:rFonts w:ascii="Verdana" w:hAnsi="Verdana"/>
          <w:i/>
          <w:sz w:val="16"/>
          <w:szCs w:val="16"/>
        </w:rPr>
        <w:t xml:space="preserve">Caso Ruiz Fuentes y otra Vs. Guatemala, supra </w:t>
      </w:r>
      <w:r w:rsidRPr="00F713C5">
        <w:rPr>
          <w:rFonts w:ascii="Verdana" w:hAnsi="Verdana"/>
          <w:sz w:val="16"/>
          <w:szCs w:val="16"/>
        </w:rPr>
        <w:t>nota 5, Considerando 6.i).</w:t>
      </w:r>
    </w:p>
  </w:footnote>
  <w:footnote w:id="21">
    <w:p w14:paraId="7A482B64" w14:textId="788EB3A6"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CR"/>
        </w:rPr>
        <w:tab/>
      </w:r>
      <w:r w:rsidR="00F713C5">
        <w:rPr>
          <w:rFonts w:ascii="Verdana" w:hAnsi="Verdana"/>
          <w:sz w:val="16"/>
          <w:szCs w:val="16"/>
          <w:lang w:val="es-CR"/>
        </w:rPr>
        <w:t>C</w:t>
      </w:r>
      <w:r w:rsidRPr="00F713C5">
        <w:rPr>
          <w:rFonts w:ascii="Verdana" w:hAnsi="Verdana"/>
          <w:i/>
          <w:sz w:val="16"/>
          <w:szCs w:val="16"/>
          <w:lang w:val="es-CR"/>
        </w:rPr>
        <w:t>fr</w:t>
      </w:r>
      <w:r w:rsidRPr="00F713C5">
        <w:rPr>
          <w:rFonts w:ascii="Verdana" w:hAnsi="Verdana"/>
          <w:sz w:val="16"/>
          <w:szCs w:val="16"/>
          <w:lang w:val="es-CR"/>
        </w:rPr>
        <w:t>. Escritos de las representantes de 11 de diciembre de 2020, 25 de febrero, 10 de junio y 12 de agosto de 2021.</w:t>
      </w:r>
      <w:r w:rsidR="00F713C5">
        <w:rPr>
          <w:rFonts w:ascii="Verdana" w:hAnsi="Verdana"/>
          <w:sz w:val="16"/>
          <w:szCs w:val="16"/>
          <w:lang w:val="es-CR"/>
        </w:rPr>
        <w:t xml:space="preserve"> </w:t>
      </w:r>
      <w:r w:rsidR="00F713C5" w:rsidRPr="00F713C5">
        <w:rPr>
          <w:rFonts w:ascii="Verdana" w:hAnsi="Verdana"/>
          <w:sz w:val="16"/>
          <w:szCs w:val="16"/>
          <w:lang w:val="es-CR"/>
        </w:rPr>
        <w:t xml:space="preserve">Ver </w:t>
      </w:r>
      <w:r w:rsidR="00F713C5" w:rsidRPr="00F713C5">
        <w:rPr>
          <w:rFonts w:ascii="Verdana" w:hAnsi="Verdana"/>
          <w:i/>
          <w:sz w:val="16"/>
          <w:szCs w:val="16"/>
          <w:lang w:val="es-CR"/>
        </w:rPr>
        <w:t>supra</w:t>
      </w:r>
      <w:r w:rsidR="00F713C5" w:rsidRPr="00F713C5">
        <w:rPr>
          <w:rFonts w:ascii="Verdana" w:hAnsi="Verdana"/>
          <w:sz w:val="16"/>
          <w:szCs w:val="16"/>
          <w:lang w:val="es-CR"/>
        </w:rPr>
        <w:t xml:space="preserve"> Visto 3</w:t>
      </w:r>
      <w:r w:rsidR="00F713C5">
        <w:rPr>
          <w:rFonts w:ascii="Verdana" w:hAnsi="Verdana"/>
          <w:sz w:val="16"/>
          <w:szCs w:val="16"/>
          <w:lang w:val="es-CR"/>
        </w:rPr>
        <w:t>.</w:t>
      </w:r>
    </w:p>
  </w:footnote>
  <w:footnote w:id="22">
    <w:p w14:paraId="66DF524D" w14:textId="678FF24D"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CR"/>
        </w:rPr>
        <w:tab/>
      </w:r>
      <w:r w:rsidRPr="00F713C5">
        <w:rPr>
          <w:rFonts w:ascii="Verdana" w:hAnsi="Verdana"/>
          <w:i/>
          <w:sz w:val="16"/>
          <w:szCs w:val="16"/>
          <w:lang w:val="es-CR"/>
        </w:rPr>
        <w:t xml:space="preserve">Supra </w:t>
      </w:r>
      <w:r w:rsidRPr="00F713C5">
        <w:rPr>
          <w:rFonts w:ascii="Verdana" w:hAnsi="Verdana"/>
          <w:sz w:val="16"/>
          <w:szCs w:val="16"/>
          <w:lang w:val="es-CR"/>
        </w:rPr>
        <w:t>nota 2</w:t>
      </w:r>
      <w:r w:rsidR="00B95F8F">
        <w:rPr>
          <w:rFonts w:ascii="Verdana" w:hAnsi="Verdana"/>
          <w:sz w:val="16"/>
          <w:szCs w:val="16"/>
          <w:lang w:val="es-CR"/>
        </w:rPr>
        <w:t>1</w:t>
      </w:r>
      <w:r w:rsidRPr="00F713C5">
        <w:rPr>
          <w:rFonts w:ascii="Verdana" w:hAnsi="Verdana"/>
          <w:sz w:val="16"/>
          <w:szCs w:val="16"/>
          <w:lang w:val="es-CR"/>
        </w:rPr>
        <w:t>.</w:t>
      </w:r>
    </w:p>
  </w:footnote>
  <w:footnote w:id="23">
    <w:p w14:paraId="1A7FD324" w14:textId="28BFC1DC"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i/>
          <w:sz w:val="16"/>
          <w:szCs w:val="16"/>
          <w:lang w:val="es-MX"/>
        </w:rPr>
        <w:t xml:space="preserve">Cfr. Caso Ruiz Fuentes y otra Vs. Guatemala, supra </w:t>
      </w:r>
      <w:r w:rsidRPr="00F713C5">
        <w:rPr>
          <w:rFonts w:ascii="Verdana" w:hAnsi="Verdana"/>
          <w:sz w:val="16"/>
          <w:szCs w:val="16"/>
          <w:lang w:val="es-MX"/>
        </w:rPr>
        <w:t>nota 5, Considerandos 29 a 39.</w:t>
      </w:r>
    </w:p>
  </w:footnote>
  <w:footnote w:id="24">
    <w:p w14:paraId="563EE638" w14:textId="6C62EB56"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i/>
          <w:sz w:val="16"/>
          <w:szCs w:val="16"/>
          <w:lang w:val="es-CR"/>
        </w:rPr>
        <w:t>Cfr</w:t>
      </w:r>
      <w:r w:rsidRPr="00F713C5">
        <w:rPr>
          <w:rFonts w:ascii="Verdana" w:hAnsi="Verdana"/>
          <w:sz w:val="16"/>
          <w:szCs w:val="16"/>
          <w:lang w:val="es-CR"/>
        </w:rPr>
        <w:t>. Escrito de las representantes de 12 de agosto de 2021.</w:t>
      </w:r>
    </w:p>
  </w:footnote>
  <w:footnote w:id="25">
    <w:p w14:paraId="34D3D775" w14:textId="5E98AA53"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t xml:space="preserve">El acuerdo 2157-2021 señala: “La objeción regulada en el artículo 68 de la ley Orgánica del Ministerio Publico, no procede en contra de instrucciones, por lo que el Fiscal de Sección Juan Francisco Sandoval Alfaro, al presentar objeción por escrito a la instrucción verbal emitida por la señora Fiscal General de la Republica y Jefe del Ministerio Publico el 21 de julio de 2021, sin proceder esta, desobedece deliberadamente la instrucción vertida dentro de sus funciones y con base en la ley, y siendo que el pacto colectivo de condiciones de trabajo entre el Ministerio Publico y el Sindicado de trabajadores del Ministerio Publico de la República de Guatemala, faculta al Ministerio Publico para destituir a los trabajadores sin responsabilidad de su parte, siempre que sea comprobada la causal, que entre otras se refiere a: cuando el trabajador se niegue a acatar las normas o instrucciones que el ministerio público o su representante le indiquen con claridad para obtener la mayor eficacia y rendimiento de sus labores”. </w:t>
      </w:r>
      <w:r w:rsidRPr="00F713C5">
        <w:rPr>
          <w:rFonts w:ascii="Verdana" w:hAnsi="Verdana"/>
          <w:i/>
          <w:sz w:val="16"/>
          <w:szCs w:val="16"/>
        </w:rPr>
        <w:t xml:space="preserve">Cfr. </w:t>
      </w:r>
      <w:r w:rsidRPr="00F713C5">
        <w:rPr>
          <w:rFonts w:ascii="Verdana" w:hAnsi="Verdana"/>
          <w:sz w:val="16"/>
          <w:szCs w:val="16"/>
        </w:rPr>
        <w:t xml:space="preserve">Acuerdo 2157-2021 </w:t>
      </w:r>
      <w:r w:rsidRPr="00F713C5">
        <w:rPr>
          <w:rFonts w:ascii="Verdana" w:eastAsiaTheme="minorHAnsi" w:hAnsi="Verdana" w:cs="Arial"/>
          <w:bCs/>
          <w:sz w:val="16"/>
          <w:szCs w:val="16"/>
          <w:lang w:val="es-CR"/>
        </w:rPr>
        <w:t xml:space="preserve">(anexo al </w:t>
      </w:r>
      <w:r w:rsidRPr="00F713C5">
        <w:rPr>
          <w:rFonts w:ascii="Verdana" w:hAnsi="Verdana"/>
          <w:sz w:val="16"/>
          <w:szCs w:val="16"/>
        </w:rPr>
        <w:t>escrito de las representantes de 25 de julio de 2021</w:t>
      </w:r>
      <w:r w:rsidRPr="00F713C5">
        <w:rPr>
          <w:rFonts w:ascii="Verdana" w:eastAsiaTheme="minorHAnsi" w:hAnsi="Verdana" w:cs="Arial"/>
          <w:bCs/>
          <w:sz w:val="16"/>
          <w:szCs w:val="16"/>
          <w:lang w:val="es-CR"/>
        </w:rPr>
        <w:t>).</w:t>
      </w:r>
    </w:p>
  </w:footnote>
  <w:footnote w:id="26">
    <w:p w14:paraId="3DFD7301" w14:textId="72006A63"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i/>
          <w:sz w:val="16"/>
          <w:szCs w:val="16"/>
        </w:rPr>
        <w:t>Cfr. Caso Durand y Ugarte Vs. Perú. Medidas Provisionales.</w:t>
      </w:r>
      <w:r w:rsidRPr="00F713C5">
        <w:rPr>
          <w:rFonts w:ascii="Verdana" w:hAnsi="Verdana"/>
          <w:sz w:val="16"/>
          <w:szCs w:val="16"/>
        </w:rPr>
        <w:t xml:space="preserve"> Resolución de la Corte Interamericana de Derechos Humanos de 8 de febrero de 2018, Considerando 29.</w:t>
      </w:r>
    </w:p>
  </w:footnote>
  <w:footnote w:id="27">
    <w:p w14:paraId="3F31BC7D" w14:textId="0DD7D15A"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sz w:val="16"/>
          <w:szCs w:val="16"/>
        </w:rPr>
        <w:t xml:space="preserve">Para fundamentar la solicitud de medidas provisionales en los casos </w:t>
      </w:r>
      <w:r w:rsidRPr="00F713C5">
        <w:rPr>
          <w:rFonts w:ascii="Verdana" w:hAnsi="Verdana"/>
          <w:i/>
          <w:sz w:val="16"/>
          <w:szCs w:val="16"/>
        </w:rPr>
        <w:t>Valenzuela Ávila</w:t>
      </w:r>
      <w:r w:rsidRPr="00F713C5">
        <w:rPr>
          <w:rFonts w:ascii="Verdana" w:hAnsi="Verdana"/>
          <w:sz w:val="16"/>
          <w:szCs w:val="16"/>
        </w:rPr>
        <w:t xml:space="preserve">, y </w:t>
      </w:r>
      <w:r w:rsidRPr="00F713C5">
        <w:rPr>
          <w:rFonts w:ascii="Verdana" w:hAnsi="Verdana"/>
          <w:i/>
          <w:sz w:val="16"/>
          <w:szCs w:val="16"/>
        </w:rPr>
        <w:t>Ruiz Fuentes y otra</w:t>
      </w:r>
      <w:r w:rsidRPr="00F713C5">
        <w:rPr>
          <w:rFonts w:ascii="Verdana" w:hAnsi="Verdana"/>
          <w:sz w:val="16"/>
          <w:szCs w:val="16"/>
        </w:rPr>
        <w:t xml:space="preserve">, las representantes hicieron referencia en sus argumentos a las medidas provisionales otorgadas por la Corte el 8 de febrero de 2018 en el </w:t>
      </w:r>
      <w:r w:rsidRPr="00F713C5">
        <w:rPr>
          <w:rFonts w:ascii="Verdana" w:hAnsi="Verdana"/>
          <w:i/>
          <w:sz w:val="16"/>
          <w:szCs w:val="16"/>
        </w:rPr>
        <w:t>Caso Durand y Ugarte,</w:t>
      </w:r>
      <w:r w:rsidRPr="00F713C5">
        <w:rPr>
          <w:rFonts w:ascii="Verdana" w:hAnsi="Verdana"/>
          <w:sz w:val="16"/>
          <w:szCs w:val="16"/>
        </w:rPr>
        <w:t xml:space="preserve"> y solicitaron que, con base en el criterio sostenido por la Corte en tales medidas sobre el riesgo de evitar daños irreparables al derecho de acceso a la justicia de las víctimas, se otorgaran las medidas solicitadas en los presentes casos.</w:t>
      </w:r>
    </w:p>
  </w:footnote>
  <w:footnote w:id="28">
    <w:p w14:paraId="7218DA0E" w14:textId="75338702"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sz w:val="16"/>
          <w:szCs w:val="16"/>
        </w:rPr>
        <w:t>Este es un requisito exigido por el artículo 61.2 de la Convención, según el cual "para que la Corte pueda conocer de cualquier caso, es necesario que sean agotados los procedimientos previstos en los artículos 48 a 50".</w:t>
      </w:r>
    </w:p>
  </w:footnote>
  <w:footnote w:id="29">
    <w:p w14:paraId="3E723256" w14:textId="77777777"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t xml:space="preserve">Tal como ha señalado este Tribunal, “la protección internacional de los derechos humanos persigue garantizar la dignidad esencial del ser humano por medio del sistema establecido en la Convención. Por ello, tanto la Corte como la Comisión, deben preservar para las víctimas de violaciones de derechos humanos la totalidad de los recursos que la Convención otorga para su protección. […] La Convención tiene un fin que es la protección internacional de los derechos esenciales del hombre, y organiza, además, para la obtención de ese fin, un sistema, que representa los límites y condiciones dentro de los cuales los Estados Partes han consentido en responsabilizarse internacionalmente de las violaciones de que se les acuse. Corresponde, por lo tanto, a esta Corte garantizar la protección internacional que establece la Convención, dentro de la integridad del sistema pactado por los Estados. En consecuencia, el equilibrio de la interpretación se obtiene orientándola en el sentido más favorable al destinatario de la protección internacional, siempre que ello no implique una alteración del sistema”. </w:t>
      </w:r>
      <w:r w:rsidRPr="00F713C5">
        <w:rPr>
          <w:rFonts w:ascii="Verdana" w:hAnsi="Verdana"/>
          <w:i/>
          <w:sz w:val="16"/>
          <w:szCs w:val="16"/>
        </w:rPr>
        <w:t xml:space="preserve">Cfr. Asunto de Viviana </w:t>
      </w:r>
      <w:proofErr w:type="spellStart"/>
      <w:r w:rsidRPr="00F713C5">
        <w:rPr>
          <w:rFonts w:ascii="Verdana" w:hAnsi="Verdana"/>
          <w:i/>
          <w:sz w:val="16"/>
          <w:szCs w:val="16"/>
        </w:rPr>
        <w:t>Gallardo</w:t>
      </w:r>
      <w:proofErr w:type="spellEnd"/>
      <w:r w:rsidRPr="00F713C5">
        <w:rPr>
          <w:rFonts w:ascii="Verdana" w:hAnsi="Verdana"/>
          <w:i/>
          <w:sz w:val="16"/>
          <w:szCs w:val="16"/>
        </w:rPr>
        <w:t xml:space="preserve"> y otras</w:t>
      </w:r>
      <w:r w:rsidRPr="00F713C5">
        <w:rPr>
          <w:rFonts w:ascii="Verdana" w:hAnsi="Verdana"/>
          <w:sz w:val="16"/>
          <w:szCs w:val="16"/>
        </w:rPr>
        <w:t>. Serie A No. 101.</w:t>
      </w:r>
      <w:r w:rsidRPr="00F713C5">
        <w:rPr>
          <w:rFonts w:ascii="Verdana" w:hAnsi="Verdana"/>
          <w:i/>
          <w:sz w:val="16"/>
          <w:szCs w:val="16"/>
        </w:rPr>
        <w:t xml:space="preserve"> </w:t>
      </w:r>
      <w:r w:rsidRPr="00F713C5">
        <w:rPr>
          <w:rFonts w:ascii="Verdana" w:hAnsi="Verdana"/>
          <w:sz w:val="16"/>
          <w:szCs w:val="16"/>
        </w:rPr>
        <w:t>Decisión del 13 de noviembre de 1981, Considerandos 15 y 16.</w:t>
      </w:r>
    </w:p>
  </w:footnote>
  <w:footnote w:id="30">
    <w:p w14:paraId="3E01F2C5" w14:textId="3A13B651"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t xml:space="preserve">El artículo </w:t>
      </w:r>
      <w:r w:rsidRPr="00F713C5">
        <w:rPr>
          <w:rFonts w:ascii="Verdana" w:hAnsi="Verdana"/>
          <w:sz w:val="16"/>
          <w:szCs w:val="16"/>
        </w:rPr>
        <w:t>63.2 de la Convención Americana, señala en</w:t>
      </w:r>
      <w:r w:rsidRPr="00F713C5">
        <w:rPr>
          <w:rFonts w:ascii="Verdana" w:hAnsi="Verdana"/>
          <w:sz w:val="16"/>
          <w:szCs w:val="16"/>
          <w:lang w:val="es-MX"/>
        </w:rPr>
        <w:t xml:space="preserve"> lo pertinente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Por su parte, el artículo </w:t>
      </w:r>
      <w:r w:rsidRPr="00F713C5">
        <w:rPr>
          <w:rFonts w:ascii="Verdana" w:hAnsi="Verdana"/>
          <w:sz w:val="16"/>
          <w:szCs w:val="16"/>
        </w:rPr>
        <w:t>27 del Reglamento, indica en lo pertinente que: “</w:t>
      </w:r>
      <w:r w:rsidRPr="00F713C5">
        <w:rPr>
          <w:rFonts w:ascii="Verdana" w:hAnsi="Verdana"/>
          <w:sz w:val="16"/>
          <w:szCs w:val="16"/>
          <w:lang w:val="es-MX"/>
        </w:rPr>
        <w:t>1. En cualquier estado del procedimiento, siempre que se trate de casos de extrema gravedad y urgencia y cuando sea necesario para evitar daños irreparables a las personas, la Corte, de oficio, podrá ordenar las medidas provisionales que considere pertinentes, en los términos del artículo 63.2 de la Convención.</w:t>
      </w:r>
      <w:r w:rsidRPr="00F713C5">
        <w:rPr>
          <w:rFonts w:ascii="Verdana" w:hAnsi="Verdana"/>
          <w:sz w:val="16"/>
          <w:szCs w:val="16"/>
        </w:rPr>
        <w:t xml:space="preserve"> </w:t>
      </w:r>
      <w:r w:rsidRPr="00F713C5">
        <w:rPr>
          <w:rFonts w:ascii="Verdana" w:hAnsi="Verdana"/>
          <w:sz w:val="16"/>
          <w:szCs w:val="16"/>
          <w:lang w:val="es-MX"/>
        </w:rPr>
        <w:t>2. Si se tratare de asuntos aún no sometidos a su conocimiento, la Corte podrá actuar a solicitud de la Comisión”.</w:t>
      </w:r>
    </w:p>
  </w:footnote>
  <w:footnote w:id="31">
    <w:p w14:paraId="6BCB4E20" w14:textId="6DCC0368" w:rsidR="00961501" w:rsidRPr="00F713C5" w:rsidRDefault="00961501" w:rsidP="00F713C5">
      <w:pPr>
        <w:pStyle w:val="Textonotapie"/>
        <w:tabs>
          <w:tab w:val="left" w:pos="567"/>
        </w:tabs>
        <w:jc w:val="both"/>
        <w:rPr>
          <w:rFonts w:ascii="Verdana" w:hAnsi="Verdana"/>
          <w:sz w:val="16"/>
          <w:szCs w:val="16"/>
          <w:lang w:val="es-CR"/>
        </w:rPr>
      </w:pPr>
      <w:r w:rsidRPr="00F713C5">
        <w:rPr>
          <w:rStyle w:val="Refdenotaalpie"/>
          <w:szCs w:val="16"/>
        </w:rPr>
        <w:footnoteRef/>
      </w:r>
      <w:r w:rsidRPr="00F713C5">
        <w:rPr>
          <w:rFonts w:ascii="Verdana" w:hAnsi="Verdana"/>
          <w:sz w:val="16"/>
          <w:szCs w:val="16"/>
          <w:lang w:val="es-CR"/>
        </w:rPr>
        <w:t xml:space="preserve"> </w:t>
      </w:r>
      <w:r w:rsidRPr="00F713C5">
        <w:rPr>
          <w:rFonts w:ascii="Verdana" w:hAnsi="Verdana"/>
          <w:sz w:val="16"/>
          <w:szCs w:val="16"/>
          <w:lang w:val="es-CR"/>
        </w:rPr>
        <w:tab/>
        <w:t xml:space="preserve">La Corte ha considerado como regla general que la valoración de información relacionada con el cumplimiento de medidas de reparación ordenadas en la Sentencia debe ser efectuada en el marco de la supervisión de cumplimiento de Sentencia. Así lo ha entendido en múltiples casos. </w:t>
      </w:r>
      <w:r w:rsidRPr="00F713C5">
        <w:rPr>
          <w:rFonts w:ascii="Verdana" w:hAnsi="Verdana"/>
          <w:i/>
          <w:sz w:val="16"/>
          <w:szCs w:val="16"/>
          <w:lang w:val="es-CR"/>
        </w:rPr>
        <w:t xml:space="preserve">Cfr. </w:t>
      </w:r>
      <w:r w:rsidRPr="00F713C5">
        <w:rPr>
          <w:rFonts w:ascii="Verdana" w:hAnsi="Verdana"/>
          <w:sz w:val="16"/>
          <w:szCs w:val="16"/>
          <w:lang w:val="es-CR"/>
        </w:rPr>
        <w:t>Entre otros</w:t>
      </w:r>
      <w:r w:rsidRPr="00F713C5">
        <w:rPr>
          <w:rFonts w:ascii="Verdana" w:hAnsi="Verdana"/>
          <w:i/>
          <w:sz w:val="16"/>
          <w:szCs w:val="16"/>
          <w:lang w:val="es-CR"/>
        </w:rPr>
        <w:t xml:space="preserve">, Caso Juan Humberto Sánchez Vs. </w:t>
      </w:r>
      <w:r w:rsidRPr="00F713C5">
        <w:rPr>
          <w:rFonts w:ascii="Verdana" w:hAnsi="Verdana"/>
          <w:i/>
          <w:sz w:val="16"/>
          <w:szCs w:val="16"/>
          <w:lang w:val="es-ES"/>
        </w:rPr>
        <w:t xml:space="preserve">Honduras. </w:t>
      </w:r>
      <w:r w:rsidRPr="00F713C5">
        <w:rPr>
          <w:rFonts w:ascii="Verdana" w:hAnsi="Verdana"/>
          <w:i/>
          <w:sz w:val="16"/>
          <w:szCs w:val="16"/>
          <w:lang w:val="es-CR"/>
        </w:rPr>
        <w:t>Solicitud de Medidas Provisionales.</w:t>
      </w:r>
      <w:r w:rsidRPr="00F713C5">
        <w:rPr>
          <w:rFonts w:ascii="Verdana" w:hAnsi="Verdana"/>
          <w:sz w:val="16"/>
          <w:szCs w:val="16"/>
          <w:lang w:val="es-CR"/>
        </w:rPr>
        <w:t xml:space="preserve"> Resolución de la Corte Interamericana de Derechos Humanos de 7 de febrero de 2006, Considerando 8; </w:t>
      </w:r>
      <w:r w:rsidRPr="00F713C5">
        <w:rPr>
          <w:rFonts w:ascii="Verdana" w:hAnsi="Verdana"/>
          <w:i/>
          <w:sz w:val="16"/>
          <w:szCs w:val="16"/>
          <w:lang w:val="es-CR"/>
        </w:rPr>
        <w:t xml:space="preserve">Caso </w:t>
      </w:r>
      <w:proofErr w:type="spellStart"/>
      <w:r w:rsidRPr="00F713C5">
        <w:rPr>
          <w:rFonts w:ascii="Verdana" w:hAnsi="Verdana"/>
          <w:i/>
          <w:sz w:val="16"/>
          <w:szCs w:val="16"/>
          <w:lang w:val="es-CR"/>
        </w:rPr>
        <w:t>Cesti</w:t>
      </w:r>
      <w:proofErr w:type="spellEnd"/>
      <w:r w:rsidRPr="00F713C5">
        <w:rPr>
          <w:rFonts w:ascii="Verdana" w:hAnsi="Verdana"/>
          <w:i/>
          <w:sz w:val="16"/>
          <w:szCs w:val="16"/>
          <w:lang w:val="es-CR"/>
        </w:rPr>
        <w:t xml:space="preserve"> Hurtado Vs. Perú. Solicitud de Medidas Provisionales y Supervisión de Cumplimiento de Sentencia</w:t>
      </w:r>
      <w:r w:rsidRPr="00F713C5">
        <w:rPr>
          <w:rFonts w:ascii="Verdana" w:hAnsi="Verdana"/>
          <w:sz w:val="16"/>
          <w:szCs w:val="16"/>
          <w:lang w:val="es-CR"/>
        </w:rPr>
        <w:t xml:space="preserve">. Resolución de la Corte Interamericana de Derechos Humanos de 14 de octubre de 2019, Considerandos 24 a 26; Caso </w:t>
      </w:r>
      <w:r w:rsidRPr="00F713C5">
        <w:rPr>
          <w:rFonts w:ascii="Verdana" w:hAnsi="Verdana"/>
          <w:i/>
          <w:sz w:val="16"/>
          <w:szCs w:val="16"/>
          <w:lang w:val="es-CR"/>
        </w:rPr>
        <w:t xml:space="preserve">de la Masacre de Pueblo Bello, Caso de las Masacres de Ituango y Caso Valle Jaramillo y otros Vs. </w:t>
      </w:r>
      <w:r w:rsidRPr="00F713C5">
        <w:rPr>
          <w:rFonts w:ascii="Verdana" w:hAnsi="Verdana"/>
          <w:i/>
          <w:sz w:val="16"/>
          <w:szCs w:val="16"/>
          <w:lang w:val="es-ES"/>
        </w:rPr>
        <w:t>Colombia. Solicitud</w:t>
      </w:r>
      <w:r w:rsidRPr="00F713C5">
        <w:rPr>
          <w:rFonts w:ascii="Verdana" w:hAnsi="Verdana"/>
          <w:i/>
          <w:sz w:val="16"/>
          <w:szCs w:val="16"/>
        </w:rPr>
        <w:t xml:space="preserve"> de Medidas Provisionales y Supervisión de Cumplimiento de Sentencias. </w:t>
      </w:r>
      <w:r w:rsidRPr="00F713C5">
        <w:rPr>
          <w:rFonts w:ascii="Verdana" w:hAnsi="Verdana"/>
          <w:sz w:val="16"/>
          <w:szCs w:val="16"/>
        </w:rPr>
        <w:t>Resolución de la Corte Interamericana de Derechos Humanos de 3 de septiembre de 2020,</w:t>
      </w:r>
      <w:r w:rsidRPr="00F713C5">
        <w:rPr>
          <w:rFonts w:ascii="Verdana" w:hAnsi="Verdana"/>
          <w:i/>
          <w:sz w:val="16"/>
          <w:szCs w:val="16"/>
          <w:lang w:val="es-ES"/>
        </w:rPr>
        <w:t xml:space="preserve"> </w:t>
      </w:r>
      <w:r w:rsidRPr="00F713C5">
        <w:rPr>
          <w:rFonts w:ascii="Verdana" w:hAnsi="Verdana"/>
          <w:sz w:val="16"/>
          <w:szCs w:val="16"/>
          <w:lang w:val="es-ES"/>
        </w:rPr>
        <w:t xml:space="preserve">Considerandos 20 y 21, y </w:t>
      </w:r>
      <w:r w:rsidRPr="00F713C5">
        <w:rPr>
          <w:rFonts w:ascii="Verdana" w:hAnsi="Verdana"/>
          <w:i/>
          <w:sz w:val="16"/>
          <w:szCs w:val="16"/>
          <w:lang w:val="es-ES"/>
        </w:rPr>
        <w:t>Caso Petro Urrego Vs. Colombia. Solicitud de Medias Provisionales y Supervisión de Cumplimiento de Sentencia</w:t>
      </w:r>
      <w:r w:rsidRPr="00F713C5">
        <w:rPr>
          <w:rFonts w:ascii="Verdana" w:hAnsi="Verdana"/>
          <w:sz w:val="16"/>
          <w:szCs w:val="16"/>
          <w:lang w:val="es-ES"/>
        </w:rPr>
        <w:t xml:space="preserve">. Resolución de la Corte Interamericana de Derechos Humanos de 24 de junio de 2021, Considerando 13. </w:t>
      </w:r>
      <w:r w:rsidRPr="00F713C5">
        <w:rPr>
          <w:rFonts w:ascii="Verdana" w:hAnsi="Verdana"/>
          <w:sz w:val="16"/>
          <w:szCs w:val="16"/>
          <w:lang w:val="es-CR"/>
        </w:rPr>
        <w:t xml:space="preserve">Sin embargo, de forma excepcional ha analizado si se configuran los requisitos para adoptar medidas provisionales ante condiciones de particular gravedad cuando guardan relación con la Sentencia. </w:t>
      </w:r>
      <w:r w:rsidRPr="00F713C5">
        <w:rPr>
          <w:rFonts w:ascii="Verdana" w:hAnsi="Verdana"/>
          <w:i/>
          <w:sz w:val="16"/>
          <w:szCs w:val="16"/>
          <w:lang w:val="es-CR"/>
        </w:rPr>
        <w:t xml:space="preserve">Cfr. Caso Durand y Ugarte Vs. </w:t>
      </w:r>
      <w:r w:rsidRPr="00F713C5">
        <w:rPr>
          <w:rFonts w:ascii="Verdana" w:hAnsi="Verdana"/>
          <w:i/>
          <w:sz w:val="16"/>
          <w:szCs w:val="16"/>
          <w:lang w:val="es-ES"/>
        </w:rPr>
        <w:t xml:space="preserve">Perú, supra </w:t>
      </w:r>
      <w:r w:rsidRPr="00F713C5">
        <w:rPr>
          <w:rFonts w:ascii="Verdana" w:hAnsi="Verdana"/>
          <w:sz w:val="16"/>
          <w:szCs w:val="16"/>
          <w:lang w:val="es-ES"/>
        </w:rPr>
        <w:t>nota</w:t>
      </w:r>
      <w:r w:rsidRPr="00F713C5">
        <w:rPr>
          <w:rFonts w:ascii="Verdana" w:hAnsi="Verdana"/>
          <w:i/>
          <w:sz w:val="16"/>
          <w:szCs w:val="16"/>
          <w:lang w:val="es-ES"/>
        </w:rPr>
        <w:t xml:space="preserve"> </w:t>
      </w:r>
      <w:r w:rsidRPr="00F713C5">
        <w:rPr>
          <w:rFonts w:ascii="Verdana" w:hAnsi="Verdana"/>
          <w:sz w:val="16"/>
          <w:szCs w:val="16"/>
          <w:lang w:val="es-ES"/>
        </w:rPr>
        <w:t>2</w:t>
      </w:r>
      <w:r w:rsidR="000E3958" w:rsidRPr="00F713C5">
        <w:rPr>
          <w:rFonts w:ascii="Verdana" w:hAnsi="Verdana"/>
          <w:sz w:val="16"/>
          <w:szCs w:val="16"/>
          <w:lang w:val="es-ES"/>
        </w:rPr>
        <w:t>6</w:t>
      </w:r>
      <w:r w:rsidRPr="00F713C5">
        <w:rPr>
          <w:rFonts w:ascii="Verdana" w:hAnsi="Verdana"/>
          <w:sz w:val="16"/>
          <w:szCs w:val="16"/>
          <w:lang w:val="es-CR"/>
        </w:rPr>
        <w:t>, Considerando 29,</w:t>
      </w:r>
      <w:r w:rsidRPr="00F713C5">
        <w:rPr>
          <w:rFonts w:ascii="Verdana" w:hAnsi="Verdana" w:cs="Arial"/>
          <w:sz w:val="16"/>
          <w:szCs w:val="16"/>
          <w:shd w:val="clear" w:color="auto" w:fill="FFFFFF"/>
          <w:lang w:val="es-CR"/>
        </w:rPr>
        <w:t xml:space="preserve"> y </w:t>
      </w:r>
      <w:r w:rsidRPr="00F713C5">
        <w:rPr>
          <w:rFonts w:ascii="Verdana" w:hAnsi="Verdana" w:cs="Arial"/>
          <w:i/>
          <w:sz w:val="16"/>
          <w:szCs w:val="16"/>
          <w:shd w:val="clear" w:color="auto" w:fill="FFFFFF"/>
          <w:lang w:val="es-CR"/>
        </w:rPr>
        <w:t xml:space="preserve">Caso Vélez Loor Vs. </w:t>
      </w:r>
      <w:r w:rsidRPr="00F713C5">
        <w:rPr>
          <w:rFonts w:ascii="Verdana" w:hAnsi="Verdana" w:cs="Arial"/>
          <w:i/>
          <w:sz w:val="16"/>
          <w:szCs w:val="16"/>
          <w:shd w:val="clear" w:color="auto" w:fill="FFFFFF"/>
          <w:lang w:val="es-ES"/>
        </w:rPr>
        <w:t xml:space="preserve">Panamá. </w:t>
      </w:r>
      <w:r w:rsidRPr="00F713C5">
        <w:rPr>
          <w:rFonts w:ascii="Verdana" w:hAnsi="Verdana" w:cs="Arial"/>
          <w:i/>
          <w:sz w:val="16"/>
          <w:szCs w:val="16"/>
          <w:shd w:val="clear" w:color="auto" w:fill="FFFFFF"/>
          <w:lang w:val="es-CR"/>
        </w:rPr>
        <w:t xml:space="preserve">Medidas Provisionales. Adopción de Medidas Provisionales. </w:t>
      </w:r>
      <w:r w:rsidRPr="00F713C5">
        <w:rPr>
          <w:rFonts w:ascii="Verdana" w:hAnsi="Verdana" w:cs="Arial"/>
          <w:sz w:val="16"/>
          <w:szCs w:val="16"/>
          <w:shd w:val="clear" w:color="auto" w:fill="FFFFFF"/>
          <w:lang w:val="es-CR"/>
        </w:rPr>
        <w:t>Resolución de la Corte Interamericana de Derechos Humanos de 29 de julio de 2020, Considerando 22</w:t>
      </w:r>
      <w:r w:rsidRPr="00F713C5">
        <w:rPr>
          <w:rFonts w:ascii="Verdana" w:hAnsi="Verdana"/>
          <w:sz w:val="16"/>
          <w:szCs w:val="16"/>
          <w:lang w:val="es-CR"/>
        </w:rPr>
        <w:t>.</w:t>
      </w:r>
    </w:p>
  </w:footnote>
  <w:footnote w:id="32">
    <w:p w14:paraId="75423E61" w14:textId="77777777"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Cfr.</w:t>
      </w:r>
      <w:r w:rsidRPr="00F713C5">
        <w:rPr>
          <w:rFonts w:ascii="Verdana" w:hAnsi="Verdana"/>
          <w:sz w:val="16"/>
          <w:szCs w:val="16"/>
        </w:rPr>
        <w:t xml:space="preserve"> </w:t>
      </w:r>
      <w:r w:rsidRPr="00F713C5">
        <w:rPr>
          <w:rFonts w:ascii="Verdana" w:hAnsi="Verdana"/>
          <w:i/>
          <w:sz w:val="16"/>
          <w:szCs w:val="16"/>
        </w:rPr>
        <w:t>Caso Almonacid Arellano y otros Vs. Chile. Excepciones Preliminares, Fondo, Reparaciones y Costas</w:t>
      </w:r>
      <w:r w:rsidRPr="00F713C5">
        <w:rPr>
          <w:rFonts w:ascii="Verdana" w:hAnsi="Verdana"/>
          <w:sz w:val="16"/>
          <w:szCs w:val="16"/>
        </w:rPr>
        <w:t xml:space="preserve">. Sentencia de 26 de septiembre de 2006. Serie C No. 154, párr. 124, y </w:t>
      </w:r>
      <w:r w:rsidRPr="00F713C5">
        <w:rPr>
          <w:rFonts w:ascii="Verdana" w:hAnsi="Verdana"/>
          <w:i/>
          <w:sz w:val="16"/>
          <w:szCs w:val="16"/>
        </w:rPr>
        <w:t>Caso Casa Nina Vs. Perú.</w:t>
      </w:r>
      <w:r w:rsidRPr="00F713C5">
        <w:rPr>
          <w:rFonts w:ascii="Verdana" w:hAnsi="Verdana"/>
          <w:sz w:val="16"/>
          <w:szCs w:val="16"/>
        </w:rPr>
        <w:t xml:space="preserve"> </w:t>
      </w:r>
      <w:r w:rsidRPr="00F713C5">
        <w:rPr>
          <w:rFonts w:ascii="Verdana" w:hAnsi="Verdana"/>
          <w:i/>
          <w:sz w:val="16"/>
          <w:szCs w:val="16"/>
        </w:rPr>
        <w:t>Excepciones Preliminares, Fondo, Reparaciones y Costas</w:t>
      </w:r>
      <w:r w:rsidRPr="00F713C5">
        <w:rPr>
          <w:rFonts w:ascii="Verdana" w:hAnsi="Verdana"/>
          <w:sz w:val="16"/>
          <w:szCs w:val="16"/>
        </w:rPr>
        <w:t>. Sentencia de 24 de noviembre de 2020. Serie C No. 419,</w:t>
      </w:r>
      <w:r w:rsidRPr="00F713C5">
        <w:rPr>
          <w:rFonts w:ascii="Verdana" w:hAnsi="Verdana"/>
          <w:i/>
          <w:sz w:val="16"/>
          <w:szCs w:val="16"/>
        </w:rPr>
        <w:t xml:space="preserve"> </w:t>
      </w:r>
      <w:r w:rsidRPr="00F713C5">
        <w:rPr>
          <w:rFonts w:ascii="Verdana" w:hAnsi="Verdana"/>
          <w:sz w:val="16"/>
          <w:szCs w:val="16"/>
        </w:rPr>
        <w:t>párr. 139.</w:t>
      </w:r>
    </w:p>
  </w:footnote>
  <w:footnote w:id="33">
    <w:p w14:paraId="02C5376C" w14:textId="766A7A39"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 xml:space="preserve">Cfr. </w:t>
      </w:r>
      <w:r w:rsidR="00545B9A" w:rsidRPr="00F713C5">
        <w:rPr>
          <w:rFonts w:ascii="Verdana" w:hAnsi="Verdana"/>
          <w:i/>
          <w:sz w:val="16"/>
          <w:szCs w:val="16"/>
        </w:rPr>
        <w:t>M</w:t>
      </w:r>
      <w:r w:rsidRPr="00F713C5">
        <w:rPr>
          <w:rFonts w:ascii="Verdana" w:hAnsi="Verdana"/>
          <w:i/>
          <w:sz w:val="16"/>
          <w:szCs w:val="16"/>
        </w:rPr>
        <w:t xml:space="preserve">utatis </w:t>
      </w:r>
      <w:proofErr w:type="spellStart"/>
      <w:r w:rsidRPr="00F713C5">
        <w:rPr>
          <w:rFonts w:ascii="Verdana" w:hAnsi="Verdana"/>
          <w:i/>
          <w:sz w:val="16"/>
          <w:szCs w:val="16"/>
        </w:rPr>
        <w:t>mutandi</w:t>
      </w:r>
      <w:proofErr w:type="spellEnd"/>
      <w:r w:rsidRPr="00F713C5">
        <w:rPr>
          <w:rFonts w:ascii="Verdana" w:hAnsi="Verdana"/>
          <w:sz w:val="16"/>
          <w:szCs w:val="16"/>
        </w:rPr>
        <w:t xml:space="preserve">, </w:t>
      </w:r>
      <w:r w:rsidR="00545B9A" w:rsidRPr="00F713C5">
        <w:rPr>
          <w:rFonts w:ascii="Verdana" w:hAnsi="Verdana"/>
          <w:i/>
          <w:sz w:val="16"/>
          <w:szCs w:val="16"/>
        </w:rPr>
        <w:t>Caso Barrios Altos y Caso La Cantuta Vs. Perú. Supervisión de Cumplimiento de Sentencia</w:t>
      </w:r>
      <w:r w:rsidR="00545B9A" w:rsidRPr="00F713C5">
        <w:rPr>
          <w:rFonts w:ascii="Verdana" w:hAnsi="Verdana"/>
          <w:sz w:val="16"/>
          <w:szCs w:val="16"/>
        </w:rPr>
        <w:t xml:space="preserve">. Resolución de la Corte Interamericana de Derechos Humanos de 30 de mayo de 2018, </w:t>
      </w:r>
      <w:r w:rsidRPr="00F713C5">
        <w:rPr>
          <w:rFonts w:ascii="Verdana" w:hAnsi="Verdana"/>
          <w:sz w:val="16"/>
          <w:szCs w:val="16"/>
        </w:rPr>
        <w:t>Considerandos 64 a 68</w:t>
      </w:r>
      <w:r w:rsidR="00545B9A" w:rsidRPr="00F713C5">
        <w:rPr>
          <w:rFonts w:ascii="Verdana" w:hAnsi="Verdana"/>
          <w:sz w:val="16"/>
          <w:szCs w:val="16"/>
        </w:rPr>
        <w:t>.</w:t>
      </w:r>
    </w:p>
  </w:footnote>
  <w:footnote w:id="34">
    <w:p w14:paraId="1CB25EB1" w14:textId="33EB0B97" w:rsidR="00961501" w:rsidRPr="00F713C5" w:rsidRDefault="00961501" w:rsidP="00F713C5">
      <w:pPr>
        <w:pStyle w:val="Textonotapie"/>
        <w:tabs>
          <w:tab w:val="left" w:pos="567"/>
        </w:tabs>
        <w:jc w:val="both"/>
        <w:rPr>
          <w:rFonts w:ascii="Verdana" w:hAnsi="Verdana"/>
          <w:sz w:val="16"/>
          <w:szCs w:val="16"/>
          <w:lang w:val="es-ES"/>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ES"/>
        </w:rPr>
        <w:tab/>
      </w:r>
      <w:r w:rsidRPr="00F713C5">
        <w:rPr>
          <w:rFonts w:ascii="Verdana" w:hAnsi="Verdana"/>
          <w:i/>
          <w:sz w:val="16"/>
          <w:szCs w:val="16"/>
          <w:lang w:val="es-ES"/>
        </w:rPr>
        <w:t>Cfr.</w:t>
      </w:r>
      <w:r w:rsidRPr="00F713C5">
        <w:rPr>
          <w:rFonts w:ascii="Verdana" w:hAnsi="Verdana"/>
          <w:sz w:val="16"/>
          <w:szCs w:val="16"/>
          <w:lang w:val="es-ES"/>
        </w:rPr>
        <w:t xml:space="preserve"> </w:t>
      </w:r>
      <w:r w:rsidRPr="00F713C5">
        <w:rPr>
          <w:rFonts w:ascii="Verdana" w:hAnsi="Verdana" w:cs="Arial"/>
          <w:i/>
          <w:sz w:val="16"/>
          <w:szCs w:val="16"/>
          <w:shd w:val="clear" w:color="auto" w:fill="FFFFFF"/>
        </w:rPr>
        <w:t>Caso Martínez Esquivia Vs. Colombia</w:t>
      </w:r>
      <w:r w:rsidRPr="00F713C5">
        <w:rPr>
          <w:rFonts w:ascii="Verdana" w:hAnsi="Verdana" w:cs="Arial"/>
          <w:sz w:val="16"/>
          <w:szCs w:val="16"/>
          <w:shd w:val="clear" w:color="auto" w:fill="FFFFFF"/>
        </w:rPr>
        <w:t>.</w:t>
      </w:r>
      <w:r w:rsidRPr="00F713C5">
        <w:rPr>
          <w:rFonts w:ascii="Verdana" w:hAnsi="Verdana" w:cs="Arial"/>
          <w:i/>
          <w:sz w:val="16"/>
          <w:szCs w:val="16"/>
          <w:shd w:val="clear" w:color="auto" w:fill="FFFFFF"/>
        </w:rPr>
        <w:t xml:space="preserve"> Excepciones Preliminares, Fondo y Reparaciones</w:t>
      </w:r>
      <w:r w:rsidRPr="00F713C5">
        <w:rPr>
          <w:rFonts w:ascii="Verdana" w:hAnsi="Verdana" w:cs="Arial"/>
          <w:sz w:val="16"/>
          <w:szCs w:val="16"/>
          <w:shd w:val="clear" w:color="auto" w:fill="FFFFFF"/>
        </w:rPr>
        <w:t xml:space="preserve">. Sentencia de 6 de octubre de 2020. Serie C No.412, párr. 94, y </w:t>
      </w:r>
      <w:r w:rsidRPr="00F713C5">
        <w:rPr>
          <w:rFonts w:ascii="Verdana" w:hAnsi="Verdana" w:cs="Arial"/>
          <w:i/>
          <w:sz w:val="16"/>
          <w:szCs w:val="16"/>
          <w:shd w:val="clear" w:color="auto" w:fill="FFFFFF"/>
        </w:rPr>
        <w:t>Caso Casa Nina Vs. Perú</w:t>
      </w:r>
      <w:r w:rsidRPr="00F713C5">
        <w:rPr>
          <w:rFonts w:ascii="Verdana" w:hAnsi="Verdana" w:cs="Arial"/>
          <w:sz w:val="16"/>
          <w:szCs w:val="16"/>
          <w:shd w:val="clear" w:color="auto" w:fill="FFFFFF"/>
        </w:rPr>
        <w:t xml:space="preserve">, </w:t>
      </w:r>
      <w:r w:rsidRPr="00F713C5">
        <w:rPr>
          <w:rFonts w:ascii="Verdana" w:hAnsi="Verdana" w:cs="Arial"/>
          <w:i/>
          <w:sz w:val="16"/>
          <w:szCs w:val="16"/>
          <w:shd w:val="clear" w:color="auto" w:fill="FFFFFF"/>
        </w:rPr>
        <w:t xml:space="preserve">supra </w:t>
      </w:r>
      <w:r w:rsidRPr="00F713C5">
        <w:rPr>
          <w:rFonts w:ascii="Verdana" w:hAnsi="Verdana" w:cs="Arial"/>
          <w:sz w:val="16"/>
          <w:szCs w:val="16"/>
          <w:shd w:val="clear" w:color="auto" w:fill="FFFFFF"/>
        </w:rPr>
        <w:t>nota 32, párr. 78.</w:t>
      </w:r>
    </w:p>
  </w:footnote>
  <w:footnote w:id="35">
    <w:p w14:paraId="01E75B6F" w14:textId="0F829886" w:rsidR="00961501" w:rsidRPr="00F713C5" w:rsidRDefault="00961501" w:rsidP="00F713C5">
      <w:pPr>
        <w:pStyle w:val="Prrafodelista"/>
        <w:widowControl w:val="0"/>
        <w:tabs>
          <w:tab w:val="left" w:pos="567"/>
        </w:tabs>
        <w:ind w:left="0"/>
        <w:jc w:val="both"/>
        <w:rPr>
          <w:rFonts w:ascii="Verdana" w:eastAsia="Times New Roman" w:hAnsi="Verdana" w:cs="Arial"/>
          <w:sz w:val="16"/>
          <w:szCs w:val="16"/>
          <w:lang w:val="es-GT" w:eastAsia="es-GT"/>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 xml:space="preserve">Cfr. </w:t>
      </w:r>
      <w:r w:rsidRPr="00F713C5">
        <w:rPr>
          <w:rFonts w:ascii="Verdana" w:hAnsi="Verdana" w:cs="Arial"/>
          <w:i/>
          <w:sz w:val="16"/>
          <w:szCs w:val="16"/>
          <w:shd w:val="clear" w:color="auto" w:fill="FFFFFF"/>
        </w:rPr>
        <w:t>Caso Martínez Esquivia Vs. Colombia</w:t>
      </w:r>
      <w:r w:rsidRPr="00F713C5">
        <w:rPr>
          <w:rFonts w:ascii="Verdana" w:hAnsi="Verdana" w:cs="Arial"/>
          <w:sz w:val="16"/>
          <w:szCs w:val="16"/>
          <w:shd w:val="clear" w:color="auto" w:fill="FFFFFF"/>
        </w:rPr>
        <w:t xml:space="preserve">, </w:t>
      </w:r>
      <w:r w:rsidRPr="00F713C5">
        <w:rPr>
          <w:rFonts w:ascii="Verdana" w:hAnsi="Verdana" w:cs="Arial"/>
          <w:i/>
          <w:sz w:val="16"/>
          <w:szCs w:val="16"/>
          <w:shd w:val="clear" w:color="auto" w:fill="FFFFFF"/>
        </w:rPr>
        <w:t xml:space="preserve">supra </w:t>
      </w:r>
      <w:r w:rsidRPr="00F713C5">
        <w:rPr>
          <w:rFonts w:ascii="Verdana" w:hAnsi="Verdana" w:cs="Arial"/>
          <w:sz w:val="16"/>
          <w:szCs w:val="16"/>
          <w:shd w:val="clear" w:color="auto" w:fill="FFFFFF"/>
        </w:rPr>
        <w:t>nota 3</w:t>
      </w:r>
      <w:r w:rsidR="000E3958" w:rsidRPr="00F713C5">
        <w:rPr>
          <w:rFonts w:ascii="Verdana" w:hAnsi="Verdana" w:cs="Arial"/>
          <w:sz w:val="16"/>
          <w:szCs w:val="16"/>
          <w:shd w:val="clear" w:color="auto" w:fill="FFFFFF"/>
        </w:rPr>
        <w:t>4</w:t>
      </w:r>
      <w:r w:rsidRPr="00F713C5">
        <w:rPr>
          <w:rFonts w:ascii="Verdana" w:hAnsi="Verdana" w:cs="Arial"/>
          <w:sz w:val="16"/>
          <w:szCs w:val="16"/>
          <w:shd w:val="clear" w:color="auto" w:fill="FFFFFF"/>
        </w:rPr>
        <w:t xml:space="preserve">, párr. 88, y </w:t>
      </w:r>
      <w:r w:rsidRPr="00F713C5">
        <w:rPr>
          <w:rFonts w:ascii="Verdana" w:hAnsi="Verdana" w:cs="Arial"/>
          <w:i/>
          <w:sz w:val="16"/>
          <w:szCs w:val="16"/>
          <w:shd w:val="clear" w:color="auto" w:fill="FFFFFF"/>
        </w:rPr>
        <w:t>Caso Casa Nina Vs. Perú</w:t>
      </w:r>
      <w:r w:rsidRPr="00F713C5">
        <w:rPr>
          <w:rFonts w:ascii="Verdana" w:hAnsi="Verdana" w:cs="Arial"/>
          <w:sz w:val="16"/>
          <w:szCs w:val="16"/>
          <w:shd w:val="clear" w:color="auto" w:fill="FFFFFF"/>
        </w:rPr>
        <w:t xml:space="preserve">, </w:t>
      </w:r>
      <w:r w:rsidRPr="00F713C5">
        <w:rPr>
          <w:rFonts w:ascii="Verdana" w:hAnsi="Verdana" w:cs="Arial"/>
          <w:i/>
          <w:sz w:val="16"/>
          <w:szCs w:val="16"/>
          <w:shd w:val="clear" w:color="auto" w:fill="FFFFFF"/>
        </w:rPr>
        <w:t xml:space="preserve">supra </w:t>
      </w:r>
      <w:r w:rsidRPr="00F713C5">
        <w:rPr>
          <w:rFonts w:ascii="Verdana" w:hAnsi="Verdana" w:cs="Arial"/>
          <w:sz w:val="16"/>
          <w:szCs w:val="16"/>
          <w:shd w:val="clear" w:color="auto" w:fill="FFFFFF"/>
        </w:rPr>
        <w:t>nota 32, párr. 72.</w:t>
      </w:r>
    </w:p>
  </w:footnote>
  <w:footnote w:id="36">
    <w:p w14:paraId="23AB6E78" w14:textId="6D4940E8" w:rsidR="00961501" w:rsidRPr="00F713C5" w:rsidRDefault="00961501" w:rsidP="00F713C5">
      <w:pPr>
        <w:pStyle w:val="Prrafodelista"/>
        <w:widowControl w:val="0"/>
        <w:tabs>
          <w:tab w:val="left" w:pos="567"/>
        </w:tabs>
        <w:ind w:left="0"/>
        <w:jc w:val="both"/>
        <w:rPr>
          <w:rFonts w:ascii="Verdana" w:eastAsia="Times New Roman" w:hAnsi="Verdana" w:cs="Arial"/>
          <w:sz w:val="16"/>
          <w:szCs w:val="16"/>
          <w:lang w:val="es-GT" w:eastAsia="es-GT"/>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Caso Casa Nina Vs. Perú</w:t>
      </w:r>
      <w:r w:rsidRPr="00F713C5">
        <w:rPr>
          <w:rFonts w:ascii="Verdana" w:hAnsi="Verdana"/>
          <w:sz w:val="16"/>
          <w:szCs w:val="16"/>
        </w:rPr>
        <w:t xml:space="preserve">, </w:t>
      </w:r>
      <w:r w:rsidRPr="00F713C5">
        <w:rPr>
          <w:rFonts w:ascii="Verdana" w:hAnsi="Verdana"/>
          <w:i/>
          <w:sz w:val="16"/>
          <w:szCs w:val="16"/>
        </w:rPr>
        <w:t xml:space="preserve">supra </w:t>
      </w:r>
      <w:r w:rsidRPr="00F713C5">
        <w:rPr>
          <w:rFonts w:ascii="Verdana" w:hAnsi="Verdana"/>
          <w:sz w:val="16"/>
          <w:szCs w:val="16"/>
        </w:rPr>
        <w:t>nota 32,</w:t>
      </w:r>
      <w:r w:rsidRPr="00F713C5">
        <w:rPr>
          <w:rFonts w:ascii="Verdana" w:hAnsi="Verdana"/>
          <w:i/>
          <w:sz w:val="16"/>
          <w:szCs w:val="16"/>
        </w:rPr>
        <w:t xml:space="preserve"> </w:t>
      </w:r>
      <w:r w:rsidRPr="00F713C5">
        <w:rPr>
          <w:rFonts w:ascii="Verdana" w:hAnsi="Verdana"/>
          <w:sz w:val="16"/>
          <w:szCs w:val="16"/>
        </w:rPr>
        <w:t>párr. 80.</w:t>
      </w:r>
    </w:p>
  </w:footnote>
  <w:footnote w:id="37">
    <w:p w14:paraId="02B9AD78" w14:textId="0F59E418"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Cfr. Caso Martínez Esquivia Vs. Colombia</w:t>
      </w:r>
      <w:r w:rsidRPr="00F713C5">
        <w:rPr>
          <w:rFonts w:ascii="Verdana" w:hAnsi="Verdana"/>
          <w:sz w:val="16"/>
          <w:szCs w:val="16"/>
        </w:rPr>
        <w:t xml:space="preserve">, </w:t>
      </w:r>
      <w:r w:rsidRPr="00F713C5">
        <w:rPr>
          <w:rFonts w:ascii="Verdana" w:hAnsi="Verdana"/>
          <w:i/>
          <w:sz w:val="16"/>
          <w:szCs w:val="16"/>
        </w:rPr>
        <w:t xml:space="preserve">supra </w:t>
      </w:r>
      <w:r w:rsidRPr="00F713C5">
        <w:rPr>
          <w:rFonts w:ascii="Verdana" w:hAnsi="Verdana"/>
          <w:sz w:val="16"/>
          <w:szCs w:val="16"/>
        </w:rPr>
        <w:t>nota 3</w:t>
      </w:r>
      <w:r w:rsidR="000E3958" w:rsidRPr="00F713C5">
        <w:rPr>
          <w:rFonts w:ascii="Verdana" w:hAnsi="Verdana"/>
          <w:sz w:val="16"/>
          <w:szCs w:val="16"/>
        </w:rPr>
        <w:t>4</w:t>
      </w:r>
      <w:r w:rsidRPr="00F713C5">
        <w:rPr>
          <w:rFonts w:ascii="Verdana" w:hAnsi="Verdana"/>
          <w:sz w:val="16"/>
          <w:szCs w:val="16"/>
        </w:rPr>
        <w:t xml:space="preserve">, párr. 96, y </w:t>
      </w:r>
      <w:r w:rsidRPr="00F713C5">
        <w:rPr>
          <w:rFonts w:ascii="Verdana" w:hAnsi="Verdana"/>
          <w:i/>
          <w:sz w:val="16"/>
          <w:szCs w:val="16"/>
        </w:rPr>
        <w:t>Caso Casa Nina Vs. Perú</w:t>
      </w:r>
      <w:r w:rsidRPr="00F713C5">
        <w:rPr>
          <w:rFonts w:ascii="Verdana" w:hAnsi="Verdana"/>
          <w:sz w:val="16"/>
          <w:szCs w:val="16"/>
        </w:rPr>
        <w:t xml:space="preserve">, </w:t>
      </w:r>
      <w:r w:rsidRPr="00F713C5">
        <w:rPr>
          <w:rFonts w:ascii="Verdana" w:hAnsi="Verdana"/>
          <w:i/>
          <w:sz w:val="16"/>
          <w:szCs w:val="16"/>
        </w:rPr>
        <w:t xml:space="preserve">supra </w:t>
      </w:r>
      <w:r w:rsidRPr="00F713C5">
        <w:rPr>
          <w:rFonts w:ascii="Verdana" w:hAnsi="Verdana"/>
          <w:sz w:val="16"/>
          <w:szCs w:val="16"/>
        </w:rPr>
        <w:t>nota 32, párr. 80.</w:t>
      </w:r>
    </w:p>
  </w:footnote>
  <w:footnote w:id="38">
    <w:p w14:paraId="28407DBB" w14:textId="71AB7011" w:rsidR="00961501" w:rsidRPr="00F713C5" w:rsidRDefault="00961501" w:rsidP="00F713C5">
      <w:pPr>
        <w:pStyle w:val="Textonotapie"/>
        <w:tabs>
          <w:tab w:val="left" w:pos="567"/>
        </w:tabs>
        <w:jc w:val="both"/>
        <w:rPr>
          <w:rFonts w:ascii="Verdana" w:hAnsi="Verdana" w:cstheme="minorHAnsi"/>
          <w:sz w:val="16"/>
          <w:szCs w:val="16"/>
          <w:lang w:val="es-CO"/>
        </w:rPr>
      </w:pPr>
      <w:r w:rsidRPr="00F713C5">
        <w:rPr>
          <w:rStyle w:val="Refdenotaalpie"/>
          <w:szCs w:val="16"/>
          <w:lang w:val="es-CO"/>
        </w:rPr>
        <w:footnoteRef/>
      </w:r>
      <w:r w:rsidRPr="00F713C5">
        <w:rPr>
          <w:rFonts w:ascii="Verdana" w:hAnsi="Verdana" w:cstheme="minorHAnsi"/>
          <w:sz w:val="16"/>
          <w:szCs w:val="16"/>
          <w:lang w:val="es-CO"/>
        </w:rPr>
        <w:t xml:space="preserve"> </w:t>
      </w:r>
      <w:r w:rsidRPr="00F713C5">
        <w:rPr>
          <w:rFonts w:ascii="Verdana" w:hAnsi="Verdana" w:cstheme="minorHAnsi"/>
          <w:sz w:val="16"/>
          <w:szCs w:val="16"/>
          <w:lang w:val="es-CO"/>
        </w:rPr>
        <w:tab/>
      </w:r>
      <w:r w:rsidRPr="00F713C5">
        <w:rPr>
          <w:rFonts w:ascii="Verdana" w:hAnsi="Verdana" w:cstheme="minorHAnsi"/>
          <w:i/>
          <w:sz w:val="16"/>
          <w:szCs w:val="16"/>
          <w:lang w:val="es-CO"/>
        </w:rPr>
        <w:t>Cfr.</w:t>
      </w:r>
      <w:r w:rsidRPr="00F713C5">
        <w:rPr>
          <w:rFonts w:ascii="Verdana" w:hAnsi="Verdana" w:cstheme="minorHAnsi"/>
          <w:sz w:val="16"/>
          <w:szCs w:val="16"/>
          <w:lang w:val="es-CO"/>
        </w:rPr>
        <w:t xml:space="preserve"> </w:t>
      </w:r>
      <w:r w:rsidRPr="00F713C5">
        <w:rPr>
          <w:rFonts w:ascii="Verdana" w:hAnsi="Verdana" w:cstheme="minorHAnsi"/>
          <w:i/>
          <w:sz w:val="16"/>
          <w:szCs w:val="16"/>
          <w:lang w:val="es-CO"/>
        </w:rPr>
        <w:t xml:space="preserve">Caso </w:t>
      </w:r>
      <w:r w:rsidRPr="00F713C5">
        <w:rPr>
          <w:rFonts w:ascii="Verdana" w:hAnsi="Verdana" w:cs="Arial"/>
          <w:i/>
          <w:sz w:val="16"/>
          <w:szCs w:val="16"/>
          <w:shd w:val="clear" w:color="auto" w:fill="FFFFFF"/>
        </w:rPr>
        <w:t xml:space="preserve">Martínez Esquivia Vs. </w:t>
      </w:r>
      <w:r w:rsidRPr="00F713C5">
        <w:rPr>
          <w:rFonts w:ascii="Verdana" w:hAnsi="Verdana" w:cs="Arial"/>
          <w:sz w:val="16"/>
          <w:szCs w:val="16"/>
          <w:shd w:val="clear" w:color="auto" w:fill="FFFFFF"/>
        </w:rPr>
        <w:t>Colombia</w:t>
      </w:r>
      <w:r w:rsidRPr="00F713C5">
        <w:rPr>
          <w:rFonts w:ascii="Verdana" w:hAnsi="Verdana" w:cstheme="minorHAnsi"/>
          <w:sz w:val="16"/>
          <w:szCs w:val="16"/>
          <w:lang w:val="es-CO"/>
        </w:rPr>
        <w:t xml:space="preserve">, </w:t>
      </w:r>
      <w:r w:rsidRPr="00F713C5">
        <w:rPr>
          <w:rFonts w:ascii="Verdana" w:hAnsi="Verdana" w:cstheme="minorHAnsi"/>
          <w:i/>
          <w:sz w:val="16"/>
          <w:szCs w:val="16"/>
          <w:lang w:val="es-CO"/>
        </w:rPr>
        <w:t xml:space="preserve">supra </w:t>
      </w:r>
      <w:r w:rsidRPr="00F713C5">
        <w:rPr>
          <w:rFonts w:ascii="Verdana" w:hAnsi="Verdana" w:cstheme="minorHAnsi"/>
          <w:sz w:val="16"/>
          <w:szCs w:val="16"/>
          <w:lang w:val="es-CO"/>
        </w:rPr>
        <w:t>nota 3</w:t>
      </w:r>
      <w:r w:rsidR="000E3958" w:rsidRPr="00F713C5">
        <w:rPr>
          <w:rFonts w:ascii="Verdana" w:hAnsi="Verdana" w:cstheme="minorHAnsi"/>
          <w:sz w:val="16"/>
          <w:szCs w:val="16"/>
          <w:lang w:val="es-CO"/>
        </w:rPr>
        <w:t>4</w:t>
      </w:r>
      <w:r w:rsidRPr="00F713C5">
        <w:rPr>
          <w:rFonts w:ascii="Verdana" w:hAnsi="Verdana" w:cstheme="minorHAnsi"/>
          <w:sz w:val="16"/>
          <w:szCs w:val="16"/>
          <w:lang w:val="es-CO"/>
        </w:rPr>
        <w:t xml:space="preserve">, </w:t>
      </w:r>
      <w:proofErr w:type="spellStart"/>
      <w:r w:rsidRPr="00F713C5">
        <w:rPr>
          <w:rFonts w:ascii="Verdana" w:hAnsi="Verdana" w:cstheme="minorHAnsi"/>
          <w:sz w:val="16"/>
          <w:szCs w:val="16"/>
          <w:lang w:val="es-CO"/>
        </w:rPr>
        <w:t>párrs</w:t>
      </w:r>
      <w:proofErr w:type="spellEnd"/>
      <w:r w:rsidRPr="00F713C5">
        <w:rPr>
          <w:rFonts w:ascii="Verdana" w:hAnsi="Verdana" w:cstheme="minorHAnsi"/>
          <w:sz w:val="16"/>
          <w:szCs w:val="16"/>
          <w:lang w:val="es-CO"/>
        </w:rPr>
        <w:t>. 115 y 116, y Caso</w:t>
      </w:r>
      <w:r w:rsidRPr="00F713C5">
        <w:rPr>
          <w:rFonts w:ascii="Verdana" w:hAnsi="Verdana" w:cstheme="minorHAnsi"/>
          <w:i/>
          <w:sz w:val="16"/>
          <w:szCs w:val="16"/>
          <w:lang w:val="es-CO"/>
        </w:rPr>
        <w:t xml:space="preserve"> Casa Nina Vs. Perú, supra </w:t>
      </w:r>
      <w:r w:rsidRPr="00F713C5">
        <w:rPr>
          <w:rFonts w:ascii="Verdana" w:hAnsi="Verdana" w:cstheme="minorHAnsi"/>
          <w:sz w:val="16"/>
          <w:szCs w:val="16"/>
          <w:lang w:val="es-CO"/>
        </w:rPr>
        <w:t xml:space="preserve">nota 32, </w:t>
      </w:r>
      <w:proofErr w:type="spellStart"/>
      <w:r w:rsidRPr="00F713C5">
        <w:rPr>
          <w:rFonts w:ascii="Verdana" w:hAnsi="Verdana" w:cstheme="minorHAnsi"/>
          <w:sz w:val="16"/>
          <w:szCs w:val="16"/>
          <w:lang w:val="es-CO"/>
        </w:rPr>
        <w:t>párrs</w:t>
      </w:r>
      <w:proofErr w:type="spellEnd"/>
      <w:r w:rsidRPr="00F713C5">
        <w:rPr>
          <w:rFonts w:ascii="Verdana" w:hAnsi="Verdana" w:cstheme="minorHAnsi"/>
          <w:sz w:val="16"/>
          <w:szCs w:val="16"/>
          <w:lang w:val="es-CO"/>
        </w:rPr>
        <w:t>. 97 y 98.</w:t>
      </w:r>
    </w:p>
  </w:footnote>
  <w:footnote w:id="39">
    <w:p w14:paraId="4D243E0F" w14:textId="0AEE53D1"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 xml:space="preserve">Cfr. </w:t>
      </w:r>
      <w:r w:rsidRPr="00F713C5">
        <w:rPr>
          <w:rFonts w:ascii="Verdana" w:hAnsi="Verdana" w:cstheme="minorHAnsi"/>
          <w:i/>
          <w:sz w:val="16"/>
          <w:szCs w:val="16"/>
          <w:lang w:val="es-CO"/>
        </w:rPr>
        <w:t xml:space="preserve">Caso </w:t>
      </w:r>
      <w:r w:rsidRPr="00F713C5">
        <w:rPr>
          <w:rFonts w:ascii="Verdana" w:hAnsi="Verdana" w:cs="Arial"/>
          <w:i/>
          <w:sz w:val="16"/>
          <w:szCs w:val="16"/>
          <w:shd w:val="clear" w:color="auto" w:fill="FFFFFF"/>
        </w:rPr>
        <w:t xml:space="preserve">Martínez Esquivia Vs. </w:t>
      </w:r>
      <w:r w:rsidRPr="00F713C5">
        <w:rPr>
          <w:rFonts w:ascii="Verdana" w:hAnsi="Verdana" w:cs="Arial"/>
          <w:sz w:val="16"/>
          <w:szCs w:val="16"/>
          <w:shd w:val="clear" w:color="auto" w:fill="FFFFFF"/>
        </w:rPr>
        <w:t>Colombia</w:t>
      </w:r>
      <w:r w:rsidRPr="00F713C5">
        <w:rPr>
          <w:rFonts w:ascii="Verdana" w:hAnsi="Verdana" w:cstheme="minorHAnsi"/>
          <w:sz w:val="16"/>
          <w:szCs w:val="16"/>
          <w:lang w:val="es-CO"/>
        </w:rPr>
        <w:t xml:space="preserve">, </w:t>
      </w:r>
      <w:r w:rsidRPr="00F713C5">
        <w:rPr>
          <w:rFonts w:ascii="Verdana" w:hAnsi="Verdana" w:cstheme="minorHAnsi"/>
          <w:i/>
          <w:sz w:val="16"/>
          <w:szCs w:val="16"/>
          <w:lang w:val="es-CO"/>
        </w:rPr>
        <w:t xml:space="preserve">supra </w:t>
      </w:r>
      <w:r w:rsidRPr="00F713C5">
        <w:rPr>
          <w:rFonts w:ascii="Verdana" w:hAnsi="Verdana" w:cstheme="minorHAnsi"/>
          <w:sz w:val="16"/>
          <w:szCs w:val="16"/>
          <w:lang w:val="es-CO"/>
        </w:rPr>
        <w:t>nota 3</w:t>
      </w:r>
      <w:r w:rsidR="000E3958" w:rsidRPr="00F713C5">
        <w:rPr>
          <w:rFonts w:ascii="Verdana" w:hAnsi="Verdana" w:cstheme="minorHAnsi"/>
          <w:sz w:val="16"/>
          <w:szCs w:val="16"/>
          <w:lang w:val="es-CO"/>
        </w:rPr>
        <w:t>4</w:t>
      </w:r>
      <w:r w:rsidRPr="00F713C5">
        <w:rPr>
          <w:rFonts w:ascii="Verdana" w:hAnsi="Verdana" w:cstheme="minorHAnsi"/>
          <w:sz w:val="16"/>
          <w:szCs w:val="16"/>
          <w:lang w:val="es-CO"/>
        </w:rPr>
        <w:t>, párr. 116, y</w:t>
      </w:r>
      <w:r w:rsidRPr="00F713C5">
        <w:rPr>
          <w:rFonts w:ascii="Verdana" w:hAnsi="Verdana" w:cstheme="minorHAnsi"/>
          <w:i/>
          <w:sz w:val="16"/>
          <w:szCs w:val="16"/>
          <w:lang w:val="es-CO"/>
        </w:rPr>
        <w:t xml:space="preserve"> Caso Casa Nina Vs. Perú, supra </w:t>
      </w:r>
      <w:r w:rsidRPr="00F713C5">
        <w:rPr>
          <w:rFonts w:ascii="Verdana" w:hAnsi="Verdana" w:cstheme="minorHAnsi"/>
          <w:sz w:val="16"/>
          <w:szCs w:val="16"/>
          <w:lang w:val="es-CO"/>
        </w:rPr>
        <w:t>nota 32, párr. 98.</w:t>
      </w:r>
    </w:p>
  </w:footnote>
  <w:footnote w:id="40">
    <w:p w14:paraId="026DAF1A" w14:textId="38855D80"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Cfr.</w:t>
      </w:r>
      <w:r w:rsidRPr="00F713C5">
        <w:rPr>
          <w:rFonts w:ascii="Verdana" w:hAnsi="Verdana"/>
          <w:sz w:val="16"/>
          <w:szCs w:val="16"/>
        </w:rPr>
        <w:t xml:space="preserve"> </w:t>
      </w:r>
      <w:r w:rsidRPr="00F713C5">
        <w:rPr>
          <w:rFonts w:ascii="Verdana" w:hAnsi="Verdana"/>
          <w:i/>
          <w:sz w:val="16"/>
          <w:szCs w:val="16"/>
        </w:rPr>
        <w:t xml:space="preserve">Caso Martínez Esquivia Vs. Colombia, supra </w:t>
      </w:r>
      <w:r w:rsidRPr="00F713C5">
        <w:rPr>
          <w:rFonts w:ascii="Verdana" w:hAnsi="Verdana"/>
          <w:sz w:val="16"/>
          <w:szCs w:val="16"/>
        </w:rPr>
        <w:t>nota 3</w:t>
      </w:r>
      <w:r w:rsidR="000E3958" w:rsidRPr="00F713C5">
        <w:rPr>
          <w:rFonts w:ascii="Verdana" w:hAnsi="Verdana"/>
          <w:sz w:val="16"/>
          <w:szCs w:val="16"/>
        </w:rPr>
        <w:t>4</w:t>
      </w:r>
      <w:r w:rsidRPr="00F713C5">
        <w:rPr>
          <w:rFonts w:ascii="Verdana" w:hAnsi="Verdana"/>
          <w:sz w:val="16"/>
          <w:szCs w:val="16"/>
        </w:rPr>
        <w:t xml:space="preserve">, párr. 115, y </w:t>
      </w:r>
      <w:r w:rsidRPr="00F713C5">
        <w:rPr>
          <w:rFonts w:ascii="Verdana" w:hAnsi="Verdana"/>
          <w:i/>
          <w:sz w:val="16"/>
          <w:szCs w:val="16"/>
        </w:rPr>
        <w:t xml:space="preserve">Caso Casa Nina Vs. Perú, supra </w:t>
      </w:r>
      <w:r w:rsidRPr="00F713C5">
        <w:rPr>
          <w:rFonts w:ascii="Verdana" w:hAnsi="Verdana"/>
          <w:sz w:val="16"/>
          <w:szCs w:val="16"/>
        </w:rPr>
        <w:t>nota 32, párr. 97.</w:t>
      </w:r>
    </w:p>
  </w:footnote>
  <w:footnote w:id="41">
    <w:p w14:paraId="44E33044" w14:textId="5877831C" w:rsidR="00961501" w:rsidRPr="00F713C5" w:rsidRDefault="00961501" w:rsidP="00F713C5">
      <w:pPr>
        <w:pStyle w:val="Textonotapie"/>
        <w:tabs>
          <w:tab w:val="left" w:pos="567"/>
        </w:tabs>
        <w:jc w:val="both"/>
        <w:rPr>
          <w:rFonts w:ascii="Verdana" w:hAnsi="Verdana"/>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r>
      <w:r w:rsidRPr="00F713C5">
        <w:rPr>
          <w:rFonts w:ascii="Verdana" w:hAnsi="Verdana"/>
          <w:i/>
          <w:sz w:val="16"/>
          <w:szCs w:val="16"/>
        </w:rPr>
        <w:t>Cfr.</w:t>
      </w:r>
      <w:r w:rsidRPr="00F713C5">
        <w:rPr>
          <w:rFonts w:ascii="Verdana" w:hAnsi="Verdana" w:cstheme="minorHAnsi"/>
          <w:i/>
          <w:sz w:val="16"/>
          <w:szCs w:val="16"/>
          <w:lang w:val="es-CO"/>
        </w:rPr>
        <w:t xml:space="preserve"> Caso </w:t>
      </w:r>
      <w:r w:rsidRPr="00F713C5">
        <w:rPr>
          <w:rFonts w:ascii="Verdana" w:hAnsi="Verdana" w:cs="Arial"/>
          <w:i/>
          <w:sz w:val="16"/>
          <w:szCs w:val="16"/>
          <w:shd w:val="clear" w:color="auto" w:fill="FFFFFF"/>
        </w:rPr>
        <w:t xml:space="preserve">Martínez Esquivia Vs. </w:t>
      </w:r>
      <w:r w:rsidRPr="00F713C5">
        <w:rPr>
          <w:rFonts w:ascii="Verdana" w:hAnsi="Verdana" w:cs="Arial"/>
          <w:sz w:val="16"/>
          <w:szCs w:val="16"/>
          <w:shd w:val="clear" w:color="auto" w:fill="FFFFFF"/>
        </w:rPr>
        <w:t>Colombia</w:t>
      </w:r>
      <w:r w:rsidRPr="00F713C5">
        <w:rPr>
          <w:rFonts w:ascii="Verdana" w:hAnsi="Verdana" w:cstheme="minorHAnsi"/>
          <w:sz w:val="16"/>
          <w:szCs w:val="16"/>
          <w:lang w:val="es-CO"/>
        </w:rPr>
        <w:t xml:space="preserve">, </w:t>
      </w:r>
      <w:r w:rsidRPr="00F713C5">
        <w:rPr>
          <w:rFonts w:ascii="Verdana" w:hAnsi="Verdana" w:cstheme="minorHAnsi"/>
          <w:i/>
          <w:sz w:val="16"/>
          <w:szCs w:val="16"/>
          <w:lang w:val="es-CO"/>
        </w:rPr>
        <w:t xml:space="preserve">supra </w:t>
      </w:r>
      <w:r w:rsidRPr="00F713C5">
        <w:rPr>
          <w:rFonts w:ascii="Verdana" w:hAnsi="Verdana" w:cstheme="minorHAnsi"/>
          <w:sz w:val="16"/>
          <w:szCs w:val="16"/>
          <w:lang w:val="es-CO"/>
        </w:rPr>
        <w:t>nota 3</w:t>
      </w:r>
      <w:r w:rsidR="000E3958" w:rsidRPr="00F713C5">
        <w:rPr>
          <w:rFonts w:ascii="Verdana" w:hAnsi="Verdana" w:cstheme="minorHAnsi"/>
          <w:sz w:val="16"/>
          <w:szCs w:val="16"/>
          <w:lang w:val="es-CO"/>
        </w:rPr>
        <w:t>4</w:t>
      </w:r>
      <w:r w:rsidRPr="00F713C5">
        <w:rPr>
          <w:rFonts w:ascii="Verdana" w:hAnsi="Verdana" w:cstheme="minorHAnsi"/>
          <w:sz w:val="16"/>
          <w:szCs w:val="16"/>
          <w:lang w:val="es-CO"/>
        </w:rPr>
        <w:t>, párr. 116,</w:t>
      </w:r>
      <w:r w:rsidRPr="00F713C5">
        <w:rPr>
          <w:rFonts w:ascii="Verdana" w:hAnsi="Verdana"/>
          <w:i/>
          <w:sz w:val="16"/>
          <w:szCs w:val="16"/>
        </w:rPr>
        <w:t xml:space="preserve"> </w:t>
      </w:r>
      <w:r w:rsidRPr="00F713C5">
        <w:rPr>
          <w:rFonts w:ascii="Verdana" w:hAnsi="Verdana"/>
          <w:sz w:val="16"/>
          <w:szCs w:val="16"/>
        </w:rPr>
        <w:t xml:space="preserve">y </w:t>
      </w:r>
      <w:r w:rsidRPr="00F713C5">
        <w:rPr>
          <w:rFonts w:ascii="Verdana" w:hAnsi="Verdana" w:cstheme="minorHAnsi"/>
          <w:i/>
          <w:sz w:val="16"/>
          <w:szCs w:val="16"/>
          <w:lang w:val="es-CO"/>
        </w:rPr>
        <w:t xml:space="preserve">Caso Casa Nina Vs. Perú, supra </w:t>
      </w:r>
      <w:r w:rsidRPr="00F713C5">
        <w:rPr>
          <w:rFonts w:ascii="Verdana" w:hAnsi="Verdana" w:cstheme="minorHAnsi"/>
          <w:sz w:val="16"/>
          <w:szCs w:val="16"/>
          <w:lang w:val="es-CO"/>
        </w:rPr>
        <w:t>nota 32, párr. 98.</w:t>
      </w:r>
    </w:p>
  </w:footnote>
  <w:footnote w:id="42">
    <w:p w14:paraId="5ABF86E8" w14:textId="2824C46C" w:rsidR="00961501" w:rsidRPr="00F713C5" w:rsidRDefault="00961501" w:rsidP="00F713C5">
      <w:pPr>
        <w:pStyle w:val="Textonotapie"/>
        <w:tabs>
          <w:tab w:val="left" w:pos="567"/>
        </w:tabs>
        <w:jc w:val="both"/>
        <w:rPr>
          <w:rFonts w:ascii="Verdana" w:hAnsi="Verdana"/>
          <w:i/>
          <w:sz w:val="16"/>
          <w:szCs w:val="16"/>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rPr>
        <w:tab/>
        <w:t xml:space="preserve">En el caso </w:t>
      </w:r>
      <w:r w:rsidRPr="00F713C5">
        <w:rPr>
          <w:rFonts w:ascii="Verdana" w:hAnsi="Verdana"/>
          <w:i/>
          <w:sz w:val="16"/>
          <w:szCs w:val="16"/>
        </w:rPr>
        <w:t>Casa Nina</w:t>
      </w:r>
      <w:r w:rsidRPr="00F713C5">
        <w:rPr>
          <w:rFonts w:ascii="Verdana" w:hAnsi="Verdana"/>
          <w:sz w:val="16"/>
          <w:szCs w:val="16"/>
        </w:rPr>
        <w:t xml:space="preserve"> </w:t>
      </w:r>
      <w:r w:rsidRPr="00F713C5">
        <w:rPr>
          <w:rFonts w:ascii="Verdana" w:hAnsi="Verdana"/>
          <w:i/>
          <w:sz w:val="16"/>
          <w:szCs w:val="16"/>
        </w:rPr>
        <w:t>Vs.</w:t>
      </w:r>
      <w:r w:rsidRPr="00F713C5">
        <w:rPr>
          <w:rFonts w:ascii="Verdana" w:hAnsi="Verdana"/>
          <w:sz w:val="16"/>
          <w:szCs w:val="16"/>
        </w:rPr>
        <w:t xml:space="preserve"> Perú la Corte concluyó que la decisión que dio por terminado el nombramiento de la víctima como fiscal fue arbitraria al no corresponder con alguna de las causales permitidas para garantizar su independencia, lo cual afectó indebidamente el derecho a permanecer en el cargo en condiciones de igualdad y configuró también una violación del derecho al trabajo. </w:t>
      </w:r>
      <w:r w:rsidRPr="00F713C5">
        <w:rPr>
          <w:rFonts w:ascii="Verdana" w:hAnsi="Verdana"/>
          <w:i/>
          <w:sz w:val="16"/>
          <w:szCs w:val="16"/>
        </w:rPr>
        <w:t>Cfr.</w:t>
      </w:r>
      <w:r w:rsidRPr="00F713C5">
        <w:rPr>
          <w:rFonts w:ascii="Verdana" w:hAnsi="Verdana"/>
          <w:sz w:val="16"/>
          <w:szCs w:val="16"/>
        </w:rPr>
        <w:t xml:space="preserve"> </w:t>
      </w:r>
      <w:r w:rsidRPr="00F713C5">
        <w:rPr>
          <w:rFonts w:ascii="Verdana" w:hAnsi="Verdana"/>
          <w:i/>
          <w:sz w:val="16"/>
          <w:szCs w:val="16"/>
        </w:rPr>
        <w:t xml:space="preserve">Caso Casa Nina Vs. Perú, supra </w:t>
      </w:r>
      <w:r w:rsidRPr="00F713C5">
        <w:rPr>
          <w:rFonts w:ascii="Verdana" w:hAnsi="Verdana"/>
          <w:sz w:val="16"/>
          <w:szCs w:val="16"/>
        </w:rPr>
        <w:t xml:space="preserve">nota 32, </w:t>
      </w:r>
      <w:proofErr w:type="spellStart"/>
      <w:r w:rsidRPr="00F713C5">
        <w:rPr>
          <w:rFonts w:ascii="Verdana" w:hAnsi="Verdana"/>
          <w:sz w:val="16"/>
          <w:szCs w:val="16"/>
        </w:rPr>
        <w:t>párrs</w:t>
      </w:r>
      <w:proofErr w:type="spellEnd"/>
      <w:r w:rsidRPr="00F713C5">
        <w:rPr>
          <w:rFonts w:ascii="Verdana" w:hAnsi="Verdana"/>
          <w:sz w:val="16"/>
          <w:szCs w:val="16"/>
        </w:rPr>
        <w:t>. 99, 103 a 110.</w:t>
      </w:r>
    </w:p>
  </w:footnote>
  <w:footnote w:id="43">
    <w:p w14:paraId="227CBD6B" w14:textId="6B0903C7"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t>Las denuncias presentadas en junio de 2021 por el Sindicato de Trabajadores del Ministerio Público ante el Procurador de los Derechos Humanos y la Inspección General de trabajo; la investigación que involucraba al Partido Político “Vamos Por Una Guatemala Diferente”; l</w:t>
      </w:r>
      <w:r w:rsidRPr="00F713C5">
        <w:rPr>
          <w:rFonts w:ascii="Verdana" w:hAnsi="Verdana"/>
          <w:sz w:val="16"/>
          <w:szCs w:val="16"/>
        </w:rPr>
        <w:t xml:space="preserve">a investigación penal </w:t>
      </w:r>
      <w:r w:rsidRPr="00F713C5">
        <w:rPr>
          <w:rFonts w:ascii="Verdana" w:hAnsi="Verdana"/>
          <w:bCs/>
          <w:sz w:val="16"/>
          <w:szCs w:val="16"/>
        </w:rPr>
        <w:t xml:space="preserve">contra tres personas presuntamente involucradas por los alegados “actos de corrupción” de </w:t>
      </w:r>
      <w:r w:rsidRPr="00F713C5">
        <w:rPr>
          <w:rFonts w:ascii="Verdana" w:hAnsi="Verdana"/>
          <w:sz w:val="16"/>
          <w:szCs w:val="16"/>
        </w:rPr>
        <w:t xml:space="preserve">La Línea, la Cooptación del Estado y del Partido Patriota, y </w:t>
      </w:r>
      <w:r w:rsidRPr="00F713C5">
        <w:rPr>
          <w:rFonts w:ascii="Verdana" w:hAnsi="Verdana"/>
          <w:color w:val="222222"/>
          <w:sz w:val="16"/>
          <w:szCs w:val="16"/>
        </w:rPr>
        <w:t>el</w:t>
      </w:r>
      <w:r w:rsidRPr="00F713C5">
        <w:rPr>
          <w:rFonts w:ascii="Verdana" w:hAnsi="Verdana"/>
          <w:color w:val="000000"/>
          <w:sz w:val="16"/>
          <w:szCs w:val="16"/>
        </w:rPr>
        <w:t xml:space="preserve"> caso Odebrecht.</w:t>
      </w:r>
    </w:p>
  </w:footnote>
  <w:footnote w:id="44">
    <w:p w14:paraId="2F2E1B45" w14:textId="7312C2A3"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lang w:val="es-MX"/>
        </w:rPr>
        <w:footnoteRef/>
      </w:r>
      <w:r w:rsidRPr="00F713C5">
        <w:rPr>
          <w:rFonts w:ascii="Verdana" w:hAnsi="Verdana"/>
          <w:sz w:val="16"/>
          <w:szCs w:val="16"/>
          <w:lang w:val="es-MX"/>
        </w:rPr>
        <w:t xml:space="preserve"> </w:t>
      </w:r>
      <w:r w:rsidRPr="00F713C5">
        <w:rPr>
          <w:rFonts w:ascii="Verdana" w:hAnsi="Verdana"/>
          <w:sz w:val="16"/>
          <w:szCs w:val="16"/>
          <w:lang w:val="es-MX"/>
        </w:rPr>
        <w:tab/>
      </w:r>
      <w:r w:rsidRPr="00F713C5">
        <w:rPr>
          <w:rFonts w:ascii="Verdana" w:hAnsi="Verdana"/>
          <w:i/>
          <w:sz w:val="16"/>
          <w:szCs w:val="16"/>
          <w:lang w:val="es-MX"/>
        </w:rPr>
        <w:t xml:space="preserve">Cfr. Caso Carpio </w:t>
      </w:r>
      <w:proofErr w:type="spellStart"/>
      <w:r w:rsidRPr="00F713C5">
        <w:rPr>
          <w:rFonts w:ascii="Verdana" w:hAnsi="Verdana"/>
          <w:i/>
          <w:sz w:val="16"/>
          <w:szCs w:val="16"/>
          <w:lang w:val="es-MX"/>
        </w:rPr>
        <w:t>Nicolle</w:t>
      </w:r>
      <w:proofErr w:type="spellEnd"/>
      <w:r w:rsidRPr="00F713C5">
        <w:rPr>
          <w:rFonts w:ascii="Verdana" w:hAnsi="Verdana"/>
          <w:i/>
          <w:sz w:val="16"/>
          <w:szCs w:val="16"/>
          <w:lang w:val="es-MX"/>
        </w:rPr>
        <w:t xml:space="preserve"> y otros Vs. Guatemala. Medidas Provisionales.</w:t>
      </w:r>
      <w:r w:rsidRPr="00F713C5">
        <w:rPr>
          <w:rFonts w:ascii="Verdana" w:hAnsi="Verdana"/>
          <w:sz w:val="16"/>
          <w:szCs w:val="16"/>
          <w:lang w:val="es-MX"/>
        </w:rPr>
        <w:t xml:space="preserve"> Resolución de la Corte Interamericana de Derechos Humanos de 6 de julio de 2009, Considerando 14, y </w:t>
      </w:r>
      <w:r w:rsidRPr="00F713C5">
        <w:rPr>
          <w:rFonts w:ascii="Verdana" w:hAnsi="Verdana"/>
          <w:i/>
          <w:sz w:val="16"/>
          <w:szCs w:val="16"/>
          <w:lang w:val="es-MX"/>
        </w:rPr>
        <w:t xml:space="preserve">Asunto Juan Sebastián Chamorro y otros respecto de Nicaragua. Ratificación, ampliación y seguimiento de Medidas Provisionales. </w:t>
      </w:r>
      <w:r w:rsidRPr="00F713C5">
        <w:rPr>
          <w:rFonts w:ascii="Verdana" w:hAnsi="Verdana"/>
          <w:sz w:val="16"/>
          <w:szCs w:val="16"/>
          <w:lang w:val="es-MX"/>
        </w:rPr>
        <w:t>Resolución de la Corte Interamericana de Derechos Humanos de 9 de septiembre de 2021, Considerando 2.</w:t>
      </w:r>
    </w:p>
  </w:footnote>
  <w:footnote w:id="45">
    <w:p w14:paraId="16D8E636" w14:textId="21A69F93" w:rsidR="00961501" w:rsidRPr="00F713C5" w:rsidRDefault="00961501" w:rsidP="00F713C5">
      <w:pPr>
        <w:tabs>
          <w:tab w:val="left" w:pos="567"/>
        </w:tabs>
        <w:jc w:val="both"/>
        <w:rPr>
          <w:rFonts w:ascii="Verdana" w:hAnsi="Verdana"/>
          <w:sz w:val="16"/>
          <w:szCs w:val="16"/>
          <w:lang w:val="es-MX"/>
        </w:rPr>
      </w:pPr>
      <w:r w:rsidRPr="00F713C5">
        <w:rPr>
          <w:rStyle w:val="Refdenotaalpie"/>
          <w:szCs w:val="16"/>
          <w:lang w:val="es-MX"/>
        </w:rPr>
        <w:footnoteRef/>
      </w:r>
      <w:r w:rsidRPr="00F713C5">
        <w:rPr>
          <w:rFonts w:ascii="Verdana" w:hAnsi="Verdana"/>
          <w:sz w:val="16"/>
          <w:szCs w:val="16"/>
          <w:lang w:val="es-MX"/>
        </w:rPr>
        <w:tab/>
      </w:r>
      <w:r w:rsidRPr="00F713C5">
        <w:rPr>
          <w:rFonts w:ascii="Verdana" w:hAnsi="Verdana"/>
          <w:i/>
          <w:iCs/>
          <w:sz w:val="16"/>
          <w:szCs w:val="16"/>
          <w:lang w:val="es-MX"/>
        </w:rPr>
        <w:t xml:space="preserve">Cfr. </w:t>
      </w:r>
      <w:r w:rsidRPr="00F713C5">
        <w:rPr>
          <w:rFonts w:ascii="Verdana" w:hAnsi="Verdana"/>
          <w:i/>
          <w:sz w:val="16"/>
          <w:szCs w:val="16"/>
          <w:lang w:val="es-MX"/>
        </w:rPr>
        <w:t xml:space="preserve">Caso Bámaca Velásquez Vs. Guatemala. Medidas Provisionales. </w:t>
      </w:r>
      <w:r w:rsidRPr="00F713C5">
        <w:rPr>
          <w:rFonts w:ascii="Verdana" w:hAnsi="Verdana"/>
          <w:sz w:val="16"/>
          <w:szCs w:val="16"/>
          <w:lang w:val="es-MX"/>
        </w:rPr>
        <w:t xml:space="preserve">Resolución de la Corte Interamericana de Derechos Humanos de 20 de noviembre de 2003, Considerando 10, y </w:t>
      </w:r>
      <w:r w:rsidRPr="00F713C5">
        <w:rPr>
          <w:rFonts w:ascii="Verdana" w:hAnsi="Verdana"/>
          <w:i/>
          <w:sz w:val="16"/>
          <w:szCs w:val="16"/>
          <w:lang w:val="es-MX"/>
        </w:rPr>
        <w:t>Caso Tavares Pereira y otros Vs. Brasil</w:t>
      </w:r>
      <w:r w:rsidRPr="00F713C5">
        <w:rPr>
          <w:rFonts w:ascii="Verdana" w:hAnsi="Verdana"/>
          <w:sz w:val="16"/>
          <w:szCs w:val="16"/>
          <w:lang w:val="es-MX"/>
        </w:rPr>
        <w:t xml:space="preserve">. </w:t>
      </w:r>
      <w:r w:rsidRPr="00F713C5">
        <w:rPr>
          <w:rFonts w:ascii="Verdana" w:hAnsi="Verdana"/>
          <w:i/>
          <w:sz w:val="16"/>
          <w:szCs w:val="16"/>
          <w:lang w:val="es-MX"/>
        </w:rPr>
        <w:t>Adopción de Medidas Provisionales.</w:t>
      </w:r>
      <w:r w:rsidRPr="00F713C5">
        <w:rPr>
          <w:rFonts w:ascii="Verdana" w:hAnsi="Verdana"/>
          <w:sz w:val="16"/>
          <w:szCs w:val="16"/>
          <w:lang w:val="es-MX"/>
        </w:rPr>
        <w:t xml:space="preserve"> Resolución de la Corte Interamericana de Derechos Humanos de 24 de junio de 2021, Considerando 11.</w:t>
      </w:r>
    </w:p>
  </w:footnote>
  <w:footnote w:id="46">
    <w:p w14:paraId="1A0450D1" w14:textId="211296D9" w:rsidR="00961501" w:rsidRPr="00F713C5" w:rsidRDefault="00961501" w:rsidP="00F713C5">
      <w:pPr>
        <w:tabs>
          <w:tab w:val="left" w:pos="567"/>
        </w:tabs>
        <w:jc w:val="both"/>
        <w:rPr>
          <w:rFonts w:ascii="Verdana" w:hAnsi="Verdana"/>
          <w:i/>
          <w:sz w:val="16"/>
          <w:szCs w:val="16"/>
          <w:lang w:val="es-MX"/>
        </w:rPr>
      </w:pPr>
      <w:r w:rsidRPr="00F713C5">
        <w:rPr>
          <w:rStyle w:val="Refdenotaalpie"/>
          <w:szCs w:val="16"/>
          <w:lang w:val="es-MX"/>
        </w:rPr>
        <w:footnoteRef/>
      </w:r>
      <w:r w:rsidRPr="00F713C5">
        <w:rPr>
          <w:rFonts w:ascii="Verdana" w:hAnsi="Verdana"/>
          <w:sz w:val="16"/>
          <w:szCs w:val="16"/>
          <w:lang w:val="es-MX"/>
        </w:rPr>
        <w:t xml:space="preserve"> </w:t>
      </w:r>
      <w:r w:rsidRPr="00F713C5">
        <w:rPr>
          <w:rFonts w:ascii="Verdana" w:hAnsi="Verdana"/>
          <w:sz w:val="16"/>
          <w:szCs w:val="16"/>
          <w:lang w:val="es-MX"/>
        </w:rPr>
        <w:tab/>
      </w:r>
      <w:r w:rsidRPr="00F713C5">
        <w:rPr>
          <w:rFonts w:ascii="Verdana" w:hAnsi="Verdana"/>
          <w:i/>
          <w:sz w:val="16"/>
          <w:szCs w:val="16"/>
          <w:lang w:val="es-MX"/>
        </w:rPr>
        <w:t xml:space="preserve">Cfr. Asuntos Internado Judicial de Monagas (“La Pica”); Centro Penitenciario Región Capital Yare I y Yare II (Cárcel de Yare); Centro Penitenciario de la Región Centro Occidental (Cárcel de </w:t>
      </w:r>
      <w:proofErr w:type="spellStart"/>
      <w:r w:rsidRPr="00F713C5">
        <w:rPr>
          <w:rFonts w:ascii="Verdana" w:hAnsi="Verdana"/>
          <w:i/>
          <w:sz w:val="16"/>
          <w:szCs w:val="16"/>
          <w:lang w:val="es-MX"/>
        </w:rPr>
        <w:t>Uribana</w:t>
      </w:r>
      <w:proofErr w:type="spellEnd"/>
      <w:r w:rsidRPr="00F713C5">
        <w:rPr>
          <w:rFonts w:ascii="Verdana" w:hAnsi="Verdana"/>
          <w:i/>
          <w:sz w:val="16"/>
          <w:szCs w:val="16"/>
          <w:lang w:val="es-MX"/>
        </w:rPr>
        <w:t>), e Internado Judicial Capital El Rodeo I y el Rodeo II. Medidas Provisionales respecto de la República Bolivariana de Venezuela</w:t>
      </w:r>
      <w:r w:rsidRPr="00F713C5">
        <w:rPr>
          <w:rFonts w:ascii="Verdana" w:hAnsi="Verdana"/>
          <w:sz w:val="16"/>
          <w:szCs w:val="16"/>
          <w:lang w:val="es-MX"/>
        </w:rPr>
        <w:t xml:space="preserve">. Resolución de la Corte Interamericana de Derechos Humanos de 24 de noviembre de 2009, Considerando 3, y </w:t>
      </w:r>
      <w:r w:rsidRPr="00F713C5">
        <w:rPr>
          <w:rFonts w:ascii="Verdana" w:hAnsi="Verdana"/>
          <w:i/>
          <w:sz w:val="16"/>
          <w:szCs w:val="16"/>
          <w:lang w:val="es-MX"/>
        </w:rPr>
        <w:t xml:space="preserve">Caso Tavares Pereira y otros Vs. Brasil, supra </w:t>
      </w:r>
      <w:r w:rsidRPr="00F713C5">
        <w:rPr>
          <w:rFonts w:ascii="Verdana" w:hAnsi="Verdana"/>
          <w:sz w:val="16"/>
          <w:szCs w:val="16"/>
          <w:lang w:val="es-MX"/>
        </w:rPr>
        <w:t>nota 4</w:t>
      </w:r>
      <w:r w:rsidR="000E3958" w:rsidRPr="00F713C5">
        <w:rPr>
          <w:rFonts w:ascii="Verdana" w:hAnsi="Verdana"/>
          <w:sz w:val="16"/>
          <w:szCs w:val="16"/>
          <w:lang w:val="es-MX"/>
        </w:rPr>
        <w:t>5</w:t>
      </w:r>
      <w:r w:rsidRPr="00F713C5">
        <w:rPr>
          <w:rFonts w:ascii="Verdana" w:hAnsi="Verdana"/>
          <w:sz w:val="16"/>
          <w:szCs w:val="16"/>
          <w:lang w:val="es-MX"/>
        </w:rPr>
        <w:t>, Considerandos 12, 14 y 16.</w:t>
      </w:r>
    </w:p>
  </w:footnote>
  <w:footnote w:id="47">
    <w:p w14:paraId="329D1DAF" w14:textId="7BD08BE5"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lang w:val="es-MX"/>
        </w:rPr>
        <w:footnoteRef/>
      </w:r>
      <w:r w:rsidRPr="00F713C5">
        <w:rPr>
          <w:rFonts w:ascii="Verdana" w:hAnsi="Verdana"/>
          <w:sz w:val="16"/>
          <w:szCs w:val="16"/>
          <w:lang w:val="es-MX"/>
        </w:rPr>
        <w:t xml:space="preserve"> </w:t>
      </w:r>
      <w:r w:rsidRPr="00F713C5">
        <w:rPr>
          <w:rFonts w:ascii="Verdana" w:hAnsi="Verdana"/>
          <w:sz w:val="16"/>
          <w:szCs w:val="16"/>
          <w:lang w:val="es-MX"/>
        </w:rPr>
        <w:tab/>
      </w:r>
      <w:r w:rsidRPr="00F713C5">
        <w:rPr>
          <w:rFonts w:ascii="Verdana" w:eastAsia="Verdana" w:hAnsi="Verdana" w:cs="Verdana"/>
          <w:i/>
          <w:sz w:val="16"/>
          <w:szCs w:val="16"/>
          <w:lang w:val="es-MX"/>
        </w:rPr>
        <w:t xml:space="preserve">Cfr. </w:t>
      </w:r>
      <w:r w:rsidRPr="00F713C5">
        <w:rPr>
          <w:rFonts w:ascii="Verdana" w:eastAsia="Verdana" w:hAnsi="Verdana" w:cs="Verdana"/>
          <w:sz w:val="16"/>
          <w:szCs w:val="16"/>
          <w:lang w:val="es-MX"/>
        </w:rPr>
        <w:t>Publicaciones</w:t>
      </w:r>
      <w:r w:rsidRPr="00F713C5">
        <w:rPr>
          <w:rFonts w:ascii="Verdana" w:hAnsi="Verdana"/>
          <w:sz w:val="16"/>
          <w:szCs w:val="16"/>
          <w:lang w:val="es-MX"/>
        </w:rPr>
        <w:t xml:space="preserve"> en </w:t>
      </w:r>
      <w:r w:rsidRPr="00F713C5">
        <w:rPr>
          <w:rFonts w:ascii="Verdana" w:eastAsia="Verdana" w:hAnsi="Verdana" w:cs="Verdana"/>
          <w:sz w:val="16"/>
          <w:szCs w:val="16"/>
          <w:lang w:val="es-MX"/>
        </w:rPr>
        <w:t xml:space="preserve">redes sociales </w:t>
      </w:r>
      <w:r w:rsidRPr="00F713C5">
        <w:rPr>
          <w:rFonts w:ascii="Verdana" w:hAnsi="Verdana"/>
          <w:sz w:val="16"/>
          <w:szCs w:val="16"/>
          <w:lang w:val="es-MX"/>
        </w:rPr>
        <w:t>(enlaces electrónicos citados en los escritos de las representantes de 25 de julio y 12 de agosto de 2021).</w:t>
      </w:r>
    </w:p>
  </w:footnote>
  <w:footnote w:id="48">
    <w:p w14:paraId="4177E86E" w14:textId="69AC3159"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lang w:val="es-MX"/>
        </w:rPr>
        <w:footnoteRef/>
      </w:r>
      <w:r w:rsidRPr="00F713C5">
        <w:rPr>
          <w:rFonts w:ascii="Verdana" w:hAnsi="Verdana"/>
          <w:sz w:val="16"/>
          <w:szCs w:val="16"/>
          <w:lang w:val="es-MX"/>
        </w:rPr>
        <w:t xml:space="preserve"> </w:t>
      </w:r>
      <w:r w:rsidRPr="00F713C5">
        <w:rPr>
          <w:rFonts w:ascii="Verdana" w:hAnsi="Verdana"/>
          <w:sz w:val="16"/>
          <w:szCs w:val="16"/>
          <w:lang w:val="es-MX"/>
        </w:rPr>
        <w:tab/>
      </w:r>
      <w:r w:rsidRPr="00F713C5">
        <w:rPr>
          <w:rFonts w:ascii="Verdana" w:eastAsia="Verdana" w:hAnsi="Verdana" w:cs="Verdana"/>
          <w:sz w:val="16"/>
          <w:szCs w:val="16"/>
          <w:lang w:val="es-MX"/>
        </w:rPr>
        <w:t xml:space="preserve">Información sobre las denuncias penales presentadas en contra de los fiscales. </w:t>
      </w:r>
      <w:r w:rsidRPr="00F713C5">
        <w:rPr>
          <w:rFonts w:ascii="Verdana" w:eastAsia="Verdana" w:hAnsi="Verdana" w:cs="Verdana"/>
          <w:i/>
          <w:sz w:val="16"/>
          <w:szCs w:val="16"/>
          <w:lang w:val="es-MX"/>
        </w:rPr>
        <w:t>Cfr.</w:t>
      </w:r>
      <w:r w:rsidRPr="00F713C5">
        <w:rPr>
          <w:rFonts w:ascii="Verdana" w:eastAsia="Verdana" w:hAnsi="Verdana" w:cs="Verdana"/>
          <w:sz w:val="16"/>
          <w:szCs w:val="16"/>
          <w:lang w:val="es-MX"/>
        </w:rPr>
        <w:t xml:space="preserve"> E</w:t>
      </w:r>
      <w:r w:rsidRPr="00F713C5">
        <w:rPr>
          <w:rFonts w:ascii="Verdana" w:hAnsi="Verdana"/>
          <w:sz w:val="16"/>
          <w:szCs w:val="16"/>
          <w:lang w:val="es-MX"/>
        </w:rPr>
        <w:t>scritos de las representantes de 9 de abril, 10 de junio, 25 de julio, 5 de agosto y 3 de septiembre de 2021.</w:t>
      </w:r>
    </w:p>
  </w:footnote>
  <w:footnote w:id="49">
    <w:p w14:paraId="304CBCFB" w14:textId="77414B75"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lang w:val="es-MX"/>
        </w:rPr>
        <w:footnoteRef/>
      </w:r>
      <w:r w:rsidRPr="00F713C5">
        <w:rPr>
          <w:rFonts w:ascii="Verdana" w:hAnsi="Verdana"/>
          <w:sz w:val="16"/>
          <w:szCs w:val="16"/>
          <w:lang w:val="es-MX"/>
        </w:rPr>
        <w:t xml:space="preserve"> </w:t>
      </w:r>
      <w:r w:rsidRPr="00F713C5">
        <w:rPr>
          <w:rFonts w:ascii="Verdana" w:hAnsi="Verdana"/>
          <w:sz w:val="16"/>
          <w:szCs w:val="16"/>
          <w:lang w:val="es-MX"/>
        </w:rPr>
        <w:tab/>
      </w:r>
      <w:r w:rsidRPr="00F713C5">
        <w:rPr>
          <w:rFonts w:ascii="Verdana" w:hAnsi="Verdana"/>
          <w:i/>
          <w:sz w:val="16"/>
          <w:szCs w:val="16"/>
          <w:lang w:val="es-MX"/>
        </w:rPr>
        <w:t xml:space="preserve">Cfr. Caso Ruiz Fuentes y otra Vs. Guatemala, </w:t>
      </w:r>
      <w:r w:rsidRPr="00F713C5">
        <w:rPr>
          <w:rFonts w:ascii="Verdana" w:hAnsi="Verdana"/>
          <w:sz w:val="16"/>
          <w:szCs w:val="16"/>
          <w:lang w:val="es-MX"/>
        </w:rPr>
        <w:t>supra nota 5, Considerando 31.</w:t>
      </w:r>
    </w:p>
  </w:footnote>
  <w:footnote w:id="50">
    <w:p w14:paraId="0AFABF21" w14:textId="635B06D9"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i/>
          <w:sz w:val="16"/>
          <w:szCs w:val="16"/>
          <w:lang w:val="es-MX"/>
        </w:rPr>
        <w:t xml:space="preserve">Cfr. Caso Ruiz Fuentes y otra Vs. Guatemala, </w:t>
      </w:r>
      <w:r w:rsidRPr="00F713C5">
        <w:rPr>
          <w:rFonts w:ascii="Verdana" w:hAnsi="Verdana"/>
          <w:sz w:val="16"/>
          <w:szCs w:val="16"/>
          <w:lang w:val="es-MX"/>
        </w:rPr>
        <w:t>supra nota 5, Considerando 32.</w:t>
      </w:r>
    </w:p>
  </w:footnote>
  <w:footnote w:id="51">
    <w:p w14:paraId="50831593" w14:textId="32714E01"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lang w:val="es-MX"/>
        </w:rPr>
        <w:footnoteRef/>
      </w:r>
      <w:r w:rsidRPr="00F713C5">
        <w:rPr>
          <w:rFonts w:ascii="Verdana" w:hAnsi="Verdana"/>
          <w:sz w:val="16"/>
          <w:szCs w:val="16"/>
          <w:lang w:val="es-MX"/>
        </w:rPr>
        <w:t xml:space="preserve"> </w:t>
      </w:r>
      <w:r w:rsidRPr="00F713C5">
        <w:rPr>
          <w:rFonts w:ascii="Verdana" w:hAnsi="Verdana"/>
          <w:sz w:val="16"/>
          <w:szCs w:val="16"/>
          <w:lang w:val="es-MX"/>
        </w:rPr>
        <w:tab/>
      </w:r>
      <w:r w:rsidRPr="00F713C5">
        <w:rPr>
          <w:rFonts w:ascii="Verdana" w:hAnsi="Verdana"/>
          <w:i/>
          <w:sz w:val="16"/>
          <w:szCs w:val="16"/>
          <w:lang w:val="es-MX"/>
        </w:rPr>
        <w:t>Cfr.</w:t>
      </w:r>
      <w:r w:rsidRPr="00F713C5">
        <w:rPr>
          <w:rFonts w:ascii="Verdana" w:hAnsi="Verdana"/>
          <w:sz w:val="16"/>
          <w:szCs w:val="16"/>
        </w:rPr>
        <w:t xml:space="preserve"> </w:t>
      </w:r>
      <w:r w:rsidRPr="00F713C5">
        <w:rPr>
          <w:rFonts w:ascii="Verdana" w:hAnsi="Verdana"/>
          <w:i/>
          <w:sz w:val="16"/>
          <w:szCs w:val="16"/>
        </w:rPr>
        <w:t>Asunto del Internado Judicial Capital El Rodeo I y El Rodeo II respecto de Venezuela. Medidas Provisionales</w:t>
      </w:r>
      <w:r w:rsidRPr="00F713C5">
        <w:rPr>
          <w:rFonts w:ascii="Verdana" w:hAnsi="Verdana"/>
          <w:sz w:val="16"/>
          <w:szCs w:val="16"/>
        </w:rPr>
        <w:t>. Resolución de la Corte Interamericana de Derechos Humanos de 8 de fe</w:t>
      </w:r>
      <w:r w:rsidR="000E3958" w:rsidRPr="00F713C5">
        <w:rPr>
          <w:rFonts w:ascii="Verdana" w:hAnsi="Verdana"/>
          <w:sz w:val="16"/>
          <w:szCs w:val="16"/>
        </w:rPr>
        <w:t>brero de 2008, Considerando. 15</w:t>
      </w:r>
      <w:r w:rsidRPr="00F713C5">
        <w:rPr>
          <w:rFonts w:ascii="Verdana" w:hAnsi="Verdana"/>
          <w:sz w:val="16"/>
          <w:szCs w:val="16"/>
          <w:lang w:val="es-MX"/>
        </w:rPr>
        <w:t xml:space="preserve">, y </w:t>
      </w:r>
      <w:r w:rsidRPr="00F713C5">
        <w:rPr>
          <w:rFonts w:ascii="Verdana" w:hAnsi="Verdana"/>
          <w:i/>
          <w:sz w:val="16"/>
          <w:szCs w:val="16"/>
          <w:lang w:val="es-MX"/>
        </w:rPr>
        <w:t>Caso Ruiz Fuentes y otra Vs. Guatemala, supra</w:t>
      </w:r>
      <w:r w:rsidRPr="00F713C5">
        <w:rPr>
          <w:rFonts w:ascii="Verdana" w:hAnsi="Verdana"/>
          <w:sz w:val="16"/>
          <w:szCs w:val="16"/>
          <w:lang w:val="es-MX"/>
        </w:rPr>
        <w:t xml:space="preserve"> nota 5, Considerandos 37.</w:t>
      </w:r>
    </w:p>
  </w:footnote>
  <w:footnote w:id="52">
    <w:p w14:paraId="32E9A67C" w14:textId="2AEE44A1" w:rsidR="00961501" w:rsidRPr="00F713C5" w:rsidRDefault="00961501" w:rsidP="00F713C5">
      <w:pPr>
        <w:tabs>
          <w:tab w:val="left" w:pos="567"/>
        </w:tabs>
        <w:autoSpaceDE w:val="0"/>
        <w:autoSpaceDN w:val="0"/>
        <w:adjustRightInd w:val="0"/>
        <w:jc w:val="both"/>
        <w:rPr>
          <w:rFonts w:ascii="Verdana" w:eastAsiaTheme="minorHAnsi" w:hAnsi="Verdana" w:cs="Arial"/>
          <w:sz w:val="16"/>
          <w:szCs w:val="16"/>
          <w:lang w:val="es-CR"/>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eastAsia="Calibri" w:hAnsi="Verdana" w:cs="Verdana"/>
          <w:sz w:val="16"/>
          <w:szCs w:val="16"/>
          <w:lang w:val="es-CR"/>
        </w:rPr>
        <w:t xml:space="preserve">El Estado proporcionó la información relativa a los </w:t>
      </w:r>
      <w:r w:rsidRPr="00F713C5">
        <w:rPr>
          <w:rFonts w:ascii="Verdana" w:hAnsi="Verdana"/>
          <w:sz w:val="16"/>
          <w:szCs w:val="16"/>
        </w:rPr>
        <w:t>“</w:t>
      </w:r>
      <w:r w:rsidRPr="00F713C5">
        <w:rPr>
          <w:rFonts w:ascii="Verdana" w:eastAsia="Calibri" w:hAnsi="Verdana" w:cs="Verdana"/>
          <w:sz w:val="16"/>
          <w:szCs w:val="16"/>
          <w:lang w:val="es-CR"/>
        </w:rPr>
        <w:t>esquema de seguridad</w:t>
      </w:r>
      <w:r w:rsidRPr="00F713C5">
        <w:rPr>
          <w:rFonts w:ascii="Verdana" w:hAnsi="Verdana"/>
          <w:sz w:val="16"/>
          <w:szCs w:val="16"/>
        </w:rPr>
        <w:t xml:space="preserve">” asignados al </w:t>
      </w:r>
      <w:r w:rsidRPr="00F713C5">
        <w:rPr>
          <w:rFonts w:ascii="Verdana" w:eastAsia="Verdana" w:hAnsi="Verdana" w:cs="Verdana"/>
          <w:sz w:val="16"/>
          <w:szCs w:val="16"/>
          <w:lang w:val="es-CR"/>
        </w:rPr>
        <w:t>Fiscal “B” y el Auxiliar Fiscal “C”</w:t>
      </w:r>
      <w:r w:rsidRPr="00F713C5">
        <w:rPr>
          <w:rFonts w:ascii="Verdana" w:eastAsia="Calibri" w:hAnsi="Verdana" w:cs="Verdana"/>
          <w:sz w:val="16"/>
          <w:szCs w:val="16"/>
          <w:lang w:val="es-CR"/>
        </w:rPr>
        <w:t xml:space="preserve">, y su respaldo documental, a través de los informes periódicos presentados en </w:t>
      </w:r>
      <w:r w:rsidRPr="00F713C5">
        <w:rPr>
          <w:rFonts w:ascii="Verdana" w:hAnsi="Verdana"/>
          <w:sz w:val="16"/>
          <w:szCs w:val="16"/>
        </w:rPr>
        <w:t xml:space="preserve">la supervisión reforzada dispuesta en el caso </w:t>
      </w:r>
      <w:r w:rsidRPr="00F713C5">
        <w:rPr>
          <w:rFonts w:ascii="Verdana" w:hAnsi="Verdana"/>
          <w:i/>
          <w:sz w:val="16"/>
          <w:szCs w:val="16"/>
        </w:rPr>
        <w:t>Ruiz Fuentes y otra</w:t>
      </w:r>
      <w:r w:rsidRPr="00F713C5">
        <w:rPr>
          <w:rFonts w:ascii="Verdana" w:hAnsi="Verdana"/>
          <w:sz w:val="16"/>
          <w:szCs w:val="16"/>
        </w:rPr>
        <w:t xml:space="preserve">, y en los informes presentados en la supervisión de cumplimiento del caso </w:t>
      </w:r>
      <w:r w:rsidRPr="00F713C5">
        <w:rPr>
          <w:rFonts w:ascii="Verdana" w:hAnsi="Verdana"/>
          <w:i/>
          <w:sz w:val="16"/>
          <w:szCs w:val="16"/>
        </w:rPr>
        <w:t>Valenzuela Ávila</w:t>
      </w:r>
      <w:r w:rsidRPr="00F713C5">
        <w:rPr>
          <w:rFonts w:ascii="Verdana" w:hAnsi="Verdana"/>
          <w:sz w:val="16"/>
          <w:szCs w:val="16"/>
        </w:rPr>
        <w:t xml:space="preserve">, así como </w:t>
      </w:r>
      <w:r w:rsidRPr="00F713C5">
        <w:rPr>
          <w:rFonts w:ascii="Verdana" w:eastAsia="Calibri" w:hAnsi="Verdana" w:cs="Verdana"/>
          <w:sz w:val="16"/>
          <w:szCs w:val="16"/>
          <w:lang w:val="es-CR"/>
        </w:rPr>
        <w:t>en el marco del procedimiento de la solicitud de medidas provisionales (</w:t>
      </w:r>
      <w:r w:rsidRPr="00F713C5">
        <w:rPr>
          <w:rFonts w:ascii="Verdana" w:eastAsia="Calibri" w:hAnsi="Verdana" w:cs="Verdana"/>
          <w:i/>
          <w:sz w:val="16"/>
          <w:szCs w:val="16"/>
          <w:lang w:val="es-CR"/>
        </w:rPr>
        <w:t>supra</w:t>
      </w:r>
      <w:r w:rsidRPr="00F713C5">
        <w:rPr>
          <w:rFonts w:ascii="Verdana" w:eastAsia="Calibri" w:hAnsi="Verdana" w:cs="Verdana"/>
          <w:sz w:val="16"/>
          <w:szCs w:val="16"/>
          <w:lang w:val="es-CR"/>
        </w:rPr>
        <w:t xml:space="preserve"> Considerandos 20 y 27). En sus observaciones a dichos informes, las representantes se han referido a las deficiencias y anomalías que presentan </w:t>
      </w:r>
      <w:r w:rsidRPr="00F713C5">
        <w:rPr>
          <w:rFonts w:ascii="Verdana" w:hAnsi="Verdana"/>
          <w:sz w:val="16"/>
          <w:szCs w:val="16"/>
        </w:rPr>
        <w:t xml:space="preserve">los “informes de riesgo” y “esquemas de seguridad”. </w:t>
      </w:r>
      <w:r w:rsidRPr="00F713C5">
        <w:rPr>
          <w:rFonts w:ascii="Verdana" w:hAnsi="Verdana"/>
          <w:i/>
          <w:sz w:val="16"/>
          <w:szCs w:val="16"/>
        </w:rPr>
        <w:t xml:space="preserve">Cfr. </w:t>
      </w:r>
      <w:r w:rsidRPr="00F713C5">
        <w:rPr>
          <w:rFonts w:ascii="Verdana" w:hAnsi="Verdana"/>
          <w:sz w:val="16"/>
          <w:szCs w:val="16"/>
        </w:rPr>
        <w:t xml:space="preserve">Escritos de las representantes de 12 de agosto y 3 de septiembre de 2021 presentados en el trámite de la solicitud de las medidas provisionales, y de </w:t>
      </w:r>
      <w:r w:rsidRPr="00F713C5">
        <w:rPr>
          <w:rFonts w:ascii="Verdana" w:eastAsiaTheme="minorHAnsi" w:hAnsi="Verdana" w:cs="Arial"/>
          <w:sz w:val="16"/>
          <w:szCs w:val="16"/>
          <w:lang w:val="es-CR"/>
        </w:rPr>
        <w:t xml:space="preserve">25 de febrero, 9 de abril, 18 de mayo, 10 de junio, 28 </w:t>
      </w:r>
      <w:r w:rsidR="00866156">
        <w:rPr>
          <w:rFonts w:ascii="Verdana" w:eastAsiaTheme="minorHAnsi" w:hAnsi="Verdana" w:cs="Arial"/>
          <w:sz w:val="16"/>
          <w:szCs w:val="16"/>
          <w:lang w:val="es-CR"/>
        </w:rPr>
        <w:t>de julio y 12 de agosto de 2021</w:t>
      </w:r>
      <w:r w:rsidRPr="00F713C5">
        <w:rPr>
          <w:rFonts w:ascii="Verdana" w:eastAsiaTheme="minorHAnsi" w:hAnsi="Verdana" w:cs="Arial"/>
          <w:sz w:val="16"/>
          <w:szCs w:val="16"/>
          <w:lang w:val="es-CR"/>
        </w:rPr>
        <w:t xml:space="preserve"> </w:t>
      </w:r>
      <w:r w:rsidRPr="00F713C5">
        <w:rPr>
          <w:rFonts w:ascii="Verdana" w:hAnsi="Verdana"/>
          <w:sz w:val="16"/>
          <w:szCs w:val="16"/>
        </w:rPr>
        <w:t>presentados en el marco de la supervisión reforzada</w:t>
      </w:r>
      <w:r w:rsidRPr="00F713C5">
        <w:rPr>
          <w:rFonts w:ascii="Verdana" w:eastAsiaTheme="minorHAnsi" w:hAnsi="Verdana" w:cs="Arial"/>
          <w:sz w:val="16"/>
          <w:szCs w:val="16"/>
          <w:lang w:val="es-CR"/>
        </w:rPr>
        <w:t>.</w:t>
      </w:r>
    </w:p>
  </w:footnote>
  <w:footnote w:id="53">
    <w:p w14:paraId="4FE1702C" w14:textId="4A543BDD"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i/>
          <w:sz w:val="16"/>
          <w:szCs w:val="16"/>
          <w:lang w:val="es-MX"/>
        </w:rPr>
        <w:t xml:space="preserve">Cfr. Caso Ruiz Fuentes y otra Vs. Guatemala, supra </w:t>
      </w:r>
      <w:r w:rsidRPr="00F713C5">
        <w:rPr>
          <w:rFonts w:ascii="Verdana" w:hAnsi="Verdana"/>
          <w:sz w:val="16"/>
          <w:szCs w:val="16"/>
          <w:lang w:val="es-MX"/>
        </w:rPr>
        <w:t>nota 5, Considerando 39.</w:t>
      </w:r>
    </w:p>
  </w:footnote>
  <w:footnote w:id="54">
    <w:p w14:paraId="16993169" w14:textId="13783298"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sz w:val="16"/>
          <w:szCs w:val="16"/>
          <w:lang w:val="es-CR"/>
        </w:rPr>
        <w:t xml:space="preserve">En este sentido, </w:t>
      </w:r>
      <w:r w:rsidRPr="00F713C5">
        <w:rPr>
          <w:rFonts w:ascii="Verdana" w:eastAsiaTheme="minorHAnsi" w:hAnsi="Verdana" w:cs="ArialMT"/>
          <w:sz w:val="16"/>
          <w:szCs w:val="16"/>
          <w:lang w:val="es-CR"/>
        </w:rPr>
        <w:t xml:space="preserve">la Corte encuentra que no subsisten las circunstancias que en septiembre de 2020 le permitieron, a la luz del principio de complementariedad, </w:t>
      </w:r>
      <w:r w:rsidRPr="00F713C5">
        <w:rPr>
          <w:rFonts w:ascii="Verdana" w:hAnsi="Verdana"/>
          <w:sz w:val="16"/>
          <w:szCs w:val="16"/>
        </w:rPr>
        <w:t>desestimar la solicitud de medidas provisionales y realizar una supervisión reforzada respecto de la medida relativa a investigar, identificar, juzgar y, en su caso, sancionar a los responsables de la muerte del señor Hugo Humberto Ruiz Fuentes ordenada en la Sentencia, en lo que respecta al deber de asegurar que los operadores de justicia (Fiscales “A”, “B” y Auxiliar Fiscal “C”) vinculados a las investigaciones cuenten con las debidas garantías de seguridad.</w:t>
      </w:r>
      <w:r w:rsidRPr="00F713C5">
        <w:rPr>
          <w:rFonts w:ascii="Verdana" w:hAnsi="Verdana"/>
          <w:i/>
          <w:sz w:val="16"/>
          <w:szCs w:val="16"/>
          <w:lang w:val="es-MX"/>
        </w:rPr>
        <w:t xml:space="preserve"> Cfr. Caso Ruiz Fuentes y otra Vs. Guatemala, supra</w:t>
      </w:r>
      <w:r w:rsidRPr="00F713C5">
        <w:rPr>
          <w:rFonts w:ascii="Verdana" w:hAnsi="Verdana"/>
          <w:sz w:val="16"/>
          <w:szCs w:val="16"/>
          <w:lang w:val="es-MX"/>
        </w:rPr>
        <w:t xml:space="preserve"> nota </w:t>
      </w:r>
      <w:r w:rsidRPr="00F713C5">
        <w:rPr>
          <w:rFonts w:ascii="Verdana" w:hAnsi="Verdana"/>
          <w:i/>
          <w:sz w:val="16"/>
          <w:szCs w:val="16"/>
          <w:lang w:val="es-MX"/>
        </w:rPr>
        <w:t>5</w:t>
      </w:r>
      <w:r w:rsidRPr="00F713C5">
        <w:rPr>
          <w:rFonts w:ascii="Verdana" w:hAnsi="Verdana"/>
          <w:sz w:val="16"/>
          <w:szCs w:val="16"/>
          <w:lang w:val="es-MX"/>
        </w:rPr>
        <w:t>, Considerando 39.</w:t>
      </w:r>
    </w:p>
  </w:footnote>
  <w:footnote w:id="55">
    <w:p w14:paraId="0E09526E" w14:textId="446A4DDA"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i/>
          <w:sz w:val="16"/>
          <w:szCs w:val="16"/>
          <w:lang w:val="es-MX"/>
        </w:rPr>
        <w:t xml:space="preserve">Cfr. Caso Ruiz Fuentes y otra Vs. Guatemala, supra </w:t>
      </w:r>
      <w:r w:rsidRPr="00F713C5">
        <w:rPr>
          <w:rFonts w:ascii="Verdana" w:hAnsi="Verdana"/>
          <w:sz w:val="16"/>
          <w:szCs w:val="16"/>
          <w:lang w:val="es-MX"/>
        </w:rPr>
        <w:t>nota 5, Considerando 42.</w:t>
      </w:r>
    </w:p>
  </w:footnote>
  <w:footnote w:id="56">
    <w:p w14:paraId="5C81E6E5" w14:textId="45F00D4E" w:rsidR="00961501" w:rsidRPr="00F713C5" w:rsidRDefault="00961501" w:rsidP="00F713C5">
      <w:pPr>
        <w:pStyle w:val="Textonotapie"/>
        <w:tabs>
          <w:tab w:val="left" w:pos="567"/>
        </w:tabs>
        <w:jc w:val="both"/>
        <w:rPr>
          <w:rFonts w:ascii="Verdana" w:hAnsi="Verdana"/>
          <w:spacing w:val="-4"/>
          <w:sz w:val="16"/>
          <w:szCs w:val="16"/>
          <w:lang w:val="es-MX" w:eastAsia="x-none"/>
        </w:rPr>
      </w:pPr>
      <w:r w:rsidRPr="00F713C5">
        <w:rPr>
          <w:rStyle w:val="Refdenotaalpie"/>
          <w:spacing w:val="-4"/>
          <w:szCs w:val="16"/>
          <w:lang w:val="es-MX"/>
        </w:rPr>
        <w:footnoteRef/>
      </w:r>
      <w:r w:rsidRPr="00F713C5">
        <w:rPr>
          <w:rFonts w:ascii="Verdana" w:hAnsi="Verdana"/>
          <w:spacing w:val="-4"/>
          <w:sz w:val="16"/>
          <w:szCs w:val="16"/>
          <w:lang w:val="es-MX"/>
        </w:rPr>
        <w:t xml:space="preserve"> </w:t>
      </w:r>
      <w:r w:rsidRPr="00F713C5">
        <w:rPr>
          <w:rFonts w:ascii="Verdana" w:hAnsi="Verdana"/>
          <w:spacing w:val="-4"/>
          <w:sz w:val="16"/>
          <w:szCs w:val="16"/>
          <w:lang w:val="es-MX"/>
        </w:rPr>
        <w:tab/>
      </w:r>
      <w:r w:rsidRPr="00F713C5">
        <w:rPr>
          <w:rFonts w:ascii="Verdana" w:hAnsi="Verdana"/>
          <w:i/>
          <w:iCs/>
          <w:spacing w:val="-4"/>
          <w:sz w:val="16"/>
          <w:szCs w:val="16"/>
          <w:lang w:val="es-MX"/>
        </w:rPr>
        <w:t xml:space="preserve">Cfr. Caso Myrna Mack Chang Vs. Guatemala. Fondo, Reparaciones y Costas. </w:t>
      </w:r>
      <w:r w:rsidRPr="00F713C5">
        <w:rPr>
          <w:rFonts w:ascii="Verdana" w:hAnsi="Verdana"/>
          <w:iCs/>
          <w:spacing w:val="-4"/>
          <w:sz w:val="16"/>
          <w:szCs w:val="16"/>
          <w:lang w:val="es-MX"/>
        </w:rPr>
        <w:t>Sentencia de 25 de noviembre de 2003. Serie C No. 101</w:t>
      </w:r>
      <w:r w:rsidRPr="00F713C5">
        <w:rPr>
          <w:rFonts w:ascii="Verdana" w:hAnsi="Verdana"/>
          <w:i/>
          <w:iCs/>
          <w:spacing w:val="-4"/>
          <w:sz w:val="16"/>
          <w:szCs w:val="16"/>
          <w:lang w:val="es-MX"/>
        </w:rPr>
        <w:t xml:space="preserve">, </w:t>
      </w:r>
      <w:r w:rsidRPr="00F713C5">
        <w:rPr>
          <w:rFonts w:ascii="Verdana" w:hAnsi="Verdana"/>
          <w:spacing w:val="-4"/>
          <w:sz w:val="16"/>
          <w:szCs w:val="16"/>
          <w:lang w:val="es-MX"/>
        </w:rPr>
        <w:t xml:space="preserve">párr. 199, y </w:t>
      </w:r>
      <w:r w:rsidRPr="00F713C5">
        <w:rPr>
          <w:rFonts w:ascii="Verdana" w:hAnsi="Verdana"/>
          <w:i/>
          <w:spacing w:val="-4"/>
          <w:sz w:val="16"/>
          <w:szCs w:val="16"/>
          <w:lang w:val="es-MX"/>
        </w:rPr>
        <w:t>Caso Guerrero, Molina y otros Vs. Venezuela</w:t>
      </w:r>
      <w:r w:rsidRPr="00F713C5">
        <w:rPr>
          <w:rFonts w:ascii="Verdana" w:hAnsi="Verdana"/>
          <w:spacing w:val="-4"/>
          <w:sz w:val="16"/>
          <w:szCs w:val="16"/>
          <w:lang w:val="es-MX"/>
        </w:rPr>
        <w:t xml:space="preserve">. </w:t>
      </w:r>
      <w:r w:rsidRPr="00F713C5">
        <w:rPr>
          <w:rFonts w:ascii="Verdana" w:hAnsi="Verdana"/>
          <w:i/>
          <w:spacing w:val="-4"/>
          <w:sz w:val="16"/>
          <w:szCs w:val="16"/>
          <w:lang w:val="es-MX"/>
        </w:rPr>
        <w:t>Fondo, Reparaciones y Costas</w:t>
      </w:r>
      <w:r w:rsidRPr="00F713C5">
        <w:rPr>
          <w:rFonts w:ascii="Verdana" w:hAnsi="Verdana"/>
          <w:spacing w:val="-4"/>
          <w:sz w:val="16"/>
          <w:szCs w:val="16"/>
          <w:lang w:val="es-MX"/>
        </w:rPr>
        <w:t>, Sentencia de 3 de junio de 2021. Serie C No. 424, párr. 146.</w:t>
      </w:r>
    </w:p>
  </w:footnote>
  <w:footnote w:id="57">
    <w:p w14:paraId="7E83CDB5" w14:textId="7B9AE1D4" w:rsidR="00961501" w:rsidRPr="00F713C5" w:rsidRDefault="00961501" w:rsidP="00F713C5">
      <w:pPr>
        <w:pStyle w:val="Textonotapie"/>
        <w:tabs>
          <w:tab w:val="left" w:pos="567"/>
        </w:tabs>
        <w:jc w:val="both"/>
        <w:rPr>
          <w:rFonts w:ascii="Verdana" w:hAnsi="Verdana"/>
          <w:spacing w:val="-4"/>
          <w:sz w:val="16"/>
          <w:szCs w:val="16"/>
          <w:lang w:val="es-MX"/>
        </w:rPr>
      </w:pPr>
      <w:r w:rsidRPr="00F713C5">
        <w:rPr>
          <w:rStyle w:val="Refdenotaalpie"/>
          <w:spacing w:val="-4"/>
          <w:szCs w:val="16"/>
          <w:lang w:val="es-MX"/>
        </w:rPr>
        <w:footnoteRef/>
      </w:r>
      <w:r w:rsidRPr="00F713C5">
        <w:rPr>
          <w:rFonts w:ascii="Verdana" w:hAnsi="Verdana"/>
          <w:spacing w:val="-4"/>
          <w:sz w:val="16"/>
          <w:szCs w:val="16"/>
          <w:lang w:val="pt-BR"/>
        </w:rPr>
        <w:t xml:space="preserve"> </w:t>
      </w:r>
      <w:r w:rsidRPr="00F713C5">
        <w:rPr>
          <w:rFonts w:ascii="Verdana" w:hAnsi="Verdana"/>
          <w:spacing w:val="-4"/>
          <w:sz w:val="16"/>
          <w:szCs w:val="16"/>
          <w:lang w:val="pt-BR"/>
        </w:rPr>
        <w:tab/>
      </w:r>
      <w:r w:rsidRPr="00F713C5">
        <w:rPr>
          <w:rFonts w:ascii="Verdana" w:hAnsi="Verdana"/>
          <w:i/>
          <w:spacing w:val="-4"/>
          <w:sz w:val="16"/>
          <w:szCs w:val="16"/>
          <w:lang w:val="pt-BR"/>
        </w:rPr>
        <w:t xml:space="preserve">Cfr. Caso </w:t>
      </w:r>
      <w:proofErr w:type="spellStart"/>
      <w:r w:rsidRPr="00F713C5">
        <w:rPr>
          <w:rFonts w:ascii="Verdana" w:hAnsi="Verdana"/>
          <w:i/>
          <w:spacing w:val="-4"/>
          <w:sz w:val="16"/>
          <w:szCs w:val="16"/>
          <w:lang w:val="pt-BR"/>
        </w:rPr>
        <w:t>Kawas</w:t>
      </w:r>
      <w:proofErr w:type="spellEnd"/>
      <w:r w:rsidRPr="00F713C5">
        <w:rPr>
          <w:rFonts w:ascii="Verdana" w:hAnsi="Verdana"/>
          <w:i/>
          <w:spacing w:val="-4"/>
          <w:sz w:val="16"/>
          <w:szCs w:val="16"/>
          <w:lang w:val="pt-BR"/>
        </w:rPr>
        <w:t xml:space="preserve"> Fernández Vs. </w:t>
      </w:r>
      <w:r w:rsidRPr="00F713C5">
        <w:rPr>
          <w:rFonts w:ascii="Verdana" w:hAnsi="Verdana"/>
          <w:i/>
          <w:spacing w:val="-4"/>
          <w:sz w:val="16"/>
          <w:szCs w:val="16"/>
          <w:lang w:val="es-MX"/>
        </w:rPr>
        <w:t xml:space="preserve">Honduras. Fondo, Reparaciones y Costas. </w:t>
      </w:r>
      <w:r w:rsidRPr="00F713C5">
        <w:rPr>
          <w:rFonts w:ascii="Verdana" w:hAnsi="Verdana"/>
          <w:spacing w:val="-4"/>
          <w:sz w:val="16"/>
          <w:szCs w:val="16"/>
          <w:lang w:val="es-MX"/>
        </w:rPr>
        <w:t>Sentencia de 3 de abril de 2009. Serie C No. 196,</w:t>
      </w:r>
      <w:r w:rsidR="00411EE2">
        <w:rPr>
          <w:rFonts w:ascii="Verdana" w:hAnsi="Verdana"/>
          <w:spacing w:val="-4"/>
          <w:sz w:val="16"/>
          <w:szCs w:val="16"/>
          <w:lang w:val="es-MX"/>
        </w:rPr>
        <w:t xml:space="preserve"> párr. 106</w:t>
      </w:r>
      <w:r w:rsidRPr="00F713C5">
        <w:rPr>
          <w:rFonts w:ascii="Verdana" w:hAnsi="Verdana"/>
          <w:spacing w:val="-4"/>
          <w:sz w:val="16"/>
          <w:szCs w:val="16"/>
          <w:lang w:val="es-MX"/>
        </w:rPr>
        <w:t xml:space="preserve"> y </w:t>
      </w:r>
      <w:r w:rsidR="000E3958" w:rsidRPr="00F713C5">
        <w:rPr>
          <w:rFonts w:ascii="Verdana" w:hAnsi="Verdana"/>
          <w:i/>
          <w:spacing w:val="-4"/>
          <w:sz w:val="16"/>
          <w:szCs w:val="16"/>
          <w:lang w:val="es-MX"/>
        </w:rPr>
        <w:t xml:space="preserve">Caso Miembros de la Aldea </w:t>
      </w:r>
      <w:proofErr w:type="spellStart"/>
      <w:r w:rsidR="000E3958" w:rsidRPr="00F713C5">
        <w:rPr>
          <w:rFonts w:ascii="Verdana" w:hAnsi="Verdana"/>
          <w:i/>
          <w:spacing w:val="-4"/>
          <w:sz w:val="16"/>
          <w:szCs w:val="16"/>
          <w:lang w:val="es-MX"/>
        </w:rPr>
        <w:t>Chichupac</w:t>
      </w:r>
      <w:proofErr w:type="spellEnd"/>
      <w:r w:rsidR="000E3958" w:rsidRPr="00F713C5">
        <w:rPr>
          <w:rFonts w:ascii="Verdana" w:hAnsi="Verdana"/>
          <w:i/>
          <w:spacing w:val="-4"/>
          <w:sz w:val="16"/>
          <w:szCs w:val="16"/>
          <w:lang w:val="es-MX"/>
        </w:rPr>
        <w:t xml:space="preserve"> y comunidades vecinas del Municipio de Rabinal Vs. Guatemala. Excepciones Preliminares, Fondo, Reparaciones y Costas</w:t>
      </w:r>
      <w:r w:rsidR="000E3958" w:rsidRPr="00F713C5">
        <w:rPr>
          <w:rFonts w:ascii="Verdana" w:hAnsi="Verdana"/>
          <w:spacing w:val="-4"/>
          <w:sz w:val="16"/>
          <w:szCs w:val="16"/>
          <w:lang w:val="es-MX"/>
        </w:rPr>
        <w:t>. Sentencia de 30 de noviembre de 2016. Serie C No. 328</w:t>
      </w:r>
      <w:r w:rsidRPr="00F713C5">
        <w:rPr>
          <w:rFonts w:ascii="Verdana" w:hAnsi="Verdana"/>
          <w:sz w:val="16"/>
          <w:szCs w:val="16"/>
        </w:rPr>
        <w:t>, párr. 224</w:t>
      </w:r>
      <w:r w:rsidRPr="00F713C5">
        <w:rPr>
          <w:rFonts w:ascii="Verdana" w:hAnsi="Verdana"/>
          <w:spacing w:val="-4"/>
          <w:sz w:val="16"/>
          <w:szCs w:val="16"/>
          <w:lang w:val="es-MX"/>
        </w:rPr>
        <w:t>.</w:t>
      </w:r>
    </w:p>
  </w:footnote>
  <w:footnote w:id="58">
    <w:p w14:paraId="217795E3" w14:textId="3B2241BA" w:rsidR="00961501" w:rsidRPr="00F713C5" w:rsidRDefault="00961501" w:rsidP="00F713C5">
      <w:pPr>
        <w:pStyle w:val="Textonotapie"/>
        <w:tabs>
          <w:tab w:val="left" w:pos="567"/>
        </w:tabs>
        <w:jc w:val="both"/>
        <w:rPr>
          <w:rFonts w:ascii="Verdana" w:hAnsi="Verdana"/>
          <w:spacing w:val="-4"/>
          <w:sz w:val="16"/>
          <w:szCs w:val="16"/>
          <w:lang w:val="es-MX"/>
        </w:rPr>
      </w:pPr>
      <w:r w:rsidRPr="00F713C5">
        <w:rPr>
          <w:rStyle w:val="Refdenotaalpie"/>
          <w:spacing w:val="-4"/>
          <w:szCs w:val="16"/>
          <w:lang w:val="es-MX"/>
        </w:rPr>
        <w:footnoteRef/>
      </w:r>
      <w:r w:rsidRPr="00F713C5">
        <w:rPr>
          <w:rFonts w:ascii="Verdana" w:hAnsi="Verdana"/>
          <w:spacing w:val="-4"/>
          <w:sz w:val="16"/>
          <w:szCs w:val="16"/>
          <w:lang w:val="es-MX"/>
        </w:rPr>
        <w:t xml:space="preserve"> </w:t>
      </w:r>
      <w:r w:rsidRPr="00F713C5">
        <w:rPr>
          <w:rFonts w:ascii="Verdana" w:hAnsi="Verdana"/>
          <w:spacing w:val="-4"/>
          <w:sz w:val="16"/>
          <w:szCs w:val="16"/>
          <w:lang w:val="es-MX"/>
        </w:rPr>
        <w:tab/>
      </w:r>
      <w:r w:rsidRPr="00F713C5">
        <w:rPr>
          <w:rFonts w:ascii="Verdana" w:hAnsi="Verdana"/>
          <w:i/>
          <w:spacing w:val="-4"/>
          <w:sz w:val="16"/>
          <w:szCs w:val="16"/>
          <w:lang w:val="es-MX"/>
        </w:rPr>
        <w:t xml:space="preserve">Cfr. Caso de la Masacre de Las Dos Erres Vs. Guatemala. Excepción Preliminar, Fondo, Reparaciones y Costas. </w:t>
      </w:r>
      <w:r w:rsidRPr="00F713C5">
        <w:rPr>
          <w:rFonts w:ascii="Verdana" w:hAnsi="Verdana"/>
          <w:spacing w:val="-4"/>
          <w:sz w:val="16"/>
          <w:szCs w:val="16"/>
          <w:lang w:val="es-MX"/>
        </w:rPr>
        <w:t>Sentencia de 24 de noviembre de 2009. Serie C No. 211</w:t>
      </w:r>
      <w:r w:rsidRPr="00F713C5">
        <w:rPr>
          <w:rFonts w:ascii="Verdana" w:hAnsi="Verdana"/>
          <w:i/>
          <w:spacing w:val="-4"/>
          <w:sz w:val="16"/>
          <w:szCs w:val="16"/>
          <w:lang w:val="es-MX"/>
        </w:rPr>
        <w:t>,</w:t>
      </w:r>
      <w:r w:rsidRPr="00F713C5">
        <w:rPr>
          <w:rFonts w:ascii="Verdana" w:hAnsi="Verdana"/>
          <w:spacing w:val="-4"/>
          <w:sz w:val="16"/>
          <w:szCs w:val="16"/>
          <w:lang w:val="es-MX"/>
        </w:rPr>
        <w:t xml:space="preserve"> párr. 234, y </w:t>
      </w:r>
      <w:r w:rsidRPr="00F713C5">
        <w:rPr>
          <w:rFonts w:ascii="Verdana" w:hAnsi="Verdana"/>
          <w:i/>
          <w:sz w:val="16"/>
          <w:szCs w:val="16"/>
        </w:rPr>
        <w:t xml:space="preserve">Caso Miembros de la Aldea </w:t>
      </w:r>
      <w:proofErr w:type="spellStart"/>
      <w:r w:rsidRPr="00F713C5">
        <w:rPr>
          <w:rFonts w:ascii="Verdana" w:hAnsi="Verdana"/>
          <w:i/>
          <w:sz w:val="16"/>
          <w:szCs w:val="16"/>
        </w:rPr>
        <w:t>Chichupac</w:t>
      </w:r>
      <w:proofErr w:type="spellEnd"/>
      <w:r w:rsidRPr="00F713C5">
        <w:rPr>
          <w:rFonts w:ascii="Verdana" w:hAnsi="Verdana"/>
          <w:i/>
          <w:sz w:val="16"/>
          <w:szCs w:val="16"/>
        </w:rPr>
        <w:t xml:space="preserve"> y comunidades vecinas del Municipio de Rabinal Vs. Guatemala</w:t>
      </w:r>
      <w:r w:rsidRPr="00F713C5">
        <w:rPr>
          <w:rFonts w:ascii="Verdana" w:hAnsi="Verdana"/>
          <w:sz w:val="16"/>
          <w:szCs w:val="16"/>
        </w:rPr>
        <w:t xml:space="preserve">, </w:t>
      </w:r>
      <w:r w:rsidRPr="00F713C5">
        <w:rPr>
          <w:rFonts w:ascii="Verdana" w:hAnsi="Verdana"/>
          <w:i/>
          <w:sz w:val="16"/>
          <w:szCs w:val="16"/>
        </w:rPr>
        <w:t xml:space="preserve">supra </w:t>
      </w:r>
      <w:r w:rsidRPr="00F713C5">
        <w:rPr>
          <w:rFonts w:ascii="Verdana" w:hAnsi="Verdana"/>
          <w:sz w:val="16"/>
          <w:szCs w:val="16"/>
        </w:rPr>
        <w:t>nota 5</w:t>
      </w:r>
      <w:r w:rsidR="000E3958" w:rsidRPr="00F713C5">
        <w:rPr>
          <w:rFonts w:ascii="Verdana" w:hAnsi="Verdana"/>
          <w:sz w:val="16"/>
          <w:szCs w:val="16"/>
        </w:rPr>
        <w:t>7</w:t>
      </w:r>
      <w:r w:rsidRPr="00F713C5">
        <w:rPr>
          <w:rFonts w:ascii="Verdana" w:hAnsi="Verdana"/>
          <w:sz w:val="16"/>
          <w:szCs w:val="16"/>
        </w:rPr>
        <w:t>, párr. 224</w:t>
      </w:r>
      <w:r w:rsidRPr="00F713C5">
        <w:rPr>
          <w:rFonts w:ascii="Verdana" w:hAnsi="Verdana"/>
          <w:spacing w:val="-4"/>
          <w:sz w:val="16"/>
          <w:szCs w:val="16"/>
          <w:lang w:val="es-MX"/>
        </w:rPr>
        <w:t>.</w:t>
      </w:r>
    </w:p>
  </w:footnote>
  <w:footnote w:id="59">
    <w:p w14:paraId="03BDE622" w14:textId="5A5FFFE9" w:rsidR="00961501" w:rsidRPr="00F713C5" w:rsidRDefault="00961501" w:rsidP="00F713C5">
      <w:pPr>
        <w:pStyle w:val="Textonotapie"/>
        <w:tabs>
          <w:tab w:val="left" w:pos="567"/>
        </w:tabs>
        <w:jc w:val="both"/>
        <w:rPr>
          <w:rFonts w:ascii="Verdana" w:hAnsi="Verdana"/>
          <w:sz w:val="16"/>
          <w:szCs w:val="16"/>
          <w:lang w:val="es-MX"/>
        </w:rPr>
      </w:pPr>
      <w:r w:rsidRPr="00F713C5">
        <w:rPr>
          <w:rStyle w:val="Refdenotaalpie"/>
          <w:szCs w:val="16"/>
        </w:rPr>
        <w:footnoteRef/>
      </w:r>
      <w:r w:rsidRPr="00F713C5">
        <w:rPr>
          <w:rFonts w:ascii="Verdana" w:hAnsi="Verdana"/>
          <w:sz w:val="16"/>
          <w:szCs w:val="16"/>
        </w:rPr>
        <w:t xml:space="preserve"> </w:t>
      </w:r>
      <w:r w:rsidRPr="00F713C5">
        <w:rPr>
          <w:rFonts w:ascii="Verdana" w:hAnsi="Verdana"/>
          <w:sz w:val="16"/>
          <w:szCs w:val="16"/>
          <w:lang w:val="es-MX"/>
        </w:rPr>
        <w:tab/>
      </w:r>
      <w:r w:rsidRPr="00F713C5">
        <w:rPr>
          <w:rFonts w:ascii="Verdana" w:hAnsi="Verdana"/>
          <w:i/>
          <w:sz w:val="16"/>
          <w:szCs w:val="16"/>
        </w:rPr>
        <w:t>Cfr. Caso Casa Nina Vs. Perú</w:t>
      </w:r>
      <w:r w:rsidRPr="00F713C5">
        <w:rPr>
          <w:rFonts w:ascii="Verdana" w:hAnsi="Verdana"/>
          <w:sz w:val="16"/>
          <w:szCs w:val="16"/>
        </w:rPr>
        <w:t xml:space="preserve">, </w:t>
      </w:r>
      <w:r w:rsidRPr="00F713C5">
        <w:rPr>
          <w:rFonts w:ascii="Verdana" w:hAnsi="Verdana"/>
          <w:i/>
          <w:sz w:val="16"/>
          <w:szCs w:val="16"/>
        </w:rPr>
        <w:t xml:space="preserve">supra </w:t>
      </w:r>
      <w:r w:rsidRPr="00F713C5">
        <w:rPr>
          <w:rFonts w:ascii="Verdana" w:hAnsi="Verdana"/>
          <w:sz w:val="16"/>
          <w:szCs w:val="16"/>
        </w:rPr>
        <w:t>nota 32,</w:t>
      </w:r>
      <w:r w:rsidRPr="00F713C5">
        <w:rPr>
          <w:rFonts w:ascii="Verdana" w:hAnsi="Verdana"/>
          <w:i/>
          <w:sz w:val="16"/>
          <w:szCs w:val="16"/>
        </w:rPr>
        <w:t xml:space="preserve"> </w:t>
      </w:r>
      <w:r w:rsidRPr="00F713C5">
        <w:rPr>
          <w:rFonts w:ascii="Verdana" w:hAnsi="Verdana"/>
          <w:sz w:val="16"/>
          <w:szCs w:val="16"/>
        </w:rPr>
        <w:t>párr. 73.</w:t>
      </w:r>
    </w:p>
  </w:footnote>
  <w:footnote w:id="60">
    <w:p w14:paraId="51F9D8B3" w14:textId="77777777" w:rsidR="00967631" w:rsidRDefault="00967631" w:rsidP="00967631">
      <w:pPr>
        <w:jc w:val="both"/>
        <w:rPr>
          <w:rFonts w:ascii="Verdana" w:hAnsi="Verdana"/>
          <w:sz w:val="16"/>
          <w:szCs w:val="16"/>
          <w:lang w:val="es-ES"/>
        </w:rPr>
      </w:pPr>
      <w:r>
        <w:rPr>
          <w:rStyle w:val="Refdenotaalpie"/>
          <w:szCs w:val="16"/>
        </w:rPr>
        <w:footnoteRef/>
      </w:r>
      <w:r>
        <w:rPr>
          <w:rFonts w:ascii="Verdana" w:hAnsi="Verdana"/>
          <w:sz w:val="16"/>
          <w:szCs w:val="16"/>
        </w:rPr>
        <w:t xml:space="preserve"> </w:t>
      </w:r>
      <w:r>
        <w:rPr>
          <w:rFonts w:ascii="Verdana" w:hAnsi="Verdana"/>
          <w:sz w:val="16"/>
          <w:szCs w:val="16"/>
          <w:lang w:val="es-CR"/>
        </w:rPr>
        <w:t xml:space="preserve">Votos individuales del Juez Eduardo Vio Grossi respecto de Resoluciones sobre medidas provisionales; </w:t>
      </w:r>
      <w:r>
        <w:rPr>
          <w:rFonts w:ascii="Verdana" w:hAnsi="Verdana"/>
          <w:sz w:val="16"/>
          <w:szCs w:val="16"/>
          <w:lang w:val="es-MX"/>
        </w:rPr>
        <w:t>Disidente, Caso Vélez Loor Vs. Panamá, 24 de junio de 2021; Concurrente, Caso Petro Urrego Vs. Colombia, 24 de junio de 2021; Concurrente, Caso Favela Nova Brasilia Vs. Brasil, 21 de junio de 2021; Concurrente, Caso Fernández Ortega Vs, México, 22 de abril de 2021; Concurrente, Caso Familia Barrios y Otros Vs, Venezuela; Concurrente, Caso Masacres de El Mozote y Lugares Aledaños Vs. El Salvador, 19 de noviembre de 2020; Concurrente, Caso Acevedo Jaramillo y Otros Vs. Perú, 19 de noviembre de 2020; Concurrente, Caso Galindo Cárdenas y Otros Vs. Perú, 3 de septiembre de 2020; Concurrente, Caso de la Masacre de Pueblo Bello, Caso de las Masacres de Ituango y Caso Valle Jaramillo y Otros Vs. Colombia, 3 de septiembre de 2020; Concurrente</w:t>
      </w:r>
      <w:r>
        <w:rPr>
          <w:rFonts w:ascii="Verdana" w:hAnsi="Verdana"/>
          <w:sz w:val="16"/>
          <w:szCs w:val="16"/>
          <w:lang w:val="es-ES"/>
        </w:rPr>
        <w:t xml:space="preserve"> Caso Molina </w:t>
      </w:r>
      <w:proofErr w:type="spellStart"/>
      <w:r>
        <w:rPr>
          <w:rFonts w:ascii="Verdana" w:hAnsi="Verdana"/>
          <w:sz w:val="16"/>
          <w:szCs w:val="16"/>
          <w:lang w:val="es-ES"/>
        </w:rPr>
        <w:t>Theissen</w:t>
      </w:r>
      <w:proofErr w:type="spellEnd"/>
      <w:r>
        <w:rPr>
          <w:rFonts w:ascii="Verdana" w:hAnsi="Verdana"/>
          <w:sz w:val="16"/>
          <w:szCs w:val="16"/>
          <w:lang w:val="es-ES"/>
        </w:rPr>
        <w:t xml:space="preserve"> Vs. Guatemala, 3 de septiembre de 2020;</w:t>
      </w:r>
      <w:r>
        <w:rPr>
          <w:rFonts w:ascii="Verdana" w:hAnsi="Verdana"/>
          <w:sz w:val="16"/>
          <w:szCs w:val="16"/>
        </w:rPr>
        <w:t xml:space="preserve"> Disidente, Caso Comunidades Garífunas Vs. Honduras 2 de septiembre de 2020;</w:t>
      </w:r>
      <w:r>
        <w:rPr>
          <w:rFonts w:ascii="Verdana" w:hAnsi="Verdana"/>
          <w:bCs/>
          <w:sz w:val="16"/>
          <w:szCs w:val="16"/>
        </w:rPr>
        <w:t xml:space="preserve"> Disidente, Caso Vélez Loor Vs. Panamá, 29 de julio de 2020; </w:t>
      </w:r>
      <w:r>
        <w:rPr>
          <w:rFonts w:ascii="Verdana" w:hAnsi="Verdana"/>
          <w:sz w:val="16"/>
          <w:szCs w:val="16"/>
          <w:lang w:val="es-CR"/>
        </w:rPr>
        <w:t xml:space="preserve">Concurrente, Caso del Penal Miguel Castro </w:t>
      </w:r>
      <w:proofErr w:type="spellStart"/>
      <w:r>
        <w:rPr>
          <w:rFonts w:ascii="Verdana" w:hAnsi="Verdana"/>
          <w:sz w:val="16"/>
          <w:szCs w:val="16"/>
          <w:lang w:val="es-CR"/>
        </w:rPr>
        <w:t>Castro</w:t>
      </w:r>
      <w:proofErr w:type="spellEnd"/>
      <w:r>
        <w:rPr>
          <w:rFonts w:ascii="Verdana" w:hAnsi="Verdana"/>
          <w:sz w:val="16"/>
          <w:szCs w:val="16"/>
          <w:lang w:val="es-CR"/>
        </w:rPr>
        <w:t xml:space="preserve"> Vs. Perú, 29 de julio de 2020; Disidente, Caso Vélez Loor Vs. Panamá, 29 de julio de 2020; Disidente, Caso Mack Chang y otros Vs. Guatemala, 24 de junio de 2020; </w:t>
      </w:r>
      <w:r>
        <w:rPr>
          <w:rFonts w:ascii="Verdana" w:hAnsi="Verdana"/>
          <w:sz w:val="16"/>
          <w:szCs w:val="16"/>
        </w:rPr>
        <w:t>Concurrente, Caso Fernández Ortega y otros Vs. México, de 10 de junio de 2020; Disidente, Caso 19 Comerciantes Vs. Colombia, de 1 de junio de 2020</w:t>
      </w:r>
      <w:r>
        <w:rPr>
          <w:rFonts w:ascii="Verdana" w:hAnsi="Verdana"/>
          <w:sz w:val="16"/>
          <w:szCs w:val="16"/>
          <w:lang w:val="es-CR"/>
        </w:rPr>
        <w:t>;</w:t>
      </w:r>
      <w:r>
        <w:rPr>
          <w:rFonts w:ascii="Verdana" w:hAnsi="Verdana"/>
          <w:sz w:val="16"/>
          <w:szCs w:val="16"/>
          <w:lang w:val="es-ES"/>
        </w:rPr>
        <w:t xml:space="preserve"> </w:t>
      </w:r>
      <w:r>
        <w:rPr>
          <w:rFonts w:ascii="Verdana" w:hAnsi="Verdana"/>
          <w:sz w:val="16"/>
          <w:szCs w:val="16"/>
          <w:lang w:val="es-CR"/>
        </w:rPr>
        <w:t xml:space="preserve">Parcialmente Disidente, Caso de los Miembros de la Aldea </w:t>
      </w:r>
      <w:proofErr w:type="spellStart"/>
      <w:r>
        <w:rPr>
          <w:rFonts w:ascii="Verdana" w:hAnsi="Verdana"/>
          <w:sz w:val="16"/>
          <w:szCs w:val="16"/>
          <w:lang w:val="es-CR"/>
        </w:rPr>
        <w:t>Chichupac</w:t>
      </w:r>
      <w:proofErr w:type="spellEnd"/>
      <w:r>
        <w:rPr>
          <w:rFonts w:ascii="Verdana" w:hAnsi="Verdana"/>
          <w:sz w:val="16"/>
          <w:szCs w:val="16"/>
          <w:lang w:val="es-CR"/>
        </w:rPr>
        <w:t xml:space="preserve"> y Comunidades del Municipio de Rabinal, Caso Molina </w:t>
      </w:r>
      <w:proofErr w:type="spellStart"/>
      <w:r>
        <w:rPr>
          <w:rFonts w:ascii="Verdana" w:hAnsi="Verdana"/>
          <w:sz w:val="16"/>
          <w:szCs w:val="16"/>
          <w:lang w:val="es-CR"/>
        </w:rPr>
        <w:t>Theissen</w:t>
      </w:r>
      <w:proofErr w:type="spellEnd"/>
      <w:r>
        <w:rPr>
          <w:rFonts w:ascii="Verdana" w:hAnsi="Verdana"/>
          <w:sz w:val="16"/>
          <w:szCs w:val="16"/>
          <w:lang w:val="es-CR"/>
        </w:rPr>
        <w:t xml:space="preserve"> y Otros 12 Casos contra Guatemala, 12 de marzo, de 2019; Concurrente, Caso Bámaca Velásquez Vs. Guatemala, 22 de noviembre de 2018; Disidente, Caso Durand y Ugarte Vs. Perú, 8 de febrero de 2018; Disidente, Caso Torres Millacura y Otros Vs. Argentina, 14 de noviembre de 2017; Concurrente, Asunto Mery Naranjo y Otros respecto de Colombia, 22 de agosto de 2017; Concurrente, Caso Fernández Ortega y Otros, 7 de febrero de 2017; Concurrente, Caso Bámaca Velázquez Vs. Guatemala, 31 de agosto de 2016; Concurrente, Caso García Prieto y Otros Vs. El Salvador, 20 de noviembre de 2015; Disidente, Caso Torres Millacura y Otros Vs. Argentina, 23 de junio de 2015; Disidente, Caso </w:t>
      </w:r>
      <w:proofErr w:type="spellStart"/>
      <w:r>
        <w:rPr>
          <w:rFonts w:ascii="Verdana" w:hAnsi="Verdana"/>
          <w:sz w:val="16"/>
          <w:szCs w:val="16"/>
          <w:lang w:val="es-CR"/>
        </w:rPr>
        <w:t>Kawas</w:t>
      </w:r>
      <w:proofErr w:type="spellEnd"/>
      <w:r>
        <w:rPr>
          <w:rFonts w:ascii="Verdana" w:hAnsi="Verdana"/>
          <w:sz w:val="16"/>
          <w:szCs w:val="16"/>
          <w:lang w:val="es-CR"/>
        </w:rPr>
        <w:t xml:space="preserve"> Fernández Vs. Honduras, 23 de junio de 2015; Disidente, Caso Rosendo Cantú y Otra Vs. México, 23 de junio de 2015; Disidente, Caso García Prieto y Otros Vs. El Salvador, 26 de enero de 2015; Disidente, Caso Mack Chang y Otros Vs. Guatemala, 26 de enero de 2015; Concurrente, Caso Artavia Murillo y Otros (”Fecundación in Vitro”) Vs. Costa Rica, 31 de marzo de 2014; Concurrente, Caso Familia Barrios Vs. Venezuela, 30 de mayo de 2013; Concurrente, Asunto Millacura </w:t>
      </w:r>
      <w:proofErr w:type="spellStart"/>
      <w:r>
        <w:rPr>
          <w:rFonts w:ascii="Verdana" w:hAnsi="Verdana"/>
          <w:sz w:val="16"/>
          <w:szCs w:val="16"/>
          <w:lang w:val="es-CR"/>
        </w:rPr>
        <w:t>Llaipén</w:t>
      </w:r>
      <w:proofErr w:type="spellEnd"/>
      <w:r>
        <w:rPr>
          <w:rFonts w:ascii="Verdana" w:hAnsi="Verdana"/>
          <w:sz w:val="16"/>
          <w:szCs w:val="16"/>
          <w:lang w:val="es-CR"/>
        </w:rPr>
        <w:t xml:space="preserve"> y Otros respecto de Argentina, 13 de febrero de 2013; </w:t>
      </w:r>
      <w:r>
        <w:rPr>
          <w:rFonts w:ascii="Verdana" w:hAnsi="Verdana"/>
          <w:sz w:val="16"/>
          <w:szCs w:val="16"/>
          <w:lang w:val="es-ES"/>
        </w:rPr>
        <w:t xml:space="preserve">Concurrente, Caso Familia Barrios Vs. Venezuela, 13 de febrero de 2013; Concurrente, Caso Pacheco Teruel y Otro Vs, Honduras, 13 de febrero de 2013; Concurrente, Caso 19 Comerciantes Vs. Colombia, 26 de junio de 2012; Concurrente, Caso Fernández Ortega y Otros Vs. México, 20 de febrero de 2012; Disidente, Asunto Millacura </w:t>
      </w:r>
      <w:proofErr w:type="spellStart"/>
      <w:r>
        <w:rPr>
          <w:rFonts w:ascii="Verdana" w:hAnsi="Verdana"/>
          <w:sz w:val="16"/>
          <w:szCs w:val="16"/>
          <w:lang w:val="es-ES"/>
        </w:rPr>
        <w:t>Llaipén</w:t>
      </w:r>
      <w:proofErr w:type="spellEnd"/>
      <w:r>
        <w:rPr>
          <w:rFonts w:ascii="Verdana" w:hAnsi="Verdana"/>
          <w:sz w:val="16"/>
          <w:szCs w:val="16"/>
          <w:lang w:val="es-ES"/>
        </w:rPr>
        <w:t xml:space="preserve"> respecto de Argentina, 25 de noviembre de 2011; Disidente, Caso </w:t>
      </w:r>
      <w:proofErr w:type="spellStart"/>
      <w:r>
        <w:rPr>
          <w:rFonts w:ascii="Verdana" w:hAnsi="Verdana"/>
          <w:sz w:val="16"/>
          <w:szCs w:val="16"/>
          <w:lang w:val="es-ES"/>
        </w:rPr>
        <w:t>Kawas</w:t>
      </w:r>
      <w:proofErr w:type="spellEnd"/>
      <w:r>
        <w:rPr>
          <w:rFonts w:ascii="Verdana" w:hAnsi="Verdana"/>
          <w:sz w:val="16"/>
          <w:szCs w:val="16"/>
          <w:lang w:val="es-ES"/>
        </w:rPr>
        <w:t xml:space="preserve"> Fernández Vs. Honduras, 5 de julio de 2011; Disidente, Caso Rosendo Cantú y Otra Vs. México, 1 de julio de 2011; Disidente, Caso Gutiérrez Soler Vs. Colombia, 30 de junio de 2011; y Concurrente, Asunto Wong Ho </w:t>
      </w:r>
      <w:proofErr w:type="spellStart"/>
      <w:r>
        <w:rPr>
          <w:rFonts w:ascii="Verdana" w:hAnsi="Verdana"/>
          <w:sz w:val="16"/>
          <w:szCs w:val="16"/>
          <w:lang w:val="es-ES"/>
        </w:rPr>
        <w:t>Wing</w:t>
      </w:r>
      <w:proofErr w:type="spellEnd"/>
      <w:r>
        <w:rPr>
          <w:rFonts w:ascii="Verdana" w:hAnsi="Verdana"/>
          <w:sz w:val="16"/>
          <w:szCs w:val="16"/>
          <w:lang w:val="es-ES"/>
        </w:rPr>
        <w:t xml:space="preserve"> respecto de Perú, 28 de mayo de 2010, y </w:t>
      </w:r>
      <w:r>
        <w:rPr>
          <w:rFonts w:ascii="Verdana" w:eastAsiaTheme="minorEastAsia" w:hAnsi="Verdana"/>
          <w:iCs/>
          <w:sz w:val="16"/>
          <w:szCs w:val="16"/>
          <w:lang w:val="es-MX"/>
        </w:rPr>
        <w:t>Constancia de Queja</w:t>
      </w:r>
      <w:r>
        <w:rPr>
          <w:rFonts w:ascii="Verdana" w:eastAsiaTheme="minorEastAsia" w:hAnsi="Verdana"/>
          <w:sz w:val="16"/>
          <w:szCs w:val="16"/>
          <w:lang w:val="es-MX"/>
        </w:rPr>
        <w:t xml:space="preserve"> presentada ante la Corte el 17 de agosto de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2C52" w14:textId="77777777" w:rsidR="00961501" w:rsidRDefault="00961501" w:rsidP="00835AE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14:paraId="736428B1" w14:textId="77777777" w:rsidR="00961501" w:rsidRDefault="009615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6903" w14:textId="77777777" w:rsidR="00961501" w:rsidRPr="00571F52" w:rsidRDefault="00961501" w:rsidP="00835AE6">
    <w:pPr>
      <w:pStyle w:val="Encabezado"/>
      <w:jc w:val="right"/>
      <w:rPr>
        <w:rFonts w:ascii="Verdana" w:hAnsi="Verdana"/>
        <w:sz w:val="16"/>
        <w:szCs w:val="16"/>
        <w:lang w:val="es-CR"/>
      </w:rPr>
    </w:pPr>
    <w:r w:rsidRPr="00571F52">
      <w:rPr>
        <w:rFonts w:ascii="Verdana" w:hAnsi="Verdana"/>
        <w:sz w:val="16"/>
        <w:szCs w:val="16"/>
        <w:lang w:val="es-CR"/>
      </w:rPr>
      <w:t>Proyecto de supervisión de cumplimiento de Sentencia</w:t>
    </w:r>
  </w:p>
  <w:p w14:paraId="386478E6" w14:textId="77777777" w:rsidR="00961501" w:rsidRPr="00430D04" w:rsidRDefault="00961501" w:rsidP="00835AE6">
    <w:pPr>
      <w:pStyle w:val="Encabezado"/>
      <w:jc w:val="right"/>
      <w:rPr>
        <w:rFonts w:ascii="Verdana" w:hAnsi="Verdana"/>
        <w:sz w:val="16"/>
        <w:szCs w:val="16"/>
        <w:lang w:val="es-CR"/>
      </w:rPr>
    </w:pPr>
    <w:r w:rsidRPr="00571F52">
      <w:rPr>
        <w:rFonts w:ascii="Verdana" w:hAnsi="Verdana"/>
        <w:sz w:val="16"/>
        <w:szCs w:val="16"/>
        <w:lang w:val="es-CR"/>
      </w:rPr>
      <w:t>Jueza Relatora Elizabeth Odio Benito-</w:t>
    </w:r>
    <w:r w:rsidRPr="00571F52">
      <w:rPr>
        <w:rFonts w:ascii="Verdana" w:hAnsi="Verdana"/>
        <w:b/>
        <w:i/>
        <w:sz w:val="16"/>
        <w:szCs w:val="16"/>
        <w:lang w:val="es-CR"/>
      </w:rPr>
      <w:t xml:space="preserve"> CONFIDENCIAL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ACC"/>
    <w:multiLevelType w:val="hybridMultilevel"/>
    <w:tmpl w:val="6268964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15C491F"/>
    <w:multiLevelType w:val="hybridMultilevel"/>
    <w:tmpl w:val="F82A25A6"/>
    <w:lvl w:ilvl="0" w:tplc="6DD85594">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6F7B04"/>
    <w:multiLevelType w:val="hybridMultilevel"/>
    <w:tmpl w:val="F7B68356"/>
    <w:lvl w:ilvl="0" w:tplc="E7CAD90C">
      <w:start w:val="1"/>
      <w:numFmt w:val="lowerRoman"/>
      <w:lvlText w:val="%1)"/>
      <w:lvlJc w:val="left"/>
      <w:pPr>
        <w:ind w:left="1080" w:hanging="72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BF1EB3"/>
    <w:multiLevelType w:val="hybridMultilevel"/>
    <w:tmpl w:val="2410BDC0"/>
    <w:lvl w:ilvl="0" w:tplc="BFBAEF4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D20A07"/>
    <w:multiLevelType w:val="hybridMultilevel"/>
    <w:tmpl w:val="DE98F678"/>
    <w:lvl w:ilvl="0" w:tplc="A1FCE562">
      <w:start w:val="1"/>
      <w:numFmt w:val="lowerLetter"/>
      <w:lvlText w:val="%1)"/>
      <w:lvlJc w:val="left"/>
      <w:pPr>
        <w:ind w:left="1080" w:hanging="720"/>
      </w:pPr>
      <w:rPr>
        <w:rFonts w:ascii="Verdana" w:eastAsia="MS Mincho" w:hAnsi="Verdana"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E127795"/>
    <w:multiLevelType w:val="hybridMultilevel"/>
    <w:tmpl w:val="E4423ED0"/>
    <w:lvl w:ilvl="0" w:tplc="037ABFC0">
      <w:start w:val="1"/>
      <w:numFmt w:val="decimal"/>
      <w:lvlText w:val="%1)"/>
      <w:lvlJc w:val="left"/>
      <w:pPr>
        <w:ind w:left="1068" w:hanging="360"/>
      </w:pPr>
      <w:rPr>
        <w:rFonts w:ascii="Verdana" w:eastAsiaTheme="minorHAnsi" w:hAnsi="Verdana" w:cs="Times New Roman" w:hint="default"/>
        <w:sz w:val="16"/>
        <w:szCs w:val="16"/>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6" w15:restartNumberingAfterBreak="0">
    <w:nsid w:val="0EF45734"/>
    <w:multiLevelType w:val="hybridMultilevel"/>
    <w:tmpl w:val="0EBA5734"/>
    <w:lvl w:ilvl="0" w:tplc="FB78C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A2684D"/>
    <w:multiLevelType w:val="hybridMultilevel"/>
    <w:tmpl w:val="2468F258"/>
    <w:lvl w:ilvl="0" w:tplc="3788AFB4">
      <w:start w:val="1"/>
      <w:numFmt w:val="lowerRoman"/>
      <w:lvlText w:val="(%1)"/>
      <w:lvlJc w:val="left"/>
      <w:pPr>
        <w:ind w:left="1066" w:hanging="357"/>
      </w:pPr>
      <w:rPr>
        <w:rFonts w:ascii="Verdana" w:eastAsia="Times" w:hAnsi="Verdana" w:cs="Times New Roman"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8" w15:restartNumberingAfterBreak="0">
    <w:nsid w:val="0FC660DC"/>
    <w:multiLevelType w:val="hybridMultilevel"/>
    <w:tmpl w:val="A9A839FA"/>
    <w:lvl w:ilvl="0" w:tplc="89E47E3E">
      <w:start w:val="1"/>
      <w:numFmt w:val="lowerRoman"/>
      <w:lvlText w:val="(%1)"/>
      <w:lvlJc w:val="left"/>
      <w:pPr>
        <w:ind w:left="1066" w:hanging="357"/>
      </w:pPr>
      <w:rPr>
        <w:rFonts w:ascii="Verdana" w:eastAsia="MS Mincho" w:hAnsi="Verdana"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1970429"/>
    <w:multiLevelType w:val="hybridMultilevel"/>
    <w:tmpl w:val="F82A25A6"/>
    <w:lvl w:ilvl="0" w:tplc="6DD85594">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2882F4D"/>
    <w:multiLevelType w:val="hybridMultilevel"/>
    <w:tmpl w:val="E454E83A"/>
    <w:lvl w:ilvl="0" w:tplc="A1FCE562">
      <w:start w:val="1"/>
      <w:numFmt w:val="lowerLetter"/>
      <w:lvlText w:val="%1)"/>
      <w:lvlJc w:val="left"/>
      <w:pPr>
        <w:ind w:left="1080" w:hanging="720"/>
      </w:pPr>
      <w:rPr>
        <w:rFonts w:ascii="Verdana" w:eastAsia="MS Mincho" w:hAnsi="Verdana"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3607254"/>
    <w:multiLevelType w:val="hybridMultilevel"/>
    <w:tmpl w:val="5400EC9E"/>
    <w:lvl w:ilvl="0" w:tplc="EA4ABC96">
      <w:start w:val="1"/>
      <w:numFmt w:val="lowerRoman"/>
      <w:lvlText w:val="(%1)"/>
      <w:lvlJc w:val="left"/>
      <w:pPr>
        <w:ind w:left="1066" w:hanging="357"/>
      </w:pPr>
      <w:rPr>
        <w:rFonts w:ascii="Verdana" w:eastAsia="Times"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73D34E4"/>
    <w:multiLevelType w:val="hybridMultilevel"/>
    <w:tmpl w:val="E3BC4ACA"/>
    <w:lvl w:ilvl="0" w:tplc="BFEC308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8761C6B"/>
    <w:multiLevelType w:val="hybridMultilevel"/>
    <w:tmpl w:val="ED38110A"/>
    <w:lvl w:ilvl="0" w:tplc="E514B0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9656286"/>
    <w:multiLevelType w:val="hybridMultilevel"/>
    <w:tmpl w:val="C228F7B2"/>
    <w:lvl w:ilvl="0" w:tplc="7D967C0E">
      <w:start w:val="1"/>
      <w:numFmt w:val="lowerRoman"/>
      <w:lvlText w:val="(%1)"/>
      <w:lvlJc w:val="left"/>
      <w:pPr>
        <w:ind w:left="1080" w:hanging="72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F786912"/>
    <w:multiLevelType w:val="hybridMultilevel"/>
    <w:tmpl w:val="CF48B280"/>
    <w:lvl w:ilvl="0" w:tplc="71E008EE">
      <w:start w:val="1"/>
      <w:numFmt w:val="decimal"/>
      <w:lvlText w:val="%1."/>
      <w:lvlJc w:val="left"/>
      <w:pPr>
        <w:ind w:left="3905" w:hanging="360"/>
      </w:pPr>
      <w:rPr>
        <w:rFonts w:ascii="Verdana" w:hAnsi="Verdana" w:hint="default"/>
        <w:b w:val="0"/>
        <w:color w:val="auto"/>
        <w:sz w:val="20"/>
        <w:szCs w:val="20"/>
      </w:rPr>
    </w:lvl>
    <w:lvl w:ilvl="1" w:tplc="0D7460DE">
      <w:start w:val="1"/>
      <w:numFmt w:val="ordinal"/>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19E6D0B"/>
    <w:multiLevelType w:val="hybridMultilevel"/>
    <w:tmpl w:val="2650112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1D63A40"/>
    <w:multiLevelType w:val="hybridMultilevel"/>
    <w:tmpl w:val="19645830"/>
    <w:lvl w:ilvl="0" w:tplc="E514B0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5932CF0"/>
    <w:multiLevelType w:val="hybridMultilevel"/>
    <w:tmpl w:val="263E6F32"/>
    <w:lvl w:ilvl="0" w:tplc="742C2ABC">
      <w:start w:val="1"/>
      <w:numFmt w:val="decimal"/>
      <w:lvlText w:val="%1."/>
      <w:lvlJc w:val="left"/>
      <w:pPr>
        <w:ind w:left="720" w:hanging="360"/>
      </w:pPr>
      <w:rPr>
        <w:rFonts w:ascii="Verdana" w:hAnsi="Verdana" w:hint="default"/>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7BF1303"/>
    <w:multiLevelType w:val="hybridMultilevel"/>
    <w:tmpl w:val="08A6242E"/>
    <w:lvl w:ilvl="0" w:tplc="E514B0E0">
      <w:start w:val="1"/>
      <w:numFmt w:val="lowerRoman"/>
      <w:lvlText w:val="%1)"/>
      <w:lvlJc w:val="left"/>
      <w:pPr>
        <w:ind w:left="1143" w:hanging="720"/>
      </w:pPr>
      <w:rPr>
        <w:rFonts w:hint="default"/>
      </w:rPr>
    </w:lvl>
    <w:lvl w:ilvl="1" w:tplc="140A0019" w:tentative="1">
      <w:start w:val="1"/>
      <w:numFmt w:val="lowerLetter"/>
      <w:lvlText w:val="%2."/>
      <w:lvlJc w:val="left"/>
      <w:pPr>
        <w:ind w:left="1503" w:hanging="360"/>
      </w:pPr>
    </w:lvl>
    <w:lvl w:ilvl="2" w:tplc="140A001B" w:tentative="1">
      <w:start w:val="1"/>
      <w:numFmt w:val="lowerRoman"/>
      <w:lvlText w:val="%3."/>
      <w:lvlJc w:val="right"/>
      <w:pPr>
        <w:ind w:left="2223" w:hanging="180"/>
      </w:pPr>
    </w:lvl>
    <w:lvl w:ilvl="3" w:tplc="140A000F" w:tentative="1">
      <w:start w:val="1"/>
      <w:numFmt w:val="decimal"/>
      <w:lvlText w:val="%4."/>
      <w:lvlJc w:val="left"/>
      <w:pPr>
        <w:ind w:left="2943" w:hanging="360"/>
      </w:pPr>
    </w:lvl>
    <w:lvl w:ilvl="4" w:tplc="140A0019" w:tentative="1">
      <w:start w:val="1"/>
      <w:numFmt w:val="lowerLetter"/>
      <w:lvlText w:val="%5."/>
      <w:lvlJc w:val="left"/>
      <w:pPr>
        <w:ind w:left="3663" w:hanging="360"/>
      </w:pPr>
    </w:lvl>
    <w:lvl w:ilvl="5" w:tplc="140A001B" w:tentative="1">
      <w:start w:val="1"/>
      <w:numFmt w:val="lowerRoman"/>
      <w:lvlText w:val="%6."/>
      <w:lvlJc w:val="right"/>
      <w:pPr>
        <w:ind w:left="4383" w:hanging="180"/>
      </w:pPr>
    </w:lvl>
    <w:lvl w:ilvl="6" w:tplc="140A000F" w:tentative="1">
      <w:start w:val="1"/>
      <w:numFmt w:val="decimal"/>
      <w:lvlText w:val="%7."/>
      <w:lvlJc w:val="left"/>
      <w:pPr>
        <w:ind w:left="5103" w:hanging="360"/>
      </w:pPr>
    </w:lvl>
    <w:lvl w:ilvl="7" w:tplc="140A0019" w:tentative="1">
      <w:start w:val="1"/>
      <w:numFmt w:val="lowerLetter"/>
      <w:lvlText w:val="%8."/>
      <w:lvlJc w:val="left"/>
      <w:pPr>
        <w:ind w:left="5823" w:hanging="360"/>
      </w:pPr>
    </w:lvl>
    <w:lvl w:ilvl="8" w:tplc="140A001B" w:tentative="1">
      <w:start w:val="1"/>
      <w:numFmt w:val="lowerRoman"/>
      <w:lvlText w:val="%9."/>
      <w:lvlJc w:val="right"/>
      <w:pPr>
        <w:ind w:left="6543" w:hanging="180"/>
      </w:pPr>
    </w:lvl>
  </w:abstractNum>
  <w:abstractNum w:abstractNumId="20" w15:restartNumberingAfterBreak="0">
    <w:nsid w:val="2E506608"/>
    <w:multiLevelType w:val="hybridMultilevel"/>
    <w:tmpl w:val="390A8188"/>
    <w:lvl w:ilvl="0" w:tplc="4B266214">
      <w:start w:val="1"/>
      <w:numFmt w:val="lowerRoman"/>
      <w:lvlText w:val="(%1)"/>
      <w:lvlJc w:val="left"/>
      <w:pPr>
        <w:ind w:left="1080" w:hanging="720"/>
      </w:pPr>
      <w:rPr>
        <w:rFonts w:ascii="Verdana" w:hAnsi="Verdana" w:hint="default"/>
        <w:i w:val="0"/>
        <w:color w:val="28272B"/>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0377C12"/>
    <w:multiLevelType w:val="hybridMultilevel"/>
    <w:tmpl w:val="856631E8"/>
    <w:lvl w:ilvl="0" w:tplc="F7CE339E">
      <w:start w:val="1"/>
      <w:numFmt w:val="upperRoman"/>
      <w:lvlText w:val="%1."/>
      <w:lvlJc w:val="left"/>
      <w:pPr>
        <w:ind w:left="1080" w:hanging="720"/>
      </w:pPr>
      <w:rPr>
        <w:rFonts w:hint="default"/>
      </w:rPr>
    </w:lvl>
    <w:lvl w:ilvl="1" w:tplc="7DEE8730">
      <w:start w:val="1"/>
      <w:numFmt w:val="lowerLetter"/>
      <w:lvlText w:val="%2."/>
      <w:lvlJc w:val="left"/>
      <w:pPr>
        <w:ind w:left="1440" w:hanging="360"/>
      </w:pPr>
      <w:rPr>
        <w:rFonts w:hint="default"/>
      </w:rPr>
    </w:lvl>
    <w:lvl w:ilvl="2" w:tplc="19EA6400">
      <w:start w:val="1"/>
      <w:numFmt w:val="lowerRoman"/>
      <w:lvlText w:val="%3)"/>
      <w:lvlJc w:val="left"/>
      <w:pPr>
        <w:ind w:left="2700" w:hanging="720"/>
      </w:pPr>
      <w:rPr>
        <w:rFonts w:eastAsiaTheme="minorHAnsi" w:hint="default"/>
        <w:i/>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F141EB9"/>
    <w:multiLevelType w:val="hybridMultilevel"/>
    <w:tmpl w:val="ED160C9C"/>
    <w:lvl w:ilvl="0" w:tplc="DD3CF70A">
      <w:start w:val="1"/>
      <w:numFmt w:val="lowerRoman"/>
      <w:lvlText w:val="(%1)"/>
      <w:lvlJc w:val="left"/>
      <w:pPr>
        <w:ind w:left="1066" w:hanging="357"/>
      </w:pPr>
      <w:rPr>
        <w:rFonts w:ascii="Verdana" w:eastAsia="Times New Roman" w:hAnsi="Verdana" w:cs="Times New Roman"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3" w15:restartNumberingAfterBreak="0">
    <w:nsid w:val="4C343AA5"/>
    <w:multiLevelType w:val="hybridMultilevel"/>
    <w:tmpl w:val="906C0816"/>
    <w:lvl w:ilvl="0" w:tplc="8370C998">
      <w:start w:val="1"/>
      <w:numFmt w:val="decimal"/>
      <w:lvlText w:val="%1)"/>
      <w:lvlJc w:val="left"/>
      <w:pPr>
        <w:ind w:left="1068" w:hanging="360"/>
      </w:pPr>
      <w:rPr>
        <w:rFonts w:ascii="Verdana" w:eastAsiaTheme="minorHAnsi" w:hAnsi="Verdana" w:cs="Times New Roman"/>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4" w15:restartNumberingAfterBreak="0">
    <w:nsid w:val="58045C58"/>
    <w:multiLevelType w:val="hybridMultilevel"/>
    <w:tmpl w:val="72F0EE80"/>
    <w:lvl w:ilvl="0" w:tplc="A1FCE562">
      <w:start w:val="1"/>
      <w:numFmt w:val="lowerLetter"/>
      <w:lvlText w:val="%1)"/>
      <w:lvlJc w:val="left"/>
      <w:pPr>
        <w:ind w:left="1066" w:hanging="357"/>
      </w:pPr>
      <w:rPr>
        <w:rFonts w:ascii="Verdana" w:eastAsia="MS Mincho" w:hAnsi="Verdana" w:cs="Aria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5" w15:restartNumberingAfterBreak="0">
    <w:nsid w:val="618C7B0B"/>
    <w:multiLevelType w:val="hybridMultilevel"/>
    <w:tmpl w:val="0F241C98"/>
    <w:lvl w:ilvl="0" w:tplc="8DD80A9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247051C"/>
    <w:multiLevelType w:val="hybridMultilevel"/>
    <w:tmpl w:val="5D68CC66"/>
    <w:lvl w:ilvl="0" w:tplc="A1FCE562">
      <w:start w:val="1"/>
      <w:numFmt w:val="lowerLetter"/>
      <w:lvlText w:val="%1)"/>
      <w:lvlJc w:val="left"/>
      <w:pPr>
        <w:ind w:left="1066" w:hanging="357"/>
      </w:pPr>
      <w:rPr>
        <w:rFonts w:ascii="Verdana" w:eastAsia="MS Mincho" w:hAnsi="Verdana" w:cs="Arial"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35D415A"/>
    <w:multiLevelType w:val="hybridMultilevel"/>
    <w:tmpl w:val="2AE02450"/>
    <w:lvl w:ilvl="0" w:tplc="A1FCE562">
      <w:start w:val="1"/>
      <w:numFmt w:val="lowerLetter"/>
      <w:lvlText w:val="%1)"/>
      <w:lvlJc w:val="left"/>
      <w:pPr>
        <w:ind w:left="1066" w:hanging="357"/>
      </w:pPr>
      <w:rPr>
        <w:rFonts w:ascii="Verdana" w:eastAsia="MS Mincho" w:hAnsi="Verdana"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BE97B02"/>
    <w:multiLevelType w:val="hybridMultilevel"/>
    <w:tmpl w:val="7AFA5796"/>
    <w:lvl w:ilvl="0" w:tplc="6DD85594">
      <w:start w:val="1"/>
      <w:numFmt w:val="decimal"/>
      <w:lvlText w:val="%1."/>
      <w:lvlJc w:val="left"/>
      <w:pPr>
        <w:ind w:left="2061"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5"/>
  </w:num>
  <w:num w:numId="2">
    <w:abstractNumId w:val="28"/>
  </w:num>
  <w:num w:numId="3">
    <w:abstractNumId w:val="0"/>
  </w:num>
  <w:num w:numId="4">
    <w:abstractNumId w:val="23"/>
  </w:num>
  <w:num w:numId="5">
    <w:abstractNumId w:val="22"/>
  </w:num>
  <w:num w:numId="6">
    <w:abstractNumId w:val="24"/>
  </w:num>
  <w:num w:numId="7">
    <w:abstractNumId w:val="7"/>
  </w:num>
  <w:num w:numId="8">
    <w:abstractNumId w:val="11"/>
  </w:num>
  <w:num w:numId="9">
    <w:abstractNumId w:val="27"/>
  </w:num>
  <w:num w:numId="10">
    <w:abstractNumId w:val="8"/>
  </w:num>
  <w:num w:numId="11">
    <w:abstractNumId w:val="26"/>
  </w:num>
  <w:num w:numId="12">
    <w:abstractNumId w:val="9"/>
  </w:num>
  <w:num w:numId="13">
    <w:abstractNumId w:val="17"/>
  </w:num>
  <w:num w:numId="14">
    <w:abstractNumId w:val="13"/>
  </w:num>
  <w:num w:numId="15">
    <w:abstractNumId w:val="19"/>
  </w:num>
  <w:num w:numId="16">
    <w:abstractNumId w:val="21"/>
  </w:num>
  <w:num w:numId="17">
    <w:abstractNumId w:val="1"/>
  </w:num>
  <w:num w:numId="18">
    <w:abstractNumId w:val="3"/>
  </w:num>
  <w:num w:numId="19">
    <w:abstractNumId w:val="14"/>
  </w:num>
  <w:num w:numId="20">
    <w:abstractNumId w:val="20"/>
  </w:num>
  <w:num w:numId="21">
    <w:abstractNumId w:val="25"/>
  </w:num>
  <w:num w:numId="22">
    <w:abstractNumId w:val="16"/>
  </w:num>
  <w:num w:numId="23">
    <w:abstractNumId w:val="2"/>
  </w:num>
  <w:num w:numId="24">
    <w:abstractNumId w:val="5"/>
  </w:num>
  <w:num w:numId="25">
    <w:abstractNumId w:val="12"/>
  </w:num>
  <w:num w:numId="26">
    <w:abstractNumId w:val="18"/>
  </w:num>
  <w:num w:numId="27">
    <w:abstractNumId w:val="10"/>
  </w:num>
  <w:num w:numId="28">
    <w:abstractNumId w:val="4"/>
  </w:num>
  <w:num w:numId="29">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718"/>
    <w:rsid w:val="00000778"/>
    <w:rsid w:val="00001D0E"/>
    <w:rsid w:val="00003477"/>
    <w:rsid w:val="000139C8"/>
    <w:rsid w:val="00013BBD"/>
    <w:rsid w:val="000161C4"/>
    <w:rsid w:val="00022545"/>
    <w:rsid w:val="00022AB9"/>
    <w:rsid w:val="00025B4C"/>
    <w:rsid w:val="000275BB"/>
    <w:rsid w:val="00027733"/>
    <w:rsid w:val="00027D6F"/>
    <w:rsid w:val="00033E85"/>
    <w:rsid w:val="000340CF"/>
    <w:rsid w:val="00036859"/>
    <w:rsid w:val="000405C8"/>
    <w:rsid w:val="00044735"/>
    <w:rsid w:val="00045804"/>
    <w:rsid w:val="00045B73"/>
    <w:rsid w:val="0004624F"/>
    <w:rsid w:val="00046B22"/>
    <w:rsid w:val="00046E12"/>
    <w:rsid w:val="0005301F"/>
    <w:rsid w:val="000536A2"/>
    <w:rsid w:val="00057166"/>
    <w:rsid w:val="00060B1F"/>
    <w:rsid w:val="0006156B"/>
    <w:rsid w:val="00062BF2"/>
    <w:rsid w:val="0006718F"/>
    <w:rsid w:val="00067BDE"/>
    <w:rsid w:val="00077046"/>
    <w:rsid w:val="00077B9E"/>
    <w:rsid w:val="00077CAC"/>
    <w:rsid w:val="00080CA8"/>
    <w:rsid w:val="00085201"/>
    <w:rsid w:val="00085880"/>
    <w:rsid w:val="00087CE7"/>
    <w:rsid w:val="00087F3C"/>
    <w:rsid w:val="000912DA"/>
    <w:rsid w:val="00093107"/>
    <w:rsid w:val="00097E93"/>
    <w:rsid w:val="000A5577"/>
    <w:rsid w:val="000A6C9C"/>
    <w:rsid w:val="000A70A3"/>
    <w:rsid w:val="000A7BF9"/>
    <w:rsid w:val="000B0260"/>
    <w:rsid w:val="000B323A"/>
    <w:rsid w:val="000B3B9F"/>
    <w:rsid w:val="000B463C"/>
    <w:rsid w:val="000B584B"/>
    <w:rsid w:val="000B67A6"/>
    <w:rsid w:val="000C02B7"/>
    <w:rsid w:val="000C041A"/>
    <w:rsid w:val="000C0F42"/>
    <w:rsid w:val="000C26BD"/>
    <w:rsid w:val="000C7D7E"/>
    <w:rsid w:val="000D0FB0"/>
    <w:rsid w:val="000D2845"/>
    <w:rsid w:val="000D63C7"/>
    <w:rsid w:val="000D66C4"/>
    <w:rsid w:val="000D72BA"/>
    <w:rsid w:val="000D7711"/>
    <w:rsid w:val="000E0515"/>
    <w:rsid w:val="000E0B78"/>
    <w:rsid w:val="000E1905"/>
    <w:rsid w:val="000E2F76"/>
    <w:rsid w:val="000E3958"/>
    <w:rsid w:val="000E6041"/>
    <w:rsid w:val="000F32B5"/>
    <w:rsid w:val="000F53F0"/>
    <w:rsid w:val="000F55B2"/>
    <w:rsid w:val="000F55FE"/>
    <w:rsid w:val="000F7739"/>
    <w:rsid w:val="00106A69"/>
    <w:rsid w:val="00107027"/>
    <w:rsid w:val="00107EE9"/>
    <w:rsid w:val="00113428"/>
    <w:rsid w:val="00113568"/>
    <w:rsid w:val="001137FA"/>
    <w:rsid w:val="001167CB"/>
    <w:rsid w:val="0011721E"/>
    <w:rsid w:val="001177BC"/>
    <w:rsid w:val="001322BE"/>
    <w:rsid w:val="00141BFE"/>
    <w:rsid w:val="001420BE"/>
    <w:rsid w:val="0014241E"/>
    <w:rsid w:val="001426B7"/>
    <w:rsid w:val="00143205"/>
    <w:rsid w:val="001439A8"/>
    <w:rsid w:val="00152D0A"/>
    <w:rsid w:val="00160F40"/>
    <w:rsid w:val="001613F7"/>
    <w:rsid w:val="00162553"/>
    <w:rsid w:val="00162931"/>
    <w:rsid w:val="0016380E"/>
    <w:rsid w:val="00172711"/>
    <w:rsid w:val="00172B8A"/>
    <w:rsid w:val="00173CA6"/>
    <w:rsid w:val="00175BFF"/>
    <w:rsid w:val="00176183"/>
    <w:rsid w:val="00182605"/>
    <w:rsid w:val="0018346D"/>
    <w:rsid w:val="00185194"/>
    <w:rsid w:val="001917D1"/>
    <w:rsid w:val="00192D2F"/>
    <w:rsid w:val="00193034"/>
    <w:rsid w:val="00196FC9"/>
    <w:rsid w:val="001A1D0A"/>
    <w:rsid w:val="001A5125"/>
    <w:rsid w:val="001A68B5"/>
    <w:rsid w:val="001B0BA3"/>
    <w:rsid w:val="001B42E0"/>
    <w:rsid w:val="001B5E4F"/>
    <w:rsid w:val="001B768D"/>
    <w:rsid w:val="001C13F5"/>
    <w:rsid w:val="001C1651"/>
    <w:rsid w:val="001C2275"/>
    <w:rsid w:val="001C29B1"/>
    <w:rsid w:val="001C3FC8"/>
    <w:rsid w:val="001C46F9"/>
    <w:rsid w:val="001C549B"/>
    <w:rsid w:val="001D2C61"/>
    <w:rsid w:val="001D33F8"/>
    <w:rsid w:val="001D4313"/>
    <w:rsid w:val="001E0851"/>
    <w:rsid w:val="001E1DAC"/>
    <w:rsid w:val="001E2B68"/>
    <w:rsid w:val="001E43B8"/>
    <w:rsid w:val="001E4D0B"/>
    <w:rsid w:val="001F6743"/>
    <w:rsid w:val="00200088"/>
    <w:rsid w:val="00200F0E"/>
    <w:rsid w:val="0020137C"/>
    <w:rsid w:val="002058A1"/>
    <w:rsid w:val="00207551"/>
    <w:rsid w:val="00207E19"/>
    <w:rsid w:val="00210604"/>
    <w:rsid w:val="00221A54"/>
    <w:rsid w:val="002243E4"/>
    <w:rsid w:val="0022588C"/>
    <w:rsid w:val="00227AED"/>
    <w:rsid w:val="00230AB4"/>
    <w:rsid w:val="00231ED1"/>
    <w:rsid w:val="00234F45"/>
    <w:rsid w:val="00236E9A"/>
    <w:rsid w:val="00242F7C"/>
    <w:rsid w:val="00244EA8"/>
    <w:rsid w:val="00245246"/>
    <w:rsid w:val="00250C6A"/>
    <w:rsid w:val="00251BB3"/>
    <w:rsid w:val="00253A2E"/>
    <w:rsid w:val="0025497D"/>
    <w:rsid w:val="00255736"/>
    <w:rsid w:val="002560F9"/>
    <w:rsid w:val="0025722D"/>
    <w:rsid w:val="002575ED"/>
    <w:rsid w:val="00260F37"/>
    <w:rsid w:val="002634DD"/>
    <w:rsid w:val="002639D4"/>
    <w:rsid w:val="0026486A"/>
    <w:rsid w:val="00266308"/>
    <w:rsid w:val="0027154F"/>
    <w:rsid w:val="00274763"/>
    <w:rsid w:val="002775A1"/>
    <w:rsid w:val="00280301"/>
    <w:rsid w:val="002818AC"/>
    <w:rsid w:val="0028276B"/>
    <w:rsid w:val="00284178"/>
    <w:rsid w:val="00284DD1"/>
    <w:rsid w:val="0028644B"/>
    <w:rsid w:val="002864BF"/>
    <w:rsid w:val="002876CB"/>
    <w:rsid w:val="00291D6D"/>
    <w:rsid w:val="00294580"/>
    <w:rsid w:val="00294B29"/>
    <w:rsid w:val="002A2352"/>
    <w:rsid w:val="002A2468"/>
    <w:rsid w:val="002A54F1"/>
    <w:rsid w:val="002B12A6"/>
    <w:rsid w:val="002B19BB"/>
    <w:rsid w:val="002B5F49"/>
    <w:rsid w:val="002B6D8C"/>
    <w:rsid w:val="002B726D"/>
    <w:rsid w:val="002B7718"/>
    <w:rsid w:val="002C26D6"/>
    <w:rsid w:val="002C39DE"/>
    <w:rsid w:val="002C5D4F"/>
    <w:rsid w:val="002C6616"/>
    <w:rsid w:val="002C72F5"/>
    <w:rsid w:val="002D0598"/>
    <w:rsid w:val="002D06F9"/>
    <w:rsid w:val="002D083A"/>
    <w:rsid w:val="002D0D98"/>
    <w:rsid w:val="002D62AD"/>
    <w:rsid w:val="002E07F9"/>
    <w:rsid w:val="002E20B3"/>
    <w:rsid w:val="002E4B9A"/>
    <w:rsid w:val="002E61F4"/>
    <w:rsid w:val="002F0A7F"/>
    <w:rsid w:val="002F461A"/>
    <w:rsid w:val="002F4CDA"/>
    <w:rsid w:val="002F5F14"/>
    <w:rsid w:val="002F7544"/>
    <w:rsid w:val="00302627"/>
    <w:rsid w:val="0030367C"/>
    <w:rsid w:val="00303F28"/>
    <w:rsid w:val="00305146"/>
    <w:rsid w:val="00316BC2"/>
    <w:rsid w:val="003215AA"/>
    <w:rsid w:val="003222DF"/>
    <w:rsid w:val="003256E8"/>
    <w:rsid w:val="00326101"/>
    <w:rsid w:val="003315FC"/>
    <w:rsid w:val="003320A9"/>
    <w:rsid w:val="00332BA2"/>
    <w:rsid w:val="00332BC1"/>
    <w:rsid w:val="0033542B"/>
    <w:rsid w:val="00341324"/>
    <w:rsid w:val="0034151B"/>
    <w:rsid w:val="0034246E"/>
    <w:rsid w:val="00345E65"/>
    <w:rsid w:val="00346932"/>
    <w:rsid w:val="00347311"/>
    <w:rsid w:val="00347C95"/>
    <w:rsid w:val="00352B55"/>
    <w:rsid w:val="00352BCD"/>
    <w:rsid w:val="00352BE9"/>
    <w:rsid w:val="00353FC3"/>
    <w:rsid w:val="003553C4"/>
    <w:rsid w:val="00355A2D"/>
    <w:rsid w:val="00357E33"/>
    <w:rsid w:val="0036231C"/>
    <w:rsid w:val="00364C49"/>
    <w:rsid w:val="00365C13"/>
    <w:rsid w:val="00365DA7"/>
    <w:rsid w:val="00370678"/>
    <w:rsid w:val="00371068"/>
    <w:rsid w:val="00371B97"/>
    <w:rsid w:val="003753A9"/>
    <w:rsid w:val="0037568E"/>
    <w:rsid w:val="003756D9"/>
    <w:rsid w:val="00376794"/>
    <w:rsid w:val="003829C8"/>
    <w:rsid w:val="003847BB"/>
    <w:rsid w:val="00385BDC"/>
    <w:rsid w:val="00386D68"/>
    <w:rsid w:val="00390355"/>
    <w:rsid w:val="003904C8"/>
    <w:rsid w:val="00390A04"/>
    <w:rsid w:val="003927FB"/>
    <w:rsid w:val="00396889"/>
    <w:rsid w:val="003A2173"/>
    <w:rsid w:val="003A3CD3"/>
    <w:rsid w:val="003A6EE1"/>
    <w:rsid w:val="003B120C"/>
    <w:rsid w:val="003B1423"/>
    <w:rsid w:val="003B2F78"/>
    <w:rsid w:val="003C0B66"/>
    <w:rsid w:val="003D2257"/>
    <w:rsid w:val="003D283F"/>
    <w:rsid w:val="003E093E"/>
    <w:rsid w:val="003E1264"/>
    <w:rsid w:val="003E642D"/>
    <w:rsid w:val="003E675B"/>
    <w:rsid w:val="003F0059"/>
    <w:rsid w:val="003F2747"/>
    <w:rsid w:val="0040279D"/>
    <w:rsid w:val="00403820"/>
    <w:rsid w:val="00404014"/>
    <w:rsid w:val="00404898"/>
    <w:rsid w:val="00405D04"/>
    <w:rsid w:val="004079E0"/>
    <w:rsid w:val="00407A99"/>
    <w:rsid w:val="00411EE2"/>
    <w:rsid w:val="00412B76"/>
    <w:rsid w:val="0041686C"/>
    <w:rsid w:val="00417754"/>
    <w:rsid w:val="0042136F"/>
    <w:rsid w:val="0042170A"/>
    <w:rsid w:val="004235DB"/>
    <w:rsid w:val="00425ACD"/>
    <w:rsid w:val="004263DC"/>
    <w:rsid w:val="004270D1"/>
    <w:rsid w:val="0043090C"/>
    <w:rsid w:val="00431677"/>
    <w:rsid w:val="00432624"/>
    <w:rsid w:val="004329FE"/>
    <w:rsid w:val="00432B44"/>
    <w:rsid w:val="004332C1"/>
    <w:rsid w:val="0043394B"/>
    <w:rsid w:val="004342ED"/>
    <w:rsid w:val="00440058"/>
    <w:rsid w:val="00440645"/>
    <w:rsid w:val="00440E2D"/>
    <w:rsid w:val="00443BE7"/>
    <w:rsid w:val="00443F13"/>
    <w:rsid w:val="004454A7"/>
    <w:rsid w:val="004456A3"/>
    <w:rsid w:val="00446944"/>
    <w:rsid w:val="00447B7C"/>
    <w:rsid w:val="00452255"/>
    <w:rsid w:val="00452934"/>
    <w:rsid w:val="00454783"/>
    <w:rsid w:val="00460B11"/>
    <w:rsid w:val="00462B87"/>
    <w:rsid w:val="00462E15"/>
    <w:rsid w:val="00463DBE"/>
    <w:rsid w:val="0046475B"/>
    <w:rsid w:val="004667E4"/>
    <w:rsid w:val="00470B2F"/>
    <w:rsid w:val="0047708A"/>
    <w:rsid w:val="00480153"/>
    <w:rsid w:val="00481779"/>
    <w:rsid w:val="00483D66"/>
    <w:rsid w:val="0048418F"/>
    <w:rsid w:val="00485665"/>
    <w:rsid w:val="0048764E"/>
    <w:rsid w:val="00490C5E"/>
    <w:rsid w:val="00491DF4"/>
    <w:rsid w:val="00494AA9"/>
    <w:rsid w:val="00494F60"/>
    <w:rsid w:val="004A0AB8"/>
    <w:rsid w:val="004A111F"/>
    <w:rsid w:val="004A17B2"/>
    <w:rsid w:val="004A2B1F"/>
    <w:rsid w:val="004A3878"/>
    <w:rsid w:val="004A57D2"/>
    <w:rsid w:val="004B028A"/>
    <w:rsid w:val="004B3013"/>
    <w:rsid w:val="004B306C"/>
    <w:rsid w:val="004B3573"/>
    <w:rsid w:val="004B5D47"/>
    <w:rsid w:val="004B6B50"/>
    <w:rsid w:val="004B71DA"/>
    <w:rsid w:val="004B73FE"/>
    <w:rsid w:val="004C2717"/>
    <w:rsid w:val="004C5CF9"/>
    <w:rsid w:val="004C6C09"/>
    <w:rsid w:val="004C7C25"/>
    <w:rsid w:val="004D12B0"/>
    <w:rsid w:val="004D24FA"/>
    <w:rsid w:val="004E5BB6"/>
    <w:rsid w:val="004F4E04"/>
    <w:rsid w:val="004F5C42"/>
    <w:rsid w:val="0050096D"/>
    <w:rsid w:val="00502527"/>
    <w:rsid w:val="00504CA1"/>
    <w:rsid w:val="00505D56"/>
    <w:rsid w:val="00510793"/>
    <w:rsid w:val="005114DA"/>
    <w:rsid w:val="005152B4"/>
    <w:rsid w:val="00515594"/>
    <w:rsid w:val="0051677C"/>
    <w:rsid w:val="00516F9C"/>
    <w:rsid w:val="00520643"/>
    <w:rsid w:val="0052303C"/>
    <w:rsid w:val="0052596D"/>
    <w:rsid w:val="00525AAF"/>
    <w:rsid w:val="005338BE"/>
    <w:rsid w:val="00534A05"/>
    <w:rsid w:val="00535380"/>
    <w:rsid w:val="0053669E"/>
    <w:rsid w:val="00536CF5"/>
    <w:rsid w:val="00542C44"/>
    <w:rsid w:val="00544FBC"/>
    <w:rsid w:val="00545B9A"/>
    <w:rsid w:val="00547C60"/>
    <w:rsid w:val="00551410"/>
    <w:rsid w:val="00551B57"/>
    <w:rsid w:val="00554190"/>
    <w:rsid w:val="00555E36"/>
    <w:rsid w:val="005564DD"/>
    <w:rsid w:val="005623DA"/>
    <w:rsid w:val="005651B0"/>
    <w:rsid w:val="00565486"/>
    <w:rsid w:val="0056564D"/>
    <w:rsid w:val="00567865"/>
    <w:rsid w:val="00570218"/>
    <w:rsid w:val="0057196A"/>
    <w:rsid w:val="00572AE0"/>
    <w:rsid w:val="005763A4"/>
    <w:rsid w:val="00577446"/>
    <w:rsid w:val="00580BFA"/>
    <w:rsid w:val="00582DE9"/>
    <w:rsid w:val="005857E5"/>
    <w:rsid w:val="00587D1C"/>
    <w:rsid w:val="00587D64"/>
    <w:rsid w:val="00591A49"/>
    <w:rsid w:val="00592137"/>
    <w:rsid w:val="0059606E"/>
    <w:rsid w:val="00597F2A"/>
    <w:rsid w:val="005A0CDF"/>
    <w:rsid w:val="005A3A2C"/>
    <w:rsid w:val="005A75A2"/>
    <w:rsid w:val="005B1A7C"/>
    <w:rsid w:val="005B3268"/>
    <w:rsid w:val="005B4F17"/>
    <w:rsid w:val="005B53CB"/>
    <w:rsid w:val="005B5C8E"/>
    <w:rsid w:val="005B7A08"/>
    <w:rsid w:val="005C03C1"/>
    <w:rsid w:val="005C12DC"/>
    <w:rsid w:val="005C2011"/>
    <w:rsid w:val="005C351B"/>
    <w:rsid w:val="005C4A16"/>
    <w:rsid w:val="005C7811"/>
    <w:rsid w:val="005C7B8E"/>
    <w:rsid w:val="005D1B23"/>
    <w:rsid w:val="005D1E3D"/>
    <w:rsid w:val="005D370D"/>
    <w:rsid w:val="005D54CE"/>
    <w:rsid w:val="005D7690"/>
    <w:rsid w:val="005E5F5E"/>
    <w:rsid w:val="005F12A1"/>
    <w:rsid w:val="005F25B0"/>
    <w:rsid w:val="005F5CC0"/>
    <w:rsid w:val="005F6FAB"/>
    <w:rsid w:val="006069E5"/>
    <w:rsid w:val="0061110C"/>
    <w:rsid w:val="00612C25"/>
    <w:rsid w:val="006132B8"/>
    <w:rsid w:val="00614DE3"/>
    <w:rsid w:val="00620820"/>
    <w:rsid w:val="00620878"/>
    <w:rsid w:val="0062353B"/>
    <w:rsid w:val="00624DF8"/>
    <w:rsid w:val="00624F40"/>
    <w:rsid w:val="006260FF"/>
    <w:rsid w:val="00630A72"/>
    <w:rsid w:val="00632F57"/>
    <w:rsid w:val="00633A12"/>
    <w:rsid w:val="00636310"/>
    <w:rsid w:val="00636B72"/>
    <w:rsid w:val="00640FA4"/>
    <w:rsid w:val="00643E75"/>
    <w:rsid w:val="006514A9"/>
    <w:rsid w:val="00651871"/>
    <w:rsid w:val="006533A3"/>
    <w:rsid w:val="00655240"/>
    <w:rsid w:val="00655869"/>
    <w:rsid w:val="00655F2E"/>
    <w:rsid w:val="00660CA6"/>
    <w:rsid w:val="006616E6"/>
    <w:rsid w:val="006617AB"/>
    <w:rsid w:val="00661F32"/>
    <w:rsid w:val="00662201"/>
    <w:rsid w:val="00664BE8"/>
    <w:rsid w:val="006665E9"/>
    <w:rsid w:val="00666B03"/>
    <w:rsid w:val="006715D6"/>
    <w:rsid w:val="00672AFB"/>
    <w:rsid w:val="00677495"/>
    <w:rsid w:val="006779E2"/>
    <w:rsid w:val="00684EC5"/>
    <w:rsid w:val="00685BF6"/>
    <w:rsid w:val="00687F9F"/>
    <w:rsid w:val="006916FA"/>
    <w:rsid w:val="00691A34"/>
    <w:rsid w:val="0069383A"/>
    <w:rsid w:val="0069763F"/>
    <w:rsid w:val="006A0908"/>
    <w:rsid w:val="006A57C6"/>
    <w:rsid w:val="006A730D"/>
    <w:rsid w:val="006B1E27"/>
    <w:rsid w:val="006B2D23"/>
    <w:rsid w:val="006B6CDE"/>
    <w:rsid w:val="006C1628"/>
    <w:rsid w:val="006C27AD"/>
    <w:rsid w:val="006D1360"/>
    <w:rsid w:val="006D1CF7"/>
    <w:rsid w:val="006D5B43"/>
    <w:rsid w:val="006E1131"/>
    <w:rsid w:val="006E2FEA"/>
    <w:rsid w:val="006E4967"/>
    <w:rsid w:val="006E5CB0"/>
    <w:rsid w:val="006E690A"/>
    <w:rsid w:val="006E7CFF"/>
    <w:rsid w:val="006F3CC3"/>
    <w:rsid w:val="006F485B"/>
    <w:rsid w:val="006F7CED"/>
    <w:rsid w:val="0070089B"/>
    <w:rsid w:val="007011B9"/>
    <w:rsid w:val="00701E76"/>
    <w:rsid w:val="007070C6"/>
    <w:rsid w:val="00707605"/>
    <w:rsid w:val="00707769"/>
    <w:rsid w:val="00707CFE"/>
    <w:rsid w:val="00711321"/>
    <w:rsid w:val="00712529"/>
    <w:rsid w:val="00714AEA"/>
    <w:rsid w:val="00721C18"/>
    <w:rsid w:val="00722EEF"/>
    <w:rsid w:val="007310B8"/>
    <w:rsid w:val="00735C5D"/>
    <w:rsid w:val="00736E09"/>
    <w:rsid w:val="00737C7C"/>
    <w:rsid w:val="0074025F"/>
    <w:rsid w:val="00740567"/>
    <w:rsid w:val="007407C3"/>
    <w:rsid w:val="00746119"/>
    <w:rsid w:val="00750F43"/>
    <w:rsid w:val="00754FB1"/>
    <w:rsid w:val="007574D4"/>
    <w:rsid w:val="00760840"/>
    <w:rsid w:val="00760952"/>
    <w:rsid w:val="00760FDD"/>
    <w:rsid w:val="00762920"/>
    <w:rsid w:val="00762F99"/>
    <w:rsid w:val="00764921"/>
    <w:rsid w:val="00764C73"/>
    <w:rsid w:val="00771221"/>
    <w:rsid w:val="00772D07"/>
    <w:rsid w:val="00772D41"/>
    <w:rsid w:val="0077415C"/>
    <w:rsid w:val="0077739C"/>
    <w:rsid w:val="00777E5B"/>
    <w:rsid w:val="00777FF0"/>
    <w:rsid w:val="00780E28"/>
    <w:rsid w:val="00781099"/>
    <w:rsid w:val="00783F73"/>
    <w:rsid w:val="00785663"/>
    <w:rsid w:val="00785FC6"/>
    <w:rsid w:val="00786F06"/>
    <w:rsid w:val="00791F88"/>
    <w:rsid w:val="00793710"/>
    <w:rsid w:val="00793FE5"/>
    <w:rsid w:val="007955BB"/>
    <w:rsid w:val="00797344"/>
    <w:rsid w:val="007A0114"/>
    <w:rsid w:val="007A03C0"/>
    <w:rsid w:val="007A0DEC"/>
    <w:rsid w:val="007A2CF3"/>
    <w:rsid w:val="007A3807"/>
    <w:rsid w:val="007A3E38"/>
    <w:rsid w:val="007A40F2"/>
    <w:rsid w:val="007A5B93"/>
    <w:rsid w:val="007A6B49"/>
    <w:rsid w:val="007B2C08"/>
    <w:rsid w:val="007B3952"/>
    <w:rsid w:val="007B4ECE"/>
    <w:rsid w:val="007B5388"/>
    <w:rsid w:val="007C176C"/>
    <w:rsid w:val="007C24DF"/>
    <w:rsid w:val="007C45C4"/>
    <w:rsid w:val="007C59FD"/>
    <w:rsid w:val="007D2674"/>
    <w:rsid w:val="007D2962"/>
    <w:rsid w:val="007D5E43"/>
    <w:rsid w:val="007E0968"/>
    <w:rsid w:val="007E1763"/>
    <w:rsid w:val="007E2110"/>
    <w:rsid w:val="007E29FC"/>
    <w:rsid w:val="007E5154"/>
    <w:rsid w:val="007E55DE"/>
    <w:rsid w:val="007E6D3E"/>
    <w:rsid w:val="007E7A92"/>
    <w:rsid w:val="007E7E85"/>
    <w:rsid w:val="007F25D0"/>
    <w:rsid w:val="007F3785"/>
    <w:rsid w:val="007F5BF9"/>
    <w:rsid w:val="007F617A"/>
    <w:rsid w:val="007F742E"/>
    <w:rsid w:val="0080003F"/>
    <w:rsid w:val="00804E62"/>
    <w:rsid w:val="00804EDF"/>
    <w:rsid w:val="008069AA"/>
    <w:rsid w:val="00807DED"/>
    <w:rsid w:val="0081511B"/>
    <w:rsid w:val="00816B8F"/>
    <w:rsid w:val="008178D0"/>
    <w:rsid w:val="00817EA8"/>
    <w:rsid w:val="00821A97"/>
    <w:rsid w:val="00835AE6"/>
    <w:rsid w:val="00837E14"/>
    <w:rsid w:val="00840E0E"/>
    <w:rsid w:val="00841177"/>
    <w:rsid w:val="00842FA8"/>
    <w:rsid w:val="00844780"/>
    <w:rsid w:val="008450D1"/>
    <w:rsid w:val="008509B0"/>
    <w:rsid w:val="00854612"/>
    <w:rsid w:val="00854D9D"/>
    <w:rsid w:val="00856B04"/>
    <w:rsid w:val="008604A7"/>
    <w:rsid w:val="00860D51"/>
    <w:rsid w:val="00861A54"/>
    <w:rsid w:val="00866156"/>
    <w:rsid w:val="00866286"/>
    <w:rsid w:val="0086736E"/>
    <w:rsid w:val="008726D9"/>
    <w:rsid w:val="008744DC"/>
    <w:rsid w:val="008764EA"/>
    <w:rsid w:val="00884A3D"/>
    <w:rsid w:val="00884D8A"/>
    <w:rsid w:val="00890709"/>
    <w:rsid w:val="00894870"/>
    <w:rsid w:val="0089508C"/>
    <w:rsid w:val="00895694"/>
    <w:rsid w:val="0089616C"/>
    <w:rsid w:val="00897A9E"/>
    <w:rsid w:val="008A075C"/>
    <w:rsid w:val="008A0912"/>
    <w:rsid w:val="008A1541"/>
    <w:rsid w:val="008A1B1A"/>
    <w:rsid w:val="008A2DDE"/>
    <w:rsid w:val="008A4902"/>
    <w:rsid w:val="008A7C8F"/>
    <w:rsid w:val="008B049C"/>
    <w:rsid w:val="008B5280"/>
    <w:rsid w:val="008B5591"/>
    <w:rsid w:val="008B60D8"/>
    <w:rsid w:val="008C1F70"/>
    <w:rsid w:val="008C2F13"/>
    <w:rsid w:val="008C3A5A"/>
    <w:rsid w:val="008C6778"/>
    <w:rsid w:val="008C78E1"/>
    <w:rsid w:val="008D06FC"/>
    <w:rsid w:val="008D1F37"/>
    <w:rsid w:val="008D6AEB"/>
    <w:rsid w:val="008E0AB0"/>
    <w:rsid w:val="008F015F"/>
    <w:rsid w:val="008F3B25"/>
    <w:rsid w:val="008F3FB2"/>
    <w:rsid w:val="008F5B3F"/>
    <w:rsid w:val="0090189A"/>
    <w:rsid w:val="0090356D"/>
    <w:rsid w:val="00904E7C"/>
    <w:rsid w:val="00906B73"/>
    <w:rsid w:val="00906C3C"/>
    <w:rsid w:val="00910B36"/>
    <w:rsid w:val="00913FCD"/>
    <w:rsid w:val="009154BC"/>
    <w:rsid w:val="00917363"/>
    <w:rsid w:val="009179E9"/>
    <w:rsid w:val="00921DC5"/>
    <w:rsid w:val="009254F5"/>
    <w:rsid w:val="00926C30"/>
    <w:rsid w:val="00927070"/>
    <w:rsid w:val="009325BF"/>
    <w:rsid w:val="0093317E"/>
    <w:rsid w:val="009339E0"/>
    <w:rsid w:val="00936D22"/>
    <w:rsid w:val="0094084B"/>
    <w:rsid w:val="009408BC"/>
    <w:rsid w:val="009411F5"/>
    <w:rsid w:val="00942AD7"/>
    <w:rsid w:val="0094415A"/>
    <w:rsid w:val="009456CC"/>
    <w:rsid w:val="00945EA2"/>
    <w:rsid w:val="00952FB2"/>
    <w:rsid w:val="00954244"/>
    <w:rsid w:val="00954D50"/>
    <w:rsid w:val="0095664A"/>
    <w:rsid w:val="009611DB"/>
    <w:rsid w:val="00961501"/>
    <w:rsid w:val="009617CB"/>
    <w:rsid w:val="00963D53"/>
    <w:rsid w:val="00966A4E"/>
    <w:rsid w:val="00967631"/>
    <w:rsid w:val="009708DA"/>
    <w:rsid w:val="009710ED"/>
    <w:rsid w:val="0097211D"/>
    <w:rsid w:val="009726FE"/>
    <w:rsid w:val="00976C86"/>
    <w:rsid w:val="009775D4"/>
    <w:rsid w:val="0097782D"/>
    <w:rsid w:val="0098517C"/>
    <w:rsid w:val="00991B79"/>
    <w:rsid w:val="00992705"/>
    <w:rsid w:val="00995DDF"/>
    <w:rsid w:val="00996F94"/>
    <w:rsid w:val="009A1796"/>
    <w:rsid w:val="009A362D"/>
    <w:rsid w:val="009A799C"/>
    <w:rsid w:val="009A7A10"/>
    <w:rsid w:val="009B02E5"/>
    <w:rsid w:val="009B0ADA"/>
    <w:rsid w:val="009B0FD1"/>
    <w:rsid w:val="009B106D"/>
    <w:rsid w:val="009B2D76"/>
    <w:rsid w:val="009C1D76"/>
    <w:rsid w:val="009C3E52"/>
    <w:rsid w:val="009C4ABF"/>
    <w:rsid w:val="009C7685"/>
    <w:rsid w:val="009D04CF"/>
    <w:rsid w:val="009D2F84"/>
    <w:rsid w:val="009D300C"/>
    <w:rsid w:val="009D3A8B"/>
    <w:rsid w:val="009D52AC"/>
    <w:rsid w:val="009D7F51"/>
    <w:rsid w:val="009E0764"/>
    <w:rsid w:val="009E19FB"/>
    <w:rsid w:val="009E1C53"/>
    <w:rsid w:val="009E444D"/>
    <w:rsid w:val="009E553B"/>
    <w:rsid w:val="009E627E"/>
    <w:rsid w:val="009E679E"/>
    <w:rsid w:val="009F148A"/>
    <w:rsid w:val="009F1E07"/>
    <w:rsid w:val="009F28BC"/>
    <w:rsid w:val="00A0321D"/>
    <w:rsid w:val="00A05D01"/>
    <w:rsid w:val="00A06EE2"/>
    <w:rsid w:val="00A10112"/>
    <w:rsid w:val="00A15B8B"/>
    <w:rsid w:val="00A16337"/>
    <w:rsid w:val="00A205F7"/>
    <w:rsid w:val="00A21775"/>
    <w:rsid w:val="00A2441A"/>
    <w:rsid w:val="00A254B0"/>
    <w:rsid w:val="00A2783F"/>
    <w:rsid w:val="00A27CBF"/>
    <w:rsid w:val="00A27FAD"/>
    <w:rsid w:val="00A3162A"/>
    <w:rsid w:val="00A31725"/>
    <w:rsid w:val="00A35CED"/>
    <w:rsid w:val="00A36234"/>
    <w:rsid w:val="00A36B4C"/>
    <w:rsid w:val="00A41663"/>
    <w:rsid w:val="00A4616F"/>
    <w:rsid w:val="00A56BBF"/>
    <w:rsid w:val="00A601C6"/>
    <w:rsid w:val="00A61EB0"/>
    <w:rsid w:val="00A621CF"/>
    <w:rsid w:val="00A62578"/>
    <w:rsid w:val="00A63776"/>
    <w:rsid w:val="00A640EA"/>
    <w:rsid w:val="00A6688D"/>
    <w:rsid w:val="00A7493B"/>
    <w:rsid w:val="00A81970"/>
    <w:rsid w:val="00A81EB8"/>
    <w:rsid w:val="00A8255C"/>
    <w:rsid w:val="00A84A9F"/>
    <w:rsid w:val="00A84D56"/>
    <w:rsid w:val="00A859F5"/>
    <w:rsid w:val="00A90518"/>
    <w:rsid w:val="00A90FD6"/>
    <w:rsid w:val="00A926EF"/>
    <w:rsid w:val="00A93274"/>
    <w:rsid w:val="00A95F9F"/>
    <w:rsid w:val="00A97ACC"/>
    <w:rsid w:val="00A97D6D"/>
    <w:rsid w:val="00A97E3D"/>
    <w:rsid w:val="00AA1192"/>
    <w:rsid w:val="00AA1635"/>
    <w:rsid w:val="00AA1F4F"/>
    <w:rsid w:val="00AA762E"/>
    <w:rsid w:val="00AB0004"/>
    <w:rsid w:val="00AB715D"/>
    <w:rsid w:val="00AB7337"/>
    <w:rsid w:val="00AC07BF"/>
    <w:rsid w:val="00AC4D6D"/>
    <w:rsid w:val="00AD27B1"/>
    <w:rsid w:val="00AD5C31"/>
    <w:rsid w:val="00AE1C48"/>
    <w:rsid w:val="00AE1EAD"/>
    <w:rsid w:val="00AE3052"/>
    <w:rsid w:val="00AE4249"/>
    <w:rsid w:val="00AE5525"/>
    <w:rsid w:val="00AE5E5A"/>
    <w:rsid w:val="00AE7AAF"/>
    <w:rsid w:val="00AF60C1"/>
    <w:rsid w:val="00AF7DDD"/>
    <w:rsid w:val="00B022D7"/>
    <w:rsid w:val="00B035F9"/>
    <w:rsid w:val="00B055FC"/>
    <w:rsid w:val="00B05976"/>
    <w:rsid w:val="00B076D2"/>
    <w:rsid w:val="00B078DE"/>
    <w:rsid w:val="00B12C9B"/>
    <w:rsid w:val="00B13354"/>
    <w:rsid w:val="00B157BA"/>
    <w:rsid w:val="00B168A3"/>
    <w:rsid w:val="00B17771"/>
    <w:rsid w:val="00B21EBC"/>
    <w:rsid w:val="00B24BF8"/>
    <w:rsid w:val="00B24F96"/>
    <w:rsid w:val="00B272F1"/>
    <w:rsid w:val="00B30014"/>
    <w:rsid w:val="00B30F95"/>
    <w:rsid w:val="00B328A2"/>
    <w:rsid w:val="00B338EE"/>
    <w:rsid w:val="00B422F1"/>
    <w:rsid w:val="00B44AC3"/>
    <w:rsid w:val="00B465F3"/>
    <w:rsid w:val="00B47079"/>
    <w:rsid w:val="00B513A8"/>
    <w:rsid w:val="00B51468"/>
    <w:rsid w:val="00B53EF0"/>
    <w:rsid w:val="00B65863"/>
    <w:rsid w:val="00B660E9"/>
    <w:rsid w:val="00B661E1"/>
    <w:rsid w:val="00B671AF"/>
    <w:rsid w:val="00B67B7E"/>
    <w:rsid w:val="00B708CF"/>
    <w:rsid w:val="00B7262B"/>
    <w:rsid w:val="00B743C8"/>
    <w:rsid w:val="00B76569"/>
    <w:rsid w:val="00B807F8"/>
    <w:rsid w:val="00B95F8F"/>
    <w:rsid w:val="00BA13EB"/>
    <w:rsid w:val="00BB05C7"/>
    <w:rsid w:val="00BB1938"/>
    <w:rsid w:val="00BB1AF1"/>
    <w:rsid w:val="00BB2192"/>
    <w:rsid w:val="00BB2604"/>
    <w:rsid w:val="00BB2E08"/>
    <w:rsid w:val="00BB45DD"/>
    <w:rsid w:val="00BB4703"/>
    <w:rsid w:val="00BB6CDC"/>
    <w:rsid w:val="00BC1BB7"/>
    <w:rsid w:val="00BC3D10"/>
    <w:rsid w:val="00BC564C"/>
    <w:rsid w:val="00BC737F"/>
    <w:rsid w:val="00BD103E"/>
    <w:rsid w:val="00BD2F62"/>
    <w:rsid w:val="00BD7223"/>
    <w:rsid w:val="00BD7EE0"/>
    <w:rsid w:val="00BE0EFF"/>
    <w:rsid w:val="00BE50F5"/>
    <w:rsid w:val="00BF34F6"/>
    <w:rsid w:val="00BF7750"/>
    <w:rsid w:val="00C00E22"/>
    <w:rsid w:val="00C03299"/>
    <w:rsid w:val="00C043A0"/>
    <w:rsid w:val="00C048D8"/>
    <w:rsid w:val="00C05FD4"/>
    <w:rsid w:val="00C15888"/>
    <w:rsid w:val="00C15D17"/>
    <w:rsid w:val="00C173D1"/>
    <w:rsid w:val="00C234AE"/>
    <w:rsid w:val="00C25120"/>
    <w:rsid w:val="00C25C0B"/>
    <w:rsid w:val="00C264DF"/>
    <w:rsid w:val="00C268F0"/>
    <w:rsid w:val="00C30F32"/>
    <w:rsid w:val="00C33993"/>
    <w:rsid w:val="00C345E6"/>
    <w:rsid w:val="00C40470"/>
    <w:rsid w:val="00C4243B"/>
    <w:rsid w:val="00C43874"/>
    <w:rsid w:val="00C461B4"/>
    <w:rsid w:val="00C52993"/>
    <w:rsid w:val="00C536B3"/>
    <w:rsid w:val="00C55610"/>
    <w:rsid w:val="00C57734"/>
    <w:rsid w:val="00C60067"/>
    <w:rsid w:val="00C6105A"/>
    <w:rsid w:val="00C62E87"/>
    <w:rsid w:val="00C636EC"/>
    <w:rsid w:val="00C65103"/>
    <w:rsid w:val="00C65D9A"/>
    <w:rsid w:val="00C66DBF"/>
    <w:rsid w:val="00C7015D"/>
    <w:rsid w:val="00C7128F"/>
    <w:rsid w:val="00C713A5"/>
    <w:rsid w:val="00C717F1"/>
    <w:rsid w:val="00C7405D"/>
    <w:rsid w:val="00C755FA"/>
    <w:rsid w:val="00C76925"/>
    <w:rsid w:val="00C80800"/>
    <w:rsid w:val="00C8217E"/>
    <w:rsid w:val="00C84679"/>
    <w:rsid w:val="00C91769"/>
    <w:rsid w:val="00C91FAD"/>
    <w:rsid w:val="00C93C6C"/>
    <w:rsid w:val="00CA0975"/>
    <w:rsid w:val="00CA2944"/>
    <w:rsid w:val="00CA2D42"/>
    <w:rsid w:val="00CA4094"/>
    <w:rsid w:val="00CB305F"/>
    <w:rsid w:val="00CB3589"/>
    <w:rsid w:val="00CB55AB"/>
    <w:rsid w:val="00CC4280"/>
    <w:rsid w:val="00CC51F9"/>
    <w:rsid w:val="00CC5731"/>
    <w:rsid w:val="00CC768A"/>
    <w:rsid w:val="00CC7D5D"/>
    <w:rsid w:val="00CD16CE"/>
    <w:rsid w:val="00CD1E8D"/>
    <w:rsid w:val="00CD23F9"/>
    <w:rsid w:val="00CD359D"/>
    <w:rsid w:val="00CD4D32"/>
    <w:rsid w:val="00CD5EB5"/>
    <w:rsid w:val="00CD6BDA"/>
    <w:rsid w:val="00CD6EE4"/>
    <w:rsid w:val="00CE6680"/>
    <w:rsid w:val="00CE753B"/>
    <w:rsid w:val="00CF1965"/>
    <w:rsid w:val="00CF3691"/>
    <w:rsid w:val="00CF43C4"/>
    <w:rsid w:val="00CF61B1"/>
    <w:rsid w:val="00CF61B7"/>
    <w:rsid w:val="00CF77E6"/>
    <w:rsid w:val="00D00539"/>
    <w:rsid w:val="00D00865"/>
    <w:rsid w:val="00D00DD5"/>
    <w:rsid w:val="00D00E4B"/>
    <w:rsid w:val="00D01240"/>
    <w:rsid w:val="00D0197C"/>
    <w:rsid w:val="00D023B3"/>
    <w:rsid w:val="00D06168"/>
    <w:rsid w:val="00D079B2"/>
    <w:rsid w:val="00D11632"/>
    <w:rsid w:val="00D11809"/>
    <w:rsid w:val="00D16E9E"/>
    <w:rsid w:val="00D22557"/>
    <w:rsid w:val="00D23956"/>
    <w:rsid w:val="00D23FAB"/>
    <w:rsid w:val="00D258D4"/>
    <w:rsid w:val="00D300D9"/>
    <w:rsid w:val="00D30108"/>
    <w:rsid w:val="00D309A9"/>
    <w:rsid w:val="00D33EB6"/>
    <w:rsid w:val="00D349C1"/>
    <w:rsid w:val="00D35445"/>
    <w:rsid w:val="00D41804"/>
    <w:rsid w:val="00D41D5C"/>
    <w:rsid w:val="00D43D87"/>
    <w:rsid w:val="00D43FA2"/>
    <w:rsid w:val="00D47773"/>
    <w:rsid w:val="00D47977"/>
    <w:rsid w:val="00D47AB7"/>
    <w:rsid w:val="00D50C64"/>
    <w:rsid w:val="00D64B9A"/>
    <w:rsid w:val="00D71554"/>
    <w:rsid w:val="00D7155C"/>
    <w:rsid w:val="00D72339"/>
    <w:rsid w:val="00D74461"/>
    <w:rsid w:val="00D76588"/>
    <w:rsid w:val="00D76B91"/>
    <w:rsid w:val="00D80C73"/>
    <w:rsid w:val="00D815B8"/>
    <w:rsid w:val="00D842E2"/>
    <w:rsid w:val="00D84744"/>
    <w:rsid w:val="00D84A28"/>
    <w:rsid w:val="00D8611A"/>
    <w:rsid w:val="00D86D4D"/>
    <w:rsid w:val="00D921E3"/>
    <w:rsid w:val="00D94223"/>
    <w:rsid w:val="00D9515B"/>
    <w:rsid w:val="00D965BB"/>
    <w:rsid w:val="00D96A04"/>
    <w:rsid w:val="00D96F49"/>
    <w:rsid w:val="00DA2A20"/>
    <w:rsid w:val="00DA50DC"/>
    <w:rsid w:val="00DA635C"/>
    <w:rsid w:val="00DB1498"/>
    <w:rsid w:val="00DB17C6"/>
    <w:rsid w:val="00DB2AA2"/>
    <w:rsid w:val="00DB5A58"/>
    <w:rsid w:val="00DB7099"/>
    <w:rsid w:val="00DC1AE7"/>
    <w:rsid w:val="00DC1AFE"/>
    <w:rsid w:val="00DC407A"/>
    <w:rsid w:val="00DC770D"/>
    <w:rsid w:val="00DD18F9"/>
    <w:rsid w:val="00DD6279"/>
    <w:rsid w:val="00DD6709"/>
    <w:rsid w:val="00DE39D9"/>
    <w:rsid w:val="00DF0A30"/>
    <w:rsid w:val="00DF3842"/>
    <w:rsid w:val="00DF480E"/>
    <w:rsid w:val="00DF4938"/>
    <w:rsid w:val="00DF6170"/>
    <w:rsid w:val="00E00A23"/>
    <w:rsid w:val="00E02EBE"/>
    <w:rsid w:val="00E0505E"/>
    <w:rsid w:val="00E0534F"/>
    <w:rsid w:val="00E103CE"/>
    <w:rsid w:val="00E12B17"/>
    <w:rsid w:val="00E13223"/>
    <w:rsid w:val="00E132AC"/>
    <w:rsid w:val="00E17848"/>
    <w:rsid w:val="00E17D15"/>
    <w:rsid w:val="00E2052D"/>
    <w:rsid w:val="00E212C7"/>
    <w:rsid w:val="00E21F82"/>
    <w:rsid w:val="00E22B28"/>
    <w:rsid w:val="00E244E7"/>
    <w:rsid w:val="00E3099E"/>
    <w:rsid w:val="00E30AB1"/>
    <w:rsid w:val="00E36F24"/>
    <w:rsid w:val="00E4138A"/>
    <w:rsid w:val="00E41DDC"/>
    <w:rsid w:val="00E43DD8"/>
    <w:rsid w:val="00E46042"/>
    <w:rsid w:val="00E4610B"/>
    <w:rsid w:val="00E51EE2"/>
    <w:rsid w:val="00E535D6"/>
    <w:rsid w:val="00E54102"/>
    <w:rsid w:val="00E54213"/>
    <w:rsid w:val="00E5585B"/>
    <w:rsid w:val="00E566D9"/>
    <w:rsid w:val="00E60373"/>
    <w:rsid w:val="00E60AEE"/>
    <w:rsid w:val="00E61274"/>
    <w:rsid w:val="00E6143F"/>
    <w:rsid w:val="00E61B09"/>
    <w:rsid w:val="00E61B10"/>
    <w:rsid w:val="00E66E95"/>
    <w:rsid w:val="00E671FA"/>
    <w:rsid w:val="00E719FB"/>
    <w:rsid w:val="00E73B59"/>
    <w:rsid w:val="00E76344"/>
    <w:rsid w:val="00E7683D"/>
    <w:rsid w:val="00E77AF3"/>
    <w:rsid w:val="00E80293"/>
    <w:rsid w:val="00E80C3E"/>
    <w:rsid w:val="00E83268"/>
    <w:rsid w:val="00E835F0"/>
    <w:rsid w:val="00E85F1D"/>
    <w:rsid w:val="00E903D8"/>
    <w:rsid w:val="00E90D22"/>
    <w:rsid w:val="00E9124C"/>
    <w:rsid w:val="00E92B00"/>
    <w:rsid w:val="00E93B98"/>
    <w:rsid w:val="00E94614"/>
    <w:rsid w:val="00E9462E"/>
    <w:rsid w:val="00E951F7"/>
    <w:rsid w:val="00E9712B"/>
    <w:rsid w:val="00EA0688"/>
    <w:rsid w:val="00EB5482"/>
    <w:rsid w:val="00EB640D"/>
    <w:rsid w:val="00EB678A"/>
    <w:rsid w:val="00EC1267"/>
    <w:rsid w:val="00EC3EA1"/>
    <w:rsid w:val="00EC4C49"/>
    <w:rsid w:val="00EC4E65"/>
    <w:rsid w:val="00EC789C"/>
    <w:rsid w:val="00ED075C"/>
    <w:rsid w:val="00ED0950"/>
    <w:rsid w:val="00ED3E4C"/>
    <w:rsid w:val="00ED4393"/>
    <w:rsid w:val="00ED568B"/>
    <w:rsid w:val="00EE0ADC"/>
    <w:rsid w:val="00EE0BE3"/>
    <w:rsid w:val="00EE181A"/>
    <w:rsid w:val="00EE3044"/>
    <w:rsid w:val="00EE4A73"/>
    <w:rsid w:val="00EE4AF4"/>
    <w:rsid w:val="00EE5AB2"/>
    <w:rsid w:val="00EF0B22"/>
    <w:rsid w:val="00EF2464"/>
    <w:rsid w:val="00EF4CF9"/>
    <w:rsid w:val="00F00FE7"/>
    <w:rsid w:val="00F010EB"/>
    <w:rsid w:val="00F0150B"/>
    <w:rsid w:val="00F015E4"/>
    <w:rsid w:val="00F04447"/>
    <w:rsid w:val="00F050C8"/>
    <w:rsid w:val="00F07B26"/>
    <w:rsid w:val="00F07C5A"/>
    <w:rsid w:val="00F109DA"/>
    <w:rsid w:val="00F13D06"/>
    <w:rsid w:val="00F2074B"/>
    <w:rsid w:val="00F25FEA"/>
    <w:rsid w:val="00F27403"/>
    <w:rsid w:val="00F30FB9"/>
    <w:rsid w:val="00F33519"/>
    <w:rsid w:val="00F36FE3"/>
    <w:rsid w:val="00F37EAE"/>
    <w:rsid w:val="00F45636"/>
    <w:rsid w:val="00F456C5"/>
    <w:rsid w:val="00F463FB"/>
    <w:rsid w:val="00F4729E"/>
    <w:rsid w:val="00F515B0"/>
    <w:rsid w:val="00F526B0"/>
    <w:rsid w:val="00F54EE1"/>
    <w:rsid w:val="00F62D56"/>
    <w:rsid w:val="00F63328"/>
    <w:rsid w:val="00F66E35"/>
    <w:rsid w:val="00F713C5"/>
    <w:rsid w:val="00F71713"/>
    <w:rsid w:val="00F80F8B"/>
    <w:rsid w:val="00F813EA"/>
    <w:rsid w:val="00F8192D"/>
    <w:rsid w:val="00F82418"/>
    <w:rsid w:val="00F83C02"/>
    <w:rsid w:val="00F869E7"/>
    <w:rsid w:val="00F905C8"/>
    <w:rsid w:val="00F90FA8"/>
    <w:rsid w:val="00F977EB"/>
    <w:rsid w:val="00F97801"/>
    <w:rsid w:val="00FA042E"/>
    <w:rsid w:val="00FA0708"/>
    <w:rsid w:val="00FA7B1E"/>
    <w:rsid w:val="00FA7C98"/>
    <w:rsid w:val="00FB25F0"/>
    <w:rsid w:val="00FB50B7"/>
    <w:rsid w:val="00FB644D"/>
    <w:rsid w:val="00FB7951"/>
    <w:rsid w:val="00FC2879"/>
    <w:rsid w:val="00FC63D8"/>
    <w:rsid w:val="00FD0FEC"/>
    <w:rsid w:val="00FD2023"/>
    <w:rsid w:val="00FD4E4A"/>
    <w:rsid w:val="00FD5689"/>
    <w:rsid w:val="00FE0DFE"/>
    <w:rsid w:val="00FE251D"/>
    <w:rsid w:val="00FE2D91"/>
    <w:rsid w:val="00FE467D"/>
    <w:rsid w:val="00FE692F"/>
    <w:rsid w:val="00FF03D2"/>
    <w:rsid w:val="00FF0AA0"/>
    <w:rsid w:val="00FF1203"/>
    <w:rsid w:val="00FF205E"/>
    <w:rsid w:val="00FF2C90"/>
    <w:rsid w:val="00FF381F"/>
    <w:rsid w:val="00FF4AF6"/>
    <w:rsid w:val="00FF768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7365"/>
  <w15:chartTrackingRefBased/>
  <w15:docId w15:val="{BBE72BFD-2D5A-4E09-B278-610210B8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731"/>
    <w:pPr>
      <w:spacing w:after="0" w:line="240" w:lineRule="auto"/>
    </w:pPr>
    <w:rPr>
      <w:rFonts w:ascii="Times New Roman" w:eastAsia="MS Mincho" w:hAnsi="Times New Roman" w:cs="Times New Roman"/>
      <w:sz w:val="24"/>
      <w:szCs w:val="24"/>
      <w:lang w:val="es-ES_tradnl"/>
    </w:rPr>
  </w:style>
  <w:style w:type="paragraph" w:styleId="Ttulo1">
    <w:name w:val="heading 1"/>
    <w:basedOn w:val="Normal"/>
    <w:next w:val="Normal"/>
    <w:link w:val="Ttulo1Car"/>
    <w:uiPriority w:val="9"/>
    <w:qFormat/>
    <w:rsid w:val="005C351B"/>
    <w:pPr>
      <w:keepNext/>
      <w:keepLines/>
      <w:spacing w:before="24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unhideWhenUsed/>
    <w:qFormat/>
    <w:rsid w:val="00A8197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81970"/>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A81970"/>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A81970"/>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CC5731"/>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A Fu?notentext,ft"/>
    <w:basedOn w:val="Normal"/>
    <w:link w:val="TextonotapieCar1"/>
    <w:qFormat/>
    <w:rsid w:val="00CC5731"/>
    <w:pPr>
      <w:widowControl w:val="0"/>
    </w:pPr>
    <w:rPr>
      <w:sz w:val="20"/>
      <w:szCs w:val="20"/>
    </w:rPr>
  </w:style>
  <w:style w:type="character" w:customStyle="1" w:styleId="TextonotapieCar">
    <w:name w:val="Texto nota pie Car"/>
    <w:aliases w:val="FA Fu?notente Car,FA Fu§notentext Car,?notentext Car,FA Car1"/>
    <w:basedOn w:val="Fuentedeprrafopredeter"/>
    <w:uiPriority w:val="99"/>
    <w:qFormat/>
    <w:rsid w:val="00CC5731"/>
    <w:rPr>
      <w:rFonts w:ascii="Times New Roman" w:eastAsia="MS Mincho" w:hAnsi="Times New Roman" w:cs="Times New Roman"/>
      <w:sz w:val="20"/>
      <w:szCs w:val="20"/>
      <w:lang w:val="es-ES_tradnl"/>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qFormat/>
    <w:rsid w:val="00CC5731"/>
    <w:rPr>
      <w:rFonts w:eastAsia="MS Mincho"/>
      <w:lang w:val="es-ES_tradnl" w:eastAsia="en-US" w:bidi="ar-SA"/>
    </w:rPr>
  </w:style>
  <w:style w:type="paragraph" w:styleId="Textoindependiente">
    <w:name w:val="Body Text"/>
    <w:basedOn w:val="Normal"/>
    <w:link w:val="TextoindependienteCar"/>
    <w:rsid w:val="00CC5731"/>
    <w:pPr>
      <w:spacing w:after="120"/>
    </w:pPr>
  </w:style>
  <w:style w:type="character" w:customStyle="1" w:styleId="TextoindependienteCar">
    <w:name w:val="Texto independiente Car"/>
    <w:basedOn w:val="Fuentedeprrafopredeter"/>
    <w:link w:val="Textoindependiente"/>
    <w:rsid w:val="00CC5731"/>
    <w:rPr>
      <w:rFonts w:ascii="Times New Roman" w:eastAsia="MS Mincho" w:hAnsi="Times New Roman" w:cs="Times New Roman"/>
      <w:sz w:val="24"/>
      <w:szCs w:val="24"/>
      <w:lang w:val="es-ES_tradnl"/>
    </w:rPr>
  </w:style>
  <w:style w:type="paragraph" w:styleId="Textoindependiente3">
    <w:name w:val="Body Text 3"/>
    <w:basedOn w:val="Normal"/>
    <w:link w:val="Textoindependiente3Car"/>
    <w:rsid w:val="00CC5731"/>
    <w:pPr>
      <w:spacing w:after="120"/>
    </w:pPr>
    <w:rPr>
      <w:sz w:val="16"/>
      <w:szCs w:val="16"/>
    </w:rPr>
  </w:style>
  <w:style w:type="character" w:customStyle="1" w:styleId="Textoindependiente3Car">
    <w:name w:val="Texto independiente 3 Car"/>
    <w:basedOn w:val="Fuentedeprrafopredeter"/>
    <w:link w:val="Textoindependiente3"/>
    <w:rsid w:val="00CC5731"/>
    <w:rPr>
      <w:rFonts w:ascii="Times New Roman" w:eastAsia="MS Mincho" w:hAnsi="Times New Roman" w:cs="Times New Roman"/>
      <w:sz w:val="16"/>
      <w:szCs w:val="16"/>
      <w:lang w:val="es-ES_tradnl"/>
    </w:rPr>
  </w:style>
  <w:style w:type="paragraph" w:styleId="Textodebloque">
    <w:name w:val="Block Text"/>
    <w:basedOn w:val="Normal"/>
    <w:rsid w:val="00CC5731"/>
    <w:pPr>
      <w:widowControl w:val="0"/>
      <w:ind w:left="720" w:right="720"/>
      <w:jc w:val="both"/>
    </w:pPr>
    <w:rPr>
      <w:rFonts w:ascii="Garamond" w:hAnsi="Garamond"/>
      <w:sz w:val="20"/>
      <w:szCs w:val="20"/>
    </w:rPr>
  </w:style>
  <w:style w:type="character" w:customStyle="1" w:styleId="eacep">
    <w:name w:val="eacep"/>
    <w:basedOn w:val="Fuentedeprrafopredeter"/>
    <w:rsid w:val="00CC5731"/>
  </w:style>
  <w:style w:type="paragraph" w:styleId="Encabezado">
    <w:name w:val="header"/>
    <w:aliases w:val="encabezado"/>
    <w:basedOn w:val="Normal"/>
    <w:link w:val="EncabezadoCar"/>
    <w:uiPriority w:val="99"/>
    <w:rsid w:val="00CC5731"/>
    <w:pPr>
      <w:tabs>
        <w:tab w:val="center" w:pos="4252"/>
        <w:tab w:val="right" w:pos="8504"/>
      </w:tabs>
    </w:pPr>
    <w:rPr>
      <w:lang w:eastAsia="x-none"/>
    </w:rPr>
  </w:style>
  <w:style w:type="character" w:customStyle="1" w:styleId="EncabezadoCar">
    <w:name w:val="Encabezado Car"/>
    <w:aliases w:val="encabezado Car"/>
    <w:basedOn w:val="Fuentedeprrafopredeter"/>
    <w:link w:val="Encabezado"/>
    <w:uiPriority w:val="99"/>
    <w:rsid w:val="00CC5731"/>
    <w:rPr>
      <w:rFonts w:ascii="Times New Roman" w:eastAsia="MS Mincho" w:hAnsi="Times New Roman" w:cs="Times New Roman"/>
      <w:sz w:val="24"/>
      <w:szCs w:val="24"/>
      <w:lang w:val="es-ES_tradnl" w:eastAsia="x-none"/>
    </w:rPr>
  </w:style>
  <w:style w:type="character" w:styleId="Nmerodepgina">
    <w:name w:val="page number"/>
    <w:basedOn w:val="Fuentedeprrafopredeter"/>
    <w:rsid w:val="00CC5731"/>
  </w:style>
  <w:style w:type="character" w:customStyle="1" w:styleId="b">
    <w:name w:val="b"/>
    <w:basedOn w:val="Fuentedeprrafopredeter"/>
    <w:rsid w:val="00CC5731"/>
  </w:style>
  <w:style w:type="character" w:styleId="Textoennegrita">
    <w:name w:val="Strong"/>
    <w:aliases w:val="Heading 2.1"/>
    <w:uiPriority w:val="22"/>
    <w:qFormat/>
    <w:rsid w:val="00CC5731"/>
    <w:rPr>
      <w:b/>
      <w:bCs/>
    </w:rPr>
  </w:style>
  <w:style w:type="paragraph" w:customStyle="1" w:styleId="Default">
    <w:name w:val="Default"/>
    <w:rsid w:val="00CC5731"/>
    <w:pPr>
      <w:autoSpaceDE w:val="0"/>
      <w:autoSpaceDN w:val="0"/>
      <w:adjustRightInd w:val="0"/>
      <w:spacing w:after="0" w:line="240" w:lineRule="auto"/>
    </w:pPr>
    <w:rPr>
      <w:rFonts w:ascii="Times New Roman" w:eastAsia="MS Mincho" w:hAnsi="Times New Roman" w:cs="Times New Roman"/>
      <w:color w:val="000000"/>
      <w:sz w:val="24"/>
      <w:szCs w:val="24"/>
      <w:lang w:val="es-ES" w:eastAsia="es-ES"/>
    </w:rPr>
  </w:style>
  <w:style w:type="paragraph" w:styleId="Piedepgina">
    <w:name w:val="footer"/>
    <w:basedOn w:val="Normal"/>
    <w:link w:val="PiedepginaCar"/>
    <w:uiPriority w:val="99"/>
    <w:rsid w:val="00CC5731"/>
    <w:pPr>
      <w:tabs>
        <w:tab w:val="center" w:pos="4252"/>
        <w:tab w:val="right" w:pos="8504"/>
      </w:tabs>
    </w:pPr>
    <w:rPr>
      <w:lang w:eastAsia="x-none"/>
    </w:rPr>
  </w:style>
  <w:style w:type="character" w:customStyle="1" w:styleId="PiedepginaCar">
    <w:name w:val="Pie de página Car"/>
    <w:basedOn w:val="Fuentedeprrafopredeter"/>
    <w:link w:val="Piedepgina"/>
    <w:uiPriority w:val="99"/>
    <w:rsid w:val="00CC5731"/>
    <w:rPr>
      <w:rFonts w:ascii="Times New Roman" w:eastAsia="MS Mincho" w:hAnsi="Times New Roman" w:cs="Times New Roman"/>
      <w:sz w:val="24"/>
      <w:szCs w:val="24"/>
      <w:lang w:val="es-ES_tradnl" w:eastAsia="x-none"/>
    </w:rPr>
  </w:style>
  <w:style w:type="paragraph" w:customStyle="1" w:styleId="ColorfulList-Accent11">
    <w:name w:val="Colorful List - Accent 11"/>
    <w:aliases w:val="List Paragraph,Footnote,List Paragraph1,List Paragraph2,Lista vistosa - Énfasis 11,Subtle Emphasis1,Footnote1"/>
    <w:basedOn w:val="Normal"/>
    <w:uiPriority w:val="34"/>
    <w:qFormat/>
    <w:rsid w:val="00CC5731"/>
    <w:pPr>
      <w:ind w:left="708"/>
    </w:pPr>
  </w:style>
  <w:style w:type="paragraph" w:styleId="Sangradetextonormal">
    <w:name w:val="Body Text Indent"/>
    <w:basedOn w:val="Normal"/>
    <w:link w:val="SangradetextonormalCar"/>
    <w:rsid w:val="00CC5731"/>
    <w:pPr>
      <w:spacing w:after="120"/>
      <w:ind w:left="283"/>
    </w:pPr>
  </w:style>
  <w:style w:type="character" w:customStyle="1" w:styleId="SangradetextonormalCar">
    <w:name w:val="Sangría de texto normal Car"/>
    <w:basedOn w:val="Fuentedeprrafopredeter"/>
    <w:link w:val="Sangradetextonormal"/>
    <w:rsid w:val="00CC5731"/>
    <w:rPr>
      <w:rFonts w:ascii="Times New Roman" w:eastAsia="MS Mincho" w:hAnsi="Times New Roman" w:cs="Times New Roman"/>
      <w:sz w:val="24"/>
      <w:szCs w:val="24"/>
      <w:lang w:val="es-ES_tradnl"/>
    </w:rPr>
  </w:style>
  <w:style w:type="character" w:customStyle="1" w:styleId="BodyTextIndentChar">
    <w:name w:val="Body Text Indent Char"/>
    <w:rsid w:val="00CC5731"/>
    <w:rPr>
      <w:sz w:val="24"/>
      <w:szCs w:val="24"/>
      <w:lang w:val="es-ES_tradnl" w:eastAsia="en-US"/>
    </w:rPr>
  </w:style>
  <w:style w:type="paragraph" w:styleId="Textodeglobo">
    <w:name w:val="Balloon Text"/>
    <w:basedOn w:val="Normal"/>
    <w:link w:val="TextodegloboCar"/>
    <w:uiPriority w:val="99"/>
    <w:semiHidden/>
    <w:unhideWhenUsed/>
    <w:rsid w:val="00CC5731"/>
    <w:rPr>
      <w:rFonts w:ascii="Tahoma" w:hAnsi="Tahoma"/>
      <w:sz w:val="16"/>
      <w:szCs w:val="16"/>
    </w:rPr>
  </w:style>
  <w:style w:type="character" w:customStyle="1" w:styleId="TextodegloboCar">
    <w:name w:val="Texto de globo Car"/>
    <w:basedOn w:val="Fuentedeprrafopredeter"/>
    <w:link w:val="Textodeglobo"/>
    <w:uiPriority w:val="99"/>
    <w:semiHidden/>
    <w:rsid w:val="00CC5731"/>
    <w:rPr>
      <w:rFonts w:ascii="Tahoma" w:eastAsia="MS Mincho" w:hAnsi="Tahoma" w:cs="Times New Roman"/>
      <w:sz w:val="16"/>
      <w:szCs w:val="16"/>
      <w:lang w:val="es-ES_tradnl"/>
    </w:rPr>
  </w:style>
  <w:style w:type="character" w:styleId="Refdecomentario">
    <w:name w:val="annotation reference"/>
    <w:uiPriority w:val="99"/>
    <w:semiHidden/>
    <w:unhideWhenUsed/>
    <w:rsid w:val="00CC5731"/>
    <w:rPr>
      <w:sz w:val="16"/>
      <w:szCs w:val="16"/>
    </w:rPr>
  </w:style>
  <w:style w:type="paragraph" w:styleId="Textocomentario">
    <w:name w:val="annotation text"/>
    <w:basedOn w:val="Normal"/>
    <w:link w:val="TextocomentarioCar"/>
    <w:uiPriority w:val="99"/>
    <w:unhideWhenUsed/>
    <w:rsid w:val="00CC5731"/>
    <w:rPr>
      <w:sz w:val="20"/>
      <w:szCs w:val="20"/>
    </w:rPr>
  </w:style>
  <w:style w:type="character" w:customStyle="1" w:styleId="TextocomentarioCar">
    <w:name w:val="Texto comentario Car"/>
    <w:basedOn w:val="Fuentedeprrafopredeter"/>
    <w:link w:val="Textocomentario"/>
    <w:uiPriority w:val="99"/>
    <w:rsid w:val="00CC5731"/>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C5731"/>
    <w:rPr>
      <w:b/>
      <w:bCs/>
    </w:rPr>
  </w:style>
  <w:style w:type="character" w:customStyle="1" w:styleId="AsuntodelcomentarioCar">
    <w:name w:val="Asunto del comentario Car"/>
    <w:basedOn w:val="TextocomentarioCar"/>
    <w:link w:val="Asuntodelcomentario"/>
    <w:uiPriority w:val="99"/>
    <w:semiHidden/>
    <w:rsid w:val="00CC5731"/>
    <w:rPr>
      <w:rFonts w:ascii="Times New Roman" w:eastAsia="MS Mincho" w:hAnsi="Times New Roman" w:cs="Times New Roman"/>
      <w:b/>
      <w:bCs/>
      <w:sz w:val="20"/>
      <w:szCs w:val="20"/>
      <w:lang w:val="es-ES_tradnl"/>
    </w:rPr>
  </w:style>
  <w:style w:type="paragraph" w:styleId="Textonotaalfinal">
    <w:name w:val="endnote text"/>
    <w:basedOn w:val="Normal"/>
    <w:link w:val="TextonotaalfinalCar"/>
    <w:uiPriority w:val="99"/>
    <w:semiHidden/>
    <w:unhideWhenUsed/>
    <w:rsid w:val="00CC5731"/>
    <w:rPr>
      <w:sz w:val="20"/>
      <w:szCs w:val="20"/>
    </w:rPr>
  </w:style>
  <w:style w:type="character" w:customStyle="1" w:styleId="TextonotaalfinalCar">
    <w:name w:val="Texto nota al final Car"/>
    <w:basedOn w:val="Fuentedeprrafopredeter"/>
    <w:link w:val="Textonotaalfinal"/>
    <w:uiPriority w:val="99"/>
    <w:semiHidden/>
    <w:rsid w:val="00CC5731"/>
    <w:rPr>
      <w:rFonts w:ascii="Times New Roman" w:eastAsia="MS Mincho" w:hAnsi="Times New Roman" w:cs="Times New Roman"/>
      <w:sz w:val="20"/>
      <w:szCs w:val="20"/>
      <w:lang w:val="es-ES_tradnl"/>
    </w:rPr>
  </w:style>
  <w:style w:type="character" w:styleId="Refdenotaalfinal">
    <w:name w:val="endnote reference"/>
    <w:uiPriority w:val="99"/>
    <w:semiHidden/>
    <w:unhideWhenUsed/>
    <w:rsid w:val="00CC5731"/>
    <w:rPr>
      <w:vertAlign w:val="superscript"/>
    </w:rPr>
  </w:style>
  <w:style w:type="character" w:styleId="Hipervnculo">
    <w:name w:val="Hyperlink"/>
    <w:uiPriority w:val="99"/>
    <w:unhideWhenUsed/>
    <w:rsid w:val="00CC5731"/>
    <w:rPr>
      <w:color w:val="0000FF"/>
      <w:u w:val="single"/>
    </w:rPr>
  </w:style>
  <w:style w:type="paragraph" w:customStyle="1" w:styleId="Prrafodelista1">
    <w:name w:val="Párrafo de lista1"/>
    <w:basedOn w:val="Normal"/>
    <w:qFormat/>
    <w:rsid w:val="00CC5731"/>
    <w:pPr>
      <w:contextualSpacing/>
    </w:pPr>
    <w:rPr>
      <w:rFonts w:ascii="Verdana" w:eastAsia="Batang" w:hAnsi="Verdana"/>
      <w:sz w:val="16"/>
      <w:szCs w:val="22"/>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C5731"/>
    <w:pPr>
      <w:jc w:val="both"/>
    </w:pPr>
    <w:rPr>
      <w:rFonts w:ascii="Verdana" w:eastAsiaTheme="minorHAnsi" w:hAnsi="Verdana" w:cstheme="minorBidi"/>
      <w:sz w:val="16"/>
      <w:szCs w:val="22"/>
      <w:vertAlign w:val="superscript"/>
      <w:lang w:val="es-CR"/>
    </w:rPr>
  </w:style>
  <w:style w:type="character" w:customStyle="1" w:styleId="FootnoteAnchor">
    <w:name w:val="Footnote Anchor"/>
    <w:rsid w:val="00CC5731"/>
    <w:rPr>
      <w:vertAlign w:val="superscript"/>
    </w:rPr>
  </w:style>
  <w:style w:type="character" w:customStyle="1" w:styleId="TextonotapieCar1">
    <w:name w:val="Texto nota pie Car1"/>
    <w:aliases w:val="Footnote Text Char Char Char Char Char Car1,Footnote Text Char Char Char Char Car1,Footnote reference Car1,FA Fu Car1,Footnote Text Char Char Char Car1,FA Fu Car Car1,FA Fu Car Car Car,Footnote Text Cha Car1,FA Fußnotentext Car1"/>
    <w:link w:val="Textonotapie"/>
    <w:qFormat/>
    <w:rsid w:val="00CC5731"/>
    <w:rPr>
      <w:rFonts w:ascii="Times New Roman" w:eastAsia="MS Mincho" w:hAnsi="Times New Roman" w:cs="Times New Roman"/>
      <w:sz w:val="20"/>
      <w:szCs w:val="20"/>
      <w:lang w:val="es-ES_tradnl"/>
    </w:rPr>
  </w:style>
  <w:style w:type="character" w:customStyle="1" w:styleId="FootnoteTextCharCharCharCharCharCar">
    <w:name w:val="Footnote Text Char Char Char Char Char Car"/>
    <w:aliases w:val="Footnote Text Char Char Char Char Car,Footnote reference Car,Footnote Text Char Char Char Car,Footnote Text Cha Car,FA Fußnotentext Car,FA Fuﬂnotentext Car,FA Fu?notentext Car,C Car,Ca Car"/>
    <w:qFormat/>
    <w:locked/>
    <w:rsid w:val="00CC5731"/>
  </w:style>
  <w:style w:type="character" w:customStyle="1" w:styleId="PrrafodelistaCar">
    <w:name w:val="Párrafo de lista Car"/>
    <w:aliases w:val="Footnote Car,Párrafo de lista1 Car,Colorful List - Accent 11 Car,List Paragraph1 Car,List Paragraph2 Car,Lista vistosa - Énfasis 11 Car,Subtle Emphasis1 Car,Footnote1 Car"/>
    <w:uiPriority w:val="34"/>
    <w:locked/>
    <w:rsid w:val="00CC5731"/>
  </w:style>
  <w:style w:type="character" w:customStyle="1" w:styleId="Cuadrculamedia1-nfasis2Car">
    <w:name w:val="Cuadrícula media 1 - Énfasis 2 Car"/>
    <w:aliases w:val="Cuadrícula clara - Énfasis 31 Car"/>
    <w:link w:val="Cuadrculamedia1-nfasis2"/>
    <w:locked/>
    <w:rsid w:val="00CC5731"/>
    <w:rPr>
      <w:rFonts w:eastAsia="MS Mincho"/>
      <w:sz w:val="24"/>
      <w:szCs w:val="24"/>
      <w:lang w:val="es-ES_tradnl"/>
    </w:rPr>
  </w:style>
  <w:style w:type="character" w:styleId="Hipervnculovisitado">
    <w:name w:val="FollowedHyperlink"/>
    <w:uiPriority w:val="99"/>
    <w:semiHidden/>
    <w:unhideWhenUsed/>
    <w:rsid w:val="00CC5731"/>
    <w:rPr>
      <w:color w:val="954F72"/>
      <w:u w:val="single"/>
    </w:rPr>
  </w:style>
  <w:style w:type="character" w:customStyle="1" w:styleId="Mencinsinresolver1">
    <w:name w:val="Mención sin resolver1"/>
    <w:uiPriority w:val="99"/>
    <w:semiHidden/>
    <w:unhideWhenUsed/>
    <w:rsid w:val="00CC5731"/>
    <w:rPr>
      <w:color w:val="605E5C"/>
      <w:shd w:val="clear" w:color="auto" w:fill="E1DFDD"/>
    </w:rPr>
  </w:style>
  <w:style w:type="character" w:customStyle="1" w:styleId="highlight">
    <w:name w:val="highlight"/>
    <w:rsid w:val="00CC5731"/>
  </w:style>
  <w:style w:type="paragraph" w:customStyle="1" w:styleId="ParaAttribute3">
    <w:name w:val="ParaAttribute3"/>
    <w:rsid w:val="00CC5731"/>
    <w:pPr>
      <w:widowControl w:val="0"/>
      <w:wordWrap w:val="0"/>
      <w:spacing w:after="0" w:line="240" w:lineRule="auto"/>
      <w:jc w:val="both"/>
    </w:pPr>
    <w:rPr>
      <w:rFonts w:ascii="Times New Roman" w:eastAsia="Batang" w:hAnsi="Times New Roman" w:cs="Times New Roman"/>
      <w:sz w:val="20"/>
      <w:szCs w:val="20"/>
      <w:lang w:val="en-US"/>
    </w:rPr>
  </w:style>
  <w:style w:type="character" w:customStyle="1" w:styleId="CharAttribute31">
    <w:name w:val="CharAttribute31"/>
    <w:rsid w:val="00CC5731"/>
    <w:rPr>
      <w:rFonts w:ascii="Verdana" w:eastAsia="Verdana" w:hAnsi="Verdana"/>
      <w:sz w:val="16"/>
    </w:rPr>
  </w:style>
  <w:style w:type="character" w:customStyle="1" w:styleId="CharAttribute33">
    <w:name w:val="CharAttribute33"/>
    <w:rsid w:val="00CC5731"/>
    <w:rPr>
      <w:rFonts w:ascii="Verdana" w:eastAsia="Verdana" w:hAnsi="Verdana"/>
      <w:sz w:val="16"/>
      <w:vertAlign w:val="superscript"/>
    </w:rPr>
  </w:style>
  <w:style w:type="character" w:styleId="Nmerodelnea">
    <w:name w:val="line number"/>
    <w:uiPriority w:val="99"/>
    <w:semiHidden/>
    <w:unhideWhenUsed/>
    <w:rsid w:val="00CC5731"/>
  </w:style>
  <w:style w:type="table" w:styleId="Cuadrculamedia1-nfasis2">
    <w:name w:val="Medium Grid 1 Accent 2"/>
    <w:basedOn w:val="Tablanormal"/>
    <w:link w:val="Cuadrculamedia1-nfasis2Car"/>
    <w:semiHidden/>
    <w:unhideWhenUsed/>
    <w:rsid w:val="00CC5731"/>
    <w:pPr>
      <w:spacing w:after="0" w:line="240" w:lineRule="auto"/>
    </w:pPr>
    <w:rPr>
      <w:rFonts w:eastAsia="MS Mincho"/>
      <w:sz w:val="24"/>
      <w:szCs w:val="24"/>
      <w:lang w:val="es-ES_trad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Prrafodelista">
    <w:name w:val="List Paragraph"/>
    <w:aliases w:val="List Paragraph11,Parrafos"/>
    <w:basedOn w:val="Normal"/>
    <w:uiPriority w:val="34"/>
    <w:qFormat/>
    <w:rsid w:val="00D35445"/>
    <w:pPr>
      <w:ind w:left="720"/>
      <w:contextualSpacing/>
    </w:pPr>
  </w:style>
  <w:style w:type="character" w:customStyle="1" w:styleId="Ttulo1Car">
    <w:name w:val="Título 1 Car"/>
    <w:basedOn w:val="Fuentedeprrafopredeter"/>
    <w:link w:val="Ttulo1"/>
    <w:uiPriority w:val="9"/>
    <w:rsid w:val="005C351B"/>
    <w:rPr>
      <w:rFonts w:asciiTheme="majorHAnsi" w:eastAsiaTheme="majorEastAsia" w:hAnsiTheme="majorHAnsi" w:cstheme="majorBidi"/>
      <w:color w:val="2E74B5" w:themeColor="accent1" w:themeShade="BF"/>
      <w:sz w:val="32"/>
      <w:szCs w:val="32"/>
      <w:lang w:val="es-ES" w:eastAsia="es-ES"/>
    </w:rPr>
  </w:style>
  <w:style w:type="paragraph" w:styleId="TtuloTDC">
    <w:name w:val="TOC Heading"/>
    <w:basedOn w:val="Ttulo1"/>
    <w:next w:val="Normal"/>
    <w:uiPriority w:val="39"/>
    <w:unhideWhenUsed/>
    <w:qFormat/>
    <w:rsid w:val="00045804"/>
    <w:pPr>
      <w:spacing w:line="259" w:lineRule="auto"/>
      <w:outlineLvl w:val="9"/>
    </w:pPr>
    <w:rPr>
      <w:lang w:val="es-CR" w:eastAsia="es-CR"/>
    </w:rPr>
  </w:style>
  <w:style w:type="paragraph" w:styleId="TDC1">
    <w:name w:val="toc 1"/>
    <w:basedOn w:val="Normal"/>
    <w:next w:val="Normal"/>
    <w:autoRedefine/>
    <w:uiPriority w:val="39"/>
    <w:unhideWhenUsed/>
    <w:rsid w:val="00045804"/>
    <w:pPr>
      <w:spacing w:after="100"/>
    </w:pPr>
  </w:style>
  <w:style w:type="character" w:customStyle="1" w:styleId="Ttulo2Car">
    <w:name w:val="Título 2 Car"/>
    <w:basedOn w:val="Fuentedeprrafopredeter"/>
    <w:link w:val="Ttulo2"/>
    <w:uiPriority w:val="9"/>
    <w:rsid w:val="00A81970"/>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A81970"/>
    <w:rPr>
      <w:rFonts w:asciiTheme="majorHAnsi" w:eastAsiaTheme="majorEastAsia" w:hAnsiTheme="majorHAnsi" w:cstheme="majorBidi"/>
      <w:color w:val="1F4D78" w:themeColor="accent1" w:themeShade="7F"/>
      <w:sz w:val="24"/>
      <w:szCs w:val="24"/>
      <w:lang w:val="es-ES_tradnl"/>
    </w:rPr>
  </w:style>
  <w:style w:type="character" w:customStyle="1" w:styleId="Ttulo4Car">
    <w:name w:val="Título 4 Car"/>
    <w:basedOn w:val="Fuentedeprrafopredeter"/>
    <w:link w:val="Ttulo4"/>
    <w:uiPriority w:val="9"/>
    <w:rsid w:val="00A81970"/>
    <w:rPr>
      <w:rFonts w:asciiTheme="majorHAnsi" w:eastAsiaTheme="majorEastAsia" w:hAnsiTheme="majorHAnsi" w:cstheme="majorBidi"/>
      <w:i/>
      <w:iCs/>
      <w:color w:val="2E74B5" w:themeColor="accent1" w:themeShade="BF"/>
      <w:sz w:val="24"/>
      <w:szCs w:val="24"/>
      <w:lang w:val="es-ES_tradnl"/>
    </w:rPr>
  </w:style>
  <w:style w:type="character" w:customStyle="1" w:styleId="Ttulo5Car">
    <w:name w:val="Título 5 Car"/>
    <w:basedOn w:val="Fuentedeprrafopredeter"/>
    <w:link w:val="Ttulo5"/>
    <w:uiPriority w:val="9"/>
    <w:rsid w:val="00A81970"/>
    <w:rPr>
      <w:rFonts w:asciiTheme="majorHAnsi" w:eastAsiaTheme="majorEastAsia" w:hAnsiTheme="majorHAnsi" w:cstheme="majorBidi"/>
      <w:color w:val="2E74B5" w:themeColor="accent1" w:themeShade="BF"/>
      <w:sz w:val="24"/>
      <w:szCs w:val="24"/>
      <w:lang w:val="es-ES_tradnl"/>
    </w:rPr>
  </w:style>
  <w:style w:type="paragraph" w:styleId="Lista">
    <w:name w:val="List"/>
    <w:basedOn w:val="Normal"/>
    <w:uiPriority w:val="99"/>
    <w:unhideWhenUsed/>
    <w:rsid w:val="00A81970"/>
    <w:pPr>
      <w:ind w:left="283" w:hanging="283"/>
      <w:contextualSpacing/>
    </w:pPr>
  </w:style>
  <w:style w:type="paragraph" w:styleId="Lista2">
    <w:name w:val="List 2"/>
    <w:basedOn w:val="Normal"/>
    <w:uiPriority w:val="99"/>
    <w:unhideWhenUsed/>
    <w:rsid w:val="00A81970"/>
    <w:pPr>
      <w:ind w:left="566" w:hanging="283"/>
      <w:contextualSpacing/>
    </w:pPr>
  </w:style>
  <w:style w:type="paragraph" w:styleId="Cierre">
    <w:name w:val="Closing"/>
    <w:basedOn w:val="Normal"/>
    <w:link w:val="CierreCar"/>
    <w:uiPriority w:val="99"/>
    <w:unhideWhenUsed/>
    <w:rsid w:val="00A81970"/>
    <w:pPr>
      <w:ind w:left="4252"/>
    </w:pPr>
  </w:style>
  <w:style w:type="character" w:customStyle="1" w:styleId="CierreCar">
    <w:name w:val="Cierre Car"/>
    <w:basedOn w:val="Fuentedeprrafopredeter"/>
    <w:link w:val="Cierre"/>
    <w:uiPriority w:val="99"/>
    <w:rsid w:val="00A81970"/>
    <w:rPr>
      <w:rFonts w:ascii="Times New Roman" w:eastAsia="MS Mincho" w:hAnsi="Times New Roman" w:cs="Times New Roman"/>
      <w:sz w:val="24"/>
      <w:szCs w:val="24"/>
      <w:lang w:val="es-ES_tradnl"/>
    </w:rPr>
  </w:style>
  <w:style w:type="paragraph" w:styleId="Continuarlista">
    <w:name w:val="List Continue"/>
    <w:basedOn w:val="Normal"/>
    <w:uiPriority w:val="99"/>
    <w:unhideWhenUsed/>
    <w:rsid w:val="00A81970"/>
    <w:pPr>
      <w:spacing w:after="120"/>
      <w:ind w:left="283"/>
      <w:contextualSpacing/>
    </w:pPr>
  </w:style>
  <w:style w:type="paragraph" w:styleId="Ttulo">
    <w:name w:val="Title"/>
    <w:basedOn w:val="Normal"/>
    <w:next w:val="Normal"/>
    <w:link w:val="TtuloCar"/>
    <w:uiPriority w:val="10"/>
    <w:qFormat/>
    <w:rsid w:val="00A81970"/>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1970"/>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A819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A81970"/>
    <w:rPr>
      <w:rFonts w:eastAsiaTheme="minorEastAsia"/>
      <w:color w:val="5A5A5A" w:themeColor="text1" w:themeTint="A5"/>
      <w:spacing w:val="15"/>
      <w:lang w:val="es-ES_tradnl"/>
    </w:rPr>
  </w:style>
  <w:style w:type="paragraph" w:styleId="Textoindependienteprimerasangra2">
    <w:name w:val="Body Text First Indent 2"/>
    <w:basedOn w:val="Sangradetextonormal"/>
    <w:link w:val="Textoindependienteprimerasangra2Car"/>
    <w:uiPriority w:val="99"/>
    <w:unhideWhenUsed/>
    <w:rsid w:val="00A8197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81970"/>
    <w:rPr>
      <w:rFonts w:ascii="Times New Roman" w:eastAsia="MS Mincho" w:hAnsi="Times New Roman" w:cs="Times New Roman"/>
      <w:sz w:val="24"/>
      <w:szCs w:val="24"/>
      <w:lang w:val="es-ES_tradnl"/>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7A5B93"/>
    <w:pPr>
      <w:spacing w:after="160" w:line="240" w:lineRule="exact"/>
    </w:pPr>
    <w:rPr>
      <w:rFonts w:asciiTheme="minorHAnsi" w:eastAsiaTheme="minorHAnsi" w:hAnsiTheme="minorHAnsi" w:cstheme="minorBidi"/>
      <w:sz w:val="22"/>
      <w:szCs w:val="22"/>
      <w:vertAlign w:val="superscript"/>
      <w:lang w:val="es-GT"/>
    </w:rPr>
  </w:style>
  <w:style w:type="character" w:styleId="nfasis">
    <w:name w:val="Emphasis"/>
    <w:basedOn w:val="Fuentedeprrafopredeter"/>
    <w:uiPriority w:val="20"/>
    <w:qFormat/>
    <w:rsid w:val="007A5B93"/>
    <w:rPr>
      <w:i/>
      <w:iCs/>
    </w:rPr>
  </w:style>
  <w:style w:type="paragraph" w:styleId="Revisin">
    <w:name w:val="Revision"/>
    <w:hidden/>
    <w:uiPriority w:val="99"/>
    <w:semiHidden/>
    <w:rsid w:val="00143205"/>
    <w:pPr>
      <w:spacing w:after="0" w:line="240" w:lineRule="auto"/>
    </w:pPr>
    <w:rPr>
      <w:rFonts w:ascii="Times New Roman" w:eastAsia="MS Mincho" w:hAnsi="Times New Roman"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391">
      <w:bodyDiv w:val="1"/>
      <w:marLeft w:val="0"/>
      <w:marRight w:val="0"/>
      <w:marTop w:val="0"/>
      <w:marBottom w:val="0"/>
      <w:divBdr>
        <w:top w:val="none" w:sz="0" w:space="0" w:color="auto"/>
        <w:left w:val="none" w:sz="0" w:space="0" w:color="auto"/>
        <w:bottom w:val="none" w:sz="0" w:space="0" w:color="auto"/>
        <w:right w:val="none" w:sz="0" w:space="0" w:color="auto"/>
      </w:divBdr>
    </w:div>
    <w:div w:id="161702972">
      <w:bodyDiv w:val="1"/>
      <w:marLeft w:val="0"/>
      <w:marRight w:val="0"/>
      <w:marTop w:val="0"/>
      <w:marBottom w:val="0"/>
      <w:divBdr>
        <w:top w:val="none" w:sz="0" w:space="0" w:color="auto"/>
        <w:left w:val="none" w:sz="0" w:space="0" w:color="auto"/>
        <w:bottom w:val="none" w:sz="0" w:space="0" w:color="auto"/>
        <w:right w:val="none" w:sz="0" w:space="0" w:color="auto"/>
      </w:divBdr>
    </w:div>
    <w:div w:id="255869153">
      <w:bodyDiv w:val="1"/>
      <w:marLeft w:val="0"/>
      <w:marRight w:val="0"/>
      <w:marTop w:val="0"/>
      <w:marBottom w:val="0"/>
      <w:divBdr>
        <w:top w:val="none" w:sz="0" w:space="0" w:color="auto"/>
        <w:left w:val="none" w:sz="0" w:space="0" w:color="auto"/>
        <w:bottom w:val="none" w:sz="0" w:space="0" w:color="auto"/>
        <w:right w:val="none" w:sz="0" w:space="0" w:color="auto"/>
      </w:divBdr>
    </w:div>
    <w:div w:id="268008759">
      <w:bodyDiv w:val="1"/>
      <w:marLeft w:val="0"/>
      <w:marRight w:val="0"/>
      <w:marTop w:val="0"/>
      <w:marBottom w:val="0"/>
      <w:divBdr>
        <w:top w:val="none" w:sz="0" w:space="0" w:color="auto"/>
        <w:left w:val="none" w:sz="0" w:space="0" w:color="auto"/>
        <w:bottom w:val="none" w:sz="0" w:space="0" w:color="auto"/>
        <w:right w:val="none" w:sz="0" w:space="0" w:color="auto"/>
      </w:divBdr>
      <w:divsChild>
        <w:div w:id="1464077634">
          <w:marLeft w:val="446"/>
          <w:marRight w:val="0"/>
          <w:marTop w:val="0"/>
          <w:marBottom w:val="0"/>
          <w:divBdr>
            <w:top w:val="none" w:sz="0" w:space="0" w:color="auto"/>
            <w:left w:val="none" w:sz="0" w:space="0" w:color="auto"/>
            <w:bottom w:val="none" w:sz="0" w:space="0" w:color="auto"/>
            <w:right w:val="none" w:sz="0" w:space="0" w:color="auto"/>
          </w:divBdr>
        </w:div>
        <w:div w:id="1338121761">
          <w:marLeft w:val="446"/>
          <w:marRight w:val="0"/>
          <w:marTop w:val="0"/>
          <w:marBottom w:val="0"/>
          <w:divBdr>
            <w:top w:val="none" w:sz="0" w:space="0" w:color="auto"/>
            <w:left w:val="none" w:sz="0" w:space="0" w:color="auto"/>
            <w:bottom w:val="none" w:sz="0" w:space="0" w:color="auto"/>
            <w:right w:val="none" w:sz="0" w:space="0" w:color="auto"/>
          </w:divBdr>
        </w:div>
        <w:div w:id="482700394">
          <w:marLeft w:val="446"/>
          <w:marRight w:val="0"/>
          <w:marTop w:val="0"/>
          <w:marBottom w:val="0"/>
          <w:divBdr>
            <w:top w:val="none" w:sz="0" w:space="0" w:color="auto"/>
            <w:left w:val="none" w:sz="0" w:space="0" w:color="auto"/>
            <w:bottom w:val="none" w:sz="0" w:space="0" w:color="auto"/>
            <w:right w:val="none" w:sz="0" w:space="0" w:color="auto"/>
          </w:divBdr>
        </w:div>
        <w:div w:id="1044601349">
          <w:marLeft w:val="446"/>
          <w:marRight w:val="0"/>
          <w:marTop w:val="0"/>
          <w:marBottom w:val="0"/>
          <w:divBdr>
            <w:top w:val="none" w:sz="0" w:space="0" w:color="auto"/>
            <w:left w:val="none" w:sz="0" w:space="0" w:color="auto"/>
            <w:bottom w:val="none" w:sz="0" w:space="0" w:color="auto"/>
            <w:right w:val="none" w:sz="0" w:space="0" w:color="auto"/>
          </w:divBdr>
        </w:div>
        <w:div w:id="77682254">
          <w:marLeft w:val="446"/>
          <w:marRight w:val="0"/>
          <w:marTop w:val="0"/>
          <w:marBottom w:val="0"/>
          <w:divBdr>
            <w:top w:val="none" w:sz="0" w:space="0" w:color="auto"/>
            <w:left w:val="none" w:sz="0" w:space="0" w:color="auto"/>
            <w:bottom w:val="none" w:sz="0" w:space="0" w:color="auto"/>
            <w:right w:val="none" w:sz="0" w:space="0" w:color="auto"/>
          </w:divBdr>
        </w:div>
        <w:div w:id="799226336">
          <w:marLeft w:val="446"/>
          <w:marRight w:val="0"/>
          <w:marTop w:val="0"/>
          <w:marBottom w:val="0"/>
          <w:divBdr>
            <w:top w:val="none" w:sz="0" w:space="0" w:color="auto"/>
            <w:left w:val="none" w:sz="0" w:space="0" w:color="auto"/>
            <w:bottom w:val="none" w:sz="0" w:space="0" w:color="auto"/>
            <w:right w:val="none" w:sz="0" w:space="0" w:color="auto"/>
          </w:divBdr>
        </w:div>
        <w:div w:id="1890916553">
          <w:marLeft w:val="446"/>
          <w:marRight w:val="0"/>
          <w:marTop w:val="0"/>
          <w:marBottom w:val="0"/>
          <w:divBdr>
            <w:top w:val="none" w:sz="0" w:space="0" w:color="auto"/>
            <w:left w:val="none" w:sz="0" w:space="0" w:color="auto"/>
            <w:bottom w:val="none" w:sz="0" w:space="0" w:color="auto"/>
            <w:right w:val="none" w:sz="0" w:space="0" w:color="auto"/>
          </w:divBdr>
        </w:div>
        <w:div w:id="1732537740">
          <w:marLeft w:val="446"/>
          <w:marRight w:val="0"/>
          <w:marTop w:val="0"/>
          <w:marBottom w:val="0"/>
          <w:divBdr>
            <w:top w:val="none" w:sz="0" w:space="0" w:color="auto"/>
            <w:left w:val="none" w:sz="0" w:space="0" w:color="auto"/>
            <w:bottom w:val="none" w:sz="0" w:space="0" w:color="auto"/>
            <w:right w:val="none" w:sz="0" w:space="0" w:color="auto"/>
          </w:divBdr>
        </w:div>
        <w:div w:id="476385326">
          <w:marLeft w:val="446"/>
          <w:marRight w:val="0"/>
          <w:marTop w:val="0"/>
          <w:marBottom w:val="0"/>
          <w:divBdr>
            <w:top w:val="none" w:sz="0" w:space="0" w:color="auto"/>
            <w:left w:val="none" w:sz="0" w:space="0" w:color="auto"/>
            <w:bottom w:val="none" w:sz="0" w:space="0" w:color="auto"/>
            <w:right w:val="none" w:sz="0" w:space="0" w:color="auto"/>
          </w:divBdr>
        </w:div>
        <w:div w:id="246381046">
          <w:marLeft w:val="446"/>
          <w:marRight w:val="0"/>
          <w:marTop w:val="0"/>
          <w:marBottom w:val="0"/>
          <w:divBdr>
            <w:top w:val="none" w:sz="0" w:space="0" w:color="auto"/>
            <w:left w:val="none" w:sz="0" w:space="0" w:color="auto"/>
            <w:bottom w:val="none" w:sz="0" w:space="0" w:color="auto"/>
            <w:right w:val="none" w:sz="0" w:space="0" w:color="auto"/>
          </w:divBdr>
        </w:div>
      </w:divsChild>
    </w:div>
    <w:div w:id="477847123">
      <w:bodyDiv w:val="1"/>
      <w:marLeft w:val="0"/>
      <w:marRight w:val="0"/>
      <w:marTop w:val="0"/>
      <w:marBottom w:val="0"/>
      <w:divBdr>
        <w:top w:val="none" w:sz="0" w:space="0" w:color="auto"/>
        <w:left w:val="none" w:sz="0" w:space="0" w:color="auto"/>
        <w:bottom w:val="none" w:sz="0" w:space="0" w:color="auto"/>
        <w:right w:val="none" w:sz="0" w:space="0" w:color="auto"/>
      </w:divBdr>
    </w:div>
    <w:div w:id="712389276">
      <w:bodyDiv w:val="1"/>
      <w:marLeft w:val="0"/>
      <w:marRight w:val="0"/>
      <w:marTop w:val="0"/>
      <w:marBottom w:val="0"/>
      <w:divBdr>
        <w:top w:val="none" w:sz="0" w:space="0" w:color="auto"/>
        <w:left w:val="none" w:sz="0" w:space="0" w:color="auto"/>
        <w:bottom w:val="none" w:sz="0" w:space="0" w:color="auto"/>
        <w:right w:val="none" w:sz="0" w:space="0" w:color="auto"/>
      </w:divBdr>
    </w:div>
    <w:div w:id="850335526">
      <w:bodyDiv w:val="1"/>
      <w:marLeft w:val="0"/>
      <w:marRight w:val="0"/>
      <w:marTop w:val="0"/>
      <w:marBottom w:val="0"/>
      <w:divBdr>
        <w:top w:val="none" w:sz="0" w:space="0" w:color="auto"/>
        <w:left w:val="none" w:sz="0" w:space="0" w:color="auto"/>
        <w:bottom w:val="none" w:sz="0" w:space="0" w:color="auto"/>
        <w:right w:val="none" w:sz="0" w:space="0" w:color="auto"/>
      </w:divBdr>
    </w:div>
    <w:div w:id="999381037">
      <w:bodyDiv w:val="1"/>
      <w:marLeft w:val="0"/>
      <w:marRight w:val="0"/>
      <w:marTop w:val="0"/>
      <w:marBottom w:val="0"/>
      <w:divBdr>
        <w:top w:val="none" w:sz="0" w:space="0" w:color="auto"/>
        <w:left w:val="none" w:sz="0" w:space="0" w:color="auto"/>
        <w:bottom w:val="none" w:sz="0" w:space="0" w:color="auto"/>
        <w:right w:val="none" w:sz="0" w:space="0" w:color="auto"/>
      </w:divBdr>
    </w:div>
    <w:div w:id="170362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ruizfuentes_02_09_20.pdf" TargetMode="External"/><Relationship Id="rId2" Type="http://schemas.openxmlformats.org/officeDocument/2006/relationships/hyperlink" Target="http://www.corteidh.or.cr/docs/casos/articulos/seriec_384_esp.pdf" TargetMode="External"/><Relationship Id="rId1" Type="http://schemas.openxmlformats.org/officeDocument/2006/relationships/hyperlink" Target="http://www.corteidh.or.cr/docs/casos/articulos/seriec_386_esp.pdf" TargetMode="External"/><Relationship Id="rId4" Type="http://schemas.openxmlformats.org/officeDocument/2006/relationships/hyperlink" Target="https://www.youtube.com/watch?v=5kkRyIOoHx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E6EC2-E9C3-43F8-A8EF-D5655B7D9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12786</Words>
  <Characters>70326</Characters>
  <Application>Microsoft Office Word</Application>
  <DocSecurity>0</DocSecurity>
  <Lines>586</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2021-10-22T18:45:00Z</dcterms:created>
  <dcterms:modified xsi:type="dcterms:W3CDTF">2021-10-22T18:45:00Z</dcterms:modified>
</cp:coreProperties>
</file>