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9EC6C" w14:textId="79168127" w:rsidR="0092295B" w:rsidRDefault="0092295B" w:rsidP="00D14092">
      <w:pPr>
        <w:pStyle w:val="Ttulo"/>
        <w:tabs>
          <w:tab w:val="center" w:pos="4926"/>
          <w:tab w:val="left" w:pos="8730"/>
        </w:tabs>
        <w:spacing w:before="360" w:after="360"/>
        <w:ind w:left="-142" w:right="-4"/>
        <w:jc w:val="both"/>
        <w:rPr>
          <w:rFonts w:eastAsia="MS Mincho"/>
          <w:color w:val="FF0000"/>
        </w:rPr>
      </w:pPr>
    </w:p>
    <w:p w14:paraId="6F65A60B" w14:textId="299FF9BF" w:rsidR="0024433B" w:rsidRDefault="0024433B" w:rsidP="00D14092">
      <w:pPr>
        <w:pStyle w:val="Ttulo"/>
        <w:tabs>
          <w:tab w:val="center" w:pos="4926"/>
          <w:tab w:val="left" w:pos="8730"/>
        </w:tabs>
        <w:spacing w:before="360" w:after="360"/>
        <w:ind w:left="-142" w:right="-4"/>
        <w:jc w:val="both"/>
        <w:rPr>
          <w:rFonts w:eastAsia="MS Mincho"/>
          <w:color w:val="FF0000"/>
        </w:rPr>
      </w:pPr>
    </w:p>
    <w:p w14:paraId="793CD0B3" w14:textId="2D1F6BB3" w:rsidR="0024433B" w:rsidRDefault="0024433B" w:rsidP="00D14092">
      <w:pPr>
        <w:pStyle w:val="Ttulo"/>
        <w:tabs>
          <w:tab w:val="center" w:pos="4926"/>
          <w:tab w:val="left" w:pos="8730"/>
        </w:tabs>
        <w:spacing w:before="360" w:after="360"/>
        <w:ind w:left="-142" w:right="-4"/>
        <w:jc w:val="both"/>
        <w:rPr>
          <w:rFonts w:eastAsia="MS Mincho"/>
          <w:color w:val="FF0000"/>
        </w:rPr>
      </w:pPr>
    </w:p>
    <w:p w14:paraId="2973717E" w14:textId="608A1596" w:rsidR="0024433B" w:rsidRDefault="0024433B" w:rsidP="00D14092">
      <w:pPr>
        <w:pStyle w:val="Ttulo"/>
        <w:tabs>
          <w:tab w:val="center" w:pos="4926"/>
          <w:tab w:val="left" w:pos="8730"/>
        </w:tabs>
        <w:spacing w:before="360" w:after="360"/>
        <w:ind w:left="-142" w:right="-4"/>
        <w:jc w:val="both"/>
        <w:rPr>
          <w:rFonts w:eastAsia="MS Mincho"/>
          <w:color w:val="FF0000"/>
        </w:rPr>
      </w:pPr>
    </w:p>
    <w:p w14:paraId="2C6B15B4" w14:textId="77777777" w:rsidR="0024433B" w:rsidRPr="0092295B" w:rsidRDefault="0024433B" w:rsidP="00D14092">
      <w:pPr>
        <w:pStyle w:val="Ttulo"/>
        <w:tabs>
          <w:tab w:val="center" w:pos="4926"/>
          <w:tab w:val="left" w:pos="8730"/>
        </w:tabs>
        <w:spacing w:before="360" w:after="360"/>
        <w:ind w:left="-142" w:right="-4"/>
        <w:jc w:val="both"/>
        <w:rPr>
          <w:rFonts w:eastAsia="MS Mincho"/>
          <w:color w:val="FF0000"/>
        </w:rPr>
      </w:pPr>
    </w:p>
    <w:p w14:paraId="33E67808" w14:textId="250B8653" w:rsidR="00C10DAE" w:rsidRPr="008A1802" w:rsidRDefault="00C10DAE" w:rsidP="0092295B">
      <w:pPr>
        <w:pStyle w:val="Ttulo"/>
        <w:tabs>
          <w:tab w:val="center" w:pos="4926"/>
          <w:tab w:val="left" w:pos="8730"/>
        </w:tabs>
        <w:spacing w:before="360" w:after="360"/>
        <w:ind w:left="-142" w:right="-4"/>
        <w:rPr>
          <w:rFonts w:eastAsia="MS Mincho"/>
        </w:rPr>
      </w:pPr>
      <w:r w:rsidRPr="008A1802">
        <w:rPr>
          <w:rFonts w:eastAsia="MS Mincho"/>
        </w:rPr>
        <w:t>CORTE INTERAMERICANA DE DERECHOS HUMANOS</w:t>
      </w:r>
    </w:p>
    <w:p w14:paraId="2B9797A3" w14:textId="09D4348B" w:rsidR="00C10DAE" w:rsidRPr="009359FB" w:rsidRDefault="00F402EF" w:rsidP="00F402EF">
      <w:pPr>
        <w:tabs>
          <w:tab w:val="center" w:pos="4995"/>
          <w:tab w:val="left" w:pos="9165"/>
        </w:tabs>
        <w:spacing w:before="360" w:after="360"/>
        <w:jc w:val="left"/>
        <w:rPr>
          <w:b/>
          <w:smallCaps/>
          <w:szCs w:val="20"/>
          <w:lang w:eastAsia="es-ES"/>
        </w:rPr>
      </w:pPr>
      <w:r>
        <w:rPr>
          <w:rFonts w:cs="Verdana Bold"/>
          <w:b/>
          <w:bCs/>
          <w:i/>
          <w:caps/>
          <w:szCs w:val="20"/>
        </w:rPr>
        <w:tab/>
      </w:r>
      <w:r w:rsidR="006B794F" w:rsidRPr="009359FB">
        <w:rPr>
          <w:rFonts w:cs="Verdana Bold"/>
          <w:b/>
          <w:bCs/>
          <w:caps/>
          <w:szCs w:val="20"/>
        </w:rPr>
        <w:t xml:space="preserve">Caso </w:t>
      </w:r>
      <w:r w:rsidR="002A406B" w:rsidRPr="009359FB">
        <w:rPr>
          <w:rFonts w:cs="Verdana Bold"/>
          <w:b/>
          <w:bCs/>
          <w:caps/>
          <w:szCs w:val="20"/>
        </w:rPr>
        <w:t xml:space="preserve">Villarroel </w:t>
      </w:r>
      <w:r w:rsidR="000A1764" w:rsidRPr="009359FB">
        <w:rPr>
          <w:rFonts w:cs="Verdana Bold"/>
          <w:b/>
          <w:bCs/>
          <w:caps/>
          <w:szCs w:val="20"/>
        </w:rPr>
        <w:t xml:space="preserve">MERINO </w:t>
      </w:r>
      <w:r w:rsidR="002A406B" w:rsidRPr="009359FB">
        <w:rPr>
          <w:rFonts w:cs="Verdana Bold"/>
          <w:b/>
          <w:bCs/>
          <w:caps/>
          <w:szCs w:val="20"/>
        </w:rPr>
        <w:t>y otros</w:t>
      </w:r>
      <w:r w:rsidR="00C10DAE" w:rsidRPr="009359FB">
        <w:rPr>
          <w:rFonts w:cs="Verdana Bold"/>
          <w:b/>
          <w:bCs/>
          <w:caps/>
          <w:szCs w:val="20"/>
        </w:rPr>
        <w:t xml:space="preserve"> VS. </w:t>
      </w:r>
      <w:r w:rsidR="002A406B" w:rsidRPr="009359FB">
        <w:rPr>
          <w:rFonts w:cs="Verdana Bold"/>
          <w:b/>
          <w:bCs/>
          <w:caps/>
          <w:szCs w:val="20"/>
        </w:rPr>
        <w:t>ECUADOR</w:t>
      </w:r>
      <w:r w:rsidRPr="009359FB">
        <w:rPr>
          <w:rFonts w:cs="Verdana Bold"/>
          <w:b/>
          <w:bCs/>
          <w:caps/>
          <w:szCs w:val="20"/>
        </w:rPr>
        <w:tab/>
      </w:r>
    </w:p>
    <w:p w14:paraId="71A10730" w14:textId="419D4284" w:rsidR="00C10DAE" w:rsidRPr="008A1802" w:rsidRDefault="00C10DAE" w:rsidP="004E4448">
      <w:pPr>
        <w:pStyle w:val="Ttulo"/>
        <w:spacing w:before="360" w:after="360"/>
        <w:ind w:left="-142" w:right="-4"/>
        <w:rPr>
          <w:rFonts w:eastAsia="MS Mincho"/>
        </w:rPr>
      </w:pPr>
      <w:r w:rsidRPr="008A1802">
        <w:rPr>
          <w:rFonts w:eastAsia="MS Mincho"/>
        </w:rPr>
        <w:t xml:space="preserve">SENTENCIA DE </w:t>
      </w:r>
      <w:r w:rsidR="0092295B">
        <w:rPr>
          <w:rFonts w:eastAsia="MS Mincho"/>
        </w:rPr>
        <w:t>24</w:t>
      </w:r>
      <w:r w:rsidRPr="008A1802">
        <w:rPr>
          <w:rFonts w:eastAsia="MS Mincho"/>
        </w:rPr>
        <w:t xml:space="preserve"> DE </w:t>
      </w:r>
      <w:r w:rsidR="0092295B">
        <w:rPr>
          <w:rFonts w:eastAsia="MS Mincho"/>
        </w:rPr>
        <w:t>AGOSTO</w:t>
      </w:r>
      <w:r w:rsidR="006B794F">
        <w:rPr>
          <w:rFonts w:eastAsia="MS Mincho"/>
        </w:rPr>
        <w:t xml:space="preserve"> </w:t>
      </w:r>
      <w:r w:rsidR="002027EA" w:rsidRPr="008A1802">
        <w:rPr>
          <w:rFonts w:eastAsia="MS Mincho"/>
        </w:rPr>
        <w:t xml:space="preserve">DE </w:t>
      </w:r>
      <w:r w:rsidR="00F90D2B">
        <w:rPr>
          <w:rFonts w:eastAsia="MS Mincho"/>
        </w:rPr>
        <w:t>2021</w:t>
      </w:r>
    </w:p>
    <w:p w14:paraId="499DC31F" w14:textId="77777777" w:rsidR="00C10DAE" w:rsidRPr="008A1802" w:rsidRDefault="00C10DAE" w:rsidP="004E4448">
      <w:pPr>
        <w:pStyle w:val="Subttulo"/>
        <w:spacing w:before="360" w:after="360"/>
        <w:ind w:left="-142" w:right="-4"/>
        <w:rPr>
          <w:szCs w:val="20"/>
        </w:rPr>
      </w:pPr>
      <w:r w:rsidRPr="00F90D2B">
        <w:rPr>
          <w:szCs w:val="20"/>
        </w:rPr>
        <w:t>(</w:t>
      </w:r>
      <w:r w:rsidR="006B794F" w:rsidRPr="00F90D2B">
        <w:rPr>
          <w:szCs w:val="20"/>
        </w:rPr>
        <w:t>Excepciones preliminares,</w:t>
      </w:r>
      <w:r w:rsidR="006B794F">
        <w:rPr>
          <w:szCs w:val="20"/>
        </w:rPr>
        <w:t xml:space="preserve"> </w:t>
      </w:r>
      <w:r w:rsidRPr="008A1802">
        <w:rPr>
          <w:szCs w:val="20"/>
        </w:rPr>
        <w:t>Fondo, Reparaciones y Costas)</w:t>
      </w:r>
    </w:p>
    <w:p w14:paraId="4453561A" w14:textId="30A5AEBC" w:rsidR="00C10DAE" w:rsidRPr="008A1802" w:rsidRDefault="00C10DAE" w:rsidP="00C10DAE">
      <w:pPr>
        <w:spacing w:before="0" w:after="0"/>
        <w:rPr>
          <w:i/>
          <w:szCs w:val="20"/>
        </w:rPr>
      </w:pPr>
      <w:r w:rsidRPr="008A1802">
        <w:rPr>
          <w:szCs w:val="20"/>
        </w:rPr>
        <w:t xml:space="preserve">En el </w:t>
      </w:r>
      <w:r w:rsidR="006B794F">
        <w:rPr>
          <w:i/>
          <w:szCs w:val="20"/>
        </w:rPr>
        <w:t xml:space="preserve">Caso </w:t>
      </w:r>
      <w:r w:rsidR="002A406B">
        <w:rPr>
          <w:i/>
          <w:szCs w:val="20"/>
        </w:rPr>
        <w:t>Villar</w:t>
      </w:r>
      <w:r w:rsidR="002B055F">
        <w:rPr>
          <w:i/>
          <w:szCs w:val="20"/>
        </w:rPr>
        <w:t>r</w:t>
      </w:r>
      <w:r w:rsidR="002A406B">
        <w:rPr>
          <w:i/>
          <w:szCs w:val="20"/>
        </w:rPr>
        <w:t>oel</w:t>
      </w:r>
      <w:r w:rsidR="000A1764">
        <w:rPr>
          <w:i/>
          <w:szCs w:val="20"/>
        </w:rPr>
        <w:t xml:space="preserve"> Merino</w:t>
      </w:r>
      <w:r w:rsidR="002A406B">
        <w:rPr>
          <w:i/>
          <w:szCs w:val="20"/>
        </w:rPr>
        <w:t xml:space="preserve"> y otros Vs. Ecuador</w:t>
      </w:r>
      <w:r w:rsidRPr="008A1802">
        <w:rPr>
          <w:i/>
          <w:szCs w:val="20"/>
        </w:rPr>
        <w:t>,</w:t>
      </w:r>
      <w:r w:rsidR="00693CB8">
        <w:rPr>
          <w:i/>
          <w:szCs w:val="20"/>
        </w:rPr>
        <w:t xml:space="preserve">   </w:t>
      </w:r>
    </w:p>
    <w:p w14:paraId="4C1AF51E" w14:textId="77777777" w:rsidR="00C10DAE" w:rsidRPr="008A1802" w:rsidRDefault="00C10DAE" w:rsidP="00C10DAE">
      <w:pPr>
        <w:spacing w:before="0" w:after="0"/>
        <w:rPr>
          <w:i/>
          <w:szCs w:val="20"/>
        </w:rPr>
      </w:pPr>
    </w:p>
    <w:p w14:paraId="413A594A" w14:textId="66C68121" w:rsidR="00C10DAE" w:rsidRPr="008A1802" w:rsidRDefault="00C10DAE" w:rsidP="00C10DAE">
      <w:pPr>
        <w:spacing w:before="0" w:after="0"/>
        <w:ind w:right="-4"/>
        <w:rPr>
          <w:szCs w:val="20"/>
        </w:rPr>
      </w:pPr>
      <w:r w:rsidRPr="008A1802">
        <w:rPr>
          <w:szCs w:val="20"/>
        </w:rPr>
        <w:t xml:space="preserve">la Corte Interamericana de Derechos Humanos (en adelante “la Corte Interamericana”, “la Corte” o “el Tribunal”), integrada por los siguientes </w:t>
      </w:r>
      <w:r w:rsidR="008452C0">
        <w:rPr>
          <w:szCs w:val="20"/>
        </w:rPr>
        <w:t xml:space="preserve">Jueza y </w:t>
      </w:r>
      <w:r w:rsidRPr="008A1802">
        <w:rPr>
          <w:szCs w:val="20"/>
        </w:rPr>
        <w:t>Jueces</w:t>
      </w:r>
      <w:r w:rsidR="001C1513" w:rsidRPr="000A42B6">
        <w:rPr>
          <w:rStyle w:val="Refdenotaalpie"/>
          <w:rFonts w:eastAsia="MS Mincho"/>
        </w:rPr>
        <w:footnoteReference w:customMarkFollows="1" w:id="1"/>
        <w:t>*</w:t>
      </w:r>
      <w:r w:rsidRPr="008A1802">
        <w:rPr>
          <w:szCs w:val="20"/>
        </w:rPr>
        <w:t>:</w:t>
      </w:r>
      <w:r w:rsidR="00001192">
        <w:rPr>
          <w:szCs w:val="20"/>
        </w:rPr>
        <w:t xml:space="preserve">   </w:t>
      </w:r>
    </w:p>
    <w:p w14:paraId="76803A1B" w14:textId="77777777" w:rsidR="00C10DAE" w:rsidRPr="008A1802" w:rsidRDefault="00C10DAE" w:rsidP="00C10DAE">
      <w:pPr>
        <w:spacing w:before="0" w:after="0"/>
        <w:ind w:right="-4"/>
        <w:rPr>
          <w:szCs w:val="20"/>
        </w:rPr>
      </w:pPr>
    </w:p>
    <w:p w14:paraId="7169C326" w14:textId="45BE7975" w:rsidR="007A08F0" w:rsidRPr="00B23B67" w:rsidRDefault="007A08F0" w:rsidP="00F90D2B">
      <w:pPr>
        <w:spacing w:before="0" w:after="0"/>
        <w:ind w:left="567"/>
        <w:rPr>
          <w:rFonts w:eastAsia="Calibri" w:cs="Verdana"/>
          <w:lang w:val="es-ES"/>
        </w:rPr>
      </w:pPr>
      <w:r w:rsidRPr="00B23B67">
        <w:rPr>
          <w:rFonts w:eastAsia="Calibri" w:cs="Verdana"/>
          <w:lang w:val="es-ES"/>
        </w:rPr>
        <w:t>El</w:t>
      </w:r>
      <w:r w:rsidR="00F90D2B">
        <w:rPr>
          <w:rFonts w:eastAsia="Calibri" w:cs="Verdana"/>
          <w:lang w:val="es-ES"/>
        </w:rPr>
        <w:t>izabeth Odio Benito, Presidenta</w:t>
      </w:r>
      <w:r w:rsidRPr="00B23B67">
        <w:rPr>
          <w:rFonts w:eastAsia="Calibri" w:cs="Verdana"/>
          <w:lang w:val="es-ES"/>
        </w:rPr>
        <w:t>;</w:t>
      </w:r>
    </w:p>
    <w:p w14:paraId="017070A9" w14:textId="77777777" w:rsidR="007A08F0" w:rsidRPr="00B23B67" w:rsidRDefault="007A08F0" w:rsidP="007A08F0">
      <w:pPr>
        <w:spacing w:before="0" w:after="0"/>
        <w:ind w:left="567"/>
        <w:rPr>
          <w:rFonts w:eastAsia="Calibri" w:cs="Verdana"/>
          <w:lang w:val="es-ES"/>
        </w:rPr>
      </w:pPr>
      <w:r w:rsidRPr="00B23B67">
        <w:rPr>
          <w:rFonts w:eastAsia="Calibri" w:cs="Verdana"/>
          <w:lang w:val="es-ES"/>
        </w:rPr>
        <w:t>Eduardo Vio Grossi</w:t>
      </w:r>
      <w:r w:rsidR="00440BF6">
        <w:rPr>
          <w:rFonts w:eastAsia="Calibri" w:cs="Verdana"/>
          <w:lang w:val="es-ES"/>
        </w:rPr>
        <w:t>,</w:t>
      </w:r>
      <w:r w:rsidRPr="00B23B67">
        <w:rPr>
          <w:rFonts w:eastAsia="Calibri" w:cs="Verdana"/>
          <w:lang w:val="es-ES"/>
        </w:rPr>
        <w:t xml:space="preserve"> Juez</w:t>
      </w:r>
      <w:r w:rsidR="00440BF6">
        <w:rPr>
          <w:rFonts w:eastAsia="Calibri" w:cs="Verdana"/>
          <w:lang w:val="es-ES"/>
        </w:rPr>
        <w:t>;</w:t>
      </w:r>
    </w:p>
    <w:p w14:paraId="519EAD94" w14:textId="77777777" w:rsidR="007A08F0" w:rsidRPr="00B23B67" w:rsidRDefault="007A08F0" w:rsidP="007A08F0">
      <w:pPr>
        <w:spacing w:before="0" w:after="0"/>
        <w:ind w:left="567"/>
        <w:rPr>
          <w:rFonts w:eastAsia="Calibri" w:cs="Verdana"/>
          <w:lang w:val="es-ES"/>
        </w:rPr>
      </w:pPr>
      <w:r w:rsidRPr="00B23B67">
        <w:rPr>
          <w:rFonts w:eastAsia="Calibri" w:cs="Verdana"/>
          <w:lang w:val="es-ES"/>
        </w:rPr>
        <w:t>Humberto Antonio Sierra Porto, Juez;</w:t>
      </w:r>
    </w:p>
    <w:p w14:paraId="4F75EAB8" w14:textId="268B3D4C" w:rsidR="007A08F0" w:rsidRPr="00B23B67" w:rsidRDefault="007A08F0" w:rsidP="00F7182B">
      <w:pPr>
        <w:tabs>
          <w:tab w:val="left" w:pos="9089"/>
        </w:tabs>
        <w:spacing w:before="0" w:after="0"/>
        <w:ind w:left="567"/>
        <w:rPr>
          <w:rFonts w:eastAsia="Calibri" w:cs="Verdana"/>
          <w:lang w:val="es-ES"/>
        </w:rPr>
      </w:pPr>
      <w:r w:rsidRPr="00B23B67">
        <w:rPr>
          <w:rFonts w:eastAsia="Calibri" w:cs="Verdana"/>
          <w:lang w:val="es-ES"/>
        </w:rPr>
        <w:t>Eduardo Ferrer Mac-Gregor Poisot</w:t>
      </w:r>
      <w:r w:rsidR="00440BF6">
        <w:rPr>
          <w:rFonts w:eastAsia="Calibri" w:cs="Verdana"/>
          <w:lang w:val="es-ES"/>
        </w:rPr>
        <w:t>, Juez;</w:t>
      </w:r>
      <w:r w:rsidR="00F7182B">
        <w:rPr>
          <w:rFonts w:eastAsia="Calibri" w:cs="Verdana"/>
          <w:lang w:val="es-ES"/>
        </w:rPr>
        <w:tab/>
      </w:r>
    </w:p>
    <w:p w14:paraId="79BA85FB" w14:textId="77777777" w:rsidR="007A08F0" w:rsidRPr="00B23B67" w:rsidRDefault="007A08F0" w:rsidP="007A08F0">
      <w:pPr>
        <w:spacing w:before="0" w:after="0"/>
        <w:ind w:left="567"/>
        <w:rPr>
          <w:rFonts w:eastAsia="Calibri" w:cs="Verdana"/>
          <w:lang w:val="es-ES"/>
        </w:rPr>
      </w:pPr>
      <w:r w:rsidRPr="00B23B67">
        <w:rPr>
          <w:rFonts w:eastAsia="Calibri" w:cs="Verdana"/>
          <w:lang w:val="es-ES"/>
        </w:rPr>
        <w:t xml:space="preserve">Eugenio Raúl Zaffaroni, Juez, y </w:t>
      </w:r>
    </w:p>
    <w:p w14:paraId="03B2F908" w14:textId="77777777" w:rsidR="007A08F0" w:rsidRPr="00B23B67" w:rsidRDefault="007A08F0" w:rsidP="007A08F0">
      <w:pPr>
        <w:spacing w:before="0" w:after="0"/>
        <w:ind w:left="567"/>
        <w:rPr>
          <w:rFonts w:eastAsia="Calibri" w:cs="Verdana"/>
          <w:lang w:val="es-ES"/>
        </w:rPr>
      </w:pPr>
      <w:r w:rsidRPr="00B23B67">
        <w:rPr>
          <w:rFonts w:eastAsia="Calibri" w:cs="Verdana"/>
          <w:lang w:val="es-ES"/>
        </w:rPr>
        <w:t>Ricardo Pérez Manrique, Juez.</w:t>
      </w:r>
    </w:p>
    <w:p w14:paraId="04084B5A" w14:textId="77777777" w:rsidR="00C10DAE" w:rsidRPr="008A1802" w:rsidRDefault="00C10DAE" w:rsidP="00C10DAE">
      <w:pPr>
        <w:pStyle w:val="citaindirecta"/>
        <w:spacing w:before="0" w:after="0"/>
        <w:ind w:left="709" w:right="-6"/>
      </w:pPr>
    </w:p>
    <w:p w14:paraId="4D3F6BF3" w14:textId="5125461F" w:rsidR="00C10DAE" w:rsidRPr="008A1802" w:rsidRDefault="006B794F" w:rsidP="00C10DAE">
      <w:pPr>
        <w:spacing w:before="0" w:after="0"/>
        <w:ind w:right="-4"/>
        <w:rPr>
          <w:szCs w:val="20"/>
        </w:rPr>
      </w:pPr>
      <w:r>
        <w:rPr>
          <w:szCs w:val="20"/>
        </w:rPr>
        <w:t>presente</w:t>
      </w:r>
      <w:r w:rsidR="00D941FF">
        <w:rPr>
          <w:szCs w:val="20"/>
        </w:rPr>
        <w:t>s</w:t>
      </w:r>
      <w:r w:rsidR="00C10DAE" w:rsidRPr="008A1802">
        <w:rPr>
          <w:szCs w:val="20"/>
        </w:rPr>
        <w:t>, además,</w:t>
      </w:r>
    </w:p>
    <w:p w14:paraId="151D2238" w14:textId="77777777" w:rsidR="00C10DAE" w:rsidRPr="008A1802" w:rsidRDefault="00C10DAE" w:rsidP="00C10DAE">
      <w:pPr>
        <w:spacing w:before="0" w:after="0"/>
        <w:ind w:right="-4"/>
        <w:rPr>
          <w:szCs w:val="20"/>
        </w:rPr>
      </w:pPr>
    </w:p>
    <w:p w14:paraId="19B68920" w14:textId="77777777" w:rsidR="00C10DAE" w:rsidRDefault="00C10DAE" w:rsidP="00C10DAE">
      <w:pPr>
        <w:spacing w:before="0" w:after="0"/>
        <w:ind w:right="-6" w:firstLine="708"/>
        <w:rPr>
          <w:szCs w:val="20"/>
        </w:rPr>
      </w:pPr>
      <w:r w:rsidRPr="008A1802">
        <w:rPr>
          <w:szCs w:val="20"/>
        </w:rPr>
        <w:t>Pablo Saavedra Alessandri, Secretario, y</w:t>
      </w:r>
    </w:p>
    <w:p w14:paraId="0AB74EBE" w14:textId="77777777" w:rsidR="00F45E39" w:rsidRPr="008A1802" w:rsidRDefault="00F45E39" w:rsidP="00C10DAE">
      <w:pPr>
        <w:spacing w:before="0" w:after="0"/>
        <w:ind w:right="-6" w:firstLine="708"/>
        <w:rPr>
          <w:szCs w:val="20"/>
        </w:rPr>
      </w:pPr>
      <w:r>
        <w:rPr>
          <w:szCs w:val="20"/>
        </w:rPr>
        <w:t xml:space="preserve">Romina </w:t>
      </w:r>
      <w:r w:rsidR="007A08F0" w:rsidRPr="00B23B67">
        <w:rPr>
          <w:rFonts w:eastAsia="Calibri" w:cs="Verdana"/>
          <w:lang w:val="es-ES"/>
        </w:rPr>
        <w:t>I. Sijniensky, Secretaria Adjunta</w:t>
      </w:r>
      <w:r w:rsidR="000A1764">
        <w:rPr>
          <w:szCs w:val="20"/>
        </w:rPr>
        <w:t>,</w:t>
      </w:r>
    </w:p>
    <w:p w14:paraId="355498C1" w14:textId="77777777" w:rsidR="00C10DAE" w:rsidRPr="008A1802" w:rsidRDefault="00C10DAE" w:rsidP="00C10DAE">
      <w:pPr>
        <w:spacing w:before="0" w:after="0"/>
        <w:ind w:left="708" w:right="-6"/>
        <w:rPr>
          <w:szCs w:val="20"/>
        </w:rPr>
      </w:pPr>
    </w:p>
    <w:p w14:paraId="0974F3C4" w14:textId="58E3C4DD" w:rsidR="00C10DAE" w:rsidRPr="008A1802" w:rsidRDefault="00C10DAE" w:rsidP="00C10DAE">
      <w:pPr>
        <w:spacing w:before="0" w:after="0"/>
        <w:ind w:right="-4"/>
        <w:rPr>
          <w:szCs w:val="20"/>
        </w:rPr>
      </w:pPr>
      <w:r w:rsidRPr="008A1802">
        <w:rPr>
          <w:szCs w:val="20"/>
        </w:rPr>
        <w:t xml:space="preserve">de conformidad con los artículos 62.3 y 63.1 de la Convención Americana sobre Derechos Humanos (en adelante “la Convención Americana” o “la Convención”) y con los artículos 31, 32, </w:t>
      </w:r>
      <w:r w:rsidR="00BB2718">
        <w:rPr>
          <w:szCs w:val="20"/>
        </w:rPr>
        <w:t xml:space="preserve">42, </w:t>
      </w:r>
      <w:r w:rsidRPr="008A1802">
        <w:rPr>
          <w:szCs w:val="20"/>
        </w:rPr>
        <w:t>65 y 67 del Reglamento de la Corte (en adelante también “el Reglamento”), dicta la presente Sentencia.</w:t>
      </w:r>
    </w:p>
    <w:p w14:paraId="66B85CE6" w14:textId="77777777" w:rsidR="006E3E32" w:rsidRPr="008A1802" w:rsidRDefault="006E3E32" w:rsidP="0044009A">
      <w:pPr>
        <w:jc w:val="center"/>
        <w:rPr>
          <w:rFonts w:cs="Verdana Bold"/>
          <w:b/>
          <w:bCs/>
          <w:i/>
          <w:sz w:val="18"/>
          <w:szCs w:val="20"/>
        </w:rPr>
      </w:pPr>
      <w:r w:rsidRPr="008A1802">
        <w:rPr>
          <w:rFonts w:cs="Verdana Bold"/>
          <w:b/>
          <w:bCs/>
          <w:i/>
          <w:sz w:val="18"/>
          <w:szCs w:val="20"/>
        </w:rPr>
        <w:br/>
      </w:r>
    </w:p>
    <w:p w14:paraId="49D0D452" w14:textId="77777777" w:rsidR="006E3E32" w:rsidRPr="008A1802" w:rsidRDefault="006E3E32">
      <w:pPr>
        <w:rPr>
          <w:rFonts w:cs="Verdana Bold"/>
          <w:b/>
          <w:bCs/>
          <w:i/>
          <w:sz w:val="18"/>
          <w:szCs w:val="20"/>
        </w:rPr>
      </w:pPr>
      <w:r w:rsidRPr="008A1802">
        <w:rPr>
          <w:rFonts w:cs="Verdana Bold"/>
          <w:b/>
          <w:bCs/>
          <w:i/>
          <w:sz w:val="18"/>
          <w:szCs w:val="20"/>
        </w:rPr>
        <w:br w:type="page"/>
      </w:r>
    </w:p>
    <w:p w14:paraId="6B6E35CA" w14:textId="77777777" w:rsidR="0044009A" w:rsidRPr="00726C7D" w:rsidRDefault="0044009A" w:rsidP="0044009A">
      <w:pPr>
        <w:jc w:val="center"/>
        <w:rPr>
          <w:rFonts w:cs="Verdana Bold"/>
          <w:b/>
          <w:bCs/>
          <w:caps/>
          <w:szCs w:val="20"/>
        </w:rPr>
      </w:pPr>
      <w:r w:rsidRPr="00726C7D">
        <w:rPr>
          <w:rFonts w:cs="Verdana Bold"/>
          <w:b/>
          <w:bCs/>
          <w:szCs w:val="20"/>
        </w:rPr>
        <w:lastRenderedPageBreak/>
        <w:t>Tabla de contenido</w:t>
      </w:r>
    </w:p>
    <w:sdt>
      <w:sdtPr>
        <w:rPr>
          <w:lang w:val="es-ES"/>
        </w:rPr>
        <w:id w:val="-1776545474"/>
        <w:docPartObj>
          <w:docPartGallery w:val="Table of Contents"/>
          <w:docPartUnique/>
        </w:docPartObj>
      </w:sdtPr>
      <w:sdtEndPr/>
      <w:sdtContent>
        <w:p w14:paraId="59BA7008" w14:textId="66C4E796" w:rsidR="00E371B4" w:rsidRPr="005A6CEE" w:rsidRDefault="00E371B4" w:rsidP="00726C7D">
          <w:pPr>
            <w:rPr>
              <w:sz w:val="18"/>
              <w:szCs w:val="18"/>
            </w:rPr>
          </w:pPr>
        </w:p>
        <w:p w14:paraId="36359840" w14:textId="2D07CA80" w:rsidR="00854C38" w:rsidRDefault="00E371B4">
          <w:pPr>
            <w:pStyle w:val="TDC1"/>
            <w:rPr>
              <w:rFonts w:asciiTheme="minorHAnsi" w:eastAsiaTheme="minorEastAsia" w:hAnsiTheme="minorHAnsi" w:cstheme="minorBidi"/>
              <w:b w:val="0"/>
              <w:sz w:val="22"/>
              <w:szCs w:val="22"/>
              <w:lang w:eastAsia="es-CR"/>
            </w:rPr>
          </w:pPr>
          <w:r w:rsidRPr="005A6CEE">
            <w:rPr>
              <w:sz w:val="18"/>
              <w:szCs w:val="18"/>
            </w:rPr>
            <w:fldChar w:fldCharType="begin"/>
          </w:r>
          <w:r w:rsidRPr="005A6CEE">
            <w:rPr>
              <w:sz w:val="18"/>
              <w:szCs w:val="18"/>
            </w:rPr>
            <w:instrText xml:space="preserve"> TOC \o "1-3" \h \z \u </w:instrText>
          </w:r>
          <w:r w:rsidRPr="005A6CEE">
            <w:rPr>
              <w:sz w:val="18"/>
              <w:szCs w:val="18"/>
            </w:rPr>
            <w:fldChar w:fldCharType="separate"/>
          </w:r>
          <w:hyperlink w:anchor="_Toc87338993" w:history="1">
            <w:r w:rsidR="00854C38" w:rsidRPr="0095106E">
              <w:rPr>
                <w:rStyle w:val="Hipervnculo"/>
              </w:rPr>
              <w:t>I. INTRODUCCIÓN DE LA CAUSA Y OBJETO DE LA CONTROVERSIA</w:t>
            </w:r>
            <w:r w:rsidR="00854C38">
              <w:rPr>
                <w:webHidden/>
              </w:rPr>
              <w:tab/>
            </w:r>
            <w:r w:rsidR="00854C38">
              <w:rPr>
                <w:webHidden/>
              </w:rPr>
              <w:fldChar w:fldCharType="begin"/>
            </w:r>
            <w:r w:rsidR="00854C38">
              <w:rPr>
                <w:webHidden/>
              </w:rPr>
              <w:instrText xml:space="preserve"> PAGEREF _Toc87338993 \h </w:instrText>
            </w:r>
            <w:r w:rsidR="00854C38">
              <w:rPr>
                <w:webHidden/>
              </w:rPr>
            </w:r>
            <w:r w:rsidR="00854C38">
              <w:rPr>
                <w:webHidden/>
              </w:rPr>
              <w:fldChar w:fldCharType="separate"/>
            </w:r>
            <w:r w:rsidR="000523E3">
              <w:rPr>
                <w:webHidden/>
              </w:rPr>
              <w:t>3</w:t>
            </w:r>
            <w:r w:rsidR="00854C38">
              <w:rPr>
                <w:webHidden/>
              </w:rPr>
              <w:fldChar w:fldCharType="end"/>
            </w:r>
          </w:hyperlink>
        </w:p>
        <w:p w14:paraId="411EB035" w14:textId="37BE914E" w:rsidR="00854C38" w:rsidRDefault="00112C35">
          <w:pPr>
            <w:pStyle w:val="TDC1"/>
            <w:rPr>
              <w:rFonts w:asciiTheme="minorHAnsi" w:eastAsiaTheme="minorEastAsia" w:hAnsiTheme="minorHAnsi" w:cstheme="minorBidi"/>
              <w:b w:val="0"/>
              <w:sz w:val="22"/>
              <w:szCs w:val="22"/>
              <w:lang w:eastAsia="es-CR"/>
            </w:rPr>
          </w:pPr>
          <w:hyperlink w:anchor="_Toc87338994" w:history="1">
            <w:r w:rsidR="00854C38" w:rsidRPr="0095106E">
              <w:rPr>
                <w:rStyle w:val="Hipervnculo"/>
              </w:rPr>
              <w:t>II. PROCEDIMIENTO ANTE LA CORTE</w:t>
            </w:r>
            <w:r w:rsidR="00854C38">
              <w:rPr>
                <w:webHidden/>
              </w:rPr>
              <w:tab/>
            </w:r>
            <w:r w:rsidR="00854C38">
              <w:rPr>
                <w:webHidden/>
              </w:rPr>
              <w:fldChar w:fldCharType="begin"/>
            </w:r>
            <w:r w:rsidR="00854C38">
              <w:rPr>
                <w:webHidden/>
              </w:rPr>
              <w:instrText xml:space="preserve"> PAGEREF _Toc87338994 \h </w:instrText>
            </w:r>
            <w:r w:rsidR="00854C38">
              <w:rPr>
                <w:webHidden/>
              </w:rPr>
            </w:r>
            <w:r w:rsidR="00854C38">
              <w:rPr>
                <w:webHidden/>
              </w:rPr>
              <w:fldChar w:fldCharType="separate"/>
            </w:r>
            <w:r w:rsidR="000523E3">
              <w:rPr>
                <w:webHidden/>
              </w:rPr>
              <w:t>4</w:t>
            </w:r>
            <w:r w:rsidR="00854C38">
              <w:rPr>
                <w:webHidden/>
              </w:rPr>
              <w:fldChar w:fldCharType="end"/>
            </w:r>
          </w:hyperlink>
        </w:p>
        <w:p w14:paraId="515ABCBE" w14:textId="3871F5B3" w:rsidR="00854C38" w:rsidRDefault="00112C35">
          <w:pPr>
            <w:pStyle w:val="TDC1"/>
            <w:rPr>
              <w:rFonts w:asciiTheme="minorHAnsi" w:eastAsiaTheme="minorEastAsia" w:hAnsiTheme="minorHAnsi" w:cstheme="minorBidi"/>
              <w:b w:val="0"/>
              <w:sz w:val="22"/>
              <w:szCs w:val="22"/>
              <w:lang w:eastAsia="es-CR"/>
            </w:rPr>
          </w:pPr>
          <w:hyperlink w:anchor="_Toc87338995" w:history="1">
            <w:r w:rsidR="00854C38" w:rsidRPr="0095106E">
              <w:rPr>
                <w:rStyle w:val="Hipervnculo"/>
              </w:rPr>
              <w:t>III. COMPETENCIA</w:t>
            </w:r>
            <w:r w:rsidR="00854C38">
              <w:rPr>
                <w:webHidden/>
              </w:rPr>
              <w:tab/>
            </w:r>
            <w:r w:rsidR="00854C38">
              <w:rPr>
                <w:webHidden/>
              </w:rPr>
              <w:fldChar w:fldCharType="begin"/>
            </w:r>
            <w:r w:rsidR="00854C38">
              <w:rPr>
                <w:webHidden/>
              </w:rPr>
              <w:instrText xml:space="preserve"> PAGEREF _Toc87338995 \h </w:instrText>
            </w:r>
            <w:r w:rsidR="00854C38">
              <w:rPr>
                <w:webHidden/>
              </w:rPr>
            </w:r>
            <w:r w:rsidR="00854C38">
              <w:rPr>
                <w:webHidden/>
              </w:rPr>
              <w:fldChar w:fldCharType="separate"/>
            </w:r>
            <w:r w:rsidR="000523E3">
              <w:rPr>
                <w:webHidden/>
              </w:rPr>
              <w:t>5</w:t>
            </w:r>
            <w:r w:rsidR="00854C38">
              <w:rPr>
                <w:webHidden/>
              </w:rPr>
              <w:fldChar w:fldCharType="end"/>
            </w:r>
          </w:hyperlink>
        </w:p>
        <w:p w14:paraId="2107968C" w14:textId="173E1492" w:rsidR="00854C38" w:rsidRDefault="00112C35">
          <w:pPr>
            <w:pStyle w:val="TDC1"/>
            <w:rPr>
              <w:rFonts w:asciiTheme="minorHAnsi" w:eastAsiaTheme="minorEastAsia" w:hAnsiTheme="minorHAnsi" w:cstheme="minorBidi"/>
              <w:b w:val="0"/>
              <w:sz w:val="22"/>
              <w:szCs w:val="22"/>
              <w:lang w:eastAsia="es-CR"/>
            </w:rPr>
          </w:pPr>
          <w:hyperlink w:anchor="_Toc87338996" w:history="1">
            <w:r w:rsidR="00854C38" w:rsidRPr="0095106E">
              <w:rPr>
                <w:rStyle w:val="Hipervnculo"/>
              </w:rPr>
              <w:t>IV</w:t>
            </w:r>
            <w:r w:rsidR="00854C38">
              <w:rPr>
                <w:rStyle w:val="Hipervnculo"/>
              </w:rPr>
              <w:t>.</w:t>
            </w:r>
            <w:r w:rsidR="00854C38" w:rsidRPr="0095106E">
              <w:rPr>
                <w:rStyle w:val="Hipervnculo"/>
              </w:rPr>
              <w:t xml:space="preserve">  EXCEPCIONES PRELIMINARES</w:t>
            </w:r>
            <w:r w:rsidR="00854C38">
              <w:rPr>
                <w:webHidden/>
              </w:rPr>
              <w:tab/>
            </w:r>
            <w:r w:rsidR="00854C38">
              <w:rPr>
                <w:webHidden/>
              </w:rPr>
              <w:fldChar w:fldCharType="begin"/>
            </w:r>
            <w:r w:rsidR="00854C38">
              <w:rPr>
                <w:webHidden/>
              </w:rPr>
              <w:instrText xml:space="preserve"> PAGEREF _Toc87338996 \h </w:instrText>
            </w:r>
            <w:r w:rsidR="00854C38">
              <w:rPr>
                <w:webHidden/>
              </w:rPr>
            </w:r>
            <w:r w:rsidR="00854C38">
              <w:rPr>
                <w:webHidden/>
              </w:rPr>
              <w:fldChar w:fldCharType="separate"/>
            </w:r>
            <w:r w:rsidR="000523E3">
              <w:rPr>
                <w:webHidden/>
              </w:rPr>
              <w:t>5</w:t>
            </w:r>
            <w:r w:rsidR="00854C38">
              <w:rPr>
                <w:webHidden/>
              </w:rPr>
              <w:fldChar w:fldCharType="end"/>
            </w:r>
          </w:hyperlink>
        </w:p>
        <w:p w14:paraId="3B274450" w14:textId="18BCD68B" w:rsidR="00854C38" w:rsidRPr="00854C38" w:rsidRDefault="00112C35" w:rsidP="00854C38">
          <w:pPr>
            <w:pStyle w:val="TDC2"/>
            <w:ind w:left="709"/>
            <w:rPr>
              <w:rFonts w:asciiTheme="minorHAnsi" w:eastAsiaTheme="minorEastAsia" w:hAnsiTheme="minorHAnsi" w:cstheme="minorBidi"/>
              <w:smallCaps w:val="0"/>
              <w:noProof/>
              <w:szCs w:val="18"/>
              <w:lang w:val="es-CR" w:eastAsia="es-CR"/>
            </w:rPr>
          </w:pPr>
          <w:hyperlink w:anchor="_Toc87338997" w:history="1">
            <w:r w:rsidR="00854C38" w:rsidRPr="00854C38">
              <w:rPr>
                <w:rStyle w:val="Hipervnculo"/>
                <w:smallCaps w:val="0"/>
                <w:noProof/>
                <w:szCs w:val="18"/>
                <w:lang w:val="es-CR"/>
              </w:rPr>
              <w:t>A. Alegada falta de competencia de la Corte para actuar como cuarta instancia</w:t>
            </w:r>
            <w:r w:rsidR="00854C38" w:rsidRPr="00854C38">
              <w:rPr>
                <w:smallCaps w:val="0"/>
                <w:noProof/>
                <w:webHidden/>
                <w:szCs w:val="18"/>
              </w:rPr>
              <w:tab/>
            </w:r>
            <w:r w:rsidR="00854C38" w:rsidRPr="00854C38">
              <w:rPr>
                <w:smallCaps w:val="0"/>
                <w:noProof/>
                <w:webHidden/>
                <w:szCs w:val="18"/>
              </w:rPr>
              <w:fldChar w:fldCharType="begin"/>
            </w:r>
            <w:r w:rsidR="00854C38" w:rsidRPr="00854C38">
              <w:rPr>
                <w:smallCaps w:val="0"/>
                <w:noProof/>
                <w:webHidden/>
                <w:szCs w:val="18"/>
              </w:rPr>
              <w:instrText xml:space="preserve"> PAGEREF _Toc87338997 \h </w:instrText>
            </w:r>
            <w:r w:rsidR="00854C38" w:rsidRPr="00854C38">
              <w:rPr>
                <w:smallCaps w:val="0"/>
                <w:noProof/>
                <w:webHidden/>
                <w:szCs w:val="18"/>
              </w:rPr>
            </w:r>
            <w:r w:rsidR="00854C38" w:rsidRPr="00854C38">
              <w:rPr>
                <w:smallCaps w:val="0"/>
                <w:noProof/>
                <w:webHidden/>
                <w:szCs w:val="18"/>
              </w:rPr>
              <w:fldChar w:fldCharType="separate"/>
            </w:r>
            <w:r w:rsidR="000523E3">
              <w:rPr>
                <w:smallCaps w:val="0"/>
                <w:noProof/>
                <w:webHidden/>
                <w:szCs w:val="18"/>
              </w:rPr>
              <w:t>5</w:t>
            </w:r>
            <w:r w:rsidR="00854C38" w:rsidRPr="00854C38">
              <w:rPr>
                <w:smallCaps w:val="0"/>
                <w:noProof/>
                <w:webHidden/>
                <w:szCs w:val="18"/>
              </w:rPr>
              <w:fldChar w:fldCharType="end"/>
            </w:r>
          </w:hyperlink>
        </w:p>
        <w:p w14:paraId="6C748787" w14:textId="7113AE78" w:rsidR="00854C38" w:rsidRPr="00854C38" w:rsidRDefault="00112C35" w:rsidP="00854C38">
          <w:pPr>
            <w:pStyle w:val="TDC3"/>
            <w:rPr>
              <w:rFonts w:asciiTheme="minorHAnsi" w:eastAsiaTheme="minorEastAsia" w:hAnsiTheme="minorHAnsi" w:cstheme="minorBidi"/>
              <w:i/>
              <w:sz w:val="18"/>
              <w:szCs w:val="18"/>
              <w:lang w:eastAsia="es-CR"/>
            </w:rPr>
          </w:pPr>
          <w:hyperlink w:anchor="_Toc87338998" w:history="1">
            <w:r w:rsidR="00854C38" w:rsidRPr="00854C38">
              <w:rPr>
                <w:rStyle w:val="Hipervnculo"/>
                <w:i/>
                <w:sz w:val="18"/>
                <w:szCs w:val="18"/>
              </w:rPr>
              <w:t>A.1. Alegatos de las partes y la Comisión</w:t>
            </w:r>
            <w:r w:rsidR="00854C38" w:rsidRPr="00854C38">
              <w:rPr>
                <w:i/>
                <w:webHidden/>
                <w:sz w:val="18"/>
                <w:szCs w:val="18"/>
              </w:rPr>
              <w:tab/>
            </w:r>
            <w:r w:rsidR="00854C38" w:rsidRPr="00854C38">
              <w:rPr>
                <w:i/>
                <w:webHidden/>
                <w:sz w:val="18"/>
                <w:szCs w:val="18"/>
              </w:rPr>
              <w:fldChar w:fldCharType="begin"/>
            </w:r>
            <w:r w:rsidR="00854C38" w:rsidRPr="00854C38">
              <w:rPr>
                <w:i/>
                <w:webHidden/>
                <w:sz w:val="18"/>
                <w:szCs w:val="18"/>
              </w:rPr>
              <w:instrText xml:space="preserve"> PAGEREF _Toc87338998 \h </w:instrText>
            </w:r>
            <w:r w:rsidR="00854C38" w:rsidRPr="00854C38">
              <w:rPr>
                <w:i/>
                <w:webHidden/>
                <w:sz w:val="18"/>
                <w:szCs w:val="18"/>
              </w:rPr>
            </w:r>
            <w:r w:rsidR="00854C38" w:rsidRPr="00854C38">
              <w:rPr>
                <w:i/>
                <w:webHidden/>
                <w:sz w:val="18"/>
                <w:szCs w:val="18"/>
              </w:rPr>
              <w:fldChar w:fldCharType="separate"/>
            </w:r>
            <w:r w:rsidR="000523E3">
              <w:rPr>
                <w:i/>
                <w:webHidden/>
                <w:sz w:val="18"/>
                <w:szCs w:val="18"/>
              </w:rPr>
              <w:t>5</w:t>
            </w:r>
            <w:r w:rsidR="00854C38" w:rsidRPr="00854C38">
              <w:rPr>
                <w:i/>
                <w:webHidden/>
                <w:sz w:val="18"/>
                <w:szCs w:val="18"/>
              </w:rPr>
              <w:fldChar w:fldCharType="end"/>
            </w:r>
          </w:hyperlink>
        </w:p>
        <w:p w14:paraId="4D803769" w14:textId="314A68D7" w:rsidR="00854C38" w:rsidRPr="00854C38" w:rsidRDefault="00112C35" w:rsidP="00854C38">
          <w:pPr>
            <w:pStyle w:val="TDC3"/>
            <w:rPr>
              <w:rFonts w:asciiTheme="minorHAnsi" w:eastAsiaTheme="minorEastAsia" w:hAnsiTheme="minorHAnsi" w:cstheme="minorBidi"/>
              <w:i/>
              <w:sz w:val="18"/>
              <w:szCs w:val="18"/>
              <w:lang w:eastAsia="es-CR"/>
            </w:rPr>
          </w:pPr>
          <w:hyperlink w:anchor="_Toc87338999" w:history="1">
            <w:r w:rsidR="00854C38" w:rsidRPr="00854C38">
              <w:rPr>
                <w:rStyle w:val="Hipervnculo"/>
                <w:i/>
                <w:sz w:val="18"/>
                <w:szCs w:val="18"/>
              </w:rPr>
              <w:t>A.2. Consideraciones de la Corte</w:t>
            </w:r>
            <w:r w:rsidR="00854C38" w:rsidRPr="00854C38">
              <w:rPr>
                <w:i/>
                <w:webHidden/>
                <w:sz w:val="18"/>
                <w:szCs w:val="18"/>
              </w:rPr>
              <w:tab/>
            </w:r>
            <w:r w:rsidR="00854C38" w:rsidRPr="00854C38">
              <w:rPr>
                <w:i/>
                <w:webHidden/>
                <w:sz w:val="18"/>
                <w:szCs w:val="18"/>
              </w:rPr>
              <w:fldChar w:fldCharType="begin"/>
            </w:r>
            <w:r w:rsidR="00854C38" w:rsidRPr="00854C38">
              <w:rPr>
                <w:i/>
                <w:webHidden/>
                <w:sz w:val="18"/>
                <w:szCs w:val="18"/>
              </w:rPr>
              <w:instrText xml:space="preserve"> PAGEREF _Toc87338999 \h </w:instrText>
            </w:r>
            <w:r w:rsidR="00854C38" w:rsidRPr="00854C38">
              <w:rPr>
                <w:i/>
                <w:webHidden/>
                <w:sz w:val="18"/>
                <w:szCs w:val="18"/>
              </w:rPr>
            </w:r>
            <w:r w:rsidR="00854C38" w:rsidRPr="00854C38">
              <w:rPr>
                <w:i/>
                <w:webHidden/>
                <w:sz w:val="18"/>
                <w:szCs w:val="18"/>
              </w:rPr>
              <w:fldChar w:fldCharType="separate"/>
            </w:r>
            <w:r w:rsidR="000523E3">
              <w:rPr>
                <w:i/>
                <w:webHidden/>
                <w:sz w:val="18"/>
                <w:szCs w:val="18"/>
              </w:rPr>
              <w:t>6</w:t>
            </w:r>
            <w:r w:rsidR="00854C38" w:rsidRPr="00854C38">
              <w:rPr>
                <w:i/>
                <w:webHidden/>
                <w:sz w:val="18"/>
                <w:szCs w:val="18"/>
              </w:rPr>
              <w:fldChar w:fldCharType="end"/>
            </w:r>
          </w:hyperlink>
        </w:p>
        <w:p w14:paraId="4ADA8A3D" w14:textId="62786B0B" w:rsidR="00854C38" w:rsidRPr="00854C38" w:rsidRDefault="00112C35" w:rsidP="00854C38">
          <w:pPr>
            <w:pStyle w:val="TDC2"/>
            <w:ind w:left="709"/>
            <w:rPr>
              <w:rFonts w:asciiTheme="minorHAnsi" w:eastAsiaTheme="minorEastAsia" w:hAnsiTheme="minorHAnsi" w:cstheme="minorBidi"/>
              <w:smallCaps w:val="0"/>
              <w:noProof/>
              <w:szCs w:val="18"/>
              <w:lang w:val="es-CR" w:eastAsia="es-CR"/>
            </w:rPr>
          </w:pPr>
          <w:hyperlink w:anchor="_Toc87339000" w:history="1">
            <w:r w:rsidR="00854C38" w:rsidRPr="00854C38">
              <w:rPr>
                <w:rStyle w:val="Hipervnculo"/>
                <w:smallCaps w:val="0"/>
                <w:noProof/>
                <w:szCs w:val="18"/>
                <w:lang w:val="es-CR"/>
              </w:rPr>
              <w:t>B. Alegada vulneración al derecho de defensa del Estado por la falta de control de legalidad de las actuaciones de la Comisión</w:t>
            </w:r>
            <w:r w:rsidR="00854C38" w:rsidRPr="00854C38">
              <w:rPr>
                <w:smallCaps w:val="0"/>
                <w:noProof/>
                <w:webHidden/>
                <w:szCs w:val="18"/>
              </w:rPr>
              <w:tab/>
            </w:r>
            <w:r w:rsidR="00854C38" w:rsidRPr="00854C38">
              <w:rPr>
                <w:smallCaps w:val="0"/>
                <w:noProof/>
                <w:webHidden/>
                <w:szCs w:val="18"/>
              </w:rPr>
              <w:fldChar w:fldCharType="begin"/>
            </w:r>
            <w:r w:rsidR="00854C38" w:rsidRPr="00854C38">
              <w:rPr>
                <w:smallCaps w:val="0"/>
                <w:noProof/>
                <w:webHidden/>
                <w:szCs w:val="18"/>
              </w:rPr>
              <w:instrText xml:space="preserve"> PAGEREF _Toc87339000 \h </w:instrText>
            </w:r>
            <w:r w:rsidR="00854C38" w:rsidRPr="00854C38">
              <w:rPr>
                <w:smallCaps w:val="0"/>
                <w:noProof/>
                <w:webHidden/>
                <w:szCs w:val="18"/>
              </w:rPr>
            </w:r>
            <w:r w:rsidR="00854C38" w:rsidRPr="00854C38">
              <w:rPr>
                <w:smallCaps w:val="0"/>
                <w:noProof/>
                <w:webHidden/>
                <w:szCs w:val="18"/>
              </w:rPr>
              <w:fldChar w:fldCharType="separate"/>
            </w:r>
            <w:r w:rsidR="000523E3">
              <w:rPr>
                <w:smallCaps w:val="0"/>
                <w:noProof/>
                <w:webHidden/>
                <w:szCs w:val="18"/>
              </w:rPr>
              <w:t>6</w:t>
            </w:r>
            <w:r w:rsidR="00854C38" w:rsidRPr="00854C38">
              <w:rPr>
                <w:smallCaps w:val="0"/>
                <w:noProof/>
                <w:webHidden/>
                <w:szCs w:val="18"/>
              </w:rPr>
              <w:fldChar w:fldCharType="end"/>
            </w:r>
          </w:hyperlink>
        </w:p>
        <w:p w14:paraId="3CF630DC" w14:textId="284DEA6F" w:rsidR="00854C38" w:rsidRPr="00854C38" w:rsidRDefault="00112C35" w:rsidP="00854C38">
          <w:pPr>
            <w:pStyle w:val="TDC3"/>
            <w:rPr>
              <w:rFonts w:asciiTheme="minorHAnsi" w:eastAsiaTheme="minorEastAsia" w:hAnsiTheme="minorHAnsi" w:cstheme="minorBidi"/>
              <w:i/>
              <w:sz w:val="18"/>
              <w:szCs w:val="18"/>
              <w:lang w:eastAsia="es-CR"/>
            </w:rPr>
          </w:pPr>
          <w:hyperlink w:anchor="_Toc87339001" w:history="1">
            <w:r w:rsidR="00854C38" w:rsidRPr="00854C38">
              <w:rPr>
                <w:rStyle w:val="Hipervnculo"/>
                <w:i/>
                <w:sz w:val="18"/>
                <w:szCs w:val="18"/>
              </w:rPr>
              <w:t>B.1. Argumentos de las partes y la Comisión</w:t>
            </w:r>
            <w:r w:rsidR="00854C38" w:rsidRPr="00854C38">
              <w:rPr>
                <w:i/>
                <w:webHidden/>
                <w:sz w:val="18"/>
                <w:szCs w:val="18"/>
              </w:rPr>
              <w:tab/>
            </w:r>
            <w:r w:rsidR="00854C38" w:rsidRPr="00854C38">
              <w:rPr>
                <w:i/>
                <w:webHidden/>
                <w:sz w:val="18"/>
                <w:szCs w:val="18"/>
              </w:rPr>
              <w:fldChar w:fldCharType="begin"/>
            </w:r>
            <w:r w:rsidR="00854C38" w:rsidRPr="00854C38">
              <w:rPr>
                <w:i/>
                <w:webHidden/>
                <w:sz w:val="18"/>
                <w:szCs w:val="18"/>
              </w:rPr>
              <w:instrText xml:space="preserve"> PAGEREF _Toc87339001 \h </w:instrText>
            </w:r>
            <w:r w:rsidR="00854C38" w:rsidRPr="00854C38">
              <w:rPr>
                <w:i/>
                <w:webHidden/>
                <w:sz w:val="18"/>
                <w:szCs w:val="18"/>
              </w:rPr>
            </w:r>
            <w:r w:rsidR="00854C38" w:rsidRPr="00854C38">
              <w:rPr>
                <w:i/>
                <w:webHidden/>
                <w:sz w:val="18"/>
                <w:szCs w:val="18"/>
              </w:rPr>
              <w:fldChar w:fldCharType="separate"/>
            </w:r>
            <w:r w:rsidR="000523E3">
              <w:rPr>
                <w:i/>
                <w:webHidden/>
                <w:sz w:val="18"/>
                <w:szCs w:val="18"/>
              </w:rPr>
              <w:t>6</w:t>
            </w:r>
            <w:r w:rsidR="00854C38" w:rsidRPr="00854C38">
              <w:rPr>
                <w:i/>
                <w:webHidden/>
                <w:sz w:val="18"/>
                <w:szCs w:val="18"/>
              </w:rPr>
              <w:fldChar w:fldCharType="end"/>
            </w:r>
          </w:hyperlink>
        </w:p>
        <w:p w14:paraId="4BBD3493" w14:textId="143FD888" w:rsidR="00854C38" w:rsidRPr="00854C38" w:rsidRDefault="00112C35" w:rsidP="00854C38">
          <w:pPr>
            <w:pStyle w:val="TDC3"/>
            <w:rPr>
              <w:rFonts w:asciiTheme="minorHAnsi" w:eastAsiaTheme="minorEastAsia" w:hAnsiTheme="minorHAnsi" w:cstheme="minorBidi"/>
              <w:i/>
              <w:sz w:val="18"/>
              <w:szCs w:val="18"/>
              <w:lang w:eastAsia="es-CR"/>
            </w:rPr>
          </w:pPr>
          <w:hyperlink w:anchor="_Toc87339002" w:history="1">
            <w:r w:rsidR="00854C38" w:rsidRPr="00854C38">
              <w:rPr>
                <w:rStyle w:val="Hipervnculo"/>
                <w:i/>
                <w:sz w:val="18"/>
                <w:szCs w:val="18"/>
              </w:rPr>
              <w:t>B.2. Consideraciones de la Corte</w:t>
            </w:r>
            <w:r w:rsidR="00854C38" w:rsidRPr="00854C38">
              <w:rPr>
                <w:i/>
                <w:webHidden/>
                <w:sz w:val="18"/>
                <w:szCs w:val="18"/>
              </w:rPr>
              <w:tab/>
            </w:r>
            <w:r w:rsidR="00854C38" w:rsidRPr="00854C38">
              <w:rPr>
                <w:i/>
                <w:webHidden/>
                <w:sz w:val="18"/>
                <w:szCs w:val="18"/>
              </w:rPr>
              <w:fldChar w:fldCharType="begin"/>
            </w:r>
            <w:r w:rsidR="00854C38" w:rsidRPr="00854C38">
              <w:rPr>
                <w:i/>
                <w:webHidden/>
                <w:sz w:val="18"/>
                <w:szCs w:val="18"/>
              </w:rPr>
              <w:instrText xml:space="preserve"> PAGEREF _Toc87339002 \h </w:instrText>
            </w:r>
            <w:r w:rsidR="00854C38" w:rsidRPr="00854C38">
              <w:rPr>
                <w:i/>
                <w:webHidden/>
                <w:sz w:val="18"/>
                <w:szCs w:val="18"/>
              </w:rPr>
            </w:r>
            <w:r w:rsidR="00854C38" w:rsidRPr="00854C38">
              <w:rPr>
                <w:i/>
                <w:webHidden/>
                <w:sz w:val="18"/>
                <w:szCs w:val="18"/>
              </w:rPr>
              <w:fldChar w:fldCharType="separate"/>
            </w:r>
            <w:r w:rsidR="000523E3">
              <w:rPr>
                <w:i/>
                <w:webHidden/>
                <w:sz w:val="18"/>
                <w:szCs w:val="18"/>
              </w:rPr>
              <w:t>7</w:t>
            </w:r>
            <w:r w:rsidR="00854C38" w:rsidRPr="00854C38">
              <w:rPr>
                <w:i/>
                <w:webHidden/>
                <w:sz w:val="18"/>
                <w:szCs w:val="18"/>
              </w:rPr>
              <w:fldChar w:fldCharType="end"/>
            </w:r>
          </w:hyperlink>
        </w:p>
        <w:p w14:paraId="3496BE46" w14:textId="0F593090" w:rsidR="00854C38" w:rsidRDefault="00112C35">
          <w:pPr>
            <w:pStyle w:val="TDC1"/>
            <w:rPr>
              <w:rFonts w:asciiTheme="minorHAnsi" w:eastAsiaTheme="minorEastAsia" w:hAnsiTheme="minorHAnsi" w:cstheme="minorBidi"/>
              <w:b w:val="0"/>
              <w:sz w:val="22"/>
              <w:szCs w:val="22"/>
              <w:lang w:eastAsia="es-CR"/>
            </w:rPr>
          </w:pPr>
          <w:hyperlink w:anchor="_Toc87339003" w:history="1">
            <w:r w:rsidR="00854C38" w:rsidRPr="0095106E">
              <w:rPr>
                <w:rStyle w:val="Hipervnculo"/>
              </w:rPr>
              <w:t>V. PRUEBA</w:t>
            </w:r>
            <w:r w:rsidR="00854C38">
              <w:rPr>
                <w:webHidden/>
              </w:rPr>
              <w:tab/>
            </w:r>
            <w:r w:rsidR="00854C38">
              <w:rPr>
                <w:webHidden/>
              </w:rPr>
              <w:fldChar w:fldCharType="begin"/>
            </w:r>
            <w:r w:rsidR="00854C38">
              <w:rPr>
                <w:webHidden/>
              </w:rPr>
              <w:instrText xml:space="preserve"> PAGEREF _Toc87339003 \h </w:instrText>
            </w:r>
            <w:r w:rsidR="00854C38">
              <w:rPr>
                <w:webHidden/>
              </w:rPr>
            </w:r>
            <w:r w:rsidR="00854C38">
              <w:rPr>
                <w:webHidden/>
              </w:rPr>
              <w:fldChar w:fldCharType="separate"/>
            </w:r>
            <w:r w:rsidR="000523E3">
              <w:rPr>
                <w:webHidden/>
              </w:rPr>
              <w:t>8</w:t>
            </w:r>
            <w:r w:rsidR="00854C38">
              <w:rPr>
                <w:webHidden/>
              </w:rPr>
              <w:fldChar w:fldCharType="end"/>
            </w:r>
          </w:hyperlink>
        </w:p>
        <w:p w14:paraId="160E593A" w14:textId="426BD462" w:rsidR="00854C38" w:rsidRPr="00854C38" w:rsidRDefault="00112C35" w:rsidP="00854C38">
          <w:pPr>
            <w:pStyle w:val="TDC2"/>
            <w:ind w:left="709"/>
            <w:rPr>
              <w:rFonts w:asciiTheme="minorHAnsi" w:eastAsiaTheme="minorEastAsia" w:hAnsiTheme="minorHAnsi" w:cstheme="minorBidi"/>
              <w:smallCaps w:val="0"/>
              <w:noProof/>
              <w:sz w:val="22"/>
              <w:szCs w:val="22"/>
              <w:lang w:val="es-CR" w:eastAsia="es-CR"/>
            </w:rPr>
          </w:pPr>
          <w:hyperlink w:anchor="_Toc87339004" w:history="1">
            <w:r w:rsidR="00854C38" w:rsidRPr="00854C38">
              <w:rPr>
                <w:rStyle w:val="Hipervnculo"/>
                <w:smallCaps w:val="0"/>
                <w:noProof/>
              </w:rPr>
              <w:t>A. Admisión de prueba documental</w:t>
            </w:r>
            <w:r w:rsidR="00854C38" w:rsidRPr="00854C38">
              <w:rPr>
                <w:smallCaps w:val="0"/>
                <w:noProof/>
                <w:webHidden/>
              </w:rPr>
              <w:tab/>
            </w:r>
            <w:r w:rsidR="00854C38" w:rsidRPr="00854C38">
              <w:rPr>
                <w:smallCaps w:val="0"/>
                <w:noProof/>
                <w:webHidden/>
              </w:rPr>
              <w:fldChar w:fldCharType="begin"/>
            </w:r>
            <w:r w:rsidR="00854C38" w:rsidRPr="00854C38">
              <w:rPr>
                <w:smallCaps w:val="0"/>
                <w:noProof/>
                <w:webHidden/>
              </w:rPr>
              <w:instrText xml:space="preserve"> PAGEREF _Toc87339004 \h </w:instrText>
            </w:r>
            <w:r w:rsidR="00854C38" w:rsidRPr="00854C38">
              <w:rPr>
                <w:smallCaps w:val="0"/>
                <w:noProof/>
                <w:webHidden/>
              </w:rPr>
            </w:r>
            <w:r w:rsidR="00854C38" w:rsidRPr="00854C38">
              <w:rPr>
                <w:smallCaps w:val="0"/>
                <w:noProof/>
                <w:webHidden/>
              </w:rPr>
              <w:fldChar w:fldCharType="separate"/>
            </w:r>
            <w:r w:rsidR="000523E3">
              <w:rPr>
                <w:smallCaps w:val="0"/>
                <w:noProof/>
                <w:webHidden/>
              </w:rPr>
              <w:t>8</w:t>
            </w:r>
            <w:r w:rsidR="00854C38" w:rsidRPr="00854C38">
              <w:rPr>
                <w:smallCaps w:val="0"/>
                <w:noProof/>
                <w:webHidden/>
              </w:rPr>
              <w:fldChar w:fldCharType="end"/>
            </w:r>
          </w:hyperlink>
        </w:p>
        <w:p w14:paraId="3F81B8B9" w14:textId="782EFEE4" w:rsidR="00854C38" w:rsidRPr="00854C38" w:rsidRDefault="00112C35" w:rsidP="00854C38">
          <w:pPr>
            <w:pStyle w:val="TDC2"/>
            <w:ind w:left="709"/>
            <w:rPr>
              <w:rFonts w:asciiTheme="minorHAnsi" w:eastAsiaTheme="minorEastAsia" w:hAnsiTheme="minorHAnsi" w:cstheme="minorBidi"/>
              <w:smallCaps w:val="0"/>
              <w:noProof/>
              <w:sz w:val="22"/>
              <w:szCs w:val="22"/>
              <w:lang w:val="es-CR" w:eastAsia="es-CR"/>
            </w:rPr>
          </w:pPr>
          <w:hyperlink w:anchor="_Toc87339005" w:history="1">
            <w:r w:rsidR="00854C38" w:rsidRPr="00854C38">
              <w:rPr>
                <w:rStyle w:val="Hipervnculo"/>
                <w:smallCaps w:val="0"/>
                <w:noProof/>
              </w:rPr>
              <w:t>B. Admisión de las declaraciones y de la prueba pericial</w:t>
            </w:r>
            <w:r w:rsidR="00854C38" w:rsidRPr="00854C38">
              <w:rPr>
                <w:smallCaps w:val="0"/>
                <w:noProof/>
                <w:webHidden/>
              </w:rPr>
              <w:tab/>
            </w:r>
            <w:r w:rsidR="00854C38" w:rsidRPr="00854C38">
              <w:rPr>
                <w:smallCaps w:val="0"/>
                <w:noProof/>
                <w:webHidden/>
              </w:rPr>
              <w:fldChar w:fldCharType="begin"/>
            </w:r>
            <w:r w:rsidR="00854C38" w:rsidRPr="00854C38">
              <w:rPr>
                <w:smallCaps w:val="0"/>
                <w:noProof/>
                <w:webHidden/>
              </w:rPr>
              <w:instrText xml:space="preserve"> PAGEREF _Toc87339005 \h </w:instrText>
            </w:r>
            <w:r w:rsidR="00854C38" w:rsidRPr="00854C38">
              <w:rPr>
                <w:smallCaps w:val="0"/>
                <w:noProof/>
                <w:webHidden/>
              </w:rPr>
            </w:r>
            <w:r w:rsidR="00854C38" w:rsidRPr="00854C38">
              <w:rPr>
                <w:smallCaps w:val="0"/>
                <w:noProof/>
                <w:webHidden/>
              </w:rPr>
              <w:fldChar w:fldCharType="separate"/>
            </w:r>
            <w:r w:rsidR="000523E3">
              <w:rPr>
                <w:smallCaps w:val="0"/>
                <w:noProof/>
                <w:webHidden/>
              </w:rPr>
              <w:t>9</w:t>
            </w:r>
            <w:r w:rsidR="00854C38" w:rsidRPr="00854C38">
              <w:rPr>
                <w:smallCaps w:val="0"/>
                <w:noProof/>
                <w:webHidden/>
              </w:rPr>
              <w:fldChar w:fldCharType="end"/>
            </w:r>
          </w:hyperlink>
        </w:p>
        <w:p w14:paraId="6E9862F4" w14:textId="0DA1BEC6" w:rsidR="00854C38" w:rsidRDefault="00112C35">
          <w:pPr>
            <w:pStyle w:val="TDC1"/>
            <w:rPr>
              <w:rFonts w:asciiTheme="minorHAnsi" w:eastAsiaTheme="minorEastAsia" w:hAnsiTheme="minorHAnsi" w:cstheme="minorBidi"/>
              <w:b w:val="0"/>
              <w:sz w:val="22"/>
              <w:szCs w:val="22"/>
              <w:lang w:eastAsia="es-CR"/>
            </w:rPr>
          </w:pPr>
          <w:hyperlink w:anchor="_Toc87339006" w:history="1">
            <w:r w:rsidR="00854C38" w:rsidRPr="0095106E">
              <w:rPr>
                <w:rStyle w:val="Hipervnculo"/>
              </w:rPr>
              <w:t>VI. HECHOS</w:t>
            </w:r>
            <w:r w:rsidR="00854C38">
              <w:rPr>
                <w:webHidden/>
              </w:rPr>
              <w:tab/>
            </w:r>
            <w:r w:rsidR="00854C38">
              <w:rPr>
                <w:webHidden/>
              </w:rPr>
              <w:fldChar w:fldCharType="begin"/>
            </w:r>
            <w:r w:rsidR="00854C38">
              <w:rPr>
                <w:webHidden/>
              </w:rPr>
              <w:instrText xml:space="preserve"> PAGEREF _Toc87339006 \h </w:instrText>
            </w:r>
            <w:r w:rsidR="00854C38">
              <w:rPr>
                <w:webHidden/>
              </w:rPr>
            </w:r>
            <w:r w:rsidR="00854C38">
              <w:rPr>
                <w:webHidden/>
              </w:rPr>
              <w:fldChar w:fldCharType="separate"/>
            </w:r>
            <w:r w:rsidR="000523E3">
              <w:rPr>
                <w:webHidden/>
              </w:rPr>
              <w:t>10</w:t>
            </w:r>
            <w:r w:rsidR="00854C38">
              <w:rPr>
                <w:webHidden/>
              </w:rPr>
              <w:fldChar w:fldCharType="end"/>
            </w:r>
          </w:hyperlink>
        </w:p>
        <w:p w14:paraId="67190AFF" w14:textId="25AAD841" w:rsidR="00854C38" w:rsidRPr="00854C38" w:rsidRDefault="00112C35" w:rsidP="00854C38">
          <w:pPr>
            <w:pStyle w:val="TDC2"/>
            <w:ind w:left="709"/>
            <w:rPr>
              <w:rFonts w:asciiTheme="minorHAnsi" w:eastAsiaTheme="minorEastAsia" w:hAnsiTheme="minorHAnsi" w:cstheme="minorBidi"/>
              <w:smallCaps w:val="0"/>
              <w:noProof/>
              <w:sz w:val="22"/>
              <w:szCs w:val="22"/>
              <w:lang w:val="es-CR" w:eastAsia="es-CR"/>
            </w:rPr>
          </w:pPr>
          <w:hyperlink w:anchor="_Toc87339007" w:history="1">
            <w:r w:rsidR="00854C38" w:rsidRPr="00854C38">
              <w:rPr>
                <w:rStyle w:val="Hipervnculo"/>
                <w:smallCaps w:val="0"/>
                <w:noProof/>
              </w:rPr>
              <w:t>A.</w:t>
            </w:r>
            <w:r w:rsidR="00854C38" w:rsidRPr="00854C38">
              <w:rPr>
                <w:rFonts w:asciiTheme="minorHAnsi" w:eastAsiaTheme="minorEastAsia" w:hAnsiTheme="minorHAnsi" w:cstheme="minorBidi"/>
                <w:smallCaps w:val="0"/>
                <w:noProof/>
                <w:sz w:val="22"/>
                <w:szCs w:val="22"/>
                <w:lang w:val="es-CR" w:eastAsia="es-CR"/>
              </w:rPr>
              <w:tab/>
            </w:r>
            <w:r w:rsidR="00854C38" w:rsidRPr="00854C38">
              <w:rPr>
                <w:rStyle w:val="Hipervnculo"/>
                <w:smallCaps w:val="0"/>
                <w:noProof/>
              </w:rPr>
              <w:t>Marco Normativo</w:t>
            </w:r>
            <w:r w:rsidR="00854C38" w:rsidRPr="00854C38">
              <w:rPr>
                <w:smallCaps w:val="0"/>
                <w:noProof/>
                <w:webHidden/>
              </w:rPr>
              <w:tab/>
            </w:r>
            <w:r w:rsidR="00854C38" w:rsidRPr="00854C38">
              <w:rPr>
                <w:smallCaps w:val="0"/>
                <w:noProof/>
                <w:webHidden/>
              </w:rPr>
              <w:fldChar w:fldCharType="begin"/>
            </w:r>
            <w:r w:rsidR="00854C38" w:rsidRPr="00854C38">
              <w:rPr>
                <w:smallCaps w:val="0"/>
                <w:noProof/>
                <w:webHidden/>
              </w:rPr>
              <w:instrText xml:space="preserve"> PAGEREF _Toc87339007 \h </w:instrText>
            </w:r>
            <w:r w:rsidR="00854C38" w:rsidRPr="00854C38">
              <w:rPr>
                <w:smallCaps w:val="0"/>
                <w:noProof/>
                <w:webHidden/>
              </w:rPr>
            </w:r>
            <w:r w:rsidR="00854C38" w:rsidRPr="00854C38">
              <w:rPr>
                <w:smallCaps w:val="0"/>
                <w:noProof/>
                <w:webHidden/>
              </w:rPr>
              <w:fldChar w:fldCharType="separate"/>
            </w:r>
            <w:r w:rsidR="000523E3">
              <w:rPr>
                <w:smallCaps w:val="0"/>
                <w:noProof/>
                <w:webHidden/>
              </w:rPr>
              <w:t>10</w:t>
            </w:r>
            <w:r w:rsidR="00854C38" w:rsidRPr="00854C38">
              <w:rPr>
                <w:smallCaps w:val="0"/>
                <w:noProof/>
                <w:webHidden/>
              </w:rPr>
              <w:fldChar w:fldCharType="end"/>
            </w:r>
          </w:hyperlink>
        </w:p>
        <w:p w14:paraId="46C7C941" w14:textId="24FA791F" w:rsidR="00854C38" w:rsidRPr="00854C38" w:rsidRDefault="00112C35" w:rsidP="00854C38">
          <w:pPr>
            <w:pStyle w:val="TDC2"/>
            <w:ind w:left="709"/>
            <w:rPr>
              <w:rFonts w:asciiTheme="minorHAnsi" w:eastAsiaTheme="minorEastAsia" w:hAnsiTheme="minorHAnsi" w:cstheme="minorBidi"/>
              <w:smallCaps w:val="0"/>
              <w:noProof/>
              <w:sz w:val="22"/>
              <w:szCs w:val="22"/>
              <w:lang w:val="es-CR" w:eastAsia="es-CR"/>
            </w:rPr>
          </w:pPr>
          <w:hyperlink w:anchor="_Toc87339008" w:history="1">
            <w:r w:rsidR="00854C38" w:rsidRPr="00854C38">
              <w:rPr>
                <w:rStyle w:val="Hipervnculo"/>
                <w:smallCaps w:val="0"/>
                <w:noProof/>
              </w:rPr>
              <w:t>B.</w:t>
            </w:r>
            <w:r w:rsidR="00854C38" w:rsidRPr="00854C38">
              <w:rPr>
                <w:rFonts w:asciiTheme="minorHAnsi" w:eastAsiaTheme="minorEastAsia" w:hAnsiTheme="minorHAnsi" w:cstheme="minorBidi"/>
                <w:smallCaps w:val="0"/>
                <w:noProof/>
                <w:sz w:val="22"/>
                <w:szCs w:val="22"/>
                <w:lang w:val="es-CR" w:eastAsia="es-CR"/>
              </w:rPr>
              <w:tab/>
            </w:r>
            <w:r w:rsidR="00854C38" w:rsidRPr="00854C38">
              <w:rPr>
                <w:rStyle w:val="Hipervnculo"/>
                <w:smallCaps w:val="0"/>
                <w:noProof/>
              </w:rPr>
              <w:t>Presuntas víctimas</w:t>
            </w:r>
            <w:r w:rsidR="00854C38" w:rsidRPr="00854C38">
              <w:rPr>
                <w:smallCaps w:val="0"/>
                <w:noProof/>
                <w:webHidden/>
              </w:rPr>
              <w:tab/>
            </w:r>
            <w:r w:rsidR="00854C38" w:rsidRPr="00854C38">
              <w:rPr>
                <w:smallCaps w:val="0"/>
                <w:noProof/>
                <w:webHidden/>
              </w:rPr>
              <w:fldChar w:fldCharType="begin"/>
            </w:r>
            <w:r w:rsidR="00854C38" w:rsidRPr="00854C38">
              <w:rPr>
                <w:smallCaps w:val="0"/>
                <w:noProof/>
                <w:webHidden/>
              </w:rPr>
              <w:instrText xml:space="preserve"> PAGEREF _Toc87339008 \h </w:instrText>
            </w:r>
            <w:r w:rsidR="00854C38" w:rsidRPr="00854C38">
              <w:rPr>
                <w:smallCaps w:val="0"/>
                <w:noProof/>
                <w:webHidden/>
              </w:rPr>
            </w:r>
            <w:r w:rsidR="00854C38" w:rsidRPr="00854C38">
              <w:rPr>
                <w:smallCaps w:val="0"/>
                <w:noProof/>
                <w:webHidden/>
              </w:rPr>
              <w:fldChar w:fldCharType="separate"/>
            </w:r>
            <w:r w:rsidR="000523E3">
              <w:rPr>
                <w:smallCaps w:val="0"/>
                <w:noProof/>
                <w:webHidden/>
              </w:rPr>
              <w:t>12</w:t>
            </w:r>
            <w:r w:rsidR="00854C38" w:rsidRPr="00854C38">
              <w:rPr>
                <w:smallCaps w:val="0"/>
                <w:noProof/>
                <w:webHidden/>
              </w:rPr>
              <w:fldChar w:fldCharType="end"/>
            </w:r>
          </w:hyperlink>
        </w:p>
        <w:p w14:paraId="79809CAD" w14:textId="42F949FD" w:rsidR="00854C38" w:rsidRPr="00854C38" w:rsidRDefault="00112C35" w:rsidP="00854C38">
          <w:pPr>
            <w:pStyle w:val="TDC2"/>
            <w:ind w:left="709"/>
            <w:rPr>
              <w:rFonts w:asciiTheme="minorHAnsi" w:eastAsiaTheme="minorEastAsia" w:hAnsiTheme="minorHAnsi" w:cstheme="minorBidi"/>
              <w:smallCaps w:val="0"/>
              <w:noProof/>
              <w:sz w:val="22"/>
              <w:szCs w:val="22"/>
              <w:lang w:val="es-CR" w:eastAsia="es-CR"/>
            </w:rPr>
          </w:pPr>
          <w:hyperlink w:anchor="_Toc87339009" w:history="1">
            <w:r w:rsidR="00854C38" w:rsidRPr="00854C38">
              <w:rPr>
                <w:rStyle w:val="Hipervnculo"/>
                <w:smallCaps w:val="0"/>
                <w:noProof/>
              </w:rPr>
              <w:t>C. Detención y proceso en contra de las presuntas víctimas</w:t>
            </w:r>
            <w:r w:rsidR="00854C38" w:rsidRPr="00854C38">
              <w:rPr>
                <w:smallCaps w:val="0"/>
                <w:noProof/>
                <w:webHidden/>
              </w:rPr>
              <w:tab/>
            </w:r>
            <w:r w:rsidR="00854C38" w:rsidRPr="00854C38">
              <w:rPr>
                <w:smallCaps w:val="0"/>
                <w:noProof/>
                <w:webHidden/>
              </w:rPr>
              <w:fldChar w:fldCharType="begin"/>
            </w:r>
            <w:r w:rsidR="00854C38" w:rsidRPr="00854C38">
              <w:rPr>
                <w:smallCaps w:val="0"/>
                <w:noProof/>
                <w:webHidden/>
              </w:rPr>
              <w:instrText xml:space="preserve"> PAGEREF _Toc87339009 \h </w:instrText>
            </w:r>
            <w:r w:rsidR="00854C38" w:rsidRPr="00854C38">
              <w:rPr>
                <w:smallCaps w:val="0"/>
                <w:noProof/>
                <w:webHidden/>
              </w:rPr>
            </w:r>
            <w:r w:rsidR="00854C38" w:rsidRPr="00854C38">
              <w:rPr>
                <w:smallCaps w:val="0"/>
                <w:noProof/>
                <w:webHidden/>
              </w:rPr>
              <w:fldChar w:fldCharType="separate"/>
            </w:r>
            <w:r w:rsidR="000523E3">
              <w:rPr>
                <w:smallCaps w:val="0"/>
                <w:noProof/>
                <w:webHidden/>
              </w:rPr>
              <w:t>13</w:t>
            </w:r>
            <w:r w:rsidR="00854C38" w:rsidRPr="00854C38">
              <w:rPr>
                <w:smallCaps w:val="0"/>
                <w:noProof/>
                <w:webHidden/>
              </w:rPr>
              <w:fldChar w:fldCharType="end"/>
            </w:r>
          </w:hyperlink>
        </w:p>
        <w:p w14:paraId="56077F6C" w14:textId="1F22C8CB" w:rsidR="00854C38" w:rsidRPr="00854C38" w:rsidRDefault="00112C35" w:rsidP="00854C38">
          <w:pPr>
            <w:pStyle w:val="TDC2"/>
            <w:ind w:left="709"/>
            <w:rPr>
              <w:rFonts w:asciiTheme="minorHAnsi" w:eastAsiaTheme="minorEastAsia" w:hAnsiTheme="minorHAnsi" w:cstheme="minorBidi"/>
              <w:smallCaps w:val="0"/>
              <w:noProof/>
              <w:sz w:val="22"/>
              <w:szCs w:val="22"/>
              <w:lang w:val="es-CR" w:eastAsia="es-CR"/>
            </w:rPr>
          </w:pPr>
          <w:hyperlink w:anchor="_Toc87339010" w:history="1">
            <w:r w:rsidR="00854C38" w:rsidRPr="00854C38">
              <w:rPr>
                <w:rStyle w:val="Hipervnculo"/>
                <w:smallCaps w:val="0"/>
                <w:noProof/>
              </w:rPr>
              <w:t>D. Demandas de indemnización</w:t>
            </w:r>
            <w:r w:rsidR="00854C38" w:rsidRPr="00854C38">
              <w:rPr>
                <w:smallCaps w:val="0"/>
                <w:noProof/>
                <w:webHidden/>
              </w:rPr>
              <w:tab/>
            </w:r>
            <w:r w:rsidR="00854C38" w:rsidRPr="00854C38">
              <w:rPr>
                <w:smallCaps w:val="0"/>
                <w:noProof/>
                <w:webHidden/>
              </w:rPr>
              <w:fldChar w:fldCharType="begin"/>
            </w:r>
            <w:r w:rsidR="00854C38" w:rsidRPr="00854C38">
              <w:rPr>
                <w:smallCaps w:val="0"/>
                <w:noProof/>
                <w:webHidden/>
              </w:rPr>
              <w:instrText xml:space="preserve"> PAGEREF _Toc87339010 \h </w:instrText>
            </w:r>
            <w:r w:rsidR="00854C38" w:rsidRPr="00854C38">
              <w:rPr>
                <w:smallCaps w:val="0"/>
                <w:noProof/>
                <w:webHidden/>
              </w:rPr>
            </w:r>
            <w:r w:rsidR="00854C38" w:rsidRPr="00854C38">
              <w:rPr>
                <w:smallCaps w:val="0"/>
                <w:noProof/>
                <w:webHidden/>
              </w:rPr>
              <w:fldChar w:fldCharType="separate"/>
            </w:r>
            <w:r w:rsidR="000523E3">
              <w:rPr>
                <w:smallCaps w:val="0"/>
                <w:noProof/>
                <w:webHidden/>
              </w:rPr>
              <w:t>19</w:t>
            </w:r>
            <w:r w:rsidR="00854C38" w:rsidRPr="00854C38">
              <w:rPr>
                <w:smallCaps w:val="0"/>
                <w:noProof/>
                <w:webHidden/>
              </w:rPr>
              <w:fldChar w:fldCharType="end"/>
            </w:r>
          </w:hyperlink>
        </w:p>
        <w:p w14:paraId="78B045B2" w14:textId="396A5AB5" w:rsidR="00854C38" w:rsidRDefault="00112C35">
          <w:pPr>
            <w:pStyle w:val="TDC1"/>
            <w:rPr>
              <w:rFonts w:asciiTheme="minorHAnsi" w:eastAsiaTheme="minorEastAsia" w:hAnsiTheme="minorHAnsi" w:cstheme="minorBidi"/>
              <w:b w:val="0"/>
              <w:sz w:val="22"/>
              <w:szCs w:val="22"/>
              <w:lang w:eastAsia="es-CR"/>
            </w:rPr>
          </w:pPr>
          <w:hyperlink w:anchor="_Toc87339011" w:history="1">
            <w:r w:rsidR="00854C38" w:rsidRPr="0095106E">
              <w:rPr>
                <w:rStyle w:val="Hipervnculo"/>
              </w:rPr>
              <w:t>VII. FONDO</w:t>
            </w:r>
            <w:r w:rsidR="00854C38">
              <w:rPr>
                <w:webHidden/>
              </w:rPr>
              <w:tab/>
            </w:r>
            <w:r w:rsidR="00854C38">
              <w:rPr>
                <w:webHidden/>
              </w:rPr>
              <w:fldChar w:fldCharType="begin"/>
            </w:r>
            <w:r w:rsidR="00854C38">
              <w:rPr>
                <w:webHidden/>
              </w:rPr>
              <w:instrText xml:space="preserve"> PAGEREF _Toc87339011 \h </w:instrText>
            </w:r>
            <w:r w:rsidR="00854C38">
              <w:rPr>
                <w:webHidden/>
              </w:rPr>
            </w:r>
            <w:r w:rsidR="00854C38">
              <w:rPr>
                <w:webHidden/>
              </w:rPr>
              <w:fldChar w:fldCharType="separate"/>
            </w:r>
            <w:r w:rsidR="000523E3">
              <w:rPr>
                <w:webHidden/>
              </w:rPr>
              <w:t>20</w:t>
            </w:r>
            <w:r w:rsidR="00854C38">
              <w:rPr>
                <w:webHidden/>
              </w:rPr>
              <w:fldChar w:fldCharType="end"/>
            </w:r>
          </w:hyperlink>
        </w:p>
        <w:p w14:paraId="1D6EBA59" w14:textId="23785B96" w:rsidR="00854C38" w:rsidRDefault="00112C35">
          <w:pPr>
            <w:pStyle w:val="TDC1"/>
            <w:rPr>
              <w:rFonts w:asciiTheme="minorHAnsi" w:eastAsiaTheme="minorEastAsia" w:hAnsiTheme="minorHAnsi" w:cstheme="minorBidi"/>
              <w:b w:val="0"/>
              <w:sz w:val="22"/>
              <w:szCs w:val="22"/>
              <w:lang w:eastAsia="es-CR"/>
            </w:rPr>
          </w:pPr>
          <w:hyperlink w:anchor="_Toc87339012" w:history="1">
            <w:r w:rsidR="00854C38" w:rsidRPr="0095106E">
              <w:rPr>
                <w:rStyle w:val="Hipervnculo"/>
              </w:rPr>
              <w:t>VII-1</w:t>
            </w:r>
            <w:r w:rsidR="00854C38">
              <w:rPr>
                <w:rStyle w:val="Hipervnculo"/>
              </w:rPr>
              <w:t xml:space="preserve"> DERECHOS A LA LIBERTAD PERSONAL, PRESUNCIÓN DE INOCENCIA, Y A LA IGUALDAD ANTE LA LEY, EN RELACIÓN CON LAS OBLIGACIONES</w:t>
            </w:r>
            <w:r w:rsidR="006F2448">
              <w:rPr>
                <w:rStyle w:val="Hipervnculo"/>
              </w:rPr>
              <w:t xml:space="preserve"> DE RESPETAR Y GARANTIZAR LOS DERECHOS Y EL DEBER DE ADOPTAR DISPOSICIONES DE DERECHO INTERNO DE LA CONVENCIÓN AMERICANA</w:t>
            </w:r>
            <w:r w:rsidR="00854C38">
              <w:rPr>
                <w:webHidden/>
              </w:rPr>
              <w:tab/>
            </w:r>
            <w:r w:rsidR="00854C38">
              <w:rPr>
                <w:webHidden/>
              </w:rPr>
              <w:fldChar w:fldCharType="begin"/>
            </w:r>
            <w:r w:rsidR="00854C38">
              <w:rPr>
                <w:webHidden/>
              </w:rPr>
              <w:instrText xml:space="preserve"> PAGEREF _Toc87339012 \h </w:instrText>
            </w:r>
            <w:r w:rsidR="00854C38">
              <w:rPr>
                <w:webHidden/>
              </w:rPr>
            </w:r>
            <w:r w:rsidR="00854C38">
              <w:rPr>
                <w:webHidden/>
              </w:rPr>
              <w:fldChar w:fldCharType="separate"/>
            </w:r>
            <w:r w:rsidR="000523E3">
              <w:rPr>
                <w:webHidden/>
              </w:rPr>
              <w:t>20</w:t>
            </w:r>
            <w:r w:rsidR="00854C38">
              <w:rPr>
                <w:webHidden/>
              </w:rPr>
              <w:fldChar w:fldCharType="end"/>
            </w:r>
          </w:hyperlink>
        </w:p>
        <w:p w14:paraId="67B5158E" w14:textId="4CFEDD9B" w:rsidR="00854C38" w:rsidRPr="006F2448" w:rsidRDefault="00112C35" w:rsidP="006F2448">
          <w:pPr>
            <w:pStyle w:val="TDC2"/>
            <w:ind w:left="709"/>
            <w:rPr>
              <w:rFonts w:asciiTheme="minorHAnsi" w:eastAsiaTheme="minorEastAsia" w:hAnsiTheme="minorHAnsi" w:cstheme="minorBidi"/>
              <w:smallCaps w:val="0"/>
              <w:noProof/>
              <w:szCs w:val="18"/>
              <w:lang w:val="es-CR" w:eastAsia="es-CR"/>
            </w:rPr>
          </w:pPr>
          <w:hyperlink w:anchor="_Toc87339018" w:history="1">
            <w:r w:rsidR="00854C38" w:rsidRPr="006F2448">
              <w:rPr>
                <w:rStyle w:val="Hipervnculo"/>
                <w:smallCaps w:val="0"/>
                <w:noProof/>
                <w:szCs w:val="18"/>
                <w:lang w:val="es-CR"/>
              </w:rPr>
              <w:t>A.   Privación de libertad de las presuntas víctimas</w:t>
            </w:r>
            <w:r w:rsidR="00854C38" w:rsidRPr="006F2448">
              <w:rPr>
                <w:smallCaps w:val="0"/>
                <w:noProof/>
                <w:webHidden/>
                <w:szCs w:val="18"/>
              </w:rPr>
              <w:tab/>
            </w:r>
            <w:r w:rsidR="00854C38" w:rsidRPr="006F2448">
              <w:rPr>
                <w:smallCaps w:val="0"/>
                <w:noProof/>
                <w:webHidden/>
                <w:szCs w:val="18"/>
              </w:rPr>
              <w:fldChar w:fldCharType="begin"/>
            </w:r>
            <w:r w:rsidR="00854C38" w:rsidRPr="006F2448">
              <w:rPr>
                <w:smallCaps w:val="0"/>
                <w:noProof/>
                <w:webHidden/>
                <w:szCs w:val="18"/>
              </w:rPr>
              <w:instrText xml:space="preserve"> PAGEREF _Toc87339018 \h </w:instrText>
            </w:r>
            <w:r w:rsidR="00854C38" w:rsidRPr="006F2448">
              <w:rPr>
                <w:smallCaps w:val="0"/>
                <w:noProof/>
                <w:webHidden/>
                <w:szCs w:val="18"/>
              </w:rPr>
            </w:r>
            <w:r w:rsidR="00854C38" w:rsidRPr="006F2448">
              <w:rPr>
                <w:smallCaps w:val="0"/>
                <w:noProof/>
                <w:webHidden/>
                <w:szCs w:val="18"/>
              </w:rPr>
              <w:fldChar w:fldCharType="separate"/>
            </w:r>
            <w:r w:rsidR="000523E3">
              <w:rPr>
                <w:smallCaps w:val="0"/>
                <w:noProof/>
                <w:webHidden/>
                <w:szCs w:val="18"/>
              </w:rPr>
              <w:t>21</w:t>
            </w:r>
            <w:r w:rsidR="00854C38" w:rsidRPr="006F2448">
              <w:rPr>
                <w:smallCaps w:val="0"/>
                <w:noProof/>
                <w:webHidden/>
                <w:szCs w:val="18"/>
              </w:rPr>
              <w:fldChar w:fldCharType="end"/>
            </w:r>
          </w:hyperlink>
        </w:p>
        <w:p w14:paraId="2908D36F" w14:textId="523C4E8C" w:rsidR="00854C38" w:rsidRPr="006F2448" w:rsidRDefault="00112C35" w:rsidP="006F2448">
          <w:pPr>
            <w:pStyle w:val="TDC3"/>
            <w:rPr>
              <w:rFonts w:asciiTheme="minorHAnsi" w:eastAsiaTheme="minorEastAsia" w:hAnsiTheme="minorHAnsi" w:cstheme="minorBidi"/>
              <w:sz w:val="18"/>
              <w:szCs w:val="18"/>
              <w:lang w:eastAsia="es-CR"/>
            </w:rPr>
          </w:pPr>
          <w:hyperlink w:anchor="_Toc87339019" w:history="1">
            <w:r w:rsidR="00854C38" w:rsidRPr="006F2448">
              <w:rPr>
                <w:rStyle w:val="Hipervnculo"/>
                <w:i/>
                <w:sz w:val="18"/>
                <w:szCs w:val="18"/>
              </w:rPr>
              <w:t>A.1 Argumentos de las partes y la Comisión</w:t>
            </w:r>
            <w:r w:rsidR="00854C38" w:rsidRPr="006F2448">
              <w:rPr>
                <w:webHidden/>
                <w:sz w:val="18"/>
                <w:szCs w:val="18"/>
              </w:rPr>
              <w:tab/>
            </w:r>
            <w:r w:rsidR="00854C38" w:rsidRPr="006F2448">
              <w:rPr>
                <w:webHidden/>
                <w:sz w:val="18"/>
                <w:szCs w:val="18"/>
              </w:rPr>
              <w:fldChar w:fldCharType="begin"/>
            </w:r>
            <w:r w:rsidR="00854C38" w:rsidRPr="006F2448">
              <w:rPr>
                <w:webHidden/>
                <w:sz w:val="18"/>
                <w:szCs w:val="18"/>
              </w:rPr>
              <w:instrText xml:space="preserve"> PAGEREF _Toc87339019 \h </w:instrText>
            </w:r>
            <w:r w:rsidR="00854C38" w:rsidRPr="006F2448">
              <w:rPr>
                <w:webHidden/>
                <w:sz w:val="18"/>
                <w:szCs w:val="18"/>
              </w:rPr>
            </w:r>
            <w:r w:rsidR="00854C38" w:rsidRPr="006F2448">
              <w:rPr>
                <w:webHidden/>
                <w:sz w:val="18"/>
                <w:szCs w:val="18"/>
              </w:rPr>
              <w:fldChar w:fldCharType="separate"/>
            </w:r>
            <w:r w:rsidR="000523E3">
              <w:rPr>
                <w:webHidden/>
                <w:sz w:val="18"/>
                <w:szCs w:val="18"/>
              </w:rPr>
              <w:t>21</w:t>
            </w:r>
            <w:r w:rsidR="00854C38" w:rsidRPr="006F2448">
              <w:rPr>
                <w:webHidden/>
                <w:sz w:val="18"/>
                <w:szCs w:val="18"/>
              </w:rPr>
              <w:fldChar w:fldCharType="end"/>
            </w:r>
          </w:hyperlink>
        </w:p>
        <w:p w14:paraId="52A423E9" w14:textId="4329BA19" w:rsidR="00854C38" w:rsidRPr="006F2448" w:rsidRDefault="00112C35" w:rsidP="006F2448">
          <w:pPr>
            <w:pStyle w:val="TDC3"/>
            <w:rPr>
              <w:rFonts w:asciiTheme="minorHAnsi" w:eastAsiaTheme="minorEastAsia" w:hAnsiTheme="minorHAnsi" w:cstheme="minorBidi"/>
              <w:sz w:val="18"/>
              <w:szCs w:val="18"/>
              <w:lang w:eastAsia="es-CR"/>
            </w:rPr>
          </w:pPr>
          <w:hyperlink w:anchor="_Toc87339020" w:history="1">
            <w:r w:rsidR="00854C38" w:rsidRPr="006F2448">
              <w:rPr>
                <w:rStyle w:val="Hipervnculo"/>
                <w:i/>
                <w:sz w:val="18"/>
                <w:szCs w:val="18"/>
              </w:rPr>
              <w:t>A.2 Consideraciones de la Corte</w:t>
            </w:r>
            <w:r w:rsidR="00854C38" w:rsidRPr="006F2448">
              <w:rPr>
                <w:webHidden/>
                <w:sz w:val="18"/>
                <w:szCs w:val="18"/>
              </w:rPr>
              <w:tab/>
            </w:r>
            <w:r w:rsidR="00854C38" w:rsidRPr="006F2448">
              <w:rPr>
                <w:webHidden/>
                <w:sz w:val="18"/>
                <w:szCs w:val="18"/>
              </w:rPr>
              <w:fldChar w:fldCharType="begin"/>
            </w:r>
            <w:r w:rsidR="00854C38" w:rsidRPr="006F2448">
              <w:rPr>
                <w:webHidden/>
                <w:sz w:val="18"/>
                <w:szCs w:val="18"/>
              </w:rPr>
              <w:instrText xml:space="preserve"> PAGEREF _Toc87339020 \h </w:instrText>
            </w:r>
            <w:r w:rsidR="00854C38" w:rsidRPr="006F2448">
              <w:rPr>
                <w:webHidden/>
                <w:sz w:val="18"/>
                <w:szCs w:val="18"/>
              </w:rPr>
            </w:r>
            <w:r w:rsidR="00854C38" w:rsidRPr="006F2448">
              <w:rPr>
                <w:webHidden/>
                <w:sz w:val="18"/>
                <w:szCs w:val="18"/>
              </w:rPr>
              <w:fldChar w:fldCharType="separate"/>
            </w:r>
            <w:r w:rsidR="000523E3">
              <w:rPr>
                <w:webHidden/>
                <w:sz w:val="18"/>
                <w:szCs w:val="18"/>
              </w:rPr>
              <w:t>22</w:t>
            </w:r>
            <w:r w:rsidR="00854C38" w:rsidRPr="006F2448">
              <w:rPr>
                <w:webHidden/>
                <w:sz w:val="18"/>
                <w:szCs w:val="18"/>
              </w:rPr>
              <w:fldChar w:fldCharType="end"/>
            </w:r>
          </w:hyperlink>
        </w:p>
        <w:p w14:paraId="7E0292A2" w14:textId="3771EAAF" w:rsidR="00854C38" w:rsidRPr="006F2448" w:rsidRDefault="00112C35" w:rsidP="006F2448">
          <w:pPr>
            <w:pStyle w:val="TDC2"/>
            <w:ind w:left="709"/>
            <w:rPr>
              <w:rFonts w:asciiTheme="minorHAnsi" w:eastAsiaTheme="minorEastAsia" w:hAnsiTheme="minorHAnsi" w:cstheme="minorBidi"/>
              <w:smallCaps w:val="0"/>
              <w:noProof/>
              <w:szCs w:val="18"/>
              <w:lang w:val="es-CR" w:eastAsia="es-CR"/>
            </w:rPr>
          </w:pPr>
          <w:hyperlink w:anchor="_Toc87339021" w:history="1">
            <w:r w:rsidR="00854C38" w:rsidRPr="006F2448">
              <w:rPr>
                <w:rStyle w:val="Hipervnculo"/>
                <w:smallCaps w:val="0"/>
                <w:noProof/>
                <w:szCs w:val="18"/>
              </w:rPr>
              <w:t>B.   Detención en firm</w:t>
            </w:r>
            <w:r w:rsidR="00854C38" w:rsidRPr="006F2448">
              <w:rPr>
                <w:rStyle w:val="Hipervnculo"/>
                <w:rFonts w:cs="Bookman Old Style"/>
                <w:smallCaps w:val="0"/>
                <w:noProof/>
                <w:szCs w:val="18"/>
              </w:rPr>
              <w:t>e</w:t>
            </w:r>
            <w:r w:rsidR="00854C38" w:rsidRPr="006F2448">
              <w:rPr>
                <w:smallCaps w:val="0"/>
                <w:noProof/>
                <w:webHidden/>
                <w:szCs w:val="18"/>
              </w:rPr>
              <w:tab/>
            </w:r>
            <w:r w:rsidR="00854C38" w:rsidRPr="006F2448">
              <w:rPr>
                <w:smallCaps w:val="0"/>
                <w:noProof/>
                <w:webHidden/>
                <w:szCs w:val="18"/>
              </w:rPr>
              <w:fldChar w:fldCharType="begin"/>
            </w:r>
            <w:r w:rsidR="00854C38" w:rsidRPr="006F2448">
              <w:rPr>
                <w:smallCaps w:val="0"/>
                <w:noProof/>
                <w:webHidden/>
                <w:szCs w:val="18"/>
              </w:rPr>
              <w:instrText xml:space="preserve"> PAGEREF _Toc87339021 \h </w:instrText>
            </w:r>
            <w:r w:rsidR="00854C38" w:rsidRPr="006F2448">
              <w:rPr>
                <w:smallCaps w:val="0"/>
                <w:noProof/>
                <w:webHidden/>
                <w:szCs w:val="18"/>
              </w:rPr>
            </w:r>
            <w:r w:rsidR="00854C38" w:rsidRPr="006F2448">
              <w:rPr>
                <w:smallCaps w:val="0"/>
                <w:noProof/>
                <w:webHidden/>
                <w:szCs w:val="18"/>
              </w:rPr>
              <w:fldChar w:fldCharType="separate"/>
            </w:r>
            <w:r w:rsidR="000523E3">
              <w:rPr>
                <w:smallCaps w:val="0"/>
                <w:noProof/>
                <w:webHidden/>
                <w:szCs w:val="18"/>
              </w:rPr>
              <w:t>26</w:t>
            </w:r>
            <w:r w:rsidR="00854C38" w:rsidRPr="006F2448">
              <w:rPr>
                <w:smallCaps w:val="0"/>
                <w:noProof/>
                <w:webHidden/>
                <w:szCs w:val="18"/>
              </w:rPr>
              <w:fldChar w:fldCharType="end"/>
            </w:r>
          </w:hyperlink>
        </w:p>
        <w:p w14:paraId="43C04DC2" w14:textId="79E3BCC0" w:rsidR="00854C38" w:rsidRPr="006F2448" w:rsidRDefault="00112C35" w:rsidP="006F2448">
          <w:pPr>
            <w:pStyle w:val="TDC2"/>
            <w:ind w:left="709"/>
            <w:rPr>
              <w:rFonts w:asciiTheme="minorHAnsi" w:eastAsiaTheme="minorEastAsia" w:hAnsiTheme="minorHAnsi" w:cstheme="minorBidi"/>
              <w:smallCaps w:val="0"/>
              <w:noProof/>
              <w:szCs w:val="18"/>
              <w:lang w:val="es-CR" w:eastAsia="es-CR"/>
            </w:rPr>
          </w:pPr>
          <w:hyperlink w:anchor="_Toc87339022" w:history="1">
            <w:r w:rsidR="006F2448" w:rsidRPr="006F2448">
              <w:rPr>
                <w:rStyle w:val="Hipervnculo"/>
                <w:smallCaps w:val="0"/>
                <w:noProof/>
                <w:szCs w:val="18"/>
              </w:rPr>
              <w:t xml:space="preserve">C.   </w:t>
            </w:r>
            <w:r w:rsidR="00854C38" w:rsidRPr="006F2448">
              <w:rPr>
                <w:rStyle w:val="Hipervnculo"/>
                <w:smallCaps w:val="0"/>
                <w:noProof/>
                <w:szCs w:val="18"/>
              </w:rPr>
              <w:t>Detención Preventiva</w:t>
            </w:r>
            <w:r w:rsidR="00854C38" w:rsidRPr="006F2448">
              <w:rPr>
                <w:smallCaps w:val="0"/>
                <w:noProof/>
                <w:webHidden/>
                <w:szCs w:val="18"/>
              </w:rPr>
              <w:tab/>
            </w:r>
            <w:r w:rsidR="00854C38" w:rsidRPr="006F2448">
              <w:rPr>
                <w:smallCaps w:val="0"/>
                <w:noProof/>
                <w:webHidden/>
                <w:szCs w:val="18"/>
              </w:rPr>
              <w:fldChar w:fldCharType="begin"/>
            </w:r>
            <w:r w:rsidR="00854C38" w:rsidRPr="006F2448">
              <w:rPr>
                <w:smallCaps w:val="0"/>
                <w:noProof/>
                <w:webHidden/>
                <w:szCs w:val="18"/>
              </w:rPr>
              <w:instrText xml:space="preserve"> PAGEREF _Toc87339022 \h </w:instrText>
            </w:r>
            <w:r w:rsidR="00854C38" w:rsidRPr="006F2448">
              <w:rPr>
                <w:smallCaps w:val="0"/>
                <w:noProof/>
                <w:webHidden/>
                <w:szCs w:val="18"/>
              </w:rPr>
            </w:r>
            <w:r w:rsidR="00854C38" w:rsidRPr="006F2448">
              <w:rPr>
                <w:smallCaps w:val="0"/>
                <w:noProof/>
                <w:webHidden/>
                <w:szCs w:val="18"/>
              </w:rPr>
              <w:fldChar w:fldCharType="separate"/>
            </w:r>
            <w:r w:rsidR="000523E3">
              <w:rPr>
                <w:smallCaps w:val="0"/>
                <w:noProof/>
                <w:webHidden/>
                <w:szCs w:val="18"/>
              </w:rPr>
              <w:t>28</w:t>
            </w:r>
            <w:r w:rsidR="00854C38" w:rsidRPr="006F2448">
              <w:rPr>
                <w:smallCaps w:val="0"/>
                <w:noProof/>
                <w:webHidden/>
                <w:szCs w:val="18"/>
              </w:rPr>
              <w:fldChar w:fldCharType="end"/>
            </w:r>
          </w:hyperlink>
        </w:p>
        <w:p w14:paraId="4373DD86" w14:textId="456798B3" w:rsidR="00854C38" w:rsidRPr="006F2448" w:rsidRDefault="00112C35" w:rsidP="006F2448">
          <w:pPr>
            <w:pStyle w:val="TDC2"/>
            <w:ind w:left="709"/>
            <w:rPr>
              <w:rFonts w:asciiTheme="minorHAnsi" w:eastAsiaTheme="minorEastAsia" w:hAnsiTheme="minorHAnsi" w:cstheme="minorBidi"/>
              <w:smallCaps w:val="0"/>
              <w:noProof/>
              <w:szCs w:val="18"/>
              <w:lang w:val="es-CR" w:eastAsia="es-CR"/>
            </w:rPr>
          </w:pPr>
          <w:hyperlink w:anchor="_Toc87339023" w:history="1">
            <w:r w:rsidR="00854C38" w:rsidRPr="006F2448">
              <w:rPr>
                <w:rStyle w:val="Hipervnculo"/>
                <w:smallCaps w:val="0"/>
                <w:noProof/>
                <w:szCs w:val="18"/>
              </w:rPr>
              <w:t>D.   Conclusión</w:t>
            </w:r>
            <w:r w:rsidR="00854C38" w:rsidRPr="006F2448">
              <w:rPr>
                <w:smallCaps w:val="0"/>
                <w:noProof/>
                <w:webHidden/>
                <w:szCs w:val="18"/>
              </w:rPr>
              <w:tab/>
            </w:r>
            <w:r w:rsidR="00854C38" w:rsidRPr="006F2448">
              <w:rPr>
                <w:smallCaps w:val="0"/>
                <w:noProof/>
                <w:webHidden/>
                <w:szCs w:val="18"/>
              </w:rPr>
              <w:fldChar w:fldCharType="begin"/>
            </w:r>
            <w:r w:rsidR="00854C38" w:rsidRPr="006F2448">
              <w:rPr>
                <w:smallCaps w:val="0"/>
                <w:noProof/>
                <w:webHidden/>
                <w:szCs w:val="18"/>
              </w:rPr>
              <w:instrText xml:space="preserve"> PAGEREF _Toc87339023 \h </w:instrText>
            </w:r>
            <w:r w:rsidR="00854C38" w:rsidRPr="006F2448">
              <w:rPr>
                <w:smallCaps w:val="0"/>
                <w:noProof/>
                <w:webHidden/>
                <w:szCs w:val="18"/>
              </w:rPr>
            </w:r>
            <w:r w:rsidR="00854C38" w:rsidRPr="006F2448">
              <w:rPr>
                <w:smallCaps w:val="0"/>
                <w:noProof/>
                <w:webHidden/>
                <w:szCs w:val="18"/>
              </w:rPr>
              <w:fldChar w:fldCharType="separate"/>
            </w:r>
            <w:r w:rsidR="000523E3">
              <w:rPr>
                <w:smallCaps w:val="0"/>
                <w:noProof/>
                <w:webHidden/>
                <w:szCs w:val="18"/>
              </w:rPr>
              <w:t>29</w:t>
            </w:r>
            <w:r w:rsidR="00854C38" w:rsidRPr="006F2448">
              <w:rPr>
                <w:smallCaps w:val="0"/>
                <w:noProof/>
                <w:webHidden/>
                <w:szCs w:val="18"/>
              </w:rPr>
              <w:fldChar w:fldCharType="end"/>
            </w:r>
          </w:hyperlink>
        </w:p>
        <w:p w14:paraId="4F06338C" w14:textId="3D2110A8" w:rsidR="00854C38" w:rsidRPr="006F2448" w:rsidRDefault="00112C35" w:rsidP="006F2448">
          <w:pPr>
            <w:pStyle w:val="TDC2"/>
            <w:ind w:left="709"/>
            <w:rPr>
              <w:rFonts w:asciiTheme="minorHAnsi" w:eastAsiaTheme="minorEastAsia" w:hAnsiTheme="minorHAnsi" w:cstheme="minorBidi"/>
              <w:smallCaps w:val="0"/>
              <w:noProof/>
              <w:szCs w:val="18"/>
              <w:lang w:val="es-CR" w:eastAsia="es-CR"/>
            </w:rPr>
          </w:pPr>
          <w:hyperlink w:anchor="_Toc87339024" w:history="1">
            <w:r w:rsidR="00854C38" w:rsidRPr="006F2448">
              <w:rPr>
                <w:rStyle w:val="Hipervnculo"/>
                <w:smallCaps w:val="0"/>
                <w:noProof/>
                <w:szCs w:val="18"/>
              </w:rPr>
              <w:t>E.</w:t>
            </w:r>
            <w:r w:rsidR="00854C38" w:rsidRPr="006F2448">
              <w:rPr>
                <w:rFonts w:asciiTheme="minorHAnsi" w:eastAsiaTheme="minorEastAsia" w:hAnsiTheme="minorHAnsi" w:cstheme="minorBidi"/>
                <w:smallCaps w:val="0"/>
                <w:noProof/>
                <w:szCs w:val="18"/>
                <w:lang w:val="es-CR" w:eastAsia="es-CR"/>
              </w:rPr>
              <w:tab/>
            </w:r>
            <w:r w:rsidR="006F2448">
              <w:rPr>
                <w:rFonts w:asciiTheme="minorHAnsi" w:eastAsiaTheme="minorEastAsia" w:hAnsiTheme="minorHAnsi" w:cstheme="minorBidi"/>
                <w:smallCaps w:val="0"/>
                <w:noProof/>
                <w:szCs w:val="18"/>
                <w:lang w:val="es-CR" w:eastAsia="es-CR"/>
              </w:rPr>
              <w:t xml:space="preserve">    </w:t>
            </w:r>
            <w:r w:rsidR="00854C38" w:rsidRPr="006F2448">
              <w:rPr>
                <w:rStyle w:val="Hipervnculo"/>
                <w:smallCaps w:val="0"/>
                <w:noProof/>
                <w:szCs w:val="18"/>
              </w:rPr>
              <w:t>Recursos interpuestos contra la detención (artículos 7.1, 7.6 y 1.1)</w:t>
            </w:r>
            <w:r w:rsidR="00854C38" w:rsidRPr="006F2448">
              <w:rPr>
                <w:smallCaps w:val="0"/>
                <w:noProof/>
                <w:webHidden/>
                <w:szCs w:val="18"/>
              </w:rPr>
              <w:tab/>
            </w:r>
            <w:r w:rsidR="00854C38" w:rsidRPr="006F2448">
              <w:rPr>
                <w:smallCaps w:val="0"/>
                <w:noProof/>
                <w:webHidden/>
                <w:szCs w:val="18"/>
              </w:rPr>
              <w:fldChar w:fldCharType="begin"/>
            </w:r>
            <w:r w:rsidR="00854C38" w:rsidRPr="006F2448">
              <w:rPr>
                <w:smallCaps w:val="0"/>
                <w:noProof/>
                <w:webHidden/>
                <w:szCs w:val="18"/>
              </w:rPr>
              <w:instrText xml:space="preserve"> PAGEREF _Toc87339024 \h </w:instrText>
            </w:r>
            <w:r w:rsidR="00854C38" w:rsidRPr="006F2448">
              <w:rPr>
                <w:smallCaps w:val="0"/>
                <w:noProof/>
                <w:webHidden/>
                <w:szCs w:val="18"/>
              </w:rPr>
            </w:r>
            <w:r w:rsidR="00854C38" w:rsidRPr="006F2448">
              <w:rPr>
                <w:smallCaps w:val="0"/>
                <w:noProof/>
                <w:webHidden/>
                <w:szCs w:val="18"/>
              </w:rPr>
              <w:fldChar w:fldCharType="separate"/>
            </w:r>
            <w:r w:rsidR="000523E3">
              <w:rPr>
                <w:smallCaps w:val="0"/>
                <w:noProof/>
                <w:webHidden/>
                <w:szCs w:val="18"/>
              </w:rPr>
              <w:t>29</w:t>
            </w:r>
            <w:r w:rsidR="00854C38" w:rsidRPr="006F2448">
              <w:rPr>
                <w:smallCaps w:val="0"/>
                <w:noProof/>
                <w:webHidden/>
                <w:szCs w:val="18"/>
              </w:rPr>
              <w:fldChar w:fldCharType="end"/>
            </w:r>
          </w:hyperlink>
        </w:p>
        <w:p w14:paraId="3BF461D8" w14:textId="761AC9FF" w:rsidR="00854C38" w:rsidRPr="006F2448" w:rsidRDefault="00112C35" w:rsidP="006F2448">
          <w:pPr>
            <w:pStyle w:val="TDC3"/>
            <w:rPr>
              <w:rFonts w:asciiTheme="minorHAnsi" w:eastAsiaTheme="minorEastAsia" w:hAnsiTheme="minorHAnsi" w:cstheme="minorBidi"/>
              <w:sz w:val="18"/>
              <w:szCs w:val="18"/>
              <w:lang w:eastAsia="es-CR"/>
            </w:rPr>
          </w:pPr>
          <w:hyperlink w:anchor="_Toc87339025" w:history="1">
            <w:r w:rsidR="00854C38" w:rsidRPr="006F2448">
              <w:rPr>
                <w:rStyle w:val="Hipervnculo"/>
                <w:i/>
                <w:sz w:val="18"/>
                <w:szCs w:val="18"/>
              </w:rPr>
              <w:t>E.1 Conclusión</w:t>
            </w:r>
            <w:r w:rsidR="00854C38" w:rsidRPr="006F2448">
              <w:rPr>
                <w:webHidden/>
                <w:sz w:val="18"/>
                <w:szCs w:val="18"/>
              </w:rPr>
              <w:tab/>
            </w:r>
            <w:r w:rsidR="00854C38" w:rsidRPr="006F2448">
              <w:rPr>
                <w:webHidden/>
                <w:sz w:val="18"/>
                <w:szCs w:val="18"/>
              </w:rPr>
              <w:fldChar w:fldCharType="begin"/>
            </w:r>
            <w:r w:rsidR="00854C38" w:rsidRPr="006F2448">
              <w:rPr>
                <w:webHidden/>
                <w:sz w:val="18"/>
                <w:szCs w:val="18"/>
              </w:rPr>
              <w:instrText xml:space="preserve"> PAGEREF _Toc87339025 \h </w:instrText>
            </w:r>
            <w:r w:rsidR="00854C38" w:rsidRPr="006F2448">
              <w:rPr>
                <w:webHidden/>
                <w:sz w:val="18"/>
                <w:szCs w:val="18"/>
              </w:rPr>
            </w:r>
            <w:r w:rsidR="00854C38" w:rsidRPr="006F2448">
              <w:rPr>
                <w:webHidden/>
                <w:sz w:val="18"/>
                <w:szCs w:val="18"/>
              </w:rPr>
              <w:fldChar w:fldCharType="separate"/>
            </w:r>
            <w:r w:rsidR="000523E3">
              <w:rPr>
                <w:webHidden/>
                <w:sz w:val="18"/>
                <w:szCs w:val="18"/>
              </w:rPr>
              <w:t>31</w:t>
            </w:r>
            <w:r w:rsidR="00854C38" w:rsidRPr="006F2448">
              <w:rPr>
                <w:webHidden/>
                <w:sz w:val="18"/>
                <w:szCs w:val="18"/>
              </w:rPr>
              <w:fldChar w:fldCharType="end"/>
            </w:r>
          </w:hyperlink>
        </w:p>
        <w:p w14:paraId="295A6919" w14:textId="0FF91044" w:rsidR="00854C38" w:rsidRDefault="00112C35">
          <w:pPr>
            <w:pStyle w:val="TDC1"/>
            <w:rPr>
              <w:rFonts w:asciiTheme="minorHAnsi" w:eastAsiaTheme="minorEastAsia" w:hAnsiTheme="minorHAnsi" w:cstheme="minorBidi"/>
              <w:b w:val="0"/>
              <w:sz w:val="22"/>
              <w:szCs w:val="22"/>
              <w:lang w:eastAsia="es-CR"/>
            </w:rPr>
          </w:pPr>
          <w:hyperlink w:anchor="_Toc87339026" w:history="1">
            <w:r w:rsidR="00854C38" w:rsidRPr="0095106E">
              <w:rPr>
                <w:rStyle w:val="Hipervnculo"/>
              </w:rPr>
              <w:t>VII-2</w:t>
            </w:r>
            <w:r w:rsidR="006F2448">
              <w:rPr>
                <w:rStyle w:val="Hipervnculo"/>
              </w:rPr>
              <w:t xml:space="preserve"> GARANTÍAS JUDICIALES, EN RELACIÓN CON LAS OBLIGACIONES DE RESPETAR Y GARANTIZAR LOS DERECHOS Y EL DEBER DE ADOPTAR DISPOSICIONES DE DERECHO INTERNO DE LA CONVENCIÓN AMERICANA</w:t>
            </w:r>
            <w:r w:rsidR="00854C38">
              <w:rPr>
                <w:webHidden/>
              </w:rPr>
              <w:tab/>
            </w:r>
            <w:r w:rsidR="00854C38">
              <w:rPr>
                <w:webHidden/>
              </w:rPr>
              <w:fldChar w:fldCharType="begin"/>
            </w:r>
            <w:r w:rsidR="00854C38">
              <w:rPr>
                <w:webHidden/>
              </w:rPr>
              <w:instrText xml:space="preserve"> PAGEREF _Toc87339026 \h </w:instrText>
            </w:r>
            <w:r w:rsidR="00854C38">
              <w:rPr>
                <w:webHidden/>
              </w:rPr>
            </w:r>
            <w:r w:rsidR="00854C38">
              <w:rPr>
                <w:webHidden/>
              </w:rPr>
              <w:fldChar w:fldCharType="separate"/>
            </w:r>
            <w:r w:rsidR="000523E3">
              <w:rPr>
                <w:webHidden/>
              </w:rPr>
              <w:t>31</w:t>
            </w:r>
            <w:r w:rsidR="00854C38">
              <w:rPr>
                <w:webHidden/>
              </w:rPr>
              <w:fldChar w:fldCharType="end"/>
            </w:r>
          </w:hyperlink>
        </w:p>
        <w:p w14:paraId="45D8D943" w14:textId="3480100A" w:rsidR="00854C38" w:rsidRPr="006F2448" w:rsidRDefault="00112C35" w:rsidP="006F2448">
          <w:pPr>
            <w:pStyle w:val="TDC2"/>
            <w:ind w:left="709"/>
            <w:rPr>
              <w:rFonts w:asciiTheme="minorHAnsi" w:eastAsiaTheme="minorEastAsia" w:hAnsiTheme="minorHAnsi" w:cstheme="minorBidi"/>
              <w:smallCaps w:val="0"/>
              <w:noProof/>
              <w:szCs w:val="18"/>
              <w:lang w:val="es-CR" w:eastAsia="es-CR"/>
            </w:rPr>
          </w:pPr>
          <w:hyperlink w:anchor="_Toc87339031" w:history="1">
            <w:r w:rsidR="00854C38" w:rsidRPr="006F2448">
              <w:rPr>
                <w:rStyle w:val="Hipervnculo"/>
                <w:smallCaps w:val="0"/>
                <w:noProof/>
                <w:szCs w:val="18"/>
                <w:lang w:val="es-ES"/>
              </w:rPr>
              <w:t>A.</w:t>
            </w:r>
            <w:r w:rsidR="00854C38" w:rsidRPr="006F2448">
              <w:rPr>
                <w:rFonts w:asciiTheme="minorHAnsi" w:eastAsiaTheme="minorEastAsia" w:hAnsiTheme="minorHAnsi" w:cstheme="minorBidi"/>
                <w:smallCaps w:val="0"/>
                <w:noProof/>
                <w:szCs w:val="18"/>
                <w:lang w:val="es-CR" w:eastAsia="es-CR"/>
              </w:rPr>
              <w:tab/>
            </w:r>
            <w:r w:rsidR="00854C38" w:rsidRPr="006F2448">
              <w:rPr>
                <w:rStyle w:val="Hipervnculo"/>
                <w:smallCaps w:val="0"/>
                <w:noProof/>
                <w:szCs w:val="18"/>
                <w:lang w:val="es-ES"/>
              </w:rPr>
              <w:t>Garantías Judiciales</w:t>
            </w:r>
            <w:r w:rsidR="00854C38" w:rsidRPr="006F2448">
              <w:rPr>
                <w:smallCaps w:val="0"/>
                <w:noProof/>
                <w:webHidden/>
                <w:szCs w:val="18"/>
              </w:rPr>
              <w:tab/>
            </w:r>
            <w:r w:rsidR="00854C38" w:rsidRPr="006F2448">
              <w:rPr>
                <w:smallCaps w:val="0"/>
                <w:noProof/>
                <w:webHidden/>
                <w:szCs w:val="18"/>
              </w:rPr>
              <w:fldChar w:fldCharType="begin"/>
            </w:r>
            <w:r w:rsidR="00854C38" w:rsidRPr="006F2448">
              <w:rPr>
                <w:smallCaps w:val="0"/>
                <w:noProof/>
                <w:webHidden/>
                <w:szCs w:val="18"/>
              </w:rPr>
              <w:instrText xml:space="preserve"> PAGEREF _Toc87339031 \h </w:instrText>
            </w:r>
            <w:r w:rsidR="00854C38" w:rsidRPr="006F2448">
              <w:rPr>
                <w:smallCaps w:val="0"/>
                <w:noProof/>
                <w:webHidden/>
                <w:szCs w:val="18"/>
              </w:rPr>
            </w:r>
            <w:r w:rsidR="00854C38" w:rsidRPr="006F2448">
              <w:rPr>
                <w:smallCaps w:val="0"/>
                <w:noProof/>
                <w:webHidden/>
                <w:szCs w:val="18"/>
              </w:rPr>
              <w:fldChar w:fldCharType="separate"/>
            </w:r>
            <w:r w:rsidR="000523E3">
              <w:rPr>
                <w:smallCaps w:val="0"/>
                <w:noProof/>
                <w:webHidden/>
                <w:szCs w:val="18"/>
              </w:rPr>
              <w:t>31</w:t>
            </w:r>
            <w:r w:rsidR="00854C38" w:rsidRPr="006F2448">
              <w:rPr>
                <w:smallCaps w:val="0"/>
                <w:noProof/>
                <w:webHidden/>
                <w:szCs w:val="18"/>
              </w:rPr>
              <w:fldChar w:fldCharType="end"/>
            </w:r>
          </w:hyperlink>
        </w:p>
        <w:p w14:paraId="2B13BDAD" w14:textId="416CC0B8" w:rsidR="00854C38" w:rsidRPr="006F2448" w:rsidRDefault="00112C35" w:rsidP="006F2448">
          <w:pPr>
            <w:pStyle w:val="TDC3"/>
            <w:rPr>
              <w:rFonts w:asciiTheme="minorHAnsi" w:eastAsiaTheme="minorEastAsia" w:hAnsiTheme="minorHAnsi" w:cstheme="minorBidi"/>
              <w:sz w:val="18"/>
              <w:szCs w:val="18"/>
              <w:lang w:eastAsia="es-CR"/>
            </w:rPr>
          </w:pPr>
          <w:hyperlink w:anchor="_Toc87339032" w:history="1">
            <w:r w:rsidR="00854C38" w:rsidRPr="006F2448">
              <w:rPr>
                <w:rStyle w:val="Hipervnculo"/>
                <w:i/>
                <w:sz w:val="18"/>
                <w:szCs w:val="18"/>
              </w:rPr>
              <w:t>A.1 Argumentos de las partes y la Comisión</w:t>
            </w:r>
            <w:r w:rsidR="00854C38" w:rsidRPr="006F2448">
              <w:rPr>
                <w:webHidden/>
                <w:sz w:val="18"/>
                <w:szCs w:val="18"/>
              </w:rPr>
              <w:tab/>
            </w:r>
            <w:r w:rsidR="00854C38" w:rsidRPr="006F2448">
              <w:rPr>
                <w:webHidden/>
                <w:sz w:val="18"/>
                <w:szCs w:val="18"/>
              </w:rPr>
              <w:fldChar w:fldCharType="begin"/>
            </w:r>
            <w:r w:rsidR="00854C38" w:rsidRPr="006F2448">
              <w:rPr>
                <w:webHidden/>
                <w:sz w:val="18"/>
                <w:szCs w:val="18"/>
              </w:rPr>
              <w:instrText xml:space="preserve"> PAGEREF _Toc87339032 \h </w:instrText>
            </w:r>
            <w:r w:rsidR="00854C38" w:rsidRPr="006F2448">
              <w:rPr>
                <w:webHidden/>
                <w:sz w:val="18"/>
                <w:szCs w:val="18"/>
              </w:rPr>
            </w:r>
            <w:r w:rsidR="00854C38" w:rsidRPr="006F2448">
              <w:rPr>
                <w:webHidden/>
                <w:sz w:val="18"/>
                <w:szCs w:val="18"/>
              </w:rPr>
              <w:fldChar w:fldCharType="separate"/>
            </w:r>
            <w:r w:rsidR="000523E3">
              <w:rPr>
                <w:webHidden/>
                <w:sz w:val="18"/>
                <w:szCs w:val="18"/>
              </w:rPr>
              <w:t>32</w:t>
            </w:r>
            <w:r w:rsidR="00854C38" w:rsidRPr="006F2448">
              <w:rPr>
                <w:webHidden/>
                <w:sz w:val="18"/>
                <w:szCs w:val="18"/>
              </w:rPr>
              <w:fldChar w:fldCharType="end"/>
            </w:r>
          </w:hyperlink>
        </w:p>
        <w:p w14:paraId="2F6063A0" w14:textId="62AA741B" w:rsidR="00854C38" w:rsidRPr="006F2448" w:rsidRDefault="00112C35" w:rsidP="006F2448">
          <w:pPr>
            <w:pStyle w:val="TDC3"/>
            <w:rPr>
              <w:rFonts w:asciiTheme="minorHAnsi" w:eastAsiaTheme="minorEastAsia" w:hAnsiTheme="minorHAnsi" w:cstheme="minorBidi"/>
              <w:sz w:val="18"/>
              <w:szCs w:val="18"/>
              <w:lang w:eastAsia="es-CR"/>
            </w:rPr>
          </w:pPr>
          <w:hyperlink w:anchor="_Toc87339033" w:history="1">
            <w:r w:rsidR="00854C38" w:rsidRPr="006F2448">
              <w:rPr>
                <w:rStyle w:val="Hipervnculo"/>
                <w:i/>
                <w:sz w:val="18"/>
                <w:szCs w:val="18"/>
              </w:rPr>
              <w:t>A.2 Consideraciones de la Corte</w:t>
            </w:r>
            <w:r w:rsidR="00854C38" w:rsidRPr="006F2448">
              <w:rPr>
                <w:webHidden/>
                <w:sz w:val="18"/>
                <w:szCs w:val="18"/>
              </w:rPr>
              <w:tab/>
            </w:r>
            <w:r w:rsidR="00854C38" w:rsidRPr="006F2448">
              <w:rPr>
                <w:webHidden/>
                <w:sz w:val="18"/>
                <w:szCs w:val="18"/>
              </w:rPr>
              <w:fldChar w:fldCharType="begin"/>
            </w:r>
            <w:r w:rsidR="00854C38" w:rsidRPr="006F2448">
              <w:rPr>
                <w:webHidden/>
                <w:sz w:val="18"/>
                <w:szCs w:val="18"/>
              </w:rPr>
              <w:instrText xml:space="preserve"> PAGEREF _Toc87339033 \h </w:instrText>
            </w:r>
            <w:r w:rsidR="00854C38" w:rsidRPr="006F2448">
              <w:rPr>
                <w:webHidden/>
                <w:sz w:val="18"/>
                <w:szCs w:val="18"/>
              </w:rPr>
            </w:r>
            <w:r w:rsidR="00854C38" w:rsidRPr="006F2448">
              <w:rPr>
                <w:webHidden/>
                <w:sz w:val="18"/>
                <w:szCs w:val="18"/>
              </w:rPr>
              <w:fldChar w:fldCharType="separate"/>
            </w:r>
            <w:r w:rsidR="000523E3">
              <w:rPr>
                <w:webHidden/>
                <w:sz w:val="18"/>
                <w:szCs w:val="18"/>
              </w:rPr>
              <w:t>34</w:t>
            </w:r>
            <w:r w:rsidR="00854C38" w:rsidRPr="006F2448">
              <w:rPr>
                <w:webHidden/>
                <w:sz w:val="18"/>
                <w:szCs w:val="18"/>
              </w:rPr>
              <w:fldChar w:fldCharType="end"/>
            </w:r>
          </w:hyperlink>
        </w:p>
        <w:p w14:paraId="1FDAB96F" w14:textId="4E443107" w:rsidR="00854C38" w:rsidRPr="006F2448" w:rsidRDefault="00112C35" w:rsidP="006F2448">
          <w:pPr>
            <w:pStyle w:val="TDC3"/>
            <w:rPr>
              <w:rFonts w:asciiTheme="minorHAnsi" w:eastAsiaTheme="minorEastAsia" w:hAnsiTheme="minorHAnsi" w:cstheme="minorBidi"/>
              <w:sz w:val="18"/>
              <w:szCs w:val="18"/>
              <w:lang w:eastAsia="es-CR"/>
            </w:rPr>
          </w:pPr>
          <w:hyperlink w:anchor="_Toc87339034" w:history="1">
            <w:r w:rsidR="00854C38" w:rsidRPr="006F2448">
              <w:rPr>
                <w:rStyle w:val="Hipervnculo"/>
                <w:i/>
                <w:sz w:val="18"/>
                <w:szCs w:val="18"/>
              </w:rPr>
              <w:t>A.3. Conclusión</w:t>
            </w:r>
            <w:r w:rsidR="00854C38" w:rsidRPr="006F2448">
              <w:rPr>
                <w:webHidden/>
                <w:sz w:val="18"/>
                <w:szCs w:val="18"/>
              </w:rPr>
              <w:tab/>
            </w:r>
            <w:r w:rsidR="00854C38" w:rsidRPr="006F2448">
              <w:rPr>
                <w:webHidden/>
                <w:sz w:val="18"/>
                <w:szCs w:val="18"/>
              </w:rPr>
              <w:fldChar w:fldCharType="begin"/>
            </w:r>
            <w:r w:rsidR="00854C38" w:rsidRPr="006F2448">
              <w:rPr>
                <w:webHidden/>
                <w:sz w:val="18"/>
                <w:szCs w:val="18"/>
              </w:rPr>
              <w:instrText xml:space="preserve"> PAGEREF _Toc87339034 \h </w:instrText>
            </w:r>
            <w:r w:rsidR="00854C38" w:rsidRPr="006F2448">
              <w:rPr>
                <w:webHidden/>
                <w:sz w:val="18"/>
                <w:szCs w:val="18"/>
              </w:rPr>
            </w:r>
            <w:r w:rsidR="00854C38" w:rsidRPr="006F2448">
              <w:rPr>
                <w:webHidden/>
                <w:sz w:val="18"/>
                <w:szCs w:val="18"/>
              </w:rPr>
              <w:fldChar w:fldCharType="separate"/>
            </w:r>
            <w:r w:rsidR="000523E3">
              <w:rPr>
                <w:webHidden/>
                <w:sz w:val="18"/>
                <w:szCs w:val="18"/>
              </w:rPr>
              <w:t>38</w:t>
            </w:r>
            <w:r w:rsidR="00854C38" w:rsidRPr="006F2448">
              <w:rPr>
                <w:webHidden/>
                <w:sz w:val="18"/>
                <w:szCs w:val="18"/>
              </w:rPr>
              <w:fldChar w:fldCharType="end"/>
            </w:r>
          </w:hyperlink>
        </w:p>
        <w:p w14:paraId="250895AB" w14:textId="5A48852B" w:rsidR="00854C38" w:rsidRPr="006F2448" w:rsidRDefault="00112C35" w:rsidP="006F2448">
          <w:pPr>
            <w:pStyle w:val="TDC2"/>
            <w:ind w:left="709"/>
            <w:rPr>
              <w:rFonts w:asciiTheme="minorHAnsi" w:eastAsiaTheme="minorEastAsia" w:hAnsiTheme="minorHAnsi" w:cstheme="minorBidi"/>
              <w:smallCaps w:val="0"/>
              <w:noProof/>
              <w:szCs w:val="18"/>
              <w:lang w:val="es-CR" w:eastAsia="es-CR"/>
            </w:rPr>
          </w:pPr>
          <w:hyperlink w:anchor="_Toc87339035" w:history="1">
            <w:r w:rsidR="00854C38" w:rsidRPr="006F2448">
              <w:rPr>
                <w:rStyle w:val="Hipervnculo"/>
                <w:smallCaps w:val="0"/>
                <w:noProof/>
                <w:szCs w:val="18"/>
              </w:rPr>
              <w:t>B. Procesos indemnizatorios</w:t>
            </w:r>
            <w:r w:rsidR="00854C38" w:rsidRPr="006F2448">
              <w:rPr>
                <w:smallCaps w:val="0"/>
                <w:noProof/>
                <w:webHidden/>
                <w:szCs w:val="18"/>
              </w:rPr>
              <w:tab/>
            </w:r>
            <w:r w:rsidR="00854C38" w:rsidRPr="006F2448">
              <w:rPr>
                <w:smallCaps w:val="0"/>
                <w:noProof/>
                <w:webHidden/>
                <w:szCs w:val="18"/>
              </w:rPr>
              <w:fldChar w:fldCharType="begin"/>
            </w:r>
            <w:r w:rsidR="00854C38" w:rsidRPr="006F2448">
              <w:rPr>
                <w:smallCaps w:val="0"/>
                <w:noProof/>
                <w:webHidden/>
                <w:szCs w:val="18"/>
              </w:rPr>
              <w:instrText xml:space="preserve"> PAGEREF _Toc87339035 \h </w:instrText>
            </w:r>
            <w:r w:rsidR="00854C38" w:rsidRPr="006F2448">
              <w:rPr>
                <w:smallCaps w:val="0"/>
                <w:noProof/>
                <w:webHidden/>
                <w:szCs w:val="18"/>
              </w:rPr>
            </w:r>
            <w:r w:rsidR="00854C38" w:rsidRPr="006F2448">
              <w:rPr>
                <w:smallCaps w:val="0"/>
                <w:noProof/>
                <w:webHidden/>
                <w:szCs w:val="18"/>
              </w:rPr>
              <w:fldChar w:fldCharType="separate"/>
            </w:r>
            <w:r w:rsidR="000523E3">
              <w:rPr>
                <w:smallCaps w:val="0"/>
                <w:noProof/>
                <w:webHidden/>
                <w:szCs w:val="18"/>
              </w:rPr>
              <w:t>38</w:t>
            </w:r>
            <w:r w:rsidR="00854C38" w:rsidRPr="006F2448">
              <w:rPr>
                <w:smallCaps w:val="0"/>
                <w:noProof/>
                <w:webHidden/>
                <w:szCs w:val="18"/>
              </w:rPr>
              <w:fldChar w:fldCharType="end"/>
            </w:r>
          </w:hyperlink>
        </w:p>
        <w:p w14:paraId="55627964" w14:textId="78BFD161" w:rsidR="00854C38" w:rsidRPr="006F2448" w:rsidRDefault="00112C35" w:rsidP="006F2448">
          <w:pPr>
            <w:pStyle w:val="TDC3"/>
            <w:rPr>
              <w:rFonts w:asciiTheme="minorHAnsi" w:eastAsiaTheme="minorEastAsia" w:hAnsiTheme="minorHAnsi" w:cstheme="minorBidi"/>
              <w:sz w:val="18"/>
              <w:szCs w:val="18"/>
              <w:lang w:eastAsia="es-CR"/>
            </w:rPr>
          </w:pPr>
          <w:hyperlink w:anchor="_Toc87339036" w:history="1">
            <w:r w:rsidR="00854C38" w:rsidRPr="006F2448">
              <w:rPr>
                <w:rStyle w:val="Hipervnculo"/>
                <w:i/>
                <w:sz w:val="18"/>
                <w:szCs w:val="18"/>
              </w:rPr>
              <w:t>B.1. Argumentos de las partes y la Comisión</w:t>
            </w:r>
            <w:r w:rsidR="00854C38" w:rsidRPr="006F2448">
              <w:rPr>
                <w:webHidden/>
                <w:sz w:val="18"/>
                <w:szCs w:val="18"/>
              </w:rPr>
              <w:tab/>
            </w:r>
            <w:r w:rsidR="00854C38" w:rsidRPr="006F2448">
              <w:rPr>
                <w:webHidden/>
                <w:sz w:val="18"/>
                <w:szCs w:val="18"/>
              </w:rPr>
              <w:fldChar w:fldCharType="begin"/>
            </w:r>
            <w:r w:rsidR="00854C38" w:rsidRPr="006F2448">
              <w:rPr>
                <w:webHidden/>
                <w:sz w:val="18"/>
                <w:szCs w:val="18"/>
              </w:rPr>
              <w:instrText xml:space="preserve"> PAGEREF _Toc87339036 \h </w:instrText>
            </w:r>
            <w:r w:rsidR="00854C38" w:rsidRPr="006F2448">
              <w:rPr>
                <w:webHidden/>
                <w:sz w:val="18"/>
                <w:szCs w:val="18"/>
              </w:rPr>
            </w:r>
            <w:r w:rsidR="00854C38" w:rsidRPr="006F2448">
              <w:rPr>
                <w:webHidden/>
                <w:sz w:val="18"/>
                <w:szCs w:val="18"/>
              </w:rPr>
              <w:fldChar w:fldCharType="separate"/>
            </w:r>
            <w:r w:rsidR="000523E3">
              <w:rPr>
                <w:webHidden/>
                <w:sz w:val="18"/>
                <w:szCs w:val="18"/>
              </w:rPr>
              <w:t>38</w:t>
            </w:r>
            <w:r w:rsidR="00854C38" w:rsidRPr="006F2448">
              <w:rPr>
                <w:webHidden/>
                <w:sz w:val="18"/>
                <w:szCs w:val="18"/>
              </w:rPr>
              <w:fldChar w:fldCharType="end"/>
            </w:r>
          </w:hyperlink>
        </w:p>
        <w:p w14:paraId="3DD7DAFA" w14:textId="6215448F" w:rsidR="00854C38" w:rsidRPr="006F2448" w:rsidRDefault="00112C35" w:rsidP="006F2448">
          <w:pPr>
            <w:pStyle w:val="TDC3"/>
            <w:rPr>
              <w:rFonts w:asciiTheme="minorHAnsi" w:eastAsiaTheme="minorEastAsia" w:hAnsiTheme="minorHAnsi" w:cstheme="minorBidi"/>
              <w:sz w:val="18"/>
              <w:szCs w:val="18"/>
              <w:lang w:eastAsia="es-CR"/>
            </w:rPr>
          </w:pPr>
          <w:hyperlink w:anchor="_Toc87339037" w:history="1">
            <w:r w:rsidR="00854C38" w:rsidRPr="006F2448">
              <w:rPr>
                <w:rStyle w:val="Hipervnculo"/>
                <w:i/>
                <w:sz w:val="18"/>
                <w:szCs w:val="18"/>
              </w:rPr>
              <w:t>B.2. Consideraciones de la Corte</w:t>
            </w:r>
            <w:r w:rsidR="00854C38" w:rsidRPr="006F2448">
              <w:rPr>
                <w:webHidden/>
                <w:sz w:val="18"/>
                <w:szCs w:val="18"/>
              </w:rPr>
              <w:tab/>
            </w:r>
            <w:r w:rsidR="00854C38" w:rsidRPr="006F2448">
              <w:rPr>
                <w:webHidden/>
                <w:sz w:val="18"/>
                <w:szCs w:val="18"/>
              </w:rPr>
              <w:fldChar w:fldCharType="begin"/>
            </w:r>
            <w:r w:rsidR="00854C38" w:rsidRPr="006F2448">
              <w:rPr>
                <w:webHidden/>
                <w:sz w:val="18"/>
                <w:szCs w:val="18"/>
              </w:rPr>
              <w:instrText xml:space="preserve"> PAGEREF _Toc87339037 \h </w:instrText>
            </w:r>
            <w:r w:rsidR="00854C38" w:rsidRPr="006F2448">
              <w:rPr>
                <w:webHidden/>
                <w:sz w:val="18"/>
                <w:szCs w:val="18"/>
              </w:rPr>
            </w:r>
            <w:r w:rsidR="00854C38" w:rsidRPr="006F2448">
              <w:rPr>
                <w:webHidden/>
                <w:sz w:val="18"/>
                <w:szCs w:val="18"/>
              </w:rPr>
              <w:fldChar w:fldCharType="separate"/>
            </w:r>
            <w:r w:rsidR="000523E3">
              <w:rPr>
                <w:webHidden/>
                <w:sz w:val="18"/>
                <w:szCs w:val="18"/>
              </w:rPr>
              <w:t>39</w:t>
            </w:r>
            <w:r w:rsidR="00854C38" w:rsidRPr="006F2448">
              <w:rPr>
                <w:webHidden/>
                <w:sz w:val="18"/>
                <w:szCs w:val="18"/>
              </w:rPr>
              <w:fldChar w:fldCharType="end"/>
            </w:r>
          </w:hyperlink>
        </w:p>
        <w:p w14:paraId="1CF88702" w14:textId="0228A25D" w:rsidR="00854C38" w:rsidRDefault="00112C35">
          <w:pPr>
            <w:pStyle w:val="TDC1"/>
            <w:rPr>
              <w:rFonts w:asciiTheme="minorHAnsi" w:eastAsiaTheme="minorEastAsia" w:hAnsiTheme="minorHAnsi" w:cstheme="minorBidi"/>
              <w:b w:val="0"/>
              <w:sz w:val="22"/>
              <w:szCs w:val="22"/>
              <w:lang w:eastAsia="es-CR"/>
            </w:rPr>
          </w:pPr>
          <w:hyperlink w:anchor="_Toc87339038" w:history="1">
            <w:r w:rsidR="00854C38" w:rsidRPr="0095106E">
              <w:rPr>
                <w:rStyle w:val="Hipervnculo"/>
              </w:rPr>
              <w:t>VIII</w:t>
            </w:r>
            <w:r w:rsidR="003F6924">
              <w:rPr>
                <w:rStyle w:val="Hipervnculo"/>
              </w:rPr>
              <w:t>.</w:t>
            </w:r>
            <w:r w:rsidR="00854C38" w:rsidRPr="0095106E">
              <w:rPr>
                <w:rStyle w:val="Hipervnculo"/>
              </w:rPr>
              <w:t xml:space="preserve"> REPARACIONES (Aplicación del artículo 63.1 de la Convención Americana)</w:t>
            </w:r>
            <w:r w:rsidR="00854C38">
              <w:rPr>
                <w:webHidden/>
              </w:rPr>
              <w:tab/>
            </w:r>
            <w:r w:rsidR="00854C38">
              <w:rPr>
                <w:webHidden/>
              </w:rPr>
              <w:fldChar w:fldCharType="begin"/>
            </w:r>
            <w:r w:rsidR="00854C38">
              <w:rPr>
                <w:webHidden/>
              </w:rPr>
              <w:instrText xml:space="preserve"> PAGEREF _Toc87339038 \h </w:instrText>
            </w:r>
            <w:r w:rsidR="00854C38">
              <w:rPr>
                <w:webHidden/>
              </w:rPr>
            </w:r>
            <w:r w:rsidR="00854C38">
              <w:rPr>
                <w:webHidden/>
              </w:rPr>
              <w:fldChar w:fldCharType="separate"/>
            </w:r>
            <w:r w:rsidR="000523E3">
              <w:rPr>
                <w:webHidden/>
              </w:rPr>
              <w:t>40</w:t>
            </w:r>
            <w:r w:rsidR="00854C38">
              <w:rPr>
                <w:webHidden/>
              </w:rPr>
              <w:fldChar w:fldCharType="end"/>
            </w:r>
          </w:hyperlink>
        </w:p>
        <w:p w14:paraId="05601792" w14:textId="796B6E82" w:rsidR="00854C38" w:rsidRPr="006F2448" w:rsidRDefault="00112C35" w:rsidP="006F2448">
          <w:pPr>
            <w:pStyle w:val="TDC2"/>
            <w:ind w:left="709"/>
            <w:rPr>
              <w:rFonts w:asciiTheme="minorHAnsi" w:eastAsiaTheme="minorEastAsia" w:hAnsiTheme="minorHAnsi" w:cstheme="minorBidi"/>
              <w:smallCaps w:val="0"/>
              <w:noProof/>
              <w:szCs w:val="18"/>
              <w:lang w:val="es-CR" w:eastAsia="es-CR"/>
            </w:rPr>
          </w:pPr>
          <w:hyperlink w:anchor="_Toc87339039" w:history="1">
            <w:r w:rsidR="00854C38" w:rsidRPr="006F2448">
              <w:rPr>
                <w:rStyle w:val="Hipervnculo"/>
                <w:smallCaps w:val="0"/>
                <w:noProof/>
                <w:szCs w:val="18"/>
                <w:lang w:eastAsia="es-ES"/>
              </w:rPr>
              <w:t>A. Parte Lesionada</w:t>
            </w:r>
            <w:r w:rsidR="00854C38" w:rsidRPr="006F2448">
              <w:rPr>
                <w:smallCaps w:val="0"/>
                <w:noProof/>
                <w:webHidden/>
                <w:szCs w:val="18"/>
              </w:rPr>
              <w:tab/>
            </w:r>
            <w:r w:rsidR="00854C38" w:rsidRPr="006F2448">
              <w:rPr>
                <w:smallCaps w:val="0"/>
                <w:noProof/>
                <w:webHidden/>
                <w:szCs w:val="18"/>
              </w:rPr>
              <w:fldChar w:fldCharType="begin"/>
            </w:r>
            <w:r w:rsidR="00854C38" w:rsidRPr="006F2448">
              <w:rPr>
                <w:smallCaps w:val="0"/>
                <w:noProof/>
                <w:webHidden/>
                <w:szCs w:val="18"/>
              </w:rPr>
              <w:instrText xml:space="preserve"> PAGEREF _Toc87339039 \h </w:instrText>
            </w:r>
            <w:r w:rsidR="00854C38" w:rsidRPr="006F2448">
              <w:rPr>
                <w:smallCaps w:val="0"/>
                <w:noProof/>
                <w:webHidden/>
                <w:szCs w:val="18"/>
              </w:rPr>
            </w:r>
            <w:r w:rsidR="00854C38" w:rsidRPr="006F2448">
              <w:rPr>
                <w:smallCaps w:val="0"/>
                <w:noProof/>
                <w:webHidden/>
                <w:szCs w:val="18"/>
              </w:rPr>
              <w:fldChar w:fldCharType="separate"/>
            </w:r>
            <w:r w:rsidR="000523E3">
              <w:rPr>
                <w:smallCaps w:val="0"/>
                <w:noProof/>
                <w:webHidden/>
                <w:szCs w:val="18"/>
              </w:rPr>
              <w:t>40</w:t>
            </w:r>
            <w:r w:rsidR="00854C38" w:rsidRPr="006F2448">
              <w:rPr>
                <w:smallCaps w:val="0"/>
                <w:noProof/>
                <w:webHidden/>
                <w:szCs w:val="18"/>
              </w:rPr>
              <w:fldChar w:fldCharType="end"/>
            </w:r>
          </w:hyperlink>
        </w:p>
        <w:p w14:paraId="5274E639" w14:textId="7F25E16E" w:rsidR="00854C38" w:rsidRPr="006F2448" w:rsidRDefault="00112C35" w:rsidP="006F2448">
          <w:pPr>
            <w:pStyle w:val="TDC2"/>
            <w:ind w:left="709"/>
            <w:rPr>
              <w:rFonts w:asciiTheme="minorHAnsi" w:eastAsiaTheme="minorEastAsia" w:hAnsiTheme="minorHAnsi" w:cstheme="minorBidi"/>
              <w:smallCaps w:val="0"/>
              <w:noProof/>
              <w:szCs w:val="18"/>
              <w:lang w:val="es-CR" w:eastAsia="es-CR"/>
            </w:rPr>
          </w:pPr>
          <w:hyperlink w:anchor="_Toc87339040" w:history="1">
            <w:r w:rsidR="00854C38" w:rsidRPr="006F2448">
              <w:rPr>
                <w:rStyle w:val="Hipervnculo"/>
                <w:smallCaps w:val="0"/>
                <w:noProof/>
                <w:szCs w:val="18"/>
                <w:lang w:val="es-MX"/>
              </w:rPr>
              <w:t>B.</w:t>
            </w:r>
            <w:r w:rsidR="00854C38" w:rsidRPr="006F2448">
              <w:rPr>
                <w:rFonts w:asciiTheme="minorHAnsi" w:eastAsiaTheme="minorEastAsia" w:hAnsiTheme="minorHAnsi" w:cstheme="minorBidi"/>
                <w:smallCaps w:val="0"/>
                <w:noProof/>
                <w:szCs w:val="18"/>
                <w:lang w:val="es-CR" w:eastAsia="es-CR"/>
              </w:rPr>
              <w:tab/>
            </w:r>
            <w:r w:rsidR="00854C38" w:rsidRPr="006F2448">
              <w:rPr>
                <w:rStyle w:val="Hipervnculo"/>
                <w:smallCaps w:val="0"/>
                <w:noProof/>
                <w:szCs w:val="18"/>
                <w:lang w:val="es-MX"/>
              </w:rPr>
              <w:t>Medidas de satisfacción</w:t>
            </w:r>
            <w:r w:rsidR="00854C38" w:rsidRPr="006F2448">
              <w:rPr>
                <w:smallCaps w:val="0"/>
                <w:noProof/>
                <w:webHidden/>
                <w:szCs w:val="18"/>
              </w:rPr>
              <w:tab/>
            </w:r>
            <w:r w:rsidR="00854C38" w:rsidRPr="006F2448">
              <w:rPr>
                <w:smallCaps w:val="0"/>
                <w:noProof/>
                <w:webHidden/>
                <w:szCs w:val="18"/>
              </w:rPr>
              <w:fldChar w:fldCharType="begin"/>
            </w:r>
            <w:r w:rsidR="00854C38" w:rsidRPr="006F2448">
              <w:rPr>
                <w:smallCaps w:val="0"/>
                <w:noProof/>
                <w:webHidden/>
                <w:szCs w:val="18"/>
              </w:rPr>
              <w:instrText xml:space="preserve"> PAGEREF _Toc87339040 \h </w:instrText>
            </w:r>
            <w:r w:rsidR="00854C38" w:rsidRPr="006F2448">
              <w:rPr>
                <w:smallCaps w:val="0"/>
                <w:noProof/>
                <w:webHidden/>
                <w:szCs w:val="18"/>
              </w:rPr>
            </w:r>
            <w:r w:rsidR="00854C38" w:rsidRPr="006F2448">
              <w:rPr>
                <w:smallCaps w:val="0"/>
                <w:noProof/>
                <w:webHidden/>
                <w:szCs w:val="18"/>
              </w:rPr>
              <w:fldChar w:fldCharType="separate"/>
            </w:r>
            <w:r w:rsidR="000523E3">
              <w:rPr>
                <w:smallCaps w:val="0"/>
                <w:noProof/>
                <w:webHidden/>
                <w:szCs w:val="18"/>
              </w:rPr>
              <w:t>40</w:t>
            </w:r>
            <w:r w:rsidR="00854C38" w:rsidRPr="006F2448">
              <w:rPr>
                <w:smallCaps w:val="0"/>
                <w:noProof/>
                <w:webHidden/>
                <w:szCs w:val="18"/>
              </w:rPr>
              <w:fldChar w:fldCharType="end"/>
            </w:r>
          </w:hyperlink>
        </w:p>
        <w:p w14:paraId="69B0FCA9" w14:textId="7EA4823E" w:rsidR="00854C38" w:rsidRPr="006F2448" w:rsidRDefault="00112C35" w:rsidP="006F2448">
          <w:pPr>
            <w:pStyle w:val="TDC2"/>
            <w:ind w:left="709"/>
            <w:rPr>
              <w:rFonts w:asciiTheme="minorHAnsi" w:eastAsiaTheme="minorEastAsia" w:hAnsiTheme="minorHAnsi" w:cstheme="minorBidi"/>
              <w:smallCaps w:val="0"/>
              <w:noProof/>
              <w:szCs w:val="18"/>
              <w:lang w:val="es-CR" w:eastAsia="es-CR"/>
            </w:rPr>
          </w:pPr>
          <w:hyperlink w:anchor="_Toc87339041" w:history="1">
            <w:r w:rsidR="00854C38" w:rsidRPr="006F2448">
              <w:rPr>
                <w:rStyle w:val="Hipervnculo"/>
                <w:smallCaps w:val="0"/>
                <w:noProof/>
                <w:szCs w:val="18"/>
                <w:lang w:val="es-MX"/>
              </w:rPr>
              <w:t>C.</w:t>
            </w:r>
            <w:r w:rsidR="00854C38" w:rsidRPr="006F2448">
              <w:rPr>
                <w:rFonts w:asciiTheme="minorHAnsi" w:eastAsiaTheme="minorEastAsia" w:hAnsiTheme="minorHAnsi" w:cstheme="minorBidi"/>
                <w:smallCaps w:val="0"/>
                <w:noProof/>
                <w:szCs w:val="18"/>
                <w:lang w:val="es-CR" w:eastAsia="es-CR"/>
              </w:rPr>
              <w:tab/>
            </w:r>
            <w:r w:rsidR="00854C38" w:rsidRPr="006F2448">
              <w:rPr>
                <w:rStyle w:val="Hipervnculo"/>
                <w:smallCaps w:val="0"/>
                <w:noProof/>
                <w:szCs w:val="18"/>
                <w:lang w:val="es-MX"/>
              </w:rPr>
              <w:t>Otras medidas</w:t>
            </w:r>
            <w:r w:rsidR="00854C38" w:rsidRPr="006F2448">
              <w:rPr>
                <w:smallCaps w:val="0"/>
                <w:noProof/>
                <w:webHidden/>
                <w:szCs w:val="18"/>
              </w:rPr>
              <w:tab/>
            </w:r>
            <w:r w:rsidR="00854C38" w:rsidRPr="006F2448">
              <w:rPr>
                <w:smallCaps w:val="0"/>
                <w:noProof/>
                <w:webHidden/>
                <w:szCs w:val="18"/>
              </w:rPr>
              <w:fldChar w:fldCharType="begin"/>
            </w:r>
            <w:r w:rsidR="00854C38" w:rsidRPr="006F2448">
              <w:rPr>
                <w:smallCaps w:val="0"/>
                <w:noProof/>
                <w:webHidden/>
                <w:szCs w:val="18"/>
              </w:rPr>
              <w:instrText xml:space="preserve"> PAGEREF _Toc87339041 \h </w:instrText>
            </w:r>
            <w:r w:rsidR="00854C38" w:rsidRPr="006F2448">
              <w:rPr>
                <w:smallCaps w:val="0"/>
                <w:noProof/>
                <w:webHidden/>
                <w:szCs w:val="18"/>
              </w:rPr>
            </w:r>
            <w:r w:rsidR="00854C38" w:rsidRPr="006F2448">
              <w:rPr>
                <w:smallCaps w:val="0"/>
                <w:noProof/>
                <w:webHidden/>
                <w:szCs w:val="18"/>
              </w:rPr>
              <w:fldChar w:fldCharType="separate"/>
            </w:r>
            <w:r w:rsidR="000523E3">
              <w:rPr>
                <w:smallCaps w:val="0"/>
                <w:noProof/>
                <w:webHidden/>
                <w:szCs w:val="18"/>
              </w:rPr>
              <w:t>41</w:t>
            </w:r>
            <w:r w:rsidR="00854C38" w:rsidRPr="006F2448">
              <w:rPr>
                <w:smallCaps w:val="0"/>
                <w:noProof/>
                <w:webHidden/>
                <w:szCs w:val="18"/>
              </w:rPr>
              <w:fldChar w:fldCharType="end"/>
            </w:r>
          </w:hyperlink>
        </w:p>
        <w:p w14:paraId="45D9C512" w14:textId="211FB3CE" w:rsidR="00854C38" w:rsidRPr="006F2448" w:rsidRDefault="00112C35" w:rsidP="006F2448">
          <w:pPr>
            <w:pStyle w:val="TDC2"/>
            <w:ind w:left="709"/>
            <w:rPr>
              <w:rFonts w:asciiTheme="minorHAnsi" w:eastAsiaTheme="minorEastAsia" w:hAnsiTheme="minorHAnsi" w:cstheme="minorBidi"/>
              <w:smallCaps w:val="0"/>
              <w:noProof/>
              <w:szCs w:val="18"/>
              <w:lang w:val="es-CR" w:eastAsia="es-CR"/>
            </w:rPr>
          </w:pPr>
          <w:hyperlink w:anchor="_Toc87339042" w:history="1">
            <w:r w:rsidR="00854C38" w:rsidRPr="006F2448">
              <w:rPr>
                <w:rStyle w:val="Hipervnculo"/>
                <w:smallCaps w:val="0"/>
                <w:noProof/>
                <w:szCs w:val="18"/>
                <w:lang w:val="es-MX"/>
              </w:rPr>
              <w:t>D.</w:t>
            </w:r>
            <w:r w:rsidR="00854C38" w:rsidRPr="006F2448">
              <w:rPr>
                <w:rFonts w:asciiTheme="minorHAnsi" w:eastAsiaTheme="minorEastAsia" w:hAnsiTheme="minorHAnsi" w:cstheme="minorBidi"/>
                <w:smallCaps w:val="0"/>
                <w:noProof/>
                <w:szCs w:val="18"/>
                <w:lang w:val="es-CR" w:eastAsia="es-CR"/>
              </w:rPr>
              <w:tab/>
            </w:r>
            <w:r w:rsidR="00854C38" w:rsidRPr="006F2448">
              <w:rPr>
                <w:rStyle w:val="Hipervnculo"/>
                <w:smallCaps w:val="0"/>
                <w:noProof/>
                <w:szCs w:val="18"/>
                <w:lang w:val="es-MX"/>
              </w:rPr>
              <w:t>Indemnización compensatoria</w:t>
            </w:r>
            <w:r w:rsidR="00854C38" w:rsidRPr="006F2448">
              <w:rPr>
                <w:smallCaps w:val="0"/>
                <w:noProof/>
                <w:webHidden/>
                <w:szCs w:val="18"/>
              </w:rPr>
              <w:tab/>
            </w:r>
            <w:r w:rsidR="00854C38" w:rsidRPr="006F2448">
              <w:rPr>
                <w:smallCaps w:val="0"/>
                <w:noProof/>
                <w:webHidden/>
                <w:szCs w:val="18"/>
              </w:rPr>
              <w:fldChar w:fldCharType="begin"/>
            </w:r>
            <w:r w:rsidR="00854C38" w:rsidRPr="006F2448">
              <w:rPr>
                <w:smallCaps w:val="0"/>
                <w:noProof/>
                <w:webHidden/>
                <w:szCs w:val="18"/>
              </w:rPr>
              <w:instrText xml:space="preserve"> PAGEREF _Toc87339042 \h </w:instrText>
            </w:r>
            <w:r w:rsidR="00854C38" w:rsidRPr="006F2448">
              <w:rPr>
                <w:smallCaps w:val="0"/>
                <w:noProof/>
                <w:webHidden/>
                <w:szCs w:val="18"/>
              </w:rPr>
            </w:r>
            <w:r w:rsidR="00854C38" w:rsidRPr="006F2448">
              <w:rPr>
                <w:smallCaps w:val="0"/>
                <w:noProof/>
                <w:webHidden/>
                <w:szCs w:val="18"/>
              </w:rPr>
              <w:fldChar w:fldCharType="separate"/>
            </w:r>
            <w:r w:rsidR="000523E3">
              <w:rPr>
                <w:smallCaps w:val="0"/>
                <w:noProof/>
                <w:webHidden/>
                <w:szCs w:val="18"/>
              </w:rPr>
              <w:t>42</w:t>
            </w:r>
            <w:r w:rsidR="00854C38" w:rsidRPr="006F2448">
              <w:rPr>
                <w:smallCaps w:val="0"/>
                <w:noProof/>
                <w:webHidden/>
                <w:szCs w:val="18"/>
              </w:rPr>
              <w:fldChar w:fldCharType="end"/>
            </w:r>
          </w:hyperlink>
        </w:p>
        <w:p w14:paraId="4E6A3009" w14:textId="68CB7669" w:rsidR="00854C38" w:rsidRPr="006F2448" w:rsidRDefault="00112C35" w:rsidP="006F2448">
          <w:pPr>
            <w:pStyle w:val="TDC3"/>
            <w:rPr>
              <w:rFonts w:asciiTheme="minorHAnsi" w:eastAsiaTheme="minorEastAsia" w:hAnsiTheme="minorHAnsi" w:cstheme="minorBidi"/>
              <w:sz w:val="18"/>
              <w:szCs w:val="18"/>
              <w:lang w:eastAsia="es-CR"/>
            </w:rPr>
          </w:pPr>
          <w:hyperlink w:anchor="_Toc87339043" w:history="1">
            <w:r w:rsidR="00854C38" w:rsidRPr="006F2448">
              <w:rPr>
                <w:rStyle w:val="Hipervnculo"/>
                <w:i/>
                <w:sz w:val="18"/>
                <w:szCs w:val="18"/>
                <w:lang w:val="es-MX"/>
              </w:rPr>
              <w:t>D.1 Daño material</w:t>
            </w:r>
            <w:r w:rsidR="00854C38" w:rsidRPr="006F2448">
              <w:rPr>
                <w:webHidden/>
                <w:sz w:val="18"/>
                <w:szCs w:val="18"/>
              </w:rPr>
              <w:tab/>
            </w:r>
            <w:r w:rsidR="00854C38" w:rsidRPr="006F2448">
              <w:rPr>
                <w:webHidden/>
                <w:sz w:val="18"/>
                <w:szCs w:val="18"/>
              </w:rPr>
              <w:fldChar w:fldCharType="begin"/>
            </w:r>
            <w:r w:rsidR="00854C38" w:rsidRPr="006F2448">
              <w:rPr>
                <w:webHidden/>
                <w:sz w:val="18"/>
                <w:szCs w:val="18"/>
              </w:rPr>
              <w:instrText xml:space="preserve"> PAGEREF _Toc87339043 \h </w:instrText>
            </w:r>
            <w:r w:rsidR="00854C38" w:rsidRPr="006F2448">
              <w:rPr>
                <w:webHidden/>
                <w:sz w:val="18"/>
                <w:szCs w:val="18"/>
              </w:rPr>
            </w:r>
            <w:r w:rsidR="00854C38" w:rsidRPr="006F2448">
              <w:rPr>
                <w:webHidden/>
                <w:sz w:val="18"/>
                <w:szCs w:val="18"/>
              </w:rPr>
              <w:fldChar w:fldCharType="separate"/>
            </w:r>
            <w:r w:rsidR="000523E3">
              <w:rPr>
                <w:webHidden/>
                <w:sz w:val="18"/>
                <w:szCs w:val="18"/>
              </w:rPr>
              <w:t>45</w:t>
            </w:r>
            <w:r w:rsidR="00854C38" w:rsidRPr="006F2448">
              <w:rPr>
                <w:webHidden/>
                <w:sz w:val="18"/>
                <w:szCs w:val="18"/>
              </w:rPr>
              <w:fldChar w:fldCharType="end"/>
            </w:r>
          </w:hyperlink>
        </w:p>
        <w:p w14:paraId="5AC1A3B5" w14:textId="3FDFFF0C" w:rsidR="00854C38" w:rsidRPr="006F2448" w:rsidRDefault="00112C35" w:rsidP="006F2448">
          <w:pPr>
            <w:pStyle w:val="TDC3"/>
            <w:rPr>
              <w:rFonts w:asciiTheme="minorHAnsi" w:eastAsiaTheme="minorEastAsia" w:hAnsiTheme="minorHAnsi" w:cstheme="minorBidi"/>
              <w:sz w:val="18"/>
              <w:szCs w:val="18"/>
              <w:lang w:eastAsia="es-CR"/>
            </w:rPr>
          </w:pPr>
          <w:hyperlink w:anchor="_Toc87339044" w:history="1">
            <w:r w:rsidR="00854C38" w:rsidRPr="006F2448">
              <w:rPr>
                <w:rStyle w:val="Hipervnculo"/>
                <w:i/>
                <w:sz w:val="18"/>
                <w:szCs w:val="18"/>
                <w:lang w:val="es-MX"/>
              </w:rPr>
              <w:t>D.2 Daño inmaterial</w:t>
            </w:r>
            <w:r w:rsidR="00854C38" w:rsidRPr="006F2448">
              <w:rPr>
                <w:webHidden/>
                <w:sz w:val="18"/>
                <w:szCs w:val="18"/>
              </w:rPr>
              <w:tab/>
            </w:r>
            <w:r w:rsidR="00854C38" w:rsidRPr="006F2448">
              <w:rPr>
                <w:webHidden/>
                <w:sz w:val="18"/>
                <w:szCs w:val="18"/>
              </w:rPr>
              <w:fldChar w:fldCharType="begin"/>
            </w:r>
            <w:r w:rsidR="00854C38" w:rsidRPr="006F2448">
              <w:rPr>
                <w:webHidden/>
                <w:sz w:val="18"/>
                <w:szCs w:val="18"/>
              </w:rPr>
              <w:instrText xml:space="preserve"> PAGEREF _Toc87339044 \h </w:instrText>
            </w:r>
            <w:r w:rsidR="00854C38" w:rsidRPr="006F2448">
              <w:rPr>
                <w:webHidden/>
                <w:sz w:val="18"/>
                <w:szCs w:val="18"/>
              </w:rPr>
            </w:r>
            <w:r w:rsidR="00854C38" w:rsidRPr="006F2448">
              <w:rPr>
                <w:webHidden/>
                <w:sz w:val="18"/>
                <w:szCs w:val="18"/>
              </w:rPr>
              <w:fldChar w:fldCharType="separate"/>
            </w:r>
            <w:r w:rsidR="000523E3">
              <w:rPr>
                <w:webHidden/>
                <w:sz w:val="18"/>
                <w:szCs w:val="18"/>
              </w:rPr>
              <w:t>46</w:t>
            </w:r>
            <w:r w:rsidR="00854C38" w:rsidRPr="006F2448">
              <w:rPr>
                <w:webHidden/>
                <w:sz w:val="18"/>
                <w:szCs w:val="18"/>
              </w:rPr>
              <w:fldChar w:fldCharType="end"/>
            </w:r>
          </w:hyperlink>
        </w:p>
        <w:p w14:paraId="51B239CF" w14:textId="64328F6E" w:rsidR="00854C38" w:rsidRPr="006F2448" w:rsidRDefault="00112C35" w:rsidP="006F2448">
          <w:pPr>
            <w:pStyle w:val="TDC2"/>
            <w:ind w:left="709"/>
            <w:rPr>
              <w:rFonts w:asciiTheme="minorHAnsi" w:eastAsiaTheme="minorEastAsia" w:hAnsiTheme="minorHAnsi" w:cstheme="minorBidi"/>
              <w:smallCaps w:val="0"/>
              <w:noProof/>
              <w:szCs w:val="18"/>
              <w:lang w:val="es-CR" w:eastAsia="es-CR"/>
            </w:rPr>
          </w:pPr>
          <w:hyperlink w:anchor="_Toc87339045" w:history="1">
            <w:r w:rsidR="00854C38" w:rsidRPr="006F2448">
              <w:rPr>
                <w:rStyle w:val="Hipervnculo"/>
                <w:smallCaps w:val="0"/>
                <w:noProof/>
                <w:szCs w:val="18"/>
                <w:lang w:val="es-MX"/>
              </w:rPr>
              <w:t>E. Costas y Gastos</w:t>
            </w:r>
            <w:r w:rsidR="00854C38" w:rsidRPr="006F2448">
              <w:rPr>
                <w:smallCaps w:val="0"/>
                <w:noProof/>
                <w:webHidden/>
                <w:szCs w:val="18"/>
              </w:rPr>
              <w:tab/>
            </w:r>
            <w:r w:rsidR="00854C38" w:rsidRPr="006F2448">
              <w:rPr>
                <w:smallCaps w:val="0"/>
                <w:noProof/>
                <w:webHidden/>
                <w:szCs w:val="18"/>
              </w:rPr>
              <w:fldChar w:fldCharType="begin"/>
            </w:r>
            <w:r w:rsidR="00854C38" w:rsidRPr="006F2448">
              <w:rPr>
                <w:smallCaps w:val="0"/>
                <w:noProof/>
                <w:webHidden/>
                <w:szCs w:val="18"/>
              </w:rPr>
              <w:instrText xml:space="preserve"> PAGEREF _Toc87339045 \h </w:instrText>
            </w:r>
            <w:r w:rsidR="00854C38" w:rsidRPr="006F2448">
              <w:rPr>
                <w:smallCaps w:val="0"/>
                <w:noProof/>
                <w:webHidden/>
                <w:szCs w:val="18"/>
              </w:rPr>
            </w:r>
            <w:r w:rsidR="00854C38" w:rsidRPr="006F2448">
              <w:rPr>
                <w:smallCaps w:val="0"/>
                <w:noProof/>
                <w:webHidden/>
                <w:szCs w:val="18"/>
              </w:rPr>
              <w:fldChar w:fldCharType="separate"/>
            </w:r>
            <w:r w:rsidR="000523E3">
              <w:rPr>
                <w:smallCaps w:val="0"/>
                <w:noProof/>
                <w:webHidden/>
                <w:szCs w:val="18"/>
              </w:rPr>
              <w:t>47</w:t>
            </w:r>
            <w:r w:rsidR="00854C38" w:rsidRPr="006F2448">
              <w:rPr>
                <w:smallCaps w:val="0"/>
                <w:noProof/>
                <w:webHidden/>
                <w:szCs w:val="18"/>
              </w:rPr>
              <w:fldChar w:fldCharType="end"/>
            </w:r>
          </w:hyperlink>
        </w:p>
        <w:p w14:paraId="3D6098FC" w14:textId="00F0040D" w:rsidR="00854C38" w:rsidRPr="006F2448" w:rsidRDefault="00112C35" w:rsidP="006F2448">
          <w:pPr>
            <w:pStyle w:val="TDC2"/>
            <w:ind w:left="709"/>
            <w:rPr>
              <w:rFonts w:asciiTheme="minorHAnsi" w:eastAsiaTheme="minorEastAsia" w:hAnsiTheme="minorHAnsi" w:cstheme="minorBidi"/>
              <w:smallCaps w:val="0"/>
              <w:noProof/>
              <w:szCs w:val="18"/>
              <w:lang w:val="es-CR" w:eastAsia="es-CR"/>
            </w:rPr>
          </w:pPr>
          <w:hyperlink w:anchor="_Toc87339046" w:history="1">
            <w:r w:rsidR="00854C38" w:rsidRPr="006F2448">
              <w:rPr>
                <w:rStyle w:val="Hipervnculo"/>
                <w:smallCaps w:val="0"/>
                <w:noProof/>
                <w:szCs w:val="18"/>
                <w:lang w:val="es-MX"/>
              </w:rPr>
              <w:t>F. Modalidad de cumplimiento de los pagos ordenados</w:t>
            </w:r>
            <w:r w:rsidR="00854C38" w:rsidRPr="006F2448">
              <w:rPr>
                <w:smallCaps w:val="0"/>
                <w:noProof/>
                <w:webHidden/>
                <w:szCs w:val="18"/>
              </w:rPr>
              <w:tab/>
            </w:r>
            <w:r w:rsidR="00854C38" w:rsidRPr="006F2448">
              <w:rPr>
                <w:smallCaps w:val="0"/>
                <w:noProof/>
                <w:webHidden/>
                <w:szCs w:val="18"/>
              </w:rPr>
              <w:fldChar w:fldCharType="begin"/>
            </w:r>
            <w:r w:rsidR="00854C38" w:rsidRPr="006F2448">
              <w:rPr>
                <w:smallCaps w:val="0"/>
                <w:noProof/>
                <w:webHidden/>
                <w:szCs w:val="18"/>
              </w:rPr>
              <w:instrText xml:space="preserve"> PAGEREF _Toc87339046 \h </w:instrText>
            </w:r>
            <w:r w:rsidR="00854C38" w:rsidRPr="006F2448">
              <w:rPr>
                <w:smallCaps w:val="0"/>
                <w:noProof/>
                <w:webHidden/>
                <w:szCs w:val="18"/>
              </w:rPr>
            </w:r>
            <w:r w:rsidR="00854C38" w:rsidRPr="006F2448">
              <w:rPr>
                <w:smallCaps w:val="0"/>
                <w:noProof/>
                <w:webHidden/>
                <w:szCs w:val="18"/>
              </w:rPr>
              <w:fldChar w:fldCharType="separate"/>
            </w:r>
            <w:r w:rsidR="000523E3">
              <w:rPr>
                <w:smallCaps w:val="0"/>
                <w:noProof/>
                <w:webHidden/>
                <w:szCs w:val="18"/>
              </w:rPr>
              <w:t>48</w:t>
            </w:r>
            <w:r w:rsidR="00854C38" w:rsidRPr="006F2448">
              <w:rPr>
                <w:smallCaps w:val="0"/>
                <w:noProof/>
                <w:webHidden/>
                <w:szCs w:val="18"/>
              </w:rPr>
              <w:fldChar w:fldCharType="end"/>
            </w:r>
          </w:hyperlink>
        </w:p>
        <w:p w14:paraId="3DD9CCC5" w14:textId="090D0CB5" w:rsidR="00854C38" w:rsidRDefault="00112C35">
          <w:pPr>
            <w:pStyle w:val="TDC1"/>
            <w:rPr>
              <w:rFonts w:asciiTheme="minorHAnsi" w:eastAsiaTheme="minorEastAsia" w:hAnsiTheme="minorHAnsi" w:cstheme="minorBidi"/>
              <w:b w:val="0"/>
              <w:sz w:val="22"/>
              <w:szCs w:val="22"/>
              <w:lang w:eastAsia="es-CR"/>
            </w:rPr>
          </w:pPr>
          <w:hyperlink w:anchor="_Toc87339047" w:history="1">
            <w:r w:rsidR="00854C38" w:rsidRPr="0095106E">
              <w:rPr>
                <w:rStyle w:val="Hipervnculo"/>
              </w:rPr>
              <w:t>IX. PUNTOS RESOLUTIVOS</w:t>
            </w:r>
            <w:r w:rsidR="00854C38">
              <w:rPr>
                <w:webHidden/>
              </w:rPr>
              <w:tab/>
            </w:r>
            <w:r w:rsidR="00854C38">
              <w:rPr>
                <w:webHidden/>
              </w:rPr>
              <w:fldChar w:fldCharType="begin"/>
            </w:r>
            <w:r w:rsidR="00854C38">
              <w:rPr>
                <w:webHidden/>
              </w:rPr>
              <w:instrText xml:space="preserve"> PAGEREF _Toc87339047 \h </w:instrText>
            </w:r>
            <w:r w:rsidR="00854C38">
              <w:rPr>
                <w:webHidden/>
              </w:rPr>
            </w:r>
            <w:r w:rsidR="00854C38">
              <w:rPr>
                <w:webHidden/>
              </w:rPr>
              <w:fldChar w:fldCharType="separate"/>
            </w:r>
            <w:r w:rsidR="000523E3">
              <w:rPr>
                <w:webHidden/>
              </w:rPr>
              <w:t>49</w:t>
            </w:r>
            <w:r w:rsidR="00854C38">
              <w:rPr>
                <w:webHidden/>
              </w:rPr>
              <w:fldChar w:fldCharType="end"/>
            </w:r>
          </w:hyperlink>
        </w:p>
        <w:p w14:paraId="2622BCBB" w14:textId="1513DDED" w:rsidR="0023770E" w:rsidRPr="001F429E" w:rsidRDefault="00E371B4" w:rsidP="001F429E">
          <w:pPr>
            <w:rPr>
              <w:lang w:val="es-ES"/>
            </w:rPr>
          </w:pPr>
          <w:r w:rsidRPr="005A6CEE">
            <w:rPr>
              <w:b/>
              <w:bCs/>
              <w:sz w:val="18"/>
              <w:szCs w:val="18"/>
              <w:lang w:val="es-ES"/>
            </w:rPr>
            <w:fldChar w:fldCharType="end"/>
          </w:r>
        </w:p>
      </w:sdtContent>
    </w:sdt>
    <w:bookmarkStart w:id="0" w:name="_Toc369989729" w:displacedByCustomXml="prev"/>
    <w:bookmarkStart w:id="1" w:name="_Toc438132269" w:displacedByCustomXml="prev"/>
    <w:bookmarkStart w:id="2" w:name="_Toc288744729" w:displacedByCustomXml="prev"/>
    <w:bookmarkStart w:id="3" w:name="_Toc460237942" w:displacedByCustomXml="prev"/>
    <w:bookmarkStart w:id="4" w:name="_Toc460238239" w:displacedByCustomXml="prev"/>
    <w:bookmarkStart w:id="5" w:name="_Toc470105092" w:displacedByCustomXml="prev"/>
    <w:p w14:paraId="5022C665" w14:textId="4805EB5A" w:rsidR="00C10DAE" w:rsidRPr="009E377D" w:rsidRDefault="00F0482A" w:rsidP="009E377D">
      <w:pPr>
        <w:pStyle w:val="Ttulo1"/>
        <w:spacing w:before="360" w:after="360"/>
      </w:pPr>
      <w:bookmarkStart w:id="6" w:name="_Toc87338993"/>
      <w:r w:rsidRPr="008A1802">
        <w:lastRenderedPageBreak/>
        <w:t>I</w:t>
      </w:r>
      <w:r w:rsidRPr="008A1802">
        <w:rPr>
          <w:color w:val="FFFFFF" w:themeColor="background1"/>
        </w:rPr>
        <w:t>.</w:t>
      </w:r>
      <w:r w:rsidRPr="008A1802">
        <w:br/>
      </w:r>
      <w:r w:rsidR="00C10DAE" w:rsidRPr="008A1802">
        <w:t>INTRODUCCIÓN DE LA CAUSA Y OBJETO DE LA CONTROVERSIA</w:t>
      </w:r>
      <w:bookmarkEnd w:id="5"/>
      <w:bookmarkEnd w:id="4"/>
      <w:bookmarkEnd w:id="3"/>
      <w:bookmarkEnd w:id="2"/>
      <w:bookmarkEnd w:id="1"/>
      <w:bookmarkEnd w:id="0"/>
      <w:bookmarkEnd w:id="6"/>
    </w:p>
    <w:p w14:paraId="2AFB570E" w14:textId="299CC41E" w:rsidR="005573F2" w:rsidRDefault="00C10DAE" w:rsidP="001F429E">
      <w:pPr>
        <w:numPr>
          <w:ilvl w:val="0"/>
          <w:numId w:val="2"/>
        </w:numPr>
        <w:spacing w:before="120" w:after="0"/>
        <w:ind w:left="0" w:right="4" w:firstLine="0"/>
        <w:rPr>
          <w:szCs w:val="20"/>
        </w:rPr>
      </w:pPr>
      <w:r w:rsidRPr="009359FB">
        <w:rPr>
          <w:i/>
          <w:szCs w:val="20"/>
        </w:rPr>
        <w:t>El caso sometido a la Corte.</w:t>
      </w:r>
      <w:r w:rsidRPr="009359FB">
        <w:rPr>
          <w:szCs w:val="20"/>
        </w:rPr>
        <w:t xml:space="preserve"> – El </w:t>
      </w:r>
      <w:r w:rsidR="00FB39D8" w:rsidRPr="009359FB">
        <w:rPr>
          <w:szCs w:val="20"/>
        </w:rPr>
        <w:t>1</w:t>
      </w:r>
      <w:r w:rsidR="002A406B" w:rsidRPr="009359FB">
        <w:rPr>
          <w:szCs w:val="20"/>
        </w:rPr>
        <w:t>3</w:t>
      </w:r>
      <w:r w:rsidR="00FB39D8" w:rsidRPr="009359FB">
        <w:rPr>
          <w:szCs w:val="20"/>
        </w:rPr>
        <w:t xml:space="preserve"> de </w:t>
      </w:r>
      <w:r w:rsidR="002A406B" w:rsidRPr="009359FB">
        <w:rPr>
          <w:szCs w:val="20"/>
        </w:rPr>
        <w:t>noviembre</w:t>
      </w:r>
      <w:r w:rsidR="00FB39D8" w:rsidRPr="009359FB">
        <w:rPr>
          <w:szCs w:val="20"/>
        </w:rPr>
        <w:t xml:space="preserve"> de 201</w:t>
      </w:r>
      <w:r w:rsidR="002A406B" w:rsidRPr="009359FB">
        <w:rPr>
          <w:szCs w:val="20"/>
        </w:rPr>
        <w:t>9</w:t>
      </w:r>
      <w:r w:rsidRPr="009359FB">
        <w:rPr>
          <w:szCs w:val="20"/>
        </w:rPr>
        <w:t xml:space="preserve"> la Comisión Interamericana d</w:t>
      </w:r>
      <w:r w:rsidR="00DB7AC5" w:rsidRPr="009359FB">
        <w:rPr>
          <w:szCs w:val="20"/>
        </w:rPr>
        <w:t>e Derechos Humanos (en adelante</w:t>
      </w:r>
      <w:r w:rsidRPr="009359FB">
        <w:rPr>
          <w:szCs w:val="20"/>
        </w:rPr>
        <w:t xml:space="preserve"> “la Comisión Interamericana” o “la Comisión”) sometió a la jurisdicción de la Corte Interamericana</w:t>
      </w:r>
      <w:r w:rsidRPr="009359FB">
        <w:rPr>
          <w:szCs w:val="20"/>
          <w:lang w:val="es-ES"/>
        </w:rPr>
        <w:t>, de conformidad con los artículos</w:t>
      </w:r>
      <w:r w:rsidRPr="00CC2A6B">
        <w:rPr>
          <w:szCs w:val="20"/>
          <w:lang w:val="es-ES"/>
        </w:rPr>
        <w:t xml:space="preserve"> </w:t>
      </w:r>
      <w:r w:rsidRPr="00FF7C58">
        <w:rPr>
          <w:szCs w:val="20"/>
          <w:lang w:val="es-ES"/>
        </w:rPr>
        <w:t>51 y 61</w:t>
      </w:r>
      <w:r w:rsidRPr="009359FB">
        <w:rPr>
          <w:szCs w:val="20"/>
          <w:lang w:val="es-ES"/>
        </w:rPr>
        <w:t xml:space="preserve"> de la Convención Americana, el caso </w:t>
      </w:r>
      <w:r w:rsidR="002A406B" w:rsidRPr="009359FB">
        <w:rPr>
          <w:iCs/>
          <w:szCs w:val="20"/>
          <w:lang w:val="es-CO"/>
        </w:rPr>
        <w:t>Villar</w:t>
      </w:r>
      <w:r w:rsidR="0097359D" w:rsidRPr="009359FB">
        <w:rPr>
          <w:iCs/>
          <w:szCs w:val="20"/>
          <w:lang w:val="es-CO"/>
        </w:rPr>
        <w:t>r</w:t>
      </w:r>
      <w:r w:rsidR="002A406B" w:rsidRPr="009359FB">
        <w:rPr>
          <w:iCs/>
          <w:szCs w:val="20"/>
          <w:lang w:val="es-CO"/>
        </w:rPr>
        <w:t>oel</w:t>
      </w:r>
      <w:r w:rsidR="009359FB" w:rsidRPr="00173682">
        <w:rPr>
          <w:iCs/>
          <w:szCs w:val="20"/>
          <w:lang w:val="es-CO"/>
        </w:rPr>
        <w:t xml:space="preserve"> Merino</w:t>
      </w:r>
      <w:r w:rsidR="002A406B" w:rsidRPr="00173682">
        <w:rPr>
          <w:iCs/>
          <w:szCs w:val="20"/>
          <w:lang w:val="es-CO"/>
        </w:rPr>
        <w:t xml:space="preserve"> y otros </w:t>
      </w:r>
      <w:r w:rsidRPr="00551BDC">
        <w:rPr>
          <w:szCs w:val="20"/>
          <w:lang w:val="es-ES"/>
        </w:rPr>
        <w:t>en contra de</w:t>
      </w:r>
      <w:r w:rsidR="00AD463A" w:rsidRPr="00551BDC">
        <w:rPr>
          <w:szCs w:val="20"/>
          <w:lang w:val="es-ES"/>
        </w:rPr>
        <w:t xml:space="preserve"> la República</w:t>
      </w:r>
      <w:r w:rsidRPr="00551BDC">
        <w:rPr>
          <w:szCs w:val="20"/>
          <w:lang w:val="es-ES"/>
        </w:rPr>
        <w:t xml:space="preserve"> de</w:t>
      </w:r>
      <w:r w:rsidR="00AD463A" w:rsidRPr="00551BDC">
        <w:rPr>
          <w:szCs w:val="20"/>
          <w:lang w:val="es-ES"/>
        </w:rPr>
        <w:t>l</w:t>
      </w:r>
      <w:r w:rsidRPr="00551BDC">
        <w:rPr>
          <w:szCs w:val="20"/>
          <w:lang w:val="es-ES"/>
        </w:rPr>
        <w:t xml:space="preserve"> </w:t>
      </w:r>
      <w:r w:rsidR="002A406B" w:rsidRPr="004208DA">
        <w:rPr>
          <w:szCs w:val="20"/>
          <w:lang w:val="es-ES"/>
        </w:rPr>
        <w:t>Ecuador</w:t>
      </w:r>
      <w:r w:rsidR="00003D4D" w:rsidRPr="004208DA">
        <w:rPr>
          <w:szCs w:val="20"/>
          <w:lang w:val="es-ES"/>
        </w:rPr>
        <w:t xml:space="preserve"> (en adelante “el Estado” </w:t>
      </w:r>
      <w:r w:rsidRPr="008A6212">
        <w:rPr>
          <w:szCs w:val="20"/>
          <w:lang w:val="es-ES"/>
        </w:rPr>
        <w:t>o “</w:t>
      </w:r>
      <w:r w:rsidR="002A406B" w:rsidRPr="008A6212">
        <w:rPr>
          <w:szCs w:val="20"/>
          <w:lang w:val="es-ES"/>
        </w:rPr>
        <w:t>Ecuador</w:t>
      </w:r>
      <w:r w:rsidRPr="008A6212">
        <w:rPr>
          <w:szCs w:val="20"/>
          <w:lang w:val="es-ES"/>
        </w:rPr>
        <w:t>”)</w:t>
      </w:r>
      <w:r w:rsidR="00C85F7D" w:rsidRPr="008A6212">
        <w:rPr>
          <w:szCs w:val="20"/>
          <w:lang w:val="es-ES"/>
        </w:rPr>
        <w:t>.</w:t>
      </w:r>
      <w:r w:rsidR="00D17767" w:rsidRPr="008A6212">
        <w:rPr>
          <w:szCs w:val="20"/>
        </w:rPr>
        <w:t xml:space="preserve"> </w:t>
      </w:r>
      <w:r w:rsidR="00F70FAC" w:rsidRPr="008A6212">
        <w:rPr>
          <w:szCs w:val="20"/>
          <w:lang w:val="es-ES"/>
        </w:rPr>
        <w:t>Según la Comisión,</w:t>
      </w:r>
      <w:r w:rsidR="002A406B" w:rsidRPr="008A6212">
        <w:rPr>
          <w:szCs w:val="20"/>
          <w:lang w:val="es-ES"/>
        </w:rPr>
        <w:t xml:space="preserve"> el caso se relaciona con la </w:t>
      </w:r>
      <w:r w:rsidR="00D941FF">
        <w:rPr>
          <w:szCs w:val="20"/>
          <w:lang w:val="es-ES"/>
        </w:rPr>
        <w:t xml:space="preserve">alegada </w:t>
      </w:r>
      <w:r w:rsidR="002A406B" w:rsidRPr="008A6212">
        <w:rPr>
          <w:szCs w:val="20"/>
          <w:lang w:val="es-ES"/>
        </w:rPr>
        <w:t xml:space="preserve">detención ilegal y arbitraria de los entonces oficiales </w:t>
      </w:r>
      <w:r w:rsidR="001A132E" w:rsidRPr="008A6212">
        <w:rPr>
          <w:szCs w:val="20"/>
          <w:lang w:val="es-ES"/>
        </w:rPr>
        <w:t>de la Policía Nacional</w:t>
      </w:r>
      <w:r w:rsidR="00F70FAC" w:rsidRPr="008A6212">
        <w:rPr>
          <w:szCs w:val="20"/>
          <w:lang w:val="es-ES"/>
        </w:rPr>
        <w:t xml:space="preserve"> </w:t>
      </w:r>
      <w:r w:rsidR="001A132E" w:rsidRPr="008A6212">
        <w:rPr>
          <w:szCs w:val="20"/>
          <w:lang w:val="es-ES"/>
        </w:rPr>
        <w:t xml:space="preserve">Jorge </w:t>
      </w:r>
      <w:r w:rsidR="006D2296" w:rsidRPr="008A6212">
        <w:rPr>
          <w:szCs w:val="20"/>
          <w:lang w:val="es-ES"/>
        </w:rPr>
        <w:t xml:space="preserve">Humberto </w:t>
      </w:r>
      <w:r w:rsidR="001A132E" w:rsidRPr="008A6212">
        <w:rPr>
          <w:szCs w:val="20"/>
          <w:lang w:val="es-ES"/>
        </w:rPr>
        <w:t>Villarroel Merino</w:t>
      </w:r>
      <w:r w:rsidR="004443E2" w:rsidRPr="008A6212">
        <w:rPr>
          <w:szCs w:val="20"/>
          <w:lang w:val="es-ES"/>
        </w:rPr>
        <w:t xml:space="preserve"> </w:t>
      </w:r>
      <w:r w:rsidR="00EE4301" w:rsidRPr="008A6212">
        <w:rPr>
          <w:szCs w:val="20"/>
          <w:lang w:val="es-ES"/>
        </w:rPr>
        <w:t xml:space="preserve">(en adelante también </w:t>
      </w:r>
      <w:r w:rsidR="004C76C5" w:rsidRPr="008A6212">
        <w:rPr>
          <w:szCs w:val="20"/>
          <w:lang w:val="es-ES"/>
        </w:rPr>
        <w:t xml:space="preserve">“Jorge Villarroel Merino” o </w:t>
      </w:r>
      <w:r w:rsidR="00EE4301" w:rsidRPr="008A6212">
        <w:rPr>
          <w:szCs w:val="20"/>
          <w:lang w:val="es-ES"/>
        </w:rPr>
        <w:t>“señor Villarroel Merino” o “señor Villarroel”)</w:t>
      </w:r>
      <w:r w:rsidR="001A132E" w:rsidRPr="008A6212">
        <w:rPr>
          <w:szCs w:val="20"/>
          <w:lang w:val="es-ES"/>
        </w:rPr>
        <w:t xml:space="preserve">, Mario </w:t>
      </w:r>
      <w:r w:rsidR="00D4778C" w:rsidRPr="008A6212">
        <w:rPr>
          <w:szCs w:val="20"/>
          <w:lang w:val="es-ES"/>
        </w:rPr>
        <w:t>Ro</w:t>
      </w:r>
      <w:r w:rsidR="001A132E" w:rsidRPr="008A6212">
        <w:rPr>
          <w:szCs w:val="20"/>
          <w:lang w:val="es-ES"/>
        </w:rPr>
        <w:t>mel</w:t>
      </w:r>
      <w:r w:rsidR="009A3EC4" w:rsidRPr="009359FB">
        <w:rPr>
          <w:rStyle w:val="Refdenotaalpie"/>
          <w:lang w:val="es-ES"/>
        </w:rPr>
        <w:footnoteReference w:id="2"/>
      </w:r>
      <w:r w:rsidR="0060743E" w:rsidRPr="009359FB">
        <w:rPr>
          <w:szCs w:val="20"/>
          <w:lang w:val="es-ES"/>
        </w:rPr>
        <w:t xml:space="preserve"> Cev</w:t>
      </w:r>
      <w:r w:rsidR="001A132E" w:rsidRPr="009359FB">
        <w:rPr>
          <w:szCs w:val="20"/>
          <w:lang w:val="es-ES"/>
        </w:rPr>
        <w:t>allos Moreno</w:t>
      </w:r>
      <w:r w:rsidR="00EE4301" w:rsidRPr="00173682">
        <w:rPr>
          <w:szCs w:val="20"/>
          <w:lang w:val="es-ES"/>
        </w:rPr>
        <w:t xml:space="preserve"> (en adelante también </w:t>
      </w:r>
      <w:r w:rsidR="004C76C5" w:rsidRPr="00173682">
        <w:rPr>
          <w:szCs w:val="20"/>
          <w:lang w:val="es-ES"/>
        </w:rPr>
        <w:t>“</w:t>
      </w:r>
      <w:r w:rsidR="00534EAB" w:rsidRPr="00173682">
        <w:rPr>
          <w:szCs w:val="20"/>
          <w:lang w:val="es-ES"/>
        </w:rPr>
        <w:t>Mario Cev</w:t>
      </w:r>
      <w:r w:rsidR="004C76C5" w:rsidRPr="00551BDC">
        <w:rPr>
          <w:szCs w:val="20"/>
          <w:lang w:val="es-ES"/>
        </w:rPr>
        <w:t xml:space="preserve">allos Moreno” o </w:t>
      </w:r>
      <w:r w:rsidR="0060743E" w:rsidRPr="00551BDC">
        <w:rPr>
          <w:szCs w:val="20"/>
          <w:lang w:val="es-ES"/>
        </w:rPr>
        <w:t>“Cevallos  Moreno” o “señor Cev</w:t>
      </w:r>
      <w:r w:rsidR="00EE4301" w:rsidRPr="00551BDC">
        <w:rPr>
          <w:szCs w:val="20"/>
          <w:lang w:val="es-ES"/>
        </w:rPr>
        <w:t>allos”)</w:t>
      </w:r>
      <w:r w:rsidR="001A132E" w:rsidRPr="00551BDC">
        <w:rPr>
          <w:szCs w:val="20"/>
          <w:lang w:val="es-ES"/>
        </w:rPr>
        <w:t xml:space="preserve">, Jorge </w:t>
      </w:r>
      <w:r w:rsidR="006D2296" w:rsidRPr="004208DA">
        <w:rPr>
          <w:szCs w:val="20"/>
          <w:lang w:val="es-ES"/>
        </w:rPr>
        <w:t xml:space="preserve">Enrique </w:t>
      </w:r>
      <w:r w:rsidR="001A132E" w:rsidRPr="004208DA">
        <w:rPr>
          <w:szCs w:val="20"/>
          <w:lang w:val="es-ES"/>
        </w:rPr>
        <w:t>Coloma Ga</w:t>
      </w:r>
      <w:r w:rsidR="00EE4301" w:rsidRPr="004208DA">
        <w:rPr>
          <w:szCs w:val="20"/>
          <w:lang w:val="es-ES"/>
        </w:rPr>
        <w:t>i</w:t>
      </w:r>
      <w:r w:rsidR="001A132E" w:rsidRPr="004208DA">
        <w:rPr>
          <w:szCs w:val="20"/>
          <w:lang w:val="es-ES"/>
        </w:rPr>
        <w:t>bor</w:t>
      </w:r>
      <w:r w:rsidR="00EE4301" w:rsidRPr="00173682">
        <w:rPr>
          <w:rStyle w:val="Refdenotaalpie"/>
          <w:lang w:val="es-ES"/>
        </w:rPr>
        <w:footnoteReference w:id="3"/>
      </w:r>
      <w:r w:rsidR="00EE4301" w:rsidRPr="00173682">
        <w:rPr>
          <w:szCs w:val="20"/>
          <w:lang w:val="es-ES"/>
        </w:rPr>
        <w:t xml:space="preserve"> (en adelante también </w:t>
      </w:r>
      <w:r w:rsidR="004C76C5" w:rsidRPr="00551BDC">
        <w:rPr>
          <w:szCs w:val="20"/>
          <w:lang w:val="es-ES"/>
        </w:rPr>
        <w:t xml:space="preserve">“Jorge Coloma Gaibor” o </w:t>
      </w:r>
      <w:r w:rsidR="00EE4301" w:rsidRPr="00551BDC">
        <w:rPr>
          <w:szCs w:val="20"/>
          <w:lang w:val="es-ES"/>
        </w:rPr>
        <w:t>“señor Coloma Gaibor” o “señor Coloma”)</w:t>
      </w:r>
      <w:r w:rsidR="001A132E" w:rsidRPr="008A6212">
        <w:rPr>
          <w:szCs w:val="20"/>
          <w:lang w:val="es-ES"/>
        </w:rPr>
        <w:t xml:space="preserve">, Fernando </w:t>
      </w:r>
      <w:r w:rsidR="006D2296" w:rsidRPr="008A6212">
        <w:rPr>
          <w:szCs w:val="20"/>
          <w:lang w:val="es-ES"/>
        </w:rPr>
        <w:t xml:space="preserve">Marcelo </w:t>
      </w:r>
      <w:r w:rsidR="001A132E" w:rsidRPr="008A6212">
        <w:rPr>
          <w:szCs w:val="20"/>
          <w:lang w:val="es-ES"/>
        </w:rPr>
        <w:t>López Ortiz</w:t>
      </w:r>
      <w:r w:rsidR="004C76C5" w:rsidRPr="008A6212">
        <w:rPr>
          <w:szCs w:val="20"/>
          <w:lang w:val="es-ES"/>
        </w:rPr>
        <w:t xml:space="preserve"> </w:t>
      </w:r>
      <w:r w:rsidR="00EE4301" w:rsidRPr="008A6212">
        <w:rPr>
          <w:szCs w:val="20"/>
          <w:lang w:val="es-ES"/>
        </w:rPr>
        <w:t>(en adelante también</w:t>
      </w:r>
      <w:r w:rsidR="004C76C5" w:rsidRPr="008A6212">
        <w:rPr>
          <w:szCs w:val="20"/>
          <w:lang w:val="es-ES"/>
        </w:rPr>
        <w:t xml:space="preserve"> “Fernando López Ortiz” o</w:t>
      </w:r>
      <w:r w:rsidR="00EE4301" w:rsidRPr="008A6212">
        <w:rPr>
          <w:szCs w:val="20"/>
          <w:lang w:val="es-ES"/>
        </w:rPr>
        <w:t xml:space="preserve"> “señor López Ortiz” o “señor López”)</w:t>
      </w:r>
      <w:r w:rsidR="001A132E" w:rsidRPr="008A6212">
        <w:rPr>
          <w:szCs w:val="20"/>
          <w:lang w:val="es-ES"/>
        </w:rPr>
        <w:t xml:space="preserve">, </w:t>
      </w:r>
      <w:r w:rsidR="006D2296" w:rsidRPr="008A6212">
        <w:rPr>
          <w:szCs w:val="20"/>
          <w:lang w:val="es-ES"/>
        </w:rPr>
        <w:t xml:space="preserve">Leoncio </w:t>
      </w:r>
      <w:r w:rsidR="003723B8" w:rsidRPr="008A6212">
        <w:rPr>
          <w:szCs w:val="20"/>
          <w:lang w:val="es-ES"/>
        </w:rPr>
        <w:t>A</w:t>
      </w:r>
      <w:r w:rsidR="0060743E" w:rsidRPr="008A6212">
        <w:rPr>
          <w:szCs w:val="20"/>
          <w:lang w:val="es-ES"/>
        </w:rPr>
        <w:t>mí</w:t>
      </w:r>
      <w:r w:rsidR="003723B8" w:rsidRPr="008A6212">
        <w:rPr>
          <w:szCs w:val="20"/>
          <w:lang w:val="es-ES"/>
        </w:rPr>
        <w:t>l</w:t>
      </w:r>
      <w:r w:rsidR="0060743E" w:rsidRPr="008A6212">
        <w:rPr>
          <w:szCs w:val="20"/>
          <w:lang w:val="es-ES"/>
        </w:rPr>
        <w:t>car Ascá</w:t>
      </w:r>
      <w:r w:rsidR="001A132E" w:rsidRPr="008A6212">
        <w:rPr>
          <w:szCs w:val="20"/>
          <w:lang w:val="es-ES"/>
        </w:rPr>
        <w:t xml:space="preserve">zubi Albán </w:t>
      </w:r>
      <w:r w:rsidR="00EE4301" w:rsidRPr="008A6212">
        <w:rPr>
          <w:szCs w:val="20"/>
          <w:lang w:val="es-ES"/>
        </w:rPr>
        <w:t xml:space="preserve">(en adelante también </w:t>
      </w:r>
      <w:r w:rsidR="004C76C5" w:rsidRPr="008A6212">
        <w:rPr>
          <w:szCs w:val="20"/>
          <w:lang w:val="es-ES"/>
        </w:rPr>
        <w:t>“</w:t>
      </w:r>
      <w:r w:rsidR="003723B8" w:rsidRPr="008A6212">
        <w:rPr>
          <w:szCs w:val="20"/>
          <w:lang w:val="es-ES"/>
        </w:rPr>
        <w:t>A</w:t>
      </w:r>
      <w:r w:rsidR="0060743E" w:rsidRPr="008A6212">
        <w:rPr>
          <w:szCs w:val="20"/>
          <w:lang w:val="es-ES"/>
        </w:rPr>
        <w:t>mí</w:t>
      </w:r>
      <w:r w:rsidR="003723B8" w:rsidRPr="008A6212">
        <w:rPr>
          <w:szCs w:val="20"/>
          <w:lang w:val="es-ES"/>
        </w:rPr>
        <w:t>l</w:t>
      </w:r>
      <w:r w:rsidR="0060743E" w:rsidRPr="008A6212">
        <w:rPr>
          <w:szCs w:val="20"/>
          <w:lang w:val="es-ES"/>
        </w:rPr>
        <w:t>car Ascá</w:t>
      </w:r>
      <w:r w:rsidR="004C76C5" w:rsidRPr="008A6212">
        <w:rPr>
          <w:szCs w:val="20"/>
          <w:lang w:val="es-ES"/>
        </w:rPr>
        <w:t xml:space="preserve">zubi Albán” o </w:t>
      </w:r>
      <w:r w:rsidR="00EE4301" w:rsidRPr="008A6212">
        <w:rPr>
          <w:szCs w:val="20"/>
          <w:lang w:val="es-ES"/>
        </w:rPr>
        <w:t>“señor</w:t>
      </w:r>
      <w:r w:rsidR="0060743E" w:rsidRPr="008A6212">
        <w:rPr>
          <w:szCs w:val="20"/>
          <w:lang w:val="es-ES"/>
        </w:rPr>
        <w:t xml:space="preserve"> A</w:t>
      </w:r>
      <w:r w:rsidR="00660BC9">
        <w:rPr>
          <w:szCs w:val="20"/>
          <w:lang w:val="es-ES"/>
        </w:rPr>
        <w:t>s</w:t>
      </w:r>
      <w:r w:rsidR="0060743E" w:rsidRPr="008A6212">
        <w:rPr>
          <w:szCs w:val="20"/>
          <w:lang w:val="es-ES"/>
        </w:rPr>
        <w:t>cá</w:t>
      </w:r>
      <w:r w:rsidR="00EE4301" w:rsidRPr="008A6212">
        <w:rPr>
          <w:szCs w:val="20"/>
          <w:lang w:val="es-ES"/>
        </w:rPr>
        <w:t>zubi Albán” o “señor</w:t>
      </w:r>
      <w:r w:rsidR="0060743E" w:rsidRPr="008A6212">
        <w:rPr>
          <w:szCs w:val="20"/>
          <w:lang w:val="es-ES"/>
        </w:rPr>
        <w:t xml:space="preserve"> A</w:t>
      </w:r>
      <w:r w:rsidR="00660BC9">
        <w:rPr>
          <w:szCs w:val="20"/>
          <w:lang w:val="es-ES"/>
        </w:rPr>
        <w:t>s</w:t>
      </w:r>
      <w:r w:rsidR="0060743E" w:rsidRPr="008A6212">
        <w:rPr>
          <w:szCs w:val="20"/>
          <w:lang w:val="es-ES"/>
        </w:rPr>
        <w:t>cá</w:t>
      </w:r>
      <w:r w:rsidR="00EE4301" w:rsidRPr="008A6212">
        <w:rPr>
          <w:szCs w:val="20"/>
          <w:lang w:val="es-ES"/>
        </w:rPr>
        <w:t xml:space="preserve">zubi”) </w:t>
      </w:r>
      <w:r w:rsidR="001A132E" w:rsidRPr="008A6212">
        <w:rPr>
          <w:szCs w:val="20"/>
          <w:lang w:val="es-ES"/>
        </w:rPr>
        <w:t xml:space="preserve">y </w:t>
      </w:r>
      <w:r w:rsidR="006D2296" w:rsidRPr="008A6212">
        <w:rPr>
          <w:szCs w:val="20"/>
          <w:lang w:val="es-ES"/>
        </w:rPr>
        <w:t xml:space="preserve">Alfonso </w:t>
      </w:r>
      <w:r w:rsidR="0098148B" w:rsidRPr="008A6212">
        <w:rPr>
          <w:szCs w:val="20"/>
          <w:lang w:val="es-ES"/>
        </w:rPr>
        <w:t>Patricio Vinuez</w:t>
      </w:r>
      <w:r w:rsidR="001A132E" w:rsidRPr="008A6212">
        <w:rPr>
          <w:szCs w:val="20"/>
          <w:lang w:val="es-ES"/>
        </w:rPr>
        <w:t>a</w:t>
      </w:r>
      <w:r w:rsidR="0098148B" w:rsidRPr="00173682">
        <w:rPr>
          <w:rStyle w:val="Refdenotaalpie"/>
          <w:lang w:val="es-ES"/>
        </w:rPr>
        <w:footnoteReference w:id="4"/>
      </w:r>
      <w:r w:rsidR="001A132E" w:rsidRPr="00173682">
        <w:rPr>
          <w:szCs w:val="20"/>
          <w:lang w:val="es-ES"/>
        </w:rPr>
        <w:t xml:space="preserve"> Pánchez </w:t>
      </w:r>
      <w:r w:rsidR="00EE4301" w:rsidRPr="008A6212">
        <w:rPr>
          <w:szCs w:val="20"/>
          <w:lang w:val="es-ES"/>
        </w:rPr>
        <w:t xml:space="preserve">(en adelante también </w:t>
      </w:r>
      <w:r w:rsidR="004C76C5" w:rsidRPr="008A6212">
        <w:rPr>
          <w:szCs w:val="20"/>
          <w:lang w:val="es-ES"/>
        </w:rPr>
        <w:t>“</w:t>
      </w:r>
      <w:r w:rsidR="00B02FAA" w:rsidRPr="008A6212">
        <w:rPr>
          <w:szCs w:val="20"/>
          <w:lang w:val="es-ES"/>
        </w:rPr>
        <w:t>Patricio Vinuez</w:t>
      </w:r>
      <w:r w:rsidR="004C76C5" w:rsidRPr="008A6212">
        <w:rPr>
          <w:szCs w:val="20"/>
          <w:lang w:val="es-ES"/>
        </w:rPr>
        <w:t xml:space="preserve">a Pánchez” o </w:t>
      </w:r>
      <w:r w:rsidR="00B02FAA" w:rsidRPr="008A6212">
        <w:rPr>
          <w:szCs w:val="20"/>
          <w:lang w:val="es-ES"/>
        </w:rPr>
        <w:t>“señor Vinuez</w:t>
      </w:r>
      <w:r w:rsidR="00EE4301" w:rsidRPr="008A6212">
        <w:rPr>
          <w:szCs w:val="20"/>
          <w:lang w:val="es-ES"/>
        </w:rPr>
        <w:t xml:space="preserve">a Pánchez” o “señor Vinueza”) </w:t>
      </w:r>
      <w:r w:rsidR="00F41220" w:rsidRPr="008A6212">
        <w:rPr>
          <w:szCs w:val="20"/>
          <w:lang w:val="es-ES"/>
        </w:rPr>
        <w:t xml:space="preserve">(en </w:t>
      </w:r>
      <w:r w:rsidR="00F41220" w:rsidRPr="00EF4BDB">
        <w:rPr>
          <w:szCs w:val="20"/>
          <w:lang w:val="es-ES"/>
        </w:rPr>
        <w:t>adelante también “presuntas víctimas”</w:t>
      </w:r>
      <w:r w:rsidR="00F33523" w:rsidRPr="00EF4BDB">
        <w:rPr>
          <w:szCs w:val="20"/>
          <w:lang w:val="es-ES"/>
        </w:rPr>
        <w:t xml:space="preserve">) </w:t>
      </w:r>
      <w:r w:rsidR="001A132E" w:rsidRPr="00EF4BDB">
        <w:rPr>
          <w:szCs w:val="20"/>
          <w:lang w:val="es-ES"/>
        </w:rPr>
        <w:t>en mayo de 2003,</w:t>
      </w:r>
      <w:r w:rsidR="00DC6457" w:rsidRPr="00EF4BDB">
        <w:rPr>
          <w:szCs w:val="20"/>
          <w:lang w:val="es-ES"/>
        </w:rPr>
        <w:t xml:space="preserve"> primero bajo la figura de la detención en firme y luego bajo la figura de la detención preventiva</w:t>
      </w:r>
      <w:r w:rsidR="001A132E" w:rsidRPr="00EF4BDB">
        <w:rPr>
          <w:szCs w:val="20"/>
          <w:lang w:val="es-ES"/>
        </w:rPr>
        <w:t>.</w:t>
      </w:r>
      <w:r w:rsidR="00DC6457" w:rsidRPr="00EF4BDB">
        <w:rPr>
          <w:szCs w:val="20"/>
          <w:lang w:val="es-ES"/>
        </w:rPr>
        <w:t xml:space="preserve"> Asimismo,</w:t>
      </w:r>
      <w:r w:rsidR="00FB39D8" w:rsidRPr="00EF4BDB">
        <w:rPr>
          <w:szCs w:val="20"/>
          <w:lang w:val="es-CR"/>
        </w:rPr>
        <w:t xml:space="preserve"> </w:t>
      </w:r>
      <w:r w:rsidR="00DC6457" w:rsidRPr="00EF4BDB">
        <w:rPr>
          <w:szCs w:val="20"/>
          <w:lang w:val="es-CR"/>
        </w:rPr>
        <w:t>l</w:t>
      </w:r>
      <w:r w:rsidR="00C343F7" w:rsidRPr="00EF4BDB">
        <w:rPr>
          <w:szCs w:val="20"/>
        </w:rPr>
        <w:t xml:space="preserve">a Comisión </w:t>
      </w:r>
      <w:r w:rsidR="009337A7" w:rsidRPr="00EF4BDB">
        <w:rPr>
          <w:szCs w:val="20"/>
        </w:rPr>
        <w:t xml:space="preserve">alegó vulneraciones a las garantías judiciales en el proceso seguido contra </w:t>
      </w:r>
      <w:r w:rsidR="005573F2" w:rsidRPr="00EF4BDB">
        <w:rPr>
          <w:szCs w:val="20"/>
        </w:rPr>
        <w:t>las presuntas víctimas</w:t>
      </w:r>
      <w:r w:rsidR="009337A7" w:rsidRPr="00EF4BDB">
        <w:rPr>
          <w:szCs w:val="20"/>
        </w:rPr>
        <w:t xml:space="preserve">, ya que </w:t>
      </w:r>
      <w:r w:rsidR="005573F2" w:rsidRPr="00EF4BDB">
        <w:rPr>
          <w:szCs w:val="20"/>
        </w:rPr>
        <w:t>no</w:t>
      </w:r>
      <w:r w:rsidR="000A088D">
        <w:rPr>
          <w:szCs w:val="20"/>
        </w:rPr>
        <w:t xml:space="preserve"> habrían</w:t>
      </w:r>
      <w:r w:rsidR="005573F2" w:rsidRPr="00EF4BDB">
        <w:rPr>
          <w:szCs w:val="20"/>
        </w:rPr>
        <w:t xml:space="preserve"> conta</w:t>
      </w:r>
      <w:r w:rsidR="000A088D">
        <w:rPr>
          <w:szCs w:val="20"/>
        </w:rPr>
        <w:t>do</w:t>
      </w:r>
      <w:r w:rsidR="005573F2" w:rsidRPr="00EF4BDB">
        <w:rPr>
          <w:szCs w:val="20"/>
        </w:rPr>
        <w:t xml:space="preserve"> con información previa y detallada de la acusació</w:t>
      </w:r>
      <w:r w:rsidR="00EA6417" w:rsidRPr="00EF4BDB">
        <w:rPr>
          <w:szCs w:val="20"/>
        </w:rPr>
        <w:t xml:space="preserve">n ni del tiempo para preparar </w:t>
      </w:r>
      <w:r w:rsidR="00D43695" w:rsidRPr="00EF4BDB">
        <w:rPr>
          <w:szCs w:val="20"/>
        </w:rPr>
        <w:t>la</w:t>
      </w:r>
      <w:r w:rsidR="000865F6" w:rsidRPr="00EF4BDB">
        <w:rPr>
          <w:szCs w:val="20"/>
        </w:rPr>
        <w:t xml:space="preserve"> </w:t>
      </w:r>
      <w:r w:rsidR="005573F2" w:rsidRPr="00EF4BDB">
        <w:rPr>
          <w:szCs w:val="20"/>
        </w:rPr>
        <w:t xml:space="preserve">defensa. </w:t>
      </w:r>
      <w:r w:rsidR="000865F6" w:rsidRPr="00EF4BDB">
        <w:rPr>
          <w:szCs w:val="20"/>
        </w:rPr>
        <w:t xml:space="preserve">Además, </w:t>
      </w:r>
      <w:r w:rsidR="009337A7" w:rsidRPr="00EF4BDB">
        <w:rPr>
          <w:szCs w:val="20"/>
        </w:rPr>
        <w:t xml:space="preserve">adujo </w:t>
      </w:r>
      <w:r w:rsidR="00D43695" w:rsidRPr="00EF4BDB">
        <w:rPr>
          <w:szCs w:val="20"/>
        </w:rPr>
        <w:t>vulneraciones</w:t>
      </w:r>
      <w:r w:rsidR="00C343F7" w:rsidRPr="00EF4BDB">
        <w:rPr>
          <w:szCs w:val="20"/>
        </w:rPr>
        <w:t xml:space="preserve">: i) </w:t>
      </w:r>
      <w:r w:rsidR="00D43695" w:rsidRPr="00EF4BDB">
        <w:rPr>
          <w:szCs w:val="20"/>
        </w:rPr>
        <w:t xml:space="preserve">al </w:t>
      </w:r>
      <w:r w:rsidR="00EA6417" w:rsidRPr="00EF4BDB">
        <w:rPr>
          <w:szCs w:val="20"/>
        </w:rPr>
        <w:t xml:space="preserve">principio de independencia e imparcialidad, en tanto que se afectó </w:t>
      </w:r>
      <w:r w:rsidR="00C343F7" w:rsidRPr="00EF4BDB">
        <w:rPr>
          <w:szCs w:val="20"/>
        </w:rPr>
        <w:t>el derecho de contar con una autoridad competente frente a los múltiples indicios de la falta de competencia de la persona que ejerció como Presidente del tribunal; ii) no se</w:t>
      </w:r>
      <w:r w:rsidR="005573F2" w:rsidRPr="00EF4BDB">
        <w:rPr>
          <w:szCs w:val="20"/>
        </w:rPr>
        <w:t xml:space="preserve"> permitió recurrir el fallo ante un tribunal de superior jerarquía, y</w:t>
      </w:r>
      <w:r w:rsidR="00547207" w:rsidRPr="00EF4BDB">
        <w:rPr>
          <w:szCs w:val="20"/>
        </w:rPr>
        <w:t xml:space="preserve"> </w:t>
      </w:r>
      <w:r w:rsidR="00553994" w:rsidRPr="00EF4BDB">
        <w:rPr>
          <w:szCs w:val="20"/>
        </w:rPr>
        <w:t>(iii)</w:t>
      </w:r>
      <w:r w:rsidR="005573F2" w:rsidRPr="00EF4BDB">
        <w:rPr>
          <w:szCs w:val="20"/>
        </w:rPr>
        <w:t xml:space="preserve"> </w:t>
      </w:r>
      <w:r w:rsidR="000865F6" w:rsidRPr="00EF4BDB">
        <w:rPr>
          <w:szCs w:val="20"/>
        </w:rPr>
        <w:t xml:space="preserve">la </w:t>
      </w:r>
      <w:r w:rsidR="005573F2" w:rsidRPr="00EF4BDB">
        <w:rPr>
          <w:szCs w:val="20"/>
        </w:rPr>
        <w:t>duración del proceso</w:t>
      </w:r>
      <w:r w:rsidR="00C343F7" w:rsidRPr="00EF4BDB">
        <w:rPr>
          <w:szCs w:val="20"/>
        </w:rPr>
        <w:t xml:space="preserve"> tuvo un plazo irrazonable</w:t>
      </w:r>
      <w:r w:rsidR="005573F2" w:rsidRPr="00EF4BDB">
        <w:rPr>
          <w:szCs w:val="20"/>
        </w:rPr>
        <w:t xml:space="preserve">. </w:t>
      </w:r>
    </w:p>
    <w:p w14:paraId="7E1C7369" w14:textId="77777777" w:rsidR="001F429E" w:rsidRPr="00EF4BDB" w:rsidRDefault="001F429E" w:rsidP="001F429E">
      <w:pPr>
        <w:spacing w:before="0" w:after="0"/>
        <w:ind w:right="4"/>
        <w:rPr>
          <w:szCs w:val="20"/>
        </w:rPr>
      </w:pPr>
    </w:p>
    <w:p w14:paraId="6EC482D7" w14:textId="77777777" w:rsidR="00C10DAE" w:rsidRPr="00EF4BDB" w:rsidRDefault="00C10DAE" w:rsidP="001F429E">
      <w:pPr>
        <w:numPr>
          <w:ilvl w:val="0"/>
          <w:numId w:val="2"/>
        </w:numPr>
        <w:spacing w:before="0" w:after="120"/>
        <w:ind w:left="0" w:right="4" w:firstLine="0"/>
        <w:rPr>
          <w:szCs w:val="20"/>
        </w:rPr>
      </w:pPr>
      <w:bookmarkStart w:id="7" w:name="_Ref363651855"/>
      <w:r w:rsidRPr="00EF4BDB">
        <w:rPr>
          <w:i/>
          <w:szCs w:val="20"/>
        </w:rPr>
        <w:t xml:space="preserve">Trámite ante la Comisión. </w:t>
      </w:r>
      <w:r w:rsidRPr="00EF4BDB">
        <w:rPr>
          <w:szCs w:val="20"/>
        </w:rPr>
        <w:t>– El trámite ante la Comisión fue el siguiente:</w:t>
      </w:r>
      <w:bookmarkEnd w:id="7"/>
    </w:p>
    <w:p w14:paraId="03DC6C3E" w14:textId="02C66E42" w:rsidR="00C10DAE" w:rsidRPr="008A6212" w:rsidRDefault="00C10DAE" w:rsidP="00003D4D">
      <w:pPr>
        <w:pStyle w:val="Prrafodelista"/>
        <w:numPr>
          <w:ilvl w:val="0"/>
          <w:numId w:val="1"/>
        </w:numPr>
        <w:spacing w:before="120" w:after="120"/>
        <w:ind w:left="540" w:right="-4"/>
        <w:rPr>
          <w:szCs w:val="20"/>
        </w:rPr>
      </w:pPr>
      <w:r w:rsidRPr="008A6212">
        <w:rPr>
          <w:i/>
          <w:szCs w:val="20"/>
        </w:rPr>
        <w:t>Petición. –</w:t>
      </w:r>
      <w:r w:rsidRPr="008A6212">
        <w:rPr>
          <w:szCs w:val="20"/>
        </w:rPr>
        <w:t xml:space="preserve"> La petición inicial ante</w:t>
      </w:r>
      <w:r w:rsidR="00FB39D8" w:rsidRPr="008A6212">
        <w:rPr>
          <w:szCs w:val="20"/>
        </w:rPr>
        <w:t xml:space="preserve"> la Comisión fue presentada el </w:t>
      </w:r>
      <w:r w:rsidR="000107A7" w:rsidRPr="008A6212">
        <w:rPr>
          <w:szCs w:val="20"/>
        </w:rPr>
        <w:t xml:space="preserve">15 de julio </w:t>
      </w:r>
      <w:r w:rsidR="00FB39D8" w:rsidRPr="008A6212">
        <w:rPr>
          <w:szCs w:val="20"/>
        </w:rPr>
        <w:t>de 200</w:t>
      </w:r>
      <w:r w:rsidR="000107A7" w:rsidRPr="008A6212">
        <w:rPr>
          <w:szCs w:val="20"/>
        </w:rPr>
        <w:t>3</w:t>
      </w:r>
      <w:r w:rsidRPr="008A6212">
        <w:rPr>
          <w:szCs w:val="20"/>
        </w:rPr>
        <w:t xml:space="preserve"> por la señora</w:t>
      </w:r>
      <w:r w:rsidR="000107A7" w:rsidRPr="008A6212">
        <w:rPr>
          <w:szCs w:val="20"/>
          <w:lang w:val="es-CR"/>
        </w:rPr>
        <w:t xml:space="preserve"> María Paula Romo</w:t>
      </w:r>
      <w:r w:rsidR="000107A7" w:rsidRPr="008A6212">
        <w:rPr>
          <w:szCs w:val="20"/>
        </w:rPr>
        <w:t>.</w:t>
      </w:r>
      <w:r w:rsidR="00D16A03" w:rsidRPr="008A6212">
        <w:rPr>
          <w:szCs w:val="20"/>
        </w:rPr>
        <w:t xml:space="preserve"> </w:t>
      </w:r>
    </w:p>
    <w:p w14:paraId="3A313CFF" w14:textId="5060CA6D" w:rsidR="00C10DAE" w:rsidRPr="008A6212" w:rsidRDefault="00C10DAE" w:rsidP="006920D5">
      <w:pPr>
        <w:numPr>
          <w:ilvl w:val="0"/>
          <w:numId w:val="1"/>
        </w:numPr>
        <w:spacing w:before="120" w:after="120"/>
        <w:ind w:left="540" w:right="-4"/>
        <w:rPr>
          <w:szCs w:val="20"/>
        </w:rPr>
      </w:pPr>
      <w:r w:rsidRPr="008A6212">
        <w:rPr>
          <w:i/>
          <w:szCs w:val="20"/>
        </w:rPr>
        <w:t>Informe de Admisibilidad</w:t>
      </w:r>
      <w:r w:rsidR="00FB39D8" w:rsidRPr="008A6212">
        <w:rPr>
          <w:szCs w:val="20"/>
        </w:rPr>
        <w:t xml:space="preserve">. – El </w:t>
      </w:r>
      <w:r w:rsidR="000107A7" w:rsidRPr="008A6212">
        <w:rPr>
          <w:szCs w:val="20"/>
        </w:rPr>
        <w:t>29</w:t>
      </w:r>
      <w:r w:rsidR="00FB39D8" w:rsidRPr="008A6212">
        <w:rPr>
          <w:szCs w:val="20"/>
        </w:rPr>
        <w:t xml:space="preserve"> de </w:t>
      </w:r>
      <w:r w:rsidR="000107A7" w:rsidRPr="008A6212">
        <w:rPr>
          <w:szCs w:val="20"/>
        </w:rPr>
        <w:t xml:space="preserve">enero </w:t>
      </w:r>
      <w:r w:rsidRPr="008A6212">
        <w:rPr>
          <w:szCs w:val="20"/>
        </w:rPr>
        <w:t>de 20</w:t>
      </w:r>
      <w:r w:rsidR="000107A7" w:rsidRPr="008A6212">
        <w:rPr>
          <w:szCs w:val="20"/>
        </w:rPr>
        <w:t>15</w:t>
      </w:r>
      <w:r w:rsidRPr="008A6212">
        <w:rPr>
          <w:szCs w:val="20"/>
        </w:rPr>
        <w:t xml:space="preserve"> la Comisión aprobó el Informe de Admisibilidad N</w:t>
      </w:r>
      <w:r w:rsidR="00003D4D" w:rsidRPr="006920D5">
        <w:rPr>
          <w:szCs w:val="20"/>
        </w:rPr>
        <w:t>o</w:t>
      </w:r>
      <w:r w:rsidR="00FB39D8" w:rsidRPr="008A6212">
        <w:rPr>
          <w:szCs w:val="20"/>
        </w:rPr>
        <w:t>. 6</w:t>
      </w:r>
      <w:r w:rsidRPr="008A6212">
        <w:rPr>
          <w:szCs w:val="20"/>
        </w:rPr>
        <w:t>/</w:t>
      </w:r>
      <w:r w:rsidR="000107A7" w:rsidRPr="008A6212">
        <w:rPr>
          <w:szCs w:val="20"/>
        </w:rPr>
        <w:t>15</w:t>
      </w:r>
      <w:r w:rsidR="00DB7AC5" w:rsidRPr="008A6212">
        <w:rPr>
          <w:szCs w:val="20"/>
        </w:rPr>
        <w:t xml:space="preserve"> </w:t>
      </w:r>
      <w:r w:rsidR="00C5436F" w:rsidRPr="008A6212">
        <w:rPr>
          <w:szCs w:val="20"/>
        </w:rPr>
        <w:t>y se puso a disposición a fin de llegar a una solución amistosa</w:t>
      </w:r>
      <w:r w:rsidRPr="008A6212">
        <w:rPr>
          <w:szCs w:val="20"/>
        </w:rPr>
        <w:t xml:space="preserve">. </w:t>
      </w:r>
      <w:r w:rsidR="002D140E" w:rsidRPr="008A6212">
        <w:rPr>
          <w:b/>
          <w:sz w:val="16"/>
          <w:szCs w:val="16"/>
          <w:lang w:val="es-CR"/>
        </w:rPr>
        <w:t xml:space="preserve"> </w:t>
      </w:r>
    </w:p>
    <w:p w14:paraId="0DFDDE81" w14:textId="7F1A3CA9" w:rsidR="00C10DAE" w:rsidRPr="008A6212" w:rsidRDefault="00C10DAE" w:rsidP="006920D5">
      <w:pPr>
        <w:numPr>
          <w:ilvl w:val="0"/>
          <w:numId w:val="1"/>
        </w:numPr>
        <w:spacing w:before="120" w:after="120"/>
        <w:ind w:left="540" w:right="-4"/>
        <w:rPr>
          <w:szCs w:val="20"/>
        </w:rPr>
      </w:pPr>
      <w:r w:rsidRPr="0080216E">
        <w:rPr>
          <w:i/>
          <w:szCs w:val="20"/>
        </w:rPr>
        <w:t>Informe de Fondo</w:t>
      </w:r>
      <w:r w:rsidR="00FB39D8" w:rsidRPr="0080216E">
        <w:rPr>
          <w:szCs w:val="20"/>
        </w:rPr>
        <w:t xml:space="preserve">. - El </w:t>
      </w:r>
      <w:r w:rsidR="000107A7" w:rsidRPr="0080216E">
        <w:rPr>
          <w:szCs w:val="20"/>
        </w:rPr>
        <w:t>5</w:t>
      </w:r>
      <w:r w:rsidR="00FB39D8" w:rsidRPr="0080216E">
        <w:rPr>
          <w:szCs w:val="20"/>
        </w:rPr>
        <w:t xml:space="preserve"> de </w:t>
      </w:r>
      <w:r w:rsidR="000107A7" w:rsidRPr="0080216E">
        <w:rPr>
          <w:szCs w:val="20"/>
        </w:rPr>
        <w:t>octubre</w:t>
      </w:r>
      <w:r w:rsidRPr="0080216E">
        <w:rPr>
          <w:szCs w:val="20"/>
        </w:rPr>
        <w:t xml:space="preserve"> de 201</w:t>
      </w:r>
      <w:r w:rsidR="00FB39D8" w:rsidRPr="0080216E">
        <w:rPr>
          <w:szCs w:val="20"/>
        </w:rPr>
        <w:t>8</w:t>
      </w:r>
      <w:r w:rsidRPr="0080216E">
        <w:rPr>
          <w:szCs w:val="20"/>
        </w:rPr>
        <w:t xml:space="preserve"> la Comisión emitió el Informe de Fondo N</w:t>
      </w:r>
      <w:r w:rsidRPr="006920D5">
        <w:rPr>
          <w:szCs w:val="20"/>
        </w:rPr>
        <w:t>o</w:t>
      </w:r>
      <w:r w:rsidR="00003D4D" w:rsidRPr="006920D5">
        <w:rPr>
          <w:szCs w:val="20"/>
        </w:rPr>
        <w:t xml:space="preserve">. </w:t>
      </w:r>
      <w:r w:rsidR="000107A7" w:rsidRPr="0080216E">
        <w:rPr>
          <w:szCs w:val="20"/>
        </w:rPr>
        <w:t>113</w:t>
      </w:r>
      <w:r w:rsidR="00FB39D8" w:rsidRPr="008A6212">
        <w:rPr>
          <w:szCs w:val="20"/>
        </w:rPr>
        <w:t>/18</w:t>
      </w:r>
      <w:r w:rsidRPr="0080216E">
        <w:rPr>
          <w:rStyle w:val="Refdenotaalpie"/>
        </w:rPr>
        <w:footnoteReference w:id="5"/>
      </w:r>
      <w:r w:rsidR="005D1538" w:rsidRPr="0080216E">
        <w:rPr>
          <w:szCs w:val="20"/>
        </w:rPr>
        <w:t xml:space="preserve"> (en adelante </w:t>
      </w:r>
      <w:r w:rsidRPr="0080216E">
        <w:rPr>
          <w:szCs w:val="20"/>
        </w:rPr>
        <w:t>el “Informe de Fondo</w:t>
      </w:r>
      <w:r w:rsidR="000142E7" w:rsidRPr="0080216E">
        <w:rPr>
          <w:szCs w:val="20"/>
        </w:rPr>
        <w:t>”</w:t>
      </w:r>
      <w:r w:rsidRPr="0080216E">
        <w:rPr>
          <w:szCs w:val="20"/>
        </w:rPr>
        <w:t>), conforme al artículo 50 de la Convención, en el cual llegó a una serie de conclusiones</w:t>
      </w:r>
      <w:r w:rsidR="00AD4E09" w:rsidRPr="0080216E">
        <w:rPr>
          <w:rStyle w:val="Refdenotaalpie"/>
        </w:rPr>
        <w:footnoteReference w:id="6"/>
      </w:r>
      <w:r w:rsidRPr="0080216E">
        <w:rPr>
          <w:szCs w:val="20"/>
        </w:rPr>
        <w:t xml:space="preserve"> y formuló v</w:t>
      </w:r>
      <w:r w:rsidR="00003D4D" w:rsidRPr="0080216E">
        <w:rPr>
          <w:szCs w:val="20"/>
        </w:rPr>
        <w:t>arias recomendaciones al Estado.</w:t>
      </w:r>
      <w:r w:rsidR="00D16A03" w:rsidRPr="0080216E">
        <w:rPr>
          <w:b/>
          <w:szCs w:val="20"/>
          <w:lang w:val="es-CR"/>
        </w:rPr>
        <w:t xml:space="preserve"> </w:t>
      </w:r>
    </w:p>
    <w:p w14:paraId="5F4DA280" w14:textId="1B89481D" w:rsidR="00C10DAE" w:rsidRPr="008A6212" w:rsidRDefault="00C10DAE" w:rsidP="006920D5">
      <w:pPr>
        <w:numPr>
          <w:ilvl w:val="0"/>
          <w:numId w:val="1"/>
        </w:numPr>
        <w:spacing w:before="120" w:after="120"/>
        <w:ind w:left="540" w:right="-4"/>
        <w:rPr>
          <w:szCs w:val="20"/>
          <w:lang w:val="es-AR"/>
        </w:rPr>
      </w:pPr>
      <w:r w:rsidRPr="008A6212">
        <w:rPr>
          <w:i/>
          <w:szCs w:val="20"/>
        </w:rPr>
        <w:t xml:space="preserve">Notificación al Estado. – </w:t>
      </w:r>
      <w:r w:rsidRPr="008A6212">
        <w:rPr>
          <w:szCs w:val="20"/>
        </w:rPr>
        <w:t>El Informe de Fondo fue notificado al Estado el</w:t>
      </w:r>
      <w:r w:rsidR="00C245B6" w:rsidRPr="008A6212">
        <w:rPr>
          <w:szCs w:val="20"/>
        </w:rPr>
        <w:t xml:space="preserve"> 1</w:t>
      </w:r>
      <w:r w:rsidR="00AC2DA2" w:rsidRPr="008A6212">
        <w:rPr>
          <w:szCs w:val="20"/>
        </w:rPr>
        <w:t>3 de noviembre</w:t>
      </w:r>
      <w:r w:rsidR="00C245B6" w:rsidRPr="008A6212">
        <w:rPr>
          <w:szCs w:val="20"/>
        </w:rPr>
        <w:t xml:space="preserve"> de 201</w:t>
      </w:r>
      <w:r w:rsidR="00AC2DA2" w:rsidRPr="008A6212">
        <w:rPr>
          <w:szCs w:val="20"/>
        </w:rPr>
        <w:t>8</w:t>
      </w:r>
      <w:r w:rsidR="00C245B6" w:rsidRPr="008A6212">
        <w:rPr>
          <w:szCs w:val="20"/>
        </w:rPr>
        <w:t>.</w:t>
      </w:r>
      <w:r w:rsidR="00D16A03" w:rsidRPr="008A6212">
        <w:rPr>
          <w:szCs w:val="20"/>
        </w:rPr>
        <w:t xml:space="preserve"> </w:t>
      </w:r>
      <w:r w:rsidR="00011229" w:rsidRPr="00D14092">
        <w:rPr>
          <w:szCs w:val="20"/>
          <w:lang w:val="es-CR"/>
        </w:rPr>
        <w:t>Des</w:t>
      </w:r>
      <w:r w:rsidR="00011229" w:rsidRPr="008A6212">
        <w:rPr>
          <w:szCs w:val="20"/>
          <w:lang w:val="es-CR"/>
        </w:rPr>
        <w:t xml:space="preserve">pués del otorgamiento </w:t>
      </w:r>
      <w:r w:rsidR="006C4BF4">
        <w:rPr>
          <w:szCs w:val="20"/>
          <w:lang w:val="es-CR"/>
        </w:rPr>
        <w:t xml:space="preserve">por parte </w:t>
      </w:r>
      <w:r w:rsidR="00011229" w:rsidRPr="008A6212">
        <w:rPr>
          <w:szCs w:val="20"/>
          <w:lang w:val="es-CR"/>
        </w:rPr>
        <w:t xml:space="preserve">de la Comisión de tres prórrogas al Estado de tres meses y de un mes, respectivamente, el Estado no presentó información sobre </w:t>
      </w:r>
      <w:r w:rsidR="00011229" w:rsidRPr="008A6212">
        <w:rPr>
          <w:szCs w:val="20"/>
          <w:lang w:val="es-CR"/>
        </w:rPr>
        <w:lastRenderedPageBreak/>
        <w:t xml:space="preserve">el cumplimiento de las recomendaciones. </w:t>
      </w:r>
      <w:r w:rsidR="00D91847">
        <w:rPr>
          <w:szCs w:val="20"/>
          <w:lang w:val="es-CR"/>
        </w:rPr>
        <w:t>T</w:t>
      </w:r>
      <w:r w:rsidR="00011229" w:rsidRPr="008A6212">
        <w:rPr>
          <w:szCs w:val="20"/>
          <w:lang w:val="es-CR"/>
        </w:rPr>
        <w:t>ampoco solicitó una prórroga conforme al Reglamento de la Comisión para tales efectos.</w:t>
      </w:r>
      <w:r w:rsidR="00011229" w:rsidRPr="008A6212">
        <w:rPr>
          <w:b/>
          <w:szCs w:val="20"/>
          <w:lang w:val="es-CR"/>
        </w:rPr>
        <w:t xml:space="preserve"> </w:t>
      </w:r>
    </w:p>
    <w:p w14:paraId="405FE5B6" w14:textId="5536B72C" w:rsidR="00C10DAE" w:rsidRPr="008A6212" w:rsidRDefault="00C10DAE" w:rsidP="00003D4D">
      <w:pPr>
        <w:numPr>
          <w:ilvl w:val="0"/>
          <w:numId w:val="1"/>
        </w:numPr>
        <w:spacing w:before="120" w:after="120"/>
        <w:ind w:left="540" w:right="-4"/>
        <w:rPr>
          <w:szCs w:val="20"/>
        </w:rPr>
      </w:pPr>
      <w:r w:rsidRPr="008A6212">
        <w:rPr>
          <w:i/>
          <w:szCs w:val="20"/>
        </w:rPr>
        <w:t>Sometimiento a la Corte. –</w:t>
      </w:r>
      <w:r w:rsidR="00C5436F" w:rsidRPr="008A6212">
        <w:rPr>
          <w:szCs w:val="20"/>
        </w:rPr>
        <w:t xml:space="preserve"> El 1</w:t>
      </w:r>
      <w:r w:rsidR="000107A7" w:rsidRPr="008A6212">
        <w:rPr>
          <w:szCs w:val="20"/>
        </w:rPr>
        <w:t>3</w:t>
      </w:r>
      <w:r w:rsidR="00C5436F" w:rsidRPr="008A6212">
        <w:rPr>
          <w:szCs w:val="20"/>
        </w:rPr>
        <w:t xml:space="preserve"> de </w:t>
      </w:r>
      <w:r w:rsidR="000107A7" w:rsidRPr="008A6212">
        <w:rPr>
          <w:szCs w:val="20"/>
        </w:rPr>
        <w:t>septiembre</w:t>
      </w:r>
      <w:r w:rsidR="00C5436F" w:rsidRPr="008A6212">
        <w:rPr>
          <w:szCs w:val="20"/>
        </w:rPr>
        <w:t xml:space="preserve"> de 201</w:t>
      </w:r>
      <w:r w:rsidR="000107A7" w:rsidRPr="008A6212">
        <w:rPr>
          <w:szCs w:val="20"/>
        </w:rPr>
        <w:t>9</w:t>
      </w:r>
      <w:r w:rsidRPr="008A6212">
        <w:rPr>
          <w:szCs w:val="20"/>
        </w:rPr>
        <w:t xml:space="preserve"> la Comisión</w:t>
      </w:r>
      <w:r w:rsidR="00AD4E09" w:rsidRPr="008A6212">
        <w:rPr>
          <w:rStyle w:val="Refdenotaalpie"/>
        </w:rPr>
        <w:footnoteReference w:id="7"/>
      </w:r>
      <w:r w:rsidRPr="008A6212">
        <w:rPr>
          <w:szCs w:val="20"/>
        </w:rPr>
        <w:t xml:space="preserve"> sometió </w:t>
      </w:r>
      <w:r w:rsidRPr="008A6212">
        <w:rPr>
          <w:rFonts w:eastAsiaTheme="minorHAnsi" w:cs="Verdana"/>
          <w:szCs w:val="20"/>
          <w:lang w:val="es-ES"/>
        </w:rPr>
        <w:t xml:space="preserve">a la jurisdicción de la Corte la totalidad de los hechos y supuestas violaciones de derechos humanos descritas </w:t>
      </w:r>
      <w:r w:rsidR="00520750" w:rsidRPr="008A6212">
        <w:rPr>
          <w:rFonts w:eastAsiaTheme="minorHAnsi" w:cs="Verdana"/>
          <w:szCs w:val="20"/>
          <w:lang w:val="es-ES"/>
        </w:rPr>
        <w:t xml:space="preserve">en el Informe de Fondo </w:t>
      </w:r>
      <w:r w:rsidR="00003D4D" w:rsidRPr="008A6212">
        <w:rPr>
          <w:szCs w:val="20"/>
        </w:rPr>
        <w:t>N</w:t>
      </w:r>
      <w:r w:rsidR="00003D4D" w:rsidRPr="006920D5">
        <w:rPr>
          <w:szCs w:val="20"/>
        </w:rPr>
        <w:t>o</w:t>
      </w:r>
      <w:r w:rsidR="00003D4D" w:rsidRPr="008A6212">
        <w:rPr>
          <w:szCs w:val="20"/>
        </w:rPr>
        <w:t xml:space="preserve">. </w:t>
      </w:r>
      <w:r w:rsidR="000107A7" w:rsidRPr="008A6212">
        <w:rPr>
          <w:rFonts w:eastAsiaTheme="minorHAnsi" w:cs="Verdana"/>
          <w:szCs w:val="20"/>
          <w:lang w:val="es-ES"/>
        </w:rPr>
        <w:t>113</w:t>
      </w:r>
      <w:r w:rsidR="00520750" w:rsidRPr="008A6212">
        <w:rPr>
          <w:rFonts w:eastAsiaTheme="minorHAnsi" w:cs="Verdana"/>
          <w:szCs w:val="20"/>
          <w:lang w:val="es-ES"/>
        </w:rPr>
        <w:t>/18</w:t>
      </w:r>
      <w:r w:rsidR="001D22CD">
        <w:rPr>
          <w:rFonts w:eastAsiaTheme="minorHAnsi" w:cs="Verdana"/>
          <w:szCs w:val="20"/>
          <w:lang w:val="es-ES"/>
        </w:rPr>
        <w:t>, “ante la necesidad de obtención de justicia en el caso particular”</w:t>
      </w:r>
      <w:r w:rsidRPr="008A6212">
        <w:rPr>
          <w:szCs w:val="20"/>
        </w:rPr>
        <w:t>.</w:t>
      </w:r>
      <w:r w:rsidR="00D16A03" w:rsidRPr="008A6212">
        <w:rPr>
          <w:szCs w:val="20"/>
        </w:rPr>
        <w:t xml:space="preserve"> </w:t>
      </w:r>
    </w:p>
    <w:p w14:paraId="39FC4F75" w14:textId="611BE360" w:rsidR="00C10DAE" w:rsidRPr="00D14092" w:rsidRDefault="008A6212" w:rsidP="008A6212">
      <w:pPr>
        <w:spacing w:before="120" w:after="120"/>
        <w:ind w:left="540" w:right="-4"/>
        <w:rPr>
          <w:szCs w:val="20"/>
          <w:highlight w:val="yellow"/>
        </w:rPr>
      </w:pPr>
      <w:r w:rsidRPr="008A6212">
        <w:rPr>
          <w:szCs w:val="20"/>
        </w:rPr>
        <w:t>f</w:t>
      </w:r>
      <w:r w:rsidRPr="008A6212">
        <w:rPr>
          <w:i/>
          <w:szCs w:val="20"/>
        </w:rPr>
        <w:t>.</w:t>
      </w:r>
      <w:r>
        <w:rPr>
          <w:i/>
          <w:szCs w:val="20"/>
        </w:rPr>
        <w:tab/>
      </w:r>
      <w:r>
        <w:rPr>
          <w:i/>
          <w:szCs w:val="20"/>
        </w:rPr>
        <w:tab/>
      </w:r>
      <w:r w:rsidR="00C10DAE" w:rsidRPr="008A6212">
        <w:rPr>
          <w:i/>
          <w:szCs w:val="20"/>
        </w:rPr>
        <w:t xml:space="preserve">Solicitud de la Comisión Interamericana. – </w:t>
      </w:r>
      <w:r w:rsidR="00CA63EE" w:rsidRPr="008A6212">
        <w:rPr>
          <w:szCs w:val="20"/>
        </w:rPr>
        <w:t>L</w:t>
      </w:r>
      <w:r w:rsidR="00C10DAE" w:rsidRPr="008A6212">
        <w:rPr>
          <w:szCs w:val="20"/>
        </w:rPr>
        <w:t xml:space="preserve">a Comisión solicitó a la Corte que </w:t>
      </w:r>
      <w:r w:rsidR="004A5CC1" w:rsidRPr="008A6212">
        <w:rPr>
          <w:szCs w:val="20"/>
        </w:rPr>
        <w:t xml:space="preserve">concluyera </w:t>
      </w:r>
      <w:r w:rsidR="00C10DAE" w:rsidRPr="008A6212">
        <w:rPr>
          <w:szCs w:val="20"/>
        </w:rPr>
        <w:t xml:space="preserve">y </w:t>
      </w:r>
      <w:r w:rsidR="004A5CC1" w:rsidRPr="008A6212">
        <w:rPr>
          <w:szCs w:val="20"/>
        </w:rPr>
        <w:t xml:space="preserve">declarara </w:t>
      </w:r>
      <w:r w:rsidR="00C10DAE" w:rsidRPr="008A6212">
        <w:rPr>
          <w:szCs w:val="20"/>
        </w:rPr>
        <w:t xml:space="preserve">la responsabilidad internacional de </w:t>
      </w:r>
      <w:r w:rsidR="000107A7" w:rsidRPr="008A6212">
        <w:rPr>
          <w:szCs w:val="20"/>
        </w:rPr>
        <w:t>Ecuador</w:t>
      </w:r>
      <w:r w:rsidR="00C10DAE" w:rsidRPr="008A6212">
        <w:rPr>
          <w:szCs w:val="20"/>
        </w:rPr>
        <w:t xml:space="preserve"> por la alegada violación de los derechos indicados en las conclusiones del Informe de Fondo</w:t>
      </w:r>
      <w:r w:rsidR="00C10DAE" w:rsidRPr="008A6212">
        <w:rPr>
          <w:rFonts w:eastAsiaTheme="minorHAnsi" w:cs="Arial"/>
          <w:bCs/>
          <w:szCs w:val="20"/>
          <w:lang w:val="es-CR"/>
        </w:rPr>
        <w:t xml:space="preserve">. </w:t>
      </w:r>
      <w:r w:rsidR="00C10DAE" w:rsidRPr="008A6212">
        <w:rPr>
          <w:rFonts w:eastAsia="Calibri" w:cs="Verdana"/>
          <w:szCs w:val="20"/>
        </w:rPr>
        <w:t>Adicionalmente</w:t>
      </w:r>
      <w:r w:rsidR="00C10DAE" w:rsidRPr="008A6212">
        <w:rPr>
          <w:szCs w:val="20"/>
        </w:rPr>
        <w:t>, solicitó a la Corte que ordene al Estado determinadas medidas de reparación</w:t>
      </w:r>
      <w:r w:rsidR="004A5CC1" w:rsidRPr="008A6212">
        <w:rPr>
          <w:szCs w:val="20"/>
        </w:rPr>
        <w:t xml:space="preserve"> (</w:t>
      </w:r>
      <w:r w:rsidR="004A5CC1" w:rsidRPr="008A6212">
        <w:rPr>
          <w:i/>
          <w:szCs w:val="20"/>
        </w:rPr>
        <w:t>infra</w:t>
      </w:r>
      <w:r w:rsidR="00520750" w:rsidRPr="008A6212">
        <w:rPr>
          <w:szCs w:val="20"/>
        </w:rPr>
        <w:t xml:space="preserve"> Capítulo </w:t>
      </w:r>
      <w:r w:rsidR="001A62CA">
        <w:rPr>
          <w:szCs w:val="20"/>
        </w:rPr>
        <w:t>VIII</w:t>
      </w:r>
      <w:r w:rsidR="004A5CC1" w:rsidRPr="008A6212">
        <w:rPr>
          <w:szCs w:val="20"/>
        </w:rPr>
        <w:t>)</w:t>
      </w:r>
      <w:r w:rsidR="00C10DAE" w:rsidRPr="008A6212">
        <w:rPr>
          <w:szCs w:val="20"/>
        </w:rPr>
        <w:t>.</w:t>
      </w:r>
      <w:r w:rsidR="00D16A03" w:rsidRPr="008A6212">
        <w:rPr>
          <w:szCs w:val="20"/>
        </w:rPr>
        <w:t xml:space="preserve"> </w:t>
      </w:r>
      <w:r w:rsidR="00F82115" w:rsidRPr="008A6212">
        <w:rPr>
          <w:szCs w:val="20"/>
        </w:rPr>
        <w:t xml:space="preserve">Este Tribunal nota </w:t>
      </w:r>
      <w:r w:rsidR="00FC1883" w:rsidRPr="008A6212">
        <w:rPr>
          <w:szCs w:val="20"/>
        </w:rPr>
        <w:t xml:space="preserve">con preocupación </w:t>
      </w:r>
      <w:r w:rsidR="00F82115" w:rsidRPr="008A6212">
        <w:rPr>
          <w:szCs w:val="20"/>
        </w:rPr>
        <w:t xml:space="preserve">que, entre la presentación de la petición inicial ante la Comisión y el sometimiento del caso ante la Corte, han transcurrido </w:t>
      </w:r>
      <w:r w:rsidR="00F30A32" w:rsidRPr="008A6212">
        <w:rPr>
          <w:szCs w:val="20"/>
        </w:rPr>
        <w:t>más</w:t>
      </w:r>
      <w:r w:rsidR="00F82115" w:rsidRPr="008A6212">
        <w:rPr>
          <w:szCs w:val="20"/>
        </w:rPr>
        <w:t xml:space="preserve"> de </w:t>
      </w:r>
      <w:r w:rsidR="00F82115" w:rsidRPr="00097D63">
        <w:rPr>
          <w:szCs w:val="20"/>
        </w:rPr>
        <w:t>1</w:t>
      </w:r>
      <w:r w:rsidR="00DB2382" w:rsidRPr="00097D63">
        <w:rPr>
          <w:szCs w:val="20"/>
        </w:rPr>
        <w:t>6</w:t>
      </w:r>
      <w:r w:rsidR="00F82115" w:rsidRPr="008A6212">
        <w:rPr>
          <w:szCs w:val="20"/>
        </w:rPr>
        <w:t xml:space="preserve"> años.</w:t>
      </w:r>
      <w:r w:rsidR="00B94222" w:rsidRPr="008A6212">
        <w:rPr>
          <w:b/>
          <w:bCs/>
          <w:szCs w:val="20"/>
        </w:rPr>
        <w:t xml:space="preserve"> </w:t>
      </w:r>
    </w:p>
    <w:p w14:paraId="1F811B44" w14:textId="77777777" w:rsidR="009B488E" w:rsidRPr="0092295B" w:rsidRDefault="00F0482A" w:rsidP="00F0482A">
      <w:pPr>
        <w:pStyle w:val="Ttulo1"/>
        <w:spacing w:before="360" w:after="360"/>
      </w:pPr>
      <w:bookmarkStart w:id="8" w:name="_Toc359314415"/>
      <w:bookmarkStart w:id="9" w:name="_Toc361671572"/>
      <w:bookmarkStart w:id="10" w:name="_Toc361671992"/>
      <w:bookmarkStart w:id="11" w:name="_Toc361732789"/>
      <w:bookmarkStart w:id="12" w:name="_Toc361732832"/>
      <w:bookmarkStart w:id="13" w:name="_Toc362456863"/>
      <w:bookmarkStart w:id="14" w:name="_Toc365021392"/>
      <w:bookmarkStart w:id="15" w:name="_Toc369076778"/>
      <w:bookmarkStart w:id="16" w:name="_Toc369989362"/>
      <w:bookmarkStart w:id="17" w:name="_Toc369989449"/>
      <w:bookmarkStart w:id="18" w:name="_Toc369989730"/>
      <w:bookmarkStart w:id="19" w:name="_Toc438132270"/>
      <w:bookmarkStart w:id="20" w:name="_Toc311128156"/>
      <w:bookmarkStart w:id="21" w:name="_Toc311128353"/>
      <w:bookmarkStart w:id="22" w:name="_Toc460237943"/>
      <w:bookmarkStart w:id="23" w:name="_Toc460238240"/>
      <w:bookmarkStart w:id="24" w:name="_Toc470105093"/>
      <w:bookmarkStart w:id="25" w:name="_Toc87338994"/>
      <w:r w:rsidRPr="0092295B">
        <w:t>II</w:t>
      </w:r>
      <w:r w:rsidRPr="0092295B">
        <w:rPr>
          <w:color w:val="FFFFFF" w:themeColor="background1"/>
        </w:rPr>
        <w:t>.</w:t>
      </w:r>
      <w:r w:rsidRPr="0092295B">
        <w:br/>
      </w:r>
      <w:r w:rsidR="00296C50" w:rsidRPr="0092295B">
        <w:t>PROCEDIMIENTO ANTE LA CORTE</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36FFB86D" w14:textId="47F7512F" w:rsidR="00296C50" w:rsidRDefault="005D1538" w:rsidP="001F429E">
      <w:pPr>
        <w:numPr>
          <w:ilvl w:val="0"/>
          <w:numId w:val="2"/>
        </w:numPr>
        <w:spacing w:before="0" w:after="0"/>
        <w:ind w:left="0" w:right="4" w:firstLine="0"/>
        <w:rPr>
          <w:szCs w:val="20"/>
        </w:rPr>
      </w:pPr>
      <w:r w:rsidRPr="0092295B">
        <w:rPr>
          <w:i/>
          <w:szCs w:val="20"/>
          <w:lang w:eastAsia="es-ES"/>
        </w:rPr>
        <w:t>Notificación al Estado y al representante</w:t>
      </w:r>
      <w:r w:rsidR="00296C50" w:rsidRPr="0092295B">
        <w:rPr>
          <w:rStyle w:val="Refdenotaalpie"/>
        </w:rPr>
        <w:footnoteReference w:id="8"/>
      </w:r>
      <w:r w:rsidR="00296C50" w:rsidRPr="0092295B">
        <w:rPr>
          <w:i/>
          <w:szCs w:val="20"/>
          <w:lang w:eastAsia="es-ES"/>
        </w:rPr>
        <w:t>.</w:t>
      </w:r>
      <w:r w:rsidR="00296C50" w:rsidRPr="0092295B">
        <w:rPr>
          <w:szCs w:val="20"/>
          <w:lang w:eastAsia="es-ES"/>
        </w:rPr>
        <w:t xml:space="preserve"> – </w:t>
      </w:r>
      <w:r w:rsidR="00F70FAC" w:rsidRPr="0092295B">
        <w:rPr>
          <w:szCs w:val="20"/>
        </w:rPr>
        <w:t xml:space="preserve">El sometimiento del caso fue notificado </w:t>
      </w:r>
      <w:r w:rsidR="00F30A32" w:rsidRPr="0092295B">
        <w:rPr>
          <w:szCs w:val="20"/>
        </w:rPr>
        <w:t>al E</w:t>
      </w:r>
      <w:r w:rsidR="00151F1D" w:rsidRPr="0092295B">
        <w:rPr>
          <w:szCs w:val="20"/>
        </w:rPr>
        <w:t>stado el 6 de noviembre de 201</w:t>
      </w:r>
      <w:r w:rsidR="00095599">
        <w:rPr>
          <w:szCs w:val="20"/>
        </w:rPr>
        <w:t>9</w:t>
      </w:r>
      <w:r w:rsidR="00F30A32" w:rsidRPr="0092295B">
        <w:rPr>
          <w:szCs w:val="20"/>
        </w:rPr>
        <w:t xml:space="preserve"> y </w:t>
      </w:r>
      <w:r w:rsidRPr="0092295B">
        <w:rPr>
          <w:szCs w:val="20"/>
        </w:rPr>
        <w:t>al representante</w:t>
      </w:r>
      <w:r w:rsidR="00F70FAC" w:rsidRPr="0092295B">
        <w:rPr>
          <w:szCs w:val="20"/>
        </w:rPr>
        <w:t xml:space="preserve"> de la</w:t>
      </w:r>
      <w:r w:rsidR="009D6C65" w:rsidRPr="0092295B">
        <w:rPr>
          <w:szCs w:val="20"/>
        </w:rPr>
        <w:t>s</w:t>
      </w:r>
      <w:r w:rsidR="00F70FAC" w:rsidRPr="0092295B">
        <w:rPr>
          <w:szCs w:val="20"/>
        </w:rPr>
        <w:t xml:space="preserve"> presu</w:t>
      </w:r>
      <w:r w:rsidR="00B27433" w:rsidRPr="0092295B">
        <w:rPr>
          <w:szCs w:val="20"/>
        </w:rPr>
        <w:t>n</w:t>
      </w:r>
      <w:r w:rsidR="00F70FAC" w:rsidRPr="0092295B">
        <w:rPr>
          <w:szCs w:val="20"/>
        </w:rPr>
        <w:t>ta</w:t>
      </w:r>
      <w:r w:rsidR="009D6C65" w:rsidRPr="0092295B">
        <w:rPr>
          <w:szCs w:val="20"/>
        </w:rPr>
        <w:t>s</w:t>
      </w:r>
      <w:r w:rsidR="00F70FAC" w:rsidRPr="0092295B">
        <w:rPr>
          <w:szCs w:val="20"/>
        </w:rPr>
        <w:t xml:space="preserve"> víctima</w:t>
      </w:r>
      <w:r w:rsidR="009D6C65" w:rsidRPr="0092295B">
        <w:rPr>
          <w:szCs w:val="20"/>
        </w:rPr>
        <w:t>s</w:t>
      </w:r>
      <w:r w:rsidR="00F70FAC" w:rsidRPr="0092295B">
        <w:rPr>
          <w:szCs w:val="20"/>
        </w:rPr>
        <w:t xml:space="preserve"> el </w:t>
      </w:r>
      <w:r w:rsidR="00B27433" w:rsidRPr="0092295B">
        <w:rPr>
          <w:szCs w:val="20"/>
        </w:rPr>
        <w:t>8</w:t>
      </w:r>
      <w:r w:rsidR="0028664A" w:rsidRPr="0092295B">
        <w:rPr>
          <w:szCs w:val="20"/>
        </w:rPr>
        <w:t xml:space="preserve"> de </w:t>
      </w:r>
      <w:r w:rsidR="00B27433" w:rsidRPr="0092295B">
        <w:rPr>
          <w:szCs w:val="20"/>
        </w:rPr>
        <w:t>noviembre</w:t>
      </w:r>
      <w:r w:rsidR="0028664A" w:rsidRPr="0092295B">
        <w:rPr>
          <w:szCs w:val="20"/>
        </w:rPr>
        <w:t xml:space="preserve"> de</w:t>
      </w:r>
      <w:r w:rsidR="00520750" w:rsidRPr="0092295B">
        <w:rPr>
          <w:szCs w:val="20"/>
        </w:rPr>
        <w:t xml:space="preserve"> 201</w:t>
      </w:r>
      <w:r w:rsidR="00095599">
        <w:rPr>
          <w:szCs w:val="20"/>
        </w:rPr>
        <w:t>9.</w:t>
      </w:r>
    </w:p>
    <w:p w14:paraId="75F24AF1" w14:textId="77777777" w:rsidR="001F429E" w:rsidRPr="0092295B" w:rsidRDefault="001F429E" w:rsidP="001F429E">
      <w:pPr>
        <w:spacing w:before="0" w:after="0"/>
        <w:ind w:right="4"/>
        <w:rPr>
          <w:szCs w:val="20"/>
        </w:rPr>
      </w:pPr>
    </w:p>
    <w:p w14:paraId="0B52F455" w14:textId="4889463B" w:rsidR="00B85857" w:rsidRPr="001F429E" w:rsidRDefault="00B85857" w:rsidP="001F429E">
      <w:pPr>
        <w:numPr>
          <w:ilvl w:val="0"/>
          <w:numId w:val="2"/>
        </w:numPr>
        <w:spacing w:before="0" w:after="0"/>
        <w:ind w:left="0" w:right="4" w:firstLine="0"/>
        <w:rPr>
          <w:szCs w:val="20"/>
          <w:lang w:eastAsia="es-ES"/>
        </w:rPr>
      </w:pPr>
      <w:r w:rsidRPr="0092295B">
        <w:rPr>
          <w:i/>
          <w:szCs w:val="20"/>
          <w:lang w:eastAsia="es-ES"/>
        </w:rPr>
        <w:t xml:space="preserve">Escrito de </w:t>
      </w:r>
      <w:r w:rsidRPr="00095599">
        <w:rPr>
          <w:i/>
          <w:szCs w:val="20"/>
          <w:lang w:eastAsia="es-ES"/>
        </w:rPr>
        <w:t>solicitudes, argumentos y pruebas</w:t>
      </w:r>
      <w:r w:rsidRPr="00010DE3">
        <w:rPr>
          <w:szCs w:val="20"/>
          <w:lang w:eastAsia="es-ES"/>
        </w:rPr>
        <w:t xml:space="preserve">. – </w:t>
      </w:r>
      <w:r w:rsidRPr="00010DE3">
        <w:rPr>
          <w:szCs w:val="20"/>
        </w:rPr>
        <w:t>El 8 de enero de 2020 el representante presentó su escrito de solicitudes, argumentos y pruebas (en adelante “escrito de solicitudes y argumentos”), en los términos de los artículos 25 y 40 del Reglamento de la Corte.</w:t>
      </w:r>
      <w:r w:rsidRPr="00010DE3">
        <w:rPr>
          <w:szCs w:val="20"/>
          <w:lang w:eastAsia="es-ES"/>
        </w:rPr>
        <w:t xml:space="preserve"> En dicho escrito, el representante en general reprodujo los alegatos de la Comisión Interamericana.</w:t>
      </w:r>
      <w:r w:rsidRPr="0092295B">
        <w:rPr>
          <w:sz w:val="16"/>
          <w:szCs w:val="16"/>
          <w:lang w:eastAsia="es-ES"/>
        </w:rPr>
        <w:t xml:space="preserve"> </w:t>
      </w:r>
    </w:p>
    <w:p w14:paraId="55582C16" w14:textId="77777777" w:rsidR="001F429E" w:rsidRPr="0092295B" w:rsidRDefault="001F429E" w:rsidP="001F429E">
      <w:pPr>
        <w:spacing w:before="0" w:after="0"/>
        <w:ind w:right="4"/>
        <w:rPr>
          <w:szCs w:val="20"/>
          <w:lang w:eastAsia="es-ES"/>
        </w:rPr>
      </w:pPr>
    </w:p>
    <w:p w14:paraId="564A755D" w14:textId="2A08FEEA" w:rsidR="0097359D" w:rsidRPr="001F429E" w:rsidRDefault="00296C50" w:rsidP="001F429E">
      <w:pPr>
        <w:numPr>
          <w:ilvl w:val="0"/>
          <w:numId w:val="2"/>
        </w:numPr>
        <w:spacing w:before="0" w:after="0"/>
        <w:ind w:left="0" w:right="4" w:firstLine="0"/>
        <w:rPr>
          <w:szCs w:val="20"/>
        </w:rPr>
      </w:pPr>
      <w:r w:rsidRPr="001D7267">
        <w:rPr>
          <w:rFonts w:eastAsia="Calibri"/>
          <w:bCs/>
          <w:i/>
          <w:szCs w:val="20"/>
        </w:rPr>
        <w:t>Escrito</w:t>
      </w:r>
      <w:r w:rsidR="0097359D" w:rsidRPr="001D7267">
        <w:rPr>
          <w:rFonts w:eastAsia="Calibri"/>
          <w:bCs/>
          <w:i/>
          <w:szCs w:val="20"/>
        </w:rPr>
        <w:t xml:space="preserve"> de excepciones preliminares y</w:t>
      </w:r>
      <w:r w:rsidRPr="001D7267">
        <w:rPr>
          <w:rFonts w:eastAsia="Calibri"/>
          <w:bCs/>
          <w:i/>
          <w:szCs w:val="20"/>
        </w:rPr>
        <w:t xml:space="preserve"> de contestación</w:t>
      </w:r>
      <w:r w:rsidRPr="001D7267">
        <w:rPr>
          <w:rStyle w:val="Refdenotaalpie"/>
          <w:rFonts w:eastAsia="Calibri"/>
          <w:bCs/>
        </w:rPr>
        <w:footnoteReference w:id="9"/>
      </w:r>
      <w:r w:rsidRPr="001D7267">
        <w:rPr>
          <w:rFonts w:eastAsia="Calibri"/>
          <w:bCs/>
          <w:szCs w:val="20"/>
        </w:rPr>
        <w:t xml:space="preserve">. </w:t>
      </w:r>
      <w:r w:rsidR="0028664A" w:rsidRPr="001D7267">
        <w:rPr>
          <w:rFonts w:eastAsia="Calibri"/>
          <w:bCs/>
          <w:szCs w:val="20"/>
        </w:rPr>
        <w:t xml:space="preserve">- </w:t>
      </w:r>
      <w:r w:rsidR="008E6AFA" w:rsidRPr="001D7267">
        <w:rPr>
          <w:szCs w:val="20"/>
        </w:rPr>
        <w:t xml:space="preserve">El </w:t>
      </w:r>
      <w:r w:rsidR="00561036" w:rsidRPr="001D7267">
        <w:rPr>
          <w:szCs w:val="20"/>
        </w:rPr>
        <w:t>29</w:t>
      </w:r>
      <w:r w:rsidR="008E6AFA" w:rsidRPr="001D7267">
        <w:rPr>
          <w:szCs w:val="20"/>
        </w:rPr>
        <w:t xml:space="preserve"> de </w:t>
      </w:r>
      <w:r w:rsidR="00561036" w:rsidRPr="001D7267">
        <w:rPr>
          <w:szCs w:val="20"/>
        </w:rPr>
        <w:t xml:space="preserve">mayo </w:t>
      </w:r>
      <w:r w:rsidR="008E6AFA" w:rsidRPr="001D7267">
        <w:rPr>
          <w:szCs w:val="20"/>
        </w:rPr>
        <w:t>de 20</w:t>
      </w:r>
      <w:r w:rsidR="00246BA4" w:rsidRPr="001D7267">
        <w:rPr>
          <w:szCs w:val="20"/>
        </w:rPr>
        <w:t>20</w:t>
      </w:r>
      <w:r w:rsidRPr="001D7267">
        <w:rPr>
          <w:szCs w:val="20"/>
        </w:rPr>
        <w:t xml:space="preserve"> el Estado presentó ante la Corte su escrito</w:t>
      </w:r>
      <w:r w:rsidRPr="00F4447E">
        <w:rPr>
          <w:szCs w:val="20"/>
        </w:rPr>
        <w:t xml:space="preserve"> </w:t>
      </w:r>
      <w:r w:rsidRPr="00F4447E">
        <w:rPr>
          <w:szCs w:val="20"/>
          <w:lang w:eastAsia="es-ES"/>
        </w:rPr>
        <w:t>de</w:t>
      </w:r>
      <w:r w:rsidRPr="001D7267">
        <w:rPr>
          <w:szCs w:val="20"/>
        </w:rPr>
        <w:t xml:space="preserve"> contestación al sometimiento del caso y al escrito de solicitudes y</w:t>
      </w:r>
      <w:r w:rsidR="009D6C65" w:rsidRPr="001D7267">
        <w:rPr>
          <w:szCs w:val="20"/>
        </w:rPr>
        <w:t xml:space="preserve"> </w:t>
      </w:r>
      <w:r w:rsidRPr="001D7267">
        <w:rPr>
          <w:szCs w:val="20"/>
        </w:rPr>
        <w:t>argumentos (en adelante “escrito de contestación”</w:t>
      </w:r>
      <w:r w:rsidR="00D17767" w:rsidRPr="001D7267">
        <w:rPr>
          <w:szCs w:val="20"/>
        </w:rPr>
        <w:t xml:space="preserve"> o “contestación”</w:t>
      </w:r>
      <w:r w:rsidRPr="001D7267">
        <w:rPr>
          <w:szCs w:val="20"/>
        </w:rPr>
        <w:t xml:space="preserve">), en los términos del artículo 41 del Reglamento del Tribunal. </w:t>
      </w:r>
      <w:r w:rsidRPr="001D7267">
        <w:rPr>
          <w:rFonts w:eastAsia="Calibri" w:cs="Verdana"/>
          <w:spacing w:val="-2"/>
          <w:szCs w:val="20"/>
        </w:rPr>
        <w:t xml:space="preserve">En dicho escrito, el Estado </w:t>
      </w:r>
      <w:r w:rsidRPr="001D7267">
        <w:rPr>
          <w:rFonts w:eastAsia="Calibri" w:cs="Verdana"/>
          <w:spacing w:val="-2"/>
          <w:szCs w:val="20"/>
          <w:lang w:eastAsia="es-ES"/>
        </w:rPr>
        <w:t>presentó</w:t>
      </w:r>
      <w:r w:rsidR="00561036" w:rsidRPr="001D7267">
        <w:rPr>
          <w:rFonts w:eastAsia="Calibri" w:cs="Verdana"/>
          <w:spacing w:val="-2"/>
          <w:szCs w:val="20"/>
          <w:lang w:eastAsia="es-ES"/>
        </w:rPr>
        <w:t xml:space="preserve"> dos</w:t>
      </w:r>
      <w:r w:rsidR="005E2FC0" w:rsidRPr="001D7267">
        <w:rPr>
          <w:rFonts w:eastAsia="Calibri" w:cs="Verdana"/>
          <w:spacing w:val="-2"/>
          <w:szCs w:val="20"/>
          <w:lang w:eastAsia="es-ES"/>
        </w:rPr>
        <w:t xml:space="preserve"> excepci</w:t>
      </w:r>
      <w:r w:rsidR="00561036" w:rsidRPr="001D7267">
        <w:rPr>
          <w:rFonts w:eastAsia="Calibri" w:cs="Verdana"/>
          <w:spacing w:val="-2"/>
          <w:szCs w:val="20"/>
          <w:lang w:eastAsia="es-ES"/>
        </w:rPr>
        <w:t>ones</w:t>
      </w:r>
      <w:r w:rsidR="005E2FC0" w:rsidRPr="001D7267">
        <w:rPr>
          <w:rFonts w:eastAsia="Calibri" w:cs="Verdana"/>
          <w:spacing w:val="-2"/>
          <w:szCs w:val="20"/>
          <w:lang w:eastAsia="es-ES"/>
        </w:rPr>
        <w:t xml:space="preserve"> preliminar</w:t>
      </w:r>
      <w:r w:rsidR="00561036" w:rsidRPr="001D7267">
        <w:rPr>
          <w:rFonts w:eastAsia="Calibri" w:cs="Verdana"/>
          <w:spacing w:val="-2"/>
          <w:szCs w:val="20"/>
          <w:lang w:eastAsia="es-ES"/>
        </w:rPr>
        <w:t>es</w:t>
      </w:r>
      <w:r w:rsidR="00F30A32" w:rsidRPr="001D7267">
        <w:rPr>
          <w:rFonts w:eastAsia="Calibri" w:cs="Verdana"/>
          <w:spacing w:val="-2"/>
          <w:szCs w:val="20"/>
          <w:lang w:eastAsia="es-ES"/>
        </w:rPr>
        <w:t>.</w:t>
      </w:r>
      <w:r w:rsidR="005E2FC0" w:rsidRPr="001D7267">
        <w:rPr>
          <w:rFonts w:eastAsia="Calibri" w:cs="Verdana"/>
          <w:spacing w:val="-2"/>
          <w:szCs w:val="20"/>
          <w:lang w:eastAsia="es-ES"/>
        </w:rPr>
        <w:t xml:space="preserve"> </w:t>
      </w:r>
    </w:p>
    <w:p w14:paraId="36281E57" w14:textId="77777777" w:rsidR="001F429E" w:rsidRPr="001D7267" w:rsidRDefault="001F429E" w:rsidP="001F429E">
      <w:pPr>
        <w:spacing w:before="0" w:after="0"/>
        <w:ind w:right="4"/>
        <w:rPr>
          <w:szCs w:val="20"/>
        </w:rPr>
      </w:pPr>
    </w:p>
    <w:p w14:paraId="66D0995C" w14:textId="6E63AAFF" w:rsidR="0097359D" w:rsidRPr="001F429E" w:rsidRDefault="0097359D" w:rsidP="001F429E">
      <w:pPr>
        <w:numPr>
          <w:ilvl w:val="0"/>
          <w:numId w:val="2"/>
        </w:numPr>
        <w:spacing w:before="0" w:after="0"/>
        <w:ind w:left="0" w:right="4" w:firstLine="0"/>
        <w:rPr>
          <w:szCs w:val="20"/>
        </w:rPr>
      </w:pPr>
      <w:r w:rsidRPr="0092295B">
        <w:rPr>
          <w:i/>
          <w:szCs w:val="20"/>
        </w:rPr>
        <w:t xml:space="preserve">Observaciones </w:t>
      </w:r>
      <w:r w:rsidRPr="00194F02">
        <w:rPr>
          <w:i/>
          <w:szCs w:val="20"/>
        </w:rPr>
        <w:t>a las excepciones preliminares.</w:t>
      </w:r>
      <w:r w:rsidRPr="00194F02">
        <w:rPr>
          <w:szCs w:val="20"/>
        </w:rPr>
        <w:t xml:space="preserve"> - </w:t>
      </w:r>
      <w:r w:rsidRPr="00194F02">
        <w:rPr>
          <w:szCs w:val="20"/>
          <w:lang w:val="es-ES"/>
        </w:rPr>
        <w:t xml:space="preserve">Los días </w:t>
      </w:r>
      <w:r w:rsidR="00282995" w:rsidRPr="00194F02">
        <w:rPr>
          <w:szCs w:val="20"/>
          <w:lang w:val="es-ES"/>
        </w:rPr>
        <w:t xml:space="preserve">28 de junio </w:t>
      </w:r>
      <w:r w:rsidRPr="00194F02">
        <w:rPr>
          <w:szCs w:val="20"/>
          <w:lang w:val="es-ES"/>
        </w:rPr>
        <w:t xml:space="preserve">y </w:t>
      </w:r>
      <w:r w:rsidR="00282995" w:rsidRPr="00194F02">
        <w:rPr>
          <w:szCs w:val="20"/>
          <w:lang w:val="es-ES"/>
        </w:rPr>
        <w:t>2 de julio</w:t>
      </w:r>
      <w:r w:rsidRPr="00194F02">
        <w:rPr>
          <w:szCs w:val="20"/>
          <w:lang w:val="es-ES"/>
        </w:rPr>
        <w:t xml:space="preserve"> de 2020</w:t>
      </w:r>
      <w:r w:rsidR="00282995" w:rsidRPr="00194F02">
        <w:rPr>
          <w:szCs w:val="20"/>
          <w:lang w:val="es-ES"/>
        </w:rPr>
        <w:t>, el representante y</w:t>
      </w:r>
      <w:r w:rsidRPr="00194F02">
        <w:rPr>
          <w:szCs w:val="20"/>
          <w:lang w:val="es-ES"/>
        </w:rPr>
        <w:t xml:space="preserve"> la Comisión, respectivamente, presentaron observaciones a la</w:t>
      </w:r>
      <w:r w:rsidR="00282995" w:rsidRPr="00194F02">
        <w:rPr>
          <w:szCs w:val="20"/>
          <w:lang w:val="es-ES"/>
        </w:rPr>
        <w:t>s</w:t>
      </w:r>
      <w:r w:rsidRPr="00194F02">
        <w:rPr>
          <w:szCs w:val="20"/>
          <w:lang w:val="es-ES"/>
        </w:rPr>
        <w:t xml:space="preserve"> excepci</w:t>
      </w:r>
      <w:r w:rsidR="00282995" w:rsidRPr="00194F02">
        <w:rPr>
          <w:szCs w:val="20"/>
          <w:lang w:val="es-ES"/>
        </w:rPr>
        <w:t>o</w:t>
      </w:r>
      <w:r w:rsidRPr="00194F02">
        <w:rPr>
          <w:szCs w:val="20"/>
          <w:lang w:val="es-ES"/>
        </w:rPr>
        <w:t>n</w:t>
      </w:r>
      <w:r w:rsidR="00282995" w:rsidRPr="00194F02">
        <w:rPr>
          <w:szCs w:val="20"/>
          <w:lang w:val="es-ES"/>
        </w:rPr>
        <w:t>es</w:t>
      </w:r>
      <w:r w:rsidRPr="00194F02">
        <w:rPr>
          <w:szCs w:val="20"/>
          <w:lang w:val="es-ES"/>
        </w:rPr>
        <w:t xml:space="preserve"> preliminar</w:t>
      </w:r>
      <w:r w:rsidR="00282995" w:rsidRPr="00194F02">
        <w:rPr>
          <w:szCs w:val="20"/>
          <w:lang w:val="es-ES"/>
        </w:rPr>
        <w:t>es</w:t>
      </w:r>
      <w:r w:rsidRPr="00194F02">
        <w:rPr>
          <w:szCs w:val="20"/>
          <w:lang w:val="es-ES"/>
        </w:rPr>
        <w:t>, pidiendo que fuera</w:t>
      </w:r>
      <w:r w:rsidR="0021493F" w:rsidRPr="00194F02">
        <w:rPr>
          <w:szCs w:val="20"/>
          <w:lang w:val="es-ES"/>
        </w:rPr>
        <w:t>n</w:t>
      </w:r>
      <w:r w:rsidRPr="00194F02">
        <w:rPr>
          <w:szCs w:val="20"/>
          <w:lang w:val="es-ES"/>
        </w:rPr>
        <w:t xml:space="preserve"> desestimada</w:t>
      </w:r>
      <w:r w:rsidR="0021493F" w:rsidRPr="00194F02">
        <w:rPr>
          <w:szCs w:val="20"/>
          <w:lang w:val="es-ES"/>
        </w:rPr>
        <w:t>s</w:t>
      </w:r>
      <w:r w:rsidRPr="00194F02">
        <w:rPr>
          <w:szCs w:val="20"/>
          <w:lang w:val="es-ES"/>
        </w:rPr>
        <w:t xml:space="preserve">. </w:t>
      </w:r>
    </w:p>
    <w:p w14:paraId="00A3F6E5" w14:textId="77777777" w:rsidR="001F429E" w:rsidRPr="0092295B" w:rsidRDefault="001F429E" w:rsidP="001F429E">
      <w:pPr>
        <w:spacing w:before="0" w:after="0"/>
        <w:ind w:right="4"/>
        <w:rPr>
          <w:szCs w:val="20"/>
        </w:rPr>
      </w:pPr>
    </w:p>
    <w:p w14:paraId="63095C7A" w14:textId="6E1856BE" w:rsidR="00EE6199" w:rsidRPr="001F429E" w:rsidRDefault="0097359D" w:rsidP="001F429E">
      <w:pPr>
        <w:numPr>
          <w:ilvl w:val="0"/>
          <w:numId w:val="2"/>
        </w:numPr>
        <w:spacing w:before="0" w:after="0"/>
        <w:ind w:left="0" w:right="4" w:firstLine="0"/>
        <w:rPr>
          <w:szCs w:val="20"/>
        </w:rPr>
      </w:pPr>
      <w:r w:rsidRPr="0092295B">
        <w:rPr>
          <w:i/>
          <w:szCs w:val="20"/>
        </w:rPr>
        <w:t>Procedimiento final escrito</w:t>
      </w:r>
      <w:r w:rsidRPr="0092295B">
        <w:rPr>
          <w:szCs w:val="20"/>
        </w:rPr>
        <w:t xml:space="preserve">. – </w:t>
      </w:r>
      <w:r w:rsidR="00AD063E" w:rsidRPr="00194F02">
        <w:rPr>
          <w:szCs w:val="20"/>
        </w:rPr>
        <w:t>Después de</w:t>
      </w:r>
      <w:r w:rsidR="00A71C5D">
        <w:rPr>
          <w:szCs w:val="20"/>
          <w:lang w:val="es-CR"/>
        </w:rPr>
        <w:t xml:space="preserve"> evaluar el Informe de Fondo, el escrito de solicitudes y argumentos y</w:t>
      </w:r>
      <w:r w:rsidRPr="00194F02">
        <w:rPr>
          <w:szCs w:val="20"/>
          <w:lang w:val="es-CR"/>
        </w:rPr>
        <w:t xml:space="preserve"> la contestación del Estado, y a la luz de lo dispuesto en los artículos 15, 45 y 50.1 del Reglamento de la Corte, la Presidenta </w:t>
      </w:r>
      <w:r w:rsidR="00603F2D">
        <w:rPr>
          <w:szCs w:val="20"/>
          <w:lang w:val="es-CR"/>
        </w:rPr>
        <w:t xml:space="preserve">de la Corte </w:t>
      </w:r>
      <w:r w:rsidRPr="00194F02">
        <w:rPr>
          <w:szCs w:val="20"/>
          <w:lang w:val="es-CR"/>
        </w:rPr>
        <w:t xml:space="preserve">decidió que no era necesario convocar una audiencia pública en consideración de las circunstancias del caso y ante una ausencia de controversia fáctica. La decisión fue comunicada mediante Resolución de la Presidenta de </w:t>
      </w:r>
      <w:r w:rsidR="0021493F" w:rsidRPr="00194F02">
        <w:rPr>
          <w:szCs w:val="20"/>
          <w:lang w:val="es-CR"/>
        </w:rPr>
        <w:t>8</w:t>
      </w:r>
      <w:r w:rsidRPr="00194F02">
        <w:rPr>
          <w:szCs w:val="20"/>
          <w:lang w:val="es-CR"/>
        </w:rPr>
        <w:t xml:space="preserve"> de </w:t>
      </w:r>
      <w:r w:rsidR="0021493F" w:rsidRPr="00194F02">
        <w:rPr>
          <w:szCs w:val="20"/>
          <w:lang w:val="es-CR"/>
        </w:rPr>
        <w:t>diciembre</w:t>
      </w:r>
      <w:r w:rsidRPr="00194F02">
        <w:rPr>
          <w:szCs w:val="20"/>
          <w:lang w:val="es-CR"/>
        </w:rPr>
        <w:t xml:space="preserve"> de 202</w:t>
      </w:r>
      <w:r w:rsidR="0021493F" w:rsidRPr="00194F02">
        <w:rPr>
          <w:szCs w:val="20"/>
          <w:lang w:val="es-CR"/>
        </w:rPr>
        <w:t>0</w:t>
      </w:r>
      <w:r w:rsidRPr="00194F02">
        <w:rPr>
          <w:szCs w:val="20"/>
          <w:vertAlign w:val="superscript"/>
        </w:rPr>
        <w:footnoteReference w:id="10"/>
      </w:r>
      <w:r w:rsidRPr="00194F02">
        <w:rPr>
          <w:szCs w:val="20"/>
          <w:lang w:val="es-CR"/>
        </w:rPr>
        <w:t>. Asimismo, mediante dicha Resolución</w:t>
      </w:r>
      <w:r w:rsidR="00F4447E">
        <w:rPr>
          <w:szCs w:val="20"/>
          <w:lang w:val="es-CR"/>
        </w:rPr>
        <w:t>,</w:t>
      </w:r>
      <w:r w:rsidRPr="00194F02">
        <w:rPr>
          <w:szCs w:val="20"/>
          <w:lang w:val="es-CR"/>
        </w:rPr>
        <w:t xml:space="preserve"> la Presidenta ordenó recibir por medio de declaración rendida ante fedatario público (</w:t>
      </w:r>
      <w:r w:rsidR="005D1538" w:rsidRPr="00194F02">
        <w:rPr>
          <w:szCs w:val="20"/>
          <w:lang w:val="es-CR"/>
        </w:rPr>
        <w:t>a</w:t>
      </w:r>
      <w:r w:rsidR="00194F02">
        <w:rPr>
          <w:szCs w:val="20"/>
          <w:lang w:val="es-CR"/>
        </w:rPr>
        <w:t>f</w:t>
      </w:r>
      <w:r w:rsidR="005D1538" w:rsidRPr="00194F02">
        <w:rPr>
          <w:szCs w:val="20"/>
          <w:lang w:val="es-CR"/>
        </w:rPr>
        <w:t>fidávit) a seis</w:t>
      </w:r>
      <w:r w:rsidRPr="00194F02">
        <w:rPr>
          <w:szCs w:val="20"/>
          <w:lang w:val="es-CR"/>
        </w:rPr>
        <w:t xml:space="preserve"> declarantes de oficio, y a un perito ofrecido por la Comisión. </w:t>
      </w:r>
    </w:p>
    <w:p w14:paraId="36C4A71E" w14:textId="77777777" w:rsidR="001F429E" w:rsidRPr="0092295B" w:rsidRDefault="001F429E" w:rsidP="001F429E">
      <w:pPr>
        <w:spacing w:before="0" w:after="0"/>
        <w:ind w:right="4"/>
        <w:rPr>
          <w:szCs w:val="20"/>
        </w:rPr>
      </w:pPr>
    </w:p>
    <w:p w14:paraId="4DBA6A67" w14:textId="0B0A697A" w:rsidR="00405B54" w:rsidRPr="001F429E" w:rsidRDefault="00296C50" w:rsidP="001F429E">
      <w:pPr>
        <w:numPr>
          <w:ilvl w:val="0"/>
          <w:numId w:val="2"/>
        </w:numPr>
        <w:spacing w:before="0" w:after="0"/>
        <w:ind w:left="0" w:right="4" w:firstLine="0"/>
        <w:rPr>
          <w:szCs w:val="20"/>
        </w:rPr>
      </w:pPr>
      <w:r w:rsidRPr="0092295B">
        <w:rPr>
          <w:rFonts w:cs="Arial"/>
          <w:i/>
          <w:szCs w:val="20"/>
          <w:lang w:eastAsia="es-ES"/>
        </w:rPr>
        <w:lastRenderedPageBreak/>
        <w:t>A</w:t>
      </w:r>
      <w:r w:rsidRPr="0092295B">
        <w:rPr>
          <w:rFonts w:cs="Verdana"/>
          <w:i/>
          <w:szCs w:val="20"/>
          <w:lang w:eastAsia="es-ES"/>
        </w:rPr>
        <w:t xml:space="preserve">legatos </w:t>
      </w:r>
      <w:r w:rsidRPr="00194F02">
        <w:rPr>
          <w:rFonts w:cs="Verdana"/>
          <w:i/>
          <w:szCs w:val="20"/>
          <w:lang w:eastAsia="es-ES"/>
        </w:rPr>
        <w:t>y</w:t>
      </w:r>
      <w:r w:rsidR="00A7061E" w:rsidRPr="00194F02">
        <w:rPr>
          <w:rFonts w:cs="Verdana"/>
          <w:i/>
          <w:szCs w:val="20"/>
          <w:lang w:eastAsia="es-ES"/>
        </w:rPr>
        <w:t xml:space="preserve"> observaciones finales escritos</w:t>
      </w:r>
      <w:r w:rsidR="00676763" w:rsidRPr="00194F02">
        <w:rPr>
          <w:rFonts w:cs="Verdana"/>
          <w:i/>
          <w:szCs w:val="20"/>
          <w:lang w:eastAsia="es-ES"/>
        </w:rPr>
        <w:t xml:space="preserve"> </w:t>
      </w:r>
      <w:r w:rsidR="00AD063E" w:rsidRPr="00194F02">
        <w:rPr>
          <w:rFonts w:cs="Verdana"/>
          <w:i/>
          <w:szCs w:val="20"/>
          <w:lang w:eastAsia="es-ES"/>
        </w:rPr>
        <w:t xml:space="preserve">de las partes </w:t>
      </w:r>
      <w:r w:rsidR="00676763" w:rsidRPr="00194F02">
        <w:rPr>
          <w:rFonts w:cs="Verdana"/>
          <w:i/>
          <w:szCs w:val="20"/>
          <w:lang w:eastAsia="es-ES"/>
        </w:rPr>
        <w:t>y la Comisión</w:t>
      </w:r>
      <w:r w:rsidRPr="00194F02">
        <w:rPr>
          <w:rFonts w:cs="Verdana"/>
          <w:szCs w:val="20"/>
          <w:lang w:eastAsia="es-ES"/>
        </w:rPr>
        <w:t>.</w:t>
      </w:r>
      <w:r w:rsidR="00A7061E" w:rsidRPr="00194F02">
        <w:rPr>
          <w:rFonts w:cs="Verdana"/>
          <w:szCs w:val="20"/>
          <w:lang w:eastAsia="es-ES"/>
        </w:rPr>
        <w:t xml:space="preserve"> </w:t>
      </w:r>
      <w:r w:rsidRPr="00194F02">
        <w:rPr>
          <w:rFonts w:cs="Verdana"/>
          <w:szCs w:val="20"/>
          <w:lang w:eastAsia="es-ES"/>
        </w:rPr>
        <w:t xml:space="preserve">– </w:t>
      </w:r>
      <w:r w:rsidR="000C5D48" w:rsidRPr="00194F02">
        <w:rPr>
          <w:rFonts w:cs="Verdana"/>
          <w:szCs w:val="20"/>
          <w:lang w:eastAsia="es-ES"/>
        </w:rPr>
        <w:t>El</w:t>
      </w:r>
      <w:r w:rsidR="00AD063E" w:rsidRPr="00194F02">
        <w:rPr>
          <w:rFonts w:cs="Verdana"/>
          <w:szCs w:val="20"/>
          <w:lang w:eastAsia="es-ES"/>
        </w:rPr>
        <w:t xml:space="preserve"> 24</w:t>
      </w:r>
      <w:r w:rsidR="000C5D48" w:rsidRPr="00194F02">
        <w:rPr>
          <w:rFonts w:cs="Verdana"/>
          <w:szCs w:val="20"/>
          <w:lang w:eastAsia="es-ES"/>
        </w:rPr>
        <w:t xml:space="preserve"> </w:t>
      </w:r>
      <w:r w:rsidR="00AD063E" w:rsidRPr="00194F02">
        <w:rPr>
          <w:rFonts w:cs="Verdana"/>
          <w:szCs w:val="20"/>
          <w:lang w:eastAsia="es-ES"/>
        </w:rPr>
        <w:t>marzo de 2021 el Estado y el representante presentaron los alegatos finales escritos. E</w:t>
      </w:r>
      <w:r w:rsidR="0036617C" w:rsidRPr="00194F02">
        <w:rPr>
          <w:rFonts w:cs="Verdana"/>
          <w:szCs w:val="20"/>
          <w:lang w:eastAsia="es-ES"/>
        </w:rPr>
        <w:t xml:space="preserve">l </w:t>
      </w:r>
      <w:r w:rsidR="00AD063E" w:rsidRPr="00194F02">
        <w:rPr>
          <w:rFonts w:cs="Verdana"/>
          <w:szCs w:val="20"/>
          <w:lang w:eastAsia="es-ES"/>
        </w:rPr>
        <w:t xml:space="preserve">25 de marzo de 2021 </w:t>
      </w:r>
      <w:r w:rsidR="00B02FAA" w:rsidRPr="00194F02">
        <w:rPr>
          <w:rFonts w:cs="Verdana"/>
          <w:szCs w:val="20"/>
          <w:lang w:eastAsia="es-ES"/>
        </w:rPr>
        <w:t xml:space="preserve">la Comisión </w:t>
      </w:r>
      <w:r w:rsidR="00AD063E" w:rsidRPr="00194F02">
        <w:rPr>
          <w:rFonts w:cs="Verdana"/>
          <w:szCs w:val="20"/>
          <w:lang w:eastAsia="es-ES"/>
        </w:rPr>
        <w:t xml:space="preserve">presentó las observaciones finales escritas. </w:t>
      </w:r>
    </w:p>
    <w:p w14:paraId="297D2EF6" w14:textId="739B76D6" w:rsidR="001F429E" w:rsidRPr="00194F02" w:rsidRDefault="001F429E" w:rsidP="001F429E">
      <w:pPr>
        <w:spacing w:before="0" w:after="0"/>
        <w:ind w:right="4"/>
        <w:rPr>
          <w:szCs w:val="20"/>
        </w:rPr>
      </w:pPr>
    </w:p>
    <w:p w14:paraId="5948A262" w14:textId="7E10F4E8" w:rsidR="00DF2B0B" w:rsidRPr="001F429E" w:rsidRDefault="00D32053" w:rsidP="001F429E">
      <w:pPr>
        <w:numPr>
          <w:ilvl w:val="0"/>
          <w:numId w:val="2"/>
        </w:numPr>
        <w:spacing w:before="0" w:after="0"/>
        <w:ind w:left="0" w:right="4" w:firstLine="0"/>
        <w:rPr>
          <w:b/>
          <w:szCs w:val="20"/>
        </w:rPr>
      </w:pPr>
      <w:r w:rsidRPr="00194F02">
        <w:rPr>
          <w:rFonts w:cs="Verdana"/>
          <w:i/>
          <w:lang w:val="es-CR" w:eastAsia="es-MX"/>
        </w:rPr>
        <w:t>Pres</w:t>
      </w:r>
      <w:r w:rsidR="0097359D" w:rsidRPr="00194F02">
        <w:rPr>
          <w:rFonts w:cs="Verdana"/>
          <w:i/>
          <w:lang w:val="es-CR" w:eastAsia="es-MX"/>
        </w:rPr>
        <w:t>entación de prueba para mejor resolver</w:t>
      </w:r>
      <w:r w:rsidRPr="00194F02">
        <w:rPr>
          <w:rFonts w:cs="Verdana"/>
          <w:lang w:val="es-CR" w:eastAsia="es-MX"/>
        </w:rPr>
        <w:t xml:space="preserve">. </w:t>
      </w:r>
      <w:r w:rsidR="003B313C" w:rsidRPr="00194F02">
        <w:rPr>
          <w:rFonts w:cs="Verdana"/>
          <w:lang w:val="es-CR" w:eastAsia="es-MX"/>
        </w:rPr>
        <w:t>–</w:t>
      </w:r>
      <w:r w:rsidR="00CB2F36" w:rsidRPr="00194F02">
        <w:rPr>
          <w:rFonts w:cs="Verdana"/>
          <w:lang w:val="es-CR" w:eastAsia="es-MX"/>
        </w:rPr>
        <w:t xml:space="preserve"> El 15 de junio de 2021 se solicitó al Estado y al representa</w:t>
      </w:r>
      <w:r w:rsidR="002B055F" w:rsidRPr="00194F02">
        <w:rPr>
          <w:rFonts w:cs="Verdana"/>
          <w:lang w:val="es-CR" w:eastAsia="es-MX"/>
        </w:rPr>
        <w:t>nte</w:t>
      </w:r>
      <w:r w:rsidR="00CB2F36" w:rsidRPr="00194F02">
        <w:rPr>
          <w:rFonts w:cs="Verdana"/>
          <w:lang w:val="es-CR" w:eastAsia="es-MX"/>
        </w:rPr>
        <w:t xml:space="preserve"> la presentación</w:t>
      </w:r>
      <w:r w:rsidR="00E70385" w:rsidRPr="00194F02">
        <w:rPr>
          <w:rFonts w:cs="Verdana"/>
          <w:lang w:val="es-CR" w:eastAsia="es-MX"/>
        </w:rPr>
        <w:t>,</w:t>
      </w:r>
      <w:r w:rsidR="00CB2F36" w:rsidRPr="00194F02">
        <w:rPr>
          <w:rFonts w:cs="Verdana"/>
          <w:lang w:val="es-CR" w:eastAsia="es-MX"/>
        </w:rPr>
        <w:t xml:space="preserve"> </w:t>
      </w:r>
      <w:r w:rsidR="00E70385" w:rsidRPr="00194F02">
        <w:rPr>
          <w:rFonts w:cs="Verdana"/>
          <w:lang w:val="es-CR" w:eastAsia="es-MX"/>
        </w:rPr>
        <w:t xml:space="preserve">a más tardar el 25 de junio de 2021, </w:t>
      </w:r>
      <w:r w:rsidR="00CB2F36" w:rsidRPr="00194F02">
        <w:rPr>
          <w:rFonts w:cs="Verdana"/>
          <w:lang w:val="es-CR" w:eastAsia="es-MX"/>
        </w:rPr>
        <w:t>de prueba para mejor resolver, de conformidad con el artículo 58.b) del Reglamento. El 25 de junio de 2021 el Estado</w:t>
      </w:r>
      <w:r w:rsidRPr="00194F02">
        <w:rPr>
          <w:rFonts w:cs="Verdana"/>
          <w:lang w:val="es-CR" w:eastAsia="es-MX"/>
        </w:rPr>
        <w:t xml:space="preserve"> </w:t>
      </w:r>
      <w:r w:rsidR="00F06701" w:rsidRPr="00194F02">
        <w:rPr>
          <w:rFonts w:cs="Verdana"/>
          <w:lang w:val="es-CR" w:eastAsia="es-MX"/>
        </w:rPr>
        <w:t>presentó la documentación e información solicitada</w:t>
      </w:r>
      <w:r w:rsidR="00E70385" w:rsidRPr="00194F02">
        <w:rPr>
          <w:rFonts w:cs="Verdana"/>
          <w:lang w:val="es-CR" w:eastAsia="es-MX"/>
        </w:rPr>
        <w:t>s</w:t>
      </w:r>
      <w:r w:rsidR="00E70385" w:rsidRPr="008B4FF1">
        <w:rPr>
          <w:rFonts w:cs="Verdana"/>
          <w:lang w:val="es-CR" w:eastAsia="es-MX"/>
        </w:rPr>
        <w:t>. El 30 de junio de 2021</w:t>
      </w:r>
      <w:r w:rsidR="000A0626" w:rsidRPr="008B4FF1">
        <w:rPr>
          <w:rFonts w:cs="Verdana"/>
          <w:lang w:val="es-CR" w:eastAsia="es-MX"/>
        </w:rPr>
        <w:t xml:space="preserve">, </w:t>
      </w:r>
      <w:r w:rsidR="000A0626" w:rsidRPr="008B4FF1">
        <w:rPr>
          <w:szCs w:val="20"/>
          <w:lang w:val="es-MX"/>
        </w:rPr>
        <w:t xml:space="preserve">debido a problemas técnicos que se generaron desde el correo electrónico del representante al momento de enviar dicha documentación y anexos, fue presentada de forma </w:t>
      </w:r>
      <w:r w:rsidR="00E70385" w:rsidRPr="008B4FF1">
        <w:rPr>
          <w:rFonts w:cs="Verdana"/>
          <w:lang w:val="es-CR" w:eastAsia="es-MX"/>
        </w:rPr>
        <w:t xml:space="preserve">extemporánea </w:t>
      </w:r>
      <w:r w:rsidR="00CB2F36" w:rsidRPr="008B4FF1">
        <w:rPr>
          <w:rFonts w:cs="Verdana"/>
          <w:color w:val="000000" w:themeColor="text1"/>
          <w:lang w:val="es-CR" w:eastAsia="es-MX"/>
        </w:rPr>
        <w:t xml:space="preserve">la </w:t>
      </w:r>
      <w:r w:rsidR="00CB2F36" w:rsidRPr="008B4FF1">
        <w:rPr>
          <w:rFonts w:cs="Verdana"/>
          <w:lang w:val="es-CR" w:eastAsia="es-MX"/>
        </w:rPr>
        <w:t>prueba</w:t>
      </w:r>
      <w:r w:rsidR="00E70385" w:rsidRPr="008B4FF1">
        <w:rPr>
          <w:rFonts w:cs="Verdana"/>
          <w:lang w:val="es-CR" w:eastAsia="es-MX"/>
        </w:rPr>
        <w:t xml:space="preserve"> e información</w:t>
      </w:r>
      <w:r w:rsidR="00CB2F36" w:rsidRPr="008B4FF1">
        <w:rPr>
          <w:rFonts w:cs="Verdana"/>
          <w:lang w:val="es-CR" w:eastAsia="es-MX"/>
        </w:rPr>
        <w:t xml:space="preserve"> solicitada</w:t>
      </w:r>
      <w:r w:rsidR="00E70385" w:rsidRPr="008B4FF1">
        <w:rPr>
          <w:rFonts w:cs="Verdana"/>
          <w:lang w:val="es-CR" w:eastAsia="es-MX"/>
        </w:rPr>
        <w:t>s</w:t>
      </w:r>
      <w:r w:rsidR="00CB2F36" w:rsidRPr="008B4FF1">
        <w:rPr>
          <w:rFonts w:cs="Verdana"/>
          <w:lang w:val="es-CR" w:eastAsia="es-MX"/>
        </w:rPr>
        <w:t>.</w:t>
      </w:r>
      <w:r w:rsidR="004834F2" w:rsidRPr="0016421E">
        <w:rPr>
          <w:rFonts w:cs="Verdana"/>
          <w:lang w:val="es-CR" w:eastAsia="es-MX"/>
        </w:rPr>
        <w:t xml:space="preserve"> Posteriormente, el 2 de julio de 2021 el representante r</w:t>
      </w:r>
      <w:r w:rsidR="00206AFE" w:rsidRPr="0016421E">
        <w:rPr>
          <w:rFonts w:cs="Verdana"/>
          <w:lang w:val="es-CR" w:eastAsia="es-MX"/>
        </w:rPr>
        <w:t>emitió otro grupo de documentos</w:t>
      </w:r>
      <w:r w:rsidR="004834F2" w:rsidRPr="0016421E">
        <w:rPr>
          <w:rFonts w:cs="Verdana"/>
          <w:lang w:val="es-CR" w:eastAsia="es-MX"/>
        </w:rPr>
        <w:t xml:space="preserve"> relacionados con la prueba para mejor resolver. </w:t>
      </w:r>
      <w:r w:rsidR="004834F2" w:rsidRPr="000F462E">
        <w:rPr>
          <w:rFonts w:cs="Verdana"/>
          <w:lang w:val="es-CR" w:eastAsia="es-MX"/>
        </w:rPr>
        <w:t>Los días</w:t>
      </w:r>
      <w:r w:rsidR="000A0626" w:rsidRPr="000F462E">
        <w:rPr>
          <w:rFonts w:cs="Verdana"/>
          <w:lang w:val="es-CR" w:eastAsia="es-MX"/>
        </w:rPr>
        <w:t xml:space="preserve"> 14</w:t>
      </w:r>
      <w:r w:rsidR="00E70385" w:rsidRPr="000F462E">
        <w:rPr>
          <w:rFonts w:cs="Verdana"/>
          <w:lang w:val="es-CR" w:eastAsia="es-MX"/>
        </w:rPr>
        <w:t xml:space="preserve"> </w:t>
      </w:r>
      <w:r w:rsidR="004834F2" w:rsidRPr="000F462E">
        <w:rPr>
          <w:rFonts w:cs="Verdana"/>
          <w:lang w:val="es-CR" w:eastAsia="es-MX"/>
        </w:rPr>
        <w:t xml:space="preserve">y 27 </w:t>
      </w:r>
      <w:r w:rsidR="00E70385" w:rsidRPr="000F462E">
        <w:rPr>
          <w:rFonts w:cs="Verdana"/>
          <w:lang w:val="es-CR" w:eastAsia="es-MX"/>
        </w:rPr>
        <w:t>de julio de 2021</w:t>
      </w:r>
      <w:r w:rsidR="00017E38" w:rsidRPr="000F462E">
        <w:rPr>
          <w:rFonts w:cs="Verdana"/>
          <w:lang w:val="es-CR" w:eastAsia="es-MX"/>
        </w:rPr>
        <w:t xml:space="preserve"> el</w:t>
      </w:r>
      <w:r w:rsidR="00CB2F36" w:rsidRPr="000F462E">
        <w:rPr>
          <w:rFonts w:cs="Verdana"/>
          <w:lang w:val="es-CR" w:eastAsia="es-MX"/>
        </w:rPr>
        <w:t xml:space="preserve"> </w:t>
      </w:r>
      <w:r w:rsidR="00017E38" w:rsidRPr="000F462E">
        <w:rPr>
          <w:rFonts w:cs="Verdana"/>
          <w:lang w:val="es-CR" w:eastAsia="es-MX"/>
        </w:rPr>
        <w:t>Estado presentó sus</w:t>
      </w:r>
      <w:r w:rsidR="00C23AAC" w:rsidRPr="000F462E">
        <w:rPr>
          <w:rFonts w:cs="Verdana"/>
          <w:lang w:val="es-CR" w:eastAsia="es-MX"/>
        </w:rPr>
        <w:t xml:space="preserve"> observaciones correspondientes</w:t>
      </w:r>
      <w:r w:rsidR="00206AFE" w:rsidRPr="000F462E">
        <w:rPr>
          <w:rFonts w:cs="Verdana"/>
          <w:lang w:val="es-CR" w:eastAsia="es-MX"/>
        </w:rPr>
        <w:t xml:space="preserve">, en las que solicitó la </w:t>
      </w:r>
      <w:r w:rsidR="004834F2" w:rsidRPr="000F462E">
        <w:rPr>
          <w:rFonts w:cs="Verdana"/>
          <w:lang w:val="es-CR" w:eastAsia="es-MX"/>
        </w:rPr>
        <w:t>inadmi</w:t>
      </w:r>
      <w:r w:rsidR="00206AFE" w:rsidRPr="000F462E">
        <w:rPr>
          <w:rFonts w:cs="Verdana"/>
          <w:lang w:val="es-CR" w:eastAsia="es-MX"/>
        </w:rPr>
        <w:t>si</w:t>
      </w:r>
      <w:r w:rsidR="004834F2" w:rsidRPr="000F462E">
        <w:rPr>
          <w:rFonts w:cs="Verdana"/>
          <w:lang w:val="es-CR" w:eastAsia="es-MX"/>
        </w:rPr>
        <w:t>bilidad</w:t>
      </w:r>
      <w:r w:rsidR="00206AFE" w:rsidRPr="000F462E">
        <w:rPr>
          <w:rFonts w:cs="Verdana"/>
          <w:lang w:val="es-CR" w:eastAsia="es-MX"/>
        </w:rPr>
        <w:t xml:space="preserve"> de la documentación presentada por el representante</w:t>
      </w:r>
      <w:r w:rsidR="00996679">
        <w:rPr>
          <w:rFonts w:cs="Verdana"/>
          <w:lang w:val="es-CR" w:eastAsia="es-MX"/>
        </w:rPr>
        <w:t xml:space="preserve"> por extemporánea</w:t>
      </w:r>
      <w:r w:rsidR="00206AFE" w:rsidRPr="000F462E">
        <w:rPr>
          <w:rFonts w:cs="Verdana"/>
          <w:lang w:val="es-CR" w:eastAsia="es-MX"/>
        </w:rPr>
        <w:t xml:space="preserve">. </w:t>
      </w:r>
      <w:r w:rsidR="00206AFE" w:rsidRPr="0016421E">
        <w:rPr>
          <w:rFonts w:cs="Verdana"/>
          <w:lang w:val="es-CR" w:eastAsia="es-MX"/>
        </w:rPr>
        <w:t xml:space="preserve">Los días 14 y 30 de julio de 2021 </w:t>
      </w:r>
      <w:r w:rsidR="00334204">
        <w:rPr>
          <w:rFonts w:cs="Verdana"/>
          <w:lang w:val="es-CR" w:eastAsia="es-MX"/>
        </w:rPr>
        <w:t>l</w:t>
      </w:r>
      <w:r w:rsidR="008209D3" w:rsidRPr="0016421E">
        <w:rPr>
          <w:rFonts w:cs="Verdana"/>
          <w:lang w:val="es-CR" w:eastAsia="es-MX"/>
        </w:rPr>
        <w:t xml:space="preserve">a Comisión </w:t>
      </w:r>
      <w:r w:rsidR="000A0626" w:rsidRPr="0016421E">
        <w:rPr>
          <w:rFonts w:cs="Verdana"/>
          <w:lang w:val="es-CR" w:eastAsia="es-MX"/>
        </w:rPr>
        <w:t>informó que no tenía observaciones que formular.</w:t>
      </w:r>
      <w:r w:rsidR="00017E38" w:rsidRPr="0016421E">
        <w:rPr>
          <w:rFonts w:cs="Verdana"/>
          <w:lang w:val="es-CR" w:eastAsia="es-MX"/>
        </w:rPr>
        <w:t xml:space="preserve"> </w:t>
      </w:r>
      <w:r w:rsidR="00206AFE" w:rsidRPr="0016421E">
        <w:rPr>
          <w:rFonts w:cs="Verdana"/>
          <w:lang w:val="es-CR" w:eastAsia="es-MX"/>
        </w:rPr>
        <w:t xml:space="preserve">Por último, el representante no presentó observaciones a la prueba para mejor resolver remitida por el Estado. </w:t>
      </w:r>
    </w:p>
    <w:p w14:paraId="6B906D34" w14:textId="77777777" w:rsidR="001F429E" w:rsidRPr="00194F02" w:rsidRDefault="001F429E" w:rsidP="001F429E">
      <w:pPr>
        <w:spacing w:before="0" w:after="0"/>
        <w:ind w:right="4"/>
        <w:rPr>
          <w:b/>
          <w:szCs w:val="20"/>
        </w:rPr>
      </w:pPr>
    </w:p>
    <w:p w14:paraId="2AA59F18" w14:textId="64C43289" w:rsidR="00603F2D" w:rsidRDefault="00296C50" w:rsidP="001F429E">
      <w:pPr>
        <w:numPr>
          <w:ilvl w:val="0"/>
          <w:numId w:val="2"/>
        </w:numPr>
        <w:spacing w:before="0" w:after="0"/>
        <w:ind w:left="0" w:right="4" w:firstLine="0"/>
        <w:rPr>
          <w:szCs w:val="20"/>
        </w:rPr>
      </w:pPr>
      <w:r w:rsidRPr="0092295B">
        <w:rPr>
          <w:szCs w:val="20"/>
          <w:lang w:eastAsia="es-CR"/>
        </w:rPr>
        <w:t xml:space="preserve">Deliberación </w:t>
      </w:r>
      <w:r w:rsidRPr="000F462E">
        <w:rPr>
          <w:szCs w:val="20"/>
          <w:lang w:eastAsia="es-CR"/>
        </w:rPr>
        <w:t>del presente caso. - La Corte inició la deliberac</w:t>
      </w:r>
      <w:r w:rsidR="00600381" w:rsidRPr="000F462E">
        <w:rPr>
          <w:szCs w:val="20"/>
          <w:lang w:eastAsia="es-CR"/>
        </w:rPr>
        <w:t xml:space="preserve">ión de la presente Sentencia los días </w:t>
      </w:r>
      <w:r w:rsidR="00011229" w:rsidRPr="000F462E">
        <w:rPr>
          <w:szCs w:val="20"/>
          <w:lang w:eastAsia="es-CR"/>
        </w:rPr>
        <w:t>23 y 24</w:t>
      </w:r>
      <w:r w:rsidR="002C2183" w:rsidRPr="000F462E">
        <w:rPr>
          <w:szCs w:val="20"/>
          <w:lang w:eastAsia="es-CR"/>
        </w:rPr>
        <w:t xml:space="preserve"> de agosto</w:t>
      </w:r>
      <w:r w:rsidR="00600381" w:rsidRPr="000F462E">
        <w:rPr>
          <w:szCs w:val="20"/>
          <w:lang w:eastAsia="es-CR"/>
        </w:rPr>
        <w:t xml:space="preserve"> de 2021</w:t>
      </w:r>
      <w:r w:rsidR="0054593A" w:rsidRPr="000F462E">
        <w:rPr>
          <w:rStyle w:val="Refdenotaalpie"/>
          <w:lang w:val="es-ES"/>
        </w:rPr>
        <w:footnoteReference w:id="11"/>
      </w:r>
      <w:r w:rsidR="002A2012">
        <w:rPr>
          <w:szCs w:val="20"/>
          <w:lang w:eastAsia="es-CR"/>
        </w:rPr>
        <w:t>.</w:t>
      </w:r>
    </w:p>
    <w:p w14:paraId="55D3932D" w14:textId="77777777" w:rsidR="002A2012" w:rsidRPr="002A2012" w:rsidRDefault="002A2012" w:rsidP="002A2012">
      <w:pPr>
        <w:spacing w:before="120" w:after="120"/>
        <w:ind w:right="4"/>
        <w:rPr>
          <w:szCs w:val="20"/>
        </w:rPr>
      </w:pPr>
    </w:p>
    <w:p w14:paraId="3B2FBF5D" w14:textId="14A5278D" w:rsidR="00296C50" w:rsidRPr="0092295B" w:rsidRDefault="00F0482A" w:rsidP="00CB2F36">
      <w:pPr>
        <w:pStyle w:val="Ttulo1"/>
        <w:spacing w:before="0" w:after="0"/>
      </w:pPr>
      <w:bookmarkStart w:id="26" w:name="_Toc460237944"/>
      <w:bookmarkStart w:id="27" w:name="_Toc460238241"/>
      <w:bookmarkStart w:id="28" w:name="_Toc470105094"/>
      <w:bookmarkStart w:id="29" w:name="_Toc87338995"/>
      <w:r w:rsidRPr="0092295B">
        <w:t>III</w:t>
      </w:r>
      <w:r w:rsidRPr="0092295B">
        <w:rPr>
          <w:color w:val="FFFFFF" w:themeColor="background1"/>
        </w:rPr>
        <w:t>.</w:t>
      </w:r>
      <w:r w:rsidRPr="0092295B">
        <w:br/>
      </w:r>
      <w:r w:rsidR="00296C50" w:rsidRPr="0092295B">
        <w:t>COMPETENCIA</w:t>
      </w:r>
      <w:bookmarkEnd w:id="26"/>
      <w:bookmarkEnd w:id="27"/>
      <w:bookmarkEnd w:id="28"/>
      <w:bookmarkEnd w:id="29"/>
    </w:p>
    <w:p w14:paraId="1E867F08" w14:textId="77777777" w:rsidR="00CB2F36" w:rsidRPr="0092295B" w:rsidRDefault="00CB2F36" w:rsidP="001F429E">
      <w:pPr>
        <w:spacing w:before="0" w:after="0"/>
      </w:pPr>
    </w:p>
    <w:p w14:paraId="25D9F772" w14:textId="285CF1A7" w:rsidR="00A53814" w:rsidRPr="0092295B" w:rsidRDefault="00296C50" w:rsidP="00CB2F36">
      <w:pPr>
        <w:pStyle w:val="Estilo1"/>
        <w:numPr>
          <w:ilvl w:val="0"/>
          <w:numId w:val="2"/>
        </w:numPr>
        <w:spacing w:before="0" w:after="0"/>
        <w:ind w:left="0" w:right="-4" w:firstLine="0"/>
        <w:rPr>
          <w:i w:val="0"/>
          <w:szCs w:val="20"/>
        </w:rPr>
      </w:pPr>
      <w:r w:rsidRPr="0092295B">
        <w:rPr>
          <w:i w:val="0"/>
          <w:szCs w:val="20"/>
        </w:rPr>
        <w:t xml:space="preserve">La Corte es competente para conocer del presente caso, en los términos del artículo 62.3 de la Convención, ya que </w:t>
      </w:r>
      <w:r w:rsidR="00A06B94" w:rsidRPr="0092295B">
        <w:rPr>
          <w:i w:val="0"/>
          <w:szCs w:val="20"/>
        </w:rPr>
        <w:t>Ecuador</w:t>
      </w:r>
      <w:r w:rsidRPr="0092295B">
        <w:rPr>
          <w:i w:val="0"/>
          <w:szCs w:val="20"/>
        </w:rPr>
        <w:t xml:space="preserve"> es Estado Parte en la Convención desde el </w:t>
      </w:r>
      <w:r w:rsidR="00721342" w:rsidRPr="0092295B">
        <w:rPr>
          <w:i w:val="0"/>
          <w:szCs w:val="20"/>
        </w:rPr>
        <w:t>28</w:t>
      </w:r>
      <w:r w:rsidRPr="0092295B">
        <w:rPr>
          <w:i w:val="0"/>
          <w:szCs w:val="20"/>
        </w:rPr>
        <w:t xml:space="preserve"> de </w:t>
      </w:r>
      <w:r w:rsidR="00721342" w:rsidRPr="0092295B">
        <w:rPr>
          <w:i w:val="0"/>
          <w:szCs w:val="20"/>
        </w:rPr>
        <w:t>diciembre</w:t>
      </w:r>
      <w:r w:rsidRPr="0092295B">
        <w:rPr>
          <w:i w:val="0"/>
          <w:szCs w:val="20"/>
        </w:rPr>
        <w:t xml:space="preserve"> de </w:t>
      </w:r>
      <w:r w:rsidR="00575EC5" w:rsidRPr="0092295B">
        <w:rPr>
          <w:i w:val="0"/>
          <w:szCs w:val="20"/>
        </w:rPr>
        <w:t>197</w:t>
      </w:r>
      <w:r w:rsidR="00721342" w:rsidRPr="0092295B">
        <w:rPr>
          <w:i w:val="0"/>
          <w:szCs w:val="20"/>
        </w:rPr>
        <w:t>7</w:t>
      </w:r>
      <w:r w:rsidR="00575EC5" w:rsidRPr="0092295B">
        <w:rPr>
          <w:i w:val="0"/>
          <w:szCs w:val="20"/>
        </w:rPr>
        <w:t xml:space="preserve"> </w:t>
      </w:r>
      <w:r w:rsidRPr="0092295B">
        <w:rPr>
          <w:i w:val="0"/>
          <w:szCs w:val="20"/>
        </w:rPr>
        <w:t>y reconoció la competencia contenciosa de la Corte el</w:t>
      </w:r>
      <w:r w:rsidR="00721342" w:rsidRPr="0092295B">
        <w:rPr>
          <w:i w:val="0"/>
          <w:szCs w:val="20"/>
        </w:rPr>
        <w:t xml:space="preserve"> 24</w:t>
      </w:r>
      <w:r w:rsidRPr="0092295B">
        <w:rPr>
          <w:i w:val="0"/>
          <w:szCs w:val="20"/>
        </w:rPr>
        <w:t xml:space="preserve"> de ju</w:t>
      </w:r>
      <w:r w:rsidR="000F462E">
        <w:rPr>
          <w:i w:val="0"/>
          <w:szCs w:val="20"/>
        </w:rPr>
        <w:t>l</w:t>
      </w:r>
      <w:r w:rsidRPr="0092295B">
        <w:rPr>
          <w:i w:val="0"/>
          <w:szCs w:val="20"/>
        </w:rPr>
        <w:t>io de</w:t>
      </w:r>
      <w:r w:rsidR="00721342" w:rsidRPr="0092295B">
        <w:rPr>
          <w:i w:val="0"/>
          <w:szCs w:val="20"/>
        </w:rPr>
        <w:t xml:space="preserve"> 1984</w:t>
      </w:r>
      <w:r w:rsidR="00F70CFF" w:rsidRPr="0092295B">
        <w:rPr>
          <w:i w:val="0"/>
          <w:szCs w:val="20"/>
        </w:rPr>
        <w:t>.</w:t>
      </w:r>
    </w:p>
    <w:p w14:paraId="454084B1" w14:textId="77777777" w:rsidR="00CB2F36" w:rsidRPr="0092295B" w:rsidRDefault="00CB2F36" w:rsidP="00CB2F36">
      <w:pPr>
        <w:pStyle w:val="Estilo1"/>
        <w:spacing w:before="0" w:after="0"/>
        <w:ind w:left="0" w:right="-4" w:firstLine="0"/>
        <w:rPr>
          <w:i w:val="0"/>
          <w:szCs w:val="20"/>
        </w:rPr>
      </w:pPr>
    </w:p>
    <w:p w14:paraId="52DA3231" w14:textId="77777777" w:rsidR="00187CF2" w:rsidRPr="0092295B" w:rsidRDefault="00187CF2" w:rsidP="00CB2F36">
      <w:pPr>
        <w:pStyle w:val="Ttulo1"/>
        <w:spacing w:before="0" w:after="0"/>
      </w:pPr>
      <w:bookmarkStart w:id="30" w:name="_Toc87338996"/>
      <w:bookmarkStart w:id="31" w:name="_Toc470105095"/>
      <w:bookmarkStart w:id="32" w:name="_Toc438132275"/>
      <w:bookmarkStart w:id="33" w:name="_Toc315133577"/>
      <w:bookmarkStart w:id="34" w:name="_Toc316919762"/>
      <w:bookmarkStart w:id="35" w:name="_Toc329703867"/>
      <w:bookmarkStart w:id="36" w:name="_Toc336638904"/>
      <w:bookmarkStart w:id="37" w:name="_Toc359314424"/>
      <w:bookmarkStart w:id="38" w:name="_Toc361671574"/>
      <w:bookmarkStart w:id="39" w:name="_Toc361671994"/>
      <w:bookmarkStart w:id="40" w:name="_Toc361732791"/>
      <w:bookmarkStart w:id="41" w:name="_Toc361732834"/>
      <w:bookmarkStart w:id="42" w:name="_Toc362456865"/>
      <w:bookmarkStart w:id="43" w:name="_Toc365021394"/>
      <w:bookmarkStart w:id="44" w:name="_Toc369076780"/>
      <w:bookmarkStart w:id="45" w:name="_Toc369989372"/>
      <w:bookmarkStart w:id="46" w:name="_Toc369989459"/>
      <w:bookmarkStart w:id="47" w:name="_Toc369989740"/>
      <w:bookmarkStart w:id="48" w:name="_Toc311128165"/>
      <w:bookmarkStart w:id="49" w:name="_Toc311128362"/>
      <w:bookmarkStart w:id="50" w:name="_Toc442082545"/>
      <w:bookmarkStart w:id="51" w:name="_Toc460237945"/>
      <w:bookmarkStart w:id="52" w:name="_Toc460238242"/>
      <w:r w:rsidRPr="0092295B">
        <w:t>IV</w:t>
      </w:r>
      <w:r w:rsidR="00E453F0" w:rsidRPr="0092295B">
        <w:t xml:space="preserve"> </w:t>
      </w:r>
      <w:r w:rsidR="00E453F0" w:rsidRPr="0092295B">
        <w:br/>
      </w:r>
      <w:r w:rsidRPr="0092295B">
        <w:t>EXCEPCIONES PRELIMINARES</w:t>
      </w:r>
      <w:bookmarkEnd w:id="30"/>
    </w:p>
    <w:p w14:paraId="17C451AD" w14:textId="77777777" w:rsidR="00187CF2" w:rsidRPr="0092295B" w:rsidRDefault="00187CF2" w:rsidP="00CB2F36">
      <w:pPr>
        <w:pStyle w:val="Sinespaciado"/>
        <w:jc w:val="both"/>
        <w:rPr>
          <w:rFonts w:ascii="Verdana" w:hAnsi="Verdana"/>
          <w:b/>
          <w:sz w:val="20"/>
          <w:szCs w:val="20"/>
          <w:u w:val="single"/>
          <w:lang w:val="es-CR"/>
        </w:rPr>
      </w:pPr>
    </w:p>
    <w:p w14:paraId="771D509E" w14:textId="6BD1961E" w:rsidR="002E7EDB" w:rsidRPr="0092295B" w:rsidRDefault="00CF2D2A" w:rsidP="008F70FC">
      <w:pPr>
        <w:pStyle w:val="Prrafodelista"/>
        <w:autoSpaceDE w:val="0"/>
        <w:autoSpaceDN w:val="0"/>
        <w:adjustRightInd w:val="0"/>
        <w:spacing w:after="0"/>
        <w:ind w:left="0"/>
        <w:rPr>
          <w:b/>
          <w:szCs w:val="20"/>
          <w:lang w:val="es-CR"/>
        </w:rPr>
      </w:pPr>
      <w:r w:rsidRPr="00276ECB">
        <w:rPr>
          <w:szCs w:val="20"/>
          <w:lang w:val="es-CR"/>
        </w:rPr>
        <w:t>12</w:t>
      </w:r>
      <w:r w:rsidR="00B02FAA" w:rsidRPr="00276ECB">
        <w:rPr>
          <w:szCs w:val="20"/>
          <w:lang w:val="es-CR"/>
        </w:rPr>
        <w:t>.</w:t>
      </w:r>
      <w:r w:rsidR="00B02FAA" w:rsidRPr="0092295B">
        <w:rPr>
          <w:szCs w:val="20"/>
          <w:lang w:val="es-CR"/>
        </w:rPr>
        <w:tab/>
      </w:r>
      <w:r w:rsidR="00FC1883" w:rsidRPr="0092295B">
        <w:rPr>
          <w:szCs w:val="20"/>
          <w:lang w:val="es-CR"/>
        </w:rPr>
        <w:t xml:space="preserve">El Estado presentó dos excepciones preliminares: </w:t>
      </w:r>
      <w:r w:rsidR="00164076" w:rsidRPr="0092295B">
        <w:rPr>
          <w:szCs w:val="20"/>
          <w:lang w:val="es-CR"/>
        </w:rPr>
        <w:t xml:space="preserve">a) </w:t>
      </w:r>
      <w:r w:rsidR="00977312">
        <w:rPr>
          <w:szCs w:val="20"/>
          <w:lang w:val="es-CR"/>
        </w:rPr>
        <w:t xml:space="preserve">alegada </w:t>
      </w:r>
      <w:r w:rsidR="00164076" w:rsidRPr="0092295B">
        <w:rPr>
          <w:szCs w:val="20"/>
          <w:lang w:val="es-CR"/>
        </w:rPr>
        <w:t xml:space="preserve">“[i]ncompetencia de la Corte IDH en razón de la materia y la utilización del </w:t>
      </w:r>
      <w:r w:rsidR="00D34F3B">
        <w:rPr>
          <w:szCs w:val="20"/>
          <w:lang w:val="es-CR"/>
        </w:rPr>
        <w:t>[sistema interamericano de derechos humanos]</w:t>
      </w:r>
      <w:r w:rsidR="00D34F3B" w:rsidRPr="0092295B">
        <w:rPr>
          <w:szCs w:val="20"/>
          <w:lang w:val="es-CR"/>
        </w:rPr>
        <w:t xml:space="preserve"> </w:t>
      </w:r>
      <w:r w:rsidR="00164076" w:rsidRPr="0092295B">
        <w:rPr>
          <w:szCs w:val="20"/>
          <w:lang w:val="es-CR"/>
        </w:rPr>
        <w:t>como una cuarta instancia en relación al proceso penal instaurado en contra de los señores Villarroel Merino, Cevallos Moreno, Coloma Ga[i</w:t>
      </w:r>
      <w:r w:rsidR="009C0EFD">
        <w:rPr>
          <w:szCs w:val="20"/>
          <w:lang w:val="es-CR"/>
        </w:rPr>
        <w:t>]bor, Ascázubi Albán, López Orti</w:t>
      </w:r>
      <w:r w:rsidR="001970E4">
        <w:rPr>
          <w:szCs w:val="20"/>
          <w:lang w:val="es-CR"/>
        </w:rPr>
        <w:t>z</w:t>
      </w:r>
      <w:r w:rsidR="00164076" w:rsidRPr="0092295B">
        <w:rPr>
          <w:szCs w:val="20"/>
          <w:lang w:val="es-CR"/>
        </w:rPr>
        <w:t xml:space="preserve"> y otros” y b) </w:t>
      </w:r>
      <w:r w:rsidR="00DC6457" w:rsidRPr="0092295B">
        <w:rPr>
          <w:szCs w:val="20"/>
          <w:lang w:val="es-CR"/>
        </w:rPr>
        <w:t>“</w:t>
      </w:r>
      <w:r w:rsidR="00164076" w:rsidRPr="0092295B">
        <w:rPr>
          <w:szCs w:val="20"/>
          <w:lang w:val="es-CR"/>
        </w:rPr>
        <w:t xml:space="preserve">[c]ontrol de legalidad de las actuaciones de la </w:t>
      </w:r>
      <w:r w:rsidR="00977312">
        <w:rPr>
          <w:szCs w:val="20"/>
          <w:lang w:val="es-CR"/>
        </w:rPr>
        <w:t xml:space="preserve">[Comisión] </w:t>
      </w:r>
      <w:r w:rsidR="001970E4">
        <w:rPr>
          <w:szCs w:val="20"/>
          <w:lang w:val="es-CR"/>
        </w:rPr>
        <w:t>por</w:t>
      </w:r>
      <w:r w:rsidR="00164076" w:rsidRPr="0092295B">
        <w:rPr>
          <w:szCs w:val="20"/>
          <w:lang w:val="es-CR"/>
        </w:rPr>
        <w:t xml:space="preserve"> vulneración del derecho de defensa del Estado”.</w:t>
      </w:r>
      <w:r w:rsidR="00AB6566" w:rsidRPr="0092295B">
        <w:rPr>
          <w:szCs w:val="20"/>
          <w:lang w:val="es-CR"/>
        </w:rPr>
        <w:t xml:space="preserve"> </w:t>
      </w:r>
      <w:r w:rsidR="00187CF2" w:rsidRPr="0092295B">
        <w:rPr>
          <w:szCs w:val="20"/>
          <w:lang w:val="es-CR"/>
        </w:rPr>
        <w:t>Se detallan a continuación las excepciones preliminares</w:t>
      </w:r>
      <w:r w:rsidR="00DC6457" w:rsidRPr="0092295B">
        <w:rPr>
          <w:szCs w:val="20"/>
          <w:lang w:val="es-CR"/>
        </w:rPr>
        <w:t xml:space="preserve"> </w:t>
      </w:r>
      <w:r w:rsidR="00FC1883" w:rsidRPr="0092295B">
        <w:rPr>
          <w:szCs w:val="20"/>
          <w:lang w:val="es-CR"/>
        </w:rPr>
        <w:t xml:space="preserve">presentadas </w:t>
      </w:r>
      <w:r w:rsidR="00187CF2" w:rsidRPr="0092295B">
        <w:rPr>
          <w:szCs w:val="20"/>
          <w:lang w:val="es-CR"/>
        </w:rPr>
        <w:t>por el Estado y lo argumentado al respecto por el representante</w:t>
      </w:r>
      <w:r w:rsidR="009D3B48" w:rsidRPr="0092295B">
        <w:rPr>
          <w:szCs w:val="20"/>
          <w:lang w:val="es-CR"/>
        </w:rPr>
        <w:t xml:space="preserve"> y la Comisión</w:t>
      </w:r>
      <w:r w:rsidR="00187CF2" w:rsidRPr="0092295B">
        <w:rPr>
          <w:szCs w:val="20"/>
          <w:lang w:val="es-CR"/>
        </w:rPr>
        <w:t>.</w:t>
      </w:r>
      <w:r w:rsidR="008209D3" w:rsidRPr="0092295B">
        <w:rPr>
          <w:szCs w:val="20"/>
          <w:lang w:val="es-CR"/>
        </w:rPr>
        <w:t xml:space="preserve"> </w:t>
      </w:r>
    </w:p>
    <w:p w14:paraId="36217AD6" w14:textId="7C2F946C" w:rsidR="00187CF2" w:rsidRPr="00F911DC" w:rsidRDefault="00991F31" w:rsidP="00F911DC">
      <w:pPr>
        <w:pStyle w:val="Ttulo2"/>
        <w:ind w:left="567"/>
        <w:rPr>
          <w:i w:val="0"/>
          <w:lang w:val="es-CR"/>
        </w:rPr>
      </w:pPr>
      <w:bookmarkStart w:id="53" w:name="_Toc87338997"/>
      <w:r w:rsidRPr="00F911DC">
        <w:rPr>
          <w:i w:val="0"/>
          <w:lang w:val="es-CR"/>
        </w:rPr>
        <w:t xml:space="preserve">A. </w:t>
      </w:r>
      <w:r w:rsidR="009A0513" w:rsidRPr="00F911DC">
        <w:rPr>
          <w:i w:val="0"/>
          <w:lang w:val="es-CR"/>
        </w:rPr>
        <w:t xml:space="preserve">Alegada </w:t>
      </w:r>
      <w:r w:rsidR="00D24999" w:rsidRPr="00F911DC">
        <w:rPr>
          <w:i w:val="0"/>
          <w:lang w:val="es-CR"/>
        </w:rPr>
        <w:t>falta de competencia de la Corte para actuar como cuarta instancia</w:t>
      </w:r>
      <w:bookmarkEnd w:id="53"/>
      <w:r w:rsidR="00D24999" w:rsidRPr="00F911DC">
        <w:rPr>
          <w:i w:val="0"/>
          <w:lang w:val="es-CR"/>
        </w:rPr>
        <w:t xml:space="preserve"> </w:t>
      </w:r>
    </w:p>
    <w:p w14:paraId="61C87946" w14:textId="367345F4" w:rsidR="00E60365" w:rsidRPr="00F911DC" w:rsidRDefault="00723A27" w:rsidP="00F911DC">
      <w:pPr>
        <w:pStyle w:val="Ttulo3"/>
        <w:ind w:left="851"/>
        <w:rPr>
          <w:i/>
          <w:lang w:val="es-CR"/>
        </w:rPr>
      </w:pPr>
      <w:bookmarkStart w:id="54" w:name="_Toc87338998"/>
      <w:r w:rsidRPr="00F911DC">
        <w:rPr>
          <w:i/>
          <w:lang w:val="es-CR"/>
        </w:rPr>
        <w:t>A.1. Alegatos</w:t>
      </w:r>
      <w:r w:rsidR="00187CF2" w:rsidRPr="00F911DC">
        <w:rPr>
          <w:i/>
          <w:lang w:val="es-CR"/>
        </w:rPr>
        <w:t xml:space="preserve"> de las partes y la Comisión</w:t>
      </w:r>
      <w:bookmarkEnd w:id="54"/>
    </w:p>
    <w:p w14:paraId="62E166B7" w14:textId="590B51A4" w:rsidR="00562F83" w:rsidRPr="0092295B" w:rsidRDefault="00F37F09" w:rsidP="00CF2D2A">
      <w:pPr>
        <w:pStyle w:val="Prrafodelista"/>
        <w:widowControl w:val="0"/>
        <w:numPr>
          <w:ilvl w:val="0"/>
          <w:numId w:val="29"/>
        </w:numPr>
        <w:autoSpaceDE w:val="0"/>
        <w:autoSpaceDN w:val="0"/>
        <w:adjustRightInd w:val="0"/>
        <w:ind w:left="0" w:firstLine="0"/>
        <w:rPr>
          <w:rFonts w:cs="Times New Roman"/>
          <w:szCs w:val="20"/>
          <w:lang w:val="es-CR"/>
        </w:rPr>
      </w:pPr>
      <w:r w:rsidRPr="0092295B">
        <w:rPr>
          <w:rFonts w:cs="Times New Roman"/>
          <w:szCs w:val="20"/>
          <w:lang w:val="es-CR"/>
        </w:rPr>
        <w:t xml:space="preserve">El </w:t>
      </w:r>
      <w:r w:rsidRPr="0092295B">
        <w:rPr>
          <w:rFonts w:cs="Times New Roman"/>
          <w:b/>
          <w:i/>
          <w:szCs w:val="20"/>
          <w:lang w:val="es-CR"/>
        </w:rPr>
        <w:t>Estado</w:t>
      </w:r>
      <w:r w:rsidRPr="0092295B">
        <w:rPr>
          <w:rFonts w:cs="Times New Roman"/>
          <w:szCs w:val="20"/>
          <w:lang w:val="es-CR"/>
        </w:rPr>
        <w:t xml:space="preserve"> alegó que los señores Villarroel Merino, Cevallos Moreno, Coloma Ga</w:t>
      </w:r>
      <w:r w:rsidR="00CA63EE" w:rsidRPr="0092295B">
        <w:rPr>
          <w:rFonts w:cs="Times New Roman"/>
          <w:szCs w:val="20"/>
          <w:lang w:val="es-CR"/>
        </w:rPr>
        <w:t>i</w:t>
      </w:r>
      <w:r w:rsidR="002D140E" w:rsidRPr="0092295B">
        <w:rPr>
          <w:rFonts w:cs="Times New Roman"/>
          <w:szCs w:val="20"/>
          <w:lang w:val="es-CR"/>
        </w:rPr>
        <w:t>bor, Ascázubi Albán</w:t>
      </w:r>
      <w:r w:rsidR="002B055F" w:rsidRPr="0092295B">
        <w:rPr>
          <w:rFonts w:cs="Times New Roman"/>
          <w:szCs w:val="20"/>
          <w:lang w:val="es-CR"/>
        </w:rPr>
        <w:t>,</w:t>
      </w:r>
      <w:r w:rsidR="002D140E" w:rsidRPr="0092295B">
        <w:rPr>
          <w:rFonts w:cs="Times New Roman"/>
          <w:szCs w:val="20"/>
          <w:lang w:val="es-CR"/>
        </w:rPr>
        <w:t xml:space="preserve"> López Orti</w:t>
      </w:r>
      <w:r w:rsidRPr="0092295B">
        <w:rPr>
          <w:rFonts w:cs="Times New Roman"/>
          <w:szCs w:val="20"/>
          <w:lang w:val="es-CR"/>
        </w:rPr>
        <w:t>z, y Vinueza Pánchez pretendieron utilizar, primero a la Comisión Interamericana, y ahora</w:t>
      </w:r>
      <w:r w:rsidR="009D3B48" w:rsidRPr="0092295B">
        <w:rPr>
          <w:rFonts w:cs="Times New Roman"/>
          <w:szCs w:val="20"/>
          <w:lang w:val="es-CR"/>
        </w:rPr>
        <w:t xml:space="preserve"> a</w:t>
      </w:r>
      <w:r w:rsidRPr="0092295B">
        <w:rPr>
          <w:rFonts w:cs="Times New Roman"/>
          <w:szCs w:val="20"/>
          <w:lang w:val="es-CR"/>
        </w:rPr>
        <w:t xml:space="preserve"> la Corte como una cuarta instancia respecto del proceso penal por el delito de malversación de fondos</w:t>
      </w:r>
      <w:r w:rsidR="00013B12" w:rsidRPr="0092295B">
        <w:rPr>
          <w:rFonts w:cs="Times New Roman"/>
          <w:szCs w:val="20"/>
          <w:lang w:val="es-CR"/>
        </w:rPr>
        <w:t>.</w:t>
      </w:r>
      <w:r w:rsidRPr="0092295B">
        <w:rPr>
          <w:rFonts w:cs="Times New Roman"/>
          <w:b/>
          <w:szCs w:val="20"/>
          <w:lang w:val="es-CR"/>
        </w:rPr>
        <w:t xml:space="preserve"> </w:t>
      </w:r>
      <w:r w:rsidRPr="0092295B">
        <w:rPr>
          <w:rFonts w:cs="Times New Roman"/>
          <w:szCs w:val="20"/>
          <w:lang w:val="es-CR"/>
        </w:rPr>
        <w:t xml:space="preserve">El Estado </w:t>
      </w:r>
      <w:r w:rsidR="00DA1611">
        <w:rPr>
          <w:rFonts w:cs="Times New Roman"/>
          <w:szCs w:val="20"/>
          <w:lang w:val="es-CR"/>
        </w:rPr>
        <w:t>sostuvo</w:t>
      </w:r>
      <w:r w:rsidR="00DA1611" w:rsidRPr="0092295B">
        <w:rPr>
          <w:rFonts w:cs="Times New Roman"/>
          <w:szCs w:val="20"/>
          <w:lang w:val="es-CR"/>
        </w:rPr>
        <w:t xml:space="preserve"> </w:t>
      </w:r>
      <w:r w:rsidRPr="0092295B">
        <w:rPr>
          <w:rFonts w:cs="Times New Roman"/>
          <w:szCs w:val="20"/>
          <w:lang w:val="es-CR"/>
        </w:rPr>
        <w:t>que a la Corte no le compete realizar un examen de las resoluciones judiciales dictadas en el marco del proceso penal ya resuelto por la</w:t>
      </w:r>
      <w:r w:rsidR="005D1538" w:rsidRPr="0092295B">
        <w:rPr>
          <w:rFonts w:cs="Times New Roman"/>
          <w:szCs w:val="20"/>
          <w:lang w:val="es-CR"/>
        </w:rPr>
        <w:t xml:space="preserve"> </w:t>
      </w:r>
      <w:r w:rsidR="00EA00A7" w:rsidRPr="0092295B">
        <w:rPr>
          <w:szCs w:val="20"/>
        </w:rPr>
        <w:t xml:space="preserve">Corte Nacional de Justicia Policial </w:t>
      </w:r>
      <w:r w:rsidR="005D1538" w:rsidRPr="0092295B">
        <w:rPr>
          <w:rFonts w:cs="Times New Roman"/>
          <w:szCs w:val="20"/>
          <w:lang w:val="es-CR"/>
        </w:rPr>
        <w:lastRenderedPageBreak/>
        <w:t>(en adelante</w:t>
      </w:r>
      <w:r w:rsidR="002B055F" w:rsidRPr="0092295B">
        <w:rPr>
          <w:rFonts w:cs="Times New Roman"/>
          <w:szCs w:val="20"/>
          <w:lang w:val="es-CR"/>
        </w:rPr>
        <w:t xml:space="preserve"> también</w:t>
      </w:r>
      <w:r w:rsidR="005D1538" w:rsidRPr="0092295B">
        <w:rPr>
          <w:rFonts w:cs="Times New Roman"/>
          <w:szCs w:val="20"/>
          <w:lang w:val="es-CR"/>
        </w:rPr>
        <w:t xml:space="preserve"> “</w:t>
      </w:r>
      <w:r w:rsidR="00EA00A7" w:rsidRPr="0092295B">
        <w:rPr>
          <w:rFonts w:cs="Times New Roman"/>
          <w:szCs w:val="20"/>
          <w:lang w:val="es-CR"/>
        </w:rPr>
        <w:t>CNJP</w:t>
      </w:r>
      <w:r w:rsidR="005D1538" w:rsidRPr="0092295B">
        <w:rPr>
          <w:rFonts w:cs="Times New Roman"/>
          <w:szCs w:val="20"/>
          <w:lang w:val="es-CR"/>
        </w:rPr>
        <w:t>”)</w:t>
      </w:r>
      <w:r w:rsidRPr="0092295B">
        <w:rPr>
          <w:rFonts w:cs="Times New Roman"/>
          <w:szCs w:val="20"/>
          <w:lang w:val="es-CR"/>
        </w:rPr>
        <w:t>,</w:t>
      </w:r>
      <w:r w:rsidRPr="0092295B">
        <w:rPr>
          <w:rFonts w:cs="Times New Roman"/>
          <w:b/>
          <w:szCs w:val="20"/>
          <w:lang w:val="es-CR"/>
        </w:rPr>
        <w:t xml:space="preserve"> </w:t>
      </w:r>
      <w:r w:rsidRPr="0092295B">
        <w:rPr>
          <w:rFonts w:cs="Times New Roman"/>
          <w:szCs w:val="20"/>
          <w:lang w:val="es-CR"/>
        </w:rPr>
        <w:t>ni</w:t>
      </w:r>
      <w:r w:rsidRPr="0092295B">
        <w:rPr>
          <w:rFonts w:cs="Times New Roman"/>
          <w:b/>
          <w:szCs w:val="20"/>
          <w:lang w:val="es-CR"/>
        </w:rPr>
        <w:t xml:space="preserve"> </w:t>
      </w:r>
      <w:r w:rsidRPr="0092295B">
        <w:rPr>
          <w:rFonts w:cs="Times New Roman"/>
          <w:szCs w:val="20"/>
          <w:lang w:val="es-CR"/>
        </w:rPr>
        <w:t>examinar supuestos errores de derecho o de hecho que puedan haber cometido los tribunales nacionales.</w:t>
      </w:r>
      <w:r w:rsidRPr="0092295B">
        <w:rPr>
          <w:rFonts w:cs="Times New Roman"/>
          <w:b/>
          <w:szCs w:val="20"/>
          <w:lang w:val="es-CR"/>
        </w:rPr>
        <w:t xml:space="preserve"> </w:t>
      </w:r>
      <w:r w:rsidR="00FC1883" w:rsidRPr="0092295B">
        <w:rPr>
          <w:rFonts w:cs="Times New Roman"/>
          <w:szCs w:val="20"/>
          <w:lang w:val="es-CR"/>
        </w:rPr>
        <w:t>Sostuvo que l</w:t>
      </w:r>
      <w:r w:rsidRPr="0092295B">
        <w:rPr>
          <w:rFonts w:cs="Times New Roman"/>
          <w:szCs w:val="20"/>
          <w:lang w:val="es-CR"/>
        </w:rPr>
        <w:t>as presuntas víctimas buscan que la Corte</w:t>
      </w:r>
      <w:r w:rsidRPr="0092295B">
        <w:rPr>
          <w:rFonts w:cs="Times New Roman"/>
          <w:b/>
          <w:szCs w:val="20"/>
          <w:lang w:val="es-CR"/>
        </w:rPr>
        <w:t xml:space="preserve"> </w:t>
      </w:r>
      <w:r w:rsidRPr="0092295B">
        <w:rPr>
          <w:rFonts w:cs="Times New Roman"/>
          <w:szCs w:val="20"/>
          <w:lang w:val="es-CR"/>
        </w:rPr>
        <w:t>revoque</w:t>
      </w:r>
      <w:r w:rsidR="005D1538" w:rsidRPr="0092295B">
        <w:rPr>
          <w:rFonts w:cs="Times New Roman"/>
          <w:szCs w:val="20"/>
          <w:lang w:val="es-CR"/>
        </w:rPr>
        <w:t xml:space="preserve"> las resoluciones del tribunal n</w:t>
      </w:r>
      <w:r w:rsidRPr="0092295B">
        <w:rPr>
          <w:rFonts w:cs="Times New Roman"/>
          <w:szCs w:val="20"/>
          <w:lang w:val="es-CR"/>
        </w:rPr>
        <w:t>acional, lo cual implicaría que ésta actuara como una instancia superior</w:t>
      </w:r>
      <w:r w:rsidR="00013B12" w:rsidRPr="0092295B">
        <w:rPr>
          <w:rFonts w:cs="Times New Roman"/>
          <w:szCs w:val="20"/>
          <w:lang w:val="es-CR"/>
        </w:rPr>
        <w:t>.</w:t>
      </w:r>
      <w:r w:rsidR="00013B12" w:rsidRPr="0092295B">
        <w:rPr>
          <w:rFonts w:cs="Times New Roman"/>
          <w:b/>
          <w:szCs w:val="20"/>
          <w:lang w:val="es-CR"/>
        </w:rPr>
        <w:t xml:space="preserve"> </w:t>
      </w:r>
    </w:p>
    <w:p w14:paraId="7C2E7715" w14:textId="77777777" w:rsidR="00721342" w:rsidRPr="0092295B" w:rsidRDefault="00721342" w:rsidP="00CF2D2A">
      <w:pPr>
        <w:pStyle w:val="Prrafodelista"/>
        <w:autoSpaceDE w:val="0"/>
        <w:autoSpaceDN w:val="0"/>
        <w:adjustRightInd w:val="0"/>
        <w:spacing w:before="0" w:after="0"/>
        <w:ind w:left="0"/>
        <w:rPr>
          <w:szCs w:val="20"/>
          <w:lang w:val="es-CR"/>
        </w:rPr>
      </w:pPr>
    </w:p>
    <w:p w14:paraId="514DBC45" w14:textId="101A0DDC" w:rsidR="00F37F09" w:rsidRPr="0092295B" w:rsidRDefault="00F37F09" w:rsidP="00CF2D2A">
      <w:pPr>
        <w:pStyle w:val="Prrafodelista"/>
        <w:numPr>
          <w:ilvl w:val="0"/>
          <w:numId w:val="29"/>
        </w:numPr>
        <w:autoSpaceDE w:val="0"/>
        <w:autoSpaceDN w:val="0"/>
        <w:adjustRightInd w:val="0"/>
        <w:spacing w:before="0" w:after="0"/>
        <w:ind w:left="0" w:firstLine="0"/>
        <w:rPr>
          <w:szCs w:val="20"/>
          <w:lang w:val="es-CR"/>
        </w:rPr>
      </w:pPr>
      <w:r w:rsidRPr="0092295B">
        <w:rPr>
          <w:rFonts w:cs="Arial"/>
          <w:szCs w:val="20"/>
          <w:lang w:val="es-MX"/>
        </w:rPr>
        <w:t>E</w:t>
      </w:r>
      <w:r w:rsidR="00562F83" w:rsidRPr="0092295B">
        <w:rPr>
          <w:rFonts w:cs="Arial"/>
          <w:szCs w:val="20"/>
          <w:lang w:val="es-MX"/>
        </w:rPr>
        <w:t xml:space="preserve">l </w:t>
      </w:r>
      <w:r w:rsidR="00562F83" w:rsidRPr="0092295B">
        <w:rPr>
          <w:rFonts w:cs="Arial"/>
          <w:b/>
          <w:i/>
          <w:szCs w:val="20"/>
          <w:lang w:val="es-MX"/>
        </w:rPr>
        <w:t xml:space="preserve">representante </w:t>
      </w:r>
      <w:r w:rsidR="00723A27" w:rsidRPr="0092295B">
        <w:rPr>
          <w:rFonts w:cs="Arial"/>
          <w:szCs w:val="20"/>
          <w:lang w:val="es-MX"/>
        </w:rPr>
        <w:t xml:space="preserve">consideró que el Estado demuestra “un total desconocimiento del Sistema Interamericano de Derechos Humanos” y señaló que ellos “jamás [se refirieron a la Corte] como un Tribunal de cuarta instancia o tribunal de alzada”. </w:t>
      </w:r>
      <w:r w:rsidR="00723A27" w:rsidRPr="0092295B">
        <w:rPr>
          <w:rFonts w:cs="Arial"/>
          <w:b/>
          <w:szCs w:val="20"/>
          <w:lang w:val="es-MX"/>
        </w:rPr>
        <w:t xml:space="preserve"> </w:t>
      </w:r>
      <w:r w:rsidR="00723A27" w:rsidRPr="0092295B">
        <w:rPr>
          <w:rFonts w:cs="Times New Roman"/>
          <w:szCs w:val="20"/>
          <w:lang w:val="es-CR"/>
        </w:rPr>
        <w:t xml:space="preserve">Señaló que el Estado “pretende revelarse ante una instancia y jurisdicción plenamente reconocidos por él”, ya que se ha comprometido a respetar las obligaciones y efectos derivados </w:t>
      </w:r>
      <w:r w:rsidR="00723A27" w:rsidRPr="00B33ECE">
        <w:rPr>
          <w:rFonts w:cs="Times New Roman"/>
          <w:szCs w:val="20"/>
          <w:lang w:val="es-CR"/>
        </w:rPr>
        <w:t>de</w:t>
      </w:r>
      <w:r w:rsidR="00FF7C58" w:rsidRPr="00B33ECE">
        <w:rPr>
          <w:rFonts w:cs="Times New Roman"/>
          <w:szCs w:val="20"/>
          <w:lang w:val="es-CR"/>
        </w:rPr>
        <w:t xml:space="preserve">l </w:t>
      </w:r>
      <w:r w:rsidR="00FF7C58" w:rsidRPr="00EF4BDB">
        <w:rPr>
          <w:rFonts w:cs="Times New Roman"/>
          <w:szCs w:val="20"/>
          <w:lang w:val="es-CR"/>
        </w:rPr>
        <w:t>Sistema Interamericano de Derechos Humanos</w:t>
      </w:r>
      <w:r w:rsidR="00723A27" w:rsidRPr="00EF4BDB">
        <w:rPr>
          <w:rFonts w:cs="Times New Roman"/>
          <w:szCs w:val="20"/>
          <w:lang w:val="es-CR"/>
        </w:rPr>
        <w:t>.</w:t>
      </w:r>
      <w:r w:rsidR="00723A27" w:rsidRPr="0092295B">
        <w:rPr>
          <w:rFonts w:cs="Times New Roman"/>
          <w:szCs w:val="20"/>
          <w:lang w:val="es-CR"/>
        </w:rPr>
        <w:t xml:space="preserve"> </w:t>
      </w:r>
    </w:p>
    <w:p w14:paraId="7FB8F4B9" w14:textId="77777777" w:rsidR="00F37F09" w:rsidRPr="0092295B" w:rsidRDefault="00F37F09" w:rsidP="00F37F09">
      <w:pPr>
        <w:pStyle w:val="Prrafodelista"/>
        <w:rPr>
          <w:rFonts w:cs="Arial"/>
          <w:szCs w:val="20"/>
          <w:lang w:val="es-MX"/>
        </w:rPr>
      </w:pPr>
    </w:p>
    <w:p w14:paraId="6D4338AC" w14:textId="3491E9CC" w:rsidR="00187CF2" w:rsidRPr="00991F31" w:rsidRDefault="00F37F09" w:rsidP="00991F31">
      <w:pPr>
        <w:pStyle w:val="Prrafodelista"/>
        <w:numPr>
          <w:ilvl w:val="0"/>
          <w:numId w:val="29"/>
        </w:numPr>
        <w:ind w:left="0" w:firstLine="0"/>
        <w:rPr>
          <w:rFonts w:cs="Arial"/>
          <w:szCs w:val="20"/>
          <w:lang w:val="es-CR"/>
        </w:rPr>
      </w:pPr>
      <w:r w:rsidRPr="0092295B">
        <w:rPr>
          <w:rFonts w:cs="Arial"/>
          <w:szCs w:val="20"/>
          <w:lang w:val="es-MX"/>
        </w:rPr>
        <w:t xml:space="preserve">La </w:t>
      </w:r>
      <w:r w:rsidRPr="0092295B">
        <w:rPr>
          <w:rFonts w:cs="Arial"/>
          <w:b/>
          <w:i/>
          <w:szCs w:val="20"/>
          <w:lang w:val="es-MX"/>
        </w:rPr>
        <w:t>Comisión</w:t>
      </w:r>
      <w:r w:rsidR="00600381" w:rsidRPr="0092295B">
        <w:rPr>
          <w:rFonts w:cs="Arial"/>
          <w:szCs w:val="20"/>
          <w:lang w:val="es-MX"/>
        </w:rPr>
        <w:t xml:space="preserve"> </w:t>
      </w:r>
      <w:r w:rsidR="00AF7AE5" w:rsidRPr="0092295B">
        <w:rPr>
          <w:rFonts w:cs="Arial"/>
          <w:szCs w:val="20"/>
          <w:lang w:val="es-MX"/>
        </w:rPr>
        <w:t xml:space="preserve">recordó el caso </w:t>
      </w:r>
      <w:r w:rsidR="00AF7AE5" w:rsidRPr="0092295B">
        <w:rPr>
          <w:rFonts w:cs="Arial"/>
          <w:i/>
          <w:szCs w:val="20"/>
          <w:lang w:val="es-MX"/>
        </w:rPr>
        <w:t>Cabrera García y Montiel Flores Vs. México</w:t>
      </w:r>
      <w:r w:rsidR="00723A27" w:rsidRPr="0092295B">
        <w:rPr>
          <w:rFonts w:cs="Arial"/>
          <w:szCs w:val="20"/>
          <w:lang w:val="es-MX"/>
        </w:rPr>
        <w:t>, mediante el cual la</w:t>
      </w:r>
      <w:r w:rsidR="00AF7AE5" w:rsidRPr="0092295B">
        <w:rPr>
          <w:rFonts w:cs="Arial"/>
          <w:szCs w:val="20"/>
          <w:lang w:val="es-MX"/>
        </w:rPr>
        <w:t xml:space="preserve"> Corte Interamericana estableció que era competencia de la Corte examinar los procesos internos para verificar su compatibilidad con la Convención Americana</w:t>
      </w:r>
      <w:r w:rsidR="002D140E" w:rsidRPr="0092295B">
        <w:rPr>
          <w:rFonts w:cs="Arial"/>
          <w:szCs w:val="20"/>
          <w:lang w:val="es-MX"/>
        </w:rPr>
        <w:t>.</w:t>
      </w:r>
      <w:r w:rsidR="00AF7AE5" w:rsidRPr="0092295B">
        <w:rPr>
          <w:rFonts w:cs="Arial"/>
          <w:szCs w:val="20"/>
          <w:lang w:val="es-MX"/>
        </w:rPr>
        <w:t xml:space="preserve"> Agregó que “</w:t>
      </w:r>
      <w:r w:rsidR="00AF7AE5" w:rsidRPr="0092295B">
        <w:rPr>
          <w:rFonts w:cs="Arial"/>
          <w:szCs w:val="20"/>
          <w:lang w:val="es-CR"/>
        </w:rPr>
        <w:t>la convencionalidad de la totalidad de los procesos seguidos a nivel interno, en tanto actos estatales, puede ser analizada por los órganos del sistema interamericano, análisis que corresponde al fondo del asunto”.</w:t>
      </w:r>
    </w:p>
    <w:p w14:paraId="696752C9" w14:textId="05A838B6" w:rsidR="00187CF2" w:rsidRPr="00F911DC" w:rsidRDefault="00187CF2" w:rsidP="00F911DC">
      <w:pPr>
        <w:pStyle w:val="Ttulo3"/>
        <w:ind w:left="851"/>
        <w:rPr>
          <w:i/>
          <w:lang w:val="es-CR"/>
        </w:rPr>
      </w:pPr>
      <w:bookmarkStart w:id="55" w:name="_Toc87338999"/>
      <w:r w:rsidRPr="00F911DC">
        <w:rPr>
          <w:i/>
          <w:lang w:val="es-CR"/>
        </w:rPr>
        <w:t>A.2. Consideraciones de la Corte</w:t>
      </w:r>
      <w:bookmarkEnd w:id="55"/>
    </w:p>
    <w:p w14:paraId="606DEAB7" w14:textId="6BB45C78" w:rsidR="00533F4C" w:rsidRPr="0092295B" w:rsidRDefault="00533F4C" w:rsidP="00CF2D2A">
      <w:pPr>
        <w:pStyle w:val="Prrafodelista"/>
        <w:widowControl w:val="0"/>
        <w:numPr>
          <w:ilvl w:val="0"/>
          <w:numId w:val="29"/>
        </w:numPr>
        <w:autoSpaceDE w:val="0"/>
        <w:autoSpaceDN w:val="0"/>
        <w:adjustRightInd w:val="0"/>
        <w:spacing w:before="0" w:after="0"/>
        <w:ind w:left="0" w:firstLine="0"/>
        <w:rPr>
          <w:szCs w:val="20"/>
        </w:rPr>
      </w:pPr>
      <w:r w:rsidRPr="0092295B">
        <w:rPr>
          <w:szCs w:val="20"/>
          <w:lang w:val="es-CO"/>
        </w:rPr>
        <w:t xml:space="preserve">Esta Corte ha señalado que la determinación sobre si las actuaciones de órganos judiciales constituyen una violación de las obligaciones internacionales del Estado, puede conducir a que deba ocuparse de examinar los respectivos procesos internos, para establecer su compatibilidad con la Convención Americana. </w:t>
      </w:r>
      <w:r w:rsidR="00723A27" w:rsidRPr="0092295B">
        <w:rPr>
          <w:szCs w:val="20"/>
        </w:rPr>
        <w:t>En consecuencia, este Tribu</w:t>
      </w:r>
      <w:r w:rsidR="004834B4" w:rsidRPr="0092295B">
        <w:rPr>
          <w:szCs w:val="20"/>
        </w:rPr>
        <w:t xml:space="preserve">nal no es una cuarta instancia </w:t>
      </w:r>
      <w:r w:rsidR="00723A27" w:rsidRPr="0092295B">
        <w:rPr>
          <w:szCs w:val="20"/>
        </w:rPr>
        <w:t>de revisión judicial, en la medida de que examina la conformidad de las decisiones judiciales internas con la Convención Americana y no de acuerdo al derecho interno</w:t>
      </w:r>
      <w:r w:rsidR="00723A27" w:rsidRPr="0092295B">
        <w:rPr>
          <w:rStyle w:val="Refdenotaalpie"/>
        </w:rPr>
        <w:footnoteReference w:id="12"/>
      </w:r>
      <w:r w:rsidR="00723A27" w:rsidRPr="0092295B">
        <w:rPr>
          <w:szCs w:val="20"/>
        </w:rPr>
        <w:t>.</w:t>
      </w:r>
      <w:r w:rsidR="00C13824" w:rsidRPr="0092295B">
        <w:rPr>
          <w:szCs w:val="20"/>
        </w:rPr>
        <w:t xml:space="preserve"> </w:t>
      </w:r>
    </w:p>
    <w:p w14:paraId="6B4E9337" w14:textId="77777777" w:rsidR="00927BA7" w:rsidRPr="0092295B" w:rsidRDefault="00927BA7" w:rsidP="00927BA7">
      <w:pPr>
        <w:pStyle w:val="Prrafodelista"/>
        <w:widowControl w:val="0"/>
        <w:autoSpaceDE w:val="0"/>
        <w:autoSpaceDN w:val="0"/>
        <w:adjustRightInd w:val="0"/>
        <w:spacing w:before="0" w:after="0"/>
        <w:ind w:left="0"/>
        <w:rPr>
          <w:szCs w:val="20"/>
        </w:rPr>
      </w:pPr>
    </w:p>
    <w:p w14:paraId="28752F5E" w14:textId="30212F3D" w:rsidR="00533F4C" w:rsidRPr="00C57AFF" w:rsidRDefault="008E6577" w:rsidP="00187CF2">
      <w:pPr>
        <w:pStyle w:val="Prrafodelista"/>
        <w:widowControl w:val="0"/>
        <w:numPr>
          <w:ilvl w:val="0"/>
          <w:numId w:val="29"/>
        </w:numPr>
        <w:autoSpaceDE w:val="0"/>
        <w:autoSpaceDN w:val="0"/>
        <w:adjustRightInd w:val="0"/>
        <w:spacing w:before="0" w:after="0"/>
        <w:ind w:left="0" w:firstLine="0"/>
        <w:rPr>
          <w:rFonts w:eastAsia="Calibri" w:cs="Times New Roman"/>
          <w:szCs w:val="20"/>
        </w:rPr>
      </w:pPr>
      <w:r w:rsidRPr="0092295B">
        <w:rPr>
          <w:szCs w:val="20"/>
          <w:lang w:val="es-CR"/>
        </w:rPr>
        <w:t>En el caso concreto se advierte que las pretensiones de la Comisión no se circunscriben a la revisión de los fallos de los tribuna</w:t>
      </w:r>
      <w:r w:rsidR="00E946CE" w:rsidRPr="0092295B">
        <w:rPr>
          <w:szCs w:val="20"/>
          <w:lang w:val="es-CR"/>
        </w:rPr>
        <w:t xml:space="preserve">les nacionales, </w:t>
      </w:r>
      <w:r w:rsidR="008209D3" w:rsidRPr="0092295B">
        <w:rPr>
          <w:szCs w:val="20"/>
          <w:lang w:val="es-CR"/>
        </w:rPr>
        <w:t xml:space="preserve">sino a </w:t>
      </w:r>
      <w:r w:rsidR="00BE6BBC" w:rsidRPr="0092295B">
        <w:rPr>
          <w:szCs w:val="20"/>
          <w:lang w:val="es-CR"/>
        </w:rPr>
        <w:t xml:space="preserve">determinar si </w:t>
      </w:r>
      <w:r w:rsidR="00996679" w:rsidRPr="00EF4BDB">
        <w:rPr>
          <w:szCs w:val="20"/>
          <w:lang w:val="es-CR"/>
        </w:rPr>
        <w:t>el proceso penal policial</w:t>
      </w:r>
      <w:r w:rsidR="00D24999" w:rsidRPr="0092295B">
        <w:rPr>
          <w:szCs w:val="20"/>
          <w:lang w:val="es-CR"/>
        </w:rPr>
        <w:t xml:space="preserve"> en contra de las presuntas víctimas y su privación de libertad resultaron ajustados a la Convención Americana</w:t>
      </w:r>
      <w:r w:rsidR="00E946CE" w:rsidRPr="0092295B">
        <w:rPr>
          <w:rFonts w:eastAsia="Times New Roman"/>
          <w:szCs w:val="20"/>
        </w:rPr>
        <w:t>.</w:t>
      </w:r>
      <w:r w:rsidR="00CE5478" w:rsidRPr="0092295B">
        <w:rPr>
          <w:szCs w:val="20"/>
          <w:lang w:val="es-CR"/>
        </w:rPr>
        <w:t xml:space="preserve"> </w:t>
      </w:r>
      <w:r w:rsidRPr="0092295B">
        <w:rPr>
          <w:szCs w:val="20"/>
          <w:lang w:val="es-CR"/>
        </w:rPr>
        <w:t xml:space="preserve">En consecuencia, con el fin de determinar si </w:t>
      </w:r>
      <w:r w:rsidR="00D24999" w:rsidRPr="0092295B">
        <w:rPr>
          <w:szCs w:val="20"/>
          <w:lang w:val="es-CR"/>
        </w:rPr>
        <w:t>las</w:t>
      </w:r>
      <w:r w:rsidRPr="0092295B">
        <w:rPr>
          <w:szCs w:val="20"/>
          <w:lang w:val="es-CR"/>
        </w:rPr>
        <w:t xml:space="preserve"> violaciones </w:t>
      </w:r>
      <w:r w:rsidR="00D24999" w:rsidRPr="0092295B">
        <w:rPr>
          <w:szCs w:val="20"/>
          <w:lang w:val="es-CR"/>
        </w:rPr>
        <w:t xml:space="preserve">alegadas </w:t>
      </w:r>
      <w:r w:rsidRPr="0092295B">
        <w:rPr>
          <w:szCs w:val="20"/>
          <w:lang w:val="es-CR"/>
        </w:rPr>
        <w:t xml:space="preserve">efectivamente ocurrieron, se hace imprescindible analizar las resoluciones dictadas por las distintas autoridades jurisdiccionales, a fin de determinar su compatibilidad con las obligaciones internacionales del Estado, lo que, a la </w:t>
      </w:r>
      <w:r w:rsidRPr="00C57AFF">
        <w:rPr>
          <w:szCs w:val="20"/>
          <w:lang w:val="es-CR"/>
        </w:rPr>
        <w:t xml:space="preserve">postre, configura una cuestión de fondo que no puede dirimirse por vía de una excepción preliminar. En consecuencia, la Corte considera sin </w:t>
      </w:r>
      <w:bookmarkStart w:id="56" w:name="_Ref446681784"/>
      <w:r w:rsidRPr="00C57AFF">
        <w:rPr>
          <w:szCs w:val="20"/>
          <w:lang w:val="es-CR"/>
        </w:rPr>
        <w:t>lugar la excepción preliminar presentada por el Estado</w:t>
      </w:r>
      <w:bookmarkEnd w:id="56"/>
      <w:r w:rsidR="00991F31" w:rsidRPr="00C57AFF">
        <w:rPr>
          <w:szCs w:val="20"/>
          <w:lang w:val="es-CR"/>
        </w:rPr>
        <w:t>.</w:t>
      </w:r>
    </w:p>
    <w:p w14:paraId="16E0AE72" w14:textId="6986F678" w:rsidR="00187CF2" w:rsidRPr="00F911DC" w:rsidRDefault="00991F31" w:rsidP="00F911DC">
      <w:pPr>
        <w:pStyle w:val="Ttulo2"/>
        <w:ind w:left="567"/>
        <w:rPr>
          <w:i w:val="0"/>
          <w:lang w:val="es-CR"/>
        </w:rPr>
      </w:pPr>
      <w:bookmarkStart w:id="57" w:name="_Toc87339000"/>
      <w:bookmarkStart w:id="58" w:name="_Toc1630854"/>
      <w:r w:rsidRPr="00F911DC">
        <w:rPr>
          <w:i w:val="0"/>
          <w:lang w:val="es-CR"/>
        </w:rPr>
        <w:t xml:space="preserve">B. </w:t>
      </w:r>
      <w:r w:rsidR="00723A27" w:rsidRPr="00F911DC">
        <w:rPr>
          <w:i w:val="0"/>
          <w:lang w:val="es-CR"/>
        </w:rPr>
        <w:t xml:space="preserve">Alegada vulneración al derecho de defensa del Estado por la falta de control de legalidad de las actuaciones de la </w:t>
      </w:r>
      <w:r w:rsidR="002B055F" w:rsidRPr="00F911DC">
        <w:rPr>
          <w:i w:val="0"/>
          <w:lang w:val="es-CR"/>
        </w:rPr>
        <w:t>Comisión</w:t>
      </w:r>
      <w:bookmarkEnd w:id="57"/>
      <w:r w:rsidR="009C171D" w:rsidRPr="00F911DC">
        <w:rPr>
          <w:i w:val="0"/>
          <w:lang w:val="es-CR"/>
        </w:rPr>
        <w:t xml:space="preserve"> </w:t>
      </w:r>
    </w:p>
    <w:p w14:paraId="08A0AD3D" w14:textId="18A99FBD" w:rsidR="00187CF2" w:rsidRPr="00F911DC" w:rsidRDefault="00187CF2" w:rsidP="00F911DC">
      <w:pPr>
        <w:pStyle w:val="Ttulo3"/>
        <w:ind w:left="851"/>
        <w:rPr>
          <w:i/>
          <w:lang w:val="es-CR"/>
        </w:rPr>
      </w:pPr>
      <w:bookmarkStart w:id="59" w:name="_Toc87339001"/>
      <w:r w:rsidRPr="00F911DC">
        <w:rPr>
          <w:i/>
          <w:lang w:val="es-CR"/>
        </w:rPr>
        <w:t>B.1. Argumentos de las partes y la Comisión</w:t>
      </w:r>
      <w:bookmarkEnd w:id="59"/>
    </w:p>
    <w:p w14:paraId="623EFD41" w14:textId="618CD3BE" w:rsidR="009D2B4C" w:rsidRPr="00202A5B" w:rsidRDefault="00723A27" w:rsidP="00CF2D2A">
      <w:pPr>
        <w:pStyle w:val="Prrafodelista"/>
        <w:widowControl w:val="0"/>
        <w:numPr>
          <w:ilvl w:val="0"/>
          <w:numId w:val="29"/>
        </w:numPr>
        <w:autoSpaceDE w:val="0"/>
        <w:autoSpaceDN w:val="0"/>
        <w:adjustRightInd w:val="0"/>
        <w:ind w:left="0" w:firstLine="0"/>
        <w:rPr>
          <w:rFonts w:cs="Times New Roman"/>
          <w:szCs w:val="20"/>
          <w:lang w:val="es-CR"/>
        </w:rPr>
      </w:pPr>
      <w:r w:rsidRPr="00C57AFF">
        <w:rPr>
          <w:rFonts w:cs="Times New Roman"/>
          <w:szCs w:val="20"/>
          <w:lang w:val="es-CR"/>
        </w:rPr>
        <w:t>El</w:t>
      </w:r>
      <w:r w:rsidRPr="00C57AFF">
        <w:rPr>
          <w:rFonts w:cs="Times New Roman"/>
          <w:b/>
          <w:szCs w:val="20"/>
          <w:lang w:val="es-CR"/>
        </w:rPr>
        <w:t xml:space="preserve"> </w:t>
      </w:r>
      <w:r w:rsidRPr="00C57AFF">
        <w:rPr>
          <w:rFonts w:cs="Times New Roman"/>
          <w:b/>
          <w:i/>
          <w:szCs w:val="20"/>
          <w:lang w:val="es-CR"/>
        </w:rPr>
        <w:t>Estado</w:t>
      </w:r>
      <w:r w:rsidRPr="00C57AFF">
        <w:rPr>
          <w:rFonts w:cs="Times New Roman"/>
          <w:i/>
          <w:szCs w:val="20"/>
          <w:lang w:val="es-CR"/>
        </w:rPr>
        <w:t xml:space="preserve"> </w:t>
      </w:r>
      <w:r w:rsidRPr="00C57AFF">
        <w:rPr>
          <w:rFonts w:cs="Times New Roman"/>
          <w:szCs w:val="20"/>
          <w:lang w:val="es-CR"/>
        </w:rPr>
        <w:t xml:space="preserve">alegó que transcurrieron más de 15 años desde que inició el trámite ante la Comisión hasta la adopción del Informe de Fondo. Adujo que la duración desproporcionada del procedimiento perjudicó </w:t>
      </w:r>
      <w:r w:rsidR="00C57AFF" w:rsidRPr="00C57AFF">
        <w:rPr>
          <w:rFonts w:cs="Times New Roman"/>
          <w:szCs w:val="20"/>
          <w:lang w:val="es-CR"/>
        </w:rPr>
        <w:t xml:space="preserve">el ejercicio de </w:t>
      </w:r>
      <w:r w:rsidRPr="00C57AFF">
        <w:rPr>
          <w:rFonts w:cs="Times New Roman"/>
          <w:szCs w:val="20"/>
          <w:lang w:val="es-CR"/>
        </w:rPr>
        <w:t xml:space="preserve">la defensa del Estado, pues el transcurso del tiempo dificultó la obtención del sustento probatorio y la estrategia de defensa estatal. </w:t>
      </w:r>
      <w:r w:rsidRPr="00202A5B">
        <w:rPr>
          <w:rFonts w:cs="Times New Roman"/>
          <w:szCs w:val="20"/>
          <w:lang w:val="es-CR"/>
        </w:rPr>
        <w:t>Además, alegó que tuvo que modificar sus excepciones sobre admisibilidad inicialmente propuestas debido a un cambio en el marco fáctico, lo que hizo que el sustento de la excepción propuesta fuera insuficiente.</w:t>
      </w:r>
      <w:r w:rsidRPr="00202A5B">
        <w:rPr>
          <w:rFonts w:cs="Times New Roman"/>
          <w:b/>
          <w:szCs w:val="20"/>
          <w:lang w:val="es-CR"/>
        </w:rPr>
        <w:t xml:space="preserve"> </w:t>
      </w:r>
      <w:r w:rsidRPr="00202A5B">
        <w:rPr>
          <w:rFonts w:cs="Times New Roman"/>
          <w:szCs w:val="20"/>
          <w:lang w:val="es-CR"/>
        </w:rPr>
        <w:t xml:space="preserve">Al inicio del trámite el Estado alegó que los recursos internos no se habían agotado, pues el proceso penal en contra de las presuntas víctimas se encontraba en trámite. El Estado señaló </w:t>
      </w:r>
      <w:r w:rsidR="009A6CD1">
        <w:rPr>
          <w:rFonts w:cs="Times New Roman"/>
          <w:szCs w:val="20"/>
          <w:lang w:val="es-CR"/>
        </w:rPr>
        <w:t>que</w:t>
      </w:r>
      <w:r w:rsidR="00E17874">
        <w:rPr>
          <w:rFonts w:cs="Times New Roman"/>
          <w:szCs w:val="20"/>
          <w:lang w:val="es-CR"/>
        </w:rPr>
        <w:t xml:space="preserve"> defensa se complicó </w:t>
      </w:r>
      <w:r w:rsidR="00E17874">
        <w:rPr>
          <w:rFonts w:cs="Times New Roman"/>
          <w:szCs w:val="20"/>
          <w:lang w:val="es-CR"/>
        </w:rPr>
        <w:lastRenderedPageBreak/>
        <w:t>con la emisión del Informe de Admisibilidad</w:t>
      </w:r>
      <w:r w:rsidR="00E17874" w:rsidRPr="00EF4BDB">
        <w:rPr>
          <w:rFonts w:cs="Times New Roman"/>
          <w:szCs w:val="20"/>
          <w:lang w:val="es-CR"/>
        </w:rPr>
        <w:t>.</w:t>
      </w:r>
      <w:r w:rsidR="009A6CD1" w:rsidRPr="00EF4BDB">
        <w:rPr>
          <w:rFonts w:cs="Times New Roman"/>
          <w:szCs w:val="20"/>
          <w:lang w:val="es-CR"/>
        </w:rPr>
        <w:t xml:space="preserve"> </w:t>
      </w:r>
      <w:r w:rsidR="00E17874" w:rsidRPr="00EF4BDB">
        <w:rPr>
          <w:rFonts w:cs="Times New Roman"/>
          <w:szCs w:val="20"/>
          <w:lang w:val="es-CR"/>
        </w:rPr>
        <w:t xml:space="preserve">Adujo que </w:t>
      </w:r>
      <w:r w:rsidR="009A6CD1" w:rsidRPr="00EF4BDB">
        <w:rPr>
          <w:rFonts w:cs="Times New Roman"/>
          <w:szCs w:val="20"/>
          <w:lang w:val="es-CR"/>
        </w:rPr>
        <w:t>la petición se presentó el 15 de julio de 2003, y dos años después</w:t>
      </w:r>
      <w:r w:rsidR="00B91B2E" w:rsidRPr="00EF4BDB">
        <w:rPr>
          <w:rFonts w:cs="Times New Roman"/>
          <w:szCs w:val="20"/>
          <w:lang w:val="es-CR"/>
        </w:rPr>
        <w:t>,</w:t>
      </w:r>
      <w:r w:rsidR="009A6CD1" w:rsidRPr="00EF4BDB">
        <w:rPr>
          <w:rFonts w:cs="Times New Roman"/>
          <w:szCs w:val="20"/>
          <w:lang w:val="es-CR"/>
        </w:rPr>
        <w:t xml:space="preserve"> el 29 de julio de 2005</w:t>
      </w:r>
      <w:r w:rsidR="00B91B2E" w:rsidRPr="00EF4BDB">
        <w:rPr>
          <w:rFonts w:cs="Times New Roman"/>
          <w:szCs w:val="20"/>
          <w:lang w:val="es-CR"/>
        </w:rPr>
        <w:t>,</w:t>
      </w:r>
      <w:r w:rsidR="009A6CD1" w:rsidRPr="00EF4BDB">
        <w:rPr>
          <w:rFonts w:cs="Times New Roman"/>
          <w:szCs w:val="20"/>
          <w:lang w:val="es-CR"/>
        </w:rPr>
        <w:t xml:space="preserve"> la Comisión la puso en conocimiento del Estado para que presentara observaciones sobre la admisibilidad</w:t>
      </w:r>
      <w:r w:rsidR="00B91B2E" w:rsidRPr="00EF4BDB">
        <w:rPr>
          <w:rFonts w:cs="Times New Roman"/>
          <w:szCs w:val="20"/>
          <w:lang w:val="es-CR"/>
        </w:rPr>
        <w:t xml:space="preserve">. </w:t>
      </w:r>
      <w:r w:rsidR="004C743E">
        <w:rPr>
          <w:rFonts w:cs="Times New Roman"/>
          <w:szCs w:val="20"/>
          <w:lang w:val="es-CR"/>
        </w:rPr>
        <w:t>D</w:t>
      </w:r>
      <w:r w:rsidR="009A6CD1" w:rsidRPr="00EF4BDB">
        <w:rPr>
          <w:rFonts w:cs="Times New Roman"/>
          <w:szCs w:val="20"/>
          <w:lang w:val="es-CR"/>
        </w:rPr>
        <w:t>espués de</w:t>
      </w:r>
      <w:r w:rsidRPr="00EF4BDB">
        <w:rPr>
          <w:rFonts w:cs="Times New Roman"/>
          <w:szCs w:val="20"/>
          <w:lang w:val="es-CR"/>
        </w:rPr>
        <w:t xml:space="preserve"> unos nueve años </w:t>
      </w:r>
      <w:r w:rsidR="009A6CD1" w:rsidRPr="00EF4BDB">
        <w:rPr>
          <w:rFonts w:cs="Times New Roman"/>
          <w:szCs w:val="20"/>
          <w:lang w:val="es-CR"/>
        </w:rPr>
        <w:t>desde que se presentó la solicitud</w:t>
      </w:r>
      <w:r w:rsidRPr="00EF4BDB">
        <w:rPr>
          <w:rFonts w:cs="Times New Roman"/>
          <w:szCs w:val="20"/>
          <w:lang w:val="es-CR"/>
        </w:rPr>
        <w:t xml:space="preserve">, </w:t>
      </w:r>
      <w:r w:rsidR="009A6CD1" w:rsidRPr="00EF4BDB">
        <w:rPr>
          <w:rFonts w:cs="Times New Roman"/>
          <w:szCs w:val="20"/>
          <w:lang w:val="es-CR"/>
        </w:rPr>
        <w:t>la Comisión aprobó el 29 de enero de 2015 el Informe de Admisibilidad</w:t>
      </w:r>
      <w:r w:rsidR="00E17874" w:rsidRPr="00EF4BDB">
        <w:rPr>
          <w:rFonts w:cs="Times New Roman"/>
          <w:szCs w:val="20"/>
          <w:lang w:val="es-CR"/>
        </w:rPr>
        <w:t xml:space="preserve"> y</w:t>
      </w:r>
      <w:r w:rsidRPr="00EF4BDB">
        <w:rPr>
          <w:rFonts w:cs="Times New Roman"/>
          <w:szCs w:val="20"/>
          <w:lang w:val="es-CR"/>
        </w:rPr>
        <w:t xml:space="preserve"> más de quince años después de ser presentada</w:t>
      </w:r>
      <w:r w:rsidRPr="00202A5B">
        <w:rPr>
          <w:rFonts w:cs="Times New Roman"/>
          <w:szCs w:val="20"/>
          <w:lang w:val="es-CR"/>
        </w:rPr>
        <w:t xml:space="preserve"> la petición</w:t>
      </w:r>
      <w:r w:rsidR="00E17874">
        <w:rPr>
          <w:rFonts w:cs="Times New Roman"/>
          <w:szCs w:val="20"/>
          <w:lang w:val="es-CR"/>
        </w:rPr>
        <w:t xml:space="preserve">, aprobó </w:t>
      </w:r>
      <w:r w:rsidR="00E17874" w:rsidRPr="00202A5B">
        <w:rPr>
          <w:rFonts w:cs="Times New Roman"/>
          <w:szCs w:val="20"/>
          <w:lang w:val="es-CR"/>
        </w:rPr>
        <w:t>el 5 de octubre de 201</w:t>
      </w:r>
      <w:r w:rsidR="00E17874" w:rsidRPr="00202A5B">
        <w:rPr>
          <w:lang w:val="es-CR"/>
        </w:rPr>
        <w:t>8</w:t>
      </w:r>
      <w:r w:rsidR="00E17874">
        <w:rPr>
          <w:rFonts w:cs="Times New Roman"/>
          <w:szCs w:val="20"/>
          <w:lang w:val="es-CR"/>
        </w:rPr>
        <w:t xml:space="preserve"> el Informe de Fondo</w:t>
      </w:r>
      <w:r w:rsidRPr="00202A5B">
        <w:rPr>
          <w:rFonts w:cs="Times New Roman"/>
          <w:szCs w:val="20"/>
          <w:lang w:val="es-CR"/>
        </w:rPr>
        <w:t>.</w:t>
      </w:r>
      <w:r w:rsidR="00DC6457" w:rsidRPr="00202A5B">
        <w:rPr>
          <w:rFonts w:cs="Times New Roman"/>
          <w:szCs w:val="20"/>
          <w:lang w:val="es-CR"/>
        </w:rPr>
        <w:t xml:space="preserve"> Sostuvo que l</w:t>
      </w:r>
      <w:r w:rsidRPr="00202A5B">
        <w:rPr>
          <w:rFonts w:cs="Times New Roman"/>
          <w:szCs w:val="20"/>
          <w:lang w:val="es-CR"/>
        </w:rPr>
        <w:t>as dificultades para recabar la prueba afectaron los principios de contradicción y equidad procesal y</w:t>
      </w:r>
      <w:r w:rsidR="004C743E">
        <w:rPr>
          <w:rFonts w:cs="Times New Roman"/>
          <w:szCs w:val="20"/>
          <w:lang w:val="es-CR"/>
        </w:rPr>
        <w:t>,</w:t>
      </w:r>
      <w:r w:rsidRPr="00202A5B">
        <w:rPr>
          <w:rFonts w:cs="Times New Roman"/>
          <w:szCs w:val="20"/>
          <w:lang w:val="es-CR"/>
        </w:rPr>
        <w:t xml:space="preserve"> por ende</w:t>
      </w:r>
      <w:r w:rsidR="004C743E">
        <w:rPr>
          <w:rFonts w:cs="Times New Roman"/>
          <w:szCs w:val="20"/>
          <w:lang w:val="es-CR"/>
        </w:rPr>
        <w:t>,</w:t>
      </w:r>
      <w:r w:rsidRPr="00202A5B">
        <w:rPr>
          <w:rFonts w:cs="Times New Roman"/>
          <w:szCs w:val="20"/>
          <w:lang w:val="es-CR"/>
        </w:rPr>
        <w:t xml:space="preserve"> al principio de seguridad jurídica. En conclusión, </w:t>
      </w:r>
      <w:r w:rsidR="00DC6457" w:rsidRPr="00202A5B">
        <w:rPr>
          <w:rFonts w:cs="Times New Roman"/>
          <w:szCs w:val="20"/>
          <w:lang w:val="es-CR"/>
        </w:rPr>
        <w:t>argumentó que</w:t>
      </w:r>
      <w:r w:rsidR="004C743E">
        <w:rPr>
          <w:rFonts w:cs="Times New Roman"/>
          <w:szCs w:val="20"/>
          <w:lang w:val="es-CR"/>
        </w:rPr>
        <w:t>,</w:t>
      </w:r>
      <w:r w:rsidR="00DC6457" w:rsidRPr="00202A5B">
        <w:rPr>
          <w:rFonts w:cs="Times New Roman"/>
          <w:szCs w:val="20"/>
          <w:lang w:val="es-CR"/>
        </w:rPr>
        <w:t xml:space="preserve"> </w:t>
      </w:r>
      <w:r w:rsidRPr="00202A5B">
        <w:rPr>
          <w:rFonts w:cs="Times New Roman"/>
          <w:szCs w:val="20"/>
          <w:lang w:val="es-CR"/>
        </w:rPr>
        <w:t>al verse afectada la defensa por el paso del tiempo, se vulneró la legalidad con que debe actuar la Comisión. Por ello, el Estado solicitó que la Corte realice un control de legalidad de las actuaciones de la Comisión y determine las afectaciones al derecho a la defensa.</w:t>
      </w:r>
    </w:p>
    <w:p w14:paraId="26070F47" w14:textId="77777777" w:rsidR="007203D2" w:rsidRPr="0092295B" w:rsidRDefault="007203D2" w:rsidP="007203D2">
      <w:pPr>
        <w:pStyle w:val="Prrafodelista"/>
        <w:widowControl w:val="0"/>
        <w:autoSpaceDE w:val="0"/>
        <w:autoSpaceDN w:val="0"/>
        <w:adjustRightInd w:val="0"/>
        <w:ind w:left="0"/>
        <w:rPr>
          <w:rFonts w:cs="Times New Roman"/>
          <w:szCs w:val="20"/>
          <w:lang w:val="es-CR"/>
        </w:rPr>
      </w:pPr>
    </w:p>
    <w:p w14:paraId="221EC426" w14:textId="1C13C230" w:rsidR="00723A27" w:rsidRPr="0092295B" w:rsidRDefault="009D2B4C" w:rsidP="00CF2D2A">
      <w:pPr>
        <w:pStyle w:val="Prrafodelista"/>
        <w:numPr>
          <w:ilvl w:val="0"/>
          <w:numId w:val="29"/>
        </w:numPr>
        <w:autoSpaceDE w:val="0"/>
        <w:autoSpaceDN w:val="0"/>
        <w:adjustRightInd w:val="0"/>
        <w:spacing w:before="0" w:after="0"/>
        <w:ind w:left="0" w:firstLine="0"/>
        <w:rPr>
          <w:szCs w:val="20"/>
          <w:lang w:val="es-CR"/>
        </w:rPr>
      </w:pPr>
      <w:r w:rsidRPr="0092295B">
        <w:rPr>
          <w:szCs w:val="20"/>
          <w:lang w:val="es-CR"/>
        </w:rPr>
        <w:t>El</w:t>
      </w:r>
      <w:r w:rsidRPr="0092295B">
        <w:rPr>
          <w:b/>
          <w:i/>
          <w:szCs w:val="20"/>
          <w:lang w:val="es-CR"/>
        </w:rPr>
        <w:t xml:space="preserve"> representante</w:t>
      </w:r>
      <w:r w:rsidR="00723A27" w:rsidRPr="0092295B">
        <w:rPr>
          <w:szCs w:val="20"/>
          <w:lang w:val="es-CR"/>
        </w:rPr>
        <w:t xml:space="preserve"> sostuvo </w:t>
      </w:r>
      <w:r w:rsidR="00723A27" w:rsidRPr="0092295B">
        <w:rPr>
          <w:rFonts w:cs="Times New Roman"/>
          <w:szCs w:val="20"/>
          <w:lang w:val="es-CR"/>
        </w:rPr>
        <w:t>que el Estado pretendía</w:t>
      </w:r>
      <w:r w:rsidR="00723A27" w:rsidRPr="0092295B">
        <w:rPr>
          <w:rFonts w:cs="Times New Roman"/>
          <w:b/>
          <w:szCs w:val="20"/>
          <w:lang w:val="es-CR"/>
        </w:rPr>
        <w:t xml:space="preserve"> </w:t>
      </w:r>
      <w:r w:rsidR="00723A27" w:rsidRPr="0092295B">
        <w:rPr>
          <w:rFonts w:cs="Times New Roman"/>
          <w:szCs w:val="20"/>
          <w:lang w:val="es-CR"/>
        </w:rPr>
        <w:t xml:space="preserve">“convertirse en víctima de la Comisión Interamericana de Derechos Humanos, porque no le habría garantizado en todo momento la razonabilidad de los plazos en la tramitación de los procesos”. </w:t>
      </w:r>
    </w:p>
    <w:p w14:paraId="35C3BF40" w14:textId="146DAE1B" w:rsidR="009D2B4C" w:rsidRPr="0092295B" w:rsidRDefault="009D2B4C" w:rsidP="00723A27">
      <w:pPr>
        <w:pStyle w:val="Prrafodelista"/>
        <w:autoSpaceDE w:val="0"/>
        <w:autoSpaceDN w:val="0"/>
        <w:adjustRightInd w:val="0"/>
        <w:spacing w:before="0" w:after="0"/>
        <w:ind w:left="0"/>
        <w:rPr>
          <w:szCs w:val="20"/>
          <w:lang w:val="es-CR"/>
        </w:rPr>
      </w:pPr>
    </w:p>
    <w:p w14:paraId="7C97ACD8" w14:textId="564E29D4" w:rsidR="00721342" w:rsidRPr="00ED2790" w:rsidRDefault="009D2B4C" w:rsidP="009D2B4C">
      <w:pPr>
        <w:pStyle w:val="Prrafodelista"/>
        <w:numPr>
          <w:ilvl w:val="0"/>
          <w:numId w:val="29"/>
        </w:numPr>
        <w:autoSpaceDE w:val="0"/>
        <w:autoSpaceDN w:val="0"/>
        <w:adjustRightInd w:val="0"/>
        <w:spacing w:before="0" w:after="0"/>
        <w:ind w:left="0" w:firstLine="0"/>
        <w:rPr>
          <w:szCs w:val="20"/>
          <w:lang w:val="es-CR"/>
        </w:rPr>
      </w:pPr>
      <w:r w:rsidRPr="0092295B">
        <w:rPr>
          <w:szCs w:val="20"/>
          <w:lang w:val="es-CR"/>
        </w:rPr>
        <w:t xml:space="preserve">La </w:t>
      </w:r>
      <w:r w:rsidRPr="0092295B">
        <w:rPr>
          <w:b/>
          <w:i/>
          <w:szCs w:val="20"/>
          <w:lang w:val="es-CR"/>
        </w:rPr>
        <w:t>Comisión</w:t>
      </w:r>
      <w:r w:rsidRPr="0092295B">
        <w:rPr>
          <w:szCs w:val="20"/>
          <w:lang w:val="es-CR"/>
        </w:rPr>
        <w:t xml:space="preserve"> </w:t>
      </w:r>
      <w:r w:rsidR="007569DB" w:rsidRPr="0092295B">
        <w:rPr>
          <w:szCs w:val="20"/>
          <w:lang w:val="es-CR"/>
        </w:rPr>
        <w:t>expuso que</w:t>
      </w:r>
      <w:r w:rsidR="006C4709">
        <w:rPr>
          <w:szCs w:val="20"/>
          <w:lang w:val="es-CR"/>
        </w:rPr>
        <w:t>,</w:t>
      </w:r>
      <w:r w:rsidR="007569DB" w:rsidRPr="0092295B">
        <w:rPr>
          <w:szCs w:val="20"/>
          <w:lang w:val="es-CR"/>
        </w:rPr>
        <w:t xml:space="preserve"> de la jurisprudencia de la Corte</w:t>
      </w:r>
      <w:r w:rsidR="006C4709">
        <w:rPr>
          <w:szCs w:val="20"/>
          <w:lang w:val="es-CR"/>
        </w:rPr>
        <w:t>,</w:t>
      </w:r>
      <w:r w:rsidR="007569DB" w:rsidRPr="0092295B">
        <w:rPr>
          <w:szCs w:val="20"/>
          <w:lang w:val="es-CR"/>
        </w:rPr>
        <w:t xml:space="preserve"> se desprende que un control de legalidad de las actuaciones de la Comisión debe ser muy restringido, pues de lo contrario se pone en riesgo </w:t>
      </w:r>
      <w:r w:rsidR="00CA63EE" w:rsidRPr="0092295B">
        <w:rPr>
          <w:szCs w:val="20"/>
          <w:lang w:val="es-CR"/>
        </w:rPr>
        <w:t>su</w:t>
      </w:r>
      <w:r w:rsidR="007569DB" w:rsidRPr="0092295B">
        <w:rPr>
          <w:szCs w:val="20"/>
          <w:lang w:val="es-CR"/>
        </w:rPr>
        <w:t xml:space="preserve"> autonomía e independencia</w:t>
      </w:r>
      <w:r w:rsidRPr="0092295B">
        <w:rPr>
          <w:szCs w:val="20"/>
          <w:lang w:val="es-CR"/>
        </w:rPr>
        <w:t>.</w:t>
      </w:r>
      <w:r w:rsidR="007569DB" w:rsidRPr="0092295B">
        <w:rPr>
          <w:szCs w:val="20"/>
          <w:lang w:val="es-CR"/>
        </w:rPr>
        <w:t xml:space="preserve"> </w:t>
      </w:r>
      <w:r w:rsidR="00CA63EE" w:rsidRPr="0092295B">
        <w:rPr>
          <w:szCs w:val="20"/>
          <w:lang w:val="es-CR"/>
        </w:rPr>
        <w:t>E</w:t>
      </w:r>
      <w:r w:rsidR="007569DB" w:rsidRPr="0092295B">
        <w:rPr>
          <w:szCs w:val="20"/>
          <w:lang w:val="es-CR"/>
        </w:rPr>
        <w:t>xplicó que “sólo resulta aplicable en aquellos casos en que se demuestre la existencia de un error grave en perjuicio del derecho de defensa del Estado que justifique la inadmisibilidad de un caso ante este Tribunal”.</w:t>
      </w:r>
      <w:r w:rsidR="00130B59" w:rsidRPr="0092295B">
        <w:rPr>
          <w:szCs w:val="20"/>
          <w:lang w:val="es-CR"/>
        </w:rPr>
        <w:t xml:space="preserve"> </w:t>
      </w:r>
      <w:r w:rsidR="007569DB" w:rsidRPr="0092295B">
        <w:rPr>
          <w:szCs w:val="20"/>
          <w:lang w:val="es-CR"/>
        </w:rPr>
        <w:t xml:space="preserve"> </w:t>
      </w:r>
    </w:p>
    <w:p w14:paraId="334C91C4" w14:textId="781B299D" w:rsidR="00533F4C" w:rsidRPr="00F911DC" w:rsidRDefault="00187CF2" w:rsidP="00F911DC">
      <w:pPr>
        <w:pStyle w:val="Ttulo3"/>
        <w:ind w:left="426"/>
        <w:rPr>
          <w:i/>
          <w:lang w:val="es-CR"/>
        </w:rPr>
      </w:pPr>
      <w:r w:rsidRPr="00F911DC">
        <w:rPr>
          <w:i/>
          <w:lang w:val="es-CR"/>
        </w:rPr>
        <w:tab/>
      </w:r>
      <w:bookmarkStart w:id="60" w:name="_Toc87339002"/>
      <w:bookmarkEnd w:id="58"/>
      <w:r w:rsidRPr="00F911DC">
        <w:rPr>
          <w:i/>
          <w:lang w:val="es-CR"/>
        </w:rPr>
        <w:t>B.2. Consideraciones de la Corte</w:t>
      </w:r>
      <w:bookmarkEnd w:id="60"/>
      <w:r w:rsidR="00BB26A8" w:rsidRPr="00F911DC">
        <w:rPr>
          <w:i/>
          <w:lang w:val="es-CR"/>
        </w:rPr>
        <w:t xml:space="preserve"> </w:t>
      </w:r>
    </w:p>
    <w:p w14:paraId="52EA3471" w14:textId="4907074D" w:rsidR="007F606B" w:rsidRPr="0092295B" w:rsidRDefault="00D24999" w:rsidP="00CF2D2A">
      <w:pPr>
        <w:pStyle w:val="Prrafodelista"/>
        <w:widowControl w:val="0"/>
        <w:numPr>
          <w:ilvl w:val="0"/>
          <w:numId w:val="29"/>
        </w:numPr>
        <w:autoSpaceDE w:val="0"/>
        <w:autoSpaceDN w:val="0"/>
        <w:adjustRightInd w:val="0"/>
        <w:spacing w:before="0" w:after="0"/>
        <w:ind w:left="0" w:firstLine="0"/>
        <w:rPr>
          <w:rFonts w:eastAsia="Times New Roman" w:cstheme="minorBidi"/>
          <w:szCs w:val="20"/>
          <w:lang w:val="es-ES"/>
        </w:rPr>
      </w:pPr>
      <w:r w:rsidRPr="0092295B">
        <w:t>E</w:t>
      </w:r>
      <w:r w:rsidR="007F606B" w:rsidRPr="0092295B">
        <w:t>ste Tribunal ya se ha pronunciado acerca del control de legalidad del procedimiento ante la Comisión. Al respecto ha dicho que es aplicable cuando se demuestre la existencia de un error grave en perjuicio del derecho a la defensa del Estado que justifique la inadmisibilidad de un caso sometido a la Corte</w:t>
      </w:r>
      <w:r w:rsidR="00105358" w:rsidRPr="0092295B">
        <w:rPr>
          <w:rStyle w:val="Refdenotaalpie"/>
        </w:rPr>
        <w:footnoteReference w:id="13"/>
      </w:r>
      <w:r w:rsidR="007F606B" w:rsidRPr="0092295B">
        <w:t>. Corresponde analizar si las actuaciones de la Comisión le habrían provocado alguna violación al</w:t>
      </w:r>
      <w:r w:rsidR="00105358" w:rsidRPr="0092295B">
        <w:t xml:space="preserve"> derecho de defensa del Estado. </w:t>
      </w:r>
    </w:p>
    <w:p w14:paraId="7C2B4AFC" w14:textId="77777777" w:rsidR="006A6670" w:rsidRPr="0092295B" w:rsidRDefault="006A6670" w:rsidP="00BB723F">
      <w:pPr>
        <w:pStyle w:val="Prrafodelista"/>
        <w:widowControl w:val="0"/>
        <w:autoSpaceDE w:val="0"/>
        <w:autoSpaceDN w:val="0"/>
        <w:adjustRightInd w:val="0"/>
        <w:spacing w:before="0" w:after="0"/>
        <w:ind w:left="540"/>
        <w:rPr>
          <w:rFonts w:eastAsia="Times New Roman"/>
          <w:szCs w:val="20"/>
        </w:rPr>
      </w:pPr>
    </w:p>
    <w:p w14:paraId="56084263" w14:textId="22017111" w:rsidR="00105358" w:rsidRPr="0092295B" w:rsidRDefault="006A6670" w:rsidP="00CF2D2A">
      <w:pPr>
        <w:pStyle w:val="Prrafodelista"/>
        <w:widowControl w:val="0"/>
        <w:numPr>
          <w:ilvl w:val="0"/>
          <w:numId w:val="29"/>
        </w:numPr>
        <w:autoSpaceDE w:val="0"/>
        <w:autoSpaceDN w:val="0"/>
        <w:adjustRightInd w:val="0"/>
        <w:spacing w:before="0" w:after="0"/>
        <w:ind w:left="0" w:firstLine="0"/>
        <w:rPr>
          <w:rFonts w:eastAsiaTheme="minorHAnsi" w:cs="AppleSystemUIFont"/>
          <w:szCs w:val="20"/>
          <w:lang w:val="es-CR"/>
        </w:rPr>
      </w:pPr>
      <w:r w:rsidRPr="0092295B">
        <w:rPr>
          <w:rFonts w:eastAsia="Times New Roman"/>
          <w:szCs w:val="20"/>
        </w:rPr>
        <w:t xml:space="preserve">En el presente caso, </w:t>
      </w:r>
      <w:r w:rsidR="007F606B" w:rsidRPr="0092295B">
        <w:rPr>
          <w:rFonts w:eastAsia="Times New Roman"/>
          <w:szCs w:val="20"/>
        </w:rPr>
        <w:t>aunque la Corte nota que el tr</w:t>
      </w:r>
      <w:r w:rsidR="00105358" w:rsidRPr="0092295B">
        <w:rPr>
          <w:rFonts w:eastAsia="Times New Roman"/>
          <w:szCs w:val="20"/>
        </w:rPr>
        <w:t xml:space="preserve">ámite ante </w:t>
      </w:r>
      <w:r w:rsidRPr="0092295B">
        <w:rPr>
          <w:rFonts w:eastAsia="Times New Roman"/>
          <w:szCs w:val="20"/>
        </w:rPr>
        <w:t xml:space="preserve">la Comisión </w:t>
      </w:r>
      <w:r w:rsidR="00105358" w:rsidRPr="0092295B">
        <w:rPr>
          <w:rFonts w:eastAsia="Times New Roman"/>
          <w:szCs w:val="20"/>
        </w:rPr>
        <w:t xml:space="preserve">duró más de 15 años, el alegato del Estado </w:t>
      </w:r>
      <w:r w:rsidR="00105358" w:rsidRPr="0092295B">
        <w:t>sobre la supuesta violación del derecho de defensa se circunscribe a que debido al transcurso del tiempo</w:t>
      </w:r>
      <w:r w:rsidR="0057019B" w:rsidRPr="0092295B">
        <w:t xml:space="preserve"> surgen “dificultades para obtener sustento probatorio”, así como “surgen dificultades </w:t>
      </w:r>
      <w:r w:rsidR="0057019B" w:rsidRPr="0092295B">
        <w:rPr>
          <w:lang w:val="es-CR"/>
        </w:rPr>
        <w:t>para la estrategia de defensa estatal, que se ha visto obligado a modificar sus excepciones sobre admisibilidad inicialmente propuestas, pues la relación fáctica cambió y el sustento de la excepción propuesta sería insuficiente”.</w:t>
      </w:r>
      <w:r w:rsidR="0057019B" w:rsidRPr="0092295B">
        <w:t xml:space="preserve"> </w:t>
      </w:r>
      <w:r w:rsidR="00BB723F" w:rsidRPr="0092295B">
        <w:t xml:space="preserve"> Este Tribunal</w:t>
      </w:r>
      <w:r w:rsidR="00105358" w:rsidRPr="0092295B">
        <w:t xml:space="preserve"> considera que este alegato no plantea un motivo concreto en relación con la inadmisibilidad de caso, pues si bien el paso del tiempo ha implicado que el Estado haya tenido que modificar su estrategia de defensa en materia de excepciones preliminares, no supone que haya tenido lugar un error grave que le haya impedido ejercer su derecho de defensa ante la Comisión o ante la Corte</w:t>
      </w:r>
      <w:r w:rsidR="009C7816" w:rsidRPr="0092295B">
        <w:rPr>
          <w:rStyle w:val="Refdenotaalpie"/>
        </w:rPr>
        <w:footnoteReference w:id="14"/>
      </w:r>
      <w:r w:rsidR="00105358" w:rsidRPr="0092295B">
        <w:t>.</w:t>
      </w:r>
      <w:r w:rsidR="007E2148" w:rsidRPr="0092295B">
        <w:t xml:space="preserve"> </w:t>
      </w:r>
    </w:p>
    <w:p w14:paraId="6A947E23" w14:textId="77777777" w:rsidR="00105358" w:rsidRPr="0092295B" w:rsidRDefault="00105358" w:rsidP="00BB723F">
      <w:pPr>
        <w:pStyle w:val="Prrafodelista"/>
        <w:widowControl w:val="0"/>
        <w:autoSpaceDE w:val="0"/>
        <w:autoSpaceDN w:val="0"/>
        <w:adjustRightInd w:val="0"/>
        <w:spacing w:before="0" w:after="0"/>
        <w:ind w:left="0"/>
        <w:rPr>
          <w:rFonts w:eastAsiaTheme="minorHAnsi" w:cs="AppleSystemUIFont"/>
          <w:szCs w:val="20"/>
          <w:lang w:val="es-CR"/>
        </w:rPr>
      </w:pPr>
    </w:p>
    <w:p w14:paraId="65522B8C" w14:textId="2AB3C736" w:rsidR="00105358" w:rsidRPr="0092295B" w:rsidRDefault="00BB723F" w:rsidP="00CF2D2A">
      <w:pPr>
        <w:pStyle w:val="Prrafodelista"/>
        <w:widowControl w:val="0"/>
        <w:numPr>
          <w:ilvl w:val="0"/>
          <w:numId w:val="29"/>
        </w:numPr>
        <w:autoSpaceDE w:val="0"/>
        <w:autoSpaceDN w:val="0"/>
        <w:adjustRightInd w:val="0"/>
        <w:spacing w:before="0" w:after="0"/>
        <w:ind w:left="0" w:firstLine="0"/>
        <w:rPr>
          <w:rFonts w:eastAsiaTheme="minorHAnsi" w:cs="AppleSystemUIFont"/>
          <w:szCs w:val="20"/>
          <w:lang w:val="es-CR"/>
        </w:rPr>
      </w:pPr>
      <w:r w:rsidRPr="0092295B">
        <w:rPr>
          <w:lang w:val="es-CR"/>
        </w:rPr>
        <w:t>Este Tribunal</w:t>
      </w:r>
      <w:r w:rsidR="00105358" w:rsidRPr="0092295B">
        <w:t xml:space="preserve"> considera que el tiempo transcurrido en la tramitación del caso ante la Comisión, perjudica fundamentalmente a las presuntas víctimas, cuyo derecho de acceso a la justicia interamericana resulta afectado</w:t>
      </w:r>
      <w:r w:rsidR="00C545B9">
        <w:rPr>
          <w:rStyle w:val="Refdenotaalpie"/>
        </w:rPr>
        <w:footnoteReference w:id="15"/>
      </w:r>
      <w:r w:rsidR="00105358" w:rsidRPr="0092295B">
        <w:t xml:space="preserve">. </w:t>
      </w:r>
    </w:p>
    <w:p w14:paraId="7FBB03CC" w14:textId="77777777" w:rsidR="00105358" w:rsidRPr="0092295B" w:rsidRDefault="00105358" w:rsidP="00BB723F">
      <w:pPr>
        <w:pStyle w:val="Prrafodelista"/>
      </w:pPr>
    </w:p>
    <w:p w14:paraId="5F5B2943" w14:textId="14755EF9" w:rsidR="00105358" w:rsidRPr="0092295B" w:rsidRDefault="00105358" w:rsidP="00CF2D2A">
      <w:pPr>
        <w:pStyle w:val="Prrafodelista"/>
        <w:widowControl w:val="0"/>
        <w:numPr>
          <w:ilvl w:val="0"/>
          <w:numId w:val="29"/>
        </w:numPr>
        <w:autoSpaceDE w:val="0"/>
        <w:autoSpaceDN w:val="0"/>
        <w:adjustRightInd w:val="0"/>
        <w:spacing w:before="0" w:after="0"/>
        <w:ind w:left="0" w:firstLine="0"/>
        <w:rPr>
          <w:rFonts w:eastAsiaTheme="minorHAnsi" w:cs="AppleSystemUIFont"/>
          <w:szCs w:val="20"/>
          <w:lang w:val="es-CR"/>
        </w:rPr>
      </w:pPr>
      <w:r w:rsidRPr="0092295B">
        <w:t>Por lo tanto, la Corte desestima esta excepción preliminar.</w:t>
      </w:r>
      <w:r w:rsidRPr="0092295B" w:rsidDel="00105358">
        <w:rPr>
          <w:rFonts w:eastAsia="Times New Roman"/>
          <w:szCs w:val="20"/>
        </w:rPr>
        <w:t xml:space="preserve"> </w:t>
      </w:r>
    </w:p>
    <w:p w14:paraId="32CF0E57" w14:textId="77777777" w:rsidR="00F64244" w:rsidRPr="0092295B" w:rsidRDefault="00F64244" w:rsidP="00F64244">
      <w:pPr>
        <w:pStyle w:val="Prrafodelista"/>
        <w:widowControl w:val="0"/>
        <w:autoSpaceDE w:val="0"/>
        <w:autoSpaceDN w:val="0"/>
        <w:adjustRightInd w:val="0"/>
        <w:spacing w:before="0" w:after="0"/>
        <w:ind w:left="0"/>
        <w:rPr>
          <w:rFonts w:eastAsiaTheme="minorHAnsi" w:cs="AppleSystemUIFont"/>
          <w:szCs w:val="20"/>
          <w:lang w:val="es-CR"/>
        </w:rPr>
      </w:pPr>
    </w:p>
    <w:p w14:paraId="40D9045D" w14:textId="18D18684" w:rsidR="00296C50" w:rsidRPr="0092295B" w:rsidRDefault="00F0482A" w:rsidP="00F64244">
      <w:pPr>
        <w:pStyle w:val="Ttulo1"/>
        <w:spacing w:before="0" w:after="0"/>
        <w:rPr>
          <w:u w:val="single"/>
        </w:rPr>
      </w:pPr>
      <w:bookmarkStart w:id="61" w:name="_Toc470105096"/>
      <w:bookmarkStart w:id="62" w:name="_Toc87339003"/>
      <w:bookmarkEnd w:id="31"/>
      <w:r w:rsidRPr="0092295B">
        <w:lastRenderedPageBreak/>
        <w:t>V</w:t>
      </w:r>
      <w:r w:rsidRPr="0092295B">
        <w:rPr>
          <w:color w:val="FFFFFF" w:themeColor="background1"/>
        </w:rPr>
        <w:t>.</w:t>
      </w:r>
      <w:r w:rsidRPr="0092295B">
        <w:br/>
      </w:r>
      <w:r w:rsidR="00296C50" w:rsidRPr="0092295B">
        <w:t>PRUEBA</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61"/>
      <w:bookmarkEnd w:id="62"/>
    </w:p>
    <w:p w14:paraId="050A7C97" w14:textId="2A059CFE" w:rsidR="001F15ED" w:rsidRPr="00ED2790" w:rsidRDefault="008251E8" w:rsidP="00ED2790">
      <w:pPr>
        <w:pStyle w:val="Ttulo2"/>
        <w:rPr>
          <w:i w:val="0"/>
        </w:rPr>
      </w:pPr>
      <w:bookmarkStart w:id="63" w:name="_Toc460237946"/>
      <w:bookmarkStart w:id="64" w:name="_Toc460238243"/>
      <w:bookmarkStart w:id="65" w:name="_Toc470105097"/>
      <w:bookmarkStart w:id="66" w:name="_Toc460237947"/>
      <w:bookmarkStart w:id="67" w:name="_Toc460238244"/>
      <w:bookmarkStart w:id="68" w:name="_Toc460237948"/>
      <w:bookmarkStart w:id="69" w:name="_Toc460238245"/>
      <w:r w:rsidRPr="0092295B">
        <w:tab/>
      </w:r>
      <w:bookmarkStart w:id="70" w:name="_Toc87339004"/>
      <w:r w:rsidRPr="00ED2790">
        <w:rPr>
          <w:i w:val="0"/>
        </w:rPr>
        <w:t xml:space="preserve">A. </w:t>
      </w:r>
      <w:r w:rsidR="007339EE" w:rsidRPr="00ED2790">
        <w:rPr>
          <w:i w:val="0"/>
        </w:rPr>
        <w:t>Admisión de prueba documental</w:t>
      </w:r>
      <w:bookmarkEnd w:id="63"/>
      <w:bookmarkEnd w:id="64"/>
      <w:bookmarkEnd w:id="65"/>
      <w:bookmarkEnd w:id="70"/>
    </w:p>
    <w:p w14:paraId="0EC63FB5" w14:textId="53ECE6C2" w:rsidR="00E70385" w:rsidRPr="0092295B" w:rsidRDefault="00533F4C" w:rsidP="00CF2D2A">
      <w:pPr>
        <w:pStyle w:val="Prrafodelista"/>
        <w:numPr>
          <w:ilvl w:val="0"/>
          <w:numId w:val="29"/>
        </w:numPr>
        <w:autoSpaceDE w:val="0"/>
        <w:autoSpaceDN w:val="0"/>
        <w:adjustRightInd w:val="0"/>
        <w:spacing w:before="0" w:after="0"/>
        <w:ind w:left="0" w:firstLine="0"/>
        <w:rPr>
          <w:b/>
          <w:bCs/>
          <w:i/>
          <w:szCs w:val="20"/>
          <w:u w:val="single"/>
        </w:rPr>
      </w:pPr>
      <w:r w:rsidRPr="0092295B">
        <w:rPr>
          <w:szCs w:val="20"/>
        </w:rPr>
        <w:t>La Corte recibió documentos presentados como prueba por la Comisión</w:t>
      </w:r>
      <w:r w:rsidR="00130B59" w:rsidRPr="0092295B">
        <w:rPr>
          <w:szCs w:val="20"/>
        </w:rPr>
        <w:t>, el representante</w:t>
      </w:r>
      <w:r w:rsidRPr="0092295B">
        <w:rPr>
          <w:szCs w:val="20"/>
        </w:rPr>
        <w:t xml:space="preserve"> y el Estado junto con sus escritos principales (</w:t>
      </w:r>
      <w:r w:rsidRPr="0092295B">
        <w:rPr>
          <w:i/>
          <w:szCs w:val="20"/>
        </w:rPr>
        <w:t>supra</w:t>
      </w:r>
      <w:r w:rsidR="00130B59" w:rsidRPr="0092295B">
        <w:rPr>
          <w:szCs w:val="20"/>
        </w:rPr>
        <w:t xml:space="preserve"> párrs. </w:t>
      </w:r>
      <w:r w:rsidR="00097D63">
        <w:rPr>
          <w:szCs w:val="20"/>
        </w:rPr>
        <w:t>1, 2, 4 y</w:t>
      </w:r>
      <w:r w:rsidR="00356087">
        <w:rPr>
          <w:szCs w:val="20"/>
        </w:rPr>
        <w:t xml:space="preserve"> 5</w:t>
      </w:r>
      <w:r w:rsidR="00130B59" w:rsidRPr="0092295B">
        <w:rPr>
          <w:szCs w:val="20"/>
        </w:rPr>
        <w:t>)</w:t>
      </w:r>
      <w:r w:rsidRPr="0092295B">
        <w:rPr>
          <w:szCs w:val="20"/>
        </w:rPr>
        <w:t xml:space="preserve">. En el presente caso, como en otros, este Tribunal admite aquellos documentos presentados oportunamente por </w:t>
      </w:r>
      <w:r w:rsidR="00130B59" w:rsidRPr="0092295B">
        <w:rPr>
          <w:szCs w:val="20"/>
        </w:rPr>
        <w:t xml:space="preserve">las partes </w:t>
      </w:r>
      <w:r w:rsidRPr="0092295B">
        <w:rPr>
          <w:szCs w:val="20"/>
        </w:rPr>
        <w:t>y la Comisión o solicitados como prueba para mejor resolver por su Presidencia</w:t>
      </w:r>
      <w:r w:rsidRPr="0092295B">
        <w:rPr>
          <w:rStyle w:val="Refdenotaalpie"/>
        </w:rPr>
        <w:footnoteReference w:id="16"/>
      </w:r>
      <w:r w:rsidRPr="0092295B">
        <w:rPr>
          <w:szCs w:val="20"/>
        </w:rPr>
        <w:t>, cuya admisibilidad no fue controvertida ni objetada</w:t>
      </w:r>
      <w:r w:rsidRPr="0092295B">
        <w:rPr>
          <w:rStyle w:val="Refdenotaalpie"/>
        </w:rPr>
        <w:footnoteReference w:id="17"/>
      </w:r>
      <w:r w:rsidRPr="0092295B">
        <w:rPr>
          <w:szCs w:val="20"/>
        </w:rPr>
        <w:t>.</w:t>
      </w:r>
      <w:r w:rsidRPr="0092295B" w:rsidDel="0061594D">
        <w:rPr>
          <w:szCs w:val="20"/>
        </w:rPr>
        <w:t xml:space="preserve"> </w:t>
      </w:r>
      <w:r w:rsidRPr="0092295B">
        <w:rPr>
          <w:szCs w:val="20"/>
        </w:rPr>
        <w:t>Por resultar útiles y públicas, la Corte incorpora también, con base en el ar</w:t>
      </w:r>
      <w:r w:rsidR="006D2296" w:rsidRPr="0092295B">
        <w:rPr>
          <w:szCs w:val="20"/>
        </w:rPr>
        <w:t xml:space="preserve">tículo 58.a) del Reglamento, </w:t>
      </w:r>
      <w:r w:rsidR="00696C2A" w:rsidRPr="006920D5">
        <w:rPr>
          <w:szCs w:val="20"/>
        </w:rPr>
        <w:t>tres</w:t>
      </w:r>
      <w:r w:rsidRPr="0092295B">
        <w:rPr>
          <w:szCs w:val="20"/>
        </w:rPr>
        <w:t xml:space="preserve"> documentos sobre normativa interna</w:t>
      </w:r>
      <w:r w:rsidRPr="0092295B">
        <w:rPr>
          <w:rStyle w:val="Refdenotaalpie"/>
        </w:rPr>
        <w:footnoteReference w:id="18"/>
      </w:r>
      <w:r w:rsidRPr="0092295B">
        <w:rPr>
          <w:szCs w:val="20"/>
        </w:rPr>
        <w:t>.</w:t>
      </w:r>
    </w:p>
    <w:p w14:paraId="11BE4B8B" w14:textId="77777777" w:rsidR="00E70385" w:rsidRPr="0092295B" w:rsidRDefault="00E70385" w:rsidP="00E70385">
      <w:pPr>
        <w:pStyle w:val="Prrafodelista"/>
        <w:autoSpaceDE w:val="0"/>
        <w:autoSpaceDN w:val="0"/>
        <w:adjustRightInd w:val="0"/>
        <w:spacing w:before="0" w:after="0"/>
        <w:ind w:left="0"/>
        <w:rPr>
          <w:b/>
          <w:bCs/>
          <w:i/>
          <w:szCs w:val="20"/>
          <w:u w:val="single"/>
        </w:rPr>
      </w:pPr>
    </w:p>
    <w:p w14:paraId="19ADAFC4" w14:textId="1D8CFBA2" w:rsidR="001E4646" w:rsidRPr="002428A5" w:rsidRDefault="0023480E" w:rsidP="00CF2D2A">
      <w:pPr>
        <w:pStyle w:val="Prrafodelista"/>
        <w:numPr>
          <w:ilvl w:val="0"/>
          <w:numId w:val="29"/>
        </w:numPr>
        <w:ind w:left="0" w:firstLine="0"/>
        <w:contextualSpacing w:val="0"/>
        <w:rPr>
          <w:szCs w:val="20"/>
        </w:rPr>
      </w:pPr>
      <w:r w:rsidRPr="0092295B">
        <w:rPr>
          <w:szCs w:val="20"/>
        </w:rPr>
        <w:t xml:space="preserve">Por otra parte, el </w:t>
      </w:r>
      <w:r w:rsidRPr="0092295B">
        <w:rPr>
          <w:b/>
          <w:i/>
          <w:szCs w:val="20"/>
        </w:rPr>
        <w:t>representante</w:t>
      </w:r>
      <w:r w:rsidRPr="0092295B">
        <w:rPr>
          <w:szCs w:val="20"/>
        </w:rPr>
        <w:t>, presentó la documentación</w:t>
      </w:r>
      <w:r w:rsidR="00E70385" w:rsidRPr="0092295B">
        <w:rPr>
          <w:szCs w:val="20"/>
        </w:rPr>
        <w:t xml:space="preserve"> solicitada</w:t>
      </w:r>
      <w:r w:rsidRPr="0092295B">
        <w:rPr>
          <w:szCs w:val="20"/>
        </w:rPr>
        <w:t xml:space="preserve"> como prueba para mejor resolver de forma extemporánea</w:t>
      </w:r>
      <w:r w:rsidR="00E70385" w:rsidRPr="0092295B">
        <w:rPr>
          <w:szCs w:val="20"/>
        </w:rPr>
        <w:t>,</w:t>
      </w:r>
      <w:r w:rsidRPr="0092295B">
        <w:rPr>
          <w:szCs w:val="20"/>
        </w:rPr>
        <w:t xml:space="preserve"> </w:t>
      </w:r>
      <w:r w:rsidRPr="0092295B">
        <w:rPr>
          <w:szCs w:val="20"/>
          <w:lang w:val="es-MX"/>
        </w:rPr>
        <w:t>debido a problemas técnicos que se generaron desde el correo electrónico al momento de enviar dicha</w:t>
      </w:r>
      <w:r w:rsidR="00E70385" w:rsidRPr="0092295B">
        <w:rPr>
          <w:szCs w:val="20"/>
          <w:lang w:val="es-MX"/>
        </w:rPr>
        <w:t xml:space="preserve"> documentación y anexos </w:t>
      </w:r>
      <w:r w:rsidRPr="0092295B">
        <w:rPr>
          <w:szCs w:val="20"/>
        </w:rPr>
        <w:t>(</w:t>
      </w:r>
      <w:r w:rsidRPr="0092295B">
        <w:rPr>
          <w:i/>
          <w:szCs w:val="20"/>
        </w:rPr>
        <w:t xml:space="preserve">supra </w:t>
      </w:r>
      <w:r w:rsidRPr="0092295B">
        <w:rPr>
          <w:szCs w:val="20"/>
        </w:rPr>
        <w:t xml:space="preserve">párr. </w:t>
      </w:r>
      <w:r w:rsidR="005E3A54">
        <w:rPr>
          <w:szCs w:val="20"/>
        </w:rPr>
        <w:t>9</w:t>
      </w:r>
      <w:r w:rsidRPr="0092295B">
        <w:rPr>
          <w:szCs w:val="20"/>
        </w:rPr>
        <w:t>)</w:t>
      </w:r>
      <w:r w:rsidR="004834F2" w:rsidRPr="0092295B">
        <w:rPr>
          <w:szCs w:val="20"/>
        </w:rPr>
        <w:t xml:space="preserve">, pese a que </w:t>
      </w:r>
      <w:r w:rsidR="004834F2" w:rsidRPr="002428A5">
        <w:rPr>
          <w:szCs w:val="20"/>
        </w:rPr>
        <w:t>en varias oportunidades trató de remitirlo</w:t>
      </w:r>
      <w:r w:rsidR="0038124C" w:rsidRPr="002428A5">
        <w:rPr>
          <w:szCs w:val="20"/>
        </w:rPr>
        <w:t>. Por su parte,</w:t>
      </w:r>
      <w:r w:rsidRPr="002428A5">
        <w:rPr>
          <w:szCs w:val="20"/>
        </w:rPr>
        <w:t xml:space="preserve"> el</w:t>
      </w:r>
      <w:r w:rsidRPr="002428A5">
        <w:rPr>
          <w:i/>
          <w:szCs w:val="20"/>
        </w:rPr>
        <w:t xml:space="preserve"> </w:t>
      </w:r>
      <w:r w:rsidRPr="002428A5">
        <w:rPr>
          <w:b/>
          <w:i/>
          <w:szCs w:val="20"/>
        </w:rPr>
        <w:t>Estado</w:t>
      </w:r>
      <w:r w:rsidR="00F402EF" w:rsidRPr="002428A5">
        <w:rPr>
          <w:b/>
          <w:i/>
          <w:szCs w:val="20"/>
        </w:rPr>
        <w:t xml:space="preserve"> </w:t>
      </w:r>
      <w:r w:rsidR="00F402EF" w:rsidRPr="002428A5">
        <w:rPr>
          <w:szCs w:val="20"/>
        </w:rPr>
        <w:t xml:space="preserve">solicitó la inadmisibilidad de </w:t>
      </w:r>
      <w:r w:rsidR="00B91B2E" w:rsidRPr="002428A5">
        <w:rPr>
          <w:szCs w:val="20"/>
        </w:rPr>
        <w:t>dich</w:t>
      </w:r>
      <w:r w:rsidR="00F402EF" w:rsidRPr="002428A5">
        <w:rPr>
          <w:szCs w:val="20"/>
        </w:rPr>
        <w:t>os documentos por su presentación extemporánea</w:t>
      </w:r>
      <w:r w:rsidRPr="002428A5">
        <w:rPr>
          <w:szCs w:val="20"/>
        </w:rPr>
        <w:t>.</w:t>
      </w:r>
      <w:r w:rsidR="0038124C" w:rsidRPr="002428A5">
        <w:rPr>
          <w:szCs w:val="20"/>
        </w:rPr>
        <w:t xml:space="preserve"> </w:t>
      </w:r>
      <w:r w:rsidRPr="002428A5">
        <w:rPr>
          <w:szCs w:val="20"/>
        </w:rPr>
        <w:t xml:space="preserve">Al respecto, la </w:t>
      </w:r>
      <w:r w:rsidRPr="002428A5">
        <w:rPr>
          <w:b/>
          <w:i/>
          <w:szCs w:val="20"/>
        </w:rPr>
        <w:t>Corte</w:t>
      </w:r>
      <w:r w:rsidRPr="002428A5">
        <w:rPr>
          <w:b/>
          <w:szCs w:val="20"/>
        </w:rPr>
        <w:t xml:space="preserve"> </w:t>
      </w:r>
      <w:r w:rsidRPr="002428A5">
        <w:rPr>
          <w:szCs w:val="20"/>
        </w:rPr>
        <w:t>nota que</w:t>
      </w:r>
      <w:r w:rsidR="007203D2" w:rsidRPr="002428A5">
        <w:rPr>
          <w:szCs w:val="20"/>
        </w:rPr>
        <w:t xml:space="preserve"> el representante remitió en dos oportunidades documentación relacionada con la prueba para mejor resolver solicitada, la pri</w:t>
      </w:r>
      <w:r w:rsidR="007337A0" w:rsidRPr="002428A5">
        <w:rPr>
          <w:szCs w:val="20"/>
        </w:rPr>
        <w:t xml:space="preserve">mera </w:t>
      </w:r>
      <w:r w:rsidR="005E3A54" w:rsidRPr="002428A5">
        <w:rPr>
          <w:szCs w:val="20"/>
        </w:rPr>
        <w:t xml:space="preserve">recibida </w:t>
      </w:r>
      <w:r w:rsidR="007337A0" w:rsidRPr="002428A5">
        <w:rPr>
          <w:szCs w:val="20"/>
        </w:rPr>
        <w:t xml:space="preserve">el 30 de junio de 2021, </w:t>
      </w:r>
      <w:r w:rsidR="007203D2" w:rsidRPr="002428A5">
        <w:rPr>
          <w:szCs w:val="20"/>
        </w:rPr>
        <w:t>respecto</w:t>
      </w:r>
      <w:r w:rsidRPr="002428A5">
        <w:rPr>
          <w:szCs w:val="20"/>
        </w:rPr>
        <w:t xml:space="preserve"> </w:t>
      </w:r>
      <w:r w:rsidR="007337A0" w:rsidRPr="002428A5">
        <w:rPr>
          <w:szCs w:val="20"/>
        </w:rPr>
        <w:t xml:space="preserve">de la cual </w:t>
      </w:r>
      <w:r w:rsidRPr="002428A5">
        <w:rPr>
          <w:szCs w:val="20"/>
        </w:rPr>
        <w:t xml:space="preserve">la mayoría de </w:t>
      </w:r>
      <w:r w:rsidRPr="002428A5">
        <w:rPr>
          <w:szCs w:val="20"/>
          <w:lang w:val="es-MX"/>
        </w:rPr>
        <w:t xml:space="preserve">la documentación </w:t>
      </w:r>
      <w:r w:rsidR="007337A0" w:rsidRPr="002428A5">
        <w:rPr>
          <w:szCs w:val="20"/>
          <w:lang w:val="es-MX"/>
        </w:rPr>
        <w:t xml:space="preserve">remitida </w:t>
      </w:r>
      <w:r w:rsidR="000A0626" w:rsidRPr="002428A5">
        <w:rPr>
          <w:szCs w:val="20"/>
          <w:lang w:val="es-MX"/>
        </w:rPr>
        <w:t>por el representante</w:t>
      </w:r>
      <w:r w:rsidRPr="002428A5">
        <w:rPr>
          <w:szCs w:val="20"/>
          <w:lang w:val="es-MX"/>
        </w:rPr>
        <w:t xml:space="preserve"> </w:t>
      </w:r>
      <w:r w:rsidR="00E70385" w:rsidRPr="002428A5">
        <w:rPr>
          <w:szCs w:val="20"/>
          <w:lang w:val="es-MX"/>
        </w:rPr>
        <w:t xml:space="preserve">ya </w:t>
      </w:r>
      <w:r w:rsidR="006B05F4" w:rsidRPr="002428A5">
        <w:rPr>
          <w:szCs w:val="20"/>
          <w:lang w:val="es-MX"/>
        </w:rPr>
        <w:t xml:space="preserve">consta en el </w:t>
      </w:r>
      <w:r w:rsidRPr="002428A5">
        <w:rPr>
          <w:szCs w:val="20"/>
          <w:lang w:val="es-MX"/>
        </w:rPr>
        <w:t>acervo probatorio del caso</w:t>
      </w:r>
      <w:r w:rsidR="000A0626" w:rsidRPr="002428A5">
        <w:rPr>
          <w:szCs w:val="20"/>
          <w:lang w:val="es-MX"/>
        </w:rPr>
        <w:t>. R</w:t>
      </w:r>
      <w:r w:rsidR="006B05F4" w:rsidRPr="002428A5">
        <w:rPr>
          <w:szCs w:val="20"/>
          <w:lang w:val="es-MX"/>
        </w:rPr>
        <w:t>especto aquella documentación presentada por primera vez, este Tribunal</w:t>
      </w:r>
      <w:r w:rsidRPr="002428A5">
        <w:rPr>
          <w:szCs w:val="20"/>
          <w:lang w:val="es-MX"/>
        </w:rPr>
        <w:t xml:space="preserve"> </w:t>
      </w:r>
      <w:r w:rsidR="006B05F4" w:rsidRPr="002428A5">
        <w:rPr>
          <w:szCs w:val="20"/>
          <w:lang w:val="es-MX"/>
        </w:rPr>
        <w:t xml:space="preserve">considera </w:t>
      </w:r>
      <w:r w:rsidRPr="002428A5">
        <w:rPr>
          <w:szCs w:val="20"/>
          <w:lang w:val="es-MX"/>
        </w:rPr>
        <w:t xml:space="preserve">que resulta útil para la </w:t>
      </w:r>
      <w:r w:rsidR="007D663A" w:rsidRPr="002428A5">
        <w:rPr>
          <w:szCs w:val="20"/>
          <w:lang w:val="es-MX"/>
        </w:rPr>
        <w:t xml:space="preserve">resolución del presente caso, por lo que en esta oportunidad, </w:t>
      </w:r>
      <w:r w:rsidRPr="002428A5">
        <w:rPr>
          <w:szCs w:val="20"/>
          <w:lang w:val="es-MX"/>
        </w:rPr>
        <w:t>de conformidad con el artículo 58.</w:t>
      </w:r>
      <w:r w:rsidR="00BF4301" w:rsidRPr="002428A5">
        <w:rPr>
          <w:szCs w:val="20"/>
          <w:lang w:val="es-MX"/>
        </w:rPr>
        <w:t>b</w:t>
      </w:r>
      <w:r w:rsidRPr="002428A5">
        <w:rPr>
          <w:szCs w:val="20"/>
          <w:lang w:val="es-MX"/>
        </w:rPr>
        <w:t>) del Reglamento</w:t>
      </w:r>
      <w:r w:rsidR="00E70385" w:rsidRPr="002428A5">
        <w:rPr>
          <w:szCs w:val="20"/>
        </w:rPr>
        <w:t>,</w:t>
      </w:r>
      <w:r w:rsidRPr="002428A5">
        <w:rPr>
          <w:szCs w:val="20"/>
        </w:rPr>
        <w:t xml:space="preserve"> admite </w:t>
      </w:r>
      <w:r w:rsidR="00E70385" w:rsidRPr="002428A5">
        <w:rPr>
          <w:szCs w:val="20"/>
        </w:rPr>
        <w:t>la documentación</w:t>
      </w:r>
      <w:r w:rsidR="007D663A" w:rsidRPr="002428A5">
        <w:rPr>
          <w:szCs w:val="20"/>
        </w:rPr>
        <w:t xml:space="preserve"> aportada por el representante</w:t>
      </w:r>
      <w:r w:rsidRPr="002428A5">
        <w:rPr>
          <w:rStyle w:val="Refdenotaalpie"/>
        </w:rPr>
        <w:footnoteReference w:id="19"/>
      </w:r>
      <w:r w:rsidR="00334E4D" w:rsidRPr="002428A5">
        <w:rPr>
          <w:szCs w:val="20"/>
        </w:rPr>
        <w:t>, para lo cual tomará en cuenta las observaciones presentadas por el Estado</w:t>
      </w:r>
      <w:r w:rsidRPr="002428A5">
        <w:rPr>
          <w:szCs w:val="20"/>
        </w:rPr>
        <w:t xml:space="preserve">. </w:t>
      </w:r>
      <w:r w:rsidR="007203D2" w:rsidRPr="002428A5">
        <w:rPr>
          <w:szCs w:val="20"/>
        </w:rPr>
        <w:t xml:space="preserve">Respecto a la segunda documentación </w:t>
      </w:r>
      <w:r w:rsidR="007203D2" w:rsidRPr="002428A5">
        <w:rPr>
          <w:szCs w:val="20"/>
        </w:rPr>
        <w:lastRenderedPageBreak/>
        <w:t>relacionada con la prueba para mejor resolver presentada el 2 de julio de 2021</w:t>
      </w:r>
      <w:r w:rsidR="00332DCF">
        <w:rPr>
          <w:rStyle w:val="Refdenotaalpie"/>
        </w:rPr>
        <w:footnoteReference w:id="20"/>
      </w:r>
      <w:r w:rsidR="007203D2" w:rsidRPr="002428A5">
        <w:rPr>
          <w:szCs w:val="20"/>
        </w:rPr>
        <w:t>,</w:t>
      </w:r>
      <w:r w:rsidR="00BF4301" w:rsidRPr="002428A5">
        <w:rPr>
          <w:szCs w:val="20"/>
        </w:rPr>
        <w:t xml:space="preserve"> sobre la cual el Estado reiteró su aleg</w:t>
      </w:r>
      <w:r w:rsidR="00A03DA5" w:rsidRPr="002428A5">
        <w:rPr>
          <w:szCs w:val="20"/>
        </w:rPr>
        <w:t xml:space="preserve">ación que se debe inadmitir por </w:t>
      </w:r>
      <w:r w:rsidR="00BF4301" w:rsidRPr="002428A5">
        <w:rPr>
          <w:szCs w:val="20"/>
        </w:rPr>
        <w:t>su presentación extemporánea</w:t>
      </w:r>
      <w:r w:rsidR="00447BBA" w:rsidRPr="002428A5">
        <w:rPr>
          <w:szCs w:val="20"/>
        </w:rPr>
        <w:t>. De acuerdo a lo expuesto, l</w:t>
      </w:r>
      <w:r w:rsidR="007203D2" w:rsidRPr="002428A5">
        <w:rPr>
          <w:szCs w:val="20"/>
        </w:rPr>
        <w:t xml:space="preserve">a Corte </w:t>
      </w:r>
      <w:r w:rsidR="00BF4301" w:rsidRPr="002428A5">
        <w:rPr>
          <w:szCs w:val="20"/>
        </w:rPr>
        <w:t xml:space="preserve">considera que </w:t>
      </w:r>
      <w:r w:rsidR="00A03DA5" w:rsidRPr="002428A5">
        <w:rPr>
          <w:szCs w:val="20"/>
        </w:rPr>
        <w:t xml:space="preserve">dicha prueba </w:t>
      </w:r>
      <w:r w:rsidR="00BF4301" w:rsidRPr="002428A5">
        <w:rPr>
          <w:szCs w:val="20"/>
        </w:rPr>
        <w:t>es inadmisible ya que fue presentada de forma extemporánea una vez vencido el plazo para su remisión</w:t>
      </w:r>
      <w:r w:rsidR="007203D2" w:rsidRPr="002428A5">
        <w:rPr>
          <w:szCs w:val="20"/>
        </w:rPr>
        <w:t>.</w:t>
      </w:r>
    </w:p>
    <w:p w14:paraId="66F5E0F0" w14:textId="03F16C50" w:rsidR="00296C50" w:rsidRPr="00276ECB" w:rsidRDefault="008251E8" w:rsidP="00151F1D">
      <w:pPr>
        <w:pStyle w:val="Ttulo2"/>
        <w:ind w:left="709"/>
        <w:rPr>
          <w:i w:val="0"/>
        </w:rPr>
      </w:pPr>
      <w:bookmarkStart w:id="71" w:name="_Toc470105098"/>
      <w:bookmarkStart w:id="72" w:name="_Toc87339005"/>
      <w:r w:rsidRPr="00276ECB">
        <w:rPr>
          <w:i w:val="0"/>
        </w:rPr>
        <w:t xml:space="preserve">B. </w:t>
      </w:r>
      <w:r w:rsidR="00771562" w:rsidRPr="00276ECB">
        <w:rPr>
          <w:i w:val="0"/>
        </w:rPr>
        <w:t>Admisión de la</w:t>
      </w:r>
      <w:r w:rsidR="00DD042E" w:rsidRPr="00276ECB">
        <w:rPr>
          <w:i w:val="0"/>
        </w:rPr>
        <w:t>s declaraciones y de la prueba</w:t>
      </w:r>
      <w:r w:rsidR="00771562" w:rsidRPr="00276ECB">
        <w:rPr>
          <w:i w:val="0"/>
        </w:rPr>
        <w:t xml:space="preserve"> </w:t>
      </w:r>
      <w:r w:rsidR="007339EE" w:rsidRPr="00276ECB">
        <w:rPr>
          <w:i w:val="0"/>
        </w:rPr>
        <w:t>pericial</w:t>
      </w:r>
      <w:bookmarkEnd w:id="66"/>
      <w:bookmarkEnd w:id="67"/>
      <w:bookmarkEnd w:id="71"/>
      <w:bookmarkEnd w:id="72"/>
    </w:p>
    <w:p w14:paraId="218DBD99" w14:textId="75D53179" w:rsidR="00017FA2" w:rsidRPr="0092295B" w:rsidRDefault="00017FA2" w:rsidP="00CF2D2A">
      <w:pPr>
        <w:pStyle w:val="Prrafodelista"/>
        <w:numPr>
          <w:ilvl w:val="0"/>
          <w:numId w:val="29"/>
        </w:numPr>
        <w:autoSpaceDE w:val="0"/>
        <w:autoSpaceDN w:val="0"/>
        <w:adjustRightInd w:val="0"/>
        <w:spacing w:before="0" w:after="0"/>
        <w:ind w:left="0" w:firstLine="0"/>
        <w:rPr>
          <w:i/>
          <w:u w:val="single"/>
        </w:rPr>
      </w:pPr>
      <w:r w:rsidRPr="0092295B">
        <w:rPr>
          <w:szCs w:val="20"/>
        </w:rPr>
        <w:t>En cuanto a las declaraciones rendidas ante fedatario público por las presuntas víctimas</w:t>
      </w:r>
      <w:r w:rsidR="0036617C" w:rsidRPr="0092295B">
        <w:rPr>
          <w:szCs w:val="20"/>
        </w:rPr>
        <w:t xml:space="preserve"> </w:t>
      </w:r>
      <w:r w:rsidR="0036617C" w:rsidRPr="0092295B">
        <w:rPr>
          <w:szCs w:val="20"/>
          <w:lang w:val="es-ES"/>
        </w:rPr>
        <w:t xml:space="preserve">señores Villarroel Merino, </w:t>
      </w:r>
      <w:r w:rsidR="00534EAB" w:rsidRPr="0092295B">
        <w:rPr>
          <w:szCs w:val="20"/>
          <w:lang w:val="es-ES"/>
        </w:rPr>
        <w:t>Cev</w:t>
      </w:r>
      <w:r w:rsidR="001023A9" w:rsidRPr="0092295B">
        <w:rPr>
          <w:szCs w:val="20"/>
          <w:lang w:val="es-ES"/>
        </w:rPr>
        <w:t xml:space="preserve">allos </w:t>
      </w:r>
      <w:r w:rsidR="0036617C" w:rsidRPr="0092295B">
        <w:rPr>
          <w:szCs w:val="20"/>
          <w:lang w:val="es-ES"/>
        </w:rPr>
        <w:t xml:space="preserve">Moreno, Coloma Gaibor, López Ortiz, </w:t>
      </w:r>
      <w:r w:rsidR="000E1197" w:rsidRPr="0092295B">
        <w:rPr>
          <w:szCs w:val="20"/>
          <w:lang w:val="es-ES"/>
        </w:rPr>
        <w:t>Ascá</w:t>
      </w:r>
      <w:r w:rsidR="0036617C" w:rsidRPr="0092295B">
        <w:rPr>
          <w:szCs w:val="20"/>
          <w:lang w:val="es-ES"/>
        </w:rPr>
        <w:t xml:space="preserve">zubi Albán y </w:t>
      </w:r>
      <w:r w:rsidR="00BE66D7" w:rsidRPr="0092295B">
        <w:rPr>
          <w:szCs w:val="20"/>
          <w:lang w:val="es-ES"/>
        </w:rPr>
        <w:t>Vinuez</w:t>
      </w:r>
      <w:r w:rsidR="0036617C" w:rsidRPr="0092295B">
        <w:rPr>
          <w:szCs w:val="20"/>
          <w:lang w:val="es-ES"/>
        </w:rPr>
        <w:t>a Pánchez</w:t>
      </w:r>
      <w:r w:rsidRPr="0092295B">
        <w:rPr>
          <w:szCs w:val="20"/>
        </w:rPr>
        <w:t xml:space="preserve">, el Estado en sus alegatos finales adujo que </w:t>
      </w:r>
      <w:r w:rsidR="00F7182B" w:rsidRPr="0092295B">
        <w:rPr>
          <w:szCs w:val="20"/>
        </w:rPr>
        <w:t>puede observar que las declaraciones</w:t>
      </w:r>
      <w:r w:rsidRPr="0092295B">
        <w:rPr>
          <w:szCs w:val="20"/>
        </w:rPr>
        <w:t xml:space="preserve"> excede</w:t>
      </w:r>
      <w:r w:rsidR="00F7182B" w:rsidRPr="0092295B">
        <w:rPr>
          <w:szCs w:val="20"/>
        </w:rPr>
        <w:t>n</w:t>
      </w:r>
      <w:r w:rsidRPr="0092295B">
        <w:rPr>
          <w:szCs w:val="20"/>
        </w:rPr>
        <w:t xml:space="preserve"> el objeto delimitado por la Corte, ya que en varias partes de las mismas se refieren a hechos y situaciones que son impertinentes a la presente controversia y se refieren nuevamente a sus pretensiones reparatorias. Además</w:t>
      </w:r>
      <w:r w:rsidR="003A698B" w:rsidRPr="0092295B">
        <w:rPr>
          <w:szCs w:val="20"/>
        </w:rPr>
        <w:t>,</w:t>
      </w:r>
      <w:r w:rsidRPr="0092295B">
        <w:rPr>
          <w:szCs w:val="20"/>
        </w:rPr>
        <w:t xml:space="preserve"> </w:t>
      </w:r>
      <w:r w:rsidR="003A698B" w:rsidRPr="0092295B">
        <w:rPr>
          <w:szCs w:val="20"/>
        </w:rPr>
        <w:t>sostuvo que</w:t>
      </w:r>
      <w:r w:rsidR="007D1E00">
        <w:rPr>
          <w:szCs w:val="20"/>
        </w:rPr>
        <w:t>,</w:t>
      </w:r>
      <w:r w:rsidR="003A698B" w:rsidRPr="0092295B">
        <w:rPr>
          <w:szCs w:val="20"/>
        </w:rPr>
        <w:t xml:space="preserve"> </w:t>
      </w:r>
      <w:r w:rsidRPr="0092295B">
        <w:rPr>
          <w:szCs w:val="20"/>
        </w:rPr>
        <w:t>en su declaración</w:t>
      </w:r>
      <w:r w:rsidR="00571025">
        <w:rPr>
          <w:szCs w:val="20"/>
        </w:rPr>
        <w:t>,</w:t>
      </w:r>
      <w:r w:rsidRPr="0092295B">
        <w:rPr>
          <w:szCs w:val="20"/>
        </w:rPr>
        <w:t xml:space="preserve"> las presuntas víctimas se limitan a hacer un relato del trámite del proceso </w:t>
      </w:r>
      <w:r w:rsidR="000E1197" w:rsidRPr="0092295B">
        <w:rPr>
          <w:szCs w:val="20"/>
        </w:rPr>
        <w:t xml:space="preserve">penal </w:t>
      </w:r>
      <w:r w:rsidRPr="0092295B">
        <w:rPr>
          <w:szCs w:val="20"/>
        </w:rPr>
        <w:t>policial en su contra, reiterando las alegaciones que sostuvieron en sus diferentes escritos que el trámite del caso ante la Comisión Interamericana, y que fuera recogidas por ese organismo en su Informe de Fondo, por lo que el Estado cuestionó la pertinencia probatoria de las declaraciones referidas.</w:t>
      </w:r>
      <w:r w:rsidR="0036617C" w:rsidRPr="0092295B">
        <w:rPr>
          <w:szCs w:val="20"/>
        </w:rPr>
        <w:t xml:space="preserve"> </w:t>
      </w:r>
      <w:r w:rsidR="00F34CEE" w:rsidRPr="0092295B">
        <w:rPr>
          <w:szCs w:val="20"/>
        </w:rPr>
        <w:t>L</w:t>
      </w:r>
      <w:r w:rsidRPr="0092295B">
        <w:rPr>
          <w:szCs w:val="20"/>
        </w:rPr>
        <w:t>a Corte nota que</w:t>
      </w:r>
      <w:r w:rsidR="008209D3" w:rsidRPr="0092295B">
        <w:rPr>
          <w:szCs w:val="20"/>
        </w:rPr>
        <w:t xml:space="preserve"> </w:t>
      </w:r>
      <w:r w:rsidR="008F70FC" w:rsidRPr="0092295B">
        <w:rPr>
          <w:szCs w:val="20"/>
        </w:rPr>
        <w:t xml:space="preserve">efectivamente </w:t>
      </w:r>
      <w:r w:rsidR="008209D3" w:rsidRPr="0092295B">
        <w:rPr>
          <w:szCs w:val="20"/>
        </w:rPr>
        <w:t>las presuntas víctimas</w:t>
      </w:r>
      <w:r w:rsidR="008F70FC" w:rsidRPr="0092295B">
        <w:rPr>
          <w:szCs w:val="20"/>
        </w:rPr>
        <w:t xml:space="preserve"> en sus decl</w:t>
      </w:r>
      <w:r w:rsidR="002E7EDB" w:rsidRPr="0092295B">
        <w:rPr>
          <w:szCs w:val="20"/>
        </w:rPr>
        <w:t>a</w:t>
      </w:r>
      <w:r w:rsidR="008F70FC" w:rsidRPr="0092295B">
        <w:rPr>
          <w:szCs w:val="20"/>
        </w:rPr>
        <w:t xml:space="preserve">raciones </w:t>
      </w:r>
      <w:r w:rsidR="008209D3" w:rsidRPr="0092295B">
        <w:rPr>
          <w:szCs w:val="20"/>
        </w:rPr>
        <w:t xml:space="preserve">se refieren </w:t>
      </w:r>
      <w:r w:rsidR="008F70FC" w:rsidRPr="0092295B">
        <w:rPr>
          <w:szCs w:val="20"/>
        </w:rPr>
        <w:t xml:space="preserve">a situaciones y pretensiones compensatorias que no forman parte del objeto de su declaración. </w:t>
      </w:r>
      <w:r w:rsidR="00B91B2E">
        <w:rPr>
          <w:szCs w:val="20"/>
        </w:rPr>
        <w:t>En razón a lo anterior</w:t>
      </w:r>
      <w:r w:rsidR="008F70FC" w:rsidRPr="0092295B">
        <w:rPr>
          <w:szCs w:val="20"/>
        </w:rPr>
        <w:t xml:space="preserve">, este Tribunal </w:t>
      </w:r>
      <w:r w:rsidRPr="0092295B">
        <w:rPr>
          <w:szCs w:val="20"/>
        </w:rPr>
        <w:t>estima pertinente admitir la</w:t>
      </w:r>
      <w:r w:rsidR="0036617C" w:rsidRPr="0092295B">
        <w:rPr>
          <w:szCs w:val="20"/>
        </w:rPr>
        <w:t>s</w:t>
      </w:r>
      <w:r w:rsidRPr="0092295B">
        <w:rPr>
          <w:szCs w:val="20"/>
        </w:rPr>
        <w:t xml:space="preserve"> referida</w:t>
      </w:r>
      <w:r w:rsidR="0036617C" w:rsidRPr="0092295B">
        <w:rPr>
          <w:szCs w:val="20"/>
        </w:rPr>
        <w:t>s declaraciones</w:t>
      </w:r>
      <w:r w:rsidRPr="0092295B">
        <w:rPr>
          <w:szCs w:val="20"/>
        </w:rPr>
        <w:t>, en cuanto se ajust</w:t>
      </w:r>
      <w:r w:rsidR="0036617C" w:rsidRPr="0092295B">
        <w:rPr>
          <w:szCs w:val="20"/>
        </w:rPr>
        <w:t>en</w:t>
      </w:r>
      <w:r w:rsidRPr="0092295B">
        <w:rPr>
          <w:szCs w:val="20"/>
        </w:rPr>
        <w:t xml:space="preserve"> al objeto definido por la Resolución que ordenó recibirla</w:t>
      </w:r>
      <w:r w:rsidR="0036617C" w:rsidRPr="0092295B">
        <w:rPr>
          <w:szCs w:val="20"/>
        </w:rPr>
        <w:t>s</w:t>
      </w:r>
      <w:r w:rsidRPr="0092295B">
        <w:rPr>
          <w:szCs w:val="20"/>
        </w:rPr>
        <w:t xml:space="preserve"> (</w:t>
      </w:r>
      <w:r w:rsidRPr="0092295B">
        <w:rPr>
          <w:i/>
          <w:szCs w:val="20"/>
        </w:rPr>
        <w:t xml:space="preserve">supra </w:t>
      </w:r>
      <w:r w:rsidRPr="0092295B">
        <w:rPr>
          <w:szCs w:val="20"/>
        </w:rPr>
        <w:t>párr.</w:t>
      </w:r>
      <w:r w:rsidR="005E3A54">
        <w:rPr>
          <w:szCs w:val="20"/>
        </w:rPr>
        <w:t xml:space="preserve"> 7</w:t>
      </w:r>
      <w:r w:rsidRPr="0092295B">
        <w:rPr>
          <w:szCs w:val="20"/>
        </w:rPr>
        <w:t xml:space="preserve">) </w:t>
      </w:r>
      <w:r w:rsidR="008F70FC" w:rsidRPr="0092295B">
        <w:rPr>
          <w:szCs w:val="20"/>
        </w:rPr>
        <w:t>y toman</w:t>
      </w:r>
      <w:r w:rsidR="00F34CEE" w:rsidRPr="0092295B">
        <w:rPr>
          <w:szCs w:val="20"/>
        </w:rPr>
        <w:t xml:space="preserve">do en cuenta las observaciones presentadas por </w:t>
      </w:r>
      <w:r w:rsidR="008F70FC" w:rsidRPr="0092295B">
        <w:rPr>
          <w:szCs w:val="20"/>
        </w:rPr>
        <w:t xml:space="preserve">el Estado al respecto. </w:t>
      </w:r>
    </w:p>
    <w:p w14:paraId="49B90892" w14:textId="77777777" w:rsidR="008612F3" w:rsidRPr="0092295B" w:rsidRDefault="008612F3" w:rsidP="008612F3">
      <w:pPr>
        <w:pStyle w:val="Prrafodelista"/>
        <w:autoSpaceDE w:val="0"/>
        <w:autoSpaceDN w:val="0"/>
        <w:adjustRightInd w:val="0"/>
        <w:spacing w:before="0" w:after="0"/>
        <w:ind w:left="0"/>
        <w:rPr>
          <w:i/>
          <w:u w:val="single"/>
        </w:rPr>
      </w:pPr>
    </w:p>
    <w:p w14:paraId="331D99BE" w14:textId="6F934DD1" w:rsidR="00B7210C" w:rsidRPr="001C6A7E" w:rsidRDefault="00017FA2" w:rsidP="00B7210C">
      <w:pPr>
        <w:pStyle w:val="Prrafodelista"/>
        <w:numPr>
          <w:ilvl w:val="0"/>
          <w:numId w:val="29"/>
        </w:numPr>
        <w:autoSpaceDE w:val="0"/>
        <w:autoSpaceDN w:val="0"/>
        <w:adjustRightInd w:val="0"/>
        <w:spacing w:before="0" w:after="0"/>
        <w:ind w:left="0" w:firstLine="0"/>
        <w:rPr>
          <w:i/>
          <w:u w:val="single"/>
        </w:rPr>
      </w:pPr>
      <w:r w:rsidRPr="0092295B">
        <w:rPr>
          <w:szCs w:val="20"/>
        </w:rPr>
        <w:t xml:space="preserve">Además, </w:t>
      </w:r>
      <w:r w:rsidR="00F7182B" w:rsidRPr="0092295B">
        <w:rPr>
          <w:szCs w:val="20"/>
        </w:rPr>
        <w:t>en sus alegatos finales escritos</w:t>
      </w:r>
      <w:r w:rsidRPr="0092295B">
        <w:rPr>
          <w:szCs w:val="20"/>
        </w:rPr>
        <w:t xml:space="preserve"> respecto al peritaje del señor </w:t>
      </w:r>
      <w:r w:rsidR="001F0028" w:rsidRPr="0092295B">
        <w:rPr>
          <w:szCs w:val="20"/>
        </w:rPr>
        <w:t>Mario Luis Cor</w:t>
      </w:r>
      <w:r w:rsidR="001F0028" w:rsidRPr="0092295B">
        <w:t>iolano</w:t>
      </w:r>
      <w:r w:rsidR="00F7182B" w:rsidRPr="0092295B">
        <w:t>,</w:t>
      </w:r>
      <w:r w:rsidR="00F7182B" w:rsidRPr="0092295B">
        <w:rPr>
          <w:u w:val="single"/>
        </w:rPr>
        <w:t xml:space="preserve"> </w:t>
      </w:r>
      <w:r w:rsidR="00F7182B" w:rsidRPr="0092295B">
        <w:t>el</w:t>
      </w:r>
      <w:r w:rsidR="00F7182B" w:rsidRPr="0092295B">
        <w:rPr>
          <w:i/>
        </w:rPr>
        <w:t xml:space="preserve"> </w:t>
      </w:r>
      <w:r w:rsidR="00F7182B" w:rsidRPr="0092295B">
        <w:rPr>
          <w:b/>
          <w:i/>
        </w:rPr>
        <w:t>Estado</w:t>
      </w:r>
      <w:r w:rsidR="00F7182B" w:rsidRPr="0092295B">
        <w:t xml:space="preserve"> señaló</w:t>
      </w:r>
      <w:r w:rsidRPr="0092295B">
        <w:rPr>
          <w:szCs w:val="20"/>
        </w:rPr>
        <w:t xml:space="preserve"> </w:t>
      </w:r>
      <w:r w:rsidR="001F0028" w:rsidRPr="0092295B">
        <w:rPr>
          <w:szCs w:val="20"/>
        </w:rPr>
        <w:t>que “lo manifestado en</w:t>
      </w:r>
      <w:r w:rsidR="003A5E9C" w:rsidRPr="0092295B">
        <w:rPr>
          <w:szCs w:val="20"/>
        </w:rPr>
        <w:t xml:space="preserve"> el peritaje busca acompañar la </w:t>
      </w:r>
      <w:r w:rsidR="000E1197" w:rsidRPr="0092295B">
        <w:rPr>
          <w:szCs w:val="20"/>
        </w:rPr>
        <w:t>hipótesis sostenida p</w:t>
      </w:r>
      <w:r w:rsidR="005E3A54">
        <w:rPr>
          <w:szCs w:val="20"/>
        </w:rPr>
        <w:t>or</w:t>
      </w:r>
      <w:r w:rsidR="000E1197" w:rsidRPr="0092295B">
        <w:rPr>
          <w:szCs w:val="20"/>
        </w:rPr>
        <w:t xml:space="preserve"> la [Comis</w:t>
      </w:r>
      <w:r w:rsidR="002B055F" w:rsidRPr="0092295B">
        <w:rPr>
          <w:szCs w:val="20"/>
        </w:rPr>
        <w:t>i</w:t>
      </w:r>
      <w:r w:rsidR="000E1197" w:rsidRPr="0092295B">
        <w:rPr>
          <w:szCs w:val="20"/>
        </w:rPr>
        <w:t>ón]</w:t>
      </w:r>
      <w:r w:rsidR="003A5E9C" w:rsidRPr="0092295B">
        <w:rPr>
          <w:szCs w:val="20"/>
        </w:rPr>
        <w:t xml:space="preserve"> y las presuntas víctimas, según las cuales, fueron privadas de manera ilegal de su libertad, en el </w:t>
      </w:r>
      <w:r w:rsidR="005E3A54">
        <w:rPr>
          <w:szCs w:val="20"/>
        </w:rPr>
        <w:t xml:space="preserve">marco del </w:t>
      </w:r>
      <w:r w:rsidR="003A5E9C" w:rsidRPr="0092295B">
        <w:rPr>
          <w:szCs w:val="20"/>
        </w:rPr>
        <w:t>proceso penal policial instaurado en [su] contra</w:t>
      </w:r>
      <w:r w:rsidRPr="0092295B">
        <w:rPr>
          <w:szCs w:val="20"/>
        </w:rPr>
        <w:t xml:space="preserve">. </w:t>
      </w:r>
      <w:r w:rsidR="003A5E9C" w:rsidRPr="0092295B">
        <w:rPr>
          <w:szCs w:val="20"/>
        </w:rPr>
        <w:t xml:space="preserve">Sin embargo, tal aseveración carece de veracidad”. </w:t>
      </w:r>
      <w:r w:rsidRPr="0092295B">
        <w:rPr>
          <w:szCs w:val="20"/>
        </w:rPr>
        <w:t>La Corte nota que las consideraciones del Estado respecto al peritaje se refieren a su</w:t>
      </w:r>
      <w:r w:rsidRPr="0092295B">
        <w:rPr>
          <w:rFonts w:cs="Arial"/>
          <w:szCs w:val="20"/>
        </w:rPr>
        <w:t xml:space="preserve"> valor probatorio, no</w:t>
      </w:r>
      <w:r w:rsidR="003A5E9C" w:rsidRPr="0092295B">
        <w:rPr>
          <w:rFonts w:cs="Arial"/>
          <w:szCs w:val="20"/>
        </w:rPr>
        <w:t xml:space="preserve"> a la admisibilidad del peritaje</w:t>
      </w:r>
      <w:r w:rsidRPr="0092295B">
        <w:rPr>
          <w:rFonts w:cs="Arial"/>
          <w:szCs w:val="20"/>
        </w:rPr>
        <w:t xml:space="preserve">. En consecuencia, la Corte lo admite y las consideraciones efectuadas por Ecuador serán tenidas en consideración en la valoración de la prueba. </w:t>
      </w:r>
    </w:p>
    <w:p w14:paraId="1C028038" w14:textId="77777777" w:rsidR="001C6A7E" w:rsidRPr="001C6A7E" w:rsidRDefault="001C6A7E" w:rsidP="001C6A7E">
      <w:pPr>
        <w:pStyle w:val="Prrafodelista"/>
        <w:rPr>
          <w:i/>
          <w:u w:val="single"/>
        </w:rPr>
      </w:pPr>
    </w:p>
    <w:p w14:paraId="011D30FB" w14:textId="7FE58F12" w:rsidR="001C6A7E" w:rsidRDefault="001C6A7E" w:rsidP="001C6A7E">
      <w:pPr>
        <w:autoSpaceDE w:val="0"/>
        <w:autoSpaceDN w:val="0"/>
        <w:adjustRightInd w:val="0"/>
        <w:spacing w:before="0" w:after="0"/>
        <w:rPr>
          <w:i/>
          <w:u w:val="single"/>
        </w:rPr>
      </w:pPr>
    </w:p>
    <w:p w14:paraId="24AE91BD" w14:textId="77777777" w:rsidR="001C6A7E" w:rsidRPr="001C6A7E" w:rsidRDefault="001C6A7E" w:rsidP="001C6A7E">
      <w:pPr>
        <w:autoSpaceDE w:val="0"/>
        <w:autoSpaceDN w:val="0"/>
        <w:adjustRightInd w:val="0"/>
        <w:spacing w:before="0" w:after="0"/>
        <w:rPr>
          <w:i/>
          <w:u w:val="single"/>
        </w:rPr>
      </w:pPr>
    </w:p>
    <w:p w14:paraId="4FFE1D9D" w14:textId="77777777" w:rsidR="00D90920" w:rsidRPr="0092295B" w:rsidRDefault="00D90920" w:rsidP="00D90920">
      <w:pPr>
        <w:pStyle w:val="Prrafodelista"/>
        <w:autoSpaceDE w:val="0"/>
        <w:autoSpaceDN w:val="0"/>
        <w:adjustRightInd w:val="0"/>
        <w:spacing w:before="0" w:after="0"/>
        <w:ind w:left="0"/>
        <w:rPr>
          <w:i/>
          <w:u w:val="single"/>
        </w:rPr>
      </w:pPr>
    </w:p>
    <w:p w14:paraId="208037E6" w14:textId="3D1153CD" w:rsidR="00386DF0" w:rsidRPr="0092295B" w:rsidRDefault="00381DB5" w:rsidP="00386DF0">
      <w:pPr>
        <w:pStyle w:val="Ttulo1"/>
        <w:spacing w:before="0" w:after="0"/>
      </w:pPr>
      <w:bookmarkStart w:id="73" w:name="_Toc470105100"/>
      <w:bookmarkStart w:id="74" w:name="_Toc87339006"/>
      <w:bookmarkEnd w:id="68"/>
      <w:bookmarkEnd w:id="69"/>
      <w:r w:rsidRPr="0092295B">
        <w:t>VI</w:t>
      </w:r>
      <w:r w:rsidRPr="0092295B">
        <w:rPr>
          <w:color w:val="FFFFFF" w:themeColor="background1"/>
        </w:rPr>
        <w:t>.</w:t>
      </w:r>
      <w:r w:rsidRPr="0092295B">
        <w:br/>
        <w:t>HECHOS</w:t>
      </w:r>
      <w:bookmarkEnd w:id="73"/>
      <w:bookmarkEnd w:id="74"/>
    </w:p>
    <w:p w14:paraId="6D6EECD9" w14:textId="77777777" w:rsidR="00386DF0" w:rsidRPr="0092295B" w:rsidRDefault="00386DF0" w:rsidP="007D663A"/>
    <w:p w14:paraId="78492D23" w14:textId="777051C8" w:rsidR="00E453F0" w:rsidRPr="00ED2790" w:rsidRDefault="00961483" w:rsidP="00E453F0">
      <w:pPr>
        <w:pStyle w:val="Prrafodelista"/>
        <w:numPr>
          <w:ilvl w:val="0"/>
          <w:numId w:val="29"/>
        </w:numPr>
        <w:autoSpaceDE w:val="0"/>
        <w:autoSpaceDN w:val="0"/>
        <w:adjustRightInd w:val="0"/>
        <w:spacing w:before="0" w:after="0"/>
        <w:ind w:left="0" w:firstLine="0"/>
        <w:rPr>
          <w:szCs w:val="20"/>
        </w:rPr>
      </w:pPr>
      <w:bookmarkStart w:id="75" w:name="_Toc438132294"/>
      <w:bookmarkStart w:id="76" w:name="_Toc442082547"/>
      <w:bookmarkStart w:id="77" w:name="_Toc460237958"/>
      <w:bookmarkStart w:id="78" w:name="_Toc460238255"/>
      <w:bookmarkStart w:id="79" w:name="_Toc460409658"/>
      <w:bookmarkStart w:id="80" w:name="_Toc460612951"/>
      <w:bookmarkStart w:id="81" w:name="_Toc470105104"/>
      <w:bookmarkStart w:id="82" w:name="_Toc442082558"/>
      <w:bookmarkStart w:id="83" w:name="_Toc460237959"/>
      <w:bookmarkStart w:id="84" w:name="_Toc460238256"/>
      <w:bookmarkStart w:id="85" w:name="_Toc442082559"/>
      <w:bookmarkStart w:id="86" w:name="_Toc460237960"/>
      <w:bookmarkStart w:id="87" w:name="_Toc442082560"/>
      <w:bookmarkStart w:id="88" w:name="_Toc460237961"/>
      <w:bookmarkStart w:id="89" w:name="_Toc460238257"/>
      <w:r w:rsidRPr="0092295B">
        <w:rPr>
          <w:szCs w:val="20"/>
        </w:rPr>
        <w:t>A continuación</w:t>
      </w:r>
      <w:r w:rsidR="00DB2382" w:rsidRPr="0092295B">
        <w:rPr>
          <w:szCs w:val="20"/>
        </w:rPr>
        <w:t>,</w:t>
      </w:r>
      <w:r w:rsidRPr="0092295B">
        <w:rPr>
          <w:szCs w:val="20"/>
        </w:rPr>
        <w:t xml:space="preserve"> los hechos del caso</w:t>
      </w:r>
      <w:r w:rsidRPr="0092295B">
        <w:rPr>
          <w:b/>
          <w:szCs w:val="20"/>
        </w:rPr>
        <w:t xml:space="preserve"> </w:t>
      </w:r>
      <w:r w:rsidR="001C2086" w:rsidRPr="0092295B">
        <w:rPr>
          <w:szCs w:val="20"/>
        </w:rPr>
        <w:t xml:space="preserve">serán expuestos en el siguiente orden: </w:t>
      </w:r>
      <w:r w:rsidR="00F45E39" w:rsidRPr="0092295B">
        <w:rPr>
          <w:szCs w:val="20"/>
        </w:rPr>
        <w:t>A)</w:t>
      </w:r>
      <w:r w:rsidR="00E61110" w:rsidRPr="0092295B">
        <w:rPr>
          <w:szCs w:val="20"/>
        </w:rPr>
        <w:t xml:space="preserve"> Marco Normativo; B)</w:t>
      </w:r>
      <w:r w:rsidR="00D4778C" w:rsidRPr="0092295B">
        <w:rPr>
          <w:szCs w:val="20"/>
        </w:rPr>
        <w:t xml:space="preserve"> P</w:t>
      </w:r>
      <w:r w:rsidR="00F45E39" w:rsidRPr="0092295B">
        <w:rPr>
          <w:szCs w:val="20"/>
        </w:rPr>
        <w:t>resuntas víctimas</w:t>
      </w:r>
      <w:r w:rsidR="00E61110" w:rsidRPr="0092295B">
        <w:rPr>
          <w:szCs w:val="20"/>
        </w:rPr>
        <w:t>; C</w:t>
      </w:r>
      <w:r w:rsidR="00F7182B" w:rsidRPr="0092295B">
        <w:rPr>
          <w:szCs w:val="20"/>
        </w:rPr>
        <w:t xml:space="preserve">) </w:t>
      </w:r>
      <w:r w:rsidR="005E3A54">
        <w:rPr>
          <w:szCs w:val="20"/>
        </w:rPr>
        <w:t xml:space="preserve">Detención y proceso </w:t>
      </w:r>
      <w:r w:rsidR="00152974" w:rsidRPr="0092295B">
        <w:rPr>
          <w:szCs w:val="20"/>
        </w:rPr>
        <w:t>en con</w:t>
      </w:r>
      <w:r w:rsidR="00BE66D7" w:rsidRPr="0092295B">
        <w:rPr>
          <w:szCs w:val="20"/>
        </w:rPr>
        <w:t>tra de las presuntas víctimas,</w:t>
      </w:r>
      <w:r w:rsidR="005E3A54">
        <w:rPr>
          <w:szCs w:val="20"/>
        </w:rPr>
        <w:t xml:space="preserve"> y</w:t>
      </w:r>
      <w:r w:rsidR="00BE66D7" w:rsidRPr="0092295B">
        <w:rPr>
          <w:szCs w:val="20"/>
        </w:rPr>
        <w:t xml:space="preserve"> </w:t>
      </w:r>
      <w:r w:rsidR="00E61110" w:rsidRPr="0092295B">
        <w:rPr>
          <w:szCs w:val="20"/>
        </w:rPr>
        <w:t>D</w:t>
      </w:r>
      <w:r w:rsidR="00152974" w:rsidRPr="0092295B">
        <w:rPr>
          <w:szCs w:val="20"/>
        </w:rPr>
        <w:t xml:space="preserve">) Demandas de indemnización.  </w:t>
      </w:r>
    </w:p>
    <w:p w14:paraId="4F49D6A3" w14:textId="5DDA3B24" w:rsidR="00396FD1" w:rsidRPr="00ED2790" w:rsidRDefault="00E61110" w:rsidP="00ED2790">
      <w:pPr>
        <w:pStyle w:val="Ttulo2"/>
        <w:numPr>
          <w:ilvl w:val="0"/>
          <w:numId w:val="33"/>
        </w:numPr>
        <w:rPr>
          <w:i w:val="0"/>
        </w:rPr>
      </w:pPr>
      <w:bookmarkStart w:id="90" w:name="_Toc87339007"/>
      <w:r w:rsidRPr="00ED2790">
        <w:rPr>
          <w:i w:val="0"/>
        </w:rPr>
        <w:t>Marco Normativo</w:t>
      </w:r>
      <w:bookmarkEnd w:id="90"/>
    </w:p>
    <w:p w14:paraId="5EBC11A4" w14:textId="5CF78ECC" w:rsidR="00396FD1" w:rsidRPr="0092295B" w:rsidRDefault="00A57075" w:rsidP="00CF2D2A">
      <w:pPr>
        <w:pStyle w:val="Prrafodelista"/>
        <w:numPr>
          <w:ilvl w:val="0"/>
          <w:numId w:val="29"/>
        </w:numPr>
        <w:autoSpaceDE w:val="0"/>
        <w:autoSpaceDN w:val="0"/>
        <w:adjustRightInd w:val="0"/>
        <w:spacing w:before="0" w:after="0"/>
        <w:ind w:left="0" w:firstLine="0"/>
        <w:rPr>
          <w:rFonts w:eastAsia="Times New Roman" w:cs="Times New Roman"/>
          <w:szCs w:val="20"/>
          <w:lang w:val="es-MX" w:eastAsia="es-CR"/>
        </w:rPr>
      </w:pPr>
      <w:r w:rsidRPr="0092295B">
        <w:rPr>
          <w:rFonts w:eastAsia="Times New Roman" w:cs="Times New Roman"/>
          <w:szCs w:val="20"/>
          <w:lang w:val="es-MX" w:eastAsia="es-CR"/>
        </w:rPr>
        <w:t xml:space="preserve">La Constitución Política </w:t>
      </w:r>
      <w:r w:rsidRPr="0092295B">
        <w:rPr>
          <w:rFonts w:cs="Bookman Old Style"/>
        </w:rPr>
        <w:t xml:space="preserve">de la República del Ecuador (en adelante “Constitución Política” o “Constitución”) </w:t>
      </w:r>
      <w:r w:rsidR="00396FD1" w:rsidRPr="0092295B">
        <w:rPr>
          <w:rFonts w:eastAsia="Times New Roman"/>
          <w:lang w:val="es-MX" w:eastAsia="es-CR"/>
        </w:rPr>
        <w:t>vigente en la época de los hechos establecía en los artículos 183 y 187, respectivamente, que “[l]a fuerza pública estará constituida por las Fuerzas Armadas y la Policía Nacional” y que “[l]os miembros de la fuerza pública estarán sujetos a fuero especial para el juzgamiento de las infracciones cometidas en el ejercicio de sus labores profesionales</w:t>
      </w:r>
      <w:r w:rsidR="00B02FAA" w:rsidRPr="0092295B">
        <w:rPr>
          <w:rFonts w:eastAsia="Times New Roman"/>
          <w:lang w:val="es-MX" w:eastAsia="es-CR"/>
        </w:rPr>
        <w:t>.</w:t>
      </w:r>
      <w:r w:rsidR="00153B84" w:rsidRPr="0092295B">
        <w:rPr>
          <w:rStyle w:val="Refdenotaalpie"/>
          <w:rFonts w:eastAsia="Times New Roman"/>
          <w:lang w:val="es-MX" w:eastAsia="es-CR"/>
        </w:rPr>
        <w:t xml:space="preserve">. </w:t>
      </w:r>
      <w:r w:rsidR="00153B84" w:rsidRPr="0092295B">
        <w:rPr>
          <w:rStyle w:val="Refdenotaalpie"/>
          <w:rFonts w:eastAsia="Times New Roman"/>
          <w:vertAlign w:val="baseline"/>
          <w:lang w:val="es-MX" w:eastAsia="es-CR"/>
        </w:rPr>
        <w:t>En caso de infracciones comunes, estarán sujetos a la jurisdicción ordinaria</w:t>
      </w:r>
      <w:r w:rsidR="005E3A54">
        <w:rPr>
          <w:rFonts w:eastAsia="Times New Roman"/>
          <w:lang w:val="es-MX" w:eastAsia="es-CR"/>
        </w:rPr>
        <w:t>”</w:t>
      </w:r>
      <w:r w:rsidR="00B01FDA" w:rsidRPr="0092295B">
        <w:rPr>
          <w:rStyle w:val="Refdenotaalpie"/>
          <w:rFonts w:eastAsia="Times New Roman"/>
          <w:lang w:val="es-MX" w:eastAsia="es-CR"/>
        </w:rPr>
        <w:footnoteReference w:id="21"/>
      </w:r>
      <w:r w:rsidR="00396FD1" w:rsidRPr="0092295B">
        <w:rPr>
          <w:rFonts w:eastAsia="Times New Roman"/>
          <w:lang w:val="es-MX" w:eastAsia="es-CR"/>
        </w:rPr>
        <w:t xml:space="preserve">. </w:t>
      </w:r>
    </w:p>
    <w:p w14:paraId="593D90CD" w14:textId="77777777" w:rsidR="009A67F1" w:rsidRPr="0092295B" w:rsidRDefault="009A67F1" w:rsidP="009A67F1">
      <w:pPr>
        <w:pStyle w:val="Prrafodelista"/>
        <w:autoSpaceDE w:val="0"/>
        <w:autoSpaceDN w:val="0"/>
        <w:adjustRightInd w:val="0"/>
        <w:spacing w:before="0" w:after="0"/>
        <w:ind w:left="0"/>
        <w:rPr>
          <w:rFonts w:eastAsia="Times New Roman" w:cs="Times New Roman"/>
          <w:szCs w:val="20"/>
          <w:lang w:val="es-MX" w:eastAsia="es-CR"/>
        </w:rPr>
      </w:pPr>
    </w:p>
    <w:p w14:paraId="16650647" w14:textId="6B714E12" w:rsidR="00A57075" w:rsidRPr="0092295B" w:rsidRDefault="009A67F1" w:rsidP="00CF2D2A">
      <w:pPr>
        <w:pStyle w:val="Prrafodelista"/>
        <w:numPr>
          <w:ilvl w:val="0"/>
          <w:numId w:val="29"/>
        </w:numPr>
        <w:autoSpaceDE w:val="0"/>
        <w:autoSpaceDN w:val="0"/>
        <w:adjustRightInd w:val="0"/>
        <w:spacing w:before="0" w:after="0"/>
        <w:ind w:left="0" w:firstLine="0"/>
        <w:rPr>
          <w:rFonts w:cs="Times New Roman"/>
          <w:color w:val="3A3A3A"/>
          <w:sz w:val="18"/>
          <w:lang w:val="es-CR"/>
        </w:rPr>
      </w:pPr>
      <w:r w:rsidRPr="0092295B">
        <w:rPr>
          <w:rFonts w:eastAsiaTheme="minorHAnsi" w:cs="Bookman Old Style"/>
          <w:szCs w:val="22"/>
          <w:lang w:val="es-MX"/>
        </w:rPr>
        <w:t>E</w:t>
      </w:r>
      <w:r w:rsidRPr="0092295B">
        <w:rPr>
          <w:rFonts w:eastAsiaTheme="minorHAnsi" w:cs="Bookman Old Style"/>
          <w:szCs w:val="22"/>
          <w:lang w:val="es-CR"/>
        </w:rPr>
        <w:t>l art</w:t>
      </w:r>
      <w:r w:rsidR="000B2232">
        <w:rPr>
          <w:rFonts w:eastAsiaTheme="minorHAnsi" w:cs="Bookman Old Style"/>
          <w:szCs w:val="22"/>
          <w:lang w:val="es-CR"/>
        </w:rPr>
        <w:t>ículo 24.8</w:t>
      </w:r>
      <w:r w:rsidRPr="0092295B">
        <w:rPr>
          <w:rFonts w:eastAsiaTheme="minorHAnsi" w:cs="Bookman Old Style"/>
          <w:szCs w:val="22"/>
          <w:lang w:val="es-CR"/>
        </w:rPr>
        <w:t xml:space="preserve"> de la Constitución Política </w:t>
      </w:r>
      <w:r w:rsidR="00A57075" w:rsidRPr="0092295B">
        <w:rPr>
          <w:rFonts w:cs="Bookman Old Style"/>
        </w:rPr>
        <w:t>de 1998</w:t>
      </w:r>
      <w:r w:rsidR="00A57075" w:rsidRPr="0092295B">
        <w:rPr>
          <w:rStyle w:val="Refdenotaalpie"/>
          <w:rFonts w:eastAsiaTheme="minorHAnsi"/>
          <w:lang w:val="es-CR"/>
        </w:rPr>
        <w:footnoteReference w:id="22"/>
      </w:r>
      <w:r w:rsidR="00A57075" w:rsidRPr="0092295B">
        <w:rPr>
          <w:rFonts w:cs="Bookman Old Style"/>
        </w:rPr>
        <w:t xml:space="preserve">, </w:t>
      </w:r>
      <w:r w:rsidR="00A57075" w:rsidRPr="0092295B">
        <w:rPr>
          <w:rFonts w:eastAsia="Arial" w:cs="Arial"/>
          <w:iCs/>
        </w:rPr>
        <w:t>disponía:</w:t>
      </w:r>
      <w:r w:rsidR="00A57075" w:rsidRPr="0092295B">
        <w:rPr>
          <w:rFonts w:cs="Bookman Old Style,Italic"/>
          <w:iCs/>
        </w:rPr>
        <w:t xml:space="preserve"> </w:t>
      </w:r>
    </w:p>
    <w:p w14:paraId="585BDBF4" w14:textId="77777777" w:rsidR="00A57075" w:rsidRPr="0092295B" w:rsidRDefault="00A57075" w:rsidP="00A57075">
      <w:pPr>
        <w:pStyle w:val="Prrafodelista"/>
        <w:rPr>
          <w:rFonts w:cs="Bookman Old Style,Italic"/>
          <w:iCs/>
        </w:rPr>
      </w:pPr>
    </w:p>
    <w:p w14:paraId="784518B9" w14:textId="77777777" w:rsidR="00A57075" w:rsidRPr="0092295B" w:rsidRDefault="00A57075" w:rsidP="00D13488">
      <w:pPr>
        <w:pStyle w:val="Prrafodelista"/>
        <w:autoSpaceDE w:val="0"/>
        <w:autoSpaceDN w:val="0"/>
        <w:adjustRightInd w:val="0"/>
        <w:spacing w:before="0" w:after="0"/>
        <w:ind w:right="720"/>
        <w:rPr>
          <w:rFonts w:cs="Bookman Old Style,Italic"/>
          <w:iCs/>
          <w:sz w:val="16"/>
          <w:szCs w:val="16"/>
        </w:rPr>
      </w:pPr>
      <w:r w:rsidRPr="0092295B">
        <w:rPr>
          <w:rFonts w:cs="Bookman Old Style,Italic"/>
          <w:iCs/>
          <w:sz w:val="16"/>
          <w:szCs w:val="16"/>
        </w:rPr>
        <w:t>[p]ara asegurar el debido proceso deberán observarse las siguientes garantías básicas, sin menoscabo de otras que establezcan la Constitución, los instrumentos internacionales, las leyes o la jurisprudencia [...]</w:t>
      </w:r>
    </w:p>
    <w:p w14:paraId="28A73D53" w14:textId="50CFBC25" w:rsidR="009A67F1" w:rsidRPr="0092295B" w:rsidRDefault="00A57075" w:rsidP="00D13488">
      <w:pPr>
        <w:pStyle w:val="Prrafodelista"/>
        <w:autoSpaceDE w:val="0"/>
        <w:autoSpaceDN w:val="0"/>
        <w:adjustRightInd w:val="0"/>
        <w:spacing w:before="0" w:after="0"/>
        <w:ind w:right="720"/>
        <w:rPr>
          <w:rFonts w:cs="Times New Roman"/>
          <w:color w:val="3A3A3A"/>
          <w:sz w:val="16"/>
          <w:szCs w:val="16"/>
          <w:lang w:val="es-CR"/>
        </w:rPr>
      </w:pPr>
      <w:r w:rsidRPr="0092295B">
        <w:rPr>
          <w:rFonts w:cs="Bookman Old Style,Italic"/>
          <w:iCs/>
          <w:sz w:val="16"/>
          <w:szCs w:val="16"/>
        </w:rPr>
        <w:t xml:space="preserve">8. La </w:t>
      </w:r>
      <w:r w:rsidRPr="0092295B">
        <w:rPr>
          <w:rFonts w:cs="Bookman Old Style,BoldItalic"/>
          <w:bCs/>
          <w:iCs/>
          <w:sz w:val="16"/>
          <w:szCs w:val="16"/>
        </w:rPr>
        <w:t>prisión preventiva no podrá exceder de seis meses</w:t>
      </w:r>
      <w:r w:rsidRPr="0092295B">
        <w:rPr>
          <w:rFonts w:cs="Bookman Old Style,Italic"/>
          <w:iCs/>
          <w:sz w:val="16"/>
          <w:szCs w:val="16"/>
        </w:rPr>
        <w:t xml:space="preserve">, en las causas por </w:t>
      </w:r>
      <w:r w:rsidRPr="0092295B">
        <w:rPr>
          <w:rFonts w:cs="Bookman Old Style,BoldItalic"/>
          <w:bCs/>
          <w:iCs/>
          <w:sz w:val="16"/>
          <w:szCs w:val="16"/>
        </w:rPr>
        <w:t>delitos sancionados con prisión</w:t>
      </w:r>
      <w:r w:rsidRPr="0092295B">
        <w:rPr>
          <w:rFonts w:cs="Bookman Old Style,Italic"/>
          <w:iCs/>
          <w:sz w:val="16"/>
          <w:szCs w:val="16"/>
        </w:rPr>
        <w:t xml:space="preserve">, </w:t>
      </w:r>
      <w:r w:rsidRPr="0092295B">
        <w:rPr>
          <w:rFonts w:cs="Bookman Old Style,BoldItalic"/>
          <w:bCs/>
          <w:iCs/>
          <w:sz w:val="16"/>
          <w:szCs w:val="16"/>
        </w:rPr>
        <w:t>ni de un año</w:t>
      </w:r>
      <w:r w:rsidRPr="0092295B">
        <w:rPr>
          <w:rFonts w:cs="Bookman Old Style,Italic"/>
          <w:iCs/>
          <w:sz w:val="16"/>
          <w:szCs w:val="16"/>
        </w:rPr>
        <w:t xml:space="preserve">, en </w:t>
      </w:r>
      <w:r w:rsidRPr="0092295B">
        <w:rPr>
          <w:rFonts w:cs="Bookman Old Style,BoldItalic"/>
          <w:bCs/>
          <w:iCs/>
          <w:sz w:val="16"/>
          <w:szCs w:val="16"/>
        </w:rPr>
        <w:t>delitos sancionados con reclusión</w:t>
      </w:r>
      <w:r w:rsidRPr="0092295B">
        <w:rPr>
          <w:rFonts w:cs="Bookman Old Style,Italic"/>
          <w:iCs/>
          <w:sz w:val="16"/>
          <w:szCs w:val="16"/>
        </w:rPr>
        <w:t xml:space="preserve">. Si se excedieren esos plazos, la orden de </w:t>
      </w:r>
      <w:r w:rsidRPr="0092295B">
        <w:rPr>
          <w:rFonts w:cs="Bookman Old Style,BoldItalic"/>
          <w:bCs/>
          <w:iCs/>
          <w:sz w:val="16"/>
          <w:szCs w:val="16"/>
        </w:rPr>
        <w:t>prisión preventiva quedará sin efecto</w:t>
      </w:r>
      <w:r w:rsidRPr="0092295B">
        <w:rPr>
          <w:rFonts w:cs="Bookman Old Style,Italic"/>
          <w:iCs/>
          <w:sz w:val="16"/>
          <w:szCs w:val="16"/>
        </w:rPr>
        <w:t>, bajo la responsabilidad del juez que conoce la causa [...] En todo caso, y sin excepción alguna, dictado el auto de sobreseimiento o la sentencia absolutoria, el detenido recobrará inmediatamente su libertad, sin perjuicio de cualquier consulta o recurso pendiente.</w:t>
      </w:r>
    </w:p>
    <w:p w14:paraId="6FFDA607" w14:textId="77777777" w:rsidR="00396FD1" w:rsidRPr="0092295B" w:rsidRDefault="00396FD1" w:rsidP="00396FD1">
      <w:pPr>
        <w:pStyle w:val="Prrafodelista"/>
        <w:autoSpaceDE w:val="0"/>
        <w:autoSpaceDN w:val="0"/>
        <w:adjustRightInd w:val="0"/>
        <w:spacing w:before="0" w:after="0"/>
        <w:ind w:left="0"/>
        <w:rPr>
          <w:rFonts w:eastAsia="Times New Roman" w:cs="Times New Roman"/>
          <w:szCs w:val="20"/>
          <w:lang w:val="es-MX" w:eastAsia="es-CR"/>
        </w:rPr>
      </w:pPr>
    </w:p>
    <w:p w14:paraId="106AE704" w14:textId="3E421B7F" w:rsidR="00396FD1" w:rsidRPr="0092295B" w:rsidRDefault="00396FD1" w:rsidP="00CF2D2A">
      <w:pPr>
        <w:pStyle w:val="Prrafodelista"/>
        <w:numPr>
          <w:ilvl w:val="0"/>
          <w:numId w:val="29"/>
        </w:numPr>
        <w:autoSpaceDE w:val="0"/>
        <w:autoSpaceDN w:val="0"/>
        <w:adjustRightInd w:val="0"/>
        <w:spacing w:before="0" w:after="0"/>
        <w:ind w:left="0" w:firstLine="0"/>
        <w:rPr>
          <w:rFonts w:eastAsia="Times New Roman" w:cs="Times New Roman"/>
          <w:szCs w:val="20"/>
          <w:lang w:val="es-MX" w:eastAsia="es-CR"/>
        </w:rPr>
      </w:pPr>
      <w:r w:rsidRPr="0092295B">
        <w:rPr>
          <w:rFonts w:eastAsia="Times New Roman" w:cs="Times New Roman"/>
          <w:szCs w:val="20"/>
          <w:lang w:val="es-MX" w:eastAsia="es-CR"/>
        </w:rPr>
        <w:t>Respecto al fuero, el Código Penal de la Policía Civil Nacional</w:t>
      </w:r>
      <w:r w:rsidR="00F7182B" w:rsidRPr="0092295B">
        <w:rPr>
          <w:rFonts w:eastAsia="Times New Roman" w:cs="Times New Roman"/>
          <w:szCs w:val="20"/>
          <w:lang w:val="es-MX" w:eastAsia="es-CR"/>
        </w:rPr>
        <w:t xml:space="preserve"> </w:t>
      </w:r>
      <w:r w:rsidR="009D165E" w:rsidRPr="0092295B">
        <w:rPr>
          <w:rFonts w:eastAsia="Times New Roman" w:cs="Times New Roman"/>
          <w:szCs w:val="20"/>
          <w:lang w:val="es-MX" w:eastAsia="es-CR"/>
        </w:rPr>
        <w:t xml:space="preserve">(en adelante también “CPPCN”) </w:t>
      </w:r>
      <w:r w:rsidR="00F7182B" w:rsidRPr="0092295B">
        <w:rPr>
          <w:rFonts w:eastAsia="Times New Roman" w:cs="Times New Roman"/>
          <w:szCs w:val="20"/>
          <w:lang w:val="es-MX" w:eastAsia="es-CR"/>
        </w:rPr>
        <w:t>en</w:t>
      </w:r>
      <w:r w:rsidRPr="0092295B">
        <w:rPr>
          <w:rFonts w:eastAsia="Times New Roman" w:cs="Times New Roman"/>
          <w:szCs w:val="20"/>
          <w:lang w:val="es-MX" w:eastAsia="es-CR"/>
        </w:rPr>
        <w:t xml:space="preserve"> </w:t>
      </w:r>
      <w:r w:rsidR="00B01FDA" w:rsidRPr="0092295B">
        <w:rPr>
          <w:rFonts w:eastAsia="Times New Roman" w:cs="Times New Roman"/>
          <w:szCs w:val="20"/>
          <w:lang w:val="es-MX" w:eastAsia="es-CR"/>
        </w:rPr>
        <w:t xml:space="preserve">el artículo 4 </w:t>
      </w:r>
      <w:r w:rsidRPr="0092295B">
        <w:rPr>
          <w:rFonts w:eastAsia="Times New Roman" w:cs="Times New Roman"/>
          <w:szCs w:val="20"/>
          <w:lang w:val="es-MX" w:eastAsia="es-CR"/>
        </w:rPr>
        <w:t>establecía que “[e]l fuero de los miembros de la Policía Civil Nacional es aplicable únicamente respecto de las infracciones cometidas en ejercicio de la función que les corresponde específicamente como miembros de esta Institución, y por infracciones determinadas en este Código y en el Reglamento Disciplinario”</w:t>
      </w:r>
      <w:r w:rsidRPr="0092295B">
        <w:rPr>
          <w:rStyle w:val="Refdenotaalpie"/>
          <w:rFonts w:eastAsia="Times New Roman"/>
          <w:lang w:val="es-MX" w:eastAsia="es-CR"/>
        </w:rPr>
        <w:footnoteReference w:id="23"/>
      </w:r>
      <w:r w:rsidRPr="0092295B">
        <w:rPr>
          <w:rFonts w:eastAsia="Times New Roman" w:cs="Times New Roman"/>
          <w:szCs w:val="20"/>
          <w:lang w:val="es-MX" w:eastAsia="es-CR"/>
        </w:rPr>
        <w:t>.</w:t>
      </w:r>
    </w:p>
    <w:p w14:paraId="092599AD" w14:textId="77777777" w:rsidR="00265D53" w:rsidRPr="0092295B" w:rsidRDefault="00265D53" w:rsidP="00265D53">
      <w:pPr>
        <w:pStyle w:val="Prrafodelista"/>
        <w:autoSpaceDE w:val="0"/>
        <w:autoSpaceDN w:val="0"/>
        <w:adjustRightInd w:val="0"/>
        <w:spacing w:before="0" w:after="0"/>
        <w:ind w:left="0"/>
        <w:rPr>
          <w:rFonts w:eastAsia="Times New Roman" w:cs="Times New Roman"/>
          <w:szCs w:val="20"/>
          <w:lang w:val="es-MX" w:eastAsia="es-CR"/>
        </w:rPr>
      </w:pPr>
    </w:p>
    <w:p w14:paraId="6A62E463" w14:textId="539F83D2" w:rsidR="00E61110" w:rsidRPr="0092295B" w:rsidRDefault="00396FD1" w:rsidP="00CF2D2A">
      <w:pPr>
        <w:pStyle w:val="Prrafodelista"/>
        <w:numPr>
          <w:ilvl w:val="0"/>
          <w:numId w:val="29"/>
        </w:numPr>
        <w:autoSpaceDE w:val="0"/>
        <w:autoSpaceDN w:val="0"/>
        <w:adjustRightInd w:val="0"/>
        <w:spacing w:before="0" w:after="0"/>
        <w:ind w:left="0" w:firstLine="0"/>
        <w:rPr>
          <w:rFonts w:eastAsia="Times New Roman" w:cs="Times New Roman"/>
          <w:szCs w:val="20"/>
          <w:lang w:val="es-MX" w:eastAsia="es-CR"/>
        </w:rPr>
      </w:pPr>
      <w:r w:rsidRPr="0092295B">
        <w:rPr>
          <w:rFonts w:eastAsia="Times New Roman" w:cs="Times New Roman"/>
          <w:szCs w:val="20"/>
          <w:lang w:val="es-MX" w:eastAsia="es-CR"/>
        </w:rPr>
        <w:t xml:space="preserve">Además, el Código de Procedimiento Penal de la Policía Civil Nacional </w:t>
      </w:r>
      <w:r w:rsidR="009D165E" w:rsidRPr="0092295B">
        <w:rPr>
          <w:rFonts w:eastAsia="Times New Roman" w:cs="Times New Roman"/>
          <w:szCs w:val="20"/>
          <w:lang w:val="es-MX" w:eastAsia="es-CR"/>
        </w:rPr>
        <w:t xml:space="preserve">(en adelante también “CPPPCN”) </w:t>
      </w:r>
      <w:r w:rsidRPr="0092295B">
        <w:rPr>
          <w:rFonts w:eastAsia="Times New Roman" w:cs="Times New Roman"/>
          <w:szCs w:val="20"/>
          <w:lang w:val="es-MX" w:eastAsia="es-CR"/>
        </w:rPr>
        <w:t>vigente en la época</w:t>
      </w:r>
      <w:r w:rsidR="00B01FDA" w:rsidRPr="0092295B">
        <w:rPr>
          <w:rFonts w:eastAsia="Times New Roman" w:cs="Times New Roman"/>
          <w:szCs w:val="20"/>
          <w:lang w:val="es-MX" w:eastAsia="es-CR"/>
        </w:rPr>
        <w:t xml:space="preserve"> de los hechos</w:t>
      </w:r>
      <w:r w:rsidRPr="0092295B">
        <w:rPr>
          <w:rFonts w:eastAsia="Times New Roman" w:cs="Times New Roman"/>
          <w:szCs w:val="20"/>
          <w:lang w:val="es-MX" w:eastAsia="es-CR"/>
        </w:rPr>
        <w:t xml:space="preserve"> </w:t>
      </w:r>
      <w:r w:rsidR="00B02FAA" w:rsidRPr="0092295B">
        <w:rPr>
          <w:rFonts w:eastAsia="Times New Roman" w:cs="Times New Roman"/>
          <w:szCs w:val="20"/>
          <w:lang w:val="es-MX" w:eastAsia="es-CR"/>
        </w:rPr>
        <w:t>determinaba</w:t>
      </w:r>
      <w:r w:rsidRPr="0092295B">
        <w:rPr>
          <w:rFonts w:eastAsia="Times New Roman" w:cs="Times New Roman"/>
          <w:szCs w:val="20"/>
          <w:lang w:val="es-MX" w:eastAsia="es-CR"/>
        </w:rPr>
        <w:t xml:space="preserve"> </w:t>
      </w:r>
      <w:r w:rsidR="00BB3227" w:rsidRPr="0092295B">
        <w:rPr>
          <w:rFonts w:eastAsia="Times New Roman" w:cs="Times New Roman"/>
          <w:szCs w:val="20"/>
          <w:lang w:val="es-MX" w:eastAsia="es-CR"/>
        </w:rPr>
        <w:t>en el artículo 4</w:t>
      </w:r>
      <w:r w:rsidR="00BB3227">
        <w:rPr>
          <w:rFonts w:eastAsia="Times New Roman" w:cs="Times New Roman"/>
          <w:szCs w:val="20"/>
          <w:lang w:val="es-MX" w:eastAsia="es-CR"/>
        </w:rPr>
        <w:t xml:space="preserve"> </w:t>
      </w:r>
      <w:r w:rsidRPr="0092295B">
        <w:rPr>
          <w:rFonts w:eastAsia="Times New Roman" w:cs="Times New Roman"/>
          <w:szCs w:val="20"/>
          <w:lang w:val="es-MX" w:eastAsia="es-CR"/>
        </w:rPr>
        <w:t xml:space="preserve">que “[l]a jurisdicción se distribu[ía] en razón de la jerarquía de las personas, del territorio y de las instancias” y </w:t>
      </w:r>
      <w:r w:rsidR="00D13488" w:rsidRPr="0092295B">
        <w:rPr>
          <w:rFonts w:eastAsia="Times New Roman" w:cs="Times New Roman"/>
          <w:szCs w:val="20"/>
          <w:lang w:val="es-MX" w:eastAsia="es-CR"/>
        </w:rPr>
        <w:t xml:space="preserve">en el artículo 5 establecía </w:t>
      </w:r>
      <w:r w:rsidRPr="0092295B">
        <w:rPr>
          <w:rFonts w:eastAsia="Times New Roman" w:cs="Times New Roman"/>
          <w:szCs w:val="20"/>
          <w:lang w:val="es-MX" w:eastAsia="es-CR"/>
        </w:rPr>
        <w:t xml:space="preserve">que “[l]a jurisdicción se ejerc[ía], según los casos […] [p]or la Corte Suprema”. Por último, </w:t>
      </w:r>
      <w:r w:rsidR="00D13488" w:rsidRPr="0092295B">
        <w:rPr>
          <w:rFonts w:eastAsia="Times New Roman" w:cs="Times New Roman"/>
          <w:szCs w:val="20"/>
          <w:lang w:val="es-MX" w:eastAsia="es-CR"/>
        </w:rPr>
        <w:t xml:space="preserve">el artículo 7 </w:t>
      </w:r>
      <w:r w:rsidRPr="0092295B">
        <w:rPr>
          <w:rFonts w:eastAsia="Times New Roman" w:cs="Times New Roman"/>
          <w:szCs w:val="20"/>
          <w:lang w:val="es-MX" w:eastAsia="es-CR"/>
        </w:rPr>
        <w:t xml:space="preserve">indicaba que </w:t>
      </w:r>
      <w:r w:rsidR="005E3A54">
        <w:rPr>
          <w:rFonts w:eastAsia="Times New Roman" w:cs="Times New Roman"/>
          <w:szCs w:val="20"/>
          <w:lang w:val="es-MX" w:eastAsia="es-CR"/>
        </w:rPr>
        <w:t>“</w:t>
      </w:r>
      <w:r w:rsidRPr="0092295B">
        <w:rPr>
          <w:rFonts w:eastAsia="Times New Roman" w:cs="Times New Roman"/>
          <w:szCs w:val="20"/>
          <w:lang w:val="es-MX" w:eastAsia="es-CR"/>
        </w:rPr>
        <w:t>[e]l fuero de los miembros de la Policía Civil Nacional es aplicable únicamente respecto de las infracciones cometidas en ejercicio de la función que les corresponde específicamente como miembros de esta Institución y por infracciones determinadas en este Código y en el Reglamento Disciplina</w:t>
      </w:r>
      <w:r w:rsidR="005E3A54">
        <w:rPr>
          <w:rFonts w:eastAsia="Times New Roman" w:cs="Times New Roman"/>
          <w:szCs w:val="20"/>
          <w:lang w:val="es-MX" w:eastAsia="es-CR"/>
        </w:rPr>
        <w:t>rio</w:t>
      </w:r>
      <w:r w:rsidRPr="0092295B">
        <w:rPr>
          <w:rFonts w:eastAsia="Times New Roman" w:cs="Times New Roman"/>
          <w:szCs w:val="20"/>
          <w:lang w:val="es-MX" w:eastAsia="es-CR"/>
        </w:rPr>
        <w:t>”</w:t>
      </w:r>
      <w:r w:rsidRPr="0092295B">
        <w:rPr>
          <w:rStyle w:val="Refdenotaalpie"/>
          <w:rFonts w:eastAsia="Times New Roman"/>
          <w:lang w:val="es-MX" w:eastAsia="es-CR"/>
        </w:rPr>
        <w:footnoteReference w:id="24"/>
      </w:r>
      <w:r w:rsidRPr="0092295B">
        <w:rPr>
          <w:rFonts w:eastAsia="Times New Roman" w:cs="Times New Roman"/>
          <w:szCs w:val="20"/>
          <w:lang w:val="es-MX" w:eastAsia="es-CR"/>
        </w:rPr>
        <w:t>.</w:t>
      </w:r>
    </w:p>
    <w:p w14:paraId="2A2AF9B4" w14:textId="77777777" w:rsidR="00AC3214" w:rsidRPr="0092295B" w:rsidRDefault="00AC3214" w:rsidP="00F402EF">
      <w:pPr>
        <w:pStyle w:val="xxmsonormal"/>
        <w:jc w:val="both"/>
        <w:rPr>
          <w:rFonts w:ascii="Verdana" w:hAnsi="Verdana" w:cs="Times New Roman"/>
          <w:color w:val="000000"/>
          <w:sz w:val="20"/>
          <w:szCs w:val="20"/>
          <w:lang w:val="es-ES" w:eastAsia="es-ES"/>
        </w:rPr>
      </w:pPr>
    </w:p>
    <w:p w14:paraId="4DBA459B" w14:textId="008D434A" w:rsidR="00AC3214" w:rsidRPr="0092295B" w:rsidRDefault="00721868" w:rsidP="00CF2D2A">
      <w:pPr>
        <w:pStyle w:val="xxmsonormal"/>
        <w:numPr>
          <w:ilvl w:val="0"/>
          <w:numId w:val="29"/>
        </w:numPr>
        <w:ind w:left="0" w:firstLine="0"/>
        <w:jc w:val="both"/>
        <w:rPr>
          <w:rFonts w:ascii="Verdana" w:hAnsi="Verdana" w:cs="Times New Roman"/>
          <w:color w:val="000000"/>
          <w:sz w:val="20"/>
          <w:szCs w:val="20"/>
          <w:lang w:val="es-ES" w:eastAsia="es-ES"/>
        </w:rPr>
      </w:pPr>
      <w:r w:rsidRPr="0092295B">
        <w:rPr>
          <w:rFonts w:ascii="Verdana" w:hAnsi="Verdana" w:cs="Times New Roman"/>
          <w:color w:val="000000"/>
          <w:sz w:val="20"/>
          <w:szCs w:val="20"/>
          <w:lang w:val="es-ES" w:eastAsia="es-ES"/>
        </w:rPr>
        <w:t xml:space="preserve">El </w:t>
      </w:r>
      <w:r w:rsidR="00AC3214" w:rsidRPr="0092295B">
        <w:rPr>
          <w:rFonts w:ascii="Verdana" w:hAnsi="Verdana" w:cs="Times New Roman"/>
          <w:color w:val="000000"/>
          <w:sz w:val="20"/>
          <w:szCs w:val="20"/>
          <w:lang w:val="es-ES" w:eastAsia="es-ES"/>
        </w:rPr>
        <w:t>artículo 91</w:t>
      </w:r>
      <w:r w:rsidR="004B2F01" w:rsidRPr="0092295B">
        <w:rPr>
          <w:rFonts w:ascii="Verdana" w:hAnsi="Verdana" w:cs="Times New Roman"/>
          <w:color w:val="000000"/>
          <w:sz w:val="20"/>
          <w:szCs w:val="20"/>
          <w:lang w:val="es-ES" w:eastAsia="es-ES"/>
        </w:rPr>
        <w:t xml:space="preserve"> del </w:t>
      </w:r>
      <w:r w:rsidR="004B2F01" w:rsidRPr="00BB3227">
        <w:rPr>
          <w:rFonts w:ascii="Verdana" w:hAnsi="Verdana" w:cs="Times New Roman"/>
          <w:color w:val="000000"/>
          <w:sz w:val="20"/>
          <w:szCs w:val="20"/>
          <w:lang w:val="es-ES" w:eastAsia="es-ES"/>
        </w:rPr>
        <w:t>CPPPCN</w:t>
      </w:r>
      <w:r w:rsidR="007A56A1" w:rsidRPr="006920D5">
        <w:rPr>
          <w:rStyle w:val="Refdenotaalpie"/>
          <w:rFonts w:ascii="Verdana" w:hAnsi="Verdana"/>
          <w:color w:val="000000"/>
          <w:sz w:val="20"/>
          <w:lang w:val="es-ES" w:eastAsia="es-ES"/>
        </w:rPr>
        <w:footnoteReference w:id="25"/>
      </w:r>
      <w:r w:rsidR="00AC3214" w:rsidRPr="00BB3227">
        <w:rPr>
          <w:rFonts w:ascii="Verdana" w:hAnsi="Verdana" w:cs="Times New Roman"/>
          <w:color w:val="000000"/>
          <w:sz w:val="20"/>
          <w:szCs w:val="20"/>
          <w:lang w:val="es-ES" w:eastAsia="es-ES"/>
        </w:rPr>
        <w:t xml:space="preserve"> consagra</w:t>
      </w:r>
      <w:r w:rsidR="00B02FAA" w:rsidRPr="00BB3227">
        <w:rPr>
          <w:rFonts w:ascii="Verdana" w:hAnsi="Verdana" w:cs="Times New Roman"/>
          <w:color w:val="000000"/>
          <w:sz w:val="20"/>
          <w:szCs w:val="20"/>
          <w:lang w:val="es-ES" w:eastAsia="es-ES"/>
        </w:rPr>
        <w:t>ba</w:t>
      </w:r>
      <w:r w:rsidR="00AC3214" w:rsidRPr="0092295B">
        <w:rPr>
          <w:rFonts w:ascii="Verdana" w:hAnsi="Verdana" w:cs="Times New Roman"/>
          <w:color w:val="000000"/>
          <w:sz w:val="20"/>
          <w:szCs w:val="20"/>
          <w:lang w:val="es-ES" w:eastAsia="es-ES"/>
        </w:rPr>
        <w:t xml:space="preserve"> los supuestos de procedencia de la detención preventiva: </w:t>
      </w:r>
    </w:p>
    <w:p w14:paraId="7E0D35A1" w14:textId="77777777" w:rsidR="00AC3214" w:rsidRPr="0092295B" w:rsidRDefault="00AC3214" w:rsidP="00AC3214">
      <w:pPr>
        <w:pStyle w:val="xxmsonormal"/>
        <w:ind w:left="180"/>
        <w:jc w:val="both"/>
        <w:rPr>
          <w:rFonts w:ascii="Verdana" w:hAnsi="Verdana" w:cs="Times New Roman"/>
          <w:color w:val="000000"/>
          <w:sz w:val="20"/>
          <w:szCs w:val="20"/>
          <w:lang w:val="es-ES" w:eastAsia="es-ES"/>
        </w:rPr>
      </w:pPr>
    </w:p>
    <w:p w14:paraId="5BCF5806" w14:textId="71B982D4" w:rsidR="00AC3214" w:rsidRPr="0092295B" w:rsidRDefault="00AC3214" w:rsidP="00166714">
      <w:pPr>
        <w:pStyle w:val="xxmsonormal"/>
        <w:ind w:left="720" w:right="720"/>
        <w:jc w:val="both"/>
        <w:rPr>
          <w:rFonts w:ascii="Verdana" w:hAnsi="Verdana" w:cs="Times New Roman"/>
          <w:color w:val="000000"/>
          <w:sz w:val="16"/>
          <w:szCs w:val="16"/>
          <w:lang w:val="es-ES" w:eastAsia="es-ES"/>
        </w:rPr>
      </w:pPr>
      <w:r w:rsidRPr="0092295B">
        <w:rPr>
          <w:rFonts w:ascii="Verdana" w:hAnsi="Verdana" w:cs="Times New Roman"/>
          <w:color w:val="000000"/>
          <w:sz w:val="16"/>
          <w:szCs w:val="16"/>
          <w:lang w:val="es-ES" w:eastAsia="es-ES"/>
        </w:rPr>
        <w:t>No se procederá a la detención indic</w:t>
      </w:r>
      <w:r w:rsidR="005E3A54">
        <w:rPr>
          <w:rFonts w:ascii="Verdana" w:hAnsi="Verdana" w:cs="Times New Roman"/>
          <w:color w:val="000000"/>
          <w:sz w:val="16"/>
          <w:szCs w:val="16"/>
          <w:lang w:val="es-ES" w:eastAsia="es-ES"/>
        </w:rPr>
        <w:t>i</w:t>
      </w:r>
      <w:r w:rsidRPr="0092295B">
        <w:rPr>
          <w:rFonts w:ascii="Verdana" w:hAnsi="Verdana" w:cs="Times New Roman"/>
          <w:color w:val="000000"/>
          <w:sz w:val="16"/>
          <w:szCs w:val="16"/>
          <w:lang w:val="es-ES" w:eastAsia="es-ES"/>
        </w:rPr>
        <w:t xml:space="preserve">ado sino cuando concurran las circunstancias siguientes: </w:t>
      </w:r>
    </w:p>
    <w:p w14:paraId="3C70C5CE" w14:textId="74DCE045" w:rsidR="00AC3214" w:rsidRPr="0092295B" w:rsidRDefault="00AC3214" w:rsidP="00166714">
      <w:pPr>
        <w:pStyle w:val="xxmsonormal"/>
        <w:ind w:left="720" w:right="720"/>
        <w:jc w:val="both"/>
        <w:rPr>
          <w:rFonts w:ascii="Verdana" w:hAnsi="Verdana" w:cs="Times New Roman"/>
          <w:color w:val="000000"/>
          <w:sz w:val="16"/>
          <w:szCs w:val="16"/>
          <w:lang w:val="es-ES" w:eastAsia="es-ES"/>
        </w:rPr>
      </w:pPr>
      <w:r w:rsidRPr="0092295B">
        <w:rPr>
          <w:rFonts w:ascii="Verdana" w:hAnsi="Verdana" w:cs="Times New Roman"/>
          <w:color w:val="000000"/>
          <w:sz w:val="16"/>
          <w:szCs w:val="16"/>
          <w:lang w:val="es-ES" w:eastAsia="es-ES"/>
        </w:rPr>
        <w:t>1.- Datos procesales que hagan presumir la existencia de un delito que deba perseguirse de oficio, y que merezca pena corporal</w:t>
      </w:r>
      <w:r w:rsidR="005E3A54">
        <w:rPr>
          <w:rFonts w:ascii="Verdana" w:hAnsi="Verdana" w:cs="Times New Roman"/>
          <w:color w:val="000000"/>
          <w:sz w:val="16"/>
          <w:szCs w:val="16"/>
          <w:lang w:val="es-ES" w:eastAsia="es-ES"/>
        </w:rPr>
        <w:t>;</w:t>
      </w:r>
      <w:r w:rsidRPr="0092295B">
        <w:rPr>
          <w:rFonts w:ascii="Verdana" w:hAnsi="Verdana" w:cs="Times New Roman"/>
          <w:color w:val="000000"/>
          <w:sz w:val="16"/>
          <w:szCs w:val="16"/>
          <w:lang w:val="es-ES" w:eastAsia="es-ES"/>
        </w:rPr>
        <w:t xml:space="preserve"> y</w:t>
      </w:r>
      <w:r w:rsidR="005E3A54">
        <w:rPr>
          <w:rFonts w:ascii="Verdana" w:hAnsi="Verdana" w:cs="Times New Roman"/>
          <w:color w:val="000000"/>
          <w:sz w:val="16"/>
          <w:szCs w:val="16"/>
          <w:lang w:val="es-ES" w:eastAsia="es-ES"/>
        </w:rPr>
        <w:t>,</w:t>
      </w:r>
      <w:r w:rsidRPr="0092295B">
        <w:rPr>
          <w:rFonts w:ascii="Verdana" w:hAnsi="Verdana" w:cs="Times New Roman"/>
          <w:color w:val="000000"/>
          <w:sz w:val="16"/>
          <w:szCs w:val="16"/>
          <w:lang w:val="es-ES" w:eastAsia="es-ES"/>
        </w:rPr>
        <w:t xml:space="preserve"> </w:t>
      </w:r>
    </w:p>
    <w:p w14:paraId="4D6151B1" w14:textId="5399CAE3" w:rsidR="00AC3214" w:rsidRPr="0092295B" w:rsidRDefault="00AC3214" w:rsidP="00166714">
      <w:pPr>
        <w:pStyle w:val="xxmsonormal"/>
        <w:ind w:left="720" w:right="720"/>
        <w:jc w:val="both"/>
        <w:rPr>
          <w:rFonts w:ascii="Verdana" w:hAnsi="Verdana" w:cs="Times New Roman"/>
          <w:color w:val="000000"/>
          <w:sz w:val="16"/>
          <w:szCs w:val="16"/>
          <w:lang w:val="es-ES" w:eastAsia="es-ES"/>
        </w:rPr>
      </w:pPr>
      <w:r w:rsidRPr="0092295B">
        <w:rPr>
          <w:rFonts w:ascii="Verdana" w:hAnsi="Verdana" w:cs="Times New Roman"/>
          <w:color w:val="000000"/>
          <w:sz w:val="16"/>
          <w:szCs w:val="16"/>
          <w:lang w:val="es-ES" w:eastAsia="es-ES"/>
        </w:rPr>
        <w:t xml:space="preserve">2.- Que haya indicios o presunciones graves de que el enjuiciado es autor de la infracción, o cómplice. </w:t>
      </w:r>
    </w:p>
    <w:p w14:paraId="2987D5AF" w14:textId="77777777" w:rsidR="00AC3214" w:rsidRPr="0092295B" w:rsidRDefault="00AC3214" w:rsidP="00AC3214">
      <w:pPr>
        <w:pStyle w:val="xxmsonormal"/>
        <w:ind w:left="540"/>
        <w:jc w:val="both"/>
        <w:rPr>
          <w:rFonts w:ascii="Verdana" w:hAnsi="Verdana" w:cs="Times New Roman"/>
          <w:color w:val="000000"/>
          <w:sz w:val="20"/>
          <w:szCs w:val="20"/>
          <w:lang w:val="es-ES" w:eastAsia="es-ES"/>
        </w:rPr>
      </w:pPr>
    </w:p>
    <w:p w14:paraId="5B1D6101" w14:textId="411A9450" w:rsidR="00AC3214" w:rsidRPr="0092295B" w:rsidRDefault="00AC3214" w:rsidP="00CF2D2A">
      <w:pPr>
        <w:pStyle w:val="xxmsonormal"/>
        <w:numPr>
          <w:ilvl w:val="0"/>
          <w:numId w:val="29"/>
        </w:numPr>
        <w:ind w:left="0" w:firstLine="0"/>
        <w:jc w:val="both"/>
        <w:rPr>
          <w:rFonts w:ascii="Verdana" w:hAnsi="Verdana" w:cs="Times New Roman"/>
          <w:color w:val="000000"/>
          <w:sz w:val="20"/>
          <w:szCs w:val="20"/>
          <w:lang w:val="es-ES" w:eastAsia="es-ES"/>
        </w:rPr>
      </w:pPr>
      <w:r w:rsidRPr="0092295B">
        <w:rPr>
          <w:rFonts w:ascii="Verdana" w:hAnsi="Verdana" w:cs="Times New Roman"/>
          <w:color w:val="000000"/>
          <w:sz w:val="20"/>
          <w:szCs w:val="20"/>
          <w:lang w:val="es-ES" w:eastAsia="es-ES"/>
        </w:rPr>
        <w:t xml:space="preserve">Además, el artículo 167 </w:t>
      </w:r>
      <w:r w:rsidR="004B2F01" w:rsidRPr="0092295B">
        <w:rPr>
          <w:rFonts w:ascii="Verdana" w:hAnsi="Verdana" w:cs="Times New Roman"/>
          <w:color w:val="000000"/>
          <w:sz w:val="20"/>
          <w:szCs w:val="20"/>
          <w:lang w:val="es-ES" w:eastAsia="es-ES"/>
        </w:rPr>
        <w:t>del CPPPCN</w:t>
      </w:r>
      <w:r w:rsidR="00C619C9" w:rsidRPr="0092295B">
        <w:rPr>
          <w:rStyle w:val="Refdenotaalpie"/>
          <w:rFonts w:ascii="Verdana" w:hAnsi="Verdana"/>
          <w:color w:val="000000"/>
          <w:sz w:val="20"/>
          <w:lang w:val="es-ES" w:eastAsia="es-ES"/>
        </w:rPr>
        <w:footnoteReference w:id="26"/>
      </w:r>
      <w:r w:rsidR="004B2F01" w:rsidRPr="0092295B">
        <w:rPr>
          <w:rFonts w:ascii="Verdana" w:hAnsi="Verdana" w:cs="Times New Roman"/>
          <w:color w:val="000000"/>
          <w:sz w:val="20"/>
          <w:szCs w:val="20"/>
          <w:lang w:val="es-ES" w:eastAsia="es-ES"/>
        </w:rPr>
        <w:t xml:space="preserve"> </w:t>
      </w:r>
      <w:r w:rsidR="00B02FAA" w:rsidRPr="0092295B">
        <w:rPr>
          <w:rFonts w:ascii="Verdana" w:hAnsi="Verdana" w:cs="Times New Roman"/>
          <w:color w:val="000000"/>
          <w:sz w:val="20"/>
          <w:szCs w:val="20"/>
          <w:lang w:val="es-ES" w:eastAsia="es-ES"/>
        </w:rPr>
        <w:t>establecía</w:t>
      </w:r>
      <w:r w:rsidRPr="0092295B">
        <w:rPr>
          <w:rFonts w:ascii="Verdana" w:hAnsi="Verdana" w:cs="Times New Roman"/>
          <w:color w:val="000000"/>
          <w:sz w:val="20"/>
          <w:szCs w:val="20"/>
          <w:lang w:val="es-ES" w:eastAsia="es-ES"/>
        </w:rPr>
        <w:t xml:space="preserve"> los elementos con los que debe contar un auto motivado:</w:t>
      </w:r>
    </w:p>
    <w:p w14:paraId="111F59AE" w14:textId="77777777" w:rsidR="00AC3214" w:rsidRPr="0092295B" w:rsidRDefault="00AC3214" w:rsidP="00AC3214">
      <w:pPr>
        <w:pStyle w:val="xxmsonormal"/>
        <w:ind w:left="540"/>
        <w:jc w:val="both"/>
        <w:rPr>
          <w:rFonts w:ascii="Verdana" w:hAnsi="Verdana" w:cs="Times New Roman"/>
          <w:color w:val="000000"/>
          <w:sz w:val="20"/>
          <w:szCs w:val="20"/>
          <w:lang w:val="es-ES" w:eastAsia="es-ES"/>
        </w:rPr>
      </w:pPr>
    </w:p>
    <w:p w14:paraId="7AC0146A" w14:textId="77777777" w:rsidR="00AC3214" w:rsidRPr="0092295B" w:rsidRDefault="00AC3214" w:rsidP="00AC3214">
      <w:pPr>
        <w:pStyle w:val="xxmsonormal"/>
        <w:ind w:left="180" w:right="450" w:firstLine="540"/>
        <w:jc w:val="both"/>
        <w:rPr>
          <w:rFonts w:ascii="Verdana" w:hAnsi="Verdana" w:cs="Times New Roman"/>
          <w:color w:val="000000"/>
          <w:sz w:val="16"/>
          <w:szCs w:val="16"/>
          <w:lang w:val="es-ES" w:eastAsia="es-ES"/>
        </w:rPr>
      </w:pPr>
      <w:r w:rsidRPr="0092295B">
        <w:rPr>
          <w:rFonts w:ascii="Verdana" w:hAnsi="Verdana" w:cs="Times New Roman"/>
          <w:color w:val="000000"/>
          <w:sz w:val="16"/>
          <w:szCs w:val="16"/>
          <w:lang w:val="es-ES" w:eastAsia="es-ES"/>
        </w:rPr>
        <w:t xml:space="preserve">1.- La declaración de haber lugar a formación de causa; </w:t>
      </w:r>
    </w:p>
    <w:p w14:paraId="35DC2D28" w14:textId="77777777" w:rsidR="00AC3214" w:rsidRPr="0092295B" w:rsidRDefault="00AC3214" w:rsidP="00AC3214">
      <w:pPr>
        <w:pStyle w:val="xxmsonormal"/>
        <w:ind w:left="180" w:right="450" w:firstLine="540"/>
        <w:jc w:val="both"/>
        <w:rPr>
          <w:rFonts w:ascii="Verdana" w:hAnsi="Verdana" w:cs="Times New Roman"/>
          <w:color w:val="000000"/>
          <w:sz w:val="16"/>
          <w:szCs w:val="16"/>
          <w:lang w:val="es-ES" w:eastAsia="es-ES"/>
        </w:rPr>
      </w:pPr>
      <w:r w:rsidRPr="0092295B">
        <w:rPr>
          <w:rFonts w:ascii="Verdana" w:hAnsi="Verdana" w:cs="Times New Roman"/>
          <w:color w:val="000000"/>
          <w:sz w:val="16"/>
          <w:szCs w:val="16"/>
          <w:lang w:val="es-ES" w:eastAsia="es-ES"/>
        </w:rPr>
        <w:t xml:space="preserve">2.- La designación que se juzga, y la de sus autores, cómplices y encubridores; </w:t>
      </w:r>
    </w:p>
    <w:p w14:paraId="5ABD1ABE" w14:textId="77777777" w:rsidR="00AC3214" w:rsidRPr="0092295B" w:rsidRDefault="00AC3214" w:rsidP="00AC3214">
      <w:pPr>
        <w:pStyle w:val="xxmsonormal"/>
        <w:ind w:left="180" w:right="450" w:firstLine="540"/>
        <w:jc w:val="both"/>
        <w:rPr>
          <w:rFonts w:ascii="Verdana" w:hAnsi="Verdana" w:cs="Times New Roman"/>
          <w:color w:val="000000"/>
          <w:sz w:val="16"/>
          <w:szCs w:val="16"/>
          <w:lang w:val="es-ES" w:eastAsia="es-ES"/>
        </w:rPr>
      </w:pPr>
      <w:r w:rsidRPr="0092295B">
        <w:rPr>
          <w:rFonts w:ascii="Verdana" w:hAnsi="Verdana" w:cs="Times New Roman"/>
          <w:color w:val="000000"/>
          <w:sz w:val="16"/>
          <w:szCs w:val="16"/>
          <w:lang w:val="es-ES" w:eastAsia="es-ES"/>
        </w:rPr>
        <w:t xml:space="preserve">3.- El mandamiento de detención del encausado; </w:t>
      </w:r>
    </w:p>
    <w:p w14:paraId="23B7C23E" w14:textId="77777777" w:rsidR="00AC3214" w:rsidRPr="0092295B" w:rsidRDefault="00AC3214" w:rsidP="00AC3214">
      <w:pPr>
        <w:pStyle w:val="xxmsonormal"/>
        <w:ind w:left="180" w:right="450" w:firstLine="540"/>
        <w:jc w:val="both"/>
        <w:rPr>
          <w:rFonts w:ascii="Verdana" w:hAnsi="Verdana" w:cs="Times New Roman"/>
          <w:color w:val="000000"/>
          <w:sz w:val="16"/>
          <w:szCs w:val="16"/>
          <w:lang w:val="es-ES" w:eastAsia="es-ES"/>
        </w:rPr>
      </w:pPr>
      <w:r w:rsidRPr="0092295B">
        <w:rPr>
          <w:rFonts w:ascii="Verdana" w:hAnsi="Verdana" w:cs="Times New Roman"/>
          <w:color w:val="000000"/>
          <w:sz w:val="16"/>
          <w:szCs w:val="16"/>
          <w:lang w:val="es-ES" w:eastAsia="es-ES"/>
        </w:rPr>
        <w:t xml:space="preserve">4.- La prevención de que el encausado nombre defensor, si lo quisiere; </w:t>
      </w:r>
    </w:p>
    <w:p w14:paraId="5BA3887B" w14:textId="77777777" w:rsidR="00AC3214" w:rsidRPr="0092295B" w:rsidRDefault="00AC3214" w:rsidP="00AC3214">
      <w:pPr>
        <w:pStyle w:val="xxmsonormal"/>
        <w:ind w:left="180" w:right="450" w:firstLine="540"/>
        <w:jc w:val="both"/>
        <w:rPr>
          <w:rFonts w:ascii="Verdana" w:hAnsi="Verdana" w:cs="Times New Roman"/>
          <w:color w:val="000000"/>
          <w:sz w:val="16"/>
          <w:szCs w:val="16"/>
          <w:lang w:val="es-ES" w:eastAsia="es-ES"/>
        </w:rPr>
      </w:pPr>
      <w:r w:rsidRPr="0092295B">
        <w:rPr>
          <w:rFonts w:ascii="Verdana" w:hAnsi="Verdana" w:cs="Times New Roman"/>
          <w:color w:val="000000"/>
          <w:sz w:val="16"/>
          <w:szCs w:val="16"/>
          <w:lang w:val="es-ES" w:eastAsia="es-ES"/>
        </w:rPr>
        <w:t xml:space="preserve">5.- La orden de que se le tome su confesión; </w:t>
      </w:r>
    </w:p>
    <w:p w14:paraId="2BB7CD39" w14:textId="77777777" w:rsidR="00AC3214" w:rsidRPr="0092295B" w:rsidRDefault="00AC3214" w:rsidP="00AC3214">
      <w:pPr>
        <w:pStyle w:val="xxmsonormal"/>
        <w:ind w:left="708" w:right="450" w:firstLine="12"/>
        <w:jc w:val="both"/>
        <w:rPr>
          <w:rFonts w:ascii="Verdana" w:hAnsi="Verdana" w:cs="Times New Roman"/>
          <w:color w:val="000000"/>
          <w:sz w:val="16"/>
          <w:szCs w:val="16"/>
          <w:lang w:val="es-ES" w:eastAsia="es-ES"/>
        </w:rPr>
      </w:pPr>
      <w:r w:rsidRPr="0092295B">
        <w:rPr>
          <w:rFonts w:ascii="Verdana" w:hAnsi="Verdana" w:cs="Times New Roman"/>
          <w:color w:val="000000"/>
          <w:sz w:val="16"/>
          <w:szCs w:val="16"/>
          <w:lang w:val="es-ES" w:eastAsia="es-ES"/>
        </w:rPr>
        <w:t xml:space="preserve">6.- La orden de que se embarguen bienes equivalentes que pertenezcan al acusado, siempre que haya de resultar responsabilidad pecuniaria; y </w:t>
      </w:r>
    </w:p>
    <w:p w14:paraId="4548C4D2" w14:textId="77777777" w:rsidR="00AC3214" w:rsidRPr="0092295B" w:rsidRDefault="00AC3214" w:rsidP="00AC3214">
      <w:pPr>
        <w:pStyle w:val="xxmsonormal"/>
        <w:ind w:left="708" w:right="450" w:firstLine="12"/>
        <w:jc w:val="both"/>
        <w:rPr>
          <w:rFonts w:ascii="Verdana" w:hAnsi="Verdana" w:cs="Times New Roman"/>
          <w:color w:val="000000"/>
          <w:sz w:val="16"/>
          <w:szCs w:val="16"/>
          <w:lang w:val="es-ES" w:eastAsia="es-ES"/>
        </w:rPr>
      </w:pPr>
      <w:r w:rsidRPr="0092295B">
        <w:rPr>
          <w:rFonts w:ascii="Verdana" w:hAnsi="Verdana" w:cs="Times New Roman"/>
          <w:color w:val="000000"/>
          <w:sz w:val="16"/>
          <w:szCs w:val="16"/>
          <w:lang w:val="es-ES" w:eastAsia="es-ES"/>
        </w:rPr>
        <w:t xml:space="preserve">7.- La orden de que se envíe copia del auto motivado al jefe del cuerpo en cuyo edificio debe estar detenido el enjuiciado y al jefe del distrito respectivo. </w:t>
      </w:r>
    </w:p>
    <w:p w14:paraId="13B38036" w14:textId="77777777" w:rsidR="00AC3214" w:rsidRPr="0092295B" w:rsidRDefault="00AC3214" w:rsidP="00AC3214">
      <w:pPr>
        <w:pStyle w:val="xxmsonormal"/>
        <w:ind w:left="540"/>
        <w:jc w:val="both"/>
        <w:rPr>
          <w:rFonts w:ascii="Verdana" w:hAnsi="Verdana" w:cs="Times New Roman"/>
          <w:color w:val="000000"/>
          <w:sz w:val="20"/>
          <w:szCs w:val="20"/>
          <w:lang w:val="es-ES" w:eastAsia="es-ES"/>
        </w:rPr>
      </w:pPr>
    </w:p>
    <w:p w14:paraId="684A5BE0" w14:textId="49C36075" w:rsidR="00AC3214" w:rsidRPr="0092295B" w:rsidRDefault="00AC3214" w:rsidP="00CF2D2A">
      <w:pPr>
        <w:pStyle w:val="xxmsonormal"/>
        <w:numPr>
          <w:ilvl w:val="0"/>
          <w:numId w:val="29"/>
        </w:numPr>
        <w:ind w:left="0" w:firstLine="0"/>
        <w:jc w:val="both"/>
        <w:rPr>
          <w:rFonts w:ascii="Verdana" w:hAnsi="Verdana" w:cs="Times New Roman"/>
          <w:color w:val="000000"/>
          <w:sz w:val="20"/>
          <w:szCs w:val="20"/>
          <w:lang w:val="es-ES" w:eastAsia="es-ES"/>
        </w:rPr>
      </w:pPr>
      <w:r w:rsidRPr="0092295B">
        <w:rPr>
          <w:rFonts w:ascii="Verdana" w:hAnsi="Verdana" w:cs="Times New Roman"/>
          <w:color w:val="000000"/>
          <w:sz w:val="20"/>
          <w:szCs w:val="20"/>
          <w:lang w:val="es-ES" w:eastAsia="es-ES"/>
        </w:rPr>
        <w:t>En el Código Penal de la Po</w:t>
      </w:r>
      <w:r w:rsidR="00B02FAA" w:rsidRPr="0092295B">
        <w:rPr>
          <w:rFonts w:ascii="Verdana" w:hAnsi="Verdana" w:cs="Times New Roman"/>
          <w:color w:val="000000"/>
          <w:sz w:val="20"/>
          <w:szCs w:val="20"/>
          <w:lang w:val="es-ES" w:eastAsia="es-ES"/>
        </w:rPr>
        <w:t>licía Civil Nacional, se regulaban</w:t>
      </w:r>
      <w:r w:rsidRPr="0092295B">
        <w:rPr>
          <w:rFonts w:ascii="Verdana" w:hAnsi="Verdana" w:cs="Times New Roman"/>
          <w:color w:val="000000"/>
          <w:sz w:val="20"/>
          <w:szCs w:val="20"/>
          <w:lang w:val="es-ES" w:eastAsia="es-ES"/>
        </w:rPr>
        <w:t xml:space="preserve"> los delitos contra la fe policial en los artículos 197 y 198</w:t>
      </w:r>
      <w:r w:rsidR="00571025">
        <w:rPr>
          <w:rFonts w:ascii="Verdana" w:hAnsi="Verdana" w:cs="Times New Roman"/>
          <w:color w:val="000000"/>
          <w:sz w:val="20"/>
          <w:szCs w:val="20"/>
          <w:lang w:val="es-ES" w:eastAsia="es-ES"/>
        </w:rPr>
        <w:t>,</w:t>
      </w:r>
      <w:r w:rsidRPr="0092295B">
        <w:rPr>
          <w:rFonts w:ascii="Verdana" w:hAnsi="Verdana" w:cs="Times New Roman"/>
          <w:color w:val="000000"/>
          <w:sz w:val="20"/>
          <w:szCs w:val="20"/>
          <w:lang w:val="es-ES" w:eastAsia="es-ES"/>
        </w:rPr>
        <w:t xml:space="preserve"> y la malversación de fondos en el artículo 222</w:t>
      </w:r>
      <w:r w:rsidR="00C619C9" w:rsidRPr="0092295B">
        <w:rPr>
          <w:rStyle w:val="Refdenotaalpie"/>
          <w:rFonts w:ascii="Verdana" w:hAnsi="Verdana"/>
          <w:color w:val="000000"/>
          <w:sz w:val="20"/>
          <w:lang w:val="es-ES" w:eastAsia="es-ES"/>
        </w:rPr>
        <w:footnoteReference w:id="27"/>
      </w:r>
      <w:r w:rsidR="00A030E1">
        <w:rPr>
          <w:rFonts w:ascii="Verdana" w:hAnsi="Verdana" w:cs="Times New Roman"/>
          <w:color w:val="000000"/>
          <w:sz w:val="20"/>
          <w:szCs w:val="20"/>
          <w:lang w:val="es-ES" w:eastAsia="es-ES"/>
        </w:rPr>
        <w:t>, en los siguientes términos</w:t>
      </w:r>
      <w:r w:rsidRPr="0092295B">
        <w:rPr>
          <w:rFonts w:ascii="Verdana" w:hAnsi="Verdana" w:cs="Times New Roman"/>
          <w:color w:val="000000"/>
          <w:sz w:val="20"/>
          <w:szCs w:val="20"/>
          <w:lang w:val="es-ES" w:eastAsia="es-ES"/>
        </w:rPr>
        <w:t>:</w:t>
      </w:r>
    </w:p>
    <w:p w14:paraId="07B38C6D" w14:textId="77777777" w:rsidR="00AC3214" w:rsidRPr="0092295B" w:rsidRDefault="00AC3214" w:rsidP="00AC3214">
      <w:pPr>
        <w:pStyle w:val="xxmsonormal"/>
        <w:ind w:left="540"/>
        <w:jc w:val="both"/>
        <w:rPr>
          <w:rFonts w:ascii="Verdana" w:hAnsi="Verdana" w:cs="Times New Roman"/>
          <w:color w:val="000000"/>
          <w:sz w:val="20"/>
          <w:szCs w:val="20"/>
          <w:lang w:val="es-ES" w:eastAsia="es-ES"/>
        </w:rPr>
      </w:pPr>
    </w:p>
    <w:p w14:paraId="0E1EE23B" w14:textId="4D0D281E" w:rsidR="00AC3214" w:rsidRPr="0092295B" w:rsidRDefault="00AC3214" w:rsidP="00AC3214">
      <w:pPr>
        <w:pStyle w:val="xxmsonormal"/>
        <w:ind w:left="720" w:right="450"/>
        <w:jc w:val="both"/>
        <w:rPr>
          <w:rFonts w:ascii="Verdana" w:hAnsi="Verdana" w:cs="Times New Roman"/>
          <w:color w:val="000000"/>
          <w:sz w:val="16"/>
          <w:szCs w:val="16"/>
          <w:lang w:val="es-ES" w:eastAsia="es-ES"/>
        </w:rPr>
      </w:pPr>
      <w:r w:rsidRPr="0092295B">
        <w:rPr>
          <w:rFonts w:ascii="Verdana" w:hAnsi="Verdana" w:cs="Times New Roman"/>
          <w:color w:val="000000"/>
          <w:sz w:val="16"/>
          <w:szCs w:val="16"/>
          <w:lang w:val="es-ES" w:eastAsia="es-ES"/>
        </w:rPr>
        <w:t xml:space="preserve">Artículo 197.- Serán reprimidos con reclusión menor ordinaria de seis a nueve años los que cometieren falsedad en documentos relativos al servicio, como estados, vales, partes, relaciones, despachos, actuaciones, letras de retiro, </w:t>
      </w:r>
      <w:r w:rsidR="007A56A1">
        <w:rPr>
          <w:rFonts w:ascii="Verdana" w:hAnsi="Verdana" w:cs="Times New Roman"/>
          <w:color w:val="000000"/>
          <w:sz w:val="16"/>
          <w:szCs w:val="16"/>
          <w:lang w:val="es-ES" w:eastAsia="es-ES"/>
        </w:rPr>
        <w:t xml:space="preserve">invalidez o </w:t>
      </w:r>
      <w:r w:rsidRPr="0092295B">
        <w:rPr>
          <w:rFonts w:ascii="Verdana" w:hAnsi="Verdana" w:cs="Times New Roman"/>
          <w:color w:val="000000"/>
          <w:sz w:val="16"/>
          <w:szCs w:val="16"/>
          <w:lang w:val="es-ES" w:eastAsia="es-ES"/>
        </w:rPr>
        <w:t xml:space="preserve">montepío, libros, registros, altas, bajas, pasaportes, o cualquier otro documento referente a la administración o al ejercicio de funciones o de cargos de la Institución. </w:t>
      </w:r>
      <w:r w:rsidRPr="0092295B">
        <w:rPr>
          <w:rFonts w:ascii="Verdana" w:hAnsi="Verdana" w:cs="Times New Roman"/>
          <w:color w:val="000000"/>
          <w:sz w:val="16"/>
          <w:szCs w:val="16"/>
          <w:lang w:val="es-ES" w:eastAsia="es-ES"/>
        </w:rPr>
        <w:br/>
        <w:t>La falsedad puede consistir en la imitación, supresión, aumento, intercalación o alteración de letras, firmas o rúbricas, o números del texto de cualquier documento; en forjarlo integralmente; o en la suposición o supresión de personas, cláusulas, obligaciones, descargos, convenciones, declaraciones, actos o acuerdos, en el número, cantidad o calidad, en las fechas o días; o en la imitación, o falsificación o uso indebido de sellos, timbres, marcas, punzones, planchas o clisés.</w:t>
      </w:r>
    </w:p>
    <w:p w14:paraId="51D9A07D" w14:textId="5F323548" w:rsidR="00AC3214" w:rsidRPr="0092295B" w:rsidRDefault="00AC3214" w:rsidP="00AC3214">
      <w:pPr>
        <w:pStyle w:val="xxmsonormal"/>
        <w:ind w:left="720" w:right="450"/>
        <w:jc w:val="both"/>
        <w:rPr>
          <w:rFonts w:ascii="Verdana" w:hAnsi="Verdana" w:cs="Times New Roman"/>
          <w:color w:val="000000"/>
          <w:sz w:val="16"/>
          <w:szCs w:val="16"/>
          <w:lang w:val="es-ES" w:eastAsia="es-ES"/>
        </w:rPr>
      </w:pPr>
      <w:r w:rsidRPr="0092295B">
        <w:rPr>
          <w:rFonts w:ascii="Verdana" w:hAnsi="Verdana" w:cs="Times New Roman"/>
          <w:color w:val="000000"/>
          <w:sz w:val="16"/>
          <w:szCs w:val="16"/>
          <w:lang w:val="es-ES" w:eastAsia="es-ES"/>
        </w:rPr>
        <w:t xml:space="preserve">Si la falsedad se cometiere en documentos de grande importancia y causaren muy graves perjuicios al Estado, a la Institución o a las personas, la pena será de ocho a doce años de reclusión </w:t>
      </w:r>
      <w:r w:rsidR="007A56A1">
        <w:rPr>
          <w:rFonts w:ascii="Verdana" w:hAnsi="Verdana" w:cs="Times New Roman"/>
          <w:color w:val="000000"/>
          <w:sz w:val="16"/>
          <w:szCs w:val="16"/>
          <w:lang w:val="es-ES" w:eastAsia="es-ES"/>
        </w:rPr>
        <w:t xml:space="preserve">mayor </w:t>
      </w:r>
      <w:r w:rsidRPr="0092295B">
        <w:rPr>
          <w:rFonts w:ascii="Verdana" w:hAnsi="Verdana" w:cs="Times New Roman"/>
          <w:color w:val="000000"/>
          <w:sz w:val="16"/>
          <w:szCs w:val="16"/>
          <w:lang w:val="es-ES" w:eastAsia="es-ES"/>
        </w:rPr>
        <w:t xml:space="preserve">ordinaria. </w:t>
      </w:r>
    </w:p>
    <w:p w14:paraId="24EEB7F3" w14:textId="77777777" w:rsidR="00AC3214" w:rsidRPr="0092295B" w:rsidRDefault="00AC3214" w:rsidP="00AC3214">
      <w:pPr>
        <w:pStyle w:val="xxmsonormal"/>
        <w:ind w:left="720" w:right="450"/>
        <w:jc w:val="both"/>
        <w:rPr>
          <w:rFonts w:ascii="Verdana" w:hAnsi="Verdana" w:cs="Times New Roman"/>
          <w:color w:val="000000"/>
          <w:sz w:val="16"/>
          <w:szCs w:val="16"/>
          <w:lang w:val="es-ES" w:eastAsia="es-ES"/>
        </w:rPr>
      </w:pPr>
      <w:r w:rsidRPr="0092295B">
        <w:rPr>
          <w:rFonts w:ascii="Verdana" w:hAnsi="Verdana" w:cs="Times New Roman"/>
          <w:color w:val="000000"/>
          <w:sz w:val="16"/>
          <w:szCs w:val="16"/>
          <w:lang w:val="es-ES" w:eastAsia="es-ES"/>
        </w:rPr>
        <w:t xml:space="preserve">Si la falsedad se perpetrare en asuntos de poco valor o significación, la pena será de dos a cinco años de prisión. </w:t>
      </w:r>
    </w:p>
    <w:p w14:paraId="7513A543" w14:textId="77777777" w:rsidR="00AC3214" w:rsidRPr="0092295B" w:rsidRDefault="00AC3214" w:rsidP="00AC3214">
      <w:pPr>
        <w:pStyle w:val="xxmsonormal"/>
        <w:ind w:left="720" w:right="450"/>
        <w:jc w:val="both"/>
        <w:rPr>
          <w:rFonts w:ascii="Verdana" w:hAnsi="Verdana" w:cs="Times New Roman"/>
          <w:color w:val="000000"/>
          <w:sz w:val="16"/>
          <w:szCs w:val="16"/>
          <w:lang w:val="es-ES" w:eastAsia="es-ES"/>
        </w:rPr>
      </w:pPr>
    </w:p>
    <w:p w14:paraId="0DB80031" w14:textId="77777777" w:rsidR="00AC3214" w:rsidRPr="0092295B" w:rsidRDefault="00AC3214" w:rsidP="00AC3214">
      <w:pPr>
        <w:pStyle w:val="xxmsonormal"/>
        <w:ind w:left="720" w:right="450"/>
        <w:jc w:val="both"/>
        <w:rPr>
          <w:rFonts w:ascii="Verdana" w:hAnsi="Verdana" w:cs="Times New Roman"/>
          <w:color w:val="000000"/>
          <w:sz w:val="16"/>
          <w:szCs w:val="16"/>
          <w:lang w:val="es-ES" w:eastAsia="es-ES"/>
        </w:rPr>
      </w:pPr>
      <w:r w:rsidRPr="0092295B">
        <w:rPr>
          <w:rFonts w:ascii="Verdana" w:hAnsi="Verdana" w:cs="Times New Roman"/>
          <w:color w:val="000000"/>
          <w:sz w:val="16"/>
          <w:szCs w:val="16"/>
          <w:lang w:val="es-ES" w:eastAsia="es-ES"/>
        </w:rPr>
        <w:t xml:space="preserve">Artículo 198.- Serán reprimidos con las mismas penas los que, a sabiendas, hicieren uso de cualquier documento falso. </w:t>
      </w:r>
    </w:p>
    <w:p w14:paraId="66EC0D39" w14:textId="77777777" w:rsidR="00AC3214" w:rsidRPr="0092295B" w:rsidRDefault="00AC3214" w:rsidP="00AC3214">
      <w:pPr>
        <w:pStyle w:val="xxmsonormal"/>
        <w:ind w:left="540"/>
        <w:jc w:val="both"/>
        <w:rPr>
          <w:rFonts w:ascii="Verdana" w:hAnsi="Verdana" w:cs="Times New Roman"/>
          <w:color w:val="000000"/>
          <w:sz w:val="20"/>
          <w:szCs w:val="20"/>
          <w:lang w:val="es-ES" w:eastAsia="es-ES"/>
        </w:rPr>
      </w:pPr>
    </w:p>
    <w:p w14:paraId="08C4311B" w14:textId="0C812C67" w:rsidR="00AC3214" w:rsidRPr="0092295B" w:rsidRDefault="00AC3214" w:rsidP="00AC3214">
      <w:pPr>
        <w:pStyle w:val="xxmsonormal"/>
        <w:ind w:left="720" w:right="450"/>
        <w:jc w:val="both"/>
        <w:rPr>
          <w:rFonts w:ascii="Verdana" w:hAnsi="Verdana" w:cs="Times New Roman"/>
          <w:color w:val="000000"/>
          <w:sz w:val="16"/>
          <w:szCs w:val="16"/>
          <w:lang w:val="es-ES_tradnl" w:eastAsia="es-ES"/>
        </w:rPr>
      </w:pPr>
      <w:r w:rsidRPr="0092295B">
        <w:rPr>
          <w:rFonts w:ascii="Verdana" w:hAnsi="Verdana" w:cs="Times New Roman"/>
          <w:color w:val="000000"/>
          <w:sz w:val="16"/>
          <w:szCs w:val="16"/>
          <w:lang w:val="es-ES" w:eastAsia="es-ES"/>
        </w:rPr>
        <w:t xml:space="preserve">Artículo 222.- </w:t>
      </w:r>
      <w:r w:rsidRPr="0092295B">
        <w:rPr>
          <w:rFonts w:ascii="Verdana" w:hAnsi="Verdana" w:cs="Times New Roman"/>
          <w:color w:val="000000"/>
          <w:sz w:val="16"/>
          <w:szCs w:val="16"/>
          <w:lang w:val="es-ES_tradnl" w:eastAsia="es-ES"/>
        </w:rPr>
        <w:t>Serán reprimidos con tres a seis años de reclusión menor ordinaria los que, con el fin de favorecer a otras personas o por utilidad propia, perpetraren cual</w:t>
      </w:r>
      <w:r w:rsidR="003918DC">
        <w:rPr>
          <w:rFonts w:ascii="Verdana" w:hAnsi="Verdana" w:cs="Times New Roman"/>
          <w:color w:val="000000"/>
          <w:sz w:val="16"/>
          <w:szCs w:val="16"/>
          <w:lang w:val="es-ES_tradnl" w:eastAsia="es-ES"/>
        </w:rPr>
        <w:t>es</w:t>
      </w:r>
      <w:r w:rsidRPr="0092295B">
        <w:rPr>
          <w:rFonts w:ascii="Verdana" w:hAnsi="Verdana" w:cs="Times New Roman"/>
          <w:color w:val="000000"/>
          <w:sz w:val="16"/>
          <w:szCs w:val="16"/>
          <w:lang w:val="es-ES_tradnl" w:eastAsia="es-ES"/>
        </w:rPr>
        <w:t xml:space="preserve">quiera de los hechos siguientes: […] </w:t>
      </w:r>
    </w:p>
    <w:p w14:paraId="699C93C6" w14:textId="77777777" w:rsidR="00AC3214" w:rsidRPr="0092295B" w:rsidRDefault="00AC3214" w:rsidP="00AC3214">
      <w:pPr>
        <w:pStyle w:val="xxmsonormal"/>
        <w:ind w:left="720" w:right="450"/>
        <w:jc w:val="both"/>
        <w:rPr>
          <w:rFonts w:ascii="Verdana" w:hAnsi="Verdana" w:cs="Times New Roman"/>
          <w:color w:val="000000"/>
          <w:sz w:val="16"/>
          <w:szCs w:val="16"/>
          <w:lang w:val="es-ES_tradnl" w:eastAsia="es-ES"/>
        </w:rPr>
      </w:pPr>
      <w:r w:rsidRPr="0092295B">
        <w:rPr>
          <w:rFonts w:ascii="Verdana" w:hAnsi="Verdana" w:cs="Times New Roman"/>
          <w:color w:val="000000"/>
          <w:sz w:val="16"/>
          <w:szCs w:val="16"/>
          <w:lang w:val="es-ES_tradnl" w:eastAsia="es-ES"/>
        </w:rPr>
        <w:t xml:space="preserve">3. Los que, en la compra-venta o arrendamiento de bienes raíces o muebles de la Institución, o para ésta, obtuvieren algún provecho propio o de terceros; </w:t>
      </w:r>
    </w:p>
    <w:p w14:paraId="36DE1142" w14:textId="77777777" w:rsidR="00AC3214" w:rsidRPr="0092295B" w:rsidRDefault="00AC3214" w:rsidP="00AC3214">
      <w:pPr>
        <w:pStyle w:val="xxmsonormal"/>
        <w:ind w:left="720" w:right="450"/>
        <w:jc w:val="both"/>
        <w:rPr>
          <w:rFonts w:ascii="Verdana" w:hAnsi="Verdana" w:cs="Times New Roman"/>
          <w:color w:val="000000"/>
          <w:sz w:val="16"/>
          <w:szCs w:val="16"/>
          <w:lang w:val="es-ES_tradnl" w:eastAsia="es-ES"/>
        </w:rPr>
      </w:pPr>
      <w:r w:rsidRPr="0092295B">
        <w:rPr>
          <w:rFonts w:ascii="Verdana" w:hAnsi="Verdana" w:cs="Times New Roman"/>
          <w:color w:val="000000"/>
          <w:sz w:val="16"/>
          <w:szCs w:val="16"/>
          <w:lang w:val="es-ES_tradnl" w:eastAsia="es-ES"/>
        </w:rPr>
        <w:t xml:space="preserve">4. Los que en cualquier contrato correspondiente a la Institución alteraren su verdadero precio, peso, cantidad o calidad; […] </w:t>
      </w:r>
    </w:p>
    <w:p w14:paraId="0048F443" w14:textId="1E1E5B76" w:rsidR="00AC3214" w:rsidRPr="0092295B" w:rsidRDefault="00AC3214" w:rsidP="00AC3214">
      <w:pPr>
        <w:pStyle w:val="xxmsonormal"/>
        <w:ind w:left="720" w:right="450"/>
        <w:jc w:val="both"/>
        <w:rPr>
          <w:rFonts w:ascii="Verdana" w:hAnsi="Verdana" w:cs="Times New Roman"/>
          <w:color w:val="000000"/>
          <w:sz w:val="16"/>
          <w:szCs w:val="16"/>
          <w:lang w:val="es-ES" w:eastAsia="es-ES"/>
        </w:rPr>
      </w:pPr>
      <w:r w:rsidRPr="0092295B">
        <w:rPr>
          <w:rFonts w:ascii="Verdana" w:hAnsi="Verdana" w:cs="Times New Roman"/>
          <w:color w:val="000000"/>
          <w:sz w:val="16"/>
          <w:szCs w:val="16"/>
          <w:lang w:val="es-ES_tradnl" w:eastAsia="es-ES"/>
        </w:rPr>
        <w:t>10. Los que celebrar</w:t>
      </w:r>
      <w:r w:rsidR="003463B9">
        <w:rPr>
          <w:rFonts w:ascii="Verdana" w:hAnsi="Verdana" w:cs="Times New Roman"/>
          <w:color w:val="000000"/>
          <w:sz w:val="16"/>
          <w:szCs w:val="16"/>
          <w:lang w:val="es-ES_tradnl" w:eastAsia="es-ES"/>
        </w:rPr>
        <w:t>e</w:t>
      </w:r>
      <w:r w:rsidRPr="0092295B">
        <w:rPr>
          <w:rFonts w:ascii="Verdana" w:hAnsi="Verdana" w:cs="Times New Roman"/>
          <w:color w:val="000000"/>
          <w:sz w:val="16"/>
          <w:szCs w:val="16"/>
          <w:lang w:val="es-ES_tradnl" w:eastAsia="es-ES"/>
        </w:rPr>
        <w:t>n contratos a nombre de la Institución, prescindiendo de</w:t>
      </w:r>
      <w:r w:rsidR="00B02FAA" w:rsidRPr="0092295B">
        <w:rPr>
          <w:rFonts w:ascii="Verdana" w:hAnsi="Verdana" w:cs="Times New Roman"/>
          <w:color w:val="000000"/>
          <w:sz w:val="16"/>
          <w:szCs w:val="16"/>
          <w:lang w:val="es-ES_tradnl" w:eastAsia="es-ES"/>
        </w:rPr>
        <w:t xml:space="preserve"> </w:t>
      </w:r>
      <w:r w:rsidRPr="0092295B">
        <w:rPr>
          <w:rFonts w:ascii="Verdana" w:hAnsi="Verdana" w:cs="Times New Roman"/>
          <w:color w:val="000000"/>
          <w:sz w:val="16"/>
          <w:szCs w:val="16"/>
          <w:lang w:val="es-ES_tradnl" w:eastAsia="es-ES"/>
        </w:rPr>
        <w:t>la licitación</w:t>
      </w:r>
      <w:r w:rsidR="003463B9">
        <w:rPr>
          <w:rFonts w:ascii="Verdana" w:hAnsi="Verdana" w:cs="Times New Roman"/>
          <w:color w:val="000000"/>
          <w:sz w:val="16"/>
          <w:szCs w:val="16"/>
          <w:lang w:val="es-ES_tradnl" w:eastAsia="es-ES"/>
        </w:rPr>
        <w:t>,</w:t>
      </w:r>
      <w:r w:rsidRPr="0092295B">
        <w:rPr>
          <w:rFonts w:ascii="Verdana" w:hAnsi="Verdana" w:cs="Times New Roman"/>
          <w:color w:val="000000"/>
          <w:sz w:val="16"/>
          <w:szCs w:val="16"/>
          <w:lang w:val="es-ES_tradnl" w:eastAsia="es-ES"/>
        </w:rPr>
        <w:t xml:space="preserve"> cuando la Ley exigiere este requisito […].</w:t>
      </w:r>
    </w:p>
    <w:p w14:paraId="09CF554E" w14:textId="77777777" w:rsidR="00AC3214" w:rsidRPr="0092295B" w:rsidRDefault="00AC3214" w:rsidP="00AC3214">
      <w:pPr>
        <w:pStyle w:val="xxmsonormal"/>
        <w:ind w:left="540"/>
        <w:jc w:val="both"/>
        <w:rPr>
          <w:rFonts w:ascii="Verdana" w:hAnsi="Verdana" w:cs="Times New Roman"/>
          <w:color w:val="000000"/>
          <w:sz w:val="20"/>
          <w:szCs w:val="20"/>
          <w:lang w:val="es-ES" w:eastAsia="es-ES"/>
        </w:rPr>
      </w:pPr>
    </w:p>
    <w:p w14:paraId="72085632" w14:textId="0B4110C6" w:rsidR="00AC3214" w:rsidRPr="0092295B" w:rsidRDefault="00AC3214" w:rsidP="00CF2D2A">
      <w:pPr>
        <w:pStyle w:val="xxmsonormal"/>
        <w:numPr>
          <w:ilvl w:val="0"/>
          <w:numId w:val="29"/>
        </w:numPr>
        <w:ind w:left="0" w:firstLine="0"/>
        <w:jc w:val="both"/>
        <w:rPr>
          <w:rFonts w:ascii="Verdana" w:hAnsi="Verdana"/>
          <w:color w:val="000000"/>
          <w:sz w:val="20"/>
          <w:szCs w:val="20"/>
        </w:rPr>
      </w:pPr>
      <w:r w:rsidRPr="0092295B">
        <w:rPr>
          <w:rFonts w:ascii="Verdana" w:hAnsi="Verdana" w:cs="Times New Roman"/>
          <w:color w:val="000000"/>
          <w:sz w:val="20"/>
          <w:szCs w:val="20"/>
          <w:lang w:val="es-ES" w:eastAsia="es-ES"/>
        </w:rPr>
        <w:t xml:space="preserve">Por </w:t>
      </w:r>
      <w:r w:rsidRPr="00C12CF7">
        <w:rPr>
          <w:rFonts w:ascii="Verdana" w:hAnsi="Verdana" w:cs="Times New Roman"/>
          <w:color w:val="000000"/>
          <w:sz w:val="20"/>
          <w:szCs w:val="20"/>
          <w:lang w:val="es-ES" w:eastAsia="es-ES"/>
        </w:rPr>
        <w:t xml:space="preserve">otra parte, </w:t>
      </w:r>
      <w:r w:rsidR="001461B8" w:rsidRPr="00C12CF7">
        <w:rPr>
          <w:rFonts w:ascii="Verdana" w:hAnsi="Verdana"/>
          <w:sz w:val="20"/>
          <w:szCs w:val="20"/>
        </w:rPr>
        <w:t xml:space="preserve">en el año 2003 se modificó el Código Procedimiento Penal </w:t>
      </w:r>
      <w:r w:rsidR="00C12CF7">
        <w:rPr>
          <w:rFonts w:ascii="Verdana" w:hAnsi="Verdana"/>
          <w:sz w:val="20"/>
          <w:szCs w:val="20"/>
        </w:rPr>
        <w:t>(en adelante también “CPP”)</w:t>
      </w:r>
      <w:r w:rsidR="001461B8" w:rsidRPr="00C12CF7">
        <w:rPr>
          <w:rFonts w:ascii="Verdana" w:hAnsi="Verdana"/>
          <w:sz w:val="20"/>
          <w:szCs w:val="20"/>
        </w:rPr>
        <w:t xml:space="preserve">, a través de la </w:t>
      </w:r>
      <w:r w:rsidRPr="00C12CF7">
        <w:rPr>
          <w:rFonts w:ascii="Verdana" w:hAnsi="Verdana" w:cs="Times New Roman"/>
          <w:color w:val="000000"/>
          <w:sz w:val="20"/>
          <w:szCs w:val="20"/>
          <w:lang w:val="es-ES" w:eastAsia="es-ES"/>
        </w:rPr>
        <w:t>Ley Reformatoria al Código de Procedimiento Penal,</w:t>
      </w:r>
      <w:r w:rsidR="001461B8" w:rsidRPr="00C12CF7">
        <w:rPr>
          <w:rFonts w:ascii="Verdana" w:hAnsi="Verdana" w:cs="Times New Roman"/>
          <w:color w:val="000000"/>
          <w:sz w:val="20"/>
          <w:szCs w:val="20"/>
          <w:lang w:val="es-ES" w:eastAsia="es-ES"/>
        </w:rPr>
        <w:t xml:space="preserve"> </w:t>
      </w:r>
      <w:r w:rsidR="001461B8" w:rsidRPr="00C12CF7">
        <w:rPr>
          <w:rFonts w:ascii="Verdana" w:hAnsi="Verdana"/>
          <w:sz w:val="20"/>
          <w:szCs w:val="20"/>
        </w:rPr>
        <w:t xml:space="preserve">Ley 2003-101, </w:t>
      </w:r>
      <w:r w:rsidR="001241D7">
        <w:rPr>
          <w:rFonts w:ascii="Verdana" w:hAnsi="Verdana"/>
          <w:sz w:val="20"/>
          <w:szCs w:val="20"/>
        </w:rPr>
        <w:t xml:space="preserve">que </w:t>
      </w:r>
      <w:r w:rsidRPr="00C12CF7">
        <w:rPr>
          <w:rFonts w:ascii="Verdana" w:hAnsi="Verdana" w:cs="Times New Roman"/>
          <w:color w:val="000000"/>
          <w:sz w:val="20"/>
          <w:szCs w:val="20"/>
          <w:lang w:val="es-ES" w:eastAsia="es-ES"/>
        </w:rPr>
        <w:t xml:space="preserve">en su artículo 10, </w:t>
      </w:r>
      <w:r w:rsidR="00DD042E" w:rsidRPr="00C12CF7">
        <w:rPr>
          <w:rFonts w:ascii="Verdana" w:hAnsi="Verdana"/>
          <w:color w:val="000000"/>
          <w:sz w:val="20"/>
          <w:szCs w:val="20"/>
        </w:rPr>
        <w:t>reformó</w:t>
      </w:r>
      <w:r w:rsidRPr="00C12CF7">
        <w:rPr>
          <w:rFonts w:ascii="Verdana" w:hAnsi="Verdana"/>
          <w:color w:val="000000"/>
          <w:sz w:val="20"/>
          <w:szCs w:val="20"/>
        </w:rPr>
        <w:t xml:space="preserve"> el artículo 160</w:t>
      </w:r>
      <w:r w:rsidR="00EC6673" w:rsidRPr="00C12CF7">
        <w:rPr>
          <w:rFonts w:ascii="Verdana" w:hAnsi="Verdana"/>
          <w:color w:val="000000"/>
          <w:sz w:val="20"/>
          <w:szCs w:val="20"/>
        </w:rPr>
        <w:t xml:space="preserve"> del </w:t>
      </w:r>
      <w:r w:rsidR="00EC6673" w:rsidRPr="00C12CF7">
        <w:rPr>
          <w:rFonts w:ascii="Verdana" w:hAnsi="Verdana" w:cs="Times New Roman"/>
          <w:color w:val="000000"/>
          <w:sz w:val="20"/>
          <w:szCs w:val="20"/>
          <w:lang w:val="es-ES" w:eastAsia="es-ES"/>
        </w:rPr>
        <w:t>CPP común</w:t>
      </w:r>
      <w:r w:rsidR="0095781D" w:rsidRPr="00C12CF7">
        <w:rPr>
          <w:rStyle w:val="Refdenotaalpie"/>
          <w:rFonts w:ascii="Verdana" w:hAnsi="Verdana"/>
          <w:color w:val="000000"/>
          <w:sz w:val="20"/>
          <w:lang w:val="es-ES" w:eastAsia="es-ES"/>
        </w:rPr>
        <w:footnoteReference w:id="28"/>
      </w:r>
      <w:r w:rsidR="00BD4357">
        <w:rPr>
          <w:rFonts w:ascii="Verdana" w:hAnsi="Verdana" w:cs="Times New Roman"/>
          <w:color w:val="000000"/>
          <w:sz w:val="20"/>
          <w:szCs w:val="20"/>
          <w:lang w:val="es-ES" w:eastAsia="es-ES"/>
        </w:rPr>
        <w:t>,</w:t>
      </w:r>
      <w:r w:rsidR="00EC6673" w:rsidRPr="00C12CF7">
        <w:rPr>
          <w:rFonts w:ascii="Verdana" w:hAnsi="Verdana"/>
          <w:color w:val="000000"/>
          <w:sz w:val="20"/>
          <w:szCs w:val="20"/>
        </w:rPr>
        <w:t xml:space="preserve"> </w:t>
      </w:r>
      <w:r w:rsidRPr="00C12CF7">
        <w:rPr>
          <w:rFonts w:ascii="Verdana" w:hAnsi="Verdana"/>
          <w:color w:val="000000"/>
          <w:sz w:val="20"/>
          <w:szCs w:val="20"/>
        </w:rPr>
        <w:t>cuya redacción deb</w:t>
      </w:r>
      <w:r w:rsidR="00C12CF7">
        <w:rPr>
          <w:rFonts w:ascii="Verdana" w:hAnsi="Verdana"/>
          <w:color w:val="000000"/>
          <w:sz w:val="20"/>
          <w:szCs w:val="20"/>
        </w:rPr>
        <w:t>[ía]</w:t>
      </w:r>
      <w:r w:rsidRPr="00C12CF7">
        <w:rPr>
          <w:rFonts w:ascii="Verdana" w:hAnsi="Verdana"/>
          <w:color w:val="000000"/>
          <w:sz w:val="20"/>
          <w:szCs w:val="20"/>
        </w:rPr>
        <w:t xml:space="preserve"> decir:</w:t>
      </w:r>
    </w:p>
    <w:p w14:paraId="44DFA19C" w14:textId="77777777" w:rsidR="00AC3214" w:rsidRPr="0092295B" w:rsidRDefault="00AC3214" w:rsidP="00AC3214">
      <w:pPr>
        <w:pStyle w:val="xxmsonormal"/>
        <w:ind w:left="540"/>
        <w:jc w:val="both"/>
        <w:rPr>
          <w:rFonts w:ascii="Verdana" w:hAnsi="Verdana" w:cs="Times New Roman"/>
          <w:color w:val="000000"/>
          <w:sz w:val="20"/>
          <w:szCs w:val="20"/>
          <w:lang w:eastAsia="es-ES"/>
        </w:rPr>
      </w:pPr>
    </w:p>
    <w:p w14:paraId="5247A620" w14:textId="36AC7B78" w:rsidR="00AC3214" w:rsidRPr="00C12CF7" w:rsidRDefault="00AC3214" w:rsidP="005E6B9F">
      <w:pPr>
        <w:pStyle w:val="xxmsonormal"/>
        <w:ind w:left="720" w:right="450"/>
        <w:jc w:val="both"/>
        <w:rPr>
          <w:rFonts w:ascii="Verdana" w:hAnsi="Verdana" w:cs="Times New Roman"/>
          <w:color w:val="000000"/>
          <w:sz w:val="16"/>
          <w:szCs w:val="16"/>
          <w:lang w:eastAsia="es-ES"/>
        </w:rPr>
      </w:pPr>
      <w:r w:rsidRPr="00C12CF7">
        <w:rPr>
          <w:rFonts w:ascii="Verdana" w:hAnsi="Verdana" w:cs="Times New Roman"/>
          <w:color w:val="000000"/>
          <w:sz w:val="16"/>
          <w:szCs w:val="16"/>
          <w:lang w:eastAsia="es-ES"/>
        </w:rPr>
        <w:t>Art. 160.- Clases.</w:t>
      </w:r>
      <w:r w:rsidR="00C8310D">
        <w:rPr>
          <w:rFonts w:ascii="Verdana" w:hAnsi="Verdana" w:cs="Times New Roman"/>
          <w:color w:val="000000"/>
          <w:sz w:val="16"/>
          <w:szCs w:val="16"/>
          <w:lang w:eastAsia="es-ES"/>
        </w:rPr>
        <w:t xml:space="preserve"> </w:t>
      </w:r>
      <w:r w:rsidRPr="00C12CF7">
        <w:rPr>
          <w:rFonts w:ascii="Verdana" w:hAnsi="Verdana" w:cs="Times New Roman"/>
          <w:color w:val="000000"/>
          <w:sz w:val="16"/>
          <w:szCs w:val="16"/>
          <w:lang w:eastAsia="es-ES"/>
        </w:rPr>
        <w:t>- Las medidas cautelares de carácter personal son la detención, la prisión preventiva y la detención en firme. Las medidas cautelares de carácter real son la prohibición de enajenar bienes, el secuestro, la retención y el embargo.</w:t>
      </w:r>
    </w:p>
    <w:p w14:paraId="09D27885" w14:textId="47DF3B8A" w:rsidR="00AC3214" w:rsidRPr="0092295B" w:rsidRDefault="00AC3214" w:rsidP="005E6B9F">
      <w:pPr>
        <w:pStyle w:val="xxmsonormal"/>
        <w:ind w:left="720" w:right="450"/>
        <w:jc w:val="both"/>
        <w:rPr>
          <w:rFonts w:ascii="Verdana" w:hAnsi="Verdana" w:cs="Times New Roman"/>
          <w:color w:val="000000"/>
          <w:sz w:val="16"/>
          <w:szCs w:val="16"/>
          <w:lang w:eastAsia="es-ES"/>
        </w:rPr>
      </w:pPr>
      <w:r w:rsidRPr="00C12CF7">
        <w:rPr>
          <w:rFonts w:ascii="Verdana" w:hAnsi="Verdana" w:cs="Times New Roman"/>
          <w:color w:val="000000"/>
          <w:sz w:val="16"/>
          <w:szCs w:val="16"/>
          <w:lang w:eastAsia="es-ES"/>
        </w:rPr>
        <w:t>La detención en firme se dispondrá en todos los casos en que se dicte auto de llamamiento a juicio, de conformidad con el artículo 232 de este código y sólo podrá ser revocada mediante sentencia absolutoria y suspendida en los delitos sancionados con prisión</w:t>
      </w:r>
      <w:r w:rsidRPr="008B01A4">
        <w:rPr>
          <w:rFonts w:ascii="Verdana" w:hAnsi="Verdana" w:cs="Times New Roman"/>
          <w:color w:val="000000"/>
          <w:sz w:val="16"/>
          <w:szCs w:val="16"/>
          <w:lang w:eastAsia="es-ES"/>
        </w:rPr>
        <w:t>.</w:t>
      </w:r>
    </w:p>
    <w:p w14:paraId="67C2ED63" w14:textId="77777777" w:rsidR="00AC3214" w:rsidRPr="0092295B" w:rsidRDefault="00AC3214" w:rsidP="00AC3214">
      <w:pPr>
        <w:pStyle w:val="Prrafodelista"/>
        <w:rPr>
          <w:szCs w:val="20"/>
        </w:rPr>
      </w:pPr>
    </w:p>
    <w:p w14:paraId="5FB153E2" w14:textId="30DBDAC5" w:rsidR="0098757A" w:rsidRPr="0092295B" w:rsidRDefault="001461B8" w:rsidP="00CF2D2A">
      <w:pPr>
        <w:pStyle w:val="Prrafodelista"/>
        <w:numPr>
          <w:ilvl w:val="0"/>
          <w:numId w:val="29"/>
        </w:numPr>
        <w:spacing w:after="0"/>
        <w:ind w:left="0" w:firstLine="0"/>
        <w:rPr>
          <w:szCs w:val="20"/>
        </w:rPr>
      </w:pPr>
      <w:r w:rsidRPr="0092295B">
        <w:rPr>
          <w:szCs w:val="20"/>
        </w:rPr>
        <w:t xml:space="preserve">Además, </w:t>
      </w:r>
      <w:r w:rsidR="0098757A" w:rsidRPr="0092295B">
        <w:rPr>
          <w:szCs w:val="20"/>
        </w:rPr>
        <w:t xml:space="preserve">la Ley </w:t>
      </w:r>
      <w:r w:rsidRPr="0092295B">
        <w:rPr>
          <w:rFonts w:cs="Times New Roman"/>
          <w:color w:val="000000"/>
          <w:szCs w:val="20"/>
          <w:lang w:val="es-ES" w:eastAsia="es-ES"/>
        </w:rPr>
        <w:t xml:space="preserve">Reformatoria al Código de Procedimiento Penal </w:t>
      </w:r>
      <w:r w:rsidRPr="00C12CF7">
        <w:rPr>
          <w:rFonts w:cs="Times New Roman"/>
          <w:color w:val="000000"/>
          <w:szCs w:val="20"/>
          <w:lang w:val="es-ES" w:eastAsia="es-ES"/>
        </w:rPr>
        <w:t>común</w:t>
      </w:r>
      <w:r w:rsidRPr="0092295B">
        <w:rPr>
          <w:rFonts w:cs="Times New Roman"/>
          <w:color w:val="000000"/>
          <w:szCs w:val="20"/>
          <w:lang w:val="es-ES" w:eastAsia="es-ES"/>
        </w:rPr>
        <w:t>, Ley</w:t>
      </w:r>
      <w:r w:rsidRPr="0092295B">
        <w:rPr>
          <w:szCs w:val="20"/>
        </w:rPr>
        <w:t xml:space="preserve"> </w:t>
      </w:r>
      <w:r w:rsidR="0098757A" w:rsidRPr="0092295B">
        <w:rPr>
          <w:szCs w:val="20"/>
        </w:rPr>
        <w:t>2003</w:t>
      </w:r>
      <w:r w:rsidR="00EC6673" w:rsidRPr="0092295B">
        <w:rPr>
          <w:szCs w:val="20"/>
        </w:rPr>
        <w:t>-101</w:t>
      </w:r>
      <w:r w:rsidRPr="0092295B">
        <w:rPr>
          <w:szCs w:val="20"/>
        </w:rPr>
        <w:t>,</w:t>
      </w:r>
      <w:r w:rsidR="00EC6673" w:rsidRPr="0092295B">
        <w:rPr>
          <w:szCs w:val="20"/>
        </w:rPr>
        <w:t xml:space="preserve"> </w:t>
      </w:r>
      <w:r w:rsidRPr="0092295B">
        <w:rPr>
          <w:szCs w:val="20"/>
        </w:rPr>
        <w:t xml:space="preserve">en el </w:t>
      </w:r>
      <w:r w:rsidR="00EC6673" w:rsidRPr="0092295B">
        <w:rPr>
          <w:szCs w:val="20"/>
        </w:rPr>
        <w:t>artículo 16, introduce</w:t>
      </w:r>
      <w:r w:rsidR="0098757A" w:rsidRPr="0092295B">
        <w:rPr>
          <w:szCs w:val="20"/>
        </w:rPr>
        <w:t xml:space="preserve"> la figura jurídica de la detención en firme. El CPP</w:t>
      </w:r>
      <w:r w:rsidRPr="0092295B">
        <w:rPr>
          <w:szCs w:val="20"/>
        </w:rPr>
        <w:t xml:space="preserve"> </w:t>
      </w:r>
      <w:r w:rsidRPr="0044679A">
        <w:rPr>
          <w:szCs w:val="20"/>
        </w:rPr>
        <w:t>común</w:t>
      </w:r>
      <w:r w:rsidR="0098757A" w:rsidRPr="0092295B">
        <w:rPr>
          <w:szCs w:val="20"/>
        </w:rPr>
        <w:t xml:space="preserve"> consagró la detención en firme en su artículo 173-A</w:t>
      </w:r>
      <w:r w:rsidR="004C68EE" w:rsidRPr="0092295B">
        <w:rPr>
          <w:vertAlign w:val="superscript"/>
        </w:rPr>
        <w:footnoteReference w:id="29"/>
      </w:r>
      <w:r w:rsidR="0098757A" w:rsidRPr="0092295B">
        <w:rPr>
          <w:szCs w:val="20"/>
        </w:rPr>
        <w:t xml:space="preserve">, el cual </w:t>
      </w:r>
      <w:r w:rsidR="00D27DAE" w:rsidRPr="0092295B">
        <w:rPr>
          <w:szCs w:val="20"/>
        </w:rPr>
        <w:t>disponía</w:t>
      </w:r>
      <w:r w:rsidR="0098757A" w:rsidRPr="0092295B">
        <w:rPr>
          <w:szCs w:val="20"/>
        </w:rPr>
        <w:t xml:space="preserve"> que:</w:t>
      </w:r>
    </w:p>
    <w:p w14:paraId="30EBE563" w14:textId="77777777" w:rsidR="0098757A" w:rsidRPr="0092295B" w:rsidRDefault="0098757A" w:rsidP="0098757A">
      <w:pPr>
        <w:pStyle w:val="Prrafodelista"/>
        <w:spacing w:after="0"/>
        <w:ind w:left="540"/>
        <w:jc w:val="left"/>
        <w:rPr>
          <w:szCs w:val="20"/>
        </w:rPr>
      </w:pPr>
      <w:r w:rsidRPr="0092295B">
        <w:rPr>
          <w:szCs w:val="20"/>
        </w:rPr>
        <w:t xml:space="preserve"> </w:t>
      </w:r>
    </w:p>
    <w:p w14:paraId="64CBCA19" w14:textId="77777777" w:rsidR="0098757A" w:rsidRPr="0092295B" w:rsidRDefault="0098757A" w:rsidP="0098757A">
      <w:pPr>
        <w:spacing w:after="0"/>
        <w:ind w:left="720" w:right="720"/>
        <w:rPr>
          <w:sz w:val="16"/>
          <w:szCs w:val="16"/>
        </w:rPr>
      </w:pPr>
      <w:r w:rsidRPr="0092295B">
        <w:rPr>
          <w:sz w:val="16"/>
          <w:szCs w:val="16"/>
        </w:rPr>
        <w:t>A fin de contar con la presencia del acusado en la etapa del juicio y evitar en suspensión, en el auto de llamamiento a juicio, el Juez que conoce la causa deberá obligatoriamente ordenar la detención en firme del acusado, con excepción de los casos siguientes:</w:t>
      </w:r>
    </w:p>
    <w:p w14:paraId="791517B1" w14:textId="60988B1C" w:rsidR="0098757A" w:rsidRPr="0092295B" w:rsidRDefault="00265B64" w:rsidP="0098757A">
      <w:pPr>
        <w:pStyle w:val="Prrafodelista"/>
        <w:spacing w:after="0"/>
        <w:ind w:right="720"/>
        <w:rPr>
          <w:sz w:val="16"/>
          <w:szCs w:val="16"/>
        </w:rPr>
      </w:pPr>
      <w:r>
        <w:rPr>
          <w:sz w:val="16"/>
          <w:szCs w:val="16"/>
        </w:rPr>
        <w:t xml:space="preserve">1.- </w:t>
      </w:r>
      <w:r w:rsidR="0098757A" w:rsidRPr="0092295B">
        <w:rPr>
          <w:sz w:val="16"/>
          <w:szCs w:val="16"/>
        </w:rPr>
        <w:t>Para quien haya sido calificado como presunto encubridor; y,</w:t>
      </w:r>
    </w:p>
    <w:p w14:paraId="393ACFBF" w14:textId="53CA68B3" w:rsidR="0098757A" w:rsidRPr="0092295B" w:rsidRDefault="00265B64" w:rsidP="0098757A">
      <w:pPr>
        <w:pStyle w:val="Prrafodelista"/>
        <w:spacing w:after="0"/>
        <w:ind w:right="720"/>
        <w:rPr>
          <w:sz w:val="16"/>
          <w:szCs w:val="16"/>
        </w:rPr>
      </w:pPr>
      <w:r>
        <w:rPr>
          <w:sz w:val="16"/>
          <w:szCs w:val="16"/>
        </w:rPr>
        <w:t xml:space="preserve">2.- </w:t>
      </w:r>
      <w:r w:rsidR="0098757A" w:rsidRPr="0092295B">
        <w:rPr>
          <w:sz w:val="16"/>
          <w:szCs w:val="16"/>
        </w:rPr>
        <w:t>Para quienes estén siendo juzgados por una infracción cuya pena no exceda de un año de prisión.</w:t>
      </w:r>
    </w:p>
    <w:p w14:paraId="2040A256" w14:textId="77777777" w:rsidR="0098757A" w:rsidRPr="0092295B" w:rsidRDefault="0098757A" w:rsidP="0098757A">
      <w:pPr>
        <w:pStyle w:val="Prrafodelista"/>
        <w:spacing w:after="0"/>
        <w:ind w:right="720"/>
        <w:rPr>
          <w:sz w:val="16"/>
          <w:szCs w:val="16"/>
        </w:rPr>
      </w:pPr>
      <w:r w:rsidRPr="0092295B">
        <w:rPr>
          <w:sz w:val="16"/>
          <w:szCs w:val="16"/>
        </w:rPr>
        <w:t>Si el acusado tuviera en su contra orden de prisión preventiva, al dictarse el auto de llamamiento a juicio se le cambiará por la detención en firme.</w:t>
      </w:r>
    </w:p>
    <w:p w14:paraId="6AA08FD0" w14:textId="77777777" w:rsidR="0098757A" w:rsidRPr="0092295B" w:rsidRDefault="0098757A" w:rsidP="00C13824">
      <w:pPr>
        <w:pStyle w:val="Prrafodelista"/>
        <w:spacing w:after="0"/>
        <w:ind w:left="540"/>
        <w:rPr>
          <w:szCs w:val="20"/>
        </w:rPr>
      </w:pPr>
    </w:p>
    <w:p w14:paraId="2CB9FED9" w14:textId="57A34753" w:rsidR="0098757A" w:rsidRPr="0092295B" w:rsidRDefault="0098757A" w:rsidP="00CF2D2A">
      <w:pPr>
        <w:pStyle w:val="Prrafodelista"/>
        <w:numPr>
          <w:ilvl w:val="0"/>
          <w:numId w:val="29"/>
        </w:numPr>
        <w:spacing w:after="0"/>
        <w:ind w:left="0" w:firstLine="0"/>
        <w:rPr>
          <w:szCs w:val="20"/>
        </w:rPr>
      </w:pPr>
      <w:r w:rsidRPr="0092295B">
        <w:rPr>
          <w:szCs w:val="20"/>
        </w:rPr>
        <w:t>Además, el artículo 173-B</w:t>
      </w:r>
      <w:r w:rsidR="004B2F01" w:rsidRPr="0092295B">
        <w:rPr>
          <w:szCs w:val="20"/>
        </w:rPr>
        <w:t xml:space="preserve"> del CPP</w:t>
      </w:r>
      <w:r w:rsidR="008B01A4">
        <w:rPr>
          <w:rStyle w:val="Refdenotaalpie"/>
        </w:rPr>
        <w:footnoteReference w:id="30"/>
      </w:r>
      <w:r w:rsidRPr="0092295B">
        <w:rPr>
          <w:szCs w:val="20"/>
        </w:rPr>
        <w:t>, el cual trata la ape</w:t>
      </w:r>
      <w:r w:rsidR="004B2F01" w:rsidRPr="0092295B">
        <w:rPr>
          <w:szCs w:val="20"/>
        </w:rPr>
        <w:t>lación a la detención en firme</w:t>
      </w:r>
      <w:r w:rsidR="00531A87">
        <w:rPr>
          <w:szCs w:val="20"/>
        </w:rPr>
        <w:t>,</w:t>
      </w:r>
      <w:r w:rsidR="004B2F01" w:rsidRPr="0092295B">
        <w:rPr>
          <w:szCs w:val="20"/>
        </w:rPr>
        <w:t xml:space="preserve"> </w:t>
      </w:r>
      <w:r w:rsidRPr="0092295B">
        <w:rPr>
          <w:szCs w:val="20"/>
        </w:rPr>
        <w:t>señala</w:t>
      </w:r>
      <w:r w:rsidR="00D27DAE" w:rsidRPr="0092295B">
        <w:rPr>
          <w:szCs w:val="20"/>
        </w:rPr>
        <w:t>ba</w:t>
      </w:r>
      <w:r w:rsidRPr="0092295B">
        <w:rPr>
          <w:szCs w:val="20"/>
        </w:rPr>
        <w:t xml:space="preserve"> que: “</w:t>
      </w:r>
      <w:r w:rsidR="00D27DAE" w:rsidRPr="0092295B">
        <w:rPr>
          <w:szCs w:val="20"/>
        </w:rPr>
        <w:t>[s]</w:t>
      </w:r>
      <w:r w:rsidRPr="0092295B">
        <w:rPr>
          <w:szCs w:val="20"/>
        </w:rPr>
        <w:t>i se interpusiese recurso de apelación del auto de llamamiento a juicio, la orden de detención en firme no será suspendida”.</w:t>
      </w:r>
    </w:p>
    <w:p w14:paraId="76728DF7" w14:textId="77777777" w:rsidR="0098757A" w:rsidRPr="0092295B" w:rsidRDefault="0098757A" w:rsidP="0098757A">
      <w:pPr>
        <w:pStyle w:val="Prrafodelista"/>
        <w:spacing w:after="0"/>
        <w:ind w:left="0"/>
        <w:jc w:val="left"/>
        <w:rPr>
          <w:szCs w:val="20"/>
        </w:rPr>
      </w:pPr>
    </w:p>
    <w:p w14:paraId="23BD3358" w14:textId="3B14AA55" w:rsidR="0098757A" w:rsidRPr="0092295B" w:rsidRDefault="0098757A" w:rsidP="00CF2D2A">
      <w:pPr>
        <w:pStyle w:val="Prrafodelista"/>
        <w:numPr>
          <w:ilvl w:val="0"/>
          <w:numId w:val="29"/>
        </w:numPr>
        <w:spacing w:after="0"/>
        <w:ind w:left="0" w:firstLine="0"/>
        <w:jc w:val="left"/>
        <w:rPr>
          <w:szCs w:val="20"/>
        </w:rPr>
      </w:pPr>
      <w:r w:rsidRPr="0092295B">
        <w:rPr>
          <w:szCs w:val="20"/>
        </w:rPr>
        <w:t>Posteriormente, la Ley 2006-30 modificó nuevamente el CPP</w:t>
      </w:r>
      <w:r w:rsidR="00820B2F" w:rsidRPr="0092295B">
        <w:rPr>
          <w:szCs w:val="20"/>
        </w:rPr>
        <w:t xml:space="preserve"> </w:t>
      </w:r>
      <w:r w:rsidR="00820B2F" w:rsidRPr="00CF1E94">
        <w:rPr>
          <w:szCs w:val="20"/>
        </w:rPr>
        <w:t>común</w:t>
      </w:r>
      <w:r w:rsidRPr="0092295B">
        <w:rPr>
          <w:szCs w:val="20"/>
        </w:rPr>
        <w:t xml:space="preserve"> a través de su artículo 9</w:t>
      </w:r>
      <w:r w:rsidR="008B01A4">
        <w:rPr>
          <w:rStyle w:val="Refdenotaalpie"/>
        </w:rPr>
        <w:footnoteReference w:id="31"/>
      </w:r>
      <w:r w:rsidRPr="0092295B">
        <w:rPr>
          <w:szCs w:val="20"/>
        </w:rPr>
        <w:t xml:space="preserve">, añadiendo al artículo 173-A lo siguiente: </w:t>
      </w:r>
    </w:p>
    <w:p w14:paraId="2C677F20" w14:textId="77777777" w:rsidR="0098757A" w:rsidRPr="0092295B" w:rsidRDefault="0098757A" w:rsidP="0098757A">
      <w:pPr>
        <w:pStyle w:val="Prrafodelista"/>
        <w:spacing w:after="0"/>
        <w:ind w:left="540"/>
        <w:jc w:val="left"/>
        <w:rPr>
          <w:szCs w:val="20"/>
        </w:rPr>
      </w:pPr>
    </w:p>
    <w:p w14:paraId="1984C565" w14:textId="77777777" w:rsidR="0098757A" w:rsidRPr="0092295B" w:rsidRDefault="0098757A" w:rsidP="00166714">
      <w:pPr>
        <w:pStyle w:val="Prrafodelista"/>
        <w:spacing w:after="0"/>
        <w:ind w:right="720"/>
        <w:rPr>
          <w:sz w:val="16"/>
          <w:szCs w:val="16"/>
        </w:rPr>
      </w:pPr>
      <w:r w:rsidRPr="0092295B">
        <w:rPr>
          <w:sz w:val="16"/>
          <w:szCs w:val="16"/>
        </w:rPr>
        <w:t>Una vez ejecutoriado el auto de llamamiento a juicio con la respectiva orden de privación de la libertad, el juez o tribunal de lo penal competente deberá dictar sentencia en un plazo no mayor de noventa días. Si no lo hicieren dentro de este plazo, actuarán los suplentes o conjueces, quienes en el plazo de cuarenta y cinco días deberán resolver el proceso. Tanto los jueces principales como los suplentes serán civilmente responsables por el retraso en la administración de justicia y el Consejo Nacional de la Judicatura examinará su conducta y procederá a sancionarlos con la destitución.</w:t>
      </w:r>
    </w:p>
    <w:p w14:paraId="15957435" w14:textId="77777777" w:rsidR="0098757A" w:rsidRPr="0092295B" w:rsidRDefault="0098757A" w:rsidP="00166714">
      <w:pPr>
        <w:pStyle w:val="Prrafodelista"/>
        <w:spacing w:after="0"/>
        <w:ind w:left="540" w:right="720"/>
        <w:jc w:val="left"/>
        <w:rPr>
          <w:sz w:val="16"/>
          <w:szCs w:val="16"/>
        </w:rPr>
      </w:pPr>
    </w:p>
    <w:p w14:paraId="2197D7CB" w14:textId="1956FE88" w:rsidR="0098757A" w:rsidRPr="0092295B" w:rsidRDefault="0098757A" w:rsidP="00D27DAE">
      <w:pPr>
        <w:pStyle w:val="Prrafodelista"/>
        <w:spacing w:after="0"/>
        <w:ind w:right="720"/>
        <w:jc w:val="left"/>
        <w:rPr>
          <w:sz w:val="16"/>
          <w:szCs w:val="16"/>
        </w:rPr>
      </w:pPr>
      <w:r w:rsidRPr="0092295B">
        <w:rPr>
          <w:sz w:val="16"/>
          <w:szCs w:val="16"/>
        </w:rPr>
        <w:t xml:space="preserve">El Consejo Nacional de la Judicatura proporcionará la logística para que los </w:t>
      </w:r>
      <w:r w:rsidR="00EC6673" w:rsidRPr="0092295B">
        <w:rPr>
          <w:sz w:val="16"/>
          <w:szCs w:val="16"/>
        </w:rPr>
        <w:t xml:space="preserve">jueces resuelvan dentro de los </w:t>
      </w:r>
      <w:r w:rsidRPr="0092295B">
        <w:rPr>
          <w:sz w:val="16"/>
          <w:szCs w:val="16"/>
        </w:rPr>
        <w:t>plazos indicados.</w:t>
      </w:r>
    </w:p>
    <w:p w14:paraId="593E459C" w14:textId="77777777" w:rsidR="0098757A" w:rsidRPr="0092295B" w:rsidRDefault="0098757A" w:rsidP="0098757A">
      <w:pPr>
        <w:pStyle w:val="Prrafodelista"/>
        <w:spacing w:after="0"/>
        <w:ind w:left="0"/>
        <w:jc w:val="left"/>
        <w:rPr>
          <w:szCs w:val="20"/>
        </w:rPr>
      </w:pPr>
    </w:p>
    <w:p w14:paraId="6C1D8AFC" w14:textId="6F88FDCA" w:rsidR="00B01FDA" w:rsidRPr="00ED2790" w:rsidRDefault="00D27DAE" w:rsidP="00B33ECE">
      <w:pPr>
        <w:pStyle w:val="Prrafodelista"/>
        <w:numPr>
          <w:ilvl w:val="0"/>
          <w:numId w:val="29"/>
        </w:numPr>
        <w:spacing w:after="0"/>
        <w:ind w:left="0" w:firstLine="0"/>
        <w:rPr>
          <w:szCs w:val="20"/>
        </w:rPr>
      </w:pPr>
      <w:r w:rsidRPr="0092295B">
        <w:rPr>
          <w:szCs w:val="20"/>
        </w:rPr>
        <w:t>Posteriormente</w:t>
      </w:r>
      <w:r w:rsidR="00235D0F" w:rsidRPr="0092295B">
        <w:rPr>
          <w:szCs w:val="20"/>
        </w:rPr>
        <w:t>,</w:t>
      </w:r>
      <w:r w:rsidR="00447BBA">
        <w:rPr>
          <w:szCs w:val="20"/>
        </w:rPr>
        <w:t xml:space="preserve"> </w:t>
      </w:r>
      <w:r w:rsidR="00EC16B9">
        <w:rPr>
          <w:szCs w:val="20"/>
        </w:rPr>
        <w:t>mediante</w:t>
      </w:r>
      <w:r w:rsidR="00B33ECE">
        <w:rPr>
          <w:szCs w:val="20"/>
        </w:rPr>
        <w:t xml:space="preserve"> </w:t>
      </w:r>
      <w:r w:rsidR="00447BBA">
        <w:rPr>
          <w:szCs w:val="20"/>
        </w:rPr>
        <w:t xml:space="preserve">la </w:t>
      </w:r>
      <w:r w:rsidR="0098757A" w:rsidRPr="00B33ECE">
        <w:rPr>
          <w:szCs w:val="20"/>
        </w:rPr>
        <w:t xml:space="preserve">Resolución </w:t>
      </w:r>
      <w:r w:rsidR="008A3E9E" w:rsidRPr="00B33ECE">
        <w:rPr>
          <w:szCs w:val="20"/>
        </w:rPr>
        <w:t xml:space="preserve">No. </w:t>
      </w:r>
      <w:r w:rsidR="0098757A" w:rsidRPr="00B33ECE">
        <w:rPr>
          <w:szCs w:val="20"/>
        </w:rPr>
        <w:t>0002</w:t>
      </w:r>
      <w:r w:rsidR="008A3E9E" w:rsidRPr="00B33ECE">
        <w:rPr>
          <w:szCs w:val="20"/>
        </w:rPr>
        <w:t>-</w:t>
      </w:r>
      <w:r w:rsidR="0098757A" w:rsidRPr="00B33ECE">
        <w:rPr>
          <w:szCs w:val="20"/>
        </w:rPr>
        <w:softHyphen/>
        <w:t>2005</w:t>
      </w:r>
      <w:r w:rsidR="008A3E9E" w:rsidRPr="00B33ECE">
        <w:rPr>
          <w:szCs w:val="20"/>
        </w:rPr>
        <w:t>-</w:t>
      </w:r>
      <w:r w:rsidR="0047727B">
        <w:rPr>
          <w:szCs w:val="20"/>
        </w:rPr>
        <w:softHyphen/>
        <w:t>TC</w:t>
      </w:r>
      <w:r w:rsidR="00D31CF2" w:rsidRPr="00B33ECE">
        <w:rPr>
          <w:rStyle w:val="Refdenotaalpie"/>
        </w:rPr>
        <w:footnoteReference w:id="32"/>
      </w:r>
      <w:r w:rsidRPr="00B33ECE">
        <w:rPr>
          <w:szCs w:val="20"/>
        </w:rPr>
        <w:t xml:space="preserve"> </w:t>
      </w:r>
      <w:r w:rsidR="00447BBA" w:rsidRPr="00B33ECE">
        <w:rPr>
          <w:szCs w:val="20"/>
        </w:rPr>
        <w:t xml:space="preserve">dictada por </w:t>
      </w:r>
      <w:r w:rsidR="00EC16B9" w:rsidRPr="00B33ECE">
        <w:rPr>
          <w:szCs w:val="20"/>
        </w:rPr>
        <w:t>el Tribunal</w:t>
      </w:r>
      <w:r w:rsidR="00B33ECE">
        <w:rPr>
          <w:szCs w:val="20"/>
        </w:rPr>
        <w:t xml:space="preserve"> </w:t>
      </w:r>
      <w:r w:rsidR="00447BBA" w:rsidRPr="00B33ECE">
        <w:rPr>
          <w:szCs w:val="20"/>
        </w:rPr>
        <w:t xml:space="preserve">Constitucional el 23 de </w:t>
      </w:r>
      <w:r w:rsidR="00EC16B9" w:rsidRPr="00B33ECE">
        <w:rPr>
          <w:szCs w:val="20"/>
        </w:rPr>
        <w:t>octubre</w:t>
      </w:r>
      <w:r w:rsidR="00B33ECE">
        <w:rPr>
          <w:szCs w:val="20"/>
        </w:rPr>
        <w:t xml:space="preserve"> </w:t>
      </w:r>
      <w:r w:rsidR="00447BBA" w:rsidRPr="00B33ECE">
        <w:rPr>
          <w:szCs w:val="20"/>
        </w:rPr>
        <w:t xml:space="preserve">de 2006, </w:t>
      </w:r>
      <w:r w:rsidR="00EC16B9" w:rsidRPr="00B33ECE">
        <w:rPr>
          <w:szCs w:val="20"/>
        </w:rPr>
        <w:t xml:space="preserve">se </w:t>
      </w:r>
      <w:r w:rsidR="00BA3E0E" w:rsidRPr="00B33ECE">
        <w:rPr>
          <w:szCs w:val="20"/>
        </w:rPr>
        <w:t>declaró inconstitucional</w:t>
      </w:r>
      <w:r w:rsidR="005E6B9F" w:rsidRPr="00B33ECE">
        <w:rPr>
          <w:szCs w:val="20"/>
        </w:rPr>
        <w:t xml:space="preserve"> la </w:t>
      </w:r>
      <w:r w:rsidR="00871CF6" w:rsidRPr="00B33ECE">
        <w:rPr>
          <w:szCs w:val="20"/>
        </w:rPr>
        <w:t>detención</w:t>
      </w:r>
      <w:r w:rsidR="005E6B9F" w:rsidRPr="00B33ECE">
        <w:rPr>
          <w:szCs w:val="20"/>
        </w:rPr>
        <w:t xml:space="preserve"> en</w:t>
      </w:r>
      <w:r w:rsidR="00871CF6" w:rsidRPr="00B33ECE">
        <w:rPr>
          <w:szCs w:val="20"/>
        </w:rPr>
        <w:t xml:space="preserve"> firme</w:t>
      </w:r>
      <w:r w:rsidR="0098757A" w:rsidRPr="00B33ECE">
        <w:rPr>
          <w:szCs w:val="20"/>
        </w:rPr>
        <w:t>.</w:t>
      </w:r>
    </w:p>
    <w:p w14:paraId="31306CD1" w14:textId="4C360519" w:rsidR="00152974" w:rsidRPr="00ED2790" w:rsidRDefault="00D4778C" w:rsidP="00ED2790">
      <w:pPr>
        <w:pStyle w:val="Ttulo2"/>
        <w:numPr>
          <w:ilvl w:val="0"/>
          <w:numId w:val="33"/>
        </w:numPr>
        <w:rPr>
          <w:i w:val="0"/>
        </w:rPr>
      </w:pPr>
      <w:bookmarkStart w:id="91" w:name="_Toc87339008"/>
      <w:r w:rsidRPr="00ED2790">
        <w:rPr>
          <w:i w:val="0"/>
        </w:rPr>
        <w:t>P</w:t>
      </w:r>
      <w:r w:rsidR="00F45E39" w:rsidRPr="00ED2790">
        <w:rPr>
          <w:i w:val="0"/>
        </w:rPr>
        <w:t>resuntas víctimas</w:t>
      </w:r>
      <w:bookmarkEnd w:id="91"/>
    </w:p>
    <w:p w14:paraId="57A0DD1D" w14:textId="783BF5A5" w:rsidR="00EF70E6" w:rsidRPr="0092295B" w:rsidRDefault="004E4D55" w:rsidP="00CF2D2A">
      <w:pPr>
        <w:pStyle w:val="Prrafodelista"/>
        <w:numPr>
          <w:ilvl w:val="0"/>
          <w:numId w:val="29"/>
        </w:numPr>
        <w:ind w:left="0" w:firstLine="0"/>
        <w:rPr>
          <w:szCs w:val="20"/>
          <w:lang w:val="es-ES"/>
        </w:rPr>
      </w:pPr>
      <w:r w:rsidRPr="0092295B">
        <w:rPr>
          <w:szCs w:val="20"/>
          <w:lang w:val="es-ES"/>
        </w:rPr>
        <w:t xml:space="preserve">Las </w:t>
      </w:r>
      <w:r w:rsidRPr="009B7DE6">
        <w:rPr>
          <w:szCs w:val="20"/>
          <w:lang w:val="es-ES"/>
        </w:rPr>
        <w:t>presuntas víctimas eran oficiales de la Policía Nacional de</w:t>
      </w:r>
      <w:r w:rsidR="004C68EE">
        <w:rPr>
          <w:szCs w:val="20"/>
          <w:lang w:val="es-ES"/>
        </w:rPr>
        <w:t>l</w:t>
      </w:r>
      <w:r w:rsidRPr="009B7DE6">
        <w:rPr>
          <w:szCs w:val="20"/>
          <w:lang w:val="es-ES"/>
        </w:rPr>
        <w:t xml:space="preserve"> </w:t>
      </w:r>
      <w:r w:rsidR="007C5054" w:rsidRPr="009B7DE6">
        <w:rPr>
          <w:szCs w:val="20"/>
          <w:lang w:val="es-ES"/>
        </w:rPr>
        <w:t xml:space="preserve">Ecuador </w:t>
      </w:r>
      <w:r w:rsidR="007C5054" w:rsidRPr="0092295B">
        <w:rPr>
          <w:szCs w:val="20"/>
          <w:lang w:val="es-ES"/>
        </w:rPr>
        <w:t>y tenían los siguientes cargos:</w:t>
      </w:r>
    </w:p>
    <w:p w14:paraId="422B8D26" w14:textId="77777777" w:rsidR="006A4111" w:rsidRPr="0092295B" w:rsidRDefault="006A4111" w:rsidP="006A4111">
      <w:pPr>
        <w:pStyle w:val="Prrafodelista"/>
        <w:ind w:left="0"/>
        <w:rPr>
          <w:szCs w:val="20"/>
          <w:lang w:val="es-ES"/>
        </w:rPr>
      </w:pPr>
    </w:p>
    <w:p w14:paraId="52726F34" w14:textId="5D334697" w:rsidR="00582139" w:rsidRPr="00EF4BDB" w:rsidRDefault="00582139" w:rsidP="009E377D">
      <w:pPr>
        <w:pStyle w:val="Prrafodelista"/>
        <w:numPr>
          <w:ilvl w:val="0"/>
          <w:numId w:val="15"/>
        </w:numPr>
        <w:spacing w:before="120"/>
        <w:ind w:firstLine="0"/>
        <w:rPr>
          <w:szCs w:val="20"/>
          <w:lang w:val="es-CR"/>
        </w:rPr>
      </w:pPr>
      <w:r w:rsidRPr="0092295B">
        <w:rPr>
          <w:szCs w:val="20"/>
          <w:lang w:val="es-CR"/>
        </w:rPr>
        <w:t xml:space="preserve">El señor </w:t>
      </w:r>
      <w:r w:rsidRPr="0092295B">
        <w:rPr>
          <w:i/>
          <w:szCs w:val="20"/>
          <w:lang w:val="es-CR"/>
        </w:rPr>
        <w:t xml:space="preserve">Jorge Humberto </w:t>
      </w:r>
      <w:r w:rsidRPr="0092295B">
        <w:rPr>
          <w:rFonts w:eastAsia="Times New Roman" w:cs="Times New Roman"/>
          <w:i/>
          <w:szCs w:val="20"/>
          <w:lang w:val="es-CR" w:eastAsia="en-GB"/>
        </w:rPr>
        <w:t>Villarroel Merino</w:t>
      </w:r>
      <w:r w:rsidRPr="0092295B">
        <w:rPr>
          <w:rFonts w:eastAsia="Times New Roman" w:cs="Times New Roman"/>
          <w:szCs w:val="20"/>
          <w:lang w:val="es-CR" w:eastAsia="en-GB"/>
        </w:rPr>
        <w:t xml:space="preserve"> fue Comandante General de la Policía Nacional de 1998 a enero de 2000. En </w:t>
      </w:r>
      <w:r w:rsidR="004C68EE">
        <w:rPr>
          <w:rFonts w:eastAsia="Times New Roman" w:cs="Times New Roman"/>
          <w:szCs w:val="20"/>
          <w:lang w:val="es-CR" w:eastAsia="en-GB"/>
        </w:rPr>
        <w:t>enero</w:t>
      </w:r>
      <w:r w:rsidRPr="0092295B">
        <w:rPr>
          <w:rFonts w:eastAsia="Times New Roman" w:cs="Times New Roman"/>
          <w:szCs w:val="20"/>
          <w:lang w:val="es-CR" w:eastAsia="en-GB"/>
        </w:rPr>
        <w:t xml:space="preserve"> de 2000 pasó al servicio pasivo de la Policía Nacional por </w:t>
      </w:r>
      <w:r w:rsidRPr="00EF4BDB">
        <w:rPr>
          <w:rFonts w:eastAsia="Times New Roman" w:cs="Times New Roman"/>
          <w:szCs w:val="20"/>
          <w:lang w:val="es-CR" w:eastAsia="en-GB"/>
        </w:rPr>
        <w:t>haber cumplido</w:t>
      </w:r>
      <w:r w:rsidR="000A4DD9" w:rsidRPr="00EF4BDB">
        <w:rPr>
          <w:rFonts w:eastAsia="Times New Roman" w:cs="Times New Roman"/>
          <w:szCs w:val="20"/>
          <w:lang w:val="es-CR" w:eastAsia="en-GB"/>
        </w:rPr>
        <w:t xml:space="preserve"> el tiempo máximo en el cargo (2 años), de confo</w:t>
      </w:r>
      <w:r w:rsidR="006C743D" w:rsidRPr="00EF4BDB">
        <w:rPr>
          <w:rFonts w:eastAsia="Times New Roman" w:cs="Times New Roman"/>
          <w:szCs w:val="20"/>
          <w:lang w:val="es-CR" w:eastAsia="en-GB"/>
        </w:rPr>
        <w:t>r</w:t>
      </w:r>
      <w:r w:rsidR="000A4DD9" w:rsidRPr="00EF4BDB">
        <w:rPr>
          <w:rFonts w:eastAsia="Times New Roman" w:cs="Times New Roman"/>
          <w:szCs w:val="20"/>
          <w:lang w:val="es-CR" w:eastAsia="en-GB"/>
        </w:rPr>
        <w:t>midad a la Ley de Personal de Policía Nacional</w:t>
      </w:r>
      <w:r w:rsidR="00124C6A" w:rsidRPr="00EF4BDB">
        <w:rPr>
          <w:rStyle w:val="Refdenotaalpie"/>
          <w:rFonts w:eastAsia="Times New Roman"/>
          <w:lang w:val="es-CR" w:eastAsia="en-GB"/>
        </w:rPr>
        <w:footnoteReference w:id="33"/>
      </w:r>
      <w:r w:rsidR="006C743D" w:rsidRPr="00EF4BDB">
        <w:rPr>
          <w:rFonts w:eastAsia="Times New Roman" w:cs="Times New Roman"/>
          <w:szCs w:val="20"/>
          <w:lang w:val="es-CR" w:eastAsia="en-GB"/>
        </w:rPr>
        <w:t xml:space="preserve">, y </w:t>
      </w:r>
      <w:r w:rsidRPr="00EF4BDB">
        <w:rPr>
          <w:rFonts w:eastAsia="Times New Roman" w:cs="Times New Roman"/>
          <w:szCs w:val="20"/>
          <w:lang w:val="es-CR" w:eastAsia="en-GB"/>
        </w:rPr>
        <w:t xml:space="preserve">36 años de servicio en la institución. </w:t>
      </w:r>
    </w:p>
    <w:p w14:paraId="18CB0EB5" w14:textId="19FFA546" w:rsidR="006A4111" w:rsidRPr="00EF4BDB" w:rsidRDefault="00582139" w:rsidP="009E377D">
      <w:pPr>
        <w:pStyle w:val="Prrafodelista"/>
        <w:numPr>
          <w:ilvl w:val="0"/>
          <w:numId w:val="15"/>
        </w:numPr>
        <w:spacing w:before="120" w:after="120"/>
        <w:ind w:firstLine="0"/>
        <w:rPr>
          <w:szCs w:val="20"/>
          <w:lang w:val="es-CR"/>
        </w:rPr>
      </w:pPr>
      <w:r w:rsidRPr="00EF4BDB">
        <w:rPr>
          <w:szCs w:val="20"/>
          <w:lang w:val="es-CR"/>
        </w:rPr>
        <w:t xml:space="preserve">El señor </w:t>
      </w:r>
      <w:r w:rsidRPr="00EF4BDB">
        <w:rPr>
          <w:i/>
          <w:szCs w:val="20"/>
          <w:lang w:val="es-CR"/>
        </w:rPr>
        <w:t>Mario Romel Cevallos Moreno</w:t>
      </w:r>
      <w:r w:rsidRPr="00EF4BDB">
        <w:rPr>
          <w:szCs w:val="20"/>
          <w:lang w:val="es-CR"/>
        </w:rPr>
        <w:t xml:space="preserve"> fue Comandante General de la Policía Nacional de enero de 2000 a abril de 2001. Posteriormente</w:t>
      </w:r>
      <w:r w:rsidR="00437E7A">
        <w:rPr>
          <w:szCs w:val="20"/>
          <w:lang w:val="es-CR"/>
        </w:rPr>
        <w:t>,</w:t>
      </w:r>
      <w:r w:rsidRPr="00EF4BDB">
        <w:rPr>
          <w:szCs w:val="20"/>
          <w:lang w:val="es-CR"/>
        </w:rPr>
        <w:t xml:space="preserve"> </w:t>
      </w:r>
      <w:r w:rsidR="00124C6A" w:rsidRPr="00EF4BDB">
        <w:rPr>
          <w:szCs w:val="20"/>
          <w:lang w:val="es-CR"/>
        </w:rPr>
        <w:t>fue colocado en situación transitoria de abril de 2001 a octubre de 2001</w:t>
      </w:r>
      <w:r w:rsidR="00572A4F" w:rsidRPr="00EF4BDB">
        <w:rPr>
          <w:rStyle w:val="Refdenotaalpie"/>
          <w:lang w:val="es-CR"/>
        </w:rPr>
        <w:footnoteReference w:id="34"/>
      </w:r>
      <w:r w:rsidRPr="00EF4BDB">
        <w:rPr>
          <w:szCs w:val="20"/>
          <w:lang w:val="es-CR"/>
        </w:rPr>
        <w:t xml:space="preserve"> y el 11 de octubre de 2001 pasó a servicio pasivo </w:t>
      </w:r>
      <w:r w:rsidRPr="00EF4BDB">
        <w:rPr>
          <w:rFonts w:eastAsia="Times New Roman" w:cs="Times New Roman"/>
          <w:szCs w:val="20"/>
          <w:lang w:val="es-CR" w:eastAsia="en-GB"/>
        </w:rPr>
        <w:t>de la Policía Nacional</w:t>
      </w:r>
      <w:r w:rsidR="00B9207F" w:rsidRPr="00EF4BDB">
        <w:rPr>
          <w:rStyle w:val="Refdenotaalpie"/>
          <w:rFonts w:eastAsia="Times New Roman"/>
          <w:lang w:val="es-CR" w:eastAsia="en-GB"/>
        </w:rPr>
        <w:footnoteReference w:id="35"/>
      </w:r>
      <w:r w:rsidR="00C8310D" w:rsidRPr="00EF4BDB">
        <w:rPr>
          <w:rFonts w:eastAsia="Times New Roman" w:cs="Times New Roman"/>
          <w:szCs w:val="20"/>
          <w:lang w:val="es-CR" w:eastAsia="en-GB"/>
        </w:rPr>
        <w:t>,</w:t>
      </w:r>
      <w:r w:rsidR="00C66B67" w:rsidRPr="00EF4BDB">
        <w:rPr>
          <w:rFonts w:eastAsia="Times New Roman" w:cs="Times New Roman"/>
          <w:szCs w:val="20"/>
          <w:lang w:val="es-CR" w:eastAsia="en-GB"/>
        </w:rPr>
        <w:t xml:space="preserve"> </w:t>
      </w:r>
      <w:r w:rsidR="008C31F6" w:rsidRPr="00EF4BDB">
        <w:rPr>
          <w:rFonts w:eastAsia="Times New Roman" w:cs="Times New Roman"/>
          <w:szCs w:val="20"/>
          <w:lang w:val="es-CR" w:eastAsia="en-GB"/>
        </w:rPr>
        <w:t xml:space="preserve">después de </w:t>
      </w:r>
      <w:r w:rsidRPr="00EF4BDB">
        <w:rPr>
          <w:rFonts w:eastAsia="Times New Roman" w:cs="Times New Roman"/>
          <w:szCs w:val="20"/>
          <w:lang w:val="es-CR" w:eastAsia="en-GB"/>
        </w:rPr>
        <w:t>36 años de servicio en la institución.</w:t>
      </w:r>
    </w:p>
    <w:p w14:paraId="39A8E89C" w14:textId="72F8EA7A" w:rsidR="00B54974" w:rsidRPr="00EF4BDB" w:rsidRDefault="00582139" w:rsidP="009E377D">
      <w:pPr>
        <w:pStyle w:val="Prrafodelista"/>
        <w:numPr>
          <w:ilvl w:val="0"/>
          <w:numId w:val="15"/>
        </w:numPr>
        <w:spacing w:before="120" w:after="120"/>
        <w:ind w:firstLine="0"/>
        <w:rPr>
          <w:szCs w:val="20"/>
          <w:lang w:val="es-CR"/>
        </w:rPr>
      </w:pPr>
      <w:r w:rsidRPr="00EF4BDB">
        <w:rPr>
          <w:rFonts w:eastAsia="Times New Roman" w:cs="Times New Roman"/>
          <w:szCs w:val="20"/>
          <w:lang w:val="es-CR" w:eastAsia="en-GB"/>
        </w:rPr>
        <w:t xml:space="preserve">El señor </w:t>
      </w:r>
      <w:r w:rsidRPr="00EF4BDB">
        <w:rPr>
          <w:rFonts w:eastAsia="Times New Roman" w:cs="Times New Roman"/>
          <w:i/>
          <w:szCs w:val="20"/>
          <w:lang w:val="es-CR" w:eastAsia="en-GB"/>
        </w:rPr>
        <w:t xml:space="preserve">Jorge Enrique </w:t>
      </w:r>
      <w:r w:rsidRPr="00EF4BDB">
        <w:rPr>
          <w:i/>
          <w:szCs w:val="20"/>
          <w:lang w:val="es-CR"/>
        </w:rPr>
        <w:t>Coloma Gaibor</w:t>
      </w:r>
      <w:r w:rsidRPr="00EF4BDB">
        <w:rPr>
          <w:szCs w:val="20"/>
          <w:lang w:val="es-CR"/>
        </w:rPr>
        <w:t xml:space="preserve"> era </w:t>
      </w:r>
      <w:r w:rsidRPr="00EF4BDB">
        <w:rPr>
          <w:szCs w:val="20"/>
          <w:lang w:val="es-ES"/>
        </w:rPr>
        <w:t xml:space="preserve">Director Técnico Financiero de la Comandancia General de la Policía Nacional al momento de los hechos. Luego de ser absuelto, fue designado como Director Nacional Financiero de la Policía Nacional  </w:t>
      </w:r>
      <w:r w:rsidRPr="00EF4BDB">
        <w:rPr>
          <w:szCs w:val="20"/>
          <w:lang w:val="es-CR"/>
        </w:rPr>
        <w:t>y el 28 de agosto de 2006 solicitó voluntariamente su baja, “renunciando a la tra</w:t>
      </w:r>
      <w:r w:rsidR="00B02FAA" w:rsidRPr="00EF4BDB">
        <w:rPr>
          <w:szCs w:val="20"/>
          <w:lang w:val="es-CR"/>
        </w:rPr>
        <w:t>nsitoria con el grado de [coronel]</w:t>
      </w:r>
      <w:r w:rsidRPr="00EF4BDB">
        <w:rPr>
          <w:szCs w:val="20"/>
          <w:lang w:val="es-CR"/>
        </w:rPr>
        <w:t>”</w:t>
      </w:r>
      <w:r w:rsidR="00922EBE" w:rsidRPr="00EF4BDB">
        <w:rPr>
          <w:rStyle w:val="Refdenotaalpie"/>
          <w:lang w:val="es-CR"/>
        </w:rPr>
        <w:footnoteReference w:id="36"/>
      </w:r>
      <w:r w:rsidR="00C03BB0" w:rsidRPr="00EF4BDB">
        <w:rPr>
          <w:szCs w:val="20"/>
          <w:lang w:val="es-CR"/>
        </w:rPr>
        <w:t>.</w:t>
      </w:r>
      <w:r w:rsidRPr="00EF4BDB">
        <w:rPr>
          <w:sz w:val="16"/>
          <w:szCs w:val="16"/>
          <w:lang w:val="es-CR"/>
        </w:rPr>
        <w:t xml:space="preserve"> </w:t>
      </w:r>
    </w:p>
    <w:p w14:paraId="18ACF0BF" w14:textId="21117136" w:rsidR="00EF70E6" w:rsidRPr="0092295B" w:rsidRDefault="00EF70E6" w:rsidP="009E377D">
      <w:pPr>
        <w:pStyle w:val="Prrafodelista"/>
        <w:numPr>
          <w:ilvl w:val="0"/>
          <w:numId w:val="15"/>
        </w:numPr>
        <w:spacing w:before="120" w:after="120"/>
        <w:ind w:firstLine="0"/>
        <w:rPr>
          <w:szCs w:val="20"/>
          <w:lang w:val="es-CR"/>
        </w:rPr>
      </w:pPr>
      <w:r w:rsidRPr="00EF4BDB">
        <w:rPr>
          <w:szCs w:val="20"/>
          <w:lang w:val="es-CR"/>
        </w:rPr>
        <w:t xml:space="preserve">El señor </w:t>
      </w:r>
      <w:r w:rsidRPr="00EF4BDB">
        <w:rPr>
          <w:i/>
          <w:szCs w:val="20"/>
          <w:lang w:val="es-ES"/>
        </w:rPr>
        <w:t xml:space="preserve">Fernando Marcelo </w:t>
      </w:r>
      <w:r w:rsidRPr="00EF4BDB">
        <w:rPr>
          <w:i/>
          <w:szCs w:val="20"/>
          <w:lang w:val="es-CR"/>
        </w:rPr>
        <w:t>López Ortiz</w:t>
      </w:r>
      <w:r w:rsidRPr="00EF4BDB">
        <w:rPr>
          <w:szCs w:val="20"/>
          <w:lang w:val="es-CR"/>
        </w:rPr>
        <w:t xml:space="preserve"> era Coronel al momento de los hechos. Fue colocado en situación transitoria a disposición del Ministerio de Gobierno entre </w:t>
      </w:r>
      <w:r w:rsidR="009B7DE6" w:rsidRPr="00EF4BDB">
        <w:rPr>
          <w:szCs w:val="20"/>
          <w:lang w:val="es-CR"/>
        </w:rPr>
        <w:t>enero de 2004</w:t>
      </w:r>
      <w:r w:rsidRPr="00EF4BDB">
        <w:rPr>
          <w:szCs w:val="20"/>
          <w:lang w:val="es-CR"/>
        </w:rPr>
        <w:t xml:space="preserve"> y noviembre de 2005, cuando regresó al servicio</w:t>
      </w:r>
      <w:r w:rsidRPr="0092295B">
        <w:rPr>
          <w:szCs w:val="20"/>
          <w:lang w:val="es-CR"/>
        </w:rPr>
        <w:t xml:space="preserve"> activo de la Policía Nacional. En abril de 2006 ascendió al puesto de General de Distrito y</w:t>
      </w:r>
      <w:r w:rsidR="00437E7A">
        <w:rPr>
          <w:szCs w:val="20"/>
          <w:lang w:val="es-CR"/>
        </w:rPr>
        <w:t>,</w:t>
      </w:r>
      <w:r w:rsidRPr="0092295B">
        <w:rPr>
          <w:szCs w:val="20"/>
          <w:lang w:val="es-CR"/>
        </w:rPr>
        <w:t xml:space="preserve"> posteriormente</w:t>
      </w:r>
      <w:r w:rsidR="00437E7A">
        <w:rPr>
          <w:szCs w:val="20"/>
          <w:lang w:val="es-CR"/>
        </w:rPr>
        <w:t>,</w:t>
      </w:r>
      <w:r w:rsidRPr="0092295B">
        <w:rPr>
          <w:szCs w:val="20"/>
          <w:lang w:val="es-CR"/>
        </w:rPr>
        <w:t xml:space="preserve"> solicitó voluntariamente su baja</w:t>
      </w:r>
      <w:r w:rsidR="003D4259">
        <w:rPr>
          <w:rStyle w:val="Refdenotaalpie"/>
          <w:lang w:val="es-CR"/>
        </w:rPr>
        <w:footnoteReference w:id="37"/>
      </w:r>
      <w:r w:rsidRPr="0092295B">
        <w:rPr>
          <w:szCs w:val="20"/>
          <w:lang w:val="es-CR"/>
        </w:rPr>
        <w:t xml:space="preserve">. </w:t>
      </w:r>
    </w:p>
    <w:p w14:paraId="24E26619" w14:textId="5248371E" w:rsidR="00582139" w:rsidRPr="0092295B" w:rsidRDefault="00582139" w:rsidP="009E377D">
      <w:pPr>
        <w:pStyle w:val="Prrafodelista"/>
        <w:numPr>
          <w:ilvl w:val="0"/>
          <w:numId w:val="15"/>
        </w:numPr>
        <w:spacing w:before="120" w:after="120"/>
        <w:ind w:firstLine="0"/>
        <w:rPr>
          <w:szCs w:val="20"/>
          <w:lang w:val="es-CR"/>
        </w:rPr>
      </w:pPr>
      <w:r w:rsidRPr="0092295B">
        <w:rPr>
          <w:szCs w:val="20"/>
          <w:lang w:val="es-CR"/>
        </w:rPr>
        <w:t>El señor</w:t>
      </w:r>
      <w:r w:rsidRPr="0092295B">
        <w:rPr>
          <w:b/>
          <w:szCs w:val="20"/>
          <w:lang w:val="es-CR"/>
        </w:rPr>
        <w:t xml:space="preserve"> </w:t>
      </w:r>
      <w:r w:rsidR="00EF70E6" w:rsidRPr="0092295B">
        <w:rPr>
          <w:i/>
          <w:szCs w:val="20"/>
          <w:lang w:val="es-ES"/>
        </w:rPr>
        <w:t>Leoncio Am</w:t>
      </w:r>
      <w:r w:rsidR="00660BC9">
        <w:rPr>
          <w:i/>
          <w:szCs w:val="20"/>
          <w:lang w:val="es-ES"/>
        </w:rPr>
        <w:t>í</w:t>
      </w:r>
      <w:r w:rsidR="00EF70E6" w:rsidRPr="0092295B">
        <w:rPr>
          <w:i/>
          <w:szCs w:val="20"/>
          <w:lang w:val="es-ES"/>
        </w:rPr>
        <w:t xml:space="preserve">lcar </w:t>
      </w:r>
      <w:r w:rsidRPr="0092295B">
        <w:rPr>
          <w:i/>
          <w:szCs w:val="20"/>
          <w:lang w:val="es-CR"/>
        </w:rPr>
        <w:t>A</w:t>
      </w:r>
      <w:r w:rsidR="00660BC9">
        <w:rPr>
          <w:i/>
          <w:szCs w:val="20"/>
          <w:lang w:val="es-CR"/>
        </w:rPr>
        <w:t>s</w:t>
      </w:r>
      <w:r w:rsidRPr="0092295B">
        <w:rPr>
          <w:i/>
          <w:szCs w:val="20"/>
          <w:lang w:val="es-CR"/>
        </w:rPr>
        <w:t>cázubi Albán</w:t>
      </w:r>
      <w:r w:rsidRPr="0092295B">
        <w:rPr>
          <w:szCs w:val="20"/>
          <w:lang w:val="es-CR"/>
        </w:rPr>
        <w:t xml:space="preserve"> era Secretario Administrativo de la Comandancia General de la Policía Nacional al momento de los hechos. El 7 de abril de 2006 ascendió al puesto de General de Distrito y el 14 de junio de 2006 pasó al servicio pasivo de la Policía Nacional</w:t>
      </w:r>
      <w:r w:rsidR="00922EBE">
        <w:rPr>
          <w:rStyle w:val="Refdenotaalpie"/>
          <w:lang w:val="es-CR"/>
        </w:rPr>
        <w:footnoteReference w:id="38"/>
      </w:r>
      <w:r w:rsidRPr="0092295B">
        <w:rPr>
          <w:szCs w:val="20"/>
          <w:lang w:val="es-CR"/>
        </w:rPr>
        <w:t xml:space="preserve">. </w:t>
      </w:r>
    </w:p>
    <w:p w14:paraId="18DC0DAE" w14:textId="377749D9" w:rsidR="00582139" w:rsidRPr="0092295B" w:rsidRDefault="00582139" w:rsidP="009E377D">
      <w:pPr>
        <w:pStyle w:val="Prrafodelista"/>
        <w:numPr>
          <w:ilvl w:val="0"/>
          <w:numId w:val="15"/>
        </w:numPr>
        <w:spacing w:before="120" w:after="120"/>
        <w:ind w:firstLine="0"/>
        <w:rPr>
          <w:szCs w:val="20"/>
          <w:lang w:val="es-CR"/>
        </w:rPr>
      </w:pPr>
      <w:r w:rsidRPr="0092295B">
        <w:rPr>
          <w:szCs w:val="20"/>
          <w:lang w:val="es-CR"/>
        </w:rPr>
        <w:t xml:space="preserve">El señor </w:t>
      </w:r>
      <w:r w:rsidRPr="0092295B">
        <w:rPr>
          <w:i/>
          <w:szCs w:val="20"/>
          <w:lang w:val="es-ES"/>
        </w:rPr>
        <w:t xml:space="preserve">Alfonso Patricio </w:t>
      </w:r>
      <w:r w:rsidRPr="0092295B">
        <w:rPr>
          <w:i/>
          <w:szCs w:val="20"/>
          <w:lang w:val="es-CR"/>
        </w:rPr>
        <w:t>Vinueza Pánchez</w:t>
      </w:r>
      <w:r w:rsidRPr="0092295B">
        <w:rPr>
          <w:b/>
          <w:szCs w:val="20"/>
        </w:rPr>
        <w:t xml:space="preserve"> </w:t>
      </w:r>
      <w:r w:rsidRPr="0092295B">
        <w:rPr>
          <w:szCs w:val="20"/>
          <w:lang w:val="es-CR"/>
        </w:rPr>
        <w:t xml:space="preserve">fue Jefe de Mecánica de la Policía Nacional con el grado de Mayor de Policía hasta agosto de 2000 y, posteriormente, fue promovido como Teniente Coronel de la Policía del Estado Mayor. En el 2009 </w:t>
      </w:r>
      <w:r w:rsidR="004B2F01" w:rsidRPr="0092295B">
        <w:rPr>
          <w:szCs w:val="20"/>
          <w:lang w:val="es-CR"/>
        </w:rPr>
        <w:t xml:space="preserve">se acogió </w:t>
      </w:r>
      <w:r w:rsidRPr="0092295B">
        <w:rPr>
          <w:szCs w:val="20"/>
          <w:lang w:val="es-CR"/>
        </w:rPr>
        <w:t>al servicio pasivo en el grado de coronel</w:t>
      </w:r>
      <w:r w:rsidR="003D4259">
        <w:rPr>
          <w:rStyle w:val="Refdenotaalpie"/>
          <w:lang w:val="es-CR"/>
        </w:rPr>
        <w:footnoteReference w:id="39"/>
      </w:r>
      <w:r w:rsidR="00DC7604">
        <w:rPr>
          <w:szCs w:val="20"/>
          <w:lang w:val="es-CR"/>
        </w:rPr>
        <w:t>.</w:t>
      </w:r>
    </w:p>
    <w:p w14:paraId="776D6902" w14:textId="32A6E0A1" w:rsidR="00F45E39" w:rsidRPr="0092295B" w:rsidRDefault="00F45E39" w:rsidP="00A53814">
      <w:pPr>
        <w:pStyle w:val="Prrafodelista"/>
        <w:autoSpaceDE w:val="0"/>
        <w:autoSpaceDN w:val="0"/>
        <w:adjustRightInd w:val="0"/>
        <w:spacing w:before="0" w:after="0"/>
        <w:ind w:left="0"/>
        <w:rPr>
          <w:szCs w:val="20"/>
        </w:rPr>
      </w:pPr>
    </w:p>
    <w:p w14:paraId="3B625DEC" w14:textId="52CBCC23" w:rsidR="005D259D" w:rsidRPr="0092295B" w:rsidRDefault="008A17EC" w:rsidP="00ED2790">
      <w:pPr>
        <w:pStyle w:val="Ttulo2"/>
        <w:spacing w:before="0" w:after="0"/>
        <w:ind w:left="709" w:hanging="283"/>
        <w:rPr>
          <w:rFonts w:eastAsia="Times New Roman" w:cs="Times New Roman"/>
          <w:b w:val="0"/>
          <w:szCs w:val="20"/>
          <w:lang w:val="es-MX" w:eastAsia="es-CR"/>
        </w:rPr>
      </w:pPr>
      <w:bookmarkStart w:id="92" w:name="_Toc87339009"/>
      <w:r w:rsidRPr="0092295B">
        <w:rPr>
          <w:rFonts w:eastAsia="Batang" w:cs="Times"/>
          <w:bCs w:val="0"/>
          <w:i w:val="0"/>
          <w:szCs w:val="20"/>
        </w:rPr>
        <w:t>C</w:t>
      </w:r>
      <w:r w:rsidR="005D259D" w:rsidRPr="0092295B">
        <w:rPr>
          <w:rFonts w:eastAsia="Batang" w:cs="Times"/>
          <w:bCs w:val="0"/>
          <w:i w:val="0"/>
          <w:szCs w:val="20"/>
        </w:rPr>
        <w:t>. Detención y proceso en contra de las presuntas víctimas</w:t>
      </w:r>
      <w:bookmarkEnd w:id="92"/>
    </w:p>
    <w:p w14:paraId="47BA0BAA" w14:textId="77777777" w:rsidR="005D259D" w:rsidRPr="0092295B" w:rsidRDefault="005D259D" w:rsidP="00A53814">
      <w:pPr>
        <w:pStyle w:val="Prrafodelista"/>
        <w:spacing w:before="0" w:after="0"/>
        <w:ind w:left="0"/>
        <w:rPr>
          <w:rFonts w:eastAsia="Times New Roman" w:cs="Times New Roman"/>
          <w:szCs w:val="20"/>
          <w:lang w:val="es-MX" w:eastAsia="es-CR"/>
        </w:rPr>
      </w:pPr>
    </w:p>
    <w:p w14:paraId="6AF289D2" w14:textId="1914417C" w:rsidR="002A1610" w:rsidRPr="0092295B" w:rsidRDefault="005D259D" w:rsidP="00CF2D2A">
      <w:pPr>
        <w:pStyle w:val="Prrafodelista"/>
        <w:numPr>
          <w:ilvl w:val="0"/>
          <w:numId w:val="29"/>
        </w:numPr>
        <w:autoSpaceDE w:val="0"/>
        <w:autoSpaceDN w:val="0"/>
        <w:adjustRightInd w:val="0"/>
        <w:spacing w:after="0"/>
        <w:ind w:left="0" w:firstLine="0"/>
        <w:rPr>
          <w:rFonts w:cs="Bookman Old Style"/>
          <w:sz w:val="18"/>
          <w:szCs w:val="18"/>
        </w:rPr>
      </w:pPr>
      <w:r w:rsidRPr="0092295B">
        <w:rPr>
          <w:rFonts w:eastAsia="Times New Roman" w:cs="Times New Roman"/>
          <w:szCs w:val="20"/>
          <w:lang w:val="es-MX" w:eastAsia="es-CR"/>
        </w:rPr>
        <w:t xml:space="preserve">El 13 de julio de 2001 la Contraloría General del Estado </w:t>
      </w:r>
      <w:r w:rsidR="00A53814" w:rsidRPr="0092295B">
        <w:rPr>
          <w:rFonts w:eastAsia="Times New Roman" w:cs="Times New Roman"/>
          <w:szCs w:val="20"/>
          <w:lang w:val="es-MX" w:eastAsia="es-CR"/>
        </w:rPr>
        <w:t xml:space="preserve">(en adelante “la Contraloría”) </w:t>
      </w:r>
      <w:r w:rsidR="00D4778C" w:rsidRPr="0092295B">
        <w:rPr>
          <w:rFonts w:eastAsia="Times New Roman" w:cs="Times New Roman"/>
          <w:szCs w:val="20"/>
          <w:lang w:val="es-MX" w:eastAsia="es-CR"/>
        </w:rPr>
        <w:t>emitió un informe denominado “</w:t>
      </w:r>
      <w:r w:rsidRPr="0092295B">
        <w:rPr>
          <w:rFonts w:eastAsia="Times New Roman" w:cs="Times New Roman"/>
          <w:szCs w:val="20"/>
          <w:lang w:val="es-MX" w:eastAsia="es-CR"/>
        </w:rPr>
        <w:t>Indicios de responsabilidad penal del examen especial a las operaciones administrativas y financieras de la Comandancia</w:t>
      </w:r>
      <w:r w:rsidR="00D4778C" w:rsidRPr="0092295B">
        <w:rPr>
          <w:rFonts w:eastAsia="Times New Roman" w:cs="Times New Roman"/>
          <w:szCs w:val="20"/>
          <w:lang w:val="es-MX" w:eastAsia="es-CR"/>
        </w:rPr>
        <w:t xml:space="preserve"> General de la Policía Nacional</w:t>
      </w:r>
      <w:r w:rsidR="00D4778C" w:rsidRPr="00C8310D">
        <w:rPr>
          <w:rFonts w:eastAsia="Times New Roman" w:cs="Times New Roman"/>
          <w:szCs w:val="20"/>
          <w:lang w:val="es-MX" w:eastAsia="es-CR"/>
        </w:rPr>
        <w:t>”</w:t>
      </w:r>
      <w:r w:rsidR="002003D3" w:rsidRPr="00C8310D">
        <w:rPr>
          <w:rFonts w:eastAsia="Times New Roman" w:cs="Times New Roman"/>
          <w:szCs w:val="20"/>
          <w:lang w:val="es-MX" w:eastAsia="es-CR"/>
        </w:rPr>
        <w:t xml:space="preserve"> No. 32-DA.1-2001- 466</w:t>
      </w:r>
      <w:r w:rsidR="001E38FC">
        <w:rPr>
          <w:rFonts w:eastAsia="Times New Roman" w:cs="Times New Roman"/>
          <w:szCs w:val="20"/>
          <w:lang w:val="es-MX" w:eastAsia="es-CR"/>
        </w:rPr>
        <w:t xml:space="preserve"> (en adelante también </w:t>
      </w:r>
      <w:r w:rsidR="002A1610" w:rsidRPr="0092295B">
        <w:rPr>
          <w:rFonts w:eastAsia="Times New Roman" w:cs="Times New Roman"/>
          <w:szCs w:val="20"/>
          <w:lang w:val="es-MX" w:eastAsia="es-CR"/>
        </w:rPr>
        <w:t>“informe de la Contraloría” o “informe”)</w:t>
      </w:r>
      <w:r w:rsidRPr="0092295B">
        <w:rPr>
          <w:rFonts w:eastAsia="Times New Roman" w:cs="Times New Roman"/>
          <w:szCs w:val="20"/>
          <w:lang w:val="es-MX" w:eastAsia="es-CR"/>
        </w:rPr>
        <w:t>, examen realizado en el per</w:t>
      </w:r>
      <w:r w:rsidR="00A53814" w:rsidRPr="0092295B">
        <w:rPr>
          <w:rFonts w:eastAsia="Times New Roman" w:cs="Times New Roman"/>
          <w:szCs w:val="20"/>
          <w:lang w:val="es-MX" w:eastAsia="es-CR"/>
        </w:rPr>
        <w:t>í</w:t>
      </w:r>
      <w:r w:rsidRPr="0092295B">
        <w:rPr>
          <w:rFonts w:eastAsia="Times New Roman" w:cs="Times New Roman"/>
          <w:szCs w:val="20"/>
          <w:lang w:val="es-MX" w:eastAsia="es-CR"/>
        </w:rPr>
        <w:t>odo comprendido entre el 1 de enero de 1998 y 30 de junio de 2000.</w:t>
      </w:r>
      <w:r w:rsidR="00A53814" w:rsidRPr="0092295B">
        <w:rPr>
          <w:rFonts w:eastAsia="Times New Roman" w:cs="Times New Roman"/>
          <w:b/>
          <w:szCs w:val="20"/>
          <w:lang w:val="es-MX" w:eastAsia="es-CR"/>
        </w:rPr>
        <w:t xml:space="preserve"> </w:t>
      </w:r>
      <w:r w:rsidRPr="0092295B">
        <w:rPr>
          <w:rFonts w:eastAsia="Times New Roman" w:cs="Times New Roman"/>
          <w:szCs w:val="20"/>
          <w:lang w:val="es-MX" w:eastAsia="es-CR"/>
        </w:rPr>
        <w:t>En dicho informe</w:t>
      </w:r>
      <w:r w:rsidR="00B54974" w:rsidRPr="0092295B">
        <w:rPr>
          <w:rFonts w:eastAsia="Times New Roman" w:cs="Times New Roman"/>
          <w:szCs w:val="20"/>
          <w:lang w:val="es-MX" w:eastAsia="es-CR"/>
        </w:rPr>
        <w:t xml:space="preserve"> de la Contra</w:t>
      </w:r>
      <w:r w:rsidR="002A1610" w:rsidRPr="0092295B">
        <w:rPr>
          <w:rFonts w:eastAsia="Times New Roman" w:cs="Times New Roman"/>
          <w:szCs w:val="20"/>
          <w:lang w:val="es-MX" w:eastAsia="es-CR"/>
        </w:rPr>
        <w:t>loría</w:t>
      </w:r>
      <w:r w:rsidRPr="0092295B">
        <w:rPr>
          <w:rFonts w:eastAsia="Times New Roman" w:cs="Times New Roman"/>
          <w:szCs w:val="20"/>
          <w:lang w:val="es-MX" w:eastAsia="es-CR"/>
        </w:rPr>
        <w:t xml:space="preserve"> fue identificada la existencia de irregularidades en los procesos contractuales para la adquisición de repuestos automotrices y la reparación de vehículos </w:t>
      </w:r>
      <w:r w:rsidR="00BA4D8E" w:rsidRPr="006920D5">
        <w:rPr>
          <w:rFonts w:eastAsia="Times New Roman" w:cs="Times New Roman"/>
          <w:szCs w:val="20"/>
          <w:lang w:val="es-MX" w:eastAsia="es-CR"/>
        </w:rPr>
        <w:t>efectuados por la Comandancia General</w:t>
      </w:r>
      <w:r w:rsidR="00BA4D8E">
        <w:rPr>
          <w:rFonts w:eastAsia="Times New Roman" w:cs="Times New Roman"/>
          <w:szCs w:val="20"/>
          <w:lang w:val="es-MX" w:eastAsia="es-CR"/>
        </w:rPr>
        <w:t xml:space="preserve"> </w:t>
      </w:r>
      <w:r w:rsidRPr="0092295B">
        <w:rPr>
          <w:rFonts w:eastAsia="Times New Roman" w:cs="Times New Roman"/>
          <w:szCs w:val="20"/>
          <w:lang w:val="es-MX" w:eastAsia="es-CR"/>
        </w:rPr>
        <w:t>de la Policía Nacional y</w:t>
      </w:r>
      <w:r w:rsidR="00F7182B" w:rsidRPr="0092295B">
        <w:rPr>
          <w:rFonts w:eastAsia="Times New Roman" w:cs="Times New Roman"/>
          <w:szCs w:val="20"/>
          <w:lang w:val="es-MX" w:eastAsia="es-CR"/>
        </w:rPr>
        <w:t xml:space="preserve"> se señalaron vari</w:t>
      </w:r>
      <w:r w:rsidR="00AC2DA2" w:rsidRPr="0092295B">
        <w:rPr>
          <w:rFonts w:eastAsia="Times New Roman" w:cs="Times New Roman"/>
          <w:szCs w:val="20"/>
          <w:lang w:val="es-MX" w:eastAsia="es-CR"/>
        </w:rPr>
        <w:t>a</w:t>
      </w:r>
      <w:r w:rsidR="00F7182B" w:rsidRPr="0092295B">
        <w:rPr>
          <w:rFonts w:eastAsia="Times New Roman" w:cs="Times New Roman"/>
          <w:szCs w:val="20"/>
          <w:lang w:val="es-MX" w:eastAsia="es-CR"/>
        </w:rPr>
        <w:t>s</w:t>
      </w:r>
      <w:r w:rsidRPr="0092295B">
        <w:rPr>
          <w:rFonts w:eastAsia="Times New Roman" w:cs="Times New Roman"/>
          <w:szCs w:val="20"/>
          <w:lang w:val="es-MX" w:eastAsia="es-CR"/>
        </w:rPr>
        <w:t xml:space="preserve"> personas</w:t>
      </w:r>
      <w:r w:rsidR="00BA4D8E">
        <w:rPr>
          <w:rFonts w:eastAsia="Times New Roman" w:cs="Times New Roman"/>
          <w:szCs w:val="20"/>
          <w:lang w:val="es-MX" w:eastAsia="es-CR"/>
        </w:rPr>
        <w:t>,</w:t>
      </w:r>
      <w:r w:rsidRPr="0092295B">
        <w:rPr>
          <w:rFonts w:eastAsia="Times New Roman" w:cs="Times New Roman"/>
          <w:szCs w:val="20"/>
          <w:lang w:val="es-MX" w:eastAsia="es-CR"/>
        </w:rPr>
        <w:t xml:space="preserve"> como</w:t>
      </w:r>
      <w:r w:rsidR="00AC2DA2" w:rsidRPr="0092295B">
        <w:rPr>
          <w:rFonts w:eastAsia="Times New Roman" w:cs="Times New Roman"/>
          <w:szCs w:val="20"/>
          <w:lang w:val="es-MX" w:eastAsia="es-CR"/>
        </w:rPr>
        <w:t xml:space="preserve"> las presuntas víctimas</w:t>
      </w:r>
      <w:r w:rsidR="00BA4D8E">
        <w:rPr>
          <w:rFonts w:eastAsia="Times New Roman" w:cs="Times New Roman"/>
          <w:szCs w:val="20"/>
          <w:lang w:val="es-MX" w:eastAsia="es-CR"/>
        </w:rPr>
        <w:t>,</w:t>
      </w:r>
      <w:r w:rsidR="00AC2DA2" w:rsidRPr="0092295B">
        <w:rPr>
          <w:rFonts w:eastAsia="Times New Roman" w:cs="Times New Roman"/>
          <w:szCs w:val="20"/>
          <w:lang w:val="es-MX" w:eastAsia="es-CR"/>
        </w:rPr>
        <w:t xml:space="preserve"> involucrada</w:t>
      </w:r>
      <w:r w:rsidRPr="0092295B">
        <w:rPr>
          <w:rFonts w:eastAsia="Times New Roman" w:cs="Times New Roman"/>
          <w:szCs w:val="20"/>
          <w:lang w:val="es-MX" w:eastAsia="es-CR"/>
        </w:rPr>
        <w:t>s</w:t>
      </w:r>
      <w:r w:rsidR="00AC2DA2" w:rsidRPr="0092295B">
        <w:rPr>
          <w:rStyle w:val="Refdenotaalpie"/>
          <w:rFonts w:eastAsia="Times New Roman"/>
          <w:lang w:val="es-MX" w:eastAsia="es-CR"/>
        </w:rPr>
        <w:footnoteReference w:id="40"/>
      </w:r>
      <w:r w:rsidRPr="0092295B">
        <w:rPr>
          <w:rFonts w:eastAsia="Times New Roman" w:cs="Times New Roman"/>
          <w:szCs w:val="20"/>
          <w:lang w:val="es-MX" w:eastAsia="es-CR"/>
        </w:rPr>
        <w:t xml:space="preserve">, </w:t>
      </w:r>
      <w:r w:rsidR="00DE04AC" w:rsidRPr="0092295B">
        <w:rPr>
          <w:rFonts w:eastAsia="Times New Roman" w:cs="Times New Roman"/>
          <w:szCs w:val="20"/>
          <w:lang w:val="es-MX" w:eastAsia="es-CR"/>
        </w:rPr>
        <w:t xml:space="preserve">respecto de </w:t>
      </w:r>
      <w:r w:rsidRPr="0092295B">
        <w:rPr>
          <w:rFonts w:eastAsia="Times New Roman" w:cs="Times New Roman"/>
          <w:szCs w:val="20"/>
          <w:lang w:val="es-MX" w:eastAsia="es-CR"/>
        </w:rPr>
        <w:t xml:space="preserve">quienes </w:t>
      </w:r>
      <w:r w:rsidR="007F7A80" w:rsidRPr="00B33ECE">
        <w:rPr>
          <w:rFonts w:eastAsia="Times New Roman" w:cs="Times New Roman"/>
          <w:szCs w:val="20"/>
          <w:lang w:val="es-MX" w:eastAsia="es-CR"/>
        </w:rPr>
        <w:t>se concluyó</w:t>
      </w:r>
      <w:r w:rsidR="00BA4D8E" w:rsidRPr="00E95230">
        <w:rPr>
          <w:rFonts w:eastAsia="Times New Roman" w:cs="Times New Roman"/>
          <w:szCs w:val="20"/>
          <w:lang w:val="es-MX" w:eastAsia="es-CR"/>
        </w:rPr>
        <w:t xml:space="preserve"> </w:t>
      </w:r>
      <w:r w:rsidRPr="0092295B">
        <w:rPr>
          <w:rFonts w:eastAsia="Times New Roman" w:cs="Times New Roman"/>
          <w:szCs w:val="20"/>
          <w:lang w:val="es-MX" w:eastAsia="es-CR"/>
        </w:rPr>
        <w:t>existían méritos para abrir una investigación penal por el delito de peculado</w:t>
      </w:r>
      <w:r w:rsidR="00003FD2" w:rsidRPr="0092295B">
        <w:rPr>
          <w:rFonts w:eastAsia="Times New Roman" w:cs="Times New Roman"/>
          <w:szCs w:val="20"/>
          <w:lang w:val="es-MX" w:eastAsia="es-CR"/>
        </w:rPr>
        <w:t>,</w:t>
      </w:r>
      <w:r w:rsidR="00003FD2" w:rsidRPr="0092295B">
        <w:rPr>
          <w:rFonts w:eastAsia="Times New Roman" w:cs="Times New Roman"/>
          <w:i/>
          <w:szCs w:val="20"/>
          <w:lang w:val="es-MX" w:eastAsia="es-CR"/>
        </w:rPr>
        <w:t xml:space="preserve"> </w:t>
      </w:r>
      <w:r w:rsidR="00003FD2" w:rsidRPr="0092295B">
        <w:rPr>
          <w:rFonts w:eastAsiaTheme="minorHAnsi" w:cs="Bookman Old Style"/>
          <w:szCs w:val="20"/>
          <w:lang w:val="es-CR"/>
        </w:rPr>
        <w:t>tipificado en el artículo 257 del Código Penal</w:t>
      </w:r>
      <w:r w:rsidR="00231139" w:rsidRPr="0092295B">
        <w:rPr>
          <w:rStyle w:val="Refdenotaalpie"/>
          <w:rFonts w:eastAsiaTheme="minorHAnsi"/>
          <w:lang w:val="es-CR"/>
        </w:rPr>
        <w:footnoteReference w:id="41"/>
      </w:r>
      <w:r w:rsidRPr="0092295B">
        <w:rPr>
          <w:rFonts w:eastAsia="Times New Roman" w:cs="Times New Roman"/>
          <w:szCs w:val="20"/>
          <w:lang w:val="es-MX" w:eastAsia="es-CR"/>
        </w:rPr>
        <w:t xml:space="preserve">, </w:t>
      </w:r>
      <w:r w:rsidR="00F41437" w:rsidRPr="0092295B">
        <w:rPr>
          <w:rFonts w:cs="Bookman Old Style"/>
          <w:szCs w:val="20"/>
        </w:rPr>
        <w:t>y el delito de falsedad en instrumentos privados, tipificado en el artículo 340 del mismo cuerpo normativo</w:t>
      </w:r>
      <w:r w:rsidR="00F41437" w:rsidRPr="0092295B">
        <w:rPr>
          <w:rStyle w:val="Refdenotaalpie"/>
        </w:rPr>
        <w:footnoteReference w:id="42"/>
      </w:r>
      <w:r w:rsidR="007F7A80" w:rsidRPr="00B33ECE">
        <w:rPr>
          <w:rFonts w:eastAsia="Times New Roman" w:cs="Times New Roman"/>
          <w:sz w:val="16"/>
          <w:szCs w:val="16"/>
          <w:lang w:val="es-MX" w:eastAsia="es-CR"/>
        </w:rPr>
        <w:t>.</w:t>
      </w:r>
      <w:r w:rsidR="002A1610" w:rsidRPr="0092295B">
        <w:rPr>
          <w:rFonts w:eastAsia="Times New Roman" w:cs="Times New Roman"/>
          <w:b/>
          <w:sz w:val="16"/>
          <w:szCs w:val="16"/>
          <w:lang w:val="es-MX" w:eastAsia="es-CR"/>
        </w:rPr>
        <w:t xml:space="preserve"> </w:t>
      </w:r>
      <w:r w:rsidR="002A1610" w:rsidRPr="0092295B">
        <w:rPr>
          <w:rFonts w:eastAsia="Times New Roman" w:cs="Times New Roman"/>
          <w:szCs w:val="20"/>
          <w:lang w:val="es-MX" w:eastAsia="es-CR"/>
        </w:rPr>
        <w:t>Dicho informe señaló, en lo sustancial</w:t>
      </w:r>
      <w:r w:rsidR="00576D30">
        <w:rPr>
          <w:rFonts w:eastAsia="Times New Roman" w:cs="Times New Roman"/>
          <w:szCs w:val="20"/>
          <w:lang w:val="es-MX" w:eastAsia="es-CR"/>
        </w:rPr>
        <w:t>,</w:t>
      </w:r>
      <w:r w:rsidR="002A1610" w:rsidRPr="0092295B">
        <w:rPr>
          <w:rFonts w:eastAsia="Times New Roman" w:cs="Times New Roman"/>
          <w:szCs w:val="20"/>
          <w:lang w:val="es-MX" w:eastAsia="es-CR"/>
        </w:rPr>
        <w:t xml:space="preserve"> lo siguiente:</w:t>
      </w:r>
      <w:r w:rsidR="002A1610" w:rsidRPr="0092295B">
        <w:rPr>
          <w:rFonts w:eastAsia="Times New Roman" w:cs="Times New Roman"/>
          <w:b/>
          <w:szCs w:val="20"/>
          <w:lang w:val="es-MX" w:eastAsia="es-CR"/>
        </w:rPr>
        <w:t xml:space="preserve"> </w:t>
      </w:r>
    </w:p>
    <w:p w14:paraId="759E3506" w14:textId="77777777" w:rsidR="002A1610" w:rsidRPr="0092295B" w:rsidRDefault="002A1610" w:rsidP="002A1610">
      <w:pPr>
        <w:pStyle w:val="Prrafodelista"/>
        <w:autoSpaceDE w:val="0"/>
        <w:autoSpaceDN w:val="0"/>
        <w:adjustRightInd w:val="0"/>
        <w:spacing w:before="0" w:after="0"/>
        <w:ind w:left="0"/>
        <w:rPr>
          <w:rFonts w:eastAsia="Times New Roman" w:cs="Times New Roman"/>
          <w:bCs/>
          <w:i/>
          <w:iCs/>
          <w:szCs w:val="20"/>
          <w:lang w:val="es-MX" w:eastAsia="es-CR"/>
        </w:rPr>
      </w:pPr>
    </w:p>
    <w:p w14:paraId="51650B35" w14:textId="7C27E41C" w:rsidR="002A1610" w:rsidRPr="0092295B" w:rsidRDefault="002A1610" w:rsidP="002A1610">
      <w:pPr>
        <w:autoSpaceDE w:val="0"/>
        <w:autoSpaceDN w:val="0"/>
        <w:adjustRightInd w:val="0"/>
        <w:spacing w:after="0"/>
        <w:ind w:left="708" w:right="720"/>
        <w:rPr>
          <w:sz w:val="16"/>
          <w:szCs w:val="16"/>
        </w:rPr>
      </w:pPr>
      <w:r w:rsidRPr="0092295B">
        <w:rPr>
          <w:rFonts w:cs="Bookman Old Style"/>
          <w:sz w:val="16"/>
          <w:szCs w:val="16"/>
        </w:rPr>
        <w:t xml:space="preserve">[...] La Comisión de Adquisiciones a base de la información remitida, esto es, pedido interno, criterio del mecánico y proformas de varias casas comerciales proveedoras de repuestos, procedieron a la </w:t>
      </w:r>
      <w:r w:rsidRPr="0092295B">
        <w:rPr>
          <w:rFonts w:cs="Bookman Old Style,Bold"/>
          <w:bCs/>
          <w:sz w:val="16"/>
          <w:szCs w:val="16"/>
        </w:rPr>
        <w:t xml:space="preserve">selección y adjudicación </w:t>
      </w:r>
      <w:r w:rsidRPr="0092295B">
        <w:rPr>
          <w:rFonts w:cs="Bookman Old Style"/>
          <w:sz w:val="16"/>
          <w:szCs w:val="16"/>
        </w:rPr>
        <w:t xml:space="preserve">de las compras a </w:t>
      </w:r>
      <w:r w:rsidRPr="0092295B">
        <w:rPr>
          <w:rFonts w:cs="Bookman Old Style,Bold"/>
          <w:bCs/>
          <w:sz w:val="16"/>
          <w:szCs w:val="16"/>
        </w:rPr>
        <w:t>TECMADIESEL GRUP, COTRANSA y DIJORMING</w:t>
      </w:r>
      <w:r w:rsidRPr="0092295B">
        <w:rPr>
          <w:rFonts w:cs="Bookman Old Style"/>
          <w:sz w:val="16"/>
          <w:szCs w:val="16"/>
        </w:rPr>
        <w:t xml:space="preserve">, </w:t>
      </w:r>
      <w:r w:rsidRPr="0092295B">
        <w:rPr>
          <w:rFonts w:cs="Bookman Old Style,Bold"/>
          <w:bCs/>
          <w:sz w:val="16"/>
          <w:szCs w:val="16"/>
        </w:rPr>
        <w:t>relacionadas entre sí</w:t>
      </w:r>
      <w:r w:rsidRPr="0092295B">
        <w:rPr>
          <w:rFonts w:cs="Bookman Old Style"/>
          <w:sz w:val="16"/>
          <w:szCs w:val="16"/>
        </w:rPr>
        <w:t xml:space="preserve">, por pertenecer a un solo grupo familiar, </w:t>
      </w:r>
      <w:r w:rsidRPr="0092295B">
        <w:rPr>
          <w:rFonts w:cs="Bookman Old Style,Bold"/>
          <w:bCs/>
          <w:sz w:val="16"/>
          <w:szCs w:val="16"/>
        </w:rPr>
        <w:t>evitando una sana competencia con otros proveedores</w:t>
      </w:r>
      <w:r w:rsidRPr="0092295B">
        <w:rPr>
          <w:rFonts w:cs="Bookman Old Style"/>
          <w:sz w:val="16"/>
          <w:szCs w:val="16"/>
        </w:rPr>
        <w:t xml:space="preserve">, por lo que pagaron S/99´425.907 [sucres] en más; además, las firmas que constan en los comprobantes de operaciones difieren unas con otras y </w:t>
      </w:r>
      <w:r w:rsidRPr="0092295B">
        <w:rPr>
          <w:rFonts w:cs="Bookman Old Style,Bold"/>
          <w:bCs/>
          <w:sz w:val="16"/>
          <w:szCs w:val="16"/>
        </w:rPr>
        <w:t>se subdividieron las compras para no sujetarse a la Ley de Contratación Pública</w:t>
      </w:r>
      <w:r w:rsidRPr="0092295B">
        <w:rPr>
          <w:rFonts w:cs="Bookman Old Style"/>
          <w:sz w:val="16"/>
          <w:szCs w:val="16"/>
        </w:rPr>
        <w:t>. Hechos en los cuales se presume el cometimiento del delito tipificado en el tercer innumerado agregado al artículo 257 y 340 del Código Penal</w:t>
      </w:r>
      <w:r w:rsidRPr="0092295B">
        <w:rPr>
          <w:rStyle w:val="Refdenotaalpie"/>
          <w:rFonts w:eastAsia="Times New Roman"/>
          <w:sz w:val="16"/>
          <w:szCs w:val="16"/>
          <w:lang w:val="es-MX" w:eastAsia="es-CR"/>
        </w:rPr>
        <w:footnoteReference w:id="43"/>
      </w:r>
      <w:r w:rsidRPr="0092295B">
        <w:rPr>
          <w:rFonts w:cs="Bookman Old Style"/>
          <w:sz w:val="16"/>
          <w:szCs w:val="16"/>
        </w:rPr>
        <w:t xml:space="preserve">. </w:t>
      </w:r>
    </w:p>
    <w:p w14:paraId="0234536E" w14:textId="77777777" w:rsidR="00A26185" w:rsidRPr="0092295B" w:rsidRDefault="00A26185" w:rsidP="004B2F01">
      <w:pPr>
        <w:pStyle w:val="Prrafodelista"/>
        <w:autoSpaceDE w:val="0"/>
        <w:autoSpaceDN w:val="0"/>
        <w:adjustRightInd w:val="0"/>
        <w:spacing w:before="0" w:after="0"/>
        <w:ind w:left="0"/>
        <w:rPr>
          <w:rFonts w:eastAsia="Times New Roman" w:cs="Times New Roman"/>
          <w:szCs w:val="20"/>
          <w:lang w:val="es-MX" w:eastAsia="es-CR"/>
        </w:rPr>
      </w:pPr>
    </w:p>
    <w:p w14:paraId="5289747B" w14:textId="08DE5976" w:rsidR="005D259D" w:rsidRPr="00E95230" w:rsidRDefault="002B055F" w:rsidP="00CF2D2A">
      <w:pPr>
        <w:pStyle w:val="Prrafodelista"/>
        <w:numPr>
          <w:ilvl w:val="0"/>
          <w:numId w:val="29"/>
        </w:numPr>
        <w:autoSpaceDE w:val="0"/>
        <w:autoSpaceDN w:val="0"/>
        <w:adjustRightInd w:val="0"/>
        <w:spacing w:before="0" w:after="0"/>
        <w:ind w:left="0" w:firstLine="0"/>
        <w:rPr>
          <w:rFonts w:eastAsia="Times New Roman" w:cs="Times New Roman"/>
          <w:szCs w:val="20"/>
          <w:lang w:val="es-MX" w:eastAsia="es-CR"/>
        </w:rPr>
      </w:pPr>
      <w:r w:rsidRPr="00E95230">
        <w:rPr>
          <w:rFonts w:cs="Times New Roman"/>
          <w:szCs w:val="20"/>
          <w:lang w:val="es-CR"/>
        </w:rPr>
        <w:t xml:space="preserve">El </w:t>
      </w:r>
      <w:r w:rsidR="00CC1363" w:rsidRPr="00E95230">
        <w:rPr>
          <w:rFonts w:cs="Times New Roman"/>
          <w:szCs w:val="20"/>
          <w:lang w:val="es-CR"/>
        </w:rPr>
        <w:t>i</w:t>
      </w:r>
      <w:r w:rsidR="005D259D" w:rsidRPr="00E95230">
        <w:rPr>
          <w:rFonts w:cs="Times New Roman"/>
          <w:szCs w:val="20"/>
          <w:lang w:val="es-CR"/>
        </w:rPr>
        <w:t xml:space="preserve">nforme de Contraloría fue puesto en conocimiento del Ministro Fiscal de la Corte </w:t>
      </w:r>
      <w:r w:rsidR="00DF4463" w:rsidRPr="00E95230">
        <w:rPr>
          <w:rFonts w:cs="Times New Roman"/>
          <w:szCs w:val="20"/>
          <w:lang w:val="es-CR"/>
        </w:rPr>
        <w:t xml:space="preserve">Nacional </w:t>
      </w:r>
      <w:r w:rsidR="005D259D" w:rsidRPr="00E95230">
        <w:rPr>
          <w:rFonts w:cs="Times New Roman"/>
          <w:szCs w:val="20"/>
          <w:lang w:val="es-CR"/>
        </w:rPr>
        <w:t xml:space="preserve">de Justicia </w:t>
      </w:r>
      <w:r w:rsidR="00CC1363" w:rsidRPr="00E95230">
        <w:rPr>
          <w:rFonts w:cs="Times New Roman"/>
          <w:szCs w:val="20"/>
          <w:lang w:val="es-CR"/>
        </w:rPr>
        <w:t>Policial</w:t>
      </w:r>
      <w:r w:rsidR="005D259D" w:rsidRPr="00E95230">
        <w:rPr>
          <w:rFonts w:cs="Times New Roman"/>
          <w:szCs w:val="20"/>
          <w:lang w:val="es-CR"/>
        </w:rPr>
        <w:t>, el 28 de enero de 2002</w:t>
      </w:r>
      <w:r w:rsidR="005D259D" w:rsidRPr="00E95230">
        <w:rPr>
          <w:rStyle w:val="Refdenotaalpie"/>
          <w:lang w:val="es-CR"/>
        </w:rPr>
        <w:footnoteReference w:id="44"/>
      </w:r>
      <w:r w:rsidR="005D259D" w:rsidRPr="00E95230">
        <w:rPr>
          <w:rFonts w:cs="Times New Roman"/>
          <w:szCs w:val="20"/>
          <w:lang w:val="es-CR"/>
        </w:rPr>
        <w:t xml:space="preserve">, </w:t>
      </w:r>
      <w:r w:rsidR="005D259D" w:rsidRPr="00E95230">
        <w:rPr>
          <w:rFonts w:eastAsia="Times New Roman" w:cs="Times New Roman"/>
          <w:szCs w:val="20"/>
          <w:lang w:val="es-MX" w:eastAsia="es-CR"/>
        </w:rPr>
        <w:t>quien en cumplimiento de sus atribuciones</w:t>
      </w:r>
      <w:r w:rsidR="00B6484C" w:rsidRPr="00E95230">
        <w:rPr>
          <w:rFonts w:eastAsia="Times New Roman" w:cs="Times New Roman"/>
          <w:szCs w:val="20"/>
          <w:lang w:val="es-MX" w:eastAsia="es-CR"/>
        </w:rPr>
        <w:t xml:space="preserve"> dispuestas en el artículo 58 de la Ley de la Función Judicial de la Policía Nacional</w:t>
      </w:r>
      <w:r w:rsidR="00B6484C" w:rsidRPr="00E95230">
        <w:rPr>
          <w:rStyle w:val="Refdenotaalpie"/>
          <w:rFonts w:eastAsia="Times New Roman"/>
          <w:lang w:val="es-MX" w:eastAsia="es-CR"/>
        </w:rPr>
        <w:footnoteReference w:id="45"/>
      </w:r>
      <w:r w:rsidR="005D259D" w:rsidRPr="00E95230">
        <w:rPr>
          <w:rFonts w:eastAsia="Times New Roman" w:cs="Times New Roman"/>
          <w:szCs w:val="20"/>
          <w:lang w:val="es-MX" w:eastAsia="es-CR"/>
        </w:rPr>
        <w:t>, mediante escrito de 7 de marzo de 2002, luego de an</w:t>
      </w:r>
      <w:r w:rsidR="00CC1363" w:rsidRPr="00E95230">
        <w:rPr>
          <w:rFonts w:eastAsia="Times New Roman" w:cs="Times New Roman"/>
          <w:szCs w:val="20"/>
          <w:lang w:val="es-MX" w:eastAsia="es-CR"/>
        </w:rPr>
        <w:t>alizar el i</w:t>
      </w:r>
      <w:r w:rsidR="005D259D" w:rsidRPr="00E95230">
        <w:rPr>
          <w:rFonts w:eastAsia="Times New Roman" w:cs="Times New Roman"/>
          <w:szCs w:val="20"/>
          <w:lang w:val="es-MX" w:eastAsia="es-CR"/>
        </w:rPr>
        <w:t>nforme de Contraloría, así como otros eleme</w:t>
      </w:r>
      <w:r w:rsidR="002A1610" w:rsidRPr="00E95230">
        <w:rPr>
          <w:rFonts w:eastAsia="Times New Roman" w:cs="Times New Roman"/>
          <w:szCs w:val="20"/>
          <w:lang w:val="es-MX" w:eastAsia="es-CR"/>
        </w:rPr>
        <w:t>ntos probatorios, concluyó que “</w:t>
      </w:r>
      <w:r w:rsidR="005D259D" w:rsidRPr="00E95230">
        <w:rPr>
          <w:rFonts w:eastAsia="Times New Roman" w:cs="Times New Roman"/>
          <w:szCs w:val="20"/>
          <w:lang w:val="es-MX" w:eastAsia="es-CR"/>
        </w:rPr>
        <w:t>se procedió</w:t>
      </w:r>
      <w:r w:rsidR="005D259D" w:rsidRPr="00E95230">
        <w:rPr>
          <w:rFonts w:cs="Times New Roman"/>
          <w:szCs w:val="20"/>
          <w:lang w:val="es-CR"/>
        </w:rPr>
        <w:t xml:space="preserve"> a </w:t>
      </w:r>
      <w:r w:rsidR="005D259D" w:rsidRPr="00E95230">
        <w:rPr>
          <w:rFonts w:cs="Times New Roman"/>
          <w:bCs/>
          <w:szCs w:val="20"/>
          <w:lang w:val="es-CR"/>
        </w:rPr>
        <w:t>subdividir y sobrevalorar el precio</w:t>
      </w:r>
      <w:r w:rsidR="005D259D" w:rsidRPr="00E95230">
        <w:rPr>
          <w:rFonts w:cs="Times New Roman"/>
          <w:b/>
          <w:bCs/>
          <w:szCs w:val="20"/>
          <w:lang w:val="es-CR"/>
        </w:rPr>
        <w:t xml:space="preserve"> </w:t>
      </w:r>
      <w:r w:rsidR="005D259D" w:rsidRPr="00E95230">
        <w:rPr>
          <w:rFonts w:cs="Times New Roman"/>
          <w:szCs w:val="20"/>
          <w:lang w:val="es-CR"/>
        </w:rPr>
        <w:t xml:space="preserve">de los bienes adquiridos a través de los contratos suscritos por la Comandancia General de la Policía, </w:t>
      </w:r>
      <w:r w:rsidR="005D259D" w:rsidRPr="00E95230">
        <w:rPr>
          <w:rFonts w:cs="Times New Roman"/>
          <w:bCs/>
          <w:szCs w:val="20"/>
          <w:lang w:val="es-CR"/>
        </w:rPr>
        <w:t xml:space="preserve">beneficiando a las empresas </w:t>
      </w:r>
      <w:r w:rsidR="005D259D" w:rsidRPr="00E95230">
        <w:rPr>
          <w:rFonts w:cs="Times New Roman"/>
          <w:szCs w:val="20"/>
          <w:lang w:val="es-CR"/>
        </w:rPr>
        <w:t xml:space="preserve">COTRANSA, TECMADIESEL GRUP, DIJORMING Y LLANTERA DEL PACÍFICO, violentando las disposiciones del artículo </w:t>
      </w:r>
      <w:r w:rsidR="005D259D" w:rsidRPr="00E95230">
        <w:rPr>
          <w:rFonts w:cs="Arial"/>
          <w:szCs w:val="20"/>
          <w:lang w:val="es-CR"/>
        </w:rPr>
        <w:t xml:space="preserve">64 </w:t>
      </w:r>
      <w:r w:rsidR="005D259D" w:rsidRPr="00E95230">
        <w:rPr>
          <w:rFonts w:cs="Times New Roman"/>
          <w:szCs w:val="20"/>
          <w:lang w:val="es-CR"/>
        </w:rPr>
        <w:t>de la Ley de Contratación Pública”</w:t>
      </w:r>
      <w:r w:rsidR="00BF32AD" w:rsidRPr="00E95230">
        <w:rPr>
          <w:rStyle w:val="Refdenotaalpie"/>
          <w:lang w:val="es-CR"/>
        </w:rPr>
        <w:footnoteReference w:id="46"/>
      </w:r>
      <w:r w:rsidR="005D259D" w:rsidRPr="00E95230">
        <w:rPr>
          <w:rFonts w:cs="Times New Roman"/>
          <w:szCs w:val="20"/>
          <w:lang w:val="es-CR"/>
        </w:rPr>
        <w:t xml:space="preserve"> referentes a la prohibición de subdividir contratos</w:t>
      </w:r>
      <w:r w:rsidR="002A1610" w:rsidRPr="00E95230">
        <w:rPr>
          <w:rFonts w:cs="Times New Roman"/>
          <w:szCs w:val="20"/>
          <w:lang w:val="es-CR"/>
        </w:rPr>
        <w:t xml:space="preserve"> (mayúsculas del original). E</w:t>
      </w:r>
      <w:r w:rsidR="005D259D" w:rsidRPr="00E95230">
        <w:rPr>
          <w:rFonts w:cs="Times New Roman"/>
          <w:szCs w:val="20"/>
          <w:lang w:val="es-CR"/>
        </w:rPr>
        <w:t>n consecuencia, el Ministro Fiscal Policial</w:t>
      </w:r>
      <w:r w:rsidR="006C743D" w:rsidRPr="00E95230">
        <w:rPr>
          <w:rFonts w:cs="Times New Roman"/>
          <w:szCs w:val="20"/>
          <w:lang w:val="es-CR"/>
        </w:rPr>
        <w:t>, en el mismo escrito</w:t>
      </w:r>
      <w:r w:rsidR="00A3668A">
        <w:rPr>
          <w:rFonts w:cs="Times New Roman"/>
          <w:szCs w:val="20"/>
          <w:lang w:val="es-CR"/>
        </w:rPr>
        <w:t>,</w:t>
      </w:r>
      <w:r w:rsidR="005D259D" w:rsidRPr="00E95230">
        <w:rPr>
          <w:rFonts w:cs="Times New Roman"/>
          <w:szCs w:val="20"/>
          <w:lang w:val="es-CR"/>
        </w:rPr>
        <w:t xml:space="preserve"> solicitó al Presidente de la CNJP que dictara un “auto cabeza” del proceso en contra de quienes presuntamente habían autorizado los gastos y pagos de las diferentes adquisiciones, de acuerdo a lo señalado en el informe de la Contraloría</w:t>
      </w:r>
      <w:r w:rsidR="005D259D" w:rsidRPr="00E95230">
        <w:rPr>
          <w:rStyle w:val="Refdenotaalpie"/>
          <w:lang w:val="es-CR"/>
        </w:rPr>
        <w:footnoteReference w:id="47"/>
      </w:r>
      <w:r w:rsidR="005D259D" w:rsidRPr="00E95230">
        <w:rPr>
          <w:rFonts w:cs="Times New Roman"/>
          <w:szCs w:val="20"/>
          <w:lang w:val="es-CR"/>
        </w:rPr>
        <w:t>.</w:t>
      </w:r>
    </w:p>
    <w:p w14:paraId="7E466E51" w14:textId="77777777" w:rsidR="005D259D" w:rsidRPr="00E95230" w:rsidRDefault="005D259D" w:rsidP="005D259D">
      <w:pPr>
        <w:pStyle w:val="Prrafodelista"/>
        <w:autoSpaceDE w:val="0"/>
        <w:autoSpaceDN w:val="0"/>
        <w:adjustRightInd w:val="0"/>
        <w:spacing w:before="0" w:after="0"/>
        <w:ind w:left="0"/>
        <w:rPr>
          <w:rFonts w:eastAsia="Times New Roman" w:cs="Times New Roman"/>
          <w:szCs w:val="20"/>
          <w:lang w:val="es-MX" w:eastAsia="es-CR"/>
        </w:rPr>
      </w:pPr>
    </w:p>
    <w:p w14:paraId="65D29D9C" w14:textId="17263C6C" w:rsidR="005D259D" w:rsidRPr="00E95230" w:rsidRDefault="00EA4010" w:rsidP="00CF2D2A">
      <w:pPr>
        <w:pStyle w:val="Prrafodelista"/>
        <w:numPr>
          <w:ilvl w:val="0"/>
          <w:numId w:val="29"/>
        </w:numPr>
        <w:autoSpaceDE w:val="0"/>
        <w:autoSpaceDN w:val="0"/>
        <w:adjustRightInd w:val="0"/>
        <w:spacing w:before="0" w:after="0"/>
        <w:ind w:left="0" w:firstLine="0"/>
        <w:rPr>
          <w:rFonts w:eastAsia="Times New Roman" w:cs="Times New Roman"/>
          <w:szCs w:val="20"/>
          <w:lang w:val="es-MX" w:eastAsia="es-CR"/>
        </w:rPr>
      </w:pPr>
      <w:r w:rsidRPr="00E95230">
        <w:rPr>
          <w:rFonts w:eastAsia="Times New Roman" w:cs="Times New Roman"/>
          <w:szCs w:val="20"/>
          <w:lang w:val="es-MX" w:eastAsia="es-CR"/>
        </w:rPr>
        <w:t>El 19 de marzo de 2002</w:t>
      </w:r>
      <w:r w:rsidR="005D259D" w:rsidRPr="00E95230">
        <w:rPr>
          <w:rFonts w:eastAsia="Times New Roman" w:cs="Times New Roman"/>
          <w:szCs w:val="20"/>
          <w:lang w:val="es-MX" w:eastAsia="es-CR"/>
        </w:rPr>
        <w:t xml:space="preserve"> el Presidente de la CNJP dictó auto cabeza de proceso en contra de catorce oficiales de la Policía Nacional, incluyendo a las seis presuntas víctimas. El Presidente</w:t>
      </w:r>
      <w:r w:rsidR="002B055F" w:rsidRPr="00E95230">
        <w:rPr>
          <w:rFonts w:eastAsia="Times New Roman" w:cs="Times New Roman"/>
          <w:szCs w:val="20"/>
          <w:lang w:val="es-MX" w:eastAsia="es-CR"/>
        </w:rPr>
        <w:t xml:space="preserve"> de la </w:t>
      </w:r>
      <w:r w:rsidR="00BF32AD" w:rsidRPr="00E95230">
        <w:rPr>
          <w:rFonts w:eastAsia="Times New Roman" w:cs="Times New Roman"/>
          <w:szCs w:val="20"/>
          <w:lang w:val="es-MX" w:eastAsia="es-CR"/>
        </w:rPr>
        <w:t>CNJP</w:t>
      </w:r>
      <w:r w:rsidR="005D259D" w:rsidRPr="00E95230">
        <w:rPr>
          <w:rFonts w:eastAsia="Times New Roman" w:cs="Times New Roman"/>
          <w:szCs w:val="20"/>
          <w:lang w:val="es-MX" w:eastAsia="es-CR"/>
        </w:rPr>
        <w:t xml:space="preserve"> indicó que</w:t>
      </w:r>
      <w:r w:rsidR="00A3668A">
        <w:rPr>
          <w:rFonts w:eastAsia="Times New Roman" w:cs="Times New Roman"/>
          <w:szCs w:val="20"/>
          <w:lang w:val="es-MX" w:eastAsia="es-CR"/>
        </w:rPr>
        <w:t>,</w:t>
      </w:r>
      <w:r w:rsidR="005D259D" w:rsidRPr="00E95230">
        <w:rPr>
          <w:rFonts w:eastAsia="Times New Roman" w:cs="Times New Roman"/>
          <w:szCs w:val="20"/>
          <w:lang w:val="es-MX" w:eastAsia="es-CR"/>
        </w:rPr>
        <w:t xml:space="preserve"> con base en el informe de la Contraloría</w:t>
      </w:r>
      <w:r w:rsidR="00A3668A">
        <w:rPr>
          <w:rFonts w:eastAsia="Times New Roman" w:cs="Times New Roman"/>
          <w:szCs w:val="20"/>
          <w:lang w:val="es-MX" w:eastAsia="es-CR"/>
        </w:rPr>
        <w:t>,</w:t>
      </w:r>
      <w:r w:rsidR="005D259D" w:rsidRPr="00E95230">
        <w:rPr>
          <w:rFonts w:eastAsia="Times New Roman" w:cs="Times New Roman"/>
          <w:szCs w:val="20"/>
          <w:lang w:val="es-MX" w:eastAsia="es-CR"/>
        </w:rPr>
        <w:t xml:space="preserve"> existían indicios de haberse cometido el delito de malversación de fondos, establecido en el artículo 222 numeral</w:t>
      </w:r>
      <w:r w:rsidR="008931D0">
        <w:rPr>
          <w:rFonts w:eastAsia="Times New Roman" w:cs="Times New Roman"/>
          <w:szCs w:val="20"/>
          <w:lang w:val="es-MX" w:eastAsia="es-CR"/>
        </w:rPr>
        <w:t>es</w:t>
      </w:r>
      <w:r w:rsidR="005D259D" w:rsidRPr="00E95230">
        <w:rPr>
          <w:rFonts w:eastAsia="Times New Roman" w:cs="Times New Roman"/>
          <w:szCs w:val="20"/>
          <w:lang w:val="es-MX" w:eastAsia="es-CR"/>
        </w:rPr>
        <w:t xml:space="preserve"> 3, 4 y 10</w:t>
      </w:r>
      <w:r w:rsidR="00513218" w:rsidRPr="00E95230">
        <w:rPr>
          <w:rFonts w:eastAsia="Times New Roman" w:cs="Times New Roman"/>
          <w:szCs w:val="20"/>
          <w:lang w:val="es-MX" w:eastAsia="es-CR"/>
        </w:rPr>
        <w:t xml:space="preserve"> </w:t>
      </w:r>
      <w:r w:rsidR="005D259D" w:rsidRPr="00E95230">
        <w:rPr>
          <w:rFonts w:eastAsia="Times New Roman" w:cs="Times New Roman"/>
          <w:szCs w:val="20"/>
          <w:lang w:val="es-MX" w:eastAsia="es-CR"/>
        </w:rPr>
        <w:t>y delitos contra la fe</w:t>
      </w:r>
      <w:r w:rsidR="008D5B00" w:rsidRPr="00E95230">
        <w:rPr>
          <w:rFonts w:eastAsia="Times New Roman" w:cs="Times New Roman"/>
          <w:szCs w:val="20"/>
          <w:lang w:val="es-MX" w:eastAsia="es-CR"/>
        </w:rPr>
        <w:t xml:space="preserve"> </w:t>
      </w:r>
      <w:r w:rsidR="005D259D" w:rsidRPr="00E95230">
        <w:rPr>
          <w:rFonts w:eastAsia="Times New Roman" w:cs="Times New Roman"/>
          <w:szCs w:val="20"/>
          <w:lang w:val="es-MX" w:eastAsia="es-CR"/>
        </w:rPr>
        <w:t>policial establecidos en los artículos 197 inciso segundo y 198</w:t>
      </w:r>
      <w:r w:rsidR="006C743D" w:rsidRPr="00E95230">
        <w:rPr>
          <w:rFonts w:eastAsia="Times New Roman" w:cs="Times New Roman"/>
          <w:szCs w:val="20"/>
          <w:lang w:val="es-MX" w:eastAsia="es-CR"/>
        </w:rPr>
        <w:t xml:space="preserve"> </w:t>
      </w:r>
      <w:r w:rsidR="006C743D" w:rsidRPr="00E95230">
        <w:rPr>
          <w:lang w:val="es-ES"/>
        </w:rPr>
        <w:t>(</w:t>
      </w:r>
      <w:r w:rsidR="006C743D" w:rsidRPr="00E95230">
        <w:rPr>
          <w:i/>
          <w:lang w:val="es-ES"/>
        </w:rPr>
        <w:t xml:space="preserve">supra </w:t>
      </w:r>
      <w:r w:rsidR="006C743D" w:rsidRPr="00E95230">
        <w:rPr>
          <w:lang w:val="es-ES"/>
        </w:rPr>
        <w:t>párr. 36)</w:t>
      </w:r>
      <w:r w:rsidR="005D259D" w:rsidRPr="00E95230">
        <w:rPr>
          <w:rFonts w:eastAsia="Times New Roman" w:cs="Times New Roman"/>
          <w:szCs w:val="20"/>
          <w:lang w:val="es-MX" w:eastAsia="es-CR"/>
        </w:rPr>
        <w:t xml:space="preserve">, todos del Código Penal </w:t>
      </w:r>
      <w:r w:rsidR="009D165E" w:rsidRPr="00E95230">
        <w:rPr>
          <w:rFonts w:eastAsia="Times New Roman" w:cs="Times New Roman"/>
          <w:szCs w:val="20"/>
          <w:lang w:val="es-MX" w:eastAsia="es-CR"/>
        </w:rPr>
        <w:t xml:space="preserve">de la </w:t>
      </w:r>
      <w:r w:rsidR="0068559C" w:rsidRPr="00E95230">
        <w:rPr>
          <w:rFonts w:eastAsia="Times New Roman" w:cs="Times New Roman"/>
          <w:szCs w:val="20"/>
          <w:lang w:val="es-MX" w:eastAsia="es-CR"/>
        </w:rPr>
        <w:t>Policía</w:t>
      </w:r>
      <w:r w:rsidR="009D165E" w:rsidRPr="00E95230">
        <w:rPr>
          <w:rFonts w:eastAsia="Times New Roman" w:cs="Times New Roman"/>
          <w:szCs w:val="20"/>
          <w:lang w:val="es-MX" w:eastAsia="es-CR"/>
        </w:rPr>
        <w:t xml:space="preserve"> Nacional</w:t>
      </w:r>
      <w:r w:rsidR="005D259D" w:rsidRPr="00E95230">
        <w:rPr>
          <w:rFonts w:eastAsia="Times New Roman" w:cs="Times New Roman"/>
          <w:szCs w:val="20"/>
          <w:lang w:val="es-MX" w:eastAsia="es-CR"/>
        </w:rPr>
        <w:t>.</w:t>
      </w:r>
      <w:r w:rsidR="00F462EF" w:rsidRPr="00E95230">
        <w:rPr>
          <w:rFonts w:eastAsia="Times New Roman" w:cs="Times New Roman"/>
          <w:szCs w:val="20"/>
          <w:lang w:val="es-MX" w:eastAsia="es-CR"/>
        </w:rPr>
        <w:t xml:space="preserve"> </w:t>
      </w:r>
      <w:r w:rsidR="00F462EF" w:rsidRPr="00E95230">
        <w:t>Además, se dispuso que los presuntos involucrados c</w:t>
      </w:r>
      <w:r w:rsidR="00DE04AC" w:rsidRPr="00E95230">
        <w:t>ontaran</w:t>
      </w:r>
      <w:r w:rsidR="00F462EF" w:rsidRPr="00E95230">
        <w:t xml:space="preserve"> con un defensor de oficio</w:t>
      </w:r>
      <w:r w:rsidR="00F462EF" w:rsidRPr="00E95230">
        <w:rPr>
          <w:rStyle w:val="Refdenotaalpie"/>
        </w:rPr>
        <w:footnoteReference w:id="48"/>
      </w:r>
      <w:r w:rsidR="00F462EF" w:rsidRPr="00E95230">
        <w:t>.</w:t>
      </w:r>
    </w:p>
    <w:p w14:paraId="5F1D58C3" w14:textId="2FFCFB72" w:rsidR="00A57075" w:rsidRPr="00E95230" w:rsidRDefault="00A57075" w:rsidP="00A57075">
      <w:pPr>
        <w:pStyle w:val="Prrafodelista"/>
        <w:autoSpaceDE w:val="0"/>
        <w:autoSpaceDN w:val="0"/>
        <w:adjustRightInd w:val="0"/>
        <w:spacing w:before="0" w:after="0"/>
        <w:ind w:left="0"/>
        <w:rPr>
          <w:rFonts w:eastAsia="Times New Roman" w:cs="Times New Roman"/>
          <w:szCs w:val="20"/>
          <w:lang w:val="es-MX" w:eastAsia="es-CR"/>
        </w:rPr>
      </w:pPr>
    </w:p>
    <w:p w14:paraId="20CCE899" w14:textId="0BFB46FE" w:rsidR="00345ADB" w:rsidRPr="00E95230" w:rsidRDefault="00F70CFF" w:rsidP="00CF2D2A">
      <w:pPr>
        <w:pStyle w:val="Prrafodelista"/>
        <w:numPr>
          <w:ilvl w:val="0"/>
          <w:numId w:val="29"/>
        </w:numPr>
        <w:autoSpaceDE w:val="0"/>
        <w:autoSpaceDN w:val="0"/>
        <w:adjustRightInd w:val="0"/>
        <w:spacing w:before="0" w:after="0"/>
        <w:ind w:left="0" w:firstLine="0"/>
        <w:rPr>
          <w:rFonts w:eastAsia="Times New Roman" w:cs="Times New Roman"/>
          <w:szCs w:val="20"/>
          <w:lang w:val="es-MX" w:eastAsia="es-CR"/>
        </w:rPr>
      </w:pPr>
      <w:r w:rsidRPr="00E95230">
        <w:rPr>
          <w:rFonts w:cs="Times New Roman"/>
          <w:szCs w:val="20"/>
          <w:lang w:val="es-CR"/>
        </w:rPr>
        <w:t>Según el</w:t>
      </w:r>
      <w:r w:rsidR="005D259D" w:rsidRPr="00E95230">
        <w:rPr>
          <w:rFonts w:cs="Times New Roman"/>
          <w:szCs w:val="20"/>
          <w:lang w:val="es-CR"/>
        </w:rPr>
        <w:t xml:space="preserve"> Estado</w:t>
      </w:r>
      <w:r w:rsidR="0025629C" w:rsidRPr="00E95230">
        <w:rPr>
          <w:rFonts w:cs="Times New Roman"/>
          <w:szCs w:val="20"/>
          <w:lang w:val="es-CR"/>
        </w:rPr>
        <w:t>,</w:t>
      </w:r>
      <w:r w:rsidR="005D259D" w:rsidRPr="00E95230">
        <w:rPr>
          <w:rFonts w:cs="Times New Roman"/>
          <w:szCs w:val="20"/>
          <w:lang w:val="es-CR"/>
        </w:rPr>
        <w:t xml:space="preserve"> el 26 de noviembre de 2002 el Presidente de la CNJP declaró concluida la etapa del sumario y solicitó al Ministro Fiscal Policial que emit</w:t>
      </w:r>
      <w:r w:rsidR="00DE04AC" w:rsidRPr="00E95230">
        <w:rPr>
          <w:rFonts w:cs="Times New Roman"/>
          <w:szCs w:val="20"/>
          <w:lang w:val="es-CR"/>
        </w:rPr>
        <w:t>ier</w:t>
      </w:r>
      <w:r w:rsidR="005D259D" w:rsidRPr="00E95230">
        <w:rPr>
          <w:rFonts w:cs="Times New Roman"/>
          <w:szCs w:val="20"/>
          <w:lang w:val="es-CR"/>
        </w:rPr>
        <w:t>a su informe definitivo</w:t>
      </w:r>
      <w:r w:rsidR="005D259D" w:rsidRPr="00E95230">
        <w:rPr>
          <w:rStyle w:val="Refdenotaalpie"/>
          <w:lang w:val="es-CR"/>
        </w:rPr>
        <w:footnoteReference w:id="49"/>
      </w:r>
      <w:r w:rsidR="005D259D" w:rsidRPr="00E95230">
        <w:rPr>
          <w:rFonts w:cs="Times New Roman"/>
          <w:szCs w:val="20"/>
          <w:lang w:val="es-CR"/>
        </w:rPr>
        <w:t>.</w:t>
      </w:r>
      <w:r w:rsidR="00E90C82" w:rsidRPr="00E95230">
        <w:rPr>
          <w:rFonts w:cs="Times New Roman"/>
          <w:szCs w:val="20"/>
          <w:lang w:val="es-CR"/>
        </w:rPr>
        <w:t xml:space="preserve"> </w:t>
      </w:r>
    </w:p>
    <w:p w14:paraId="673A68FA" w14:textId="77777777" w:rsidR="00345ADB" w:rsidRPr="00E95230" w:rsidRDefault="00345ADB" w:rsidP="00345ADB">
      <w:pPr>
        <w:pStyle w:val="Prrafodelista"/>
        <w:rPr>
          <w:rFonts w:cs="Times New Roman"/>
          <w:szCs w:val="20"/>
          <w:lang w:val="es-CR"/>
        </w:rPr>
      </w:pPr>
    </w:p>
    <w:p w14:paraId="5BF54EE6" w14:textId="2752E82D" w:rsidR="005D259D" w:rsidRPr="00E95230" w:rsidRDefault="005D259D" w:rsidP="00CF2D2A">
      <w:pPr>
        <w:pStyle w:val="Prrafodelista"/>
        <w:numPr>
          <w:ilvl w:val="0"/>
          <w:numId w:val="29"/>
        </w:numPr>
        <w:autoSpaceDE w:val="0"/>
        <w:autoSpaceDN w:val="0"/>
        <w:adjustRightInd w:val="0"/>
        <w:spacing w:before="0" w:after="0"/>
        <w:ind w:left="0" w:firstLine="0"/>
        <w:rPr>
          <w:rFonts w:eastAsia="Times New Roman" w:cs="Times New Roman"/>
          <w:szCs w:val="20"/>
          <w:lang w:val="es-MX" w:eastAsia="es-CR"/>
        </w:rPr>
      </w:pPr>
      <w:r w:rsidRPr="00E95230">
        <w:rPr>
          <w:rFonts w:cs="Times New Roman"/>
          <w:szCs w:val="20"/>
          <w:lang w:val="es-CR"/>
        </w:rPr>
        <w:t xml:space="preserve">El </w:t>
      </w:r>
      <w:r w:rsidRPr="00E95230">
        <w:rPr>
          <w:rFonts w:cs="Arial"/>
          <w:szCs w:val="20"/>
          <w:lang w:val="es-CR"/>
        </w:rPr>
        <w:t xml:space="preserve">9 </w:t>
      </w:r>
      <w:r w:rsidRPr="00E95230">
        <w:rPr>
          <w:rFonts w:cs="Times New Roman"/>
          <w:szCs w:val="20"/>
          <w:lang w:val="es-CR"/>
        </w:rPr>
        <w:t xml:space="preserve">de abril de 2003 el Ministro Fiscal emitió su dictamen mediante el cual acusó a dos oficiales, incluyendo a la presunta víctima </w:t>
      </w:r>
      <w:r w:rsidR="00345ADB" w:rsidRPr="00E95230">
        <w:rPr>
          <w:rFonts w:cs="Times New Roman"/>
          <w:szCs w:val="20"/>
          <w:lang w:val="es-CR"/>
        </w:rPr>
        <w:t xml:space="preserve">señor </w:t>
      </w:r>
      <w:r w:rsidRPr="00E95230">
        <w:rPr>
          <w:rFonts w:cs="Times New Roman"/>
          <w:szCs w:val="20"/>
          <w:lang w:val="es-CR"/>
        </w:rPr>
        <w:t>Vinueza</w:t>
      </w:r>
      <w:r w:rsidR="00345ADB" w:rsidRPr="00E95230">
        <w:rPr>
          <w:rFonts w:cs="Times New Roman"/>
          <w:szCs w:val="20"/>
          <w:lang w:val="es-CR"/>
        </w:rPr>
        <w:t xml:space="preserve"> Pánchez</w:t>
      </w:r>
      <w:r w:rsidRPr="00E95230">
        <w:rPr>
          <w:rFonts w:cs="Times New Roman"/>
          <w:szCs w:val="20"/>
          <w:lang w:val="es-CR"/>
        </w:rPr>
        <w:t>, por el delito de malversación de fondos, el cual estaba establecido en el artículo 222</w:t>
      </w:r>
      <w:r w:rsidR="001C3F85" w:rsidRPr="00E95230">
        <w:rPr>
          <w:rFonts w:cs="Times New Roman"/>
          <w:szCs w:val="20"/>
          <w:lang w:val="es-CR"/>
        </w:rPr>
        <w:t xml:space="preserve"> numeral </w:t>
      </w:r>
      <w:r w:rsidRPr="00E95230">
        <w:rPr>
          <w:rFonts w:cs="Times New Roman"/>
          <w:szCs w:val="20"/>
          <w:lang w:val="es-CR"/>
        </w:rPr>
        <w:t>3</w:t>
      </w:r>
      <w:r w:rsidR="006C743D" w:rsidRPr="00E95230">
        <w:rPr>
          <w:rFonts w:cs="Times New Roman"/>
          <w:szCs w:val="20"/>
          <w:lang w:val="es-CR"/>
        </w:rPr>
        <w:t xml:space="preserve"> </w:t>
      </w:r>
      <w:r w:rsidRPr="00E95230">
        <w:rPr>
          <w:rFonts w:cs="Times New Roman"/>
          <w:szCs w:val="20"/>
          <w:lang w:val="es-CR"/>
        </w:rPr>
        <w:t>del Código Penal de la Policía Nacional</w:t>
      </w:r>
      <w:r w:rsidR="00513218" w:rsidRPr="00E95230">
        <w:rPr>
          <w:rFonts w:cs="Times New Roman"/>
          <w:szCs w:val="20"/>
          <w:lang w:val="es-CR"/>
        </w:rPr>
        <w:t xml:space="preserve"> </w:t>
      </w:r>
      <w:r w:rsidR="00513218" w:rsidRPr="00E95230">
        <w:rPr>
          <w:lang w:val="es-ES"/>
        </w:rPr>
        <w:t>(</w:t>
      </w:r>
      <w:r w:rsidR="00513218" w:rsidRPr="00E95230">
        <w:rPr>
          <w:i/>
          <w:lang w:val="es-ES"/>
        </w:rPr>
        <w:t xml:space="preserve">supra </w:t>
      </w:r>
      <w:r w:rsidR="00513218" w:rsidRPr="00E95230">
        <w:rPr>
          <w:lang w:val="es-ES"/>
        </w:rPr>
        <w:t>párr. 36)</w:t>
      </w:r>
      <w:r w:rsidRPr="00E95230">
        <w:rPr>
          <w:rFonts w:cs="Times New Roman"/>
          <w:szCs w:val="20"/>
          <w:lang w:val="es-CR"/>
        </w:rPr>
        <w:t>. Asimismo, el Ministro Fiscal Policial se abstuvo de acusar a las demás personas, incluyendo a cinco de las presuntas víctimas</w:t>
      </w:r>
      <w:r w:rsidRPr="00E95230">
        <w:rPr>
          <w:rStyle w:val="Refdenotaalpie"/>
          <w:lang w:val="es-CR"/>
        </w:rPr>
        <w:footnoteReference w:id="50"/>
      </w:r>
      <w:r w:rsidRPr="00E95230">
        <w:rPr>
          <w:rFonts w:cs="Times New Roman"/>
          <w:szCs w:val="20"/>
          <w:lang w:val="es-CR"/>
        </w:rPr>
        <w:t>.</w:t>
      </w:r>
      <w:r w:rsidR="00F462EF" w:rsidRPr="00E95230">
        <w:rPr>
          <w:rFonts w:cs="Times New Roman"/>
          <w:szCs w:val="20"/>
          <w:lang w:val="es-CR"/>
        </w:rPr>
        <w:t xml:space="preserve"> </w:t>
      </w:r>
    </w:p>
    <w:p w14:paraId="6CE0B69A" w14:textId="77777777" w:rsidR="005D259D" w:rsidRPr="00E95230" w:rsidRDefault="005D259D" w:rsidP="005D259D">
      <w:pPr>
        <w:pStyle w:val="Prrafodelista"/>
        <w:rPr>
          <w:rFonts w:cs="Times New Roman"/>
          <w:szCs w:val="20"/>
          <w:lang w:val="es-CR"/>
        </w:rPr>
      </w:pPr>
    </w:p>
    <w:p w14:paraId="1B89F216" w14:textId="10724DD0" w:rsidR="0068559C" w:rsidRPr="00E95230" w:rsidRDefault="005D259D" w:rsidP="00CF2D2A">
      <w:pPr>
        <w:pStyle w:val="Prrafodelista"/>
        <w:numPr>
          <w:ilvl w:val="0"/>
          <w:numId w:val="29"/>
        </w:numPr>
        <w:autoSpaceDE w:val="0"/>
        <w:autoSpaceDN w:val="0"/>
        <w:adjustRightInd w:val="0"/>
        <w:spacing w:before="0" w:after="0"/>
        <w:ind w:left="0" w:firstLine="0"/>
        <w:rPr>
          <w:rFonts w:eastAsia="Times New Roman" w:cs="Times New Roman"/>
          <w:szCs w:val="20"/>
          <w:lang w:val="es-MX" w:eastAsia="es-CR"/>
        </w:rPr>
      </w:pPr>
      <w:r w:rsidRPr="00E95230">
        <w:rPr>
          <w:rFonts w:cs="Times New Roman"/>
          <w:szCs w:val="20"/>
          <w:lang w:val="es-CR"/>
        </w:rPr>
        <w:t xml:space="preserve">El 29 de abril de 2003 el entonces Presidente de la República emitió el Decreto Ejecutivo No. </w:t>
      </w:r>
      <w:r w:rsidRPr="00E95230">
        <w:rPr>
          <w:rFonts w:cs="Arial"/>
          <w:szCs w:val="20"/>
          <w:lang w:val="es-CR"/>
        </w:rPr>
        <w:t>357, con base en l</w:t>
      </w:r>
      <w:r w:rsidRPr="00E95230">
        <w:rPr>
          <w:rFonts w:cs="Times New Roman"/>
          <w:szCs w:val="20"/>
          <w:lang w:val="es-CR"/>
        </w:rPr>
        <w:t>os artículos 69</w:t>
      </w:r>
      <w:r w:rsidRPr="00E95230">
        <w:rPr>
          <w:rStyle w:val="Refdenotaalpie"/>
          <w:lang w:val="es-CR"/>
        </w:rPr>
        <w:footnoteReference w:id="51"/>
      </w:r>
      <w:r w:rsidRPr="00E95230">
        <w:rPr>
          <w:rFonts w:cs="Times New Roman"/>
          <w:szCs w:val="20"/>
          <w:lang w:val="es-CR"/>
        </w:rPr>
        <w:t xml:space="preserve"> y 79</w:t>
      </w:r>
      <w:r w:rsidRPr="00E95230">
        <w:rPr>
          <w:rStyle w:val="Refdenotaalpie"/>
          <w:lang w:val="es-CR"/>
        </w:rPr>
        <w:footnoteReference w:id="52"/>
      </w:r>
      <w:r w:rsidRPr="00E95230">
        <w:rPr>
          <w:rFonts w:cs="Times New Roman"/>
          <w:szCs w:val="20"/>
          <w:lang w:val="es-CR"/>
        </w:rPr>
        <w:t xml:space="preserve"> de la Ley Orgánica de la Policía Nacional, mediante el cual nombró a los nuevos ministros jueces de la CNJP, incluyendo al General Byron Pinto Muñoz </w:t>
      </w:r>
      <w:r w:rsidR="00A53814" w:rsidRPr="00E95230">
        <w:rPr>
          <w:rFonts w:cs="Times New Roman"/>
          <w:szCs w:val="20"/>
          <w:lang w:val="es-CR"/>
        </w:rPr>
        <w:t xml:space="preserve">(en adelante “señor Pinto Muñoz”) </w:t>
      </w:r>
      <w:r w:rsidRPr="00E95230">
        <w:rPr>
          <w:rFonts w:cs="Times New Roman"/>
          <w:szCs w:val="20"/>
          <w:lang w:val="es-CR"/>
        </w:rPr>
        <w:t>en razón a que “los Ministros Jueces de la [CNJP] y el Ministro Fiscal de Policía, ha</w:t>
      </w:r>
      <w:r w:rsidR="00A53814" w:rsidRPr="00E95230">
        <w:rPr>
          <w:rFonts w:cs="Times New Roman"/>
          <w:szCs w:val="20"/>
          <w:lang w:val="es-CR"/>
        </w:rPr>
        <w:t>[bían]</w:t>
      </w:r>
      <w:r w:rsidRPr="00E95230">
        <w:rPr>
          <w:rFonts w:cs="Times New Roman"/>
          <w:szCs w:val="20"/>
          <w:lang w:val="es-CR"/>
        </w:rPr>
        <w:t xml:space="preserve"> cumplido el período para el cual fueron designados”</w:t>
      </w:r>
      <w:r w:rsidRPr="00E95230">
        <w:rPr>
          <w:rStyle w:val="Refdenotaalpie"/>
          <w:lang w:val="es-CR"/>
        </w:rPr>
        <w:footnoteReference w:id="53"/>
      </w:r>
      <w:r w:rsidRPr="00E95230">
        <w:rPr>
          <w:rFonts w:cs="Times New Roman"/>
          <w:szCs w:val="20"/>
          <w:lang w:val="es-CR"/>
        </w:rPr>
        <w:t>.</w:t>
      </w:r>
      <w:r w:rsidR="009A4F5A" w:rsidRPr="00E95230">
        <w:rPr>
          <w:rFonts w:cs="Times New Roman"/>
          <w:szCs w:val="20"/>
          <w:lang w:val="es-CR"/>
        </w:rPr>
        <w:t xml:space="preserve"> </w:t>
      </w:r>
    </w:p>
    <w:p w14:paraId="7CFE840D" w14:textId="77777777" w:rsidR="005D259D" w:rsidRPr="00E95230" w:rsidRDefault="005D259D" w:rsidP="005D259D">
      <w:pPr>
        <w:pStyle w:val="Prrafodelista"/>
        <w:rPr>
          <w:rFonts w:eastAsia="Times New Roman" w:cs="Times New Roman"/>
          <w:szCs w:val="20"/>
          <w:lang w:val="es-MX" w:eastAsia="es-CR"/>
        </w:rPr>
      </w:pPr>
    </w:p>
    <w:p w14:paraId="38436F41" w14:textId="61456A51" w:rsidR="009E065E" w:rsidRPr="0092295B" w:rsidRDefault="005D259D" w:rsidP="00CF2D2A">
      <w:pPr>
        <w:pStyle w:val="Prrafodelista"/>
        <w:numPr>
          <w:ilvl w:val="0"/>
          <w:numId w:val="29"/>
        </w:numPr>
        <w:autoSpaceDE w:val="0"/>
        <w:autoSpaceDN w:val="0"/>
        <w:adjustRightInd w:val="0"/>
        <w:spacing w:before="0" w:after="0"/>
        <w:ind w:left="0" w:firstLine="0"/>
        <w:rPr>
          <w:rFonts w:cs="Times New Roman"/>
          <w:color w:val="0B0B0B"/>
          <w:szCs w:val="20"/>
          <w:lang w:val="es-CR"/>
        </w:rPr>
      </w:pPr>
      <w:r w:rsidRPr="00E95230">
        <w:rPr>
          <w:rFonts w:cs="Times New Roman"/>
          <w:szCs w:val="20"/>
          <w:lang w:val="es-CR"/>
        </w:rPr>
        <w:t xml:space="preserve">El 2 de mayo de 2003 se celebró la primera sesión de la nueva composición de la CNJP. El señor Pinto </w:t>
      </w:r>
      <w:r w:rsidR="00A53814" w:rsidRPr="00E95230">
        <w:rPr>
          <w:rFonts w:cs="Times New Roman"/>
          <w:szCs w:val="20"/>
          <w:lang w:val="es-CR"/>
        </w:rPr>
        <w:t xml:space="preserve">Muñoz </w:t>
      </w:r>
      <w:r w:rsidRPr="00E95230">
        <w:rPr>
          <w:rFonts w:cs="Times New Roman"/>
          <w:szCs w:val="20"/>
          <w:lang w:val="es-CR"/>
        </w:rPr>
        <w:t>expuso ante el pleno de la CNJP que a él le correspondía ocupar el cargo de Presiden</w:t>
      </w:r>
      <w:r w:rsidR="00345ADB" w:rsidRPr="00E95230">
        <w:rPr>
          <w:rFonts w:cs="Times New Roman"/>
          <w:szCs w:val="20"/>
          <w:lang w:val="es-CR"/>
        </w:rPr>
        <w:t>te por su cargo y antigüedad. E</w:t>
      </w:r>
      <w:r w:rsidRPr="00E95230">
        <w:rPr>
          <w:rFonts w:cs="Times New Roman"/>
          <w:szCs w:val="20"/>
          <w:lang w:val="es-CR"/>
        </w:rPr>
        <w:t xml:space="preserve">n consecuencia, el pleno del tribunal invocando lo dispuesto </w:t>
      </w:r>
      <w:r w:rsidRPr="00ED646A">
        <w:rPr>
          <w:rFonts w:cs="Times New Roman"/>
          <w:szCs w:val="20"/>
          <w:lang w:val="es-CR"/>
        </w:rPr>
        <w:t xml:space="preserve">en el artículo </w:t>
      </w:r>
      <w:r w:rsidRPr="00ED646A">
        <w:rPr>
          <w:rFonts w:cs="Arial"/>
          <w:szCs w:val="20"/>
          <w:lang w:val="es-CR"/>
        </w:rPr>
        <w:t xml:space="preserve">70 </w:t>
      </w:r>
      <w:r w:rsidRPr="00ED646A">
        <w:rPr>
          <w:rFonts w:cs="Times New Roman"/>
          <w:szCs w:val="20"/>
          <w:lang w:val="es-CR"/>
        </w:rPr>
        <w:t>de la Ley Orgánica de la Policía Nacional</w:t>
      </w:r>
      <w:r w:rsidRPr="00ED646A">
        <w:rPr>
          <w:rStyle w:val="Refdenotaalpie"/>
          <w:lang w:val="es-CR"/>
        </w:rPr>
        <w:footnoteReference w:id="54"/>
      </w:r>
      <w:r w:rsidRPr="00ED646A">
        <w:rPr>
          <w:rFonts w:cs="Times New Roman"/>
          <w:szCs w:val="20"/>
          <w:lang w:val="es-CR"/>
        </w:rPr>
        <w:t xml:space="preserve"> acordó que la Presidencia debía ser ejercida por el señor Pinto</w:t>
      </w:r>
      <w:r w:rsidR="00CC1363" w:rsidRPr="00ED646A">
        <w:rPr>
          <w:rFonts w:cs="Times New Roman"/>
          <w:szCs w:val="20"/>
          <w:lang w:val="es-CR"/>
        </w:rPr>
        <w:t xml:space="preserve"> Mu</w:t>
      </w:r>
      <w:r w:rsidR="009D165E" w:rsidRPr="00ED646A">
        <w:rPr>
          <w:rFonts w:cs="Times New Roman"/>
          <w:szCs w:val="20"/>
          <w:lang w:val="es-CR"/>
        </w:rPr>
        <w:t>ñoz</w:t>
      </w:r>
      <w:r w:rsidRPr="00ED646A">
        <w:rPr>
          <w:rFonts w:cs="Times New Roman"/>
          <w:szCs w:val="20"/>
          <w:lang w:val="es-CR"/>
        </w:rPr>
        <w:t>, el cual pasó a presidir la sesión</w:t>
      </w:r>
      <w:r w:rsidRPr="00ED646A">
        <w:rPr>
          <w:rStyle w:val="Refdenotaalpie"/>
          <w:lang w:val="es-CR"/>
        </w:rPr>
        <w:footnoteReference w:id="55"/>
      </w:r>
      <w:r w:rsidRPr="00ED646A">
        <w:rPr>
          <w:rFonts w:cs="Times New Roman"/>
          <w:szCs w:val="20"/>
          <w:lang w:val="es-CR"/>
        </w:rPr>
        <w:t>.</w:t>
      </w:r>
    </w:p>
    <w:p w14:paraId="4276DF9C" w14:textId="42E557D1" w:rsidR="009E065E" w:rsidRPr="0092295B" w:rsidRDefault="009E065E" w:rsidP="009E065E">
      <w:pPr>
        <w:pStyle w:val="Prrafodelista"/>
        <w:autoSpaceDE w:val="0"/>
        <w:autoSpaceDN w:val="0"/>
        <w:adjustRightInd w:val="0"/>
        <w:spacing w:before="0" w:after="0"/>
        <w:ind w:left="0"/>
        <w:rPr>
          <w:rFonts w:cs="Times New Roman"/>
          <w:color w:val="0B0B0B"/>
          <w:szCs w:val="20"/>
          <w:lang w:val="es-CR"/>
        </w:rPr>
      </w:pPr>
    </w:p>
    <w:p w14:paraId="6953A7D5" w14:textId="7C3AE6EB" w:rsidR="005D259D" w:rsidRPr="00E96C8D" w:rsidRDefault="005D259D" w:rsidP="00CF2D2A">
      <w:pPr>
        <w:pStyle w:val="Prrafodelista"/>
        <w:numPr>
          <w:ilvl w:val="0"/>
          <w:numId w:val="29"/>
        </w:numPr>
        <w:autoSpaceDE w:val="0"/>
        <w:autoSpaceDN w:val="0"/>
        <w:adjustRightInd w:val="0"/>
        <w:spacing w:before="0" w:after="0"/>
        <w:ind w:left="0" w:firstLine="0"/>
        <w:rPr>
          <w:rFonts w:cs="Times New Roman"/>
          <w:szCs w:val="20"/>
          <w:lang w:val="es-CR"/>
        </w:rPr>
      </w:pPr>
      <w:r w:rsidRPr="00E96C8D">
        <w:rPr>
          <w:rFonts w:cs="Times New Roman"/>
          <w:szCs w:val="20"/>
          <w:lang w:val="es-CR"/>
        </w:rPr>
        <w:t>El 26 de mayo de 2003 el Presidente de la CNJP</w:t>
      </w:r>
      <w:r w:rsidR="006B4A46" w:rsidRPr="00E96C8D">
        <w:rPr>
          <w:rFonts w:cs="Times New Roman"/>
          <w:szCs w:val="20"/>
          <w:lang w:val="es-CR"/>
        </w:rPr>
        <w:t xml:space="preserve"> </w:t>
      </w:r>
      <w:r w:rsidR="006B4A46" w:rsidRPr="00E96C8D">
        <w:rPr>
          <w:rFonts w:eastAsia="Times New Roman" w:cs="Times New Roman"/>
          <w:strike/>
          <w:szCs w:val="20"/>
          <w:lang w:val="es-CR" w:eastAsia="en-GB"/>
        </w:rPr>
        <w:t>s</w:t>
      </w:r>
      <w:r w:rsidR="006B4A46" w:rsidRPr="00E96C8D">
        <w:rPr>
          <w:rFonts w:eastAsia="Times New Roman" w:cs="Times New Roman"/>
          <w:szCs w:val="20"/>
          <w:lang w:val="es-CR" w:eastAsia="en-GB"/>
        </w:rPr>
        <w:t>eñaló que “[…] tanto, de acuerdo con las reglas de la sana crítica, consider</w:t>
      </w:r>
      <w:r w:rsidR="004E7A7F" w:rsidRPr="00E96C8D">
        <w:rPr>
          <w:rFonts w:eastAsia="Times New Roman" w:cs="Times New Roman"/>
          <w:szCs w:val="20"/>
          <w:lang w:val="es-CR" w:eastAsia="en-GB"/>
        </w:rPr>
        <w:t>[</w:t>
      </w:r>
      <w:r w:rsidR="006B4A46" w:rsidRPr="00E96C8D">
        <w:rPr>
          <w:rFonts w:eastAsia="Times New Roman" w:cs="Times New Roman"/>
          <w:szCs w:val="20"/>
          <w:lang w:val="es-CR" w:eastAsia="en-GB"/>
        </w:rPr>
        <w:t>ó</w:t>
      </w:r>
      <w:r w:rsidR="004E7A7F" w:rsidRPr="00E96C8D">
        <w:rPr>
          <w:rFonts w:eastAsia="Times New Roman" w:cs="Times New Roman"/>
          <w:szCs w:val="20"/>
          <w:lang w:val="es-CR" w:eastAsia="en-GB"/>
        </w:rPr>
        <w:t>]</w:t>
      </w:r>
      <w:r w:rsidR="006B4A46" w:rsidRPr="00E96C8D">
        <w:rPr>
          <w:rFonts w:eastAsia="Times New Roman" w:cs="Times New Roman"/>
          <w:szCs w:val="20"/>
          <w:lang w:val="es-CR" w:eastAsia="en-GB"/>
        </w:rPr>
        <w:t xml:space="preserve"> que ha</w:t>
      </w:r>
      <w:r w:rsidR="004E7A7F" w:rsidRPr="00E96C8D">
        <w:rPr>
          <w:rFonts w:eastAsia="Times New Roman" w:cs="Times New Roman"/>
          <w:szCs w:val="20"/>
          <w:lang w:val="es-CR" w:eastAsia="en-GB"/>
        </w:rPr>
        <w:t>[bía]</w:t>
      </w:r>
      <w:r w:rsidR="006B4A46" w:rsidRPr="00E96C8D">
        <w:rPr>
          <w:rFonts w:eastAsia="Times New Roman" w:cs="Times New Roman"/>
          <w:szCs w:val="20"/>
          <w:lang w:val="es-CR" w:eastAsia="en-GB"/>
        </w:rPr>
        <w:t xml:space="preserve"> suficientes indicios de responsabilidad sobre la existencia de la infracción, así como el nexo causal entre el delito y los responsables, conforme aparece del contenido del INFORME PARCIAL DE INDICIOS DE RESPONSABILIDAD PENAL DEL EXAMEN ESPECIAL A LAS OPERACIONES ADMINISTRATIVAS Y FINACIERAS DE LA COMANDANCIA GENERAL DE LA POLICIA NACIONAL CON LAS CASAS COMERCIALES: […] DIRECCIÓN DE AUDITORIA 1. INFORME N° 32 –DA. 1-2001-466</w:t>
      </w:r>
      <w:r w:rsidR="006B4A46" w:rsidRPr="00E96C8D">
        <w:rPr>
          <w:rStyle w:val="Refdenotaalpie"/>
          <w:rFonts w:eastAsia="Times New Roman"/>
          <w:lang w:val="es-CR" w:eastAsia="en-GB"/>
        </w:rPr>
        <w:footnoteReference w:id="56"/>
      </w:r>
      <w:r w:rsidR="00C06186">
        <w:rPr>
          <w:rFonts w:eastAsia="Times New Roman" w:cs="Times New Roman"/>
          <w:szCs w:val="20"/>
          <w:lang w:val="es-CR" w:eastAsia="en-GB"/>
        </w:rPr>
        <w:t xml:space="preserve"> </w:t>
      </w:r>
      <w:r w:rsidR="006B4A46" w:rsidRPr="006C743D">
        <w:rPr>
          <w:rFonts w:cs="Times New Roman"/>
          <w:szCs w:val="20"/>
          <w:lang w:val="es-CR"/>
        </w:rPr>
        <w:t>[y</w:t>
      </w:r>
      <w:r w:rsidR="00952C62" w:rsidRPr="006C743D">
        <w:rPr>
          <w:rFonts w:cs="Times New Roman"/>
          <w:szCs w:val="20"/>
          <w:lang w:val="es-CR"/>
        </w:rPr>
        <w:t>]</w:t>
      </w:r>
      <w:r w:rsidR="004E7A7F" w:rsidRPr="006C743D">
        <w:rPr>
          <w:rFonts w:cs="Times New Roman"/>
          <w:szCs w:val="20"/>
          <w:lang w:val="es-CR"/>
        </w:rPr>
        <w:t>,</w:t>
      </w:r>
      <w:r w:rsidR="00952C62" w:rsidRPr="006C743D">
        <w:rPr>
          <w:rFonts w:cs="Times New Roman"/>
          <w:szCs w:val="20"/>
          <w:lang w:val="es-CR"/>
        </w:rPr>
        <w:t xml:space="preserve"> </w:t>
      </w:r>
      <w:r w:rsidRPr="006C743D">
        <w:rPr>
          <w:rFonts w:cs="Times New Roman"/>
          <w:szCs w:val="20"/>
          <w:lang w:val="es-CR"/>
        </w:rPr>
        <w:t>admiti[ó] parcialmente el dictamen fiscal definitivo”</w:t>
      </w:r>
      <w:r w:rsidR="00312366" w:rsidRPr="00E96C8D">
        <w:rPr>
          <w:rFonts w:cs="Times New Roman"/>
          <w:szCs w:val="20"/>
          <w:lang w:val="es-CR"/>
        </w:rPr>
        <w:t xml:space="preserve"> (mayúsculas del original</w:t>
      </w:r>
      <w:r w:rsidR="00312366" w:rsidRPr="00EF4BDB">
        <w:rPr>
          <w:rFonts w:cs="Times New Roman"/>
          <w:szCs w:val="20"/>
          <w:lang w:val="es-CR"/>
        </w:rPr>
        <w:t>). Asimismo,</w:t>
      </w:r>
      <w:r w:rsidRPr="00EF4BDB">
        <w:rPr>
          <w:rFonts w:cs="Times New Roman"/>
          <w:szCs w:val="20"/>
          <w:lang w:val="es-CR"/>
        </w:rPr>
        <w:t xml:space="preserve"> ordenó</w:t>
      </w:r>
      <w:r w:rsidRPr="006C743D">
        <w:rPr>
          <w:rFonts w:cs="Times New Roman"/>
          <w:szCs w:val="20"/>
          <w:lang w:val="es-CR"/>
        </w:rPr>
        <w:t xml:space="preserve"> la detención en firme de ocho oficiales, incluyendo a las presuntas víctimas</w:t>
      </w:r>
      <w:r w:rsidR="009622E8" w:rsidRPr="00E96C8D">
        <w:rPr>
          <w:rFonts w:cs="Times New Roman"/>
          <w:szCs w:val="20"/>
          <w:lang w:val="es-CR"/>
        </w:rPr>
        <w:t>,</w:t>
      </w:r>
      <w:r w:rsidRPr="006C743D">
        <w:rPr>
          <w:rFonts w:cs="Times New Roman"/>
          <w:szCs w:val="20"/>
          <w:lang w:val="es-CR"/>
        </w:rPr>
        <w:t xml:space="preserve"> para cuyo efecto se dispuso girar boleta constitucional de encarcelamiento</w:t>
      </w:r>
      <w:r w:rsidRPr="006C743D">
        <w:rPr>
          <w:rStyle w:val="Refdenotaalpie"/>
          <w:lang w:val="es-CR"/>
        </w:rPr>
        <w:footnoteReference w:id="57"/>
      </w:r>
      <w:r w:rsidR="006B4A46" w:rsidRPr="00E96C8D">
        <w:rPr>
          <w:rFonts w:eastAsia="Times New Roman" w:cs="Times New Roman"/>
          <w:szCs w:val="20"/>
          <w:lang w:val="es-CR" w:eastAsia="en-GB"/>
        </w:rPr>
        <w:t>.</w:t>
      </w:r>
      <w:r w:rsidR="009E065E" w:rsidRPr="006C743D">
        <w:rPr>
          <w:rFonts w:cs="Times New Roman"/>
          <w:szCs w:val="20"/>
          <w:lang w:val="es-CR"/>
        </w:rPr>
        <w:t xml:space="preserve"> </w:t>
      </w:r>
      <w:r w:rsidR="009A4F5A" w:rsidRPr="006C743D">
        <w:rPr>
          <w:rFonts w:cs="Times New Roman"/>
          <w:szCs w:val="20"/>
          <w:lang w:val="es-CR"/>
        </w:rPr>
        <w:t>Se ordenó que</w:t>
      </w:r>
      <w:r w:rsidR="009E065E" w:rsidRPr="006C743D">
        <w:rPr>
          <w:rFonts w:cs="Times New Roman"/>
          <w:szCs w:val="20"/>
          <w:lang w:val="es-CR"/>
        </w:rPr>
        <w:t xml:space="preserve"> dicha medida cautelar fuera cumplida en la Unidad de Equitación y Remonta de la Policía Nacional, en atención a</w:t>
      </w:r>
      <w:r w:rsidR="009622E8" w:rsidRPr="00E96C8D">
        <w:rPr>
          <w:rFonts w:cs="Times New Roman"/>
          <w:szCs w:val="20"/>
          <w:lang w:val="es-CR"/>
        </w:rPr>
        <w:t>l</w:t>
      </w:r>
      <w:r w:rsidR="009E065E" w:rsidRPr="006C743D">
        <w:rPr>
          <w:rFonts w:cs="Times New Roman"/>
          <w:szCs w:val="20"/>
          <w:lang w:val="es-CR"/>
        </w:rPr>
        <w:t xml:space="preserve"> artículo 112 de la Ley de Personal de la Policía Nacional</w:t>
      </w:r>
      <w:r w:rsidR="009E065E" w:rsidRPr="00E96C8D">
        <w:rPr>
          <w:rStyle w:val="Refdenotaalpie"/>
          <w:lang w:val="es-CR"/>
        </w:rPr>
        <w:footnoteReference w:id="58"/>
      </w:r>
      <w:r w:rsidR="009E065E" w:rsidRPr="00E96C8D">
        <w:rPr>
          <w:rFonts w:cs="Times New Roman"/>
          <w:szCs w:val="20"/>
          <w:lang w:val="es-CR"/>
        </w:rPr>
        <w:t xml:space="preserve">. </w:t>
      </w:r>
    </w:p>
    <w:p w14:paraId="03C2FABB" w14:textId="77777777" w:rsidR="0068559C" w:rsidRPr="00E96C8D" w:rsidRDefault="0068559C" w:rsidP="0068559C">
      <w:pPr>
        <w:pStyle w:val="Prrafodelista"/>
        <w:autoSpaceDE w:val="0"/>
        <w:autoSpaceDN w:val="0"/>
        <w:adjustRightInd w:val="0"/>
        <w:spacing w:before="0" w:after="0"/>
        <w:ind w:left="0"/>
        <w:rPr>
          <w:rFonts w:cs="Times New Roman"/>
          <w:szCs w:val="20"/>
          <w:lang w:val="es-CR"/>
        </w:rPr>
      </w:pPr>
    </w:p>
    <w:p w14:paraId="0E533235" w14:textId="0518D14B" w:rsidR="00985B6E" w:rsidRPr="00E96C8D" w:rsidRDefault="00B437CA" w:rsidP="00CF2D2A">
      <w:pPr>
        <w:pStyle w:val="Prrafodelista"/>
        <w:numPr>
          <w:ilvl w:val="0"/>
          <w:numId w:val="29"/>
        </w:numPr>
        <w:autoSpaceDE w:val="0"/>
        <w:autoSpaceDN w:val="0"/>
        <w:adjustRightInd w:val="0"/>
        <w:spacing w:before="0" w:after="0"/>
        <w:ind w:left="0" w:firstLine="0"/>
        <w:rPr>
          <w:rFonts w:cs="Times New Roman"/>
          <w:szCs w:val="20"/>
          <w:lang w:val="es-CR"/>
        </w:rPr>
      </w:pPr>
      <w:r w:rsidRPr="00E96C8D">
        <w:rPr>
          <w:rFonts w:cs="Times New Roman"/>
          <w:szCs w:val="20"/>
          <w:lang w:val="es-CR"/>
        </w:rPr>
        <w:t>El 13 de junio de 2003</w:t>
      </w:r>
      <w:r w:rsidRPr="00E96C8D">
        <w:rPr>
          <w:lang w:val="es-CR"/>
        </w:rPr>
        <w:t xml:space="preserve"> la </w:t>
      </w:r>
      <w:r w:rsidRPr="00E96C8D">
        <w:rPr>
          <w:rFonts w:cs="Times New Roman"/>
          <w:szCs w:val="20"/>
          <w:lang w:val="es-CR"/>
        </w:rPr>
        <w:t>defensa de l</w:t>
      </w:r>
      <w:r w:rsidR="0060743E" w:rsidRPr="00E96C8D">
        <w:rPr>
          <w:rFonts w:cs="Times New Roman"/>
          <w:szCs w:val="20"/>
          <w:lang w:val="es-CR"/>
        </w:rPr>
        <w:t>os señores Villarroel Merino, Ce</w:t>
      </w:r>
      <w:r w:rsidRPr="00E96C8D">
        <w:rPr>
          <w:rFonts w:cs="Times New Roman"/>
          <w:szCs w:val="20"/>
          <w:lang w:val="es-CR"/>
        </w:rPr>
        <w:t>vallos Moreno, Coloma Gaibor, Vinue</w:t>
      </w:r>
      <w:r w:rsidR="0060743E" w:rsidRPr="00E96C8D">
        <w:rPr>
          <w:rFonts w:cs="Times New Roman"/>
          <w:szCs w:val="20"/>
          <w:lang w:val="es-CR"/>
        </w:rPr>
        <w:t>za Pánchez, López Ortiz y A</w:t>
      </w:r>
      <w:r w:rsidR="00660BC9" w:rsidRPr="00E96C8D">
        <w:rPr>
          <w:rFonts w:cs="Times New Roman"/>
          <w:szCs w:val="20"/>
          <w:lang w:val="es-CR"/>
        </w:rPr>
        <w:t>s</w:t>
      </w:r>
      <w:r w:rsidR="0060743E" w:rsidRPr="00E96C8D">
        <w:rPr>
          <w:rFonts w:cs="Times New Roman"/>
          <w:szCs w:val="20"/>
          <w:lang w:val="es-CR"/>
        </w:rPr>
        <w:t>cázu</w:t>
      </w:r>
      <w:r w:rsidRPr="00E96C8D">
        <w:rPr>
          <w:rFonts w:cs="Times New Roman"/>
          <w:szCs w:val="20"/>
          <w:lang w:val="es-CR"/>
        </w:rPr>
        <w:t>bi Albán presentó los recursos de nulidad y apelación contra el auto de 26 de mayo de 2003 con base</w:t>
      </w:r>
      <w:r w:rsidRPr="00E96C8D">
        <w:rPr>
          <w:lang w:val="es-CR"/>
        </w:rPr>
        <w:t>: i)</w:t>
      </w:r>
      <w:r w:rsidRPr="00E96C8D">
        <w:rPr>
          <w:rFonts w:cs="Times New Roman"/>
          <w:szCs w:val="20"/>
          <w:lang w:val="es-CR"/>
        </w:rPr>
        <w:t xml:space="preserve"> a que se les “juzga con una disposición legal que no es coercitiva ni sancionadora, pues en el auto motivado se dice que el delito está tipificado y sancionado por el Art. 222 numerales 1, 3, 4, y 10 del Código de Procedimiento Penal Policial, que trata de las solemnidades sustanciales del recurso de nulidad, y en ningún caso refiere […] de las malversaciones, fraudes y otros abusos de la administración de la Institución”</w:t>
      </w:r>
      <w:r w:rsidR="00557CA5" w:rsidRPr="00E96C8D">
        <w:rPr>
          <w:rFonts w:cs="Times New Roman"/>
          <w:szCs w:val="20"/>
          <w:vertAlign w:val="superscript"/>
          <w:lang w:val="es-CR"/>
        </w:rPr>
        <w:footnoteReference w:id="59"/>
      </w:r>
      <w:r w:rsidRPr="00E96C8D">
        <w:rPr>
          <w:rFonts w:cs="Times New Roman"/>
          <w:szCs w:val="20"/>
          <w:lang w:val="es-CR"/>
        </w:rPr>
        <w:t xml:space="preserve">; </w:t>
      </w:r>
      <w:r w:rsidR="001047D4">
        <w:rPr>
          <w:rFonts w:cs="Times New Roman"/>
          <w:szCs w:val="20"/>
          <w:lang w:val="es-CR"/>
        </w:rPr>
        <w:t>i</w:t>
      </w:r>
      <w:r w:rsidRPr="00E96C8D">
        <w:rPr>
          <w:rFonts w:cs="Times New Roman"/>
          <w:szCs w:val="20"/>
          <w:lang w:val="es-CR"/>
        </w:rPr>
        <w:t xml:space="preserve">i) “falta de competencia del juzgador”, ya que el señor Pinto Muñoz no le correspondía ser Presidente de la CNJP “pues ni [era] el oficial de mayor antigüedad ni el más alto jerárquicamente”, y </w:t>
      </w:r>
      <w:r w:rsidR="001047D4">
        <w:rPr>
          <w:rFonts w:cs="Times New Roman"/>
          <w:szCs w:val="20"/>
          <w:lang w:val="es-CR"/>
        </w:rPr>
        <w:t>i</w:t>
      </w:r>
      <w:r w:rsidR="00237C9F">
        <w:rPr>
          <w:rFonts w:cs="Times New Roman"/>
          <w:szCs w:val="20"/>
          <w:lang w:val="es-CR"/>
        </w:rPr>
        <w:t>ii</w:t>
      </w:r>
      <w:r w:rsidRPr="00E96C8D">
        <w:rPr>
          <w:rFonts w:cs="Times New Roman"/>
          <w:szCs w:val="20"/>
          <w:lang w:val="es-CR"/>
        </w:rPr>
        <w:t>) indicaron que “exist[ió] falta de notificación a las partes”</w:t>
      </w:r>
      <w:r w:rsidR="0044679A" w:rsidRPr="00E96C8D">
        <w:rPr>
          <w:rStyle w:val="Refdenotaalpie"/>
          <w:lang w:val="es-CR"/>
        </w:rPr>
        <w:footnoteReference w:id="60"/>
      </w:r>
      <w:r w:rsidRPr="00E96C8D">
        <w:rPr>
          <w:rFonts w:cs="Times New Roman"/>
          <w:szCs w:val="20"/>
          <w:lang w:val="es-CR"/>
        </w:rPr>
        <w:t>.</w:t>
      </w:r>
    </w:p>
    <w:p w14:paraId="0C059C83" w14:textId="77777777" w:rsidR="005D259D" w:rsidRPr="00E96C8D" w:rsidRDefault="005D259D" w:rsidP="005D259D">
      <w:pPr>
        <w:pStyle w:val="Prrafodelista"/>
        <w:autoSpaceDE w:val="0"/>
        <w:autoSpaceDN w:val="0"/>
        <w:adjustRightInd w:val="0"/>
        <w:spacing w:before="0" w:after="0"/>
        <w:ind w:left="0"/>
        <w:rPr>
          <w:rFonts w:cs="Times New Roman"/>
          <w:szCs w:val="20"/>
          <w:lang w:val="es-CR"/>
        </w:rPr>
      </w:pPr>
    </w:p>
    <w:p w14:paraId="7AC99210" w14:textId="13FE6EEB" w:rsidR="00B437CA" w:rsidRPr="00E96C8D" w:rsidRDefault="00B437CA" w:rsidP="00CF2D2A">
      <w:pPr>
        <w:pStyle w:val="Prrafodelista"/>
        <w:numPr>
          <w:ilvl w:val="0"/>
          <w:numId w:val="29"/>
        </w:numPr>
        <w:autoSpaceDE w:val="0"/>
        <w:autoSpaceDN w:val="0"/>
        <w:adjustRightInd w:val="0"/>
        <w:spacing w:before="0" w:after="0"/>
        <w:ind w:left="0" w:firstLine="0"/>
        <w:rPr>
          <w:rFonts w:cs="Times New Roman"/>
          <w:szCs w:val="20"/>
          <w:lang w:val="es-CR"/>
        </w:rPr>
      </w:pPr>
      <w:r w:rsidRPr="00E96C8D">
        <w:rPr>
          <w:rFonts w:cs="Times New Roman"/>
          <w:szCs w:val="20"/>
          <w:lang w:val="es-CR"/>
        </w:rPr>
        <w:t xml:space="preserve">El 31 de julio de 2003 la Corte Nacional de Justicia </w:t>
      </w:r>
      <w:r w:rsidR="00CC1363" w:rsidRPr="00E96C8D">
        <w:rPr>
          <w:rFonts w:cs="Times New Roman"/>
          <w:szCs w:val="20"/>
          <w:lang w:val="es-CR"/>
        </w:rPr>
        <w:t>Policial</w:t>
      </w:r>
      <w:r w:rsidR="009D165E" w:rsidRPr="00E96C8D">
        <w:rPr>
          <w:rFonts w:cs="Times New Roman"/>
          <w:szCs w:val="20"/>
          <w:lang w:val="es-CR"/>
        </w:rPr>
        <w:t xml:space="preserve"> </w:t>
      </w:r>
      <w:r w:rsidRPr="00E96C8D">
        <w:rPr>
          <w:rFonts w:cs="Times New Roman"/>
          <w:szCs w:val="20"/>
          <w:lang w:val="es-CR"/>
        </w:rPr>
        <w:t xml:space="preserve">desechó </w:t>
      </w:r>
      <w:r w:rsidR="00C0254E" w:rsidRPr="00E96C8D">
        <w:rPr>
          <w:rFonts w:cs="Times New Roman"/>
          <w:szCs w:val="20"/>
          <w:lang w:val="es-CR"/>
        </w:rPr>
        <w:t>el mencionado</w:t>
      </w:r>
      <w:r w:rsidRPr="00E96C8D">
        <w:rPr>
          <w:rFonts w:cs="Times New Roman"/>
          <w:szCs w:val="20"/>
          <w:lang w:val="es-CR"/>
        </w:rPr>
        <w:t xml:space="preserve"> recurso de nulidad y</w:t>
      </w:r>
      <w:r w:rsidRPr="00E96C8D">
        <w:rPr>
          <w:rFonts w:cs="Times New Roman"/>
          <w:i/>
          <w:szCs w:val="20"/>
          <w:lang w:val="es-CR"/>
        </w:rPr>
        <w:t xml:space="preserve"> </w:t>
      </w:r>
      <w:r w:rsidRPr="00E96C8D">
        <w:rPr>
          <w:rFonts w:cs="Times New Roman"/>
          <w:szCs w:val="20"/>
          <w:lang w:val="es-CR"/>
        </w:rPr>
        <w:t>declaró que este carecía de fundamento y “acogiendo el criterio del señor Ministro Fiscal, se […] desecha” al indicar que “la omisión de una sola de las solemnidades sustanciales no es suficiente para declarar la nulidad de un proceso</w:t>
      </w:r>
      <w:r w:rsidR="00FF0D79" w:rsidRPr="00E96C8D">
        <w:rPr>
          <w:rFonts w:cs="Times New Roman"/>
          <w:szCs w:val="20"/>
          <w:lang w:val="es-CR"/>
        </w:rPr>
        <w:t>; es menester, además […]</w:t>
      </w:r>
      <w:r w:rsidRPr="00E96C8D">
        <w:rPr>
          <w:rFonts w:cs="Times New Roman"/>
          <w:szCs w:val="20"/>
          <w:lang w:val="es-CR"/>
        </w:rPr>
        <w:t xml:space="preserve"> </w:t>
      </w:r>
      <w:r w:rsidR="00FF0D79" w:rsidRPr="00E96C8D">
        <w:rPr>
          <w:rFonts w:cs="Times New Roman"/>
          <w:szCs w:val="20"/>
          <w:lang w:val="es-CR"/>
        </w:rPr>
        <w:t xml:space="preserve"> que</w:t>
      </w:r>
      <w:r w:rsidRPr="00E96C8D">
        <w:rPr>
          <w:rFonts w:cs="Times New Roman"/>
          <w:szCs w:val="20"/>
          <w:lang w:val="es-CR"/>
        </w:rPr>
        <w:t xml:space="preserve"> la omisión </w:t>
      </w:r>
      <w:r w:rsidR="00FF0D79" w:rsidRPr="00E96C8D">
        <w:rPr>
          <w:rFonts w:cs="Times New Roman"/>
          <w:szCs w:val="20"/>
          <w:lang w:val="es-CR"/>
        </w:rPr>
        <w:t xml:space="preserve">hubiere </w:t>
      </w:r>
      <w:r w:rsidRPr="00E96C8D">
        <w:rPr>
          <w:rFonts w:cs="Times New Roman"/>
          <w:szCs w:val="20"/>
          <w:lang w:val="es-CR"/>
        </w:rPr>
        <w:t>influido en la decisión de la causa</w:t>
      </w:r>
      <w:r w:rsidR="00FF0D79" w:rsidRPr="00E96C8D">
        <w:rPr>
          <w:rFonts w:cs="Times New Roman"/>
          <w:szCs w:val="20"/>
          <w:lang w:val="es-CR"/>
        </w:rPr>
        <w:t>”</w:t>
      </w:r>
      <w:r w:rsidRPr="00E96C8D">
        <w:rPr>
          <w:rFonts w:cs="Times New Roman"/>
          <w:szCs w:val="20"/>
          <w:lang w:val="es-CR"/>
        </w:rPr>
        <w:t>. Respecto a la falta de</w:t>
      </w:r>
      <w:r w:rsidR="009D165E" w:rsidRPr="00E96C8D">
        <w:rPr>
          <w:rFonts w:cs="Times New Roman"/>
          <w:szCs w:val="20"/>
          <w:lang w:val="es-CR"/>
        </w:rPr>
        <w:t xml:space="preserve"> competencia del juez, señaló</w:t>
      </w:r>
      <w:r w:rsidRPr="00E96C8D">
        <w:rPr>
          <w:rFonts w:cs="Times New Roman"/>
          <w:szCs w:val="20"/>
          <w:lang w:val="es-CR"/>
        </w:rPr>
        <w:t xml:space="preserve"> que de acuerdo al grado y la antigüedad e</w:t>
      </w:r>
      <w:r w:rsidR="00DE04AC" w:rsidRPr="00E96C8D">
        <w:rPr>
          <w:rFonts w:cs="Times New Roman"/>
          <w:szCs w:val="20"/>
          <w:lang w:val="es-CR"/>
        </w:rPr>
        <w:t>ra</w:t>
      </w:r>
      <w:r w:rsidRPr="00E96C8D">
        <w:rPr>
          <w:rFonts w:cs="Times New Roman"/>
          <w:szCs w:val="20"/>
          <w:lang w:val="es-CR"/>
        </w:rPr>
        <w:t xml:space="preserve"> al General Byron Pinto Muñoz a quien le correspond</w:t>
      </w:r>
      <w:r w:rsidR="00FF0D79" w:rsidRPr="00E96C8D">
        <w:rPr>
          <w:rFonts w:cs="Times New Roman"/>
          <w:szCs w:val="20"/>
          <w:lang w:val="es-CR"/>
        </w:rPr>
        <w:t>ía</w:t>
      </w:r>
      <w:r w:rsidRPr="00E96C8D">
        <w:rPr>
          <w:rFonts w:cs="Times New Roman"/>
          <w:szCs w:val="20"/>
          <w:lang w:val="es-CR"/>
        </w:rPr>
        <w:t xml:space="preserve"> presidir el tribunal</w:t>
      </w:r>
      <w:r w:rsidRPr="00E96C8D">
        <w:rPr>
          <w:vertAlign w:val="superscript"/>
        </w:rPr>
        <w:footnoteReference w:id="61"/>
      </w:r>
      <w:r w:rsidRPr="00E96C8D">
        <w:rPr>
          <w:rFonts w:cs="Times New Roman"/>
          <w:szCs w:val="20"/>
          <w:lang w:val="es-CR"/>
        </w:rPr>
        <w:t xml:space="preserve">. </w:t>
      </w:r>
    </w:p>
    <w:p w14:paraId="26BF482E" w14:textId="77777777" w:rsidR="00B437CA" w:rsidRPr="00E96C8D" w:rsidRDefault="00B437CA" w:rsidP="00B437CA">
      <w:pPr>
        <w:pStyle w:val="Prrafodelista"/>
        <w:autoSpaceDE w:val="0"/>
        <w:autoSpaceDN w:val="0"/>
        <w:adjustRightInd w:val="0"/>
        <w:spacing w:before="0" w:after="0"/>
        <w:ind w:left="0"/>
        <w:rPr>
          <w:rFonts w:cs="Times New Roman"/>
          <w:szCs w:val="20"/>
          <w:lang w:val="es-CR"/>
        </w:rPr>
      </w:pPr>
    </w:p>
    <w:p w14:paraId="4E521333" w14:textId="48F67F50" w:rsidR="005D259D" w:rsidRPr="00E96C8D" w:rsidRDefault="00F70CFF" w:rsidP="00CF2D2A">
      <w:pPr>
        <w:pStyle w:val="Prrafodelista"/>
        <w:numPr>
          <w:ilvl w:val="0"/>
          <w:numId w:val="29"/>
        </w:numPr>
        <w:autoSpaceDE w:val="0"/>
        <w:autoSpaceDN w:val="0"/>
        <w:adjustRightInd w:val="0"/>
        <w:spacing w:before="0" w:after="0"/>
        <w:ind w:left="0" w:firstLine="0"/>
        <w:rPr>
          <w:rFonts w:cs="Times New Roman"/>
          <w:szCs w:val="20"/>
          <w:lang w:val="es-CR"/>
        </w:rPr>
      </w:pPr>
      <w:r w:rsidRPr="00E96C8D">
        <w:rPr>
          <w:rFonts w:cs="Times New Roman"/>
          <w:szCs w:val="20"/>
          <w:lang w:val="es-CR"/>
        </w:rPr>
        <w:t>El 11 de noviembre de 2003</w:t>
      </w:r>
      <w:r w:rsidR="005D259D" w:rsidRPr="00E96C8D">
        <w:rPr>
          <w:rFonts w:cs="Times New Roman"/>
          <w:szCs w:val="20"/>
          <w:lang w:val="es-CR"/>
        </w:rPr>
        <w:t xml:space="preserve"> la Corte Nacion</w:t>
      </w:r>
      <w:r w:rsidRPr="00E96C8D">
        <w:rPr>
          <w:rFonts w:cs="Times New Roman"/>
          <w:szCs w:val="20"/>
          <w:lang w:val="es-CR"/>
        </w:rPr>
        <w:t xml:space="preserve">al de Justicia </w:t>
      </w:r>
      <w:r w:rsidR="00B17B77" w:rsidRPr="00E96C8D">
        <w:rPr>
          <w:rFonts w:cs="Times New Roman"/>
          <w:szCs w:val="20"/>
          <w:lang w:val="es-CR"/>
        </w:rPr>
        <w:t xml:space="preserve">Policial </w:t>
      </w:r>
      <w:r w:rsidR="00B90EC7" w:rsidRPr="00E96C8D">
        <w:rPr>
          <w:rFonts w:cs="Times New Roman"/>
          <w:szCs w:val="20"/>
          <w:lang w:val="es-CR"/>
        </w:rPr>
        <w:t xml:space="preserve">resolvió </w:t>
      </w:r>
      <w:r w:rsidR="005D259D" w:rsidRPr="00E96C8D">
        <w:rPr>
          <w:rFonts w:cs="Times New Roman"/>
          <w:szCs w:val="20"/>
          <w:lang w:val="es-CR"/>
        </w:rPr>
        <w:t>negar los pedidos de ampliación y aclaración del auto motivado</w:t>
      </w:r>
      <w:r w:rsidR="005D259D" w:rsidRPr="00E96C8D">
        <w:rPr>
          <w:rFonts w:cs="Times New Roman"/>
          <w:szCs w:val="20"/>
          <w:vertAlign w:val="superscript"/>
          <w:lang w:val="es-CR"/>
        </w:rPr>
        <w:t xml:space="preserve"> </w:t>
      </w:r>
      <w:r w:rsidR="005D259D" w:rsidRPr="00E96C8D">
        <w:rPr>
          <w:rFonts w:cs="Times New Roman"/>
          <w:szCs w:val="20"/>
          <w:lang w:val="es-CR"/>
        </w:rPr>
        <w:t>y la negativa del recurso de nulidad y ratificación</w:t>
      </w:r>
      <w:r w:rsidR="005D259D" w:rsidRPr="00E96C8D">
        <w:rPr>
          <w:rFonts w:cs="Times New Roman"/>
          <w:szCs w:val="20"/>
          <w:vertAlign w:val="superscript"/>
          <w:lang w:val="es-CR"/>
        </w:rPr>
        <w:t xml:space="preserve"> </w:t>
      </w:r>
      <w:r w:rsidR="005D259D" w:rsidRPr="00E96C8D">
        <w:rPr>
          <w:rFonts w:cs="Times New Roman"/>
          <w:szCs w:val="20"/>
          <w:lang w:val="es-CR"/>
        </w:rPr>
        <w:t>contra el mismo auto</w:t>
      </w:r>
      <w:r w:rsidR="005B0DE5" w:rsidRPr="00E96C8D">
        <w:rPr>
          <w:rStyle w:val="Refdenotaalpie"/>
          <w:lang w:val="es-CR"/>
        </w:rPr>
        <w:footnoteReference w:id="62"/>
      </w:r>
      <w:r w:rsidR="005D259D" w:rsidRPr="00E96C8D">
        <w:rPr>
          <w:rFonts w:cs="Times New Roman"/>
          <w:szCs w:val="20"/>
          <w:lang w:val="es-CR"/>
        </w:rPr>
        <w:t xml:space="preserve">. </w:t>
      </w:r>
      <w:r w:rsidR="005D259D" w:rsidRPr="00A35168">
        <w:rPr>
          <w:rFonts w:cs="Times New Roman"/>
          <w:szCs w:val="20"/>
          <w:lang w:val="es-CR"/>
        </w:rPr>
        <w:t>Respecto a la solicitud de aclaración analizada por el Ministro Fiscal</w:t>
      </w:r>
      <w:r w:rsidR="00B10647" w:rsidRPr="00A35168">
        <w:rPr>
          <w:rFonts w:cs="Times New Roman"/>
          <w:szCs w:val="20"/>
          <w:lang w:val="es-CR"/>
        </w:rPr>
        <w:t xml:space="preserve">, en su parte pertinente </w:t>
      </w:r>
      <w:r w:rsidR="00156A96" w:rsidRPr="00A35168">
        <w:rPr>
          <w:rFonts w:cs="Times New Roman"/>
          <w:szCs w:val="20"/>
          <w:lang w:val="es-CR"/>
        </w:rPr>
        <w:t>indicó</w:t>
      </w:r>
      <w:r w:rsidR="00B10647" w:rsidRPr="00A35168">
        <w:rPr>
          <w:rFonts w:cs="Times New Roman"/>
          <w:szCs w:val="20"/>
          <w:lang w:val="es-CR"/>
        </w:rPr>
        <w:t>: “</w:t>
      </w:r>
      <w:r w:rsidR="005D259D" w:rsidRPr="00A35168">
        <w:rPr>
          <w:rFonts w:cs="Times New Roman"/>
          <w:szCs w:val="20"/>
          <w:lang w:val="es-CR"/>
        </w:rPr>
        <w:t>[...] se trata de un auto que no adolece de oscuridad y por lo mismo su co</w:t>
      </w:r>
      <w:r w:rsidR="003A698B" w:rsidRPr="00A35168">
        <w:rPr>
          <w:rFonts w:cs="Times New Roman"/>
          <w:szCs w:val="20"/>
          <w:lang w:val="es-CR"/>
        </w:rPr>
        <w:t>n</w:t>
      </w:r>
      <w:r w:rsidR="005D259D" w:rsidRPr="00A35168">
        <w:rPr>
          <w:rFonts w:cs="Times New Roman"/>
          <w:szCs w:val="20"/>
          <w:lang w:val="es-CR"/>
        </w:rPr>
        <w:t>tenido es de fácil comprensión, por lo que estim</w:t>
      </w:r>
      <w:r w:rsidR="008828C1" w:rsidRPr="00A35168">
        <w:rPr>
          <w:rFonts w:cs="Times New Roman"/>
          <w:szCs w:val="20"/>
          <w:lang w:val="es-CR"/>
        </w:rPr>
        <w:t>ó</w:t>
      </w:r>
      <w:r w:rsidR="005D259D" w:rsidRPr="00A35168">
        <w:rPr>
          <w:rFonts w:cs="Times New Roman"/>
          <w:szCs w:val="20"/>
          <w:lang w:val="es-CR"/>
        </w:rPr>
        <w:t xml:space="preserve"> que no amerita </w:t>
      </w:r>
      <w:r w:rsidR="009A3EC4" w:rsidRPr="00A35168">
        <w:rPr>
          <w:rFonts w:cs="Times New Roman"/>
          <w:szCs w:val="20"/>
          <w:lang w:val="es-CR"/>
        </w:rPr>
        <w:t>aclaración alguna”. R</w:t>
      </w:r>
      <w:r w:rsidR="005D259D" w:rsidRPr="00A35168">
        <w:rPr>
          <w:rFonts w:cs="Times New Roman"/>
          <w:szCs w:val="20"/>
          <w:lang w:val="es-CR"/>
        </w:rPr>
        <w:t xml:space="preserve">especto a la solicitud de ampliación indicó que, esta no procedía, ya que se resolvieron todos los puntos de la </w:t>
      </w:r>
      <w:r w:rsidR="005D259D" w:rsidRPr="00BF0ED2">
        <w:rPr>
          <w:rFonts w:cs="Times New Roman"/>
          <w:i/>
          <w:szCs w:val="20"/>
          <w:lang w:val="es-CR"/>
        </w:rPr>
        <w:t>litis</w:t>
      </w:r>
      <w:r w:rsidR="005D259D" w:rsidRPr="00A35168">
        <w:rPr>
          <w:vertAlign w:val="superscript"/>
        </w:rPr>
        <w:footnoteReference w:id="63"/>
      </w:r>
      <w:r w:rsidR="005D259D" w:rsidRPr="00A35168">
        <w:rPr>
          <w:rFonts w:cs="Times New Roman"/>
          <w:szCs w:val="20"/>
          <w:lang w:val="es-CR"/>
        </w:rPr>
        <w:t>.</w:t>
      </w:r>
      <w:r w:rsidR="005D259D" w:rsidRPr="00E96C8D">
        <w:rPr>
          <w:rFonts w:cs="Times New Roman"/>
          <w:szCs w:val="20"/>
          <w:lang w:val="es-CR"/>
        </w:rPr>
        <w:t xml:space="preserve"> Sobre el recurso de nulidad y ratificación se determinó que “el proceso no se observan vicios u omisiones de solemnidad sustancial alguna que le afecte”</w:t>
      </w:r>
      <w:r w:rsidR="009A3EC4" w:rsidRPr="00E96C8D">
        <w:rPr>
          <w:vertAlign w:val="superscript"/>
        </w:rPr>
        <w:footnoteReference w:id="64"/>
      </w:r>
      <w:r w:rsidR="005D259D" w:rsidRPr="00E96C8D">
        <w:rPr>
          <w:rFonts w:cs="Times New Roman"/>
          <w:szCs w:val="20"/>
          <w:lang w:val="es-CR"/>
        </w:rPr>
        <w:t xml:space="preserve">, entre otras razones. </w:t>
      </w:r>
    </w:p>
    <w:p w14:paraId="38E47774" w14:textId="77777777" w:rsidR="00985B6E" w:rsidRPr="00E96C8D" w:rsidRDefault="00985B6E" w:rsidP="00985B6E">
      <w:pPr>
        <w:pStyle w:val="Prrafodelista"/>
        <w:rPr>
          <w:rFonts w:cs="Times New Roman"/>
          <w:szCs w:val="20"/>
          <w:lang w:val="es-CR"/>
        </w:rPr>
      </w:pPr>
    </w:p>
    <w:p w14:paraId="3E4009C3" w14:textId="7E8277B5" w:rsidR="005D259D" w:rsidRPr="00E96C8D" w:rsidRDefault="00985B6E" w:rsidP="00CF2D2A">
      <w:pPr>
        <w:pStyle w:val="Prrafodelista"/>
        <w:numPr>
          <w:ilvl w:val="0"/>
          <w:numId w:val="29"/>
        </w:numPr>
        <w:autoSpaceDE w:val="0"/>
        <w:autoSpaceDN w:val="0"/>
        <w:adjustRightInd w:val="0"/>
        <w:spacing w:before="0" w:after="0"/>
        <w:ind w:left="0" w:firstLine="0"/>
        <w:rPr>
          <w:rFonts w:cs="Times New Roman"/>
          <w:szCs w:val="20"/>
          <w:lang w:val="es-CR"/>
        </w:rPr>
      </w:pPr>
      <w:r w:rsidRPr="00E96C8D">
        <w:rPr>
          <w:rFonts w:cs="Times New Roman"/>
          <w:szCs w:val="20"/>
          <w:lang w:val="es-CR"/>
        </w:rPr>
        <w:t>Los señores Villar</w:t>
      </w:r>
      <w:r w:rsidR="0060743E" w:rsidRPr="00E96C8D">
        <w:rPr>
          <w:rFonts w:cs="Times New Roman"/>
          <w:szCs w:val="20"/>
          <w:lang w:val="es-CR"/>
        </w:rPr>
        <w:t xml:space="preserve">roel Merino, </w:t>
      </w:r>
      <w:r w:rsidRPr="00E96C8D">
        <w:rPr>
          <w:rFonts w:cs="Times New Roman"/>
          <w:szCs w:val="20"/>
          <w:lang w:val="es-CR"/>
        </w:rPr>
        <w:t>Coloma Gaibor, Vinue</w:t>
      </w:r>
      <w:r w:rsidR="0060743E" w:rsidRPr="00E96C8D">
        <w:rPr>
          <w:rFonts w:cs="Times New Roman"/>
          <w:szCs w:val="20"/>
          <w:lang w:val="es-CR"/>
        </w:rPr>
        <w:t>za Pánchez, López Ortiz y A</w:t>
      </w:r>
      <w:r w:rsidR="00660BC9" w:rsidRPr="00E96C8D">
        <w:rPr>
          <w:rFonts w:cs="Times New Roman"/>
          <w:szCs w:val="20"/>
          <w:lang w:val="es-CR"/>
        </w:rPr>
        <w:t>s</w:t>
      </w:r>
      <w:r w:rsidR="0060743E" w:rsidRPr="00E96C8D">
        <w:rPr>
          <w:rFonts w:cs="Times New Roman"/>
          <w:szCs w:val="20"/>
          <w:lang w:val="es-CR"/>
        </w:rPr>
        <w:t>cázu</w:t>
      </w:r>
      <w:r w:rsidRPr="00E96C8D">
        <w:rPr>
          <w:rFonts w:cs="Times New Roman"/>
          <w:szCs w:val="20"/>
          <w:lang w:val="es-CR"/>
        </w:rPr>
        <w:t xml:space="preserve">bi Albán también presentaron un recurso de amparo de libertad en conjunto, el cual fue </w:t>
      </w:r>
      <w:r w:rsidR="004763FB" w:rsidRPr="00E96C8D">
        <w:rPr>
          <w:rFonts w:cs="Times New Roman"/>
          <w:szCs w:val="20"/>
          <w:lang w:val="es-CR"/>
        </w:rPr>
        <w:t>denegado</w:t>
      </w:r>
      <w:r w:rsidRPr="00E96C8D">
        <w:rPr>
          <w:rFonts w:cs="Times New Roman"/>
          <w:szCs w:val="20"/>
          <w:lang w:val="es-CR"/>
        </w:rPr>
        <w:t xml:space="preserve"> el 3 de julio de 2003</w:t>
      </w:r>
      <w:r w:rsidRPr="00E96C8D">
        <w:rPr>
          <w:vertAlign w:val="superscript"/>
        </w:rPr>
        <w:footnoteReference w:id="65"/>
      </w:r>
      <w:r w:rsidRPr="00E96C8D">
        <w:rPr>
          <w:rFonts w:cs="Times New Roman"/>
          <w:szCs w:val="20"/>
          <w:lang w:val="es-CR"/>
        </w:rPr>
        <w:t xml:space="preserve">. </w:t>
      </w:r>
      <w:r w:rsidR="005D259D" w:rsidRPr="00E96C8D">
        <w:rPr>
          <w:rFonts w:cs="Times New Roman"/>
          <w:szCs w:val="20"/>
          <w:lang w:val="es-CR"/>
        </w:rPr>
        <w:t>Po</w:t>
      </w:r>
      <w:r w:rsidR="009A3EC4" w:rsidRPr="00E96C8D">
        <w:rPr>
          <w:rFonts w:cs="Times New Roman"/>
          <w:szCs w:val="20"/>
          <w:lang w:val="es-CR"/>
        </w:rPr>
        <w:t>r otro lado, el señor Mario Rom</w:t>
      </w:r>
      <w:r w:rsidR="005D259D" w:rsidRPr="00E96C8D">
        <w:rPr>
          <w:rFonts w:cs="Times New Roman"/>
          <w:szCs w:val="20"/>
          <w:lang w:val="es-CR"/>
        </w:rPr>
        <w:t xml:space="preserve">el Cevallos Moreno interpuso </w:t>
      </w:r>
      <w:r w:rsidR="008828C1" w:rsidRPr="00E96C8D">
        <w:rPr>
          <w:rFonts w:cs="Times New Roman"/>
          <w:szCs w:val="20"/>
          <w:lang w:val="es-CR"/>
        </w:rPr>
        <w:t xml:space="preserve">un </w:t>
      </w:r>
      <w:r w:rsidR="005D259D" w:rsidRPr="00E96C8D">
        <w:rPr>
          <w:rFonts w:cs="Times New Roman"/>
          <w:szCs w:val="20"/>
          <w:lang w:val="es-CR"/>
        </w:rPr>
        <w:t>recurso de amparo de libertad</w:t>
      </w:r>
      <w:r w:rsidR="005D259D" w:rsidRPr="00E96C8D">
        <w:rPr>
          <w:vertAlign w:val="superscript"/>
        </w:rPr>
        <w:footnoteReference w:id="66"/>
      </w:r>
      <w:r w:rsidR="004834B4" w:rsidRPr="00E96C8D">
        <w:rPr>
          <w:rFonts w:cs="Times New Roman"/>
          <w:szCs w:val="20"/>
          <w:lang w:val="es-CR"/>
        </w:rPr>
        <w:t xml:space="preserve">. </w:t>
      </w:r>
      <w:r w:rsidR="005D259D" w:rsidRPr="00E96C8D">
        <w:rPr>
          <w:rFonts w:cs="Times New Roman"/>
          <w:szCs w:val="20"/>
          <w:lang w:val="es-CR"/>
        </w:rPr>
        <w:t xml:space="preserve">La Corte Nacional de Justicia </w:t>
      </w:r>
      <w:r w:rsidR="00B17B77" w:rsidRPr="00E96C8D">
        <w:rPr>
          <w:rFonts w:cs="Times New Roman"/>
          <w:szCs w:val="20"/>
          <w:lang w:val="es-CR"/>
        </w:rPr>
        <w:t xml:space="preserve">Policial </w:t>
      </w:r>
      <w:r w:rsidR="005D259D" w:rsidRPr="00E96C8D">
        <w:rPr>
          <w:rFonts w:cs="Times New Roman"/>
          <w:szCs w:val="20"/>
          <w:lang w:val="es-CR"/>
        </w:rPr>
        <w:t xml:space="preserve">el 3 de julio de 2003 con voto de mayoría </w:t>
      </w:r>
      <w:r w:rsidR="005D259D" w:rsidRPr="00353157">
        <w:rPr>
          <w:rFonts w:cs="Times New Roman"/>
          <w:szCs w:val="20"/>
          <w:lang w:val="es-CR"/>
        </w:rPr>
        <w:t>determinó improce</w:t>
      </w:r>
      <w:r w:rsidR="002E7760" w:rsidRPr="00353157">
        <w:rPr>
          <w:rFonts w:cs="Times New Roman"/>
          <w:szCs w:val="20"/>
          <w:lang w:val="es-CR"/>
        </w:rPr>
        <w:t>de</w:t>
      </w:r>
      <w:r w:rsidR="005D259D" w:rsidRPr="00353157">
        <w:rPr>
          <w:rFonts w:cs="Times New Roman"/>
          <w:szCs w:val="20"/>
          <w:lang w:val="es-CR"/>
        </w:rPr>
        <w:t>nte el recurso</w:t>
      </w:r>
      <w:r w:rsidR="005D259D" w:rsidRPr="00353157">
        <w:rPr>
          <w:vertAlign w:val="superscript"/>
        </w:rPr>
        <w:footnoteReference w:id="67"/>
      </w:r>
      <w:r w:rsidR="005D259D" w:rsidRPr="00353157">
        <w:rPr>
          <w:rFonts w:cs="Times New Roman"/>
          <w:szCs w:val="20"/>
          <w:lang w:val="es-CR"/>
        </w:rPr>
        <w:t>.</w:t>
      </w:r>
    </w:p>
    <w:p w14:paraId="42FC4D8F" w14:textId="77777777" w:rsidR="00652958" w:rsidRPr="00E96C8D" w:rsidRDefault="00652958" w:rsidP="00652958">
      <w:pPr>
        <w:pStyle w:val="Prrafodelista"/>
        <w:rPr>
          <w:rFonts w:cs="Times New Roman"/>
          <w:szCs w:val="20"/>
          <w:lang w:val="es-CR"/>
        </w:rPr>
      </w:pPr>
    </w:p>
    <w:p w14:paraId="39C35A01" w14:textId="28D21634" w:rsidR="005D259D" w:rsidRPr="00BF0ED2" w:rsidRDefault="005B79A3" w:rsidP="00652958">
      <w:pPr>
        <w:pStyle w:val="Prrafodelista"/>
        <w:numPr>
          <w:ilvl w:val="0"/>
          <w:numId w:val="29"/>
        </w:numPr>
        <w:autoSpaceDE w:val="0"/>
        <w:autoSpaceDN w:val="0"/>
        <w:adjustRightInd w:val="0"/>
        <w:spacing w:before="0" w:after="0"/>
        <w:ind w:left="0" w:firstLine="0"/>
        <w:rPr>
          <w:rFonts w:cs="Times New Roman"/>
          <w:szCs w:val="20"/>
          <w:lang w:val="es-CR"/>
        </w:rPr>
      </w:pPr>
      <w:r w:rsidRPr="00E96C8D">
        <w:rPr>
          <w:rFonts w:cs="Times New Roman"/>
          <w:szCs w:val="20"/>
          <w:lang w:val="es-CR"/>
        </w:rPr>
        <w:t>La Corte Nacional de Justicia Policial el 11 de noviembre de 2003 revocó el auto motivado dictado en contra del señor Cevallos Moreno y, en su lugar, dictó un sobreseimiento provisional a su favor</w:t>
      </w:r>
      <w:r w:rsidR="008D18BB" w:rsidRPr="00E96C8D">
        <w:rPr>
          <w:rFonts w:cs="Times New Roman"/>
          <w:szCs w:val="20"/>
          <w:lang w:val="es-CR"/>
        </w:rPr>
        <w:t xml:space="preserve"> </w:t>
      </w:r>
      <w:r w:rsidR="008D18BB" w:rsidRPr="00BF0ED2">
        <w:rPr>
          <w:rFonts w:cs="Times New Roman"/>
          <w:szCs w:val="20"/>
          <w:lang w:val="es-CR"/>
        </w:rPr>
        <w:t>y dispuso su inmediata libertad</w:t>
      </w:r>
      <w:r w:rsidRPr="00E96C8D">
        <w:rPr>
          <w:rFonts w:cs="Times New Roman"/>
          <w:szCs w:val="20"/>
          <w:lang w:val="es-CR"/>
        </w:rPr>
        <w:t xml:space="preserve">. </w:t>
      </w:r>
      <w:r w:rsidR="00F70CFF" w:rsidRPr="00BF0ED2">
        <w:rPr>
          <w:rFonts w:cs="Times New Roman"/>
          <w:szCs w:val="20"/>
          <w:lang w:val="es-CR"/>
        </w:rPr>
        <w:t>El</w:t>
      </w:r>
      <w:r w:rsidR="00441F73" w:rsidRPr="00BF0ED2">
        <w:rPr>
          <w:rFonts w:cs="Times New Roman"/>
          <w:szCs w:val="20"/>
          <w:lang w:val="es-CR"/>
        </w:rPr>
        <w:t xml:space="preserve"> </w:t>
      </w:r>
      <w:r w:rsidR="004063DE" w:rsidRPr="00BF0ED2">
        <w:rPr>
          <w:rFonts w:cs="Times New Roman"/>
          <w:szCs w:val="20"/>
          <w:lang w:val="es-CR"/>
        </w:rPr>
        <w:t>13</w:t>
      </w:r>
      <w:r w:rsidR="00441F73" w:rsidRPr="00BF0ED2">
        <w:rPr>
          <w:rFonts w:cs="Times New Roman"/>
          <w:szCs w:val="20"/>
          <w:lang w:val="es-CR"/>
        </w:rPr>
        <w:t xml:space="preserve"> de noviembre de 2003 la Corte Nacional de Justicia</w:t>
      </w:r>
      <w:r w:rsidR="000464AF" w:rsidRPr="00BF0ED2">
        <w:rPr>
          <w:rFonts w:cs="Times New Roman"/>
          <w:szCs w:val="20"/>
          <w:lang w:val="es-CR"/>
        </w:rPr>
        <w:t xml:space="preserve"> Policial</w:t>
      </w:r>
      <w:r w:rsidR="00DF4463" w:rsidRPr="00BF0ED2">
        <w:rPr>
          <w:rFonts w:cs="Times New Roman"/>
          <w:szCs w:val="20"/>
          <w:lang w:val="es-CR"/>
        </w:rPr>
        <w:t xml:space="preserve">, </w:t>
      </w:r>
      <w:r w:rsidR="000464AF" w:rsidRPr="00BF0ED2">
        <w:rPr>
          <w:rFonts w:cs="Times New Roman"/>
          <w:szCs w:val="20"/>
          <w:lang w:val="es-CR"/>
        </w:rPr>
        <w:t>ordenó</w:t>
      </w:r>
      <w:r w:rsidR="004063DE" w:rsidRPr="00BF0ED2">
        <w:rPr>
          <w:rFonts w:cs="Times New Roman"/>
          <w:szCs w:val="20"/>
          <w:lang w:val="es-CR"/>
        </w:rPr>
        <w:t xml:space="preserve"> </w:t>
      </w:r>
      <w:r w:rsidR="00441F73" w:rsidRPr="00BF0ED2">
        <w:rPr>
          <w:rFonts w:cs="Times New Roman"/>
          <w:szCs w:val="20"/>
          <w:lang w:val="es-CR"/>
        </w:rPr>
        <w:t xml:space="preserve">emitir </w:t>
      </w:r>
      <w:r w:rsidR="001305E1" w:rsidRPr="00BF0ED2">
        <w:rPr>
          <w:rFonts w:cs="Times New Roman"/>
          <w:szCs w:val="20"/>
          <w:lang w:val="es-CR"/>
        </w:rPr>
        <w:t>la boleta constitucion</w:t>
      </w:r>
      <w:r w:rsidR="001D2CFD" w:rsidRPr="00BF0ED2">
        <w:rPr>
          <w:rFonts w:cs="Times New Roman"/>
          <w:szCs w:val="20"/>
          <w:lang w:val="es-CR"/>
        </w:rPr>
        <w:t>al de excarcelación a su favor</w:t>
      </w:r>
      <w:r w:rsidR="00985B6E" w:rsidRPr="00BF0ED2">
        <w:rPr>
          <w:rStyle w:val="Refdenotaalpie"/>
          <w:lang w:val="es-CR"/>
        </w:rPr>
        <w:footnoteReference w:id="68"/>
      </w:r>
      <w:r w:rsidR="001D2CFD" w:rsidRPr="00BF0ED2">
        <w:rPr>
          <w:rFonts w:cs="Times New Roman"/>
          <w:szCs w:val="20"/>
          <w:lang w:val="es-CR"/>
        </w:rPr>
        <w:t>.</w:t>
      </w:r>
      <w:r w:rsidR="00E87BA5" w:rsidRPr="00BF0ED2">
        <w:rPr>
          <w:rFonts w:cs="Times New Roman"/>
          <w:szCs w:val="20"/>
          <w:lang w:val="es-CR"/>
        </w:rPr>
        <w:t xml:space="preserve"> </w:t>
      </w:r>
    </w:p>
    <w:p w14:paraId="7AFFED28" w14:textId="77777777" w:rsidR="00E57305" w:rsidRPr="00E57305" w:rsidRDefault="00E57305" w:rsidP="00040A54">
      <w:pPr>
        <w:spacing w:before="0" w:after="0"/>
        <w:rPr>
          <w:rFonts w:cs="Times New Roman"/>
          <w:color w:val="242424"/>
          <w:szCs w:val="20"/>
          <w:lang w:val="es-CR"/>
        </w:rPr>
      </w:pPr>
    </w:p>
    <w:p w14:paraId="1A39D347" w14:textId="7D2C555A" w:rsidR="00E57305" w:rsidRPr="00F402EF" w:rsidRDefault="00A76607" w:rsidP="00CF2D2A">
      <w:pPr>
        <w:pStyle w:val="Prrafodelista"/>
        <w:numPr>
          <w:ilvl w:val="0"/>
          <w:numId w:val="29"/>
        </w:numPr>
        <w:spacing w:before="0" w:after="0"/>
        <w:ind w:left="0" w:firstLine="0"/>
        <w:rPr>
          <w:rFonts w:cs="Times New Roman"/>
          <w:color w:val="242424"/>
          <w:szCs w:val="20"/>
          <w:lang w:val="es-CR"/>
        </w:rPr>
      </w:pPr>
      <w:r w:rsidRPr="00B90EC7">
        <w:rPr>
          <w:lang w:val="es-CR"/>
        </w:rPr>
        <w:t xml:space="preserve">El </w:t>
      </w:r>
      <w:r w:rsidR="00F70CFF" w:rsidRPr="00B90EC7">
        <w:rPr>
          <w:lang w:val="es-CR"/>
        </w:rPr>
        <w:t>2 de diciembre de 2003</w:t>
      </w:r>
      <w:r w:rsidR="00E57305" w:rsidRPr="00B90EC7">
        <w:rPr>
          <w:lang w:val="es-CR"/>
        </w:rPr>
        <w:t xml:space="preserve"> la Corte Nacional de Justicia </w:t>
      </w:r>
      <w:r w:rsidR="00B17B77">
        <w:rPr>
          <w:lang w:val="es-CR"/>
        </w:rPr>
        <w:t>Policial</w:t>
      </w:r>
      <w:r w:rsidR="00E57305" w:rsidRPr="00B90EC7">
        <w:rPr>
          <w:lang w:val="es-CR"/>
        </w:rPr>
        <w:t xml:space="preserve"> negó, por improcedentes, los recursos de aclaración interpuestos por los señores Villarroel Merino, Vinueza Pánchez, A</w:t>
      </w:r>
      <w:r w:rsidR="00660BC9">
        <w:rPr>
          <w:lang w:val="es-CR"/>
        </w:rPr>
        <w:t>s</w:t>
      </w:r>
      <w:r w:rsidR="00E57305" w:rsidRPr="00B90EC7">
        <w:rPr>
          <w:lang w:val="es-CR"/>
        </w:rPr>
        <w:t>cáz</w:t>
      </w:r>
      <w:r w:rsidR="001D2CFD" w:rsidRPr="00B90EC7">
        <w:rPr>
          <w:lang w:val="es-CR"/>
        </w:rPr>
        <w:t>ubi Albán y Coloma Gaibor,</w:t>
      </w:r>
      <w:r w:rsidR="00E57305" w:rsidRPr="00B90EC7">
        <w:rPr>
          <w:lang w:val="es-CR"/>
        </w:rPr>
        <w:t xml:space="preserve"> así como el de ampliación interpuesto por el señor Coloma Gaibor</w:t>
      </w:r>
      <w:r w:rsidR="00E57305" w:rsidRPr="00B90EC7">
        <w:rPr>
          <w:rStyle w:val="Refdenotaalpie"/>
          <w:lang w:val="es-CR"/>
        </w:rPr>
        <w:footnoteReference w:id="69"/>
      </w:r>
      <w:r w:rsidR="001D2CFD" w:rsidRPr="00B90EC7">
        <w:rPr>
          <w:lang w:val="es-CR"/>
        </w:rPr>
        <w:t>.</w:t>
      </w:r>
    </w:p>
    <w:p w14:paraId="320351B5" w14:textId="77777777" w:rsidR="008000B5" w:rsidRPr="008000B5" w:rsidRDefault="008000B5" w:rsidP="008000B5">
      <w:pPr>
        <w:pStyle w:val="Prrafodelista"/>
        <w:rPr>
          <w:rFonts w:cs="Times New Roman"/>
          <w:color w:val="0B0B0B"/>
          <w:szCs w:val="20"/>
          <w:lang w:val="es-CR"/>
        </w:rPr>
      </w:pPr>
    </w:p>
    <w:p w14:paraId="69033075" w14:textId="2447DB65" w:rsidR="00B83DB6" w:rsidRPr="00E96C8D" w:rsidRDefault="002333E2" w:rsidP="00CF2D2A">
      <w:pPr>
        <w:pStyle w:val="Prrafodelista"/>
        <w:numPr>
          <w:ilvl w:val="0"/>
          <w:numId w:val="29"/>
        </w:numPr>
        <w:autoSpaceDE w:val="0"/>
        <w:autoSpaceDN w:val="0"/>
        <w:adjustRightInd w:val="0"/>
        <w:spacing w:before="0" w:after="0"/>
        <w:ind w:left="0" w:firstLine="0"/>
        <w:rPr>
          <w:rFonts w:cs="Times New Roman"/>
          <w:szCs w:val="20"/>
          <w:lang w:val="es-CR"/>
        </w:rPr>
      </w:pPr>
      <w:r w:rsidRPr="00E96C8D">
        <w:rPr>
          <w:rFonts w:cs="Times New Roman"/>
          <w:szCs w:val="20"/>
          <w:lang w:val="es-CR"/>
        </w:rPr>
        <w:t xml:space="preserve">El 14 de enero de 2004 la Corte Suprema de Justicia resolvió que “[e]n los procesos penales iniciados antes del 13 de enero de 2003 no procede dictar la orden de detención firme a que se refieren </w:t>
      </w:r>
      <w:r w:rsidRPr="00E96C8D">
        <w:rPr>
          <w:rFonts w:cs="Arial"/>
          <w:szCs w:val="20"/>
          <w:lang w:val="es-CR"/>
        </w:rPr>
        <w:t xml:space="preserve">los </w:t>
      </w:r>
      <w:r w:rsidR="00B27163">
        <w:rPr>
          <w:rFonts w:cs="Arial"/>
          <w:szCs w:val="20"/>
          <w:lang w:val="es-CR"/>
        </w:rPr>
        <w:t>[</w:t>
      </w:r>
      <w:r w:rsidR="000F3311">
        <w:rPr>
          <w:rFonts w:cs="Arial"/>
          <w:szCs w:val="20"/>
          <w:lang w:val="es-CR"/>
        </w:rPr>
        <w:t>artículos</w:t>
      </w:r>
      <w:r w:rsidR="00B27163">
        <w:rPr>
          <w:rFonts w:cs="Arial"/>
          <w:szCs w:val="20"/>
          <w:lang w:val="es-CR"/>
        </w:rPr>
        <w:t>]</w:t>
      </w:r>
      <w:r w:rsidRPr="00E96C8D">
        <w:rPr>
          <w:rFonts w:cs="Arial"/>
          <w:szCs w:val="20"/>
          <w:lang w:val="es-CR"/>
        </w:rPr>
        <w:t xml:space="preserve"> 10, 16, 28 y 34 de la Ley 2003-101 reformatoria del Código de Procedimiento Penal, promulgada en el Registro </w:t>
      </w:r>
      <w:r w:rsidR="00B27163">
        <w:rPr>
          <w:rFonts w:cs="Arial"/>
          <w:szCs w:val="20"/>
          <w:lang w:val="es-CR"/>
        </w:rPr>
        <w:t>O</w:t>
      </w:r>
      <w:r w:rsidRPr="00E96C8D">
        <w:rPr>
          <w:rFonts w:cs="Arial"/>
          <w:szCs w:val="20"/>
          <w:lang w:val="es-CR"/>
        </w:rPr>
        <w:t xml:space="preserve">ficial No. 743 de </w:t>
      </w:r>
      <w:r w:rsidRPr="00E96C8D">
        <w:rPr>
          <w:rFonts w:cs="Times New Roman"/>
          <w:szCs w:val="20"/>
          <w:lang w:val="es-CR"/>
        </w:rPr>
        <w:t>1</w:t>
      </w:r>
      <w:r w:rsidRPr="00E96C8D">
        <w:rPr>
          <w:rFonts w:cs="Arial"/>
          <w:szCs w:val="20"/>
          <w:lang w:val="es-CR"/>
        </w:rPr>
        <w:t>3 de enero del 2003. Por consiguiente en esos proceso</w:t>
      </w:r>
      <w:r w:rsidR="00B02FAA" w:rsidRPr="00E96C8D">
        <w:rPr>
          <w:rFonts w:cs="Arial"/>
          <w:szCs w:val="20"/>
          <w:lang w:val="es-CR"/>
        </w:rPr>
        <w:t>s</w:t>
      </w:r>
      <w:r w:rsidRPr="00E96C8D">
        <w:rPr>
          <w:rFonts w:cs="Arial"/>
          <w:szCs w:val="20"/>
          <w:lang w:val="es-CR"/>
        </w:rPr>
        <w:t xml:space="preserve"> el juez o tribunal que se encuentre conociendo la causa, debe dejar sin efecto –por ineficaz</w:t>
      </w:r>
      <w:r w:rsidR="00B27163" w:rsidRPr="00E96C8D">
        <w:rPr>
          <w:rFonts w:cs="Arial"/>
          <w:szCs w:val="20"/>
          <w:lang w:val="es-CR"/>
        </w:rPr>
        <w:t>–</w:t>
      </w:r>
      <w:r w:rsidRPr="00E96C8D">
        <w:rPr>
          <w:rFonts w:cs="Arial"/>
          <w:szCs w:val="20"/>
          <w:lang w:val="es-CR"/>
        </w:rPr>
        <w:t xml:space="preserve"> la orden de detención en firme que se hubiere dictado, inclusive las contenidas en autos de llamamiento a juicio, y en su lugar ordenar o confirmar la prisión preventiva, así como dejarla sin efecto, cuando corresponda, por haber transcurrido los plazos previstos en el numeral 8 del </w:t>
      </w:r>
      <w:r w:rsidR="00B27163">
        <w:rPr>
          <w:rFonts w:cs="Arial"/>
          <w:szCs w:val="20"/>
          <w:lang w:val="es-CR"/>
        </w:rPr>
        <w:t>[</w:t>
      </w:r>
      <w:r w:rsidR="000F3311">
        <w:rPr>
          <w:rFonts w:cs="Arial"/>
          <w:szCs w:val="20"/>
          <w:lang w:val="es-CR"/>
        </w:rPr>
        <w:t>artículo</w:t>
      </w:r>
      <w:r w:rsidR="00B27163">
        <w:rPr>
          <w:rFonts w:cs="Arial"/>
          <w:szCs w:val="20"/>
          <w:lang w:val="es-CR"/>
        </w:rPr>
        <w:t>]</w:t>
      </w:r>
      <w:r w:rsidRPr="00E96C8D">
        <w:rPr>
          <w:rFonts w:cs="Arial"/>
          <w:szCs w:val="20"/>
          <w:lang w:val="es-CR"/>
        </w:rPr>
        <w:t xml:space="preserve"> 24 de la Constituci</w:t>
      </w:r>
      <w:r w:rsidR="007A36AD" w:rsidRPr="00E96C8D">
        <w:rPr>
          <w:rFonts w:cs="Arial"/>
          <w:szCs w:val="20"/>
          <w:lang w:val="es-CR"/>
        </w:rPr>
        <w:t>ón Polí</w:t>
      </w:r>
      <w:r w:rsidRPr="00E96C8D">
        <w:rPr>
          <w:rFonts w:cs="Arial"/>
          <w:szCs w:val="20"/>
          <w:lang w:val="es-CR"/>
        </w:rPr>
        <w:t>tica de la República”</w:t>
      </w:r>
      <w:r w:rsidRPr="00E96C8D">
        <w:rPr>
          <w:rStyle w:val="Refdenotaalpie"/>
          <w:lang w:val="es-CR"/>
        </w:rPr>
        <w:footnoteReference w:id="70"/>
      </w:r>
      <w:r w:rsidRPr="00E96C8D">
        <w:rPr>
          <w:rFonts w:cs="Arial"/>
          <w:szCs w:val="20"/>
          <w:lang w:val="es-CR"/>
        </w:rPr>
        <w:t xml:space="preserve">. </w:t>
      </w:r>
      <w:r w:rsidRPr="00E96C8D">
        <w:rPr>
          <w:rFonts w:cs="Times New Roman"/>
          <w:szCs w:val="20"/>
          <w:lang w:val="es-CR"/>
        </w:rPr>
        <w:t xml:space="preserve"> </w:t>
      </w:r>
      <w:r w:rsidR="005D259D" w:rsidRPr="00E96C8D">
        <w:rPr>
          <w:rFonts w:cs="Arial"/>
          <w:szCs w:val="20"/>
          <w:lang w:val="es-CR"/>
        </w:rPr>
        <w:t xml:space="preserve">El </w:t>
      </w:r>
      <w:r w:rsidR="00B27163">
        <w:rPr>
          <w:rFonts w:cs="Arial"/>
          <w:szCs w:val="20"/>
          <w:lang w:val="es-CR"/>
        </w:rPr>
        <w:t>9</w:t>
      </w:r>
      <w:r w:rsidR="005D259D" w:rsidRPr="00E96C8D">
        <w:rPr>
          <w:rFonts w:cs="Arial"/>
          <w:szCs w:val="20"/>
          <w:lang w:val="es-CR"/>
        </w:rPr>
        <w:t xml:space="preserve"> de enero de 2004 la Corte Suprema de Justicia</w:t>
      </w:r>
      <w:r w:rsidRPr="00E96C8D">
        <w:rPr>
          <w:rFonts w:cs="Arial"/>
          <w:szCs w:val="20"/>
          <w:lang w:val="es-CR"/>
        </w:rPr>
        <w:t xml:space="preserve"> emitió una resolución</w:t>
      </w:r>
      <w:r w:rsidR="00056BB3">
        <w:rPr>
          <w:rFonts w:cs="Arial"/>
          <w:szCs w:val="20"/>
          <w:lang w:val="es-CR"/>
        </w:rPr>
        <w:t xml:space="preserve">, </w:t>
      </w:r>
      <w:r w:rsidR="007A36AD" w:rsidRPr="00E96C8D">
        <w:rPr>
          <w:rFonts w:cs="Arial"/>
          <w:szCs w:val="20"/>
          <w:lang w:val="es-CR"/>
        </w:rPr>
        <w:t>en la que señaló que “las reformas al Código de Procedimiento Penal promulgadas el 13 de enero de 2003 son aplicables únicamente a los procesos que se inicien por delitos presuntamente perpetrados con posterioridad a esa fecha, mientras que en los procesos ya iniciados tienen que aplicarse las normas vigentes al momento en que se hubiere iniciado el proceso</w:t>
      </w:r>
      <w:r w:rsidR="005D259D" w:rsidRPr="00E96C8D">
        <w:rPr>
          <w:rFonts w:cs="Arial"/>
          <w:szCs w:val="20"/>
          <w:lang w:val="es-CR"/>
        </w:rPr>
        <w:t>”</w:t>
      </w:r>
      <w:r w:rsidR="005D259D" w:rsidRPr="00E96C8D">
        <w:rPr>
          <w:rStyle w:val="Refdenotaalpie"/>
          <w:lang w:val="es-CR"/>
        </w:rPr>
        <w:footnoteReference w:id="71"/>
      </w:r>
      <w:r w:rsidR="00F70CFF" w:rsidRPr="00E96C8D">
        <w:rPr>
          <w:rFonts w:cs="Arial"/>
          <w:szCs w:val="20"/>
          <w:lang w:val="es-CR"/>
        </w:rPr>
        <w:t>.</w:t>
      </w:r>
      <w:r w:rsidR="00F70CFF" w:rsidRPr="00E96C8D">
        <w:rPr>
          <w:rFonts w:cs="Times New Roman"/>
          <w:szCs w:val="20"/>
          <w:lang w:val="es-CR"/>
        </w:rPr>
        <w:t xml:space="preserve"> </w:t>
      </w:r>
    </w:p>
    <w:p w14:paraId="014378F2" w14:textId="77777777" w:rsidR="00B83DB6" w:rsidRPr="00E96C8D" w:rsidRDefault="00B83DB6" w:rsidP="00B83DB6">
      <w:pPr>
        <w:pStyle w:val="Prrafodelista"/>
        <w:rPr>
          <w:rFonts w:cs="Arial"/>
          <w:szCs w:val="20"/>
          <w:lang w:val="es-CR"/>
        </w:rPr>
      </w:pPr>
    </w:p>
    <w:p w14:paraId="75A7B478" w14:textId="481AEE70" w:rsidR="00EB0DF7" w:rsidRPr="008000B5" w:rsidRDefault="000464AF" w:rsidP="00CF2D2A">
      <w:pPr>
        <w:pStyle w:val="Prrafodelista"/>
        <w:numPr>
          <w:ilvl w:val="0"/>
          <w:numId w:val="29"/>
        </w:numPr>
        <w:autoSpaceDE w:val="0"/>
        <w:autoSpaceDN w:val="0"/>
        <w:adjustRightInd w:val="0"/>
        <w:spacing w:before="0" w:after="0"/>
        <w:ind w:left="0" w:firstLine="0"/>
        <w:rPr>
          <w:rFonts w:cs="Times New Roman"/>
          <w:color w:val="0B0B0B"/>
          <w:szCs w:val="20"/>
          <w:lang w:val="es-CR"/>
        </w:rPr>
      </w:pPr>
      <w:r w:rsidRPr="00F45643">
        <w:rPr>
          <w:rFonts w:cs="Arial"/>
          <w:szCs w:val="20"/>
          <w:lang w:val="es-CR"/>
        </w:rPr>
        <w:t>Posteriormente, e</w:t>
      </w:r>
      <w:r w:rsidR="00F70CFF" w:rsidRPr="00F45643">
        <w:rPr>
          <w:rFonts w:cs="Arial"/>
          <w:szCs w:val="20"/>
          <w:lang w:val="es-CR"/>
        </w:rPr>
        <w:t xml:space="preserve">l 27 de enero de 2004 </w:t>
      </w:r>
      <w:r w:rsidR="00FA02BF" w:rsidRPr="00F45643">
        <w:rPr>
          <w:rFonts w:cs="Bookman Old Style"/>
          <w:szCs w:val="20"/>
        </w:rPr>
        <w:t>el Presidente de la CNJP dejó sin efecto la detención en firme dictada en contra de los señores Villarroel Merino, López Ort</w:t>
      </w:r>
      <w:r w:rsidR="009C0EFD" w:rsidRPr="00F45643">
        <w:rPr>
          <w:rFonts w:cs="Bookman Old Style"/>
          <w:szCs w:val="20"/>
        </w:rPr>
        <w:t>i</w:t>
      </w:r>
      <w:r w:rsidR="00FA02BF" w:rsidRPr="00F45643">
        <w:rPr>
          <w:rFonts w:cs="Bookman Old Style"/>
          <w:szCs w:val="20"/>
        </w:rPr>
        <w:t xml:space="preserve">z, Ascázubi Albán, Coloma Gaibor y Vinueza Pánchez, confirmando en su lugar la detención de los ciudadanos en mención, en los términos del </w:t>
      </w:r>
      <w:r w:rsidR="009C0EFD" w:rsidRPr="00F45643">
        <w:rPr>
          <w:rFonts w:cs="Bookman Old Style"/>
          <w:szCs w:val="20"/>
        </w:rPr>
        <w:t>artículo</w:t>
      </w:r>
      <w:r w:rsidR="00FA02BF" w:rsidRPr="00F45643">
        <w:rPr>
          <w:rFonts w:cs="Bookman Old Style"/>
          <w:szCs w:val="20"/>
        </w:rPr>
        <w:t xml:space="preserve"> 167 del Código de Procedimiento Penal de la Policía Civil Nacional</w:t>
      </w:r>
      <w:r w:rsidR="00C02FC9">
        <w:t xml:space="preserve"> (</w:t>
      </w:r>
      <w:r w:rsidR="00C02FC9" w:rsidRPr="008000B5">
        <w:rPr>
          <w:i/>
        </w:rPr>
        <w:t>supra</w:t>
      </w:r>
      <w:r w:rsidR="00C02FC9">
        <w:t xml:space="preserve"> párr. </w:t>
      </w:r>
      <w:r w:rsidR="009C0EFD">
        <w:t>35</w:t>
      </w:r>
      <w:r w:rsidR="00C02FC9">
        <w:t>)</w:t>
      </w:r>
      <w:r w:rsidR="008508D5">
        <w:rPr>
          <w:rFonts w:cs="Bookman Old Style"/>
          <w:szCs w:val="20"/>
        </w:rPr>
        <w:t>, y ordenó que la medida cautelar la cumplieran en la Unidad de Equitación y Remonta de la Policía Nacional</w:t>
      </w:r>
      <w:r w:rsidR="008508D5" w:rsidRPr="00F45643">
        <w:rPr>
          <w:rStyle w:val="Refdenotaalpie"/>
        </w:rPr>
        <w:footnoteReference w:id="72"/>
      </w:r>
      <w:r w:rsidR="008508D5">
        <w:rPr>
          <w:rFonts w:cs="Bookman Old Style"/>
          <w:szCs w:val="20"/>
        </w:rPr>
        <w:t>.</w:t>
      </w:r>
    </w:p>
    <w:p w14:paraId="3214F7AD" w14:textId="77777777" w:rsidR="00524091" w:rsidRDefault="00524091" w:rsidP="00524091">
      <w:pPr>
        <w:pStyle w:val="Prrafodelista"/>
        <w:autoSpaceDE w:val="0"/>
        <w:autoSpaceDN w:val="0"/>
        <w:adjustRightInd w:val="0"/>
        <w:spacing w:before="0" w:after="0"/>
        <w:ind w:left="0"/>
        <w:rPr>
          <w:rFonts w:cs="Times New Roman"/>
          <w:color w:val="3A3A3A"/>
          <w:lang w:val="es-CR"/>
        </w:rPr>
      </w:pPr>
    </w:p>
    <w:p w14:paraId="20DA8462" w14:textId="2C4561D5" w:rsidR="00EB0DF7" w:rsidRPr="00524091" w:rsidRDefault="003A7EF3" w:rsidP="00CF2D2A">
      <w:pPr>
        <w:pStyle w:val="Prrafodelista"/>
        <w:numPr>
          <w:ilvl w:val="0"/>
          <w:numId w:val="29"/>
        </w:numPr>
        <w:autoSpaceDE w:val="0"/>
        <w:autoSpaceDN w:val="0"/>
        <w:adjustRightInd w:val="0"/>
        <w:spacing w:before="0" w:after="0"/>
        <w:ind w:left="0" w:firstLine="0"/>
        <w:rPr>
          <w:rFonts w:cs="Times New Roman"/>
          <w:color w:val="3A3A3A"/>
          <w:sz w:val="18"/>
          <w:lang w:val="es-CR"/>
        </w:rPr>
      </w:pPr>
      <w:r>
        <w:rPr>
          <w:rFonts w:eastAsiaTheme="minorHAnsi" w:cs="Bookman Old Style"/>
          <w:szCs w:val="22"/>
          <w:lang w:val="es-CR"/>
        </w:rPr>
        <w:t xml:space="preserve">El 25 de mayo de 2004 la Corte Nacional de Justicia </w:t>
      </w:r>
      <w:r w:rsidR="009B227B">
        <w:rPr>
          <w:rFonts w:eastAsiaTheme="minorHAnsi" w:cs="Bookman Old Style"/>
          <w:szCs w:val="22"/>
          <w:lang w:val="es-CR"/>
        </w:rPr>
        <w:t>Policia</w:t>
      </w:r>
      <w:r w:rsidR="00DF4463">
        <w:rPr>
          <w:rFonts w:eastAsiaTheme="minorHAnsi" w:cs="Bookman Old Style"/>
          <w:szCs w:val="22"/>
          <w:lang w:val="es-CR"/>
        </w:rPr>
        <w:t>l</w:t>
      </w:r>
      <w:r>
        <w:rPr>
          <w:rFonts w:eastAsiaTheme="minorHAnsi" w:cs="Bookman Old Style"/>
          <w:szCs w:val="22"/>
          <w:lang w:val="es-CR"/>
        </w:rPr>
        <w:t>, conforme a</w:t>
      </w:r>
      <w:r w:rsidR="00EB0DF7" w:rsidRPr="00524091">
        <w:rPr>
          <w:rFonts w:eastAsiaTheme="minorHAnsi" w:cs="Bookman Old Style"/>
          <w:szCs w:val="22"/>
          <w:lang w:val="es-CR"/>
        </w:rPr>
        <w:t>l artícul</w:t>
      </w:r>
      <w:r w:rsidR="0003393F">
        <w:rPr>
          <w:rFonts w:eastAsiaTheme="minorHAnsi" w:cs="Bookman Old Style"/>
          <w:szCs w:val="22"/>
          <w:lang w:val="es-CR"/>
        </w:rPr>
        <w:t>o 24</w:t>
      </w:r>
      <w:r w:rsidR="008E02AE">
        <w:rPr>
          <w:rFonts w:eastAsiaTheme="minorHAnsi" w:cs="Bookman Old Style"/>
          <w:szCs w:val="22"/>
          <w:lang w:val="es-CR"/>
        </w:rPr>
        <w:t xml:space="preserve"> </w:t>
      </w:r>
      <w:r w:rsidR="00F70CFF">
        <w:rPr>
          <w:rFonts w:eastAsiaTheme="minorHAnsi" w:cs="Bookman Old Style"/>
          <w:szCs w:val="22"/>
          <w:lang w:val="es-CR"/>
        </w:rPr>
        <w:t xml:space="preserve">inciso </w:t>
      </w:r>
      <w:r w:rsidR="00C47059">
        <w:rPr>
          <w:rFonts w:eastAsiaTheme="minorHAnsi" w:cs="Bookman Old Style"/>
          <w:szCs w:val="22"/>
          <w:lang w:val="es-CR"/>
        </w:rPr>
        <w:t>8</w:t>
      </w:r>
      <w:r>
        <w:rPr>
          <w:rFonts w:eastAsiaTheme="minorHAnsi" w:cs="Bookman Old Style"/>
          <w:szCs w:val="22"/>
          <w:lang w:val="es-CR"/>
        </w:rPr>
        <w:t xml:space="preserve"> </w:t>
      </w:r>
      <w:r w:rsidR="00EB0DF7" w:rsidRPr="00524091">
        <w:rPr>
          <w:rFonts w:eastAsiaTheme="minorHAnsi" w:cs="Bookman Old Style"/>
          <w:szCs w:val="22"/>
          <w:lang w:val="es-CR"/>
        </w:rPr>
        <w:t>de la Constitución Política de Ecuador</w:t>
      </w:r>
      <w:r w:rsidR="00F45643">
        <w:rPr>
          <w:rFonts w:eastAsiaTheme="minorHAnsi" w:cs="Bookman Old Style"/>
          <w:szCs w:val="22"/>
          <w:lang w:val="es-CR"/>
        </w:rPr>
        <w:t xml:space="preserve"> (</w:t>
      </w:r>
      <w:r w:rsidR="00F45643" w:rsidRPr="00BF0ED2">
        <w:rPr>
          <w:rFonts w:eastAsiaTheme="minorHAnsi" w:cs="Bookman Old Style"/>
          <w:i/>
          <w:szCs w:val="22"/>
          <w:lang w:val="es-CR"/>
        </w:rPr>
        <w:t>supra</w:t>
      </w:r>
      <w:r w:rsidR="00F45643">
        <w:rPr>
          <w:rFonts w:eastAsiaTheme="minorHAnsi" w:cs="Bookman Old Style"/>
          <w:szCs w:val="22"/>
          <w:lang w:val="es-CR"/>
        </w:rPr>
        <w:t xml:space="preserve"> párr. 31)</w:t>
      </w:r>
      <w:r w:rsidR="00ED4DCF">
        <w:rPr>
          <w:rFonts w:eastAsiaTheme="minorHAnsi"/>
          <w:lang w:val="es-CR"/>
        </w:rPr>
        <w:t>,</w:t>
      </w:r>
      <w:r w:rsidR="00EB0DF7" w:rsidRPr="00524091">
        <w:rPr>
          <w:rFonts w:eastAsiaTheme="minorHAnsi" w:cs="Bookman Old Style"/>
          <w:szCs w:val="22"/>
          <w:lang w:val="es-CR"/>
        </w:rPr>
        <w:t xml:space="preserve"> dispuso lo siguiente:</w:t>
      </w:r>
    </w:p>
    <w:p w14:paraId="7A155487" w14:textId="77777777" w:rsidR="00EB0DF7" w:rsidRPr="00524091" w:rsidRDefault="00EB0DF7" w:rsidP="00EB0DF7">
      <w:pPr>
        <w:pStyle w:val="Prrafodelista"/>
        <w:rPr>
          <w:rFonts w:cs="Times New Roman"/>
          <w:color w:val="3A3A3A"/>
          <w:sz w:val="18"/>
          <w:lang w:val="es-CR"/>
        </w:rPr>
      </w:pPr>
    </w:p>
    <w:p w14:paraId="28719F4C" w14:textId="2CD90136" w:rsidR="00EB0DF7" w:rsidRDefault="00EB0DF7" w:rsidP="00017E38">
      <w:pPr>
        <w:autoSpaceDE w:val="0"/>
        <w:autoSpaceDN w:val="0"/>
        <w:adjustRightInd w:val="0"/>
        <w:spacing w:after="0"/>
        <w:ind w:left="708" w:right="720"/>
        <w:rPr>
          <w:rFonts w:cs="Bookman Old Style"/>
          <w:sz w:val="16"/>
          <w:szCs w:val="20"/>
        </w:rPr>
      </w:pPr>
      <w:r w:rsidRPr="0098148B">
        <w:rPr>
          <w:rFonts w:cs="Bookman Old Style"/>
          <w:sz w:val="16"/>
          <w:szCs w:val="20"/>
        </w:rPr>
        <w:t xml:space="preserve">[...] la </w:t>
      </w:r>
      <w:r w:rsidRPr="0098148B">
        <w:rPr>
          <w:rFonts w:cs="Bookman Old Style,Bold"/>
          <w:bCs/>
          <w:sz w:val="16"/>
          <w:szCs w:val="20"/>
        </w:rPr>
        <w:t xml:space="preserve">inmediata libertad </w:t>
      </w:r>
      <w:r w:rsidRPr="0098148B">
        <w:rPr>
          <w:rFonts w:cs="Bookman Old Style"/>
          <w:sz w:val="16"/>
          <w:szCs w:val="20"/>
        </w:rPr>
        <w:t xml:space="preserve">de los acusados Crnel. de Policía de E.M. </w:t>
      </w:r>
      <w:r w:rsidRPr="0098148B">
        <w:rPr>
          <w:rFonts w:cs="Bookman Old Style,Bold"/>
          <w:bCs/>
          <w:sz w:val="16"/>
          <w:szCs w:val="20"/>
        </w:rPr>
        <w:t xml:space="preserve">Leoncio </w:t>
      </w:r>
      <w:r w:rsidR="00F45643" w:rsidRPr="0098148B">
        <w:rPr>
          <w:rFonts w:cs="Bookman Old Style,Bold"/>
          <w:bCs/>
          <w:sz w:val="16"/>
          <w:szCs w:val="20"/>
        </w:rPr>
        <w:t>Amílcar</w:t>
      </w:r>
      <w:r w:rsidRPr="0098148B">
        <w:rPr>
          <w:rFonts w:cs="Bookman Old Style,Bold"/>
          <w:bCs/>
          <w:sz w:val="16"/>
          <w:szCs w:val="20"/>
        </w:rPr>
        <w:t xml:space="preserve"> Ascázubi Albán</w:t>
      </w:r>
      <w:r w:rsidRPr="0098148B">
        <w:rPr>
          <w:rFonts w:cs="Bookman Old Style"/>
          <w:sz w:val="16"/>
          <w:szCs w:val="20"/>
        </w:rPr>
        <w:t xml:space="preserve">, Crnel. de Policía de E.M. </w:t>
      </w:r>
      <w:r w:rsidRPr="0098148B">
        <w:rPr>
          <w:rFonts w:cs="Bookman Old Style,Bold"/>
          <w:bCs/>
          <w:sz w:val="16"/>
          <w:szCs w:val="20"/>
        </w:rPr>
        <w:t>Marcelo Fernando López Ort</w:t>
      </w:r>
      <w:r w:rsidR="009C0EFD">
        <w:rPr>
          <w:rFonts w:cs="Bookman Old Style,Bold"/>
          <w:bCs/>
          <w:sz w:val="16"/>
          <w:szCs w:val="20"/>
        </w:rPr>
        <w:t>i</w:t>
      </w:r>
      <w:r w:rsidRPr="0098148B">
        <w:rPr>
          <w:rFonts w:cs="Bookman Old Style,Bold"/>
          <w:bCs/>
          <w:sz w:val="16"/>
          <w:szCs w:val="20"/>
        </w:rPr>
        <w:t>z</w:t>
      </w:r>
      <w:r w:rsidRPr="0098148B">
        <w:rPr>
          <w:rFonts w:cs="Bookman Old Style"/>
          <w:sz w:val="16"/>
          <w:szCs w:val="20"/>
        </w:rPr>
        <w:t xml:space="preserve">, Coronel de Policía de E.M. </w:t>
      </w:r>
      <w:r w:rsidRPr="0098148B">
        <w:rPr>
          <w:rFonts w:cs="Bookman Old Style,Bold"/>
          <w:bCs/>
          <w:sz w:val="16"/>
          <w:szCs w:val="20"/>
        </w:rPr>
        <w:t xml:space="preserve">Jorge Enrique Coloma Gaibor </w:t>
      </w:r>
      <w:r w:rsidRPr="0098148B">
        <w:rPr>
          <w:rFonts w:cs="Bookman Old Style"/>
          <w:sz w:val="16"/>
          <w:szCs w:val="20"/>
        </w:rPr>
        <w:t xml:space="preserve">y TCrnel. De Policía de E.M. </w:t>
      </w:r>
      <w:r w:rsidRPr="0098148B">
        <w:rPr>
          <w:rFonts w:cs="Bookman Old Style,Bold"/>
          <w:bCs/>
          <w:sz w:val="16"/>
          <w:szCs w:val="20"/>
        </w:rPr>
        <w:t>Alfonso Patricio Vinueza Pánchez</w:t>
      </w:r>
      <w:r w:rsidRPr="0098148B">
        <w:rPr>
          <w:rFonts w:cs="Bookman Old Style"/>
          <w:sz w:val="16"/>
          <w:szCs w:val="20"/>
        </w:rPr>
        <w:t>, sin perjuicio a continuar el proceso penal en su contra.- Con relación a la petición de libertad del señor General Superior (sp) Dr. Jorge Humberto Villarroel Merino, se la niega por no cumplir con el tiempo estipulado en el Art.24.8 de la Consti</w:t>
      </w:r>
      <w:r w:rsidR="00E87BA5">
        <w:rPr>
          <w:rFonts w:cs="Bookman Old Style"/>
          <w:sz w:val="16"/>
          <w:szCs w:val="20"/>
        </w:rPr>
        <w:t>tución Política de la República</w:t>
      </w:r>
      <w:r w:rsidRPr="0098148B">
        <w:rPr>
          <w:rStyle w:val="Refdenotaalpie"/>
          <w:sz w:val="16"/>
        </w:rPr>
        <w:footnoteReference w:id="73"/>
      </w:r>
      <w:r w:rsidR="00E87BA5">
        <w:rPr>
          <w:rFonts w:cs="Bookman Old Style"/>
          <w:sz w:val="16"/>
          <w:szCs w:val="20"/>
        </w:rPr>
        <w:t>.</w:t>
      </w:r>
    </w:p>
    <w:p w14:paraId="79C0B0AF" w14:textId="77777777" w:rsidR="00AC69AA" w:rsidRPr="00017E38" w:rsidRDefault="00AC69AA" w:rsidP="00017E38">
      <w:pPr>
        <w:autoSpaceDE w:val="0"/>
        <w:autoSpaceDN w:val="0"/>
        <w:adjustRightInd w:val="0"/>
        <w:spacing w:after="0"/>
        <w:ind w:left="708" w:right="720"/>
        <w:rPr>
          <w:rFonts w:cs="Bookman Old Style"/>
          <w:sz w:val="16"/>
          <w:szCs w:val="20"/>
        </w:rPr>
      </w:pPr>
    </w:p>
    <w:p w14:paraId="29F8E819" w14:textId="19FFA422" w:rsidR="00EB0DF7" w:rsidRPr="008430AC" w:rsidRDefault="00E26BE5" w:rsidP="00CF2D2A">
      <w:pPr>
        <w:pStyle w:val="Prrafodelista"/>
        <w:numPr>
          <w:ilvl w:val="0"/>
          <w:numId w:val="29"/>
        </w:numPr>
        <w:autoSpaceDE w:val="0"/>
        <w:autoSpaceDN w:val="0"/>
        <w:adjustRightInd w:val="0"/>
        <w:spacing w:before="0" w:after="0"/>
        <w:ind w:left="0" w:firstLine="0"/>
        <w:rPr>
          <w:rFonts w:cs="Times New Roman"/>
          <w:color w:val="1B1B1B"/>
          <w:sz w:val="18"/>
          <w:szCs w:val="20"/>
          <w:lang w:val="es-CR"/>
        </w:rPr>
      </w:pPr>
      <w:r w:rsidRPr="008430AC">
        <w:rPr>
          <w:rFonts w:eastAsiaTheme="minorHAnsi" w:cs="Bookman Old Style"/>
          <w:szCs w:val="22"/>
          <w:lang w:val="es-CR"/>
        </w:rPr>
        <w:t xml:space="preserve">El 25 de mayo de 2004 </w:t>
      </w:r>
      <w:r w:rsidR="00EB0DF7" w:rsidRPr="008430AC">
        <w:rPr>
          <w:rFonts w:eastAsiaTheme="minorHAnsi" w:cs="Bookman Old Style"/>
          <w:szCs w:val="22"/>
          <w:lang w:val="es-CR"/>
        </w:rPr>
        <w:t>se giraron las boletas constitucionales de excarcelación a favor de los se</w:t>
      </w:r>
      <w:r w:rsidR="0060743E">
        <w:rPr>
          <w:rFonts w:eastAsiaTheme="minorHAnsi" w:cs="Bookman Old Style"/>
          <w:szCs w:val="22"/>
          <w:lang w:val="es-CR"/>
        </w:rPr>
        <w:t>ñores Ascázubi Albán, López Orti</w:t>
      </w:r>
      <w:r w:rsidR="00EB0DF7" w:rsidRPr="008430AC">
        <w:rPr>
          <w:rFonts w:eastAsiaTheme="minorHAnsi" w:cs="Bookman Old Style"/>
          <w:szCs w:val="22"/>
          <w:lang w:val="es-CR"/>
        </w:rPr>
        <w:t>z, Coloma Gaibor y Vinueza Pánchez</w:t>
      </w:r>
      <w:r w:rsidR="00EB0DF7" w:rsidRPr="008430AC">
        <w:rPr>
          <w:rStyle w:val="Refdenotaalpie"/>
          <w:rFonts w:eastAsiaTheme="minorHAnsi"/>
          <w:lang w:val="es-CR"/>
        </w:rPr>
        <w:footnoteReference w:id="74"/>
      </w:r>
      <w:r w:rsidR="00EB0DF7" w:rsidRPr="008430AC">
        <w:rPr>
          <w:rFonts w:eastAsiaTheme="minorHAnsi" w:cs="Bookman Old Style"/>
          <w:szCs w:val="22"/>
          <w:lang w:val="es-CR"/>
        </w:rPr>
        <w:t>.</w:t>
      </w:r>
    </w:p>
    <w:p w14:paraId="2D671C18" w14:textId="77777777" w:rsidR="00EB0DF7" w:rsidRPr="00B64324" w:rsidRDefault="00EB0DF7" w:rsidP="001661DB">
      <w:pPr>
        <w:pStyle w:val="Prrafodelista"/>
        <w:autoSpaceDE w:val="0"/>
        <w:autoSpaceDN w:val="0"/>
        <w:adjustRightInd w:val="0"/>
        <w:spacing w:before="0" w:after="0"/>
        <w:ind w:left="0"/>
        <w:rPr>
          <w:rFonts w:cs="Times New Roman"/>
          <w:i/>
          <w:sz w:val="18"/>
          <w:szCs w:val="20"/>
          <w:lang w:val="es-CR"/>
        </w:rPr>
      </w:pPr>
    </w:p>
    <w:p w14:paraId="2C8E2256" w14:textId="72418514" w:rsidR="005D259D" w:rsidRPr="00B64324" w:rsidRDefault="005D259D" w:rsidP="00CF2D2A">
      <w:pPr>
        <w:pStyle w:val="Prrafodelista"/>
        <w:numPr>
          <w:ilvl w:val="0"/>
          <w:numId w:val="29"/>
        </w:numPr>
        <w:autoSpaceDE w:val="0"/>
        <w:autoSpaceDN w:val="0"/>
        <w:adjustRightInd w:val="0"/>
        <w:spacing w:before="0" w:after="0"/>
        <w:ind w:left="0" w:firstLine="0"/>
        <w:rPr>
          <w:rFonts w:cs="Times New Roman"/>
          <w:szCs w:val="20"/>
          <w:lang w:val="es-CR"/>
        </w:rPr>
      </w:pPr>
      <w:r w:rsidRPr="00B64324">
        <w:rPr>
          <w:rFonts w:cs="Times New Roman"/>
          <w:szCs w:val="20"/>
          <w:lang w:val="es-CR"/>
        </w:rPr>
        <w:t xml:space="preserve">El </w:t>
      </w:r>
      <w:r w:rsidR="00A76607" w:rsidRPr="00B64324">
        <w:rPr>
          <w:rFonts w:eastAsiaTheme="minorHAnsi" w:cs="Bookman Old Style"/>
          <w:szCs w:val="20"/>
          <w:lang w:val="es-CR"/>
        </w:rPr>
        <w:t>4 de junio de 2004</w:t>
      </w:r>
      <w:r w:rsidR="00EB0DF7" w:rsidRPr="00B64324">
        <w:rPr>
          <w:rFonts w:eastAsiaTheme="minorHAnsi" w:cs="Bookman Old Style"/>
          <w:szCs w:val="20"/>
          <w:lang w:val="es-CR"/>
        </w:rPr>
        <w:t xml:space="preserve"> la Corte Nacional de Justicia </w:t>
      </w:r>
      <w:r w:rsidR="009B227B" w:rsidRPr="00B64324">
        <w:rPr>
          <w:rFonts w:eastAsiaTheme="minorHAnsi" w:cs="Bookman Old Style"/>
          <w:szCs w:val="20"/>
          <w:lang w:val="es-CR"/>
        </w:rPr>
        <w:t>Policial</w:t>
      </w:r>
      <w:r w:rsidR="003A7EF3" w:rsidRPr="00B64324">
        <w:rPr>
          <w:rFonts w:eastAsiaTheme="minorHAnsi"/>
          <w:lang w:val="es-CR"/>
        </w:rPr>
        <w:t xml:space="preserve"> </w:t>
      </w:r>
      <w:r w:rsidR="00EB0DF7" w:rsidRPr="00B64324">
        <w:rPr>
          <w:rFonts w:eastAsiaTheme="minorHAnsi" w:cs="Bookman Old Style"/>
          <w:szCs w:val="20"/>
          <w:lang w:val="es-CR"/>
        </w:rPr>
        <w:t>resolvió la solicitud de excarcelación formulada por</w:t>
      </w:r>
      <w:r w:rsidR="003A7EF3" w:rsidRPr="00B64324">
        <w:rPr>
          <w:rFonts w:eastAsiaTheme="minorHAnsi" w:cs="Bookman Old Style"/>
          <w:szCs w:val="20"/>
          <w:lang w:val="es-CR"/>
        </w:rPr>
        <w:t xml:space="preserve"> el señor Villarroel Merino el </w:t>
      </w:r>
      <w:r w:rsidR="00F866F8" w:rsidRPr="00B64324">
        <w:rPr>
          <w:rFonts w:eastAsiaTheme="minorHAnsi" w:cs="Bookman Old Style"/>
          <w:szCs w:val="20"/>
          <w:lang w:val="es-CR"/>
        </w:rPr>
        <w:t>4</w:t>
      </w:r>
      <w:r w:rsidR="00EB0DF7" w:rsidRPr="00B64324">
        <w:rPr>
          <w:rFonts w:eastAsiaTheme="minorHAnsi" w:cs="Bookman Old Style"/>
          <w:szCs w:val="20"/>
          <w:lang w:val="es-CR"/>
        </w:rPr>
        <w:t xml:space="preserve"> de junio de 2004, por lo que, de igual forma, en aplicación del artículo 24</w:t>
      </w:r>
      <w:r w:rsidR="001E309A" w:rsidRPr="00B64324">
        <w:rPr>
          <w:rFonts w:eastAsiaTheme="minorHAnsi" w:cs="Bookman Old Style"/>
          <w:szCs w:val="20"/>
          <w:lang w:val="es-CR"/>
        </w:rPr>
        <w:t>.8</w:t>
      </w:r>
      <w:r w:rsidR="00EB0DF7" w:rsidRPr="00B64324">
        <w:rPr>
          <w:rFonts w:eastAsiaTheme="minorHAnsi" w:cs="Bookman Old Style"/>
          <w:szCs w:val="20"/>
          <w:lang w:val="es-CR"/>
        </w:rPr>
        <w:t xml:space="preserve"> de la Constitución Política de</w:t>
      </w:r>
      <w:r w:rsidR="00DF4463" w:rsidRPr="00B64324">
        <w:rPr>
          <w:rFonts w:eastAsiaTheme="minorHAnsi" w:cs="Bookman Old Style"/>
          <w:szCs w:val="20"/>
          <w:lang w:val="es-CR"/>
        </w:rPr>
        <w:t>l</w:t>
      </w:r>
      <w:r w:rsidR="00EB0DF7" w:rsidRPr="00B64324">
        <w:rPr>
          <w:rFonts w:eastAsiaTheme="minorHAnsi" w:cs="Bookman Old Style"/>
          <w:szCs w:val="20"/>
          <w:lang w:val="es-CR"/>
        </w:rPr>
        <w:t xml:space="preserve"> Ecuador, dispuso su inmediata libertad</w:t>
      </w:r>
      <w:r w:rsidR="00D255DC" w:rsidRPr="00B64324">
        <w:rPr>
          <w:rStyle w:val="Refdenotaalpie"/>
          <w:rFonts w:eastAsiaTheme="minorHAnsi"/>
          <w:lang w:val="es-CR"/>
        </w:rPr>
        <w:footnoteReference w:id="75"/>
      </w:r>
      <w:r w:rsidR="00EB0DF7" w:rsidRPr="00B64324">
        <w:rPr>
          <w:rFonts w:eastAsiaTheme="minorHAnsi" w:cs="Bookman Old Style"/>
          <w:szCs w:val="20"/>
          <w:lang w:val="es-CR"/>
        </w:rPr>
        <w:t>.</w:t>
      </w:r>
    </w:p>
    <w:p w14:paraId="2C74B0E7" w14:textId="0A437C05" w:rsidR="005D259D" w:rsidRPr="00B64324" w:rsidRDefault="006004E6" w:rsidP="001661DB">
      <w:pPr>
        <w:pStyle w:val="Prrafodelista"/>
        <w:tabs>
          <w:tab w:val="left" w:pos="2280"/>
        </w:tabs>
        <w:rPr>
          <w:rFonts w:cs="Times New Roman"/>
          <w:i/>
          <w:iCs/>
          <w:szCs w:val="20"/>
          <w:lang w:val="es-CR"/>
        </w:rPr>
      </w:pPr>
      <w:r w:rsidRPr="00B64324">
        <w:rPr>
          <w:rFonts w:cs="Times New Roman"/>
          <w:i/>
          <w:iCs/>
          <w:szCs w:val="20"/>
          <w:lang w:val="es-CR"/>
        </w:rPr>
        <w:tab/>
      </w:r>
    </w:p>
    <w:p w14:paraId="13B35F11" w14:textId="7F243144" w:rsidR="005D259D" w:rsidRPr="00B64324" w:rsidRDefault="00A76607" w:rsidP="00CF2D2A">
      <w:pPr>
        <w:pStyle w:val="Prrafodelista"/>
        <w:numPr>
          <w:ilvl w:val="0"/>
          <w:numId w:val="29"/>
        </w:numPr>
        <w:autoSpaceDE w:val="0"/>
        <w:autoSpaceDN w:val="0"/>
        <w:adjustRightInd w:val="0"/>
        <w:spacing w:before="0" w:after="0"/>
        <w:ind w:left="0" w:firstLine="0"/>
        <w:rPr>
          <w:rFonts w:cs="Times New Roman"/>
          <w:szCs w:val="20"/>
          <w:lang w:val="es-CR"/>
        </w:rPr>
      </w:pPr>
      <w:r w:rsidRPr="00B64324">
        <w:rPr>
          <w:rFonts w:cs="Times New Roman"/>
          <w:szCs w:val="20"/>
          <w:lang w:val="es-CR"/>
        </w:rPr>
        <w:t>El</w:t>
      </w:r>
      <w:r w:rsidR="005D259D" w:rsidRPr="00B64324">
        <w:rPr>
          <w:rFonts w:cs="Times New Roman"/>
          <w:szCs w:val="20"/>
          <w:lang w:val="es-CR"/>
        </w:rPr>
        <w:t xml:space="preserve"> 8 de octubre de 2004</w:t>
      </w:r>
      <w:r w:rsidRPr="00B64324">
        <w:rPr>
          <w:rFonts w:cs="Times New Roman"/>
          <w:szCs w:val="20"/>
          <w:lang w:val="es-CR"/>
        </w:rPr>
        <w:t xml:space="preserve">, </w:t>
      </w:r>
      <w:r w:rsidR="005D259D" w:rsidRPr="00B33ECE">
        <w:rPr>
          <w:rFonts w:cs="Times New Roman"/>
          <w:szCs w:val="20"/>
          <w:lang w:val="es-CR"/>
        </w:rPr>
        <w:t>el Ministro Fiscal Policial emitió un nuevo dictamen definitivo</w:t>
      </w:r>
      <w:r w:rsidR="005D259D" w:rsidRPr="00B64324">
        <w:rPr>
          <w:rFonts w:cs="Times New Roman"/>
          <w:szCs w:val="20"/>
          <w:lang w:val="es-CR"/>
        </w:rPr>
        <w:t xml:space="preserve">, en el cual consideró </w:t>
      </w:r>
      <w:r w:rsidR="008430AC" w:rsidRPr="00B64324">
        <w:rPr>
          <w:rFonts w:cs="Times New Roman"/>
          <w:szCs w:val="20"/>
          <w:lang w:val="es-CR"/>
        </w:rPr>
        <w:t xml:space="preserve">que </w:t>
      </w:r>
      <w:r w:rsidR="005D259D" w:rsidRPr="00B64324">
        <w:rPr>
          <w:rFonts w:cs="Times New Roman"/>
          <w:szCs w:val="20"/>
          <w:lang w:val="es-CR"/>
        </w:rPr>
        <w:t xml:space="preserve">no existían elementos suficientes para acusar a las personas investigadas, incluyendo a las presuntas víctimas: </w:t>
      </w:r>
    </w:p>
    <w:p w14:paraId="6352DE26" w14:textId="77777777" w:rsidR="005D259D" w:rsidRPr="0092295B" w:rsidRDefault="005D259D" w:rsidP="005D259D">
      <w:pPr>
        <w:pStyle w:val="Prrafodelista"/>
        <w:rPr>
          <w:rFonts w:cs="Times New Roman"/>
          <w:color w:val="2F2F2F"/>
          <w:szCs w:val="20"/>
          <w:lang w:val="es-CR"/>
        </w:rPr>
      </w:pPr>
    </w:p>
    <w:p w14:paraId="7D2142E0" w14:textId="77777777" w:rsidR="005D259D" w:rsidRPr="00D43695" w:rsidRDefault="005D259D" w:rsidP="00D81F03">
      <w:pPr>
        <w:pStyle w:val="Prrafodelista"/>
        <w:autoSpaceDE w:val="0"/>
        <w:autoSpaceDN w:val="0"/>
        <w:adjustRightInd w:val="0"/>
        <w:spacing w:after="0"/>
        <w:ind w:left="708" w:right="441"/>
        <w:rPr>
          <w:rFonts w:cs="Times New Roman"/>
          <w:sz w:val="16"/>
          <w:szCs w:val="20"/>
          <w:lang w:val="es-CR"/>
        </w:rPr>
      </w:pPr>
      <w:r w:rsidRPr="00D43695">
        <w:rPr>
          <w:rFonts w:cs="Times New Roman"/>
          <w:sz w:val="16"/>
          <w:szCs w:val="20"/>
          <w:lang w:val="es-CR"/>
        </w:rPr>
        <w:t>Se ha demostrado que el informe [...] emitido por la Contraloría General del Estado no es apegado a la realidad, puesto que ha quedado evidenciado de las pruebas practicadas que se ha cometido una serie de errores al emitir dicho informe. [...] No existe evidencia alguna de que con su accionar haya perjudicado a la Institución Policial [...] sin que se encuentre responsabilidad en el cometimiento de algún delito</w:t>
      </w:r>
      <w:r w:rsidRPr="00D43695">
        <w:rPr>
          <w:rStyle w:val="Refdenotaalpie"/>
          <w:sz w:val="16"/>
          <w:lang w:val="es-CR"/>
        </w:rPr>
        <w:footnoteReference w:id="76"/>
      </w:r>
      <w:r w:rsidRPr="00D43695">
        <w:rPr>
          <w:rFonts w:cs="Times New Roman"/>
          <w:sz w:val="16"/>
          <w:szCs w:val="20"/>
          <w:lang w:val="es-CR"/>
        </w:rPr>
        <w:t>.</w:t>
      </w:r>
    </w:p>
    <w:p w14:paraId="000F7ADF" w14:textId="77777777" w:rsidR="005D259D" w:rsidRPr="00D43695" w:rsidRDefault="005D259D" w:rsidP="005D259D">
      <w:pPr>
        <w:pStyle w:val="Prrafodelista"/>
        <w:autoSpaceDE w:val="0"/>
        <w:autoSpaceDN w:val="0"/>
        <w:adjustRightInd w:val="0"/>
        <w:spacing w:after="0"/>
        <w:ind w:left="0"/>
        <w:rPr>
          <w:rFonts w:ascii="Times New Roman" w:hAnsi="Times New Roman" w:cs="Times New Roman"/>
          <w:sz w:val="19"/>
          <w:szCs w:val="19"/>
          <w:lang w:val="es-CR"/>
        </w:rPr>
      </w:pPr>
    </w:p>
    <w:p w14:paraId="6CE97B46" w14:textId="6925DD4A" w:rsidR="005D259D" w:rsidRPr="00AF011A" w:rsidRDefault="003E3698" w:rsidP="00CF2D2A">
      <w:pPr>
        <w:pStyle w:val="Prrafodelista"/>
        <w:numPr>
          <w:ilvl w:val="0"/>
          <w:numId w:val="29"/>
        </w:numPr>
        <w:autoSpaceDE w:val="0"/>
        <w:autoSpaceDN w:val="0"/>
        <w:adjustRightInd w:val="0"/>
        <w:spacing w:before="0" w:after="0"/>
        <w:ind w:left="0" w:firstLine="0"/>
        <w:rPr>
          <w:rFonts w:cs="Times New Roman"/>
          <w:color w:val="292929"/>
          <w:szCs w:val="20"/>
          <w:lang w:val="es-CR"/>
        </w:rPr>
      </w:pPr>
      <w:r w:rsidRPr="00D43695">
        <w:rPr>
          <w:rFonts w:cs="Times New Roman"/>
          <w:szCs w:val="20"/>
          <w:lang w:val="es-CR"/>
        </w:rPr>
        <w:t>El</w:t>
      </w:r>
      <w:r w:rsidR="005D259D" w:rsidRPr="00D43695">
        <w:rPr>
          <w:rFonts w:cs="Times New Roman"/>
          <w:szCs w:val="20"/>
          <w:lang w:val="es-CR"/>
        </w:rPr>
        <w:t xml:space="preserve"> 10 de enero de 2005 la Corte Nacional de Justicia </w:t>
      </w:r>
      <w:r w:rsidR="009B227B" w:rsidRPr="00D43695">
        <w:rPr>
          <w:rFonts w:cs="Times New Roman"/>
          <w:szCs w:val="20"/>
          <w:lang w:val="es-CR"/>
        </w:rPr>
        <w:t>Policial</w:t>
      </w:r>
      <w:r w:rsidR="005D259D" w:rsidRPr="00D43695">
        <w:rPr>
          <w:rFonts w:cs="Times New Roman"/>
          <w:szCs w:val="20"/>
          <w:lang w:val="es-CR"/>
        </w:rPr>
        <w:t xml:space="preserve"> dictó una sentencia condenatoria en contra Alfonso Patricio Vinueza</w:t>
      </w:r>
      <w:r w:rsidR="008430AC" w:rsidRPr="00D43695">
        <w:rPr>
          <w:rFonts w:cs="Times New Roman"/>
          <w:szCs w:val="20"/>
          <w:lang w:val="es-CR"/>
        </w:rPr>
        <w:t xml:space="preserve"> Pánchez</w:t>
      </w:r>
      <w:r w:rsidR="005D259D" w:rsidRPr="00D43695">
        <w:rPr>
          <w:rFonts w:cs="Times New Roman"/>
          <w:szCs w:val="20"/>
          <w:lang w:val="es-CR"/>
        </w:rPr>
        <w:t xml:space="preserve"> y Jorge Enrique Coloma Gaibor, en calidad de autores del delito de malversación de fondos</w:t>
      </w:r>
      <w:r w:rsidR="00BF0ED2" w:rsidRPr="00D43695">
        <w:rPr>
          <w:rFonts w:cs="Times New Roman"/>
          <w:szCs w:val="20"/>
          <w:lang w:val="es-CR"/>
        </w:rPr>
        <w:t xml:space="preserve"> </w:t>
      </w:r>
      <w:r w:rsidR="00BF0ED2" w:rsidRPr="005D0452">
        <w:rPr>
          <w:szCs w:val="16"/>
        </w:rPr>
        <w:t>(</w:t>
      </w:r>
      <w:r w:rsidR="00BF0ED2" w:rsidRPr="005D0452">
        <w:rPr>
          <w:i/>
          <w:szCs w:val="16"/>
        </w:rPr>
        <w:t>supra</w:t>
      </w:r>
      <w:r w:rsidR="00BF0ED2" w:rsidRPr="005D0452">
        <w:rPr>
          <w:szCs w:val="16"/>
        </w:rPr>
        <w:t xml:space="preserve"> párr. 36)</w:t>
      </w:r>
      <w:r w:rsidR="005D259D" w:rsidRPr="00D43695">
        <w:rPr>
          <w:rFonts w:cs="Times New Roman"/>
          <w:szCs w:val="20"/>
          <w:lang w:val="es-CR"/>
        </w:rPr>
        <w:t xml:space="preserve">, con una pena de tres años de reclusión menor ordinaria, que por tener circunstancias atenuantes se modificó a un año de prisión. Asimismo, la </w:t>
      </w:r>
      <w:r w:rsidR="009B227B" w:rsidRPr="00D43695">
        <w:rPr>
          <w:rFonts w:cs="Times New Roman"/>
          <w:szCs w:val="20"/>
          <w:lang w:val="es-CR"/>
        </w:rPr>
        <w:t>CNJP</w:t>
      </w:r>
      <w:r w:rsidR="00DF4463" w:rsidRPr="00D43695">
        <w:rPr>
          <w:rFonts w:cs="Times New Roman"/>
          <w:szCs w:val="20"/>
          <w:lang w:val="es-CR"/>
        </w:rPr>
        <w:t xml:space="preserve"> </w:t>
      </w:r>
      <w:r w:rsidR="005D259D" w:rsidRPr="00D43695">
        <w:rPr>
          <w:rFonts w:cs="Times New Roman"/>
          <w:szCs w:val="20"/>
          <w:lang w:val="es-CR"/>
        </w:rPr>
        <w:t xml:space="preserve">condenó a Jorge </w:t>
      </w:r>
      <w:r w:rsidR="008430AC" w:rsidRPr="00D43695">
        <w:rPr>
          <w:rFonts w:cs="Times New Roman"/>
          <w:szCs w:val="20"/>
          <w:lang w:val="es-CR"/>
        </w:rPr>
        <w:t xml:space="preserve">Humberto </w:t>
      </w:r>
      <w:r w:rsidR="005D259D" w:rsidRPr="00D43695">
        <w:rPr>
          <w:rFonts w:cs="Times New Roman"/>
          <w:szCs w:val="20"/>
          <w:lang w:val="es-CR"/>
        </w:rPr>
        <w:t>Villarroel</w:t>
      </w:r>
      <w:r w:rsidR="008430AC" w:rsidRPr="00D43695">
        <w:rPr>
          <w:rFonts w:cs="Times New Roman"/>
          <w:szCs w:val="20"/>
          <w:lang w:val="es-CR"/>
        </w:rPr>
        <w:t xml:space="preserve"> Merino </w:t>
      </w:r>
      <w:r w:rsidR="005D259D" w:rsidRPr="00D43695">
        <w:rPr>
          <w:rFonts w:cs="Times New Roman"/>
          <w:szCs w:val="20"/>
          <w:lang w:val="es-CR"/>
        </w:rPr>
        <w:t xml:space="preserve">como cómplice del mismo delito y </w:t>
      </w:r>
      <w:r w:rsidR="009822CD" w:rsidRPr="00AF011A">
        <w:rPr>
          <w:rFonts w:cs="Arial"/>
          <w:szCs w:val="20"/>
          <w:lang w:val="es-CR"/>
        </w:rPr>
        <w:t>absolvió definitivamente</w:t>
      </w:r>
      <w:r w:rsidR="009822CD" w:rsidRPr="00D43695">
        <w:rPr>
          <w:rFonts w:cs="Times New Roman"/>
          <w:szCs w:val="20"/>
          <w:lang w:val="es-CR"/>
        </w:rPr>
        <w:t xml:space="preserve"> </w:t>
      </w:r>
      <w:r w:rsidR="009822CD">
        <w:rPr>
          <w:rFonts w:cs="Times New Roman"/>
          <w:szCs w:val="20"/>
          <w:lang w:val="es-CR"/>
        </w:rPr>
        <w:t xml:space="preserve">a </w:t>
      </w:r>
      <w:r w:rsidR="005D259D" w:rsidRPr="00AF011A">
        <w:rPr>
          <w:rFonts w:cs="Arial"/>
          <w:szCs w:val="20"/>
          <w:lang w:val="es-CR"/>
        </w:rPr>
        <w:t xml:space="preserve">Fernando </w:t>
      </w:r>
      <w:r w:rsidR="008430AC" w:rsidRPr="00AF011A">
        <w:rPr>
          <w:rFonts w:cs="Arial"/>
          <w:szCs w:val="20"/>
          <w:lang w:val="es-CR"/>
        </w:rPr>
        <w:t xml:space="preserve">Marcelo </w:t>
      </w:r>
      <w:r w:rsidR="005D259D" w:rsidRPr="00AF011A">
        <w:rPr>
          <w:rFonts w:cs="Arial"/>
          <w:szCs w:val="20"/>
          <w:lang w:val="es-CR"/>
        </w:rPr>
        <w:t xml:space="preserve">López Ortiz y </w:t>
      </w:r>
      <w:r w:rsidR="008430AC" w:rsidRPr="00AF011A">
        <w:rPr>
          <w:rFonts w:cs="Arial"/>
          <w:szCs w:val="20"/>
          <w:lang w:val="es-CR"/>
        </w:rPr>
        <w:t xml:space="preserve">Leoncio </w:t>
      </w:r>
      <w:r w:rsidR="0060743E" w:rsidRPr="00AF011A">
        <w:rPr>
          <w:rFonts w:cs="Arial"/>
          <w:szCs w:val="20"/>
          <w:lang w:val="es-CR"/>
        </w:rPr>
        <w:t>Amílcar Ascá</w:t>
      </w:r>
      <w:r w:rsidR="005D259D" w:rsidRPr="00AF011A">
        <w:rPr>
          <w:rFonts w:cs="Arial"/>
          <w:szCs w:val="20"/>
          <w:lang w:val="es-CR"/>
        </w:rPr>
        <w:t>zubi Albán</w:t>
      </w:r>
      <w:r w:rsidR="005D259D" w:rsidRPr="00AF011A">
        <w:rPr>
          <w:rStyle w:val="Refdenotaalpie"/>
          <w:color w:val="292929"/>
          <w:lang w:val="es-CR"/>
        </w:rPr>
        <w:footnoteReference w:id="77"/>
      </w:r>
      <w:r w:rsidR="008828C1" w:rsidRPr="00AF011A">
        <w:rPr>
          <w:rFonts w:cs="Arial"/>
          <w:szCs w:val="20"/>
          <w:lang w:val="es-CR"/>
        </w:rPr>
        <w:t xml:space="preserve">. </w:t>
      </w:r>
    </w:p>
    <w:p w14:paraId="542B2A76" w14:textId="77777777" w:rsidR="005D259D" w:rsidRPr="0092295B" w:rsidRDefault="005D259D" w:rsidP="001661DB">
      <w:pPr>
        <w:pStyle w:val="Prrafodelista"/>
        <w:autoSpaceDE w:val="0"/>
        <w:autoSpaceDN w:val="0"/>
        <w:adjustRightInd w:val="0"/>
        <w:spacing w:before="0" w:after="0"/>
        <w:ind w:left="0"/>
        <w:rPr>
          <w:rFonts w:ascii="Times New Roman" w:hAnsi="Times New Roman" w:cs="Times New Roman"/>
          <w:color w:val="292929"/>
          <w:szCs w:val="20"/>
          <w:lang w:val="es-CR"/>
        </w:rPr>
      </w:pPr>
    </w:p>
    <w:p w14:paraId="1708C610" w14:textId="7A2D92DF" w:rsidR="005D259D" w:rsidRPr="00B64324" w:rsidRDefault="005D259D" w:rsidP="00CF2D2A">
      <w:pPr>
        <w:pStyle w:val="Prrafodelista"/>
        <w:numPr>
          <w:ilvl w:val="0"/>
          <w:numId w:val="29"/>
        </w:numPr>
        <w:autoSpaceDE w:val="0"/>
        <w:autoSpaceDN w:val="0"/>
        <w:adjustRightInd w:val="0"/>
        <w:spacing w:before="0" w:after="0"/>
        <w:ind w:left="0" w:firstLine="0"/>
        <w:rPr>
          <w:rFonts w:cs="Times New Roman"/>
          <w:szCs w:val="20"/>
          <w:lang w:val="es-CR"/>
        </w:rPr>
      </w:pPr>
      <w:r w:rsidRPr="00B64324">
        <w:rPr>
          <w:rFonts w:cs="Times New Roman"/>
          <w:szCs w:val="20"/>
          <w:lang w:val="es-CR"/>
        </w:rPr>
        <w:t>El 10 de junio de 2005</w:t>
      </w:r>
      <w:r w:rsidR="00A76607" w:rsidRPr="00B64324">
        <w:rPr>
          <w:rFonts w:cs="Times New Roman"/>
          <w:szCs w:val="20"/>
          <w:lang w:val="es-CR"/>
        </w:rPr>
        <w:t>,</w:t>
      </w:r>
      <w:r w:rsidRPr="00B64324">
        <w:rPr>
          <w:rFonts w:cs="Times New Roman"/>
          <w:szCs w:val="20"/>
          <w:lang w:val="es-CR"/>
        </w:rPr>
        <w:t xml:space="preserve"> el ento</w:t>
      </w:r>
      <w:r w:rsidR="00996679">
        <w:rPr>
          <w:rFonts w:cs="Times New Roman"/>
          <w:szCs w:val="20"/>
          <w:lang w:val="es-CR"/>
        </w:rPr>
        <w:t xml:space="preserve">nces Presidente de la República </w:t>
      </w:r>
      <w:r w:rsidRPr="00B64324">
        <w:rPr>
          <w:rFonts w:cs="Times New Roman"/>
          <w:szCs w:val="20"/>
          <w:lang w:val="es-CR"/>
        </w:rPr>
        <w:t xml:space="preserve">emitió </w:t>
      </w:r>
      <w:r w:rsidR="00A76607" w:rsidRPr="00B64324">
        <w:rPr>
          <w:rFonts w:cs="Times New Roman"/>
          <w:szCs w:val="20"/>
          <w:lang w:val="es-CR"/>
        </w:rPr>
        <w:t xml:space="preserve">el </w:t>
      </w:r>
      <w:r w:rsidRPr="00B64324">
        <w:rPr>
          <w:rFonts w:cs="Times New Roman"/>
          <w:szCs w:val="20"/>
          <w:lang w:val="es-CR"/>
        </w:rPr>
        <w:t xml:space="preserve">Decreto Ejecutivo No. 227 nombrando </w:t>
      </w:r>
      <w:r w:rsidR="008430AC" w:rsidRPr="00B64324">
        <w:rPr>
          <w:rFonts w:cs="Times New Roman"/>
          <w:szCs w:val="20"/>
          <w:lang w:val="es-CR"/>
        </w:rPr>
        <w:t xml:space="preserve">a </w:t>
      </w:r>
      <w:r w:rsidR="004763FB" w:rsidRPr="00B64324">
        <w:rPr>
          <w:rFonts w:cs="Times New Roman"/>
          <w:szCs w:val="20"/>
          <w:lang w:val="es-CR"/>
        </w:rPr>
        <w:t xml:space="preserve">nuevos </w:t>
      </w:r>
      <w:r w:rsidRPr="00B64324">
        <w:rPr>
          <w:rFonts w:cs="Times New Roman"/>
          <w:szCs w:val="20"/>
          <w:lang w:val="es-CR"/>
        </w:rPr>
        <w:t xml:space="preserve">miembros de </w:t>
      </w:r>
      <w:r w:rsidR="009B227B" w:rsidRPr="00B64324">
        <w:rPr>
          <w:rFonts w:cs="Times New Roman"/>
          <w:szCs w:val="20"/>
          <w:lang w:val="es-CR"/>
        </w:rPr>
        <w:t>la CNJP</w:t>
      </w:r>
      <w:r w:rsidR="00DF4463" w:rsidRPr="00B64324">
        <w:rPr>
          <w:rFonts w:cs="Times New Roman"/>
          <w:szCs w:val="20"/>
          <w:lang w:val="es-CR"/>
        </w:rPr>
        <w:t xml:space="preserve"> </w:t>
      </w:r>
      <w:r w:rsidRPr="00B64324">
        <w:rPr>
          <w:rFonts w:cs="Times New Roman"/>
          <w:szCs w:val="20"/>
          <w:lang w:val="es-CR"/>
        </w:rPr>
        <w:t>por cumplimiento del per</w:t>
      </w:r>
      <w:r w:rsidR="008828C1" w:rsidRPr="00B64324">
        <w:rPr>
          <w:rFonts w:cs="Times New Roman"/>
          <w:szCs w:val="20"/>
          <w:lang w:val="es-CR"/>
        </w:rPr>
        <w:t>í</w:t>
      </w:r>
      <w:r w:rsidRPr="00B64324">
        <w:rPr>
          <w:rFonts w:cs="Times New Roman"/>
          <w:szCs w:val="20"/>
          <w:lang w:val="es-CR"/>
        </w:rPr>
        <w:t>odo de los anteriores</w:t>
      </w:r>
      <w:r w:rsidR="0008216B" w:rsidRPr="00B64324">
        <w:rPr>
          <w:rStyle w:val="Refdenotaalpie"/>
          <w:lang w:val="es-CR"/>
        </w:rPr>
        <w:footnoteReference w:id="78"/>
      </w:r>
      <w:r w:rsidRPr="00B64324">
        <w:rPr>
          <w:rFonts w:cs="Times New Roman"/>
          <w:szCs w:val="20"/>
          <w:lang w:val="es-CR"/>
        </w:rPr>
        <w:t>.</w:t>
      </w:r>
    </w:p>
    <w:p w14:paraId="4423C6CC" w14:textId="51C8DE97" w:rsidR="006004E6" w:rsidRPr="006920D5" w:rsidRDefault="006004E6" w:rsidP="00A76607">
      <w:pPr>
        <w:spacing w:before="0" w:after="0"/>
        <w:rPr>
          <w:rFonts w:ascii="Times New Roman" w:hAnsi="Times New Roman" w:cs="Times New Roman"/>
          <w:color w:val="292929"/>
          <w:szCs w:val="20"/>
          <w:lang w:val="es-CR"/>
        </w:rPr>
      </w:pPr>
    </w:p>
    <w:p w14:paraId="1638EF70" w14:textId="4E08948C" w:rsidR="0061342B" w:rsidRPr="006920D5" w:rsidRDefault="00A337BC" w:rsidP="00CF2D2A">
      <w:pPr>
        <w:pStyle w:val="Prrafodelista"/>
        <w:numPr>
          <w:ilvl w:val="0"/>
          <w:numId w:val="29"/>
        </w:numPr>
        <w:autoSpaceDE w:val="0"/>
        <w:autoSpaceDN w:val="0"/>
        <w:adjustRightInd w:val="0"/>
        <w:spacing w:before="0" w:after="0"/>
        <w:ind w:left="0" w:firstLine="0"/>
        <w:rPr>
          <w:rFonts w:cs="Times New Roman"/>
          <w:szCs w:val="20"/>
          <w:lang w:val="es-CR"/>
        </w:rPr>
      </w:pPr>
      <w:r w:rsidRPr="006920D5">
        <w:rPr>
          <w:rFonts w:cs="Times New Roman"/>
          <w:szCs w:val="20"/>
          <w:lang w:val="es-CR"/>
        </w:rPr>
        <w:t xml:space="preserve">El 19 de septiembre de 2005 </w:t>
      </w:r>
      <w:r w:rsidR="00C47059" w:rsidRPr="006920D5">
        <w:rPr>
          <w:rFonts w:cs="Times New Roman"/>
          <w:szCs w:val="20"/>
          <w:lang w:val="es-CR"/>
        </w:rPr>
        <w:t>la</w:t>
      </w:r>
      <w:r w:rsidRPr="006920D5">
        <w:rPr>
          <w:rFonts w:cs="Times New Roman"/>
          <w:szCs w:val="20"/>
          <w:lang w:val="es-CR"/>
        </w:rPr>
        <w:t xml:space="preserve"> CNJP</w:t>
      </w:r>
      <w:r w:rsidR="008E02AE" w:rsidRPr="006920D5">
        <w:rPr>
          <w:rFonts w:cs="Times New Roman"/>
          <w:szCs w:val="20"/>
          <w:lang w:val="es-CR"/>
        </w:rPr>
        <w:t xml:space="preserve"> con la nueva integración</w:t>
      </w:r>
      <w:r w:rsidRPr="006920D5">
        <w:rPr>
          <w:rFonts w:cs="Times New Roman"/>
          <w:szCs w:val="20"/>
          <w:lang w:val="es-CR"/>
        </w:rPr>
        <w:t>, a</w:t>
      </w:r>
      <w:r w:rsidR="005D259D" w:rsidRPr="006920D5">
        <w:rPr>
          <w:rFonts w:cs="Times New Roman"/>
          <w:szCs w:val="20"/>
          <w:lang w:val="es-CR"/>
        </w:rPr>
        <w:t xml:space="preserve"> raíz de “los recursos de apelación, interpuestos por los encausados</w:t>
      </w:r>
      <w:r w:rsidR="001F73BE" w:rsidRPr="006920D5">
        <w:rPr>
          <w:rFonts w:cs="Times New Roman"/>
          <w:szCs w:val="20"/>
          <w:lang w:val="es-CR"/>
        </w:rPr>
        <w:t xml:space="preserve"> [contra la sentencia 10 de enero de 2005]</w:t>
      </w:r>
      <w:r w:rsidR="005D259D" w:rsidRPr="006920D5">
        <w:rPr>
          <w:rFonts w:cs="Times New Roman"/>
          <w:szCs w:val="20"/>
          <w:lang w:val="es-CR"/>
        </w:rPr>
        <w:t>, General Superior (sp) Jorge Villarroel Merino, Teniente Coronel de Pol</w:t>
      </w:r>
      <w:r w:rsidR="001D2CFD" w:rsidRPr="006920D5">
        <w:rPr>
          <w:rFonts w:cs="Times New Roman"/>
          <w:szCs w:val="20"/>
          <w:lang w:val="es-CR"/>
        </w:rPr>
        <w:t>icía Alfonso Patricio Vinueza Pánche[z]</w:t>
      </w:r>
      <w:r w:rsidR="005D259D" w:rsidRPr="006920D5">
        <w:rPr>
          <w:rFonts w:cs="Times New Roman"/>
          <w:szCs w:val="20"/>
          <w:lang w:val="es-CR"/>
        </w:rPr>
        <w:t>, Coronel de P</w:t>
      </w:r>
      <w:r w:rsidR="00E42446" w:rsidRPr="006920D5">
        <w:rPr>
          <w:rFonts w:cs="Times New Roman"/>
          <w:szCs w:val="20"/>
          <w:lang w:val="es-CR"/>
        </w:rPr>
        <w:t>o</w:t>
      </w:r>
      <w:r w:rsidR="005D259D" w:rsidRPr="006920D5">
        <w:rPr>
          <w:rFonts w:cs="Times New Roman"/>
          <w:szCs w:val="20"/>
          <w:lang w:val="es-CR"/>
        </w:rPr>
        <w:t>licía de E.M. Jor</w:t>
      </w:r>
      <w:r w:rsidR="008828C1" w:rsidRPr="006920D5">
        <w:rPr>
          <w:rFonts w:cs="Times New Roman"/>
          <w:szCs w:val="20"/>
          <w:lang w:val="es-CR"/>
        </w:rPr>
        <w:t>g</w:t>
      </w:r>
      <w:r w:rsidR="005D259D" w:rsidRPr="006920D5">
        <w:rPr>
          <w:rFonts w:cs="Times New Roman"/>
          <w:szCs w:val="20"/>
          <w:lang w:val="es-CR"/>
        </w:rPr>
        <w:t xml:space="preserve">e Enrique Coloma Gaibor y </w:t>
      </w:r>
      <w:r w:rsidR="00141EB7" w:rsidRPr="006920D5">
        <w:rPr>
          <w:rFonts w:cs="Times New Roman"/>
          <w:szCs w:val="20"/>
          <w:lang w:val="es-CR"/>
        </w:rPr>
        <w:t xml:space="preserve">un </w:t>
      </w:r>
      <w:r w:rsidR="005D259D" w:rsidRPr="006920D5">
        <w:rPr>
          <w:rFonts w:cs="Times New Roman"/>
          <w:szCs w:val="20"/>
          <w:lang w:val="es-CR"/>
        </w:rPr>
        <w:t>Coronel de Policía”</w:t>
      </w:r>
      <w:r w:rsidR="005D259D" w:rsidRPr="006920D5">
        <w:rPr>
          <w:rStyle w:val="Refdenotaalpie"/>
          <w:lang w:val="es-CR"/>
        </w:rPr>
        <w:footnoteReference w:id="79"/>
      </w:r>
      <w:r w:rsidRPr="006920D5">
        <w:rPr>
          <w:rFonts w:cs="Times New Roman"/>
          <w:szCs w:val="20"/>
          <w:lang w:val="es-CR"/>
        </w:rPr>
        <w:t xml:space="preserve">, </w:t>
      </w:r>
      <w:r w:rsidR="005D259D" w:rsidRPr="006920D5">
        <w:rPr>
          <w:rFonts w:cs="Times New Roman"/>
          <w:szCs w:val="20"/>
          <w:lang w:val="es-CR"/>
        </w:rPr>
        <w:t xml:space="preserve">revocó la sentencia condenatoria, </w:t>
      </w:r>
      <w:r w:rsidR="000464AF" w:rsidRPr="006920D5">
        <w:rPr>
          <w:rFonts w:cs="Times New Roman"/>
          <w:szCs w:val="20"/>
          <w:lang w:val="es-CR"/>
        </w:rPr>
        <w:t xml:space="preserve">y </w:t>
      </w:r>
      <w:r w:rsidR="005D259D" w:rsidRPr="006920D5">
        <w:rPr>
          <w:rFonts w:cs="Times New Roman"/>
          <w:szCs w:val="20"/>
          <w:lang w:val="es-CR"/>
        </w:rPr>
        <w:t xml:space="preserve">absolvió definitivamente a todas las personas procesadas incluyendo a las presuntas víctimas y ordenó la libertad de quienes estaban detenidos. La CNJP </w:t>
      </w:r>
      <w:r w:rsidR="00141EB7" w:rsidRPr="006920D5">
        <w:rPr>
          <w:rFonts w:cs="Times New Roman"/>
          <w:szCs w:val="20"/>
          <w:lang w:val="es-CR"/>
        </w:rPr>
        <w:t>sostuvo que “</w:t>
      </w:r>
      <w:r w:rsidR="005D259D" w:rsidRPr="006920D5">
        <w:rPr>
          <w:rFonts w:cs="Times New Roman"/>
          <w:szCs w:val="20"/>
          <w:lang w:val="es-CR"/>
        </w:rPr>
        <w:t>no existe prueba, mucho menos plena, como en Derecho se requiere sobre la culpabilidad de los encausados</w:t>
      </w:r>
      <w:r w:rsidR="005D259D" w:rsidRPr="006920D5">
        <w:rPr>
          <w:rStyle w:val="Refdenotaalpie"/>
          <w:lang w:val="es-CR"/>
        </w:rPr>
        <w:footnoteReference w:id="80"/>
      </w:r>
      <w:r w:rsidR="005D259D" w:rsidRPr="006920D5">
        <w:rPr>
          <w:rFonts w:cs="Times New Roman"/>
          <w:szCs w:val="20"/>
          <w:lang w:val="es-CR"/>
        </w:rPr>
        <w:t>”</w:t>
      </w:r>
      <w:r w:rsidR="001F73BE" w:rsidRPr="006920D5">
        <w:rPr>
          <w:rFonts w:cs="Times New Roman"/>
          <w:szCs w:val="20"/>
          <w:lang w:val="es-CR"/>
        </w:rPr>
        <w:t>.</w:t>
      </w:r>
      <w:r w:rsidR="0061342B" w:rsidRPr="006920D5">
        <w:rPr>
          <w:rFonts w:cs="Times New Roman"/>
          <w:szCs w:val="20"/>
          <w:lang w:val="es-CR"/>
        </w:rPr>
        <w:t xml:space="preserve"> </w:t>
      </w:r>
    </w:p>
    <w:p w14:paraId="1B92F85B" w14:textId="11ADDA5F" w:rsidR="0095757D" w:rsidRPr="0092295B" w:rsidRDefault="00FC0839" w:rsidP="00ED2790">
      <w:pPr>
        <w:pStyle w:val="Ttulo2"/>
        <w:ind w:left="709" w:hanging="283"/>
        <w:rPr>
          <w:rFonts w:eastAsia="Batang" w:cs="Times"/>
          <w:bCs w:val="0"/>
          <w:i w:val="0"/>
          <w:szCs w:val="20"/>
          <w:lang w:val="es-CR"/>
        </w:rPr>
      </w:pPr>
      <w:bookmarkStart w:id="93" w:name="_Toc87339010"/>
      <w:r w:rsidRPr="0092295B">
        <w:rPr>
          <w:rFonts w:eastAsia="Batang" w:cs="Times"/>
          <w:bCs w:val="0"/>
          <w:i w:val="0"/>
          <w:szCs w:val="20"/>
        </w:rPr>
        <w:t>D</w:t>
      </w:r>
      <w:r w:rsidR="004834B4" w:rsidRPr="0092295B">
        <w:rPr>
          <w:rFonts w:eastAsia="Batang" w:cs="Times"/>
          <w:bCs w:val="0"/>
          <w:i w:val="0"/>
          <w:szCs w:val="20"/>
        </w:rPr>
        <w:t>. D</w:t>
      </w:r>
      <w:r w:rsidR="005D259D" w:rsidRPr="0092295B">
        <w:rPr>
          <w:rFonts w:eastAsia="Batang" w:cs="Times"/>
          <w:bCs w:val="0"/>
          <w:i w:val="0"/>
          <w:szCs w:val="20"/>
        </w:rPr>
        <w:t>emandas de indemnización</w:t>
      </w:r>
      <w:bookmarkEnd w:id="93"/>
    </w:p>
    <w:p w14:paraId="6EA40959" w14:textId="125BB82C" w:rsidR="005D259D" w:rsidRPr="00C26395" w:rsidRDefault="007B4FAC" w:rsidP="00CF2D2A">
      <w:pPr>
        <w:pStyle w:val="Prrafodelista"/>
        <w:numPr>
          <w:ilvl w:val="0"/>
          <w:numId w:val="29"/>
        </w:numPr>
        <w:autoSpaceDE w:val="0"/>
        <w:autoSpaceDN w:val="0"/>
        <w:adjustRightInd w:val="0"/>
        <w:spacing w:before="0" w:after="0"/>
        <w:ind w:left="0" w:firstLine="0"/>
        <w:rPr>
          <w:i/>
          <w:sz w:val="18"/>
          <w:szCs w:val="18"/>
          <w:u w:val="single"/>
          <w:lang w:val="es-CR"/>
        </w:rPr>
      </w:pPr>
      <w:r w:rsidRPr="00B33ECE">
        <w:rPr>
          <w:szCs w:val="20"/>
          <w:lang w:val="es-CR"/>
        </w:rPr>
        <w:t xml:space="preserve">El </w:t>
      </w:r>
      <w:r w:rsidR="004C76C5" w:rsidRPr="00B33ECE">
        <w:rPr>
          <w:szCs w:val="20"/>
          <w:lang w:val="es-CR"/>
        </w:rPr>
        <w:t>señor Ascá</w:t>
      </w:r>
      <w:r w:rsidR="005D259D" w:rsidRPr="00B33ECE">
        <w:rPr>
          <w:szCs w:val="20"/>
          <w:lang w:val="es-CR"/>
        </w:rPr>
        <w:t xml:space="preserve">zubi </w:t>
      </w:r>
      <w:r w:rsidR="004C76C5" w:rsidRPr="00B33ECE">
        <w:rPr>
          <w:szCs w:val="20"/>
          <w:lang w:val="es-CR"/>
        </w:rPr>
        <w:t xml:space="preserve">Albán </w:t>
      </w:r>
      <w:r w:rsidR="00CD5811" w:rsidRPr="00B33ECE">
        <w:rPr>
          <w:szCs w:val="20"/>
          <w:lang w:val="es-CR"/>
        </w:rPr>
        <w:t xml:space="preserve">presentó el 24 de marzo de 2005 ante la Corte de Justicia de la </w:t>
      </w:r>
      <w:r w:rsidR="00CD5811" w:rsidRPr="002E64FC">
        <w:rPr>
          <w:szCs w:val="20"/>
          <w:lang w:val="es-CR"/>
        </w:rPr>
        <w:t xml:space="preserve">Policía Nacional una demanda de indemnización por daños, perjuicios y daños morales contra el Estado por la mala administración de justicia por parte del Presidente de la Corte Nacional de Justicia </w:t>
      </w:r>
      <w:r w:rsidR="00CD5811" w:rsidRPr="00B33ECE">
        <w:rPr>
          <w:szCs w:val="20"/>
          <w:lang w:val="es-CR"/>
        </w:rPr>
        <w:t>Policial</w:t>
      </w:r>
      <w:r w:rsidR="00084B44" w:rsidRPr="00B33ECE">
        <w:rPr>
          <w:szCs w:val="20"/>
          <w:lang w:val="es-CR"/>
        </w:rPr>
        <w:t xml:space="preserve"> y el P</w:t>
      </w:r>
      <w:r w:rsidR="00CD5811" w:rsidRPr="00B33ECE">
        <w:rPr>
          <w:szCs w:val="20"/>
          <w:lang w:val="es-CR"/>
        </w:rPr>
        <w:t>leno de la Corte, de acuerdo con el artículo 5</w:t>
      </w:r>
      <w:r w:rsidR="00084B44" w:rsidRPr="00B33ECE">
        <w:rPr>
          <w:szCs w:val="20"/>
          <w:lang w:val="es-CR"/>
        </w:rPr>
        <w:t>9</w:t>
      </w:r>
      <w:r w:rsidR="00CD5811" w:rsidRPr="00B33ECE">
        <w:rPr>
          <w:szCs w:val="20"/>
          <w:lang w:val="es-CR"/>
        </w:rPr>
        <w:t xml:space="preserve"> de la Codificación del C</w:t>
      </w:r>
      <w:r w:rsidR="00084B44" w:rsidRPr="00B33ECE">
        <w:rPr>
          <w:szCs w:val="20"/>
          <w:lang w:val="es-CR"/>
        </w:rPr>
        <w:t>ódigo de Procedimiento Civil</w:t>
      </w:r>
      <w:r w:rsidR="005D259D" w:rsidRPr="00B33ECE">
        <w:rPr>
          <w:rStyle w:val="Refdenotaalpie"/>
          <w:lang w:val="es-CR"/>
        </w:rPr>
        <w:footnoteReference w:id="81"/>
      </w:r>
      <w:r w:rsidR="005D259D" w:rsidRPr="00B33ECE">
        <w:rPr>
          <w:szCs w:val="20"/>
          <w:lang w:val="es-CR"/>
        </w:rPr>
        <w:t>.</w:t>
      </w:r>
      <w:r w:rsidR="00084B44" w:rsidRPr="00182AFF">
        <w:rPr>
          <w:szCs w:val="20"/>
          <w:lang w:val="es-CR"/>
        </w:rPr>
        <w:t xml:space="preserve"> </w:t>
      </w:r>
      <w:r w:rsidR="006911F2" w:rsidRPr="00EF4BDB">
        <w:rPr>
          <w:szCs w:val="20"/>
          <w:lang w:val="es-CR"/>
        </w:rPr>
        <w:t xml:space="preserve">Asimismo, </w:t>
      </w:r>
      <w:r w:rsidR="00EC16B9" w:rsidRPr="00EF4BDB">
        <w:rPr>
          <w:szCs w:val="20"/>
          <w:lang w:val="es-CR"/>
        </w:rPr>
        <w:t>presentó otra demanda de indemnización frente al Juzgado Décimo Tercero Civil de Pichincha</w:t>
      </w:r>
      <w:r w:rsidR="00EC16B9" w:rsidRPr="00EF4BDB">
        <w:rPr>
          <w:rStyle w:val="Refdenotaalpie"/>
          <w:lang w:val="es-CR"/>
        </w:rPr>
        <w:footnoteReference w:id="82"/>
      </w:r>
      <w:r w:rsidR="00EC16B9" w:rsidRPr="00EF4BDB">
        <w:rPr>
          <w:szCs w:val="20"/>
          <w:lang w:val="es-CR"/>
        </w:rPr>
        <w:t xml:space="preserve"> y </w:t>
      </w:r>
      <w:r w:rsidR="00EC16B9" w:rsidRPr="00B33ECE">
        <w:rPr>
          <w:szCs w:val="20"/>
          <w:lang w:val="es-CR"/>
        </w:rPr>
        <w:t>e</w:t>
      </w:r>
      <w:r w:rsidR="005D259D" w:rsidRPr="00B33ECE">
        <w:rPr>
          <w:szCs w:val="20"/>
          <w:lang w:val="es-CR"/>
        </w:rPr>
        <w:t xml:space="preserve">l 1 de </w:t>
      </w:r>
      <w:r w:rsidR="005D259D" w:rsidRPr="00B33ECE">
        <w:rPr>
          <w:rFonts w:cstheme="minorBidi"/>
          <w:szCs w:val="20"/>
          <w:lang w:val="es-CR"/>
        </w:rPr>
        <w:t>septiembre de 2010 el Juzgado Décimo Tercero de lo Civil de Pichincha emitió un auto a efectos de dictar</w:t>
      </w:r>
      <w:r w:rsidR="005D259D" w:rsidRPr="00B33ECE">
        <w:rPr>
          <w:szCs w:val="20"/>
          <w:lang w:val="es-CR"/>
        </w:rPr>
        <w:t xml:space="preserve"> sentencia</w:t>
      </w:r>
      <w:r w:rsidR="005D259D" w:rsidRPr="00B33ECE">
        <w:rPr>
          <w:rStyle w:val="Refdenotaalpie"/>
          <w:lang w:val="es-CR"/>
        </w:rPr>
        <w:footnoteReference w:id="83"/>
      </w:r>
      <w:r w:rsidR="00B006BA" w:rsidRPr="00B33ECE">
        <w:rPr>
          <w:szCs w:val="20"/>
          <w:lang w:val="es-CR"/>
        </w:rPr>
        <w:t>.</w:t>
      </w:r>
      <w:r w:rsidR="00B006BA" w:rsidRPr="00A558AF">
        <w:rPr>
          <w:szCs w:val="20"/>
          <w:lang w:val="es-CR"/>
        </w:rPr>
        <w:t xml:space="preserve"> </w:t>
      </w:r>
      <w:r w:rsidR="00084B44" w:rsidRPr="00B33ECE">
        <w:rPr>
          <w:szCs w:val="20"/>
          <w:lang w:val="es-CR"/>
        </w:rPr>
        <w:t>Por otra parte, el señor Ascázubi Albán presentó</w:t>
      </w:r>
      <w:r w:rsidR="008D79FB" w:rsidRPr="00B33ECE">
        <w:rPr>
          <w:szCs w:val="20"/>
          <w:lang w:val="es-CR"/>
        </w:rPr>
        <w:t>, sin fecha,</w:t>
      </w:r>
      <w:r w:rsidR="00084B44" w:rsidRPr="00B33ECE">
        <w:rPr>
          <w:szCs w:val="20"/>
          <w:lang w:val="es-CR"/>
        </w:rPr>
        <w:t xml:space="preserve"> “una reclamación administrativa” contra el Estado </w:t>
      </w:r>
      <w:r w:rsidR="008D79FB" w:rsidRPr="00B33ECE">
        <w:rPr>
          <w:szCs w:val="20"/>
          <w:lang w:val="es-CR"/>
        </w:rPr>
        <w:t>en la persona del Presidente Constitucional y su representante judicial, el Procurador General del Estado</w:t>
      </w:r>
      <w:r w:rsidR="008D79FB" w:rsidRPr="00B33ECE">
        <w:rPr>
          <w:rStyle w:val="Refdenotaalpie"/>
          <w:lang w:val="es-CR"/>
        </w:rPr>
        <w:footnoteReference w:id="84"/>
      </w:r>
      <w:r w:rsidR="008D79FB" w:rsidRPr="00B33ECE">
        <w:rPr>
          <w:szCs w:val="20"/>
          <w:lang w:val="es-CR"/>
        </w:rPr>
        <w:t>.</w:t>
      </w:r>
      <w:r w:rsidR="00084B44" w:rsidRPr="00B33ECE">
        <w:rPr>
          <w:szCs w:val="20"/>
          <w:lang w:val="es-CR"/>
        </w:rPr>
        <w:t xml:space="preserve"> </w:t>
      </w:r>
      <w:r w:rsidR="008D79FB" w:rsidRPr="00B33ECE">
        <w:rPr>
          <w:szCs w:val="20"/>
          <w:lang w:val="es-CR"/>
        </w:rPr>
        <w:t>El 12 de octubre de 2006 la Presidencia de la República informó que se había trasladado y puesto en conocimiento del señor Procurador General de la República</w:t>
      </w:r>
      <w:r w:rsidR="008D79FB" w:rsidRPr="00B33ECE">
        <w:rPr>
          <w:rStyle w:val="Refdenotaalpie"/>
          <w:lang w:val="es-CR"/>
        </w:rPr>
        <w:footnoteReference w:id="85"/>
      </w:r>
      <w:r w:rsidR="008D79FB" w:rsidRPr="00B33ECE">
        <w:rPr>
          <w:szCs w:val="20"/>
          <w:lang w:val="es-CR"/>
        </w:rPr>
        <w:t>.</w:t>
      </w:r>
      <w:r w:rsidR="00FF7C58" w:rsidRPr="00B33ECE">
        <w:rPr>
          <w:szCs w:val="20"/>
          <w:lang w:val="es-CR"/>
        </w:rPr>
        <w:t xml:space="preserve"> </w:t>
      </w:r>
      <w:r w:rsidR="00FF7C58" w:rsidRPr="00B33ECE">
        <w:rPr>
          <w:lang w:val="es-CR"/>
        </w:rPr>
        <w:t>El 8 de febrero de 2007 dispuso “que se pasen los autos a [la] Presidencia Subrogante, para continuar con el trámite de ley”</w:t>
      </w:r>
      <w:r w:rsidR="00FF7C58" w:rsidRPr="00B33ECE">
        <w:rPr>
          <w:rStyle w:val="Refdenotaalpie"/>
          <w:lang w:val="es-CR"/>
        </w:rPr>
        <w:footnoteReference w:id="86"/>
      </w:r>
      <w:r w:rsidR="00FF7C58" w:rsidRPr="00B33ECE">
        <w:rPr>
          <w:lang w:val="es-CR"/>
        </w:rPr>
        <w:t xml:space="preserve">. </w:t>
      </w:r>
      <w:r w:rsidR="00894DA3" w:rsidRPr="00B33ECE">
        <w:rPr>
          <w:szCs w:val="20"/>
          <w:lang w:val="es-CR"/>
        </w:rPr>
        <w:t xml:space="preserve"> El </w:t>
      </w:r>
      <w:r w:rsidR="00894DA3" w:rsidRPr="00B33ECE">
        <w:rPr>
          <w:lang w:val="es-CR"/>
        </w:rPr>
        <w:t>10 de abril de 2007</w:t>
      </w:r>
      <w:r w:rsidR="008D79FB" w:rsidRPr="00B33ECE">
        <w:rPr>
          <w:szCs w:val="20"/>
          <w:lang w:val="es-CR"/>
        </w:rPr>
        <w:t xml:space="preserve"> </w:t>
      </w:r>
      <w:r w:rsidR="00894DA3" w:rsidRPr="00B33ECE">
        <w:rPr>
          <w:lang w:val="es-CR"/>
        </w:rPr>
        <w:t>la Presidencia de la Corte Suprema de Justicia solicitó al actor aclarar la demanda en el término de tres días y precis</w:t>
      </w:r>
      <w:r w:rsidR="0049283D" w:rsidRPr="00B33ECE">
        <w:rPr>
          <w:lang w:val="es-CR"/>
        </w:rPr>
        <w:t>ar</w:t>
      </w:r>
      <w:r w:rsidR="00894DA3" w:rsidRPr="00B33ECE">
        <w:rPr>
          <w:lang w:val="es-CR"/>
        </w:rPr>
        <w:t xml:space="preserve"> a quienes debe citarse con la demanda</w:t>
      </w:r>
      <w:r w:rsidR="00894DA3" w:rsidRPr="00B33ECE">
        <w:rPr>
          <w:rStyle w:val="Refdenotaalpie"/>
          <w:lang w:val="es-CR"/>
        </w:rPr>
        <w:footnoteReference w:id="87"/>
      </w:r>
      <w:r w:rsidR="00996679">
        <w:rPr>
          <w:lang w:val="es-CR"/>
        </w:rPr>
        <w:t>.</w:t>
      </w:r>
    </w:p>
    <w:p w14:paraId="260798D7" w14:textId="77777777" w:rsidR="005D259D" w:rsidRPr="0092295B" w:rsidRDefault="005D259D" w:rsidP="005D259D">
      <w:pPr>
        <w:pStyle w:val="Prrafodelista"/>
        <w:rPr>
          <w:szCs w:val="20"/>
          <w:u w:val="single"/>
          <w:lang w:val="es-CR"/>
        </w:rPr>
      </w:pPr>
    </w:p>
    <w:p w14:paraId="00FCFD94" w14:textId="7CAE8FA8" w:rsidR="008F0C20" w:rsidRPr="009D2C9B" w:rsidRDefault="005D259D" w:rsidP="00F402EF">
      <w:pPr>
        <w:pStyle w:val="Prrafodelista"/>
        <w:numPr>
          <w:ilvl w:val="0"/>
          <w:numId w:val="29"/>
        </w:numPr>
        <w:autoSpaceDE w:val="0"/>
        <w:autoSpaceDN w:val="0"/>
        <w:adjustRightInd w:val="0"/>
        <w:spacing w:before="0" w:after="0"/>
        <w:ind w:left="0" w:firstLine="0"/>
        <w:rPr>
          <w:rFonts w:cstheme="minorBidi"/>
          <w:szCs w:val="20"/>
          <w:u w:val="single"/>
          <w:lang w:val="es-CR"/>
        </w:rPr>
      </w:pPr>
      <w:r w:rsidRPr="0092295B">
        <w:rPr>
          <w:szCs w:val="20"/>
          <w:lang w:val="es-CR"/>
        </w:rPr>
        <w:t xml:space="preserve">En </w:t>
      </w:r>
      <w:r w:rsidRPr="008663D9">
        <w:rPr>
          <w:szCs w:val="20"/>
          <w:lang w:val="es-CR"/>
        </w:rPr>
        <w:t>relación con el señor López</w:t>
      </w:r>
      <w:r w:rsidR="004C76C5" w:rsidRPr="008663D9">
        <w:rPr>
          <w:szCs w:val="20"/>
          <w:lang w:val="es-CR"/>
        </w:rPr>
        <w:t xml:space="preserve"> Ortiz</w:t>
      </w:r>
      <w:r w:rsidRPr="008663D9">
        <w:rPr>
          <w:szCs w:val="20"/>
          <w:lang w:val="es-CR"/>
        </w:rPr>
        <w:t xml:space="preserve">, </w:t>
      </w:r>
      <w:r w:rsidR="004E5595" w:rsidRPr="008663D9">
        <w:rPr>
          <w:szCs w:val="20"/>
          <w:lang w:val="es-CR"/>
        </w:rPr>
        <w:t>el 21 de julio de</w:t>
      </w:r>
      <w:r w:rsidRPr="008663D9">
        <w:rPr>
          <w:szCs w:val="20"/>
          <w:lang w:val="es-CR"/>
        </w:rPr>
        <w:t xml:space="preserve"> 2008 presentó </w:t>
      </w:r>
      <w:r w:rsidR="004E5595" w:rsidRPr="008663D9">
        <w:rPr>
          <w:szCs w:val="20"/>
          <w:lang w:val="es-CR"/>
        </w:rPr>
        <w:t>una</w:t>
      </w:r>
      <w:r w:rsidRPr="008663D9">
        <w:rPr>
          <w:szCs w:val="20"/>
          <w:lang w:val="es-CR"/>
        </w:rPr>
        <w:t xml:space="preserve"> demanda </w:t>
      </w:r>
      <w:r w:rsidR="004E5595" w:rsidRPr="008663D9">
        <w:rPr>
          <w:szCs w:val="20"/>
          <w:lang w:val="es-CR"/>
        </w:rPr>
        <w:t xml:space="preserve">de indemnizaciones por daños y perjuicios y daño moral </w:t>
      </w:r>
      <w:r w:rsidRPr="008663D9">
        <w:rPr>
          <w:szCs w:val="20"/>
          <w:lang w:val="es-CR"/>
        </w:rPr>
        <w:t xml:space="preserve">en </w:t>
      </w:r>
      <w:r w:rsidRPr="008663D9">
        <w:rPr>
          <w:rFonts w:cstheme="minorBidi"/>
          <w:szCs w:val="20"/>
          <w:lang w:val="es-CR"/>
        </w:rPr>
        <w:t>contra del Procurador General del Estado y la Policía Nacional</w:t>
      </w:r>
      <w:r w:rsidRPr="008663D9">
        <w:rPr>
          <w:rStyle w:val="Refdenotaalpie"/>
          <w:lang w:val="es-CR"/>
        </w:rPr>
        <w:footnoteReference w:id="88"/>
      </w:r>
      <w:r w:rsidRPr="008663D9">
        <w:rPr>
          <w:rFonts w:cstheme="minorBidi"/>
          <w:szCs w:val="20"/>
          <w:lang w:val="es-CR"/>
        </w:rPr>
        <w:t>. El</w:t>
      </w:r>
      <w:r w:rsidR="004E5595" w:rsidRPr="008663D9">
        <w:rPr>
          <w:rFonts w:cstheme="minorBidi"/>
          <w:szCs w:val="20"/>
          <w:lang w:val="es-CR"/>
        </w:rPr>
        <w:t xml:space="preserve"> 25 de septiembre de</w:t>
      </w:r>
      <w:r w:rsidR="00BF0ED2">
        <w:rPr>
          <w:rFonts w:cstheme="minorBidi"/>
          <w:szCs w:val="20"/>
          <w:lang w:val="es-CR"/>
        </w:rPr>
        <w:t xml:space="preserve"> 2008 el Juzgado Vigésimo de lo </w:t>
      </w:r>
      <w:r w:rsidR="004E5595" w:rsidRPr="008663D9">
        <w:rPr>
          <w:rFonts w:cstheme="minorBidi"/>
          <w:szCs w:val="20"/>
          <w:lang w:val="es-CR"/>
        </w:rPr>
        <w:t>Civil de Pichincha, Quito,</w:t>
      </w:r>
      <w:r w:rsidR="00A11B36" w:rsidRPr="008663D9">
        <w:rPr>
          <w:rFonts w:cstheme="minorBidi"/>
          <w:szCs w:val="20"/>
          <w:lang w:val="es-CR"/>
        </w:rPr>
        <w:t xml:space="preserve"> se avocó al conocimiento de la causa</w:t>
      </w:r>
      <w:r w:rsidR="004E5595" w:rsidRPr="008663D9">
        <w:rPr>
          <w:rFonts w:cstheme="minorBidi"/>
          <w:szCs w:val="20"/>
          <w:lang w:val="es-CR"/>
        </w:rPr>
        <w:t xml:space="preserve"> y aceptó en el trámite ordinario conforme al artículo 59 del Código de Procedimiento Civil</w:t>
      </w:r>
      <w:r w:rsidR="00A11B36" w:rsidRPr="008663D9">
        <w:rPr>
          <w:rFonts w:cstheme="minorBidi"/>
          <w:szCs w:val="20"/>
          <w:lang w:val="es-CR"/>
        </w:rPr>
        <w:t>. Se dio traslado de la demanda al Procurador General del Estado y la Policía Nacional</w:t>
      </w:r>
      <w:r w:rsidR="00A11B36" w:rsidRPr="008663D9">
        <w:rPr>
          <w:rStyle w:val="Refdenotaalpie"/>
          <w:lang w:val="es-CR"/>
        </w:rPr>
        <w:footnoteReference w:id="89"/>
      </w:r>
      <w:r w:rsidR="00A11B36" w:rsidRPr="008663D9">
        <w:rPr>
          <w:rFonts w:cstheme="minorBidi"/>
          <w:szCs w:val="20"/>
          <w:lang w:val="es-CR"/>
        </w:rPr>
        <w:t>.</w:t>
      </w:r>
      <w:r w:rsidRPr="00BF0ED2">
        <w:rPr>
          <w:rFonts w:cstheme="minorBidi"/>
          <w:szCs w:val="20"/>
          <w:lang w:val="es-CR"/>
        </w:rPr>
        <w:t xml:space="preserve"> </w:t>
      </w:r>
      <w:r w:rsidR="00A11B36" w:rsidRPr="00BF0ED2">
        <w:rPr>
          <w:rFonts w:cstheme="minorBidi"/>
          <w:szCs w:val="20"/>
          <w:lang w:val="es-CR"/>
        </w:rPr>
        <w:t xml:space="preserve">El </w:t>
      </w:r>
      <w:r w:rsidRPr="00BF0ED2">
        <w:rPr>
          <w:rFonts w:cstheme="minorBidi"/>
          <w:szCs w:val="20"/>
          <w:lang w:val="es-CR"/>
        </w:rPr>
        <w:t xml:space="preserve">29 de septiembre de 2011 </w:t>
      </w:r>
      <w:r w:rsidR="00A11B36" w:rsidRPr="00BF0ED2">
        <w:rPr>
          <w:rFonts w:cstheme="minorBidi"/>
          <w:szCs w:val="20"/>
          <w:lang w:val="es-CR"/>
        </w:rPr>
        <w:t>dicho</w:t>
      </w:r>
      <w:r w:rsidRPr="00BF0ED2">
        <w:rPr>
          <w:rFonts w:cstheme="minorBidi"/>
          <w:szCs w:val="20"/>
          <w:lang w:val="es-CR"/>
        </w:rPr>
        <w:t xml:space="preserve"> </w:t>
      </w:r>
      <w:r w:rsidR="00A11B36" w:rsidRPr="00BF0ED2">
        <w:rPr>
          <w:rFonts w:cstheme="minorBidi"/>
          <w:szCs w:val="20"/>
          <w:lang w:val="es-CR"/>
        </w:rPr>
        <w:t>j</w:t>
      </w:r>
      <w:r w:rsidRPr="00BF0ED2">
        <w:rPr>
          <w:rFonts w:cstheme="minorBidi"/>
          <w:szCs w:val="20"/>
          <w:lang w:val="es-CR"/>
        </w:rPr>
        <w:t>uzgado</w:t>
      </w:r>
      <w:r w:rsidRPr="00BF0ED2">
        <w:rPr>
          <w:szCs w:val="20"/>
          <w:lang w:val="es-CR"/>
        </w:rPr>
        <w:t xml:space="preserve"> </w:t>
      </w:r>
      <w:r w:rsidR="00A11B36" w:rsidRPr="00BF0ED2">
        <w:rPr>
          <w:rFonts w:cstheme="minorBidi"/>
          <w:szCs w:val="20"/>
          <w:lang w:val="es-CR"/>
        </w:rPr>
        <w:t>dictó una providencia mediante la cual dispuso “atento lo solicitado y dado el estado de la causa pasen los autos para dictar sentencia</w:t>
      </w:r>
      <w:r w:rsidR="008663D9" w:rsidRPr="00BF0ED2">
        <w:rPr>
          <w:rFonts w:cstheme="minorBidi"/>
          <w:szCs w:val="20"/>
          <w:lang w:val="es-CR"/>
        </w:rPr>
        <w:t>”</w:t>
      </w:r>
      <w:r w:rsidR="00A11B36" w:rsidRPr="00BF0ED2">
        <w:rPr>
          <w:rStyle w:val="Refdenotaalpie"/>
          <w:lang w:val="es-CR"/>
        </w:rPr>
        <w:footnoteReference w:id="90"/>
      </w:r>
      <w:r w:rsidRPr="00BF0ED2">
        <w:rPr>
          <w:rFonts w:cstheme="minorBidi"/>
          <w:szCs w:val="20"/>
          <w:lang w:val="es-CR"/>
        </w:rPr>
        <w:t>.</w:t>
      </w:r>
      <w:r w:rsidR="003E3CD7" w:rsidRPr="00B33ECE">
        <w:rPr>
          <w:rFonts w:cstheme="minorBidi"/>
          <w:szCs w:val="20"/>
          <w:lang w:val="es-CR"/>
        </w:rPr>
        <w:t xml:space="preserve"> El 30 de abril de 2015 el J</w:t>
      </w:r>
      <w:r w:rsidRPr="00B33ECE">
        <w:rPr>
          <w:rFonts w:cstheme="minorBidi"/>
          <w:szCs w:val="20"/>
          <w:lang w:val="es-CR"/>
        </w:rPr>
        <w:t>uez de la Unidad</w:t>
      </w:r>
      <w:r w:rsidRPr="00B33ECE">
        <w:rPr>
          <w:szCs w:val="20"/>
          <w:lang w:val="es-CR"/>
        </w:rPr>
        <w:t xml:space="preserve"> </w:t>
      </w:r>
      <w:r w:rsidRPr="00B33ECE">
        <w:rPr>
          <w:rFonts w:cstheme="minorBidi"/>
          <w:szCs w:val="20"/>
          <w:lang w:val="es-CR"/>
        </w:rPr>
        <w:t xml:space="preserve">Judicial Civil se declaró incompetente en razón de la materia y se inhibió del conocimiento de la causa </w:t>
      </w:r>
      <w:r w:rsidR="00396CD9" w:rsidRPr="00B33ECE">
        <w:rPr>
          <w:rFonts w:cstheme="minorBidi"/>
          <w:szCs w:val="20"/>
          <w:lang w:val="es-CR"/>
        </w:rPr>
        <w:t xml:space="preserve">y </w:t>
      </w:r>
      <w:r w:rsidRPr="00B33ECE">
        <w:rPr>
          <w:rFonts w:cstheme="minorBidi"/>
          <w:szCs w:val="20"/>
          <w:lang w:val="es-CR"/>
        </w:rPr>
        <w:t>ordenó remitir el proceso a la Unidad Judicial de</w:t>
      </w:r>
      <w:r w:rsidRPr="00B33ECE">
        <w:rPr>
          <w:szCs w:val="20"/>
          <w:lang w:val="es-CR"/>
        </w:rPr>
        <w:t xml:space="preserve"> </w:t>
      </w:r>
      <w:r w:rsidRPr="00B33ECE">
        <w:rPr>
          <w:rFonts w:cstheme="minorBidi"/>
          <w:szCs w:val="20"/>
          <w:lang w:val="es-CR"/>
        </w:rPr>
        <w:t xml:space="preserve">lo Contencioso Administrativo con sede en la ciudad de </w:t>
      </w:r>
      <w:r w:rsidRPr="00B33ECE">
        <w:rPr>
          <w:szCs w:val="20"/>
          <w:lang w:val="es-CR"/>
        </w:rPr>
        <w:t>Quito</w:t>
      </w:r>
      <w:r w:rsidR="003E3CD7" w:rsidRPr="00B33ECE">
        <w:rPr>
          <w:szCs w:val="20"/>
          <w:lang w:val="es-CR"/>
        </w:rPr>
        <w:t xml:space="preserve"> para que continúe con la sustanciación y resolución de la causa</w:t>
      </w:r>
      <w:r w:rsidRPr="00B33ECE">
        <w:rPr>
          <w:rStyle w:val="Refdenotaalpie"/>
          <w:lang w:val="es-CR"/>
        </w:rPr>
        <w:footnoteReference w:id="91"/>
      </w:r>
      <w:r w:rsidRPr="00B33ECE">
        <w:rPr>
          <w:szCs w:val="20"/>
          <w:lang w:val="es-CR"/>
        </w:rPr>
        <w:t>.</w:t>
      </w:r>
      <w:r w:rsidRPr="00B33ECE">
        <w:rPr>
          <w:rFonts w:cstheme="minorBidi"/>
          <w:szCs w:val="20"/>
          <w:lang w:val="es-CR"/>
        </w:rPr>
        <w:t xml:space="preserve"> El 19 de mayo de 2015 el Tribunal Distrital de lo Contencioso Administrativo de Quito recibió el proceso en virtud de la inhibición del juez </w:t>
      </w:r>
      <w:r w:rsidRPr="00B33ECE">
        <w:rPr>
          <w:szCs w:val="20"/>
          <w:lang w:val="es-CR"/>
        </w:rPr>
        <w:t>civil</w:t>
      </w:r>
      <w:r w:rsidR="00B006BA" w:rsidRPr="00B33ECE">
        <w:rPr>
          <w:rStyle w:val="Refdenotaalpie"/>
          <w:lang w:val="es-CR"/>
        </w:rPr>
        <w:footnoteReference w:id="92"/>
      </w:r>
      <w:r w:rsidRPr="00B33ECE">
        <w:rPr>
          <w:rFonts w:cstheme="minorBidi"/>
          <w:szCs w:val="20"/>
          <w:lang w:val="es-CR"/>
        </w:rPr>
        <w:t>.</w:t>
      </w:r>
      <w:r w:rsidR="007F563F" w:rsidRPr="00BF0ED2">
        <w:rPr>
          <w:rFonts w:cstheme="minorBidi"/>
          <w:szCs w:val="20"/>
          <w:lang w:val="es-CR"/>
        </w:rPr>
        <w:t xml:space="preserve"> El 8 de noviembre de 2018 el Tribunal Distrital de lo Contencioso Administrativo con sede en el Distrito Metropolitano de Quito, Provincia de Pichincha avocó conocimiento de la causa, y </w:t>
      </w:r>
      <w:r w:rsidR="002820DA" w:rsidRPr="00BF0ED2">
        <w:rPr>
          <w:rFonts w:cstheme="minorBidi"/>
          <w:szCs w:val="20"/>
          <w:lang w:val="es-CR"/>
        </w:rPr>
        <w:t xml:space="preserve">señaló que </w:t>
      </w:r>
      <w:r w:rsidR="007F563F" w:rsidRPr="00BF0ED2">
        <w:rPr>
          <w:rFonts w:cstheme="minorBidi"/>
          <w:szCs w:val="20"/>
          <w:lang w:val="es-CR"/>
        </w:rPr>
        <w:t>en consideración de la carga procesal que mantiene ese tribunal en relación con los procesos iniciados antes de la vigencia del Código Orgánico General de los Procesos, la petición de sentencia solicitada por el recurrente será atendida observando el orden cronológico de ingreso de causas</w:t>
      </w:r>
      <w:r w:rsidR="007F563F" w:rsidRPr="0092295B">
        <w:rPr>
          <w:rStyle w:val="Refdenotaalpie"/>
          <w:lang w:val="es-CR"/>
        </w:rPr>
        <w:footnoteReference w:id="93"/>
      </w:r>
      <w:r w:rsidR="00CD5811" w:rsidRPr="0092295B">
        <w:rPr>
          <w:rFonts w:cstheme="minorBidi"/>
          <w:szCs w:val="20"/>
          <w:lang w:val="es-CR"/>
        </w:rPr>
        <w:t>.</w:t>
      </w:r>
    </w:p>
    <w:p w14:paraId="33D4DD0F" w14:textId="77777777" w:rsidR="00C23E4C" w:rsidRDefault="00C23E4C" w:rsidP="006920D5"/>
    <w:p w14:paraId="0498C5F9" w14:textId="14C67558" w:rsidR="00F402E3" w:rsidRPr="0092295B" w:rsidRDefault="00F402E3" w:rsidP="000E351B">
      <w:pPr>
        <w:pStyle w:val="Ttulo1"/>
        <w:spacing w:before="0" w:after="0"/>
        <w:rPr>
          <w:b w:val="0"/>
        </w:rPr>
      </w:pPr>
      <w:bookmarkStart w:id="94" w:name="_Toc87339011"/>
      <w:r w:rsidRPr="0092295B">
        <w:t>V</w:t>
      </w:r>
      <w:r w:rsidR="00E453F0" w:rsidRPr="0092295B">
        <w:t>I</w:t>
      </w:r>
      <w:r w:rsidRPr="0092295B">
        <w:t>I</w:t>
      </w:r>
      <w:r w:rsidRPr="0092295B">
        <w:rPr>
          <w:color w:val="FFFFFF" w:themeColor="background1"/>
        </w:rPr>
        <w:t>.</w:t>
      </w:r>
      <w:r w:rsidRPr="0092295B">
        <w:br/>
        <w:t>FONDO</w:t>
      </w:r>
      <w:bookmarkEnd w:id="75"/>
      <w:bookmarkEnd w:id="76"/>
      <w:bookmarkEnd w:id="77"/>
      <w:bookmarkEnd w:id="78"/>
      <w:bookmarkEnd w:id="79"/>
      <w:bookmarkEnd w:id="80"/>
      <w:bookmarkEnd w:id="81"/>
      <w:bookmarkEnd w:id="94"/>
      <w:r w:rsidR="009E7AC7" w:rsidRPr="0092295B">
        <w:t xml:space="preserve"> </w:t>
      </w:r>
    </w:p>
    <w:p w14:paraId="721310EE" w14:textId="3D041A23" w:rsidR="0061342B" w:rsidRPr="0092295B" w:rsidRDefault="006E3A2B" w:rsidP="00CF2D2A">
      <w:pPr>
        <w:pStyle w:val="Estilo1"/>
        <w:numPr>
          <w:ilvl w:val="0"/>
          <w:numId w:val="29"/>
        </w:numPr>
        <w:tabs>
          <w:tab w:val="left" w:pos="709"/>
          <w:tab w:val="left" w:pos="1134"/>
        </w:tabs>
        <w:spacing w:before="120"/>
        <w:ind w:left="0" w:right="-4" w:firstLine="0"/>
        <w:rPr>
          <w:i w:val="0"/>
          <w:szCs w:val="20"/>
        </w:rPr>
      </w:pPr>
      <w:r w:rsidRPr="0092295B">
        <w:rPr>
          <w:i w:val="0"/>
          <w:szCs w:val="20"/>
        </w:rPr>
        <w:t>Este Tribunal pasa a considerar y resolver el fondo de la controversia del presente caso, respecto a la alegada</w:t>
      </w:r>
      <w:r w:rsidRPr="0092295B">
        <w:rPr>
          <w:i w:val="0"/>
          <w:szCs w:val="20"/>
          <w:lang w:val="es-ES"/>
        </w:rPr>
        <w:t xml:space="preserve"> </w:t>
      </w:r>
      <w:r w:rsidR="00DA2184" w:rsidRPr="0092295B">
        <w:rPr>
          <w:i w:val="0"/>
          <w:szCs w:val="20"/>
          <w:lang w:val="es-ES"/>
        </w:rPr>
        <w:t xml:space="preserve">vulneración de la libertad personal por la </w:t>
      </w:r>
      <w:r w:rsidRPr="0092295B">
        <w:rPr>
          <w:i w:val="0"/>
          <w:szCs w:val="20"/>
          <w:lang w:val="es-ES"/>
        </w:rPr>
        <w:t>detención ilegal y arbitraria</w:t>
      </w:r>
      <w:r w:rsidR="00A13FEE">
        <w:rPr>
          <w:i w:val="0"/>
          <w:szCs w:val="20"/>
          <w:lang w:val="es-ES"/>
        </w:rPr>
        <w:t>,</w:t>
      </w:r>
      <w:r w:rsidRPr="0092295B">
        <w:rPr>
          <w:i w:val="0"/>
          <w:szCs w:val="20"/>
          <w:lang w:val="es-ES"/>
        </w:rPr>
        <w:t xml:space="preserve"> </w:t>
      </w:r>
      <w:r w:rsidR="007C2360" w:rsidRPr="0092295B">
        <w:rPr>
          <w:i w:val="0"/>
          <w:szCs w:val="20"/>
          <w:lang w:val="es-ES"/>
        </w:rPr>
        <w:t>ordenada mediante el auto motivado de 26 de mayo de 2003</w:t>
      </w:r>
      <w:r w:rsidR="00A13FEE">
        <w:rPr>
          <w:i w:val="0"/>
          <w:szCs w:val="20"/>
          <w:lang w:val="es-ES"/>
        </w:rPr>
        <w:t>,</w:t>
      </w:r>
      <w:r w:rsidR="007C2360" w:rsidRPr="0092295B">
        <w:rPr>
          <w:i w:val="0"/>
          <w:szCs w:val="20"/>
          <w:lang w:val="es-ES"/>
        </w:rPr>
        <w:t xml:space="preserve"> </w:t>
      </w:r>
      <w:r w:rsidR="00DA2184" w:rsidRPr="0092295B">
        <w:rPr>
          <w:i w:val="0"/>
          <w:szCs w:val="20"/>
          <w:lang w:val="es-ES"/>
        </w:rPr>
        <w:t>a</w:t>
      </w:r>
      <w:r w:rsidR="00952EBB" w:rsidRPr="0092295B">
        <w:rPr>
          <w:i w:val="0"/>
          <w:szCs w:val="20"/>
          <w:lang w:val="es-ES"/>
        </w:rPr>
        <w:t xml:space="preserve"> l</w:t>
      </w:r>
      <w:r w:rsidR="00724024" w:rsidRPr="0092295B">
        <w:rPr>
          <w:i w:val="0"/>
          <w:szCs w:val="20"/>
          <w:lang w:val="es-ES"/>
        </w:rPr>
        <w:t>a</w:t>
      </w:r>
      <w:r w:rsidR="00DA2184" w:rsidRPr="0092295B">
        <w:rPr>
          <w:i w:val="0"/>
          <w:szCs w:val="20"/>
          <w:lang w:val="es-ES"/>
        </w:rPr>
        <w:t xml:space="preserve"> que fueron sometidos </w:t>
      </w:r>
      <w:r w:rsidR="007C2360" w:rsidRPr="0092295B">
        <w:rPr>
          <w:i w:val="0"/>
          <w:szCs w:val="20"/>
          <w:lang w:val="es-ES"/>
        </w:rPr>
        <w:t>durante</w:t>
      </w:r>
      <w:r w:rsidR="007C05E1" w:rsidRPr="0092295B">
        <w:rPr>
          <w:i w:val="0"/>
          <w:szCs w:val="20"/>
          <w:lang w:val="es-ES"/>
        </w:rPr>
        <w:t xml:space="preserve"> el proceso penal policial </w:t>
      </w:r>
      <w:r w:rsidR="007C2360" w:rsidRPr="0092295B">
        <w:rPr>
          <w:i w:val="0"/>
          <w:szCs w:val="20"/>
          <w:lang w:val="es-ES"/>
        </w:rPr>
        <w:t xml:space="preserve">los </w:t>
      </w:r>
      <w:r w:rsidRPr="0092295B">
        <w:rPr>
          <w:i w:val="0"/>
          <w:szCs w:val="20"/>
          <w:lang w:val="es-ES"/>
        </w:rPr>
        <w:t>oficiales de la Policía Nacional</w:t>
      </w:r>
      <w:r w:rsidR="007C2360" w:rsidRPr="0092295B">
        <w:rPr>
          <w:i w:val="0"/>
          <w:szCs w:val="20"/>
          <w:lang w:val="es-ES"/>
        </w:rPr>
        <w:t>,</w:t>
      </w:r>
      <w:r w:rsidRPr="0092295B">
        <w:rPr>
          <w:i w:val="0"/>
          <w:szCs w:val="20"/>
          <w:lang w:val="es-ES"/>
        </w:rPr>
        <w:t xml:space="preserve"> Jorge Humberto Villarroel Merino, Mario Rom</w:t>
      </w:r>
      <w:r w:rsidR="0060743E" w:rsidRPr="0092295B">
        <w:rPr>
          <w:i w:val="0"/>
          <w:szCs w:val="20"/>
          <w:lang w:val="es-ES"/>
        </w:rPr>
        <w:t>el Cev</w:t>
      </w:r>
      <w:r w:rsidRPr="0092295B">
        <w:rPr>
          <w:i w:val="0"/>
          <w:szCs w:val="20"/>
          <w:lang w:val="es-ES"/>
        </w:rPr>
        <w:t>allos Moreno, Jorge Enrique Coloma Gaibor, Fern</w:t>
      </w:r>
      <w:r w:rsidRPr="00CB1DFA">
        <w:rPr>
          <w:i w:val="0"/>
          <w:szCs w:val="20"/>
          <w:lang w:val="es-ES"/>
        </w:rPr>
        <w:t xml:space="preserve">ando Marcelo López Ortiz, Leoncio </w:t>
      </w:r>
      <w:r w:rsidR="003723B8" w:rsidRPr="00CB1DFA">
        <w:rPr>
          <w:i w:val="0"/>
          <w:szCs w:val="20"/>
          <w:lang w:val="es-ES"/>
        </w:rPr>
        <w:t>A</w:t>
      </w:r>
      <w:r w:rsidR="00DA2184" w:rsidRPr="00CB1DFA">
        <w:rPr>
          <w:i w:val="0"/>
          <w:szCs w:val="20"/>
          <w:lang w:val="es-ES"/>
        </w:rPr>
        <w:t>mí</w:t>
      </w:r>
      <w:r w:rsidR="003723B8" w:rsidRPr="00CB1DFA">
        <w:rPr>
          <w:i w:val="0"/>
          <w:szCs w:val="20"/>
          <w:lang w:val="es-ES"/>
        </w:rPr>
        <w:t>l</w:t>
      </w:r>
      <w:r w:rsidR="00DA2184" w:rsidRPr="00CB1DFA">
        <w:rPr>
          <w:i w:val="0"/>
          <w:szCs w:val="20"/>
          <w:lang w:val="es-ES"/>
        </w:rPr>
        <w:t>car Ascá</w:t>
      </w:r>
      <w:r w:rsidRPr="00CB1DFA">
        <w:rPr>
          <w:i w:val="0"/>
          <w:szCs w:val="20"/>
          <w:lang w:val="es-ES"/>
        </w:rPr>
        <w:t>zubi Albán y Alfonso Patricio V</w:t>
      </w:r>
      <w:r w:rsidR="00DA2184" w:rsidRPr="00CB1DFA">
        <w:rPr>
          <w:i w:val="0"/>
          <w:szCs w:val="20"/>
          <w:lang w:val="es-ES"/>
        </w:rPr>
        <w:t>inuez</w:t>
      </w:r>
      <w:r w:rsidR="007C2360" w:rsidRPr="00CB1DFA">
        <w:rPr>
          <w:i w:val="0"/>
          <w:szCs w:val="20"/>
          <w:lang w:val="es-ES"/>
        </w:rPr>
        <w:t>a Pánchez</w:t>
      </w:r>
      <w:r w:rsidR="00563012" w:rsidRPr="00CB1DFA">
        <w:rPr>
          <w:i w:val="0"/>
          <w:szCs w:val="20"/>
          <w:lang w:val="es-ES"/>
        </w:rPr>
        <w:t xml:space="preserve">. </w:t>
      </w:r>
      <w:r w:rsidR="00CF2D2A" w:rsidRPr="002E64FC">
        <w:rPr>
          <w:i w:val="0"/>
          <w:szCs w:val="20"/>
          <w:lang w:val="es-ES"/>
        </w:rPr>
        <w:t>En lo que se refiere a las garant</w:t>
      </w:r>
      <w:r w:rsidR="00156FFB" w:rsidRPr="002E64FC">
        <w:rPr>
          <w:i w:val="0"/>
          <w:szCs w:val="20"/>
          <w:lang w:val="es-ES"/>
        </w:rPr>
        <w:t>ías judiciales, en primer término,</w:t>
      </w:r>
      <w:r w:rsidR="00A709AE" w:rsidRPr="002E64FC">
        <w:rPr>
          <w:i w:val="0"/>
          <w:szCs w:val="20"/>
          <w:lang w:val="es-ES"/>
        </w:rPr>
        <w:t xml:space="preserve"> </w:t>
      </w:r>
      <w:r w:rsidR="002E7EDB" w:rsidRPr="002E64FC">
        <w:rPr>
          <w:i w:val="0"/>
          <w:szCs w:val="20"/>
          <w:lang w:val="es-ES"/>
        </w:rPr>
        <w:t xml:space="preserve">este Tribunal </w:t>
      </w:r>
      <w:r w:rsidR="00F34CEE" w:rsidRPr="002E64FC">
        <w:rPr>
          <w:i w:val="0"/>
          <w:szCs w:val="20"/>
          <w:lang w:val="es-ES"/>
        </w:rPr>
        <w:t>analizará</w:t>
      </w:r>
      <w:r w:rsidR="00563012" w:rsidRPr="002E64FC">
        <w:rPr>
          <w:i w:val="0"/>
          <w:szCs w:val="20"/>
          <w:lang w:val="es-ES"/>
        </w:rPr>
        <w:t xml:space="preserve"> </w:t>
      </w:r>
      <w:r w:rsidR="00CF2D2A" w:rsidRPr="002E64FC">
        <w:rPr>
          <w:i w:val="0"/>
          <w:szCs w:val="20"/>
          <w:lang w:val="es-ES"/>
        </w:rPr>
        <w:t xml:space="preserve">la </w:t>
      </w:r>
      <w:r w:rsidR="00563012" w:rsidRPr="002E64FC">
        <w:rPr>
          <w:i w:val="0"/>
          <w:szCs w:val="20"/>
          <w:lang w:val="es-ES"/>
        </w:rPr>
        <w:t>alegada</w:t>
      </w:r>
      <w:r w:rsidR="002E7EDB" w:rsidRPr="002E64FC">
        <w:rPr>
          <w:i w:val="0"/>
          <w:szCs w:val="20"/>
          <w:lang w:val="es-ES"/>
        </w:rPr>
        <w:t xml:space="preserve"> </w:t>
      </w:r>
      <w:r w:rsidR="008019E3" w:rsidRPr="002E64FC">
        <w:rPr>
          <w:i w:val="0"/>
          <w:szCs w:val="20"/>
          <w:lang w:val="es-CR"/>
        </w:rPr>
        <w:t xml:space="preserve">falta de </w:t>
      </w:r>
      <w:r w:rsidR="0061342B" w:rsidRPr="002E64FC">
        <w:rPr>
          <w:i w:val="0"/>
          <w:szCs w:val="20"/>
          <w:lang w:val="es-CR"/>
        </w:rPr>
        <w:t>información previa y detallada d</w:t>
      </w:r>
      <w:r w:rsidR="00952EBB" w:rsidRPr="002E64FC">
        <w:rPr>
          <w:i w:val="0"/>
          <w:szCs w:val="20"/>
          <w:lang w:val="es-CR"/>
        </w:rPr>
        <w:t xml:space="preserve">e la acusación </w:t>
      </w:r>
      <w:r w:rsidR="008019E3" w:rsidRPr="002E64FC">
        <w:rPr>
          <w:i w:val="0"/>
          <w:szCs w:val="20"/>
          <w:lang w:val="es-CR"/>
        </w:rPr>
        <w:t xml:space="preserve">a las presuntas víctimas </w:t>
      </w:r>
      <w:r w:rsidR="00952EBB" w:rsidRPr="002E64FC">
        <w:rPr>
          <w:i w:val="0"/>
          <w:szCs w:val="20"/>
          <w:lang w:val="es-CR"/>
        </w:rPr>
        <w:t xml:space="preserve">y </w:t>
      </w:r>
      <w:r w:rsidR="008019E3" w:rsidRPr="002E64FC">
        <w:rPr>
          <w:i w:val="0"/>
          <w:szCs w:val="20"/>
          <w:lang w:val="es-CR"/>
        </w:rPr>
        <w:t xml:space="preserve">de </w:t>
      </w:r>
      <w:r w:rsidR="00952EBB" w:rsidRPr="002E64FC">
        <w:rPr>
          <w:i w:val="0"/>
          <w:szCs w:val="20"/>
          <w:lang w:val="es-CR"/>
        </w:rPr>
        <w:t>tiempo para preparar</w:t>
      </w:r>
      <w:r w:rsidR="008019E3" w:rsidRPr="002E64FC">
        <w:rPr>
          <w:i w:val="0"/>
          <w:szCs w:val="20"/>
          <w:lang w:val="es-CR"/>
        </w:rPr>
        <w:t xml:space="preserve"> su</w:t>
      </w:r>
      <w:r w:rsidR="00AD3D96" w:rsidRPr="002E64FC">
        <w:rPr>
          <w:i w:val="0"/>
          <w:szCs w:val="20"/>
          <w:lang w:val="es-CR"/>
        </w:rPr>
        <w:t xml:space="preserve"> defensa</w:t>
      </w:r>
      <w:r w:rsidR="00AC0F07" w:rsidRPr="002E64FC">
        <w:rPr>
          <w:i w:val="0"/>
          <w:szCs w:val="20"/>
          <w:lang w:val="es-CR"/>
        </w:rPr>
        <w:t xml:space="preserve"> </w:t>
      </w:r>
      <w:r w:rsidR="00563012" w:rsidRPr="002E64FC">
        <w:rPr>
          <w:i w:val="0"/>
          <w:szCs w:val="20"/>
          <w:lang w:val="es-CR"/>
        </w:rPr>
        <w:t xml:space="preserve">del </w:t>
      </w:r>
      <w:r w:rsidR="00563012" w:rsidRPr="002E64FC">
        <w:rPr>
          <w:rFonts w:eastAsia="Times New Roman" w:cs="Times New Roman"/>
          <w:i w:val="0"/>
          <w:szCs w:val="20"/>
          <w:lang w:val="es-CR" w:eastAsia="en-GB"/>
        </w:rPr>
        <w:t xml:space="preserve">informe denominado “Indicios de responsabilidad penal del examen especial a las operaciones administrativas y financieras de la Comandancia General de la Policía Nacional” </w:t>
      </w:r>
      <w:r w:rsidR="00563012" w:rsidRPr="00B33ECE">
        <w:rPr>
          <w:rFonts w:eastAsiaTheme="minorHAnsi" w:cs="Times New Roman"/>
          <w:i w:val="0"/>
          <w:lang w:val="es-CR"/>
        </w:rPr>
        <w:t>Informe No. 32-DA.1-2001-466</w:t>
      </w:r>
      <w:r w:rsidR="00563012" w:rsidRPr="00B33ECE">
        <w:rPr>
          <w:rFonts w:eastAsia="Times New Roman" w:cs="Times New Roman"/>
          <w:szCs w:val="20"/>
          <w:lang w:val="es-CR" w:eastAsia="en-GB"/>
        </w:rPr>
        <w:t xml:space="preserve">, </w:t>
      </w:r>
      <w:r w:rsidR="00FC0839" w:rsidRPr="00B33ECE">
        <w:rPr>
          <w:rFonts w:eastAsia="Times New Roman" w:cs="Times New Roman"/>
          <w:i w:val="0"/>
          <w:szCs w:val="20"/>
          <w:lang w:val="es-CR" w:eastAsia="en-GB"/>
        </w:rPr>
        <w:t>elaborado con anterior</w:t>
      </w:r>
      <w:r w:rsidR="00563012" w:rsidRPr="00B33ECE">
        <w:rPr>
          <w:rFonts w:eastAsia="Times New Roman" w:cs="Times New Roman"/>
          <w:i w:val="0"/>
          <w:szCs w:val="20"/>
          <w:lang w:val="es-CR" w:eastAsia="en-GB"/>
        </w:rPr>
        <w:t>idad</w:t>
      </w:r>
      <w:r w:rsidR="00FC0839" w:rsidRPr="00B33ECE">
        <w:rPr>
          <w:rFonts w:eastAsia="Times New Roman" w:cs="Times New Roman"/>
          <w:i w:val="0"/>
          <w:szCs w:val="20"/>
          <w:lang w:val="es-CR" w:eastAsia="en-GB"/>
        </w:rPr>
        <w:t xml:space="preserve"> a la presentación del proceso penal policial</w:t>
      </w:r>
      <w:r w:rsidR="00FC0839" w:rsidRPr="00B33ECE">
        <w:rPr>
          <w:rFonts w:eastAsia="Times New Roman" w:cs="Times New Roman"/>
          <w:szCs w:val="20"/>
          <w:lang w:val="es-CR" w:eastAsia="en-GB"/>
        </w:rPr>
        <w:t>.</w:t>
      </w:r>
      <w:r w:rsidR="00563012" w:rsidRPr="00A13FEE">
        <w:rPr>
          <w:rFonts w:eastAsia="Times New Roman" w:cs="Times New Roman"/>
          <w:szCs w:val="20"/>
          <w:lang w:val="es-CR" w:eastAsia="en-GB"/>
        </w:rPr>
        <w:t xml:space="preserve"> </w:t>
      </w:r>
      <w:r w:rsidR="00156FFB" w:rsidRPr="00B33ECE">
        <w:rPr>
          <w:i w:val="0"/>
          <w:szCs w:val="20"/>
          <w:lang w:val="es-CR"/>
        </w:rPr>
        <w:t>En segundo término</w:t>
      </w:r>
      <w:r w:rsidR="00AC0F07" w:rsidRPr="00B33ECE">
        <w:rPr>
          <w:i w:val="0"/>
          <w:szCs w:val="20"/>
          <w:lang w:val="es-CR"/>
        </w:rPr>
        <w:t xml:space="preserve">, </w:t>
      </w:r>
      <w:r w:rsidR="00FC0839" w:rsidRPr="00B33ECE">
        <w:rPr>
          <w:i w:val="0"/>
          <w:szCs w:val="20"/>
          <w:lang w:val="es-CR"/>
        </w:rPr>
        <w:t xml:space="preserve">examinará </w:t>
      </w:r>
      <w:r w:rsidR="00563012" w:rsidRPr="00B33ECE">
        <w:rPr>
          <w:i w:val="0"/>
          <w:szCs w:val="20"/>
          <w:lang w:val="es-ES"/>
        </w:rPr>
        <w:t xml:space="preserve">las alegadas vulneraciones a las garantías judiciales </w:t>
      </w:r>
      <w:r w:rsidR="00563012" w:rsidRPr="00B33ECE">
        <w:rPr>
          <w:i w:val="0"/>
          <w:szCs w:val="20"/>
        </w:rPr>
        <w:t xml:space="preserve">relacionadas </w:t>
      </w:r>
      <w:r w:rsidR="00E002DE" w:rsidRPr="00B33ECE">
        <w:rPr>
          <w:i w:val="0"/>
          <w:szCs w:val="20"/>
        </w:rPr>
        <w:t>con</w:t>
      </w:r>
      <w:r w:rsidR="00AC0F07" w:rsidRPr="00B33ECE">
        <w:rPr>
          <w:i w:val="0"/>
          <w:szCs w:val="20"/>
          <w:lang w:val="es-CR"/>
        </w:rPr>
        <w:t xml:space="preserve"> el proceso penal policial: a</w:t>
      </w:r>
      <w:r w:rsidR="00F34CEE" w:rsidRPr="00B33ECE">
        <w:rPr>
          <w:i w:val="0"/>
          <w:szCs w:val="20"/>
          <w:lang w:val="es-CR"/>
        </w:rPr>
        <w:t>)</w:t>
      </w:r>
      <w:r w:rsidR="002E7EDB" w:rsidRPr="00B33ECE">
        <w:rPr>
          <w:b/>
          <w:i w:val="0"/>
          <w:szCs w:val="20"/>
          <w:lang w:val="es-CR"/>
        </w:rPr>
        <w:t xml:space="preserve"> </w:t>
      </w:r>
      <w:r w:rsidR="00952EBB" w:rsidRPr="00B33ECE">
        <w:rPr>
          <w:i w:val="0"/>
          <w:szCs w:val="20"/>
          <w:lang w:val="es-CR"/>
        </w:rPr>
        <w:t>la falta de competencia e im</w:t>
      </w:r>
      <w:r w:rsidR="0061342B" w:rsidRPr="00B33ECE">
        <w:rPr>
          <w:i w:val="0"/>
          <w:szCs w:val="20"/>
          <w:lang w:val="es-CR"/>
        </w:rPr>
        <w:t>parcialidad del tribuna</w:t>
      </w:r>
      <w:r w:rsidR="00AD3D96" w:rsidRPr="00B33ECE">
        <w:rPr>
          <w:i w:val="0"/>
          <w:szCs w:val="20"/>
          <w:lang w:val="es-CR"/>
        </w:rPr>
        <w:t>l que conoció del caso</w:t>
      </w:r>
      <w:r w:rsidR="00CB1DFA" w:rsidRPr="00B33ECE">
        <w:rPr>
          <w:i w:val="0"/>
          <w:szCs w:val="20"/>
          <w:lang w:val="es-CR"/>
        </w:rPr>
        <w:t>, y</w:t>
      </w:r>
      <w:r w:rsidR="00AC0F07" w:rsidRPr="00B33ECE">
        <w:rPr>
          <w:i w:val="0"/>
          <w:szCs w:val="20"/>
          <w:lang w:val="es-CR"/>
        </w:rPr>
        <w:t xml:space="preserve"> b</w:t>
      </w:r>
      <w:r w:rsidR="00F34CEE" w:rsidRPr="00B33ECE">
        <w:rPr>
          <w:i w:val="0"/>
          <w:szCs w:val="20"/>
          <w:lang w:val="es-CR"/>
        </w:rPr>
        <w:t>)</w:t>
      </w:r>
      <w:r w:rsidR="008019E3" w:rsidRPr="00B33ECE">
        <w:rPr>
          <w:i w:val="0"/>
          <w:szCs w:val="20"/>
          <w:lang w:val="es-CR"/>
        </w:rPr>
        <w:t xml:space="preserve"> </w:t>
      </w:r>
      <w:r w:rsidR="0061342B" w:rsidRPr="00B33ECE">
        <w:rPr>
          <w:i w:val="0"/>
          <w:szCs w:val="20"/>
          <w:lang w:val="es-CR"/>
        </w:rPr>
        <w:t xml:space="preserve">la irrazonable duración del </w:t>
      </w:r>
      <w:r w:rsidR="0061342B" w:rsidRPr="002E64FC">
        <w:rPr>
          <w:i w:val="0"/>
          <w:szCs w:val="20"/>
          <w:lang w:val="es-CR"/>
        </w:rPr>
        <w:t xml:space="preserve">proceso penal policial. Finalmente, </w:t>
      </w:r>
      <w:r w:rsidR="00070CD2">
        <w:rPr>
          <w:i w:val="0"/>
          <w:szCs w:val="20"/>
          <w:lang w:val="es-CR"/>
        </w:rPr>
        <w:t xml:space="preserve">abordará </w:t>
      </w:r>
      <w:r w:rsidR="008F5DDF" w:rsidRPr="002E64FC">
        <w:rPr>
          <w:i w:val="0"/>
          <w:szCs w:val="20"/>
          <w:lang w:val="es-CR"/>
        </w:rPr>
        <w:t>la</w:t>
      </w:r>
      <w:r w:rsidR="00D02A6D">
        <w:rPr>
          <w:i w:val="0"/>
          <w:szCs w:val="20"/>
          <w:lang w:val="es-CR"/>
        </w:rPr>
        <w:t xml:space="preserve"> alegada</w:t>
      </w:r>
      <w:r w:rsidR="008F5DDF" w:rsidRPr="002E64FC">
        <w:rPr>
          <w:i w:val="0"/>
          <w:szCs w:val="20"/>
          <w:lang w:val="es-CR"/>
        </w:rPr>
        <w:t xml:space="preserve"> </w:t>
      </w:r>
      <w:r w:rsidR="0061342B" w:rsidRPr="002E64FC">
        <w:rPr>
          <w:i w:val="0"/>
          <w:szCs w:val="20"/>
          <w:lang w:val="es-CR"/>
        </w:rPr>
        <w:t xml:space="preserve">violación a la protección judicial </w:t>
      </w:r>
      <w:r w:rsidR="008019E3" w:rsidRPr="002E64FC">
        <w:rPr>
          <w:i w:val="0"/>
          <w:szCs w:val="20"/>
          <w:lang w:val="es-CR"/>
        </w:rPr>
        <w:t>respecto de</w:t>
      </w:r>
      <w:r w:rsidR="0061342B" w:rsidRPr="002E64FC">
        <w:rPr>
          <w:i w:val="0"/>
          <w:szCs w:val="20"/>
          <w:lang w:val="es-CR"/>
        </w:rPr>
        <w:t xml:space="preserve"> </w:t>
      </w:r>
      <w:r w:rsidR="007B4FAC" w:rsidRPr="002E64FC">
        <w:rPr>
          <w:i w:val="0"/>
          <w:szCs w:val="20"/>
          <w:lang w:val="es-CR"/>
        </w:rPr>
        <w:t xml:space="preserve">las </w:t>
      </w:r>
      <w:r w:rsidR="0061342B" w:rsidRPr="002E64FC">
        <w:rPr>
          <w:i w:val="0"/>
          <w:szCs w:val="20"/>
          <w:lang w:val="es-CR"/>
        </w:rPr>
        <w:t xml:space="preserve">demandas de indemnización </w:t>
      </w:r>
      <w:r w:rsidR="008019E3" w:rsidRPr="002E64FC">
        <w:rPr>
          <w:i w:val="0"/>
          <w:szCs w:val="20"/>
          <w:lang w:val="es-CR"/>
        </w:rPr>
        <w:t>presentadas</w:t>
      </w:r>
      <w:r w:rsidR="0061342B" w:rsidRPr="002E64FC">
        <w:rPr>
          <w:i w:val="0"/>
          <w:szCs w:val="20"/>
          <w:lang w:val="es-CR"/>
        </w:rPr>
        <w:t xml:space="preserve"> por las presuntas víctimas</w:t>
      </w:r>
      <w:r w:rsidR="0061342B" w:rsidRPr="00CB1DFA">
        <w:rPr>
          <w:i w:val="0"/>
          <w:szCs w:val="20"/>
          <w:lang w:val="es-CR"/>
        </w:rPr>
        <w:t>.</w:t>
      </w:r>
    </w:p>
    <w:p w14:paraId="1CB2AB6A" w14:textId="72ED498B" w:rsidR="008F5DDF" w:rsidRPr="0092295B" w:rsidRDefault="006E174F" w:rsidP="00CF2D2A">
      <w:pPr>
        <w:pStyle w:val="Prrafodelista"/>
        <w:numPr>
          <w:ilvl w:val="0"/>
          <w:numId w:val="29"/>
        </w:numPr>
        <w:spacing w:before="0" w:after="0"/>
        <w:ind w:left="0" w:firstLine="0"/>
        <w:rPr>
          <w:szCs w:val="20"/>
        </w:rPr>
      </w:pPr>
      <w:r w:rsidRPr="0092295B">
        <w:rPr>
          <w:szCs w:val="20"/>
        </w:rPr>
        <w:t>Por otra parte, este Tribunal ha</w:t>
      </w:r>
      <w:r w:rsidR="00996679">
        <w:rPr>
          <w:szCs w:val="20"/>
        </w:rPr>
        <w:t xml:space="preserve">ce notar que el representante </w:t>
      </w:r>
      <w:r w:rsidR="00996679" w:rsidRPr="00EF4BDB">
        <w:rPr>
          <w:szCs w:val="20"/>
        </w:rPr>
        <w:t>indicó</w:t>
      </w:r>
      <w:r w:rsidRPr="00EF4BDB">
        <w:rPr>
          <w:szCs w:val="20"/>
        </w:rPr>
        <w:t xml:space="preserve"> </w:t>
      </w:r>
      <w:r w:rsidRPr="0092295B">
        <w:rPr>
          <w:szCs w:val="20"/>
        </w:rPr>
        <w:t xml:space="preserve">la violación </w:t>
      </w:r>
      <w:r w:rsidR="00010192" w:rsidRPr="0092295B">
        <w:rPr>
          <w:szCs w:val="20"/>
        </w:rPr>
        <w:t xml:space="preserve">a los derechos a indemnización y a protección de la honra y de la dignidad, establecidos en </w:t>
      </w:r>
      <w:r w:rsidRPr="0092295B">
        <w:rPr>
          <w:szCs w:val="20"/>
        </w:rPr>
        <w:t xml:space="preserve">los artículos 10 y 11 de la Convención Americana, los cuales </w:t>
      </w:r>
      <w:r w:rsidR="00927861" w:rsidRPr="0092295B">
        <w:rPr>
          <w:szCs w:val="20"/>
        </w:rPr>
        <w:t xml:space="preserve">únicamente </w:t>
      </w:r>
      <w:r w:rsidRPr="0092295B">
        <w:rPr>
          <w:szCs w:val="20"/>
        </w:rPr>
        <w:t>citó, sin acompañarlos de un sustento jurídico o argumentativo. Por ello, la Corte no tiene elementos suficientes para examinar las alegadas vulneraciones a los derechos consagrados en los artículos 10 y 11 de la Convención. </w:t>
      </w:r>
    </w:p>
    <w:p w14:paraId="27B74E3E" w14:textId="7DA41F0A" w:rsidR="00542EF9" w:rsidRPr="0092295B" w:rsidRDefault="002808FB" w:rsidP="00ED2790">
      <w:pPr>
        <w:pStyle w:val="Ttulo1"/>
        <w:spacing w:after="0"/>
        <w:ind w:left="1416" w:hanging="1416"/>
      </w:pPr>
      <w:bookmarkStart w:id="95" w:name="_Toc80775514"/>
      <w:bookmarkStart w:id="96" w:name="_Toc87339012"/>
      <w:bookmarkStart w:id="97" w:name="_Toc1630862"/>
      <w:r w:rsidRPr="0092295B">
        <w:t>VII</w:t>
      </w:r>
      <w:r w:rsidR="002628EB">
        <w:t>-</w:t>
      </w:r>
      <w:r w:rsidR="00187CF2" w:rsidRPr="0092295B">
        <w:t>1</w:t>
      </w:r>
      <w:bookmarkEnd w:id="95"/>
      <w:bookmarkEnd w:id="96"/>
    </w:p>
    <w:p w14:paraId="2BF940E0" w14:textId="281054E9" w:rsidR="00331D55" w:rsidRDefault="00187CF2" w:rsidP="00331D55">
      <w:pPr>
        <w:pStyle w:val="Ttulo1"/>
        <w:spacing w:before="0" w:after="0"/>
        <w:rPr>
          <w:szCs w:val="20"/>
          <w:lang w:val="es-CR"/>
        </w:rPr>
      </w:pPr>
      <w:bookmarkStart w:id="98" w:name="_Toc86996760"/>
      <w:bookmarkStart w:id="99" w:name="_Toc87339013"/>
      <w:bookmarkStart w:id="100" w:name="_Toc80775515"/>
      <w:r w:rsidRPr="0092295B">
        <w:rPr>
          <w:szCs w:val="20"/>
          <w:lang w:val="es-CR"/>
        </w:rPr>
        <w:t>D</w:t>
      </w:r>
      <w:r w:rsidR="002820DA" w:rsidRPr="0092295B">
        <w:rPr>
          <w:szCs w:val="20"/>
          <w:lang w:val="es-CR"/>
        </w:rPr>
        <w:t>ERECHO</w:t>
      </w:r>
      <w:r w:rsidR="0043534A">
        <w:rPr>
          <w:szCs w:val="20"/>
          <w:lang w:val="es-CR"/>
        </w:rPr>
        <w:t>S</w:t>
      </w:r>
      <w:r w:rsidR="002820DA" w:rsidRPr="0092295B">
        <w:rPr>
          <w:szCs w:val="20"/>
          <w:lang w:val="es-CR"/>
        </w:rPr>
        <w:t xml:space="preserve"> A LA LIBERTAD PERSONAL</w:t>
      </w:r>
      <w:r w:rsidR="006920D5">
        <w:rPr>
          <w:szCs w:val="20"/>
          <w:lang w:val="es-CR"/>
        </w:rPr>
        <w:t>, PRESUNCIÓN DE INOCENCIA</w:t>
      </w:r>
      <w:bookmarkEnd w:id="98"/>
      <w:bookmarkEnd w:id="99"/>
    </w:p>
    <w:p w14:paraId="539B4FF4" w14:textId="7DB81CB5" w:rsidR="008D5B00" w:rsidRPr="0092295B" w:rsidRDefault="002820DA" w:rsidP="00331D55">
      <w:pPr>
        <w:pStyle w:val="Ttulo1"/>
        <w:spacing w:before="0" w:after="0"/>
        <w:rPr>
          <w:szCs w:val="20"/>
          <w:lang w:val="es-CR"/>
        </w:rPr>
      </w:pPr>
      <w:bookmarkStart w:id="101" w:name="_Toc86996761"/>
      <w:bookmarkStart w:id="102" w:name="_Toc87339014"/>
      <w:r w:rsidRPr="0092295B">
        <w:rPr>
          <w:szCs w:val="20"/>
          <w:lang w:val="es-CR"/>
        </w:rPr>
        <w:t xml:space="preserve">Y </w:t>
      </w:r>
      <w:r w:rsidR="0043534A">
        <w:rPr>
          <w:szCs w:val="20"/>
          <w:lang w:val="es-CR"/>
        </w:rPr>
        <w:t xml:space="preserve">A LA </w:t>
      </w:r>
      <w:r w:rsidRPr="0092295B">
        <w:rPr>
          <w:szCs w:val="20"/>
          <w:lang w:val="es-CR"/>
        </w:rPr>
        <w:t>IGUA</w:t>
      </w:r>
      <w:r w:rsidR="002628EB">
        <w:rPr>
          <w:szCs w:val="20"/>
          <w:lang w:val="es-CR"/>
        </w:rPr>
        <w:t xml:space="preserve">LDAD ANTE </w:t>
      </w:r>
      <w:bookmarkStart w:id="103" w:name="_Toc80775516"/>
      <w:bookmarkEnd w:id="100"/>
      <w:r w:rsidR="00CB1A68">
        <w:rPr>
          <w:szCs w:val="20"/>
          <w:lang w:val="es-CR"/>
        </w:rPr>
        <w:t>LA LEY</w:t>
      </w:r>
      <w:r w:rsidRPr="0092295B">
        <w:rPr>
          <w:szCs w:val="20"/>
          <w:lang w:val="es-CR"/>
        </w:rPr>
        <w:t>,</w:t>
      </w:r>
      <w:bookmarkEnd w:id="101"/>
      <w:bookmarkEnd w:id="102"/>
      <w:bookmarkEnd w:id="103"/>
    </w:p>
    <w:p w14:paraId="313B7914" w14:textId="77777777" w:rsidR="00331D55" w:rsidRDefault="00996679" w:rsidP="00331D55">
      <w:pPr>
        <w:pStyle w:val="Ttulo1"/>
        <w:spacing w:before="0" w:after="0"/>
        <w:rPr>
          <w:szCs w:val="20"/>
          <w:lang w:val="es-CR"/>
        </w:rPr>
      </w:pPr>
      <w:bookmarkStart w:id="104" w:name="_Toc86996762"/>
      <w:bookmarkStart w:id="105" w:name="_Toc87339015"/>
      <w:r>
        <w:rPr>
          <w:szCs w:val="20"/>
          <w:lang w:val="es-CR"/>
        </w:rPr>
        <w:t>EN RELACIÓN CON</w:t>
      </w:r>
      <w:r w:rsidR="006920D5">
        <w:rPr>
          <w:szCs w:val="20"/>
          <w:lang w:val="es-CR"/>
        </w:rPr>
        <w:t xml:space="preserve"> LAS OBLIGACIONES DE RESPETAR</w:t>
      </w:r>
      <w:bookmarkEnd w:id="104"/>
      <w:bookmarkEnd w:id="105"/>
      <w:r w:rsidR="006920D5">
        <w:rPr>
          <w:szCs w:val="20"/>
          <w:lang w:val="es-CR"/>
        </w:rPr>
        <w:t xml:space="preserve"> </w:t>
      </w:r>
    </w:p>
    <w:p w14:paraId="21A069E2" w14:textId="77777777" w:rsidR="00331D55" w:rsidRDefault="006920D5" w:rsidP="00331D55">
      <w:pPr>
        <w:pStyle w:val="Ttulo1"/>
        <w:spacing w:before="0" w:after="0"/>
        <w:rPr>
          <w:szCs w:val="20"/>
          <w:lang w:val="es-CR"/>
        </w:rPr>
      </w:pPr>
      <w:bookmarkStart w:id="106" w:name="_Toc86996763"/>
      <w:bookmarkStart w:id="107" w:name="_Toc87339016"/>
      <w:r>
        <w:rPr>
          <w:szCs w:val="20"/>
          <w:lang w:val="es-CR"/>
        </w:rPr>
        <w:t>Y GARANTIZAR LOS DERECHOS y El DEBER DE ADOPTAR DISPOSICIONES</w:t>
      </w:r>
      <w:bookmarkEnd w:id="106"/>
      <w:bookmarkEnd w:id="107"/>
    </w:p>
    <w:p w14:paraId="11534BB5" w14:textId="0580142F" w:rsidR="00A93CF3" w:rsidRPr="0092295B" w:rsidRDefault="006920D5" w:rsidP="00331D55">
      <w:pPr>
        <w:pStyle w:val="Ttulo1"/>
        <w:spacing w:before="0" w:after="0"/>
        <w:rPr>
          <w:b w:val="0"/>
          <w:szCs w:val="20"/>
          <w:lang w:val="es-CR"/>
        </w:rPr>
      </w:pPr>
      <w:r>
        <w:rPr>
          <w:szCs w:val="20"/>
          <w:lang w:val="es-CR"/>
        </w:rPr>
        <w:t xml:space="preserve"> </w:t>
      </w:r>
      <w:bookmarkStart w:id="108" w:name="_Toc86996764"/>
      <w:bookmarkStart w:id="109" w:name="_Toc87339017"/>
      <w:r>
        <w:rPr>
          <w:szCs w:val="20"/>
          <w:lang w:val="es-CR"/>
        </w:rPr>
        <w:t>DE DERECHO INTERNO</w:t>
      </w:r>
      <w:r w:rsidR="00767169">
        <w:rPr>
          <w:szCs w:val="20"/>
          <w:lang w:val="es-CR"/>
        </w:rPr>
        <w:t xml:space="preserve"> DE LA CONVENCIÓN AMERICANA</w:t>
      </w:r>
      <w:r w:rsidR="001031F5" w:rsidRPr="0092295B">
        <w:rPr>
          <w:rStyle w:val="Refdenotaalpie"/>
          <w:lang w:val="es-CR"/>
        </w:rPr>
        <w:footnoteReference w:id="94"/>
      </w:r>
      <w:bookmarkEnd w:id="108"/>
      <w:bookmarkEnd w:id="109"/>
      <w:r w:rsidR="00E453F0" w:rsidRPr="0092295B">
        <w:rPr>
          <w:szCs w:val="20"/>
          <w:lang w:val="es-CR"/>
        </w:rPr>
        <w:br/>
      </w:r>
    </w:p>
    <w:p w14:paraId="388F4048" w14:textId="53DEF823" w:rsidR="006E3494" w:rsidRPr="009E377D" w:rsidRDefault="006E3A2B" w:rsidP="009E377D">
      <w:pPr>
        <w:pStyle w:val="Prrafodelista"/>
        <w:numPr>
          <w:ilvl w:val="0"/>
          <w:numId w:val="29"/>
        </w:numPr>
        <w:spacing w:before="0" w:after="0"/>
        <w:ind w:left="0" w:firstLine="0"/>
        <w:rPr>
          <w:szCs w:val="20"/>
        </w:rPr>
      </w:pPr>
      <w:r w:rsidRPr="0092295B">
        <w:rPr>
          <w:szCs w:val="20"/>
        </w:rPr>
        <w:t xml:space="preserve">En el presente capítulo, la Corte </w:t>
      </w:r>
      <w:r w:rsidR="00927861" w:rsidRPr="0092295B">
        <w:rPr>
          <w:szCs w:val="20"/>
        </w:rPr>
        <w:t>examinará</w:t>
      </w:r>
      <w:r w:rsidR="006E174F" w:rsidRPr="0092295B">
        <w:rPr>
          <w:szCs w:val="20"/>
        </w:rPr>
        <w:t xml:space="preserve"> la alegada violación al </w:t>
      </w:r>
      <w:r w:rsidR="00156FFB" w:rsidRPr="0092295B">
        <w:rPr>
          <w:szCs w:val="20"/>
        </w:rPr>
        <w:t>derecho a la libertad personal</w:t>
      </w:r>
      <w:r w:rsidR="00FC0839" w:rsidRPr="0092295B">
        <w:rPr>
          <w:szCs w:val="20"/>
        </w:rPr>
        <w:t xml:space="preserve">, </w:t>
      </w:r>
      <w:r w:rsidR="006E174F" w:rsidRPr="0092295B">
        <w:rPr>
          <w:szCs w:val="20"/>
        </w:rPr>
        <w:t>así como</w:t>
      </w:r>
      <w:r w:rsidR="00927861" w:rsidRPr="0092295B">
        <w:rPr>
          <w:szCs w:val="20"/>
        </w:rPr>
        <w:t xml:space="preserve"> las alegada</w:t>
      </w:r>
      <w:r w:rsidR="00F519B6" w:rsidRPr="0092295B">
        <w:rPr>
          <w:szCs w:val="20"/>
        </w:rPr>
        <w:t xml:space="preserve">s vulneraciones </w:t>
      </w:r>
      <w:r w:rsidR="006920D5">
        <w:rPr>
          <w:szCs w:val="20"/>
        </w:rPr>
        <w:t>a la igual</w:t>
      </w:r>
      <w:r w:rsidR="002628EB">
        <w:rPr>
          <w:szCs w:val="20"/>
        </w:rPr>
        <w:t>dad</w:t>
      </w:r>
      <w:r w:rsidR="00CB1A68">
        <w:rPr>
          <w:szCs w:val="20"/>
        </w:rPr>
        <w:t xml:space="preserve"> </w:t>
      </w:r>
      <w:r w:rsidR="002628EB">
        <w:rPr>
          <w:szCs w:val="20"/>
        </w:rPr>
        <w:t xml:space="preserve">ante </w:t>
      </w:r>
      <w:r w:rsidR="00CB1A68">
        <w:rPr>
          <w:szCs w:val="20"/>
        </w:rPr>
        <w:t>la ley</w:t>
      </w:r>
      <w:r w:rsidR="00A20E11" w:rsidRPr="0092295B">
        <w:rPr>
          <w:szCs w:val="20"/>
        </w:rPr>
        <w:t xml:space="preserve"> </w:t>
      </w:r>
      <w:r w:rsidR="00CF2D2A" w:rsidRPr="0092295B">
        <w:rPr>
          <w:szCs w:val="20"/>
        </w:rPr>
        <w:t xml:space="preserve">y </w:t>
      </w:r>
      <w:r w:rsidR="00DC6B95" w:rsidRPr="0092295B">
        <w:rPr>
          <w:szCs w:val="20"/>
        </w:rPr>
        <w:t xml:space="preserve">garantizar la </w:t>
      </w:r>
      <w:r w:rsidR="00A20E11" w:rsidRPr="0092295B">
        <w:rPr>
          <w:szCs w:val="20"/>
        </w:rPr>
        <w:t>legalidad de la detención a través de un recurso efectivo.</w:t>
      </w:r>
    </w:p>
    <w:p w14:paraId="75682D3F" w14:textId="37226DD8" w:rsidR="006E3494" w:rsidRPr="00F911DC" w:rsidRDefault="00C55DBC" w:rsidP="00F911DC">
      <w:pPr>
        <w:pStyle w:val="Ttulo2"/>
        <w:ind w:left="426"/>
        <w:rPr>
          <w:i w:val="0"/>
          <w:lang w:val="es-CR"/>
        </w:rPr>
      </w:pPr>
      <w:bookmarkStart w:id="110" w:name="_Toc87339018"/>
      <w:r w:rsidRPr="00F911DC">
        <w:rPr>
          <w:i w:val="0"/>
          <w:lang w:val="es-CR"/>
        </w:rPr>
        <w:t>A</w:t>
      </w:r>
      <w:r w:rsidR="005C0676" w:rsidRPr="00F911DC">
        <w:rPr>
          <w:i w:val="0"/>
          <w:lang w:val="es-CR"/>
        </w:rPr>
        <w:t>.</w:t>
      </w:r>
      <w:r w:rsidR="00D200CE" w:rsidRPr="00F911DC">
        <w:rPr>
          <w:i w:val="0"/>
          <w:lang w:val="es-CR"/>
        </w:rPr>
        <w:t xml:space="preserve"> </w:t>
      </w:r>
      <w:r w:rsidR="009E377D" w:rsidRPr="00F911DC">
        <w:rPr>
          <w:i w:val="0"/>
          <w:lang w:val="es-CR"/>
        </w:rPr>
        <w:t xml:space="preserve">  </w:t>
      </w:r>
      <w:r w:rsidR="00156FFB" w:rsidRPr="00F911DC">
        <w:rPr>
          <w:i w:val="0"/>
          <w:lang w:val="es-CR"/>
        </w:rPr>
        <w:t>Privación</w:t>
      </w:r>
      <w:r w:rsidR="006E3494" w:rsidRPr="00F911DC">
        <w:rPr>
          <w:i w:val="0"/>
          <w:lang w:val="es-CR"/>
        </w:rPr>
        <w:t xml:space="preserve"> de libertad de las presuntas víctimas</w:t>
      </w:r>
      <w:bookmarkEnd w:id="110"/>
      <w:r w:rsidR="006E3494" w:rsidRPr="00F911DC">
        <w:rPr>
          <w:i w:val="0"/>
          <w:lang w:val="es-CR"/>
        </w:rPr>
        <w:t xml:space="preserve"> </w:t>
      </w:r>
    </w:p>
    <w:p w14:paraId="001C48A4" w14:textId="07CD98B6" w:rsidR="006E3494" w:rsidRPr="009E377D" w:rsidRDefault="006E3494" w:rsidP="006E3494">
      <w:pPr>
        <w:pStyle w:val="Ttulo3"/>
        <w:spacing w:before="0" w:after="0"/>
        <w:rPr>
          <w:i/>
          <w:szCs w:val="20"/>
          <w:lang w:val="es-CR"/>
        </w:rPr>
      </w:pPr>
      <w:bookmarkStart w:id="111" w:name="_Toc87339019"/>
      <w:r w:rsidRPr="009E377D">
        <w:rPr>
          <w:i/>
          <w:szCs w:val="20"/>
          <w:lang w:val="es-CR"/>
        </w:rPr>
        <w:t>A.1</w:t>
      </w:r>
      <w:r w:rsidRPr="009E377D">
        <w:rPr>
          <w:b w:val="0"/>
          <w:i/>
          <w:szCs w:val="20"/>
          <w:lang w:val="es-CR"/>
        </w:rPr>
        <w:t xml:space="preserve"> </w:t>
      </w:r>
      <w:r w:rsidRPr="009E377D">
        <w:rPr>
          <w:i/>
          <w:szCs w:val="20"/>
          <w:lang w:val="es-CR"/>
        </w:rPr>
        <w:t>Argumentos de las partes y la Comisión</w:t>
      </w:r>
      <w:bookmarkEnd w:id="111"/>
    </w:p>
    <w:p w14:paraId="668A2518" w14:textId="5DD7DCFE" w:rsidR="00E433DC" w:rsidRPr="0092295B" w:rsidRDefault="00E433DC" w:rsidP="001661DB">
      <w:pPr>
        <w:pStyle w:val="Prrafodelista"/>
        <w:spacing w:before="0" w:after="0"/>
        <w:ind w:left="0"/>
        <w:rPr>
          <w:szCs w:val="20"/>
        </w:rPr>
      </w:pPr>
    </w:p>
    <w:p w14:paraId="363DE58B" w14:textId="39A0D569" w:rsidR="006E3A2B" w:rsidRPr="0092295B" w:rsidRDefault="003D5664" w:rsidP="00CF2D2A">
      <w:pPr>
        <w:pStyle w:val="Prrafodelista"/>
        <w:numPr>
          <w:ilvl w:val="0"/>
          <w:numId w:val="29"/>
        </w:numPr>
        <w:spacing w:before="0" w:after="0"/>
        <w:ind w:left="0" w:firstLine="0"/>
        <w:rPr>
          <w:szCs w:val="20"/>
        </w:rPr>
      </w:pPr>
      <w:r w:rsidRPr="0092295B">
        <w:rPr>
          <w:szCs w:val="20"/>
        </w:rPr>
        <w:t xml:space="preserve">La </w:t>
      </w:r>
      <w:r w:rsidRPr="00305113">
        <w:rPr>
          <w:b/>
          <w:i/>
          <w:szCs w:val="20"/>
        </w:rPr>
        <w:t>Comisión</w:t>
      </w:r>
      <w:r w:rsidR="00996679">
        <w:rPr>
          <w:szCs w:val="20"/>
        </w:rPr>
        <w:t xml:space="preserve"> alegó la</w:t>
      </w:r>
      <w:r w:rsidRPr="00305113">
        <w:rPr>
          <w:szCs w:val="20"/>
        </w:rPr>
        <w:t xml:space="preserve"> violación a la libertad personal,</w:t>
      </w:r>
      <w:r w:rsidR="00720524" w:rsidRPr="00305113">
        <w:rPr>
          <w:szCs w:val="20"/>
        </w:rPr>
        <w:t xml:space="preserve"> a la presunción de inocencia y a la</w:t>
      </w:r>
      <w:r w:rsidRPr="00305113">
        <w:rPr>
          <w:szCs w:val="20"/>
        </w:rPr>
        <w:t xml:space="preserve"> igualdad ante la ley establecido</w:t>
      </w:r>
      <w:r w:rsidR="00720524" w:rsidRPr="00305113">
        <w:rPr>
          <w:szCs w:val="20"/>
        </w:rPr>
        <w:t>s</w:t>
      </w:r>
      <w:r w:rsidRPr="00305113">
        <w:rPr>
          <w:szCs w:val="20"/>
        </w:rPr>
        <w:t xml:space="preserve"> en los artículos 7.1, 7.2, 7.3, 7.5, 8.2 y 24 de la Convención Americana, en relación con los artículos 1.1 y 2 del mismo instrumento, en perjuicio de Jorge </w:t>
      </w:r>
      <w:r w:rsidR="004C76C5" w:rsidRPr="00305113">
        <w:rPr>
          <w:szCs w:val="20"/>
        </w:rPr>
        <w:t>Villarroel Merino, Mario Rom</w:t>
      </w:r>
      <w:r w:rsidRPr="00305113">
        <w:rPr>
          <w:szCs w:val="20"/>
        </w:rPr>
        <w:t>el Cevallos Moreno, Jorge Coloma Ga</w:t>
      </w:r>
      <w:r w:rsidR="004443E2" w:rsidRPr="00305113">
        <w:rPr>
          <w:szCs w:val="20"/>
        </w:rPr>
        <w:t>i</w:t>
      </w:r>
      <w:r w:rsidRPr="00305113">
        <w:rPr>
          <w:szCs w:val="20"/>
        </w:rPr>
        <w:t>bor, Fe</w:t>
      </w:r>
      <w:r w:rsidR="0060743E" w:rsidRPr="00305113">
        <w:rPr>
          <w:szCs w:val="20"/>
        </w:rPr>
        <w:t>rnando López Ortiz, Amílcar Ascá</w:t>
      </w:r>
      <w:r w:rsidRPr="00305113">
        <w:rPr>
          <w:szCs w:val="20"/>
        </w:rPr>
        <w:t>zubi</w:t>
      </w:r>
      <w:r w:rsidR="0060743E" w:rsidRPr="00305113">
        <w:rPr>
          <w:szCs w:val="20"/>
        </w:rPr>
        <w:t xml:space="preserve"> Albán y Patricio Vinuez</w:t>
      </w:r>
      <w:r w:rsidRPr="00305113">
        <w:rPr>
          <w:szCs w:val="20"/>
        </w:rPr>
        <w:t xml:space="preserve">a Pánchez. </w:t>
      </w:r>
      <w:r w:rsidR="006C3973" w:rsidRPr="00305113">
        <w:rPr>
          <w:szCs w:val="20"/>
        </w:rPr>
        <w:t xml:space="preserve">La Comisión </w:t>
      </w:r>
      <w:r w:rsidR="000D31CA">
        <w:rPr>
          <w:szCs w:val="20"/>
        </w:rPr>
        <w:t>indicó</w:t>
      </w:r>
      <w:r w:rsidR="000D31CA" w:rsidRPr="00305113">
        <w:rPr>
          <w:szCs w:val="20"/>
        </w:rPr>
        <w:t xml:space="preserve"> </w:t>
      </w:r>
      <w:r w:rsidR="006C3973" w:rsidRPr="00305113">
        <w:rPr>
          <w:szCs w:val="20"/>
        </w:rPr>
        <w:t>que las presuntas víctimas estuvieron bajo detención en firme desde el 26 de mayo de 2003 hasta el 27 de enero de 2004</w:t>
      </w:r>
      <w:r w:rsidR="006C3973" w:rsidRPr="00066805">
        <w:rPr>
          <w:b/>
          <w:szCs w:val="20"/>
        </w:rPr>
        <w:t xml:space="preserve">. </w:t>
      </w:r>
      <w:r w:rsidRPr="00066805">
        <w:rPr>
          <w:szCs w:val="20"/>
        </w:rPr>
        <w:t>Al analizar el alcance de dicha figura, la Comisión indicó que la detención en firme era una detención preventiva obligatoria y automática basada exclusivamente en la gravedad de la pena atribuida al delito, la modalidad de supuesta comisión del mismo y a la etapa procesal</w:t>
      </w:r>
      <w:r w:rsidR="006C3973" w:rsidRPr="00066805">
        <w:rPr>
          <w:szCs w:val="20"/>
        </w:rPr>
        <w:t>, esto es</w:t>
      </w:r>
      <w:r w:rsidR="00066805">
        <w:rPr>
          <w:szCs w:val="20"/>
        </w:rPr>
        <w:t>,</w:t>
      </w:r>
      <w:r w:rsidR="006C3973" w:rsidRPr="00066805">
        <w:rPr>
          <w:szCs w:val="20"/>
        </w:rPr>
        <w:t xml:space="preserve"> </w:t>
      </w:r>
      <w:r w:rsidR="00066805">
        <w:rPr>
          <w:szCs w:val="20"/>
        </w:rPr>
        <w:t>e</w:t>
      </w:r>
      <w:r w:rsidR="006C3973" w:rsidRPr="00066805">
        <w:rPr>
          <w:szCs w:val="20"/>
        </w:rPr>
        <w:t>l hecho de encontrarse en la etapa de juicio</w:t>
      </w:r>
      <w:r w:rsidRPr="00066805">
        <w:rPr>
          <w:szCs w:val="20"/>
        </w:rPr>
        <w:t>.</w:t>
      </w:r>
    </w:p>
    <w:p w14:paraId="3BC70EE5" w14:textId="77777777" w:rsidR="003D5664" w:rsidRPr="0092295B" w:rsidRDefault="003D5664" w:rsidP="003D5664">
      <w:pPr>
        <w:pStyle w:val="Prrafodelista"/>
        <w:ind w:left="0"/>
        <w:rPr>
          <w:szCs w:val="20"/>
        </w:rPr>
      </w:pPr>
    </w:p>
    <w:p w14:paraId="1BDFFCEE" w14:textId="6F79953C" w:rsidR="00045648" w:rsidRPr="0092295B" w:rsidRDefault="00611695" w:rsidP="00CF2D2A">
      <w:pPr>
        <w:pStyle w:val="Prrafodelista"/>
        <w:numPr>
          <w:ilvl w:val="0"/>
          <w:numId w:val="29"/>
        </w:numPr>
        <w:ind w:left="0" w:firstLine="0"/>
        <w:rPr>
          <w:szCs w:val="20"/>
        </w:rPr>
      </w:pPr>
      <w:r>
        <w:rPr>
          <w:bCs/>
          <w:szCs w:val="20"/>
        </w:rPr>
        <w:t>L</w:t>
      </w:r>
      <w:r w:rsidR="00CF16EB" w:rsidRPr="001D0898">
        <w:rPr>
          <w:bCs/>
          <w:szCs w:val="20"/>
        </w:rPr>
        <w:t xml:space="preserve">a Comisión </w:t>
      </w:r>
      <w:r>
        <w:rPr>
          <w:bCs/>
          <w:szCs w:val="20"/>
        </w:rPr>
        <w:t xml:space="preserve">sostuvo </w:t>
      </w:r>
      <w:r w:rsidR="00CF16EB" w:rsidRPr="001D0898">
        <w:rPr>
          <w:bCs/>
          <w:szCs w:val="20"/>
        </w:rPr>
        <w:t>que la norma que regulaba la detención en firme implicaba una diferencia de trato entre las personas que reunían los supuestos descritos por la norma y a quienes se les impuso tal medida cautelar</w:t>
      </w:r>
      <w:r w:rsidR="001D0898">
        <w:rPr>
          <w:bCs/>
          <w:szCs w:val="20"/>
        </w:rPr>
        <w:t>,</w:t>
      </w:r>
      <w:r w:rsidR="00CF16EB" w:rsidRPr="001D0898">
        <w:rPr>
          <w:bCs/>
          <w:szCs w:val="20"/>
        </w:rPr>
        <w:t xml:space="preserve"> respecto de aquellas que no reunían tales requisitos, y que esta diferencia de trato por tratarse de una medida cautelar y no de una pena resultaba por sí misma violatoria de</w:t>
      </w:r>
      <w:r w:rsidR="00312AB5" w:rsidRPr="001D0898">
        <w:rPr>
          <w:bCs/>
          <w:szCs w:val="20"/>
        </w:rPr>
        <w:t>l derecho a la libertad personal y de la presunción de inocencia</w:t>
      </w:r>
      <w:r w:rsidR="00CF16EB" w:rsidRPr="001D0898">
        <w:rPr>
          <w:bCs/>
          <w:szCs w:val="20"/>
        </w:rPr>
        <w:t xml:space="preserve">. </w:t>
      </w:r>
      <w:r w:rsidR="00F0729E">
        <w:rPr>
          <w:bCs/>
          <w:szCs w:val="20"/>
        </w:rPr>
        <w:t>Alegó que e</w:t>
      </w:r>
      <w:r w:rsidR="008019E3" w:rsidRPr="001D0898">
        <w:rPr>
          <w:bCs/>
          <w:szCs w:val="20"/>
        </w:rPr>
        <w:t xml:space="preserve">n el caso concreto la aplicación de la detención en firme </w:t>
      </w:r>
      <w:r w:rsidR="00CF16EB" w:rsidRPr="001D0898">
        <w:rPr>
          <w:bCs/>
          <w:szCs w:val="20"/>
        </w:rPr>
        <w:t>implicó una restricción arbitraria y discriminatoria del derecho a la libertad personal de las presuntas víctimas, a quienes les fue impuesta esta medida cautelar.</w:t>
      </w:r>
      <w:r w:rsidR="00312AB5" w:rsidRPr="001D0898">
        <w:rPr>
          <w:bCs/>
          <w:szCs w:val="20"/>
        </w:rPr>
        <w:t xml:space="preserve"> </w:t>
      </w:r>
      <w:r w:rsidR="00312AB5" w:rsidRPr="00B256BF">
        <w:rPr>
          <w:bCs/>
          <w:szCs w:val="20"/>
        </w:rPr>
        <w:t>Igualmente</w:t>
      </w:r>
      <w:r>
        <w:rPr>
          <w:bCs/>
          <w:szCs w:val="20"/>
        </w:rPr>
        <w:t>,</w:t>
      </w:r>
      <w:r w:rsidR="00312AB5" w:rsidRPr="00B256BF">
        <w:rPr>
          <w:bCs/>
          <w:szCs w:val="20"/>
        </w:rPr>
        <w:t xml:space="preserve"> la Comisión</w:t>
      </w:r>
      <w:r>
        <w:rPr>
          <w:bCs/>
          <w:szCs w:val="20"/>
        </w:rPr>
        <w:t xml:space="preserve"> señaló</w:t>
      </w:r>
      <w:r w:rsidR="00312AB5" w:rsidRPr="00B256BF">
        <w:rPr>
          <w:bCs/>
          <w:szCs w:val="20"/>
        </w:rPr>
        <w:t xml:space="preserve"> que</w:t>
      </w:r>
      <w:r>
        <w:rPr>
          <w:bCs/>
          <w:szCs w:val="20"/>
        </w:rPr>
        <w:t>,</w:t>
      </w:r>
      <w:r w:rsidR="00312AB5" w:rsidRPr="00B256BF">
        <w:rPr>
          <w:bCs/>
          <w:szCs w:val="20"/>
        </w:rPr>
        <w:t xml:space="preserve"> durante el tiempo que </w:t>
      </w:r>
      <w:r w:rsidR="009E2B64" w:rsidRPr="00B256BF">
        <w:rPr>
          <w:bCs/>
          <w:szCs w:val="20"/>
        </w:rPr>
        <w:t xml:space="preserve">las presuntas víctimas </w:t>
      </w:r>
      <w:r w:rsidR="00312AB5" w:rsidRPr="00B256BF">
        <w:rPr>
          <w:bCs/>
          <w:szCs w:val="20"/>
        </w:rPr>
        <w:t>estuvieron bajo detención en firme</w:t>
      </w:r>
      <w:r>
        <w:rPr>
          <w:bCs/>
          <w:szCs w:val="20"/>
        </w:rPr>
        <w:t>,</w:t>
      </w:r>
      <w:r w:rsidR="00312AB5" w:rsidRPr="00B256BF">
        <w:rPr>
          <w:bCs/>
          <w:szCs w:val="20"/>
        </w:rPr>
        <w:t xml:space="preserve"> no se realizó una revisión periódica de la continuidad de esta medida cautelar, pues dicha figura implicaba la privación automática de la libertad, sin posibilidad legal de revisión </w:t>
      </w:r>
      <w:r w:rsidR="00B256BF">
        <w:rPr>
          <w:bCs/>
          <w:szCs w:val="20"/>
        </w:rPr>
        <w:t xml:space="preserve">sobre su duración </w:t>
      </w:r>
      <w:r w:rsidR="00312AB5" w:rsidRPr="00B256BF">
        <w:rPr>
          <w:bCs/>
          <w:szCs w:val="20"/>
        </w:rPr>
        <w:t>a la luz de los fines convencionalmente aceptables</w:t>
      </w:r>
      <w:r w:rsidR="00045648" w:rsidRPr="0092295B">
        <w:rPr>
          <w:bCs/>
          <w:szCs w:val="20"/>
        </w:rPr>
        <w:t>.</w:t>
      </w:r>
    </w:p>
    <w:p w14:paraId="1C04E25E" w14:textId="2720175B" w:rsidR="00CF16EB" w:rsidRPr="0092295B" w:rsidRDefault="00045648" w:rsidP="00EC6673">
      <w:pPr>
        <w:pStyle w:val="Prrafodelista"/>
        <w:ind w:left="0"/>
        <w:rPr>
          <w:b/>
          <w:szCs w:val="20"/>
        </w:rPr>
      </w:pPr>
      <w:r w:rsidRPr="0092295B">
        <w:rPr>
          <w:bCs/>
          <w:szCs w:val="20"/>
        </w:rPr>
        <w:t xml:space="preserve"> </w:t>
      </w:r>
    </w:p>
    <w:p w14:paraId="647B28D2" w14:textId="51794869" w:rsidR="00C51F4F" w:rsidRDefault="00045648" w:rsidP="00C51F4F">
      <w:pPr>
        <w:pStyle w:val="Prrafodelista"/>
        <w:numPr>
          <w:ilvl w:val="0"/>
          <w:numId w:val="29"/>
        </w:numPr>
        <w:spacing w:before="0" w:after="0"/>
        <w:ind w:left="0" w:firstLine="0"/>
        <w:rPr>
          <w:szCs w:val="20"/>
        </w:rPr>
      </w:pPr>
      <w:r w:rsidRPr="0092295B">
        <w:rPr>
          <w:szCs w:val="20"/>
        </w:rPr>
        <w:t>L</w:t>
      </w:r>
      <w:r w:rsidR="003D5664" w:rsidRPr="0092295B">
        <w:rPr>
          <w:szCs w:val="20"/>
        </w:rPr>
        <w:t xml:space="preserve">a </w:t>
      </w:r>
      <w:r w:rsidR="003D5664" w:rsidRPr="0092295B">
        <w:rPr>
          <w:bCs/>
          <w:iCs/>
          <w:szCs w:val="20"/>
        </w:rPr>
        <w:t>Comisión</w:t>
      </w:r>
      <w:r w:rsidR="003D5664" w:rsidRPr="0092295B">
        <w:rPr>
          <w:bCs/>
          <w:szCs w:val="20"/>
        </w:rPr>
        <w:t xml:space="preserve"> </w:t>
      </w:r>
      <w:r w:rsidRPr="0092295B">
        <w:rPr>
          <w:szCs w:val="20"/>
        </w:rPr>
        <w:t>consideró que</w:t>
      </w:r>
      <w:r w:rsidR="00F0729E">
        <w:rPr>
          <w:szCs w:val="20"/>
        </w:rPr>
        <w:t>,</w:t>
      </w:r>
      <w:r w:rsidRPr="0092295B">
        <w:rPr>
          <w:szCs w:val="20"/>
        </w:rPr>
        <w:t xml:space="preserve"> </w:t>
      </w:r>
      <w:r w:rsidR="003D5664" w:rsidRPr="0092295B">
        <w:rPr>
          <w:szCs w:val="20"/>
        </w:rPr>
        <w:t>al haber</w:t>
      </w:r>
      <w:r w:rsidR="009E2B64" w:rsidRPr="0092295B">
        <w:rPr>
          <w:szCs w:val="20"/>
        </w:rPr>
        <w:t>se</w:t>
      </w:r>
      <w:r w:rsidR="003D5664" w:rsidRPr="0092295B">
        <w:rPr>
          <w:szCs w:val="20"/>
        </w:rPr>
        <w:t xml:space="preserve"> dispuesto la privación de libertad de las presuntas víctimas bajo la figura de la detención en firme, </w:t>
      </w:r>
      <w:r w:rsidR="003D5664" w:rsidRPr="00B33ECE">
        <w:rPr>
          <w:szCs w:val="20"/>
        </w:rPr>
        <w:t>en contra de</w:t>
      </w:r>
      <w:r w:rsidR="008A3847" w:rsidRPr="00B33ECE">
        <w:rPr>
          <w:szCs w:val="20"/>
        </w:rPr>
        <w:t xml:space="preserve"> </w:t>
      </w:r>
      <w:r w:rsidR="003D5664" w:rsidRPr="00B33ECE">
        <w:rPr>
          <w:szCs w:val="20"/>
        </w:rPr>
        <w:t>la</w:t>
      </w:r>
      <w:r w:rsidR="009E2B64" w:rsidRPr="00B33ECE">
        <w:rPr>
          <w:szCs w:val="20"/>
        </w:rPr>
        <w:t>s resoluciones adoptadas por la Corte Suprema del Ecuador</w:t>
      </w:r>
      <w:r w:rsidR="00461C9D">
        <w:rPr>
          <w:szCs w:val="20"/>
        </w:rPr>
        <w:t xml:space="preserve"> </w:t>
      </w:r>
      <w:r w:rsidR="003D5664" w:rsidRPr="0092295B">
        <w:rPr>
          <w:szCs w:val="20"/>
        </w:rPr>
        <w:t>sobre vigencia en el tiempo de la referida figura, la detención fue ilegal</w:t>
      </w:r>
      <w:r w:rsidR="00594A37" w:rsidRPr="0092295B">
        <w:rPr>
          <w:szCs w:val="20"/>
        </w:rPr>
        <w:t>.</w:t>
      </w:r>
      <w:r w:rsidR="003D5664" w:rsidRPr="0092295B">
        <w:rPr>
          <w:szCs w:val="20"/>
        </w:rPr>
        <w:t xml:space="preserve"> </w:t>
      </w:r>
      <w:r w:rsidR="008C21F9" w:rsidRPr="0092295B">
        <w:rPr>
          <w:szCs w:val="20"/>
        </w:rPr>
        <w:t>Con base en las anteriores consideraciones</w:t>
      </w:r>
      <w:r w:rsidR="008A3847">
        <w:rPr>
          <w:szCs w:val="20"/>
        </w:rPr>
        <w:t>,</w:t>
      </w:r>
      <w:r w:rsidR="008C21F9" w:rsidRPr="0092295B">
        <w:rPr>
          <w:szCs w:val="20"/>
        </w:rPr>
        <w:t xml:space="preserve"> concluyó que el </w:t>
      </w:r>
      <w:r w:rsidR="008C21F9" w:rsidRPr="00C51F4F">
        <w:rPr>
          <w:szCs w:val="20"/>
        </w:rPr>
        <w:t>Estado vulneró los derechos establecidos en los artículos 7.1, 7.2, 7.3, 7.5, 8.</w:t>
      </w:r>
      <w:r w:rsidR="008A3847" w:rsidRPr="00C51F4F">
        <w:rPr>
          <w:szCs w:val="20"/>
        </w:rPr>
        <w:t>2</w:t>
      </w:r>
      <w:r w:rsidR="008C21F9" w:rsidRPr="00C51F4F">
        <w:rPr>
          <w:szCs w:val="20"/>
        </w:rPr>
        <w:t xml:space="preserve"> y 24 de la Convención</w:t>
      </w:r>
      <w:r w:rsidR="00F23719" w:rsidRPr="00C51F4F">
        <w:rPr>
          <w:szCs w:val="20"/>
        </w:rPr>
        <w:t>,</w:t>
      </w:r>
      <w:r w:rsidR="008C21F9" w:rsidRPr="00C51F4F">
        <w:rPr>
          <w:szCs w:val="20"/>
        </w:rPr>
        <w:t xml:space="preserve"> en relación con los artículos 1.1 y 2 del mismo instrumento</w:t>
      </w:r>
      <w:r w:rsidR="00F23719" w:rsidRPr="00C51F4F">
        <w:rPr>
          <w:szCs w:val="20"/>
        </w:rPr>
        <w:t>,</w:t>
      </w:r>
      <w:r w:rsidR="008C21F9" w:rsidRPr="00C51F4F">
        <w:rPr>
          <w:szCs w:val="20"/>
        </w:rPr>
        <w:t xml:space="preserve"> en perjuicio de las presuntas víctimas</w:t>
      </w:r>
      <w:r w:rsidR="008A3847" w:rsidRPr="00C51F4F">
        <w:rPr>
          <w:szCs w:val="20"/>
        </w:rPr>
        <w:t>,</w:t>
      </w:r>
      <w:r w:rsidR="008C21F9" w:rsidRPr="00C51F4F">
        <w:rPr>
          <w:szCs w:val="20"/>
        </w:rPr>
        <w:t xml:space="preserve"> por la aplicación de la figura de la detención en firme.</w:t>
      </w:r>
    </w:p>
    <w:p w14:paraId="78A6A370" w14:textId="77777777" w:rsidR="00C51F4F" w:rsidRPr="00C51F4F" w:rsidRDefault="00C51F4F" w:rsidP="00C51F4F">
      <w:pPr>
        <w:pStyle w:val="Prrafodelista"/>
        <w:rPr>
          <w:bCs/>
          <w:szCs w:val="20"/>
        </w:rPr>
      </w:pPr>
    </w:p>
    <w:p w14:paraId="7BC3A138" w14:textId="3451B142" w:rsidR="008C21F9" w:rsidRPr="00C51F4F" w:rsidRDefault="008C21F9" w:rsidP="00C51F4F">
      <w:pPr>
        <w:pStyle w:val="Prrafodelista"/>
        <w:numPr>
          <w:ilvl w:val="0"/>
          <w:numId w:val="29"/>
        </w:numPr>
        <w:spacing w:before="0" w:after="0"/>
        <w:ind w:left="0" w:firstLine="0"/>
        <w:rPr>
          <w:szCs w:val="20"/>
        </w:rPr>
      </w:pPr>
      <w:r w:rsidRPr="00C51F4F">
        <w:rPr>
          <w:bCs/>
          <w:szCs w:val="20"/>
        </w:rPr>
        <w:t xml:space="preserve">Por otra parte, la Comisión </w:t>
      </w:r>
      <w:r w:rsidR="00234490">
        <w:rPr>
          <w:bCs/>
          <w:szCs w:val="20"/>
        </w:rPr>
        <w:t xml:space="preserve">señaló </w:t>
      </w:r>
      <w:r w:rsidRPr="00C51F4F">
        <w:rPr>
          <w:bCs/>
          <w:szCs w:val="20"/>
        </w:rPr>
        <w:t xml:space="preserve">que la detención en firme fue revocada el 27 de enero de 2004 y que las presuntas víctimas estuvieron bajo detención preventiva desde esa fecha y hasta el 25 de mayo del mismo año. </w:t>
      </w:r>
      <w:r w:rsidRPr="00C51F4F">
        <w:rPr>
          <w:szCs w:val="20"/>
        </w:rPr>
        <w:t>En lo que se refiere a la detención preventiva, indicó la Comisión que el artículo 91</w:t>
      </w:r>
      <w:r w:rsidR="006E3494" w:rsidRPr="00C51F4F">
        <w:rPr>
          <w:color w:val="000000" w:themeColor="text1"/>
          <w:lang w:val="es-CR"/>
        </w:rPr>
        <w:t xml:space="preserve"> </w:t>
      </w:r>
      <w:r w:rsidRPr="00C51F4F">
        <w:rPr>
          <w:szCs w:val="20"/>
        </w:rPr>
        <w:t xml:space="preserve">del Código de Procedimiento Penal de la Policía Nacional no exigía la verificación de fines procesales para dictarla, pues bastaba con que existiera un delito con sanción privativa de libertad e “indicios o presunciones graves de responsabilidad”, lo cual </w:t>
      </w:r>
      <w:r w:rsidR="00B31A71" w:rsidRPr="00C51F4F">
        <w:rPr>
          <w:szCs w:val="20"/>
        </w:rPr>
        <w:t xml:space="preserve">invierte </w:t>
      </w:r>
      <w:r w:rsidRPr="00C51F4F">
        <w:rPr>
          <w:szCs w:val="20"/>
        </w:rPr>
        <w:t>la excepcionalidad de la prisión preventiva</w:t>
      </w:r>
      <w:r w:rsidR="00B31A71" w:rsidRPr="00C51F4F">
        <w:rPr>
          <w:szCs w:val="20"/>
        </w:rPr>
        <w:t>, y la convierte en regla</w:t>
      </w:r>
      <w:r w:rsidRPr="00C51F4F">
        <w:rPr>
          <w:szCs w:val="20"/>
        </w:rPr>
        <w:t>. Además, las autoridades judiciales no efectuaron un análisis individualizado sobre la situación de las presuntas víctimas ni una valoración sobre la convencionalidad de la detención</w:t>
      </w:r>
      <w:r w:rsidR="00F0729E">
        <w:rPr>
          <w:szCs w:val="20"/>
        </w:rPr>
        <w:t xml:space="preserve"> preventiva</w:t>
      </w:r>
      <w:r w:rsidRPr="00C51F4F">
        <w:rPr>
          <w:szCs w:val="20"/>
        </w:rPr>
        <w:t>, pues la figura no exigía ni analizar o justificar si se cumplían</w:t>
      </w:r>
      <w:r w:rsidR="00F23719" w:rsidRPr="00C51F4F">
        <w:rPr>
          <w:szCs w:val="20"/>
        </w:rPr>
        <w:t xml:space="preserve"> los</w:t>
      </w:r>
      <w:r w:rsidRPr="00C51F4F">
        <w:rPr>
          <w:szCs w:val="20"/>
        </w:rPr>
        <w:t xml:space="preserve"> fines procesales de conformidad con las obligaciones bajo la Convención. En consecuencia, la Comisión concluyó que la detención preventiva de las presuntas víctimas vulneró los artículos 7.1, 7.3, 8.2</w:t>
      </w:r>
      <w:r w:rsidR="00F23719" w:rsidRPr="00C51F4F">
        <w:rPr>
          <w:szCs w:val="20"/>
        </w:rPr>
        <w:t>,</w:t>
      </w:r>
      <w:r w:rsidRPr="00C51F4F">
        <w:rPr>
          <w:szCs w:val="20"/>
        </w:rPr>
        <w:t xml:space="preserve"> en relación con las obligaciones establecidas en los artículos </w:t>
      </w:r>
      <w:r w:rsidR="00F23719" w:rsidRPr="00C51F4F">
        <w:rPr>
          <w:szCs w:val="20"/>
        </w:rPr>
        <w:t>1</w:t>
      </w:r>
      <w:r w:rsidRPr="00C51F4F">
        <w:rPr>
          <w:szCs w:val="20"/>
        </w:rPr>
        <w:t>.1 y 2 del mismo instrumento.</w:t>
      </w:r>
    </w:p>
    <w:p w14:paraId="79462CA8" w14:textId="77777777" w:rsidR="00907DCE" w:rsidRPr="0092295B" w:rsidRDefault="00907DCE" w:rsidP="00907DCE">
      <w:pPr>
        <w:pStyle w:val="Prrafodelista"/>
        <w:rPr>
          <w:b/>
          <w:sz w:val="16"/>
          <w:szCs w:val="16"/>
        </w:rPr>
      </w:pPr>
    </w:p>
    <w:p w14:paraId="48897011" w14:textId="3881E7F4" w:rsidR="00800ECB" w:rsidRPr="004031C1" w:rsidRDefault="008C21F9" w:rsidP="00CF2D2A">
      <w:pPr>
        <w:pStyle w:val="Prrafodelista"/>
        <w:numPr>
          <w:ilvl w:val="0"/>
          <w:numId w:val="29"/>
        </w:numPr>
        <w:spacing w:before="0" w:after="0"/>
        <w:ind w:left="0" w:firstLine="0"/>
        <w:rPr>
          <w:szCs w:val="20"/>
        </w:rPr>
      </w:pPr>
      <w:r w:rsidRPr="0092295B">
        <w:rPr>
          <w:szCs w:val="20"/>
        </w:rPr>
        <w:t>Finalmente</w:t>
      </w:r>
      <w:r w:rsidR="00B668FF" w:rsidRPr="0092295B">
        <w:rPr>
          <w:szCs w:val="20"/>
        </w:rPr>
        <w:t xml:space="preserve">, </w:t>
      </w:r>
      <w:r w:rsidRPr="00C83707">
        <w:rPr>
          <w:szCs w:val="20"/>
        </w:rPr>
        <w:t>la Comisi</w:t>
      </w:r>
      <w:r w:rsidR="00D874CE" w:rsidRPr="00C83707">
        <w:rPr>
          <w:szCs w:val="20"/>
        </w:rPr>
        <w:t>ón</w:t>
      </w:r>
      <w:r w:rsidR="00907DCE" w:rsidRPr="00C83707">
        <w:rPr>
          <w:szCs w:val="20"/>
        </w:rPr>
        <w:t xml:space="preserve"> </w:t>
      </w:r>
      <w:r w:rsidR="00234490">
        <w:rPr>
          <w:szCs w:val="20"/>
        </w:rPr>
        <w:t>determinó</w:t>
      </w:r>
      <w:r w:rsidR="00234490" w:rsidRPr="00C83707">
        <w:rPr>
          <w:szCs w:val="20"/>
        </w:rPr>
        <w:t xml:space="preserve"> </w:t>
      </w:r>
      <w:r w:rsidR="00907DCE" w:rsidRPr="00C83707">
        <w:rPr>
          <w:szCs w:val="20"/>
        </w:rPr>
        <w:t>que los recursos presentados por las presuntas víctimas a efectos de cuestionar su detención no fueron idóneos ni efectivos para obtener una debida protección judicial</w:t>
      </w:r>
      <w:r w:rsidR="004031C1">
        <w:rPr>
          <w:szCs w:val="20"/>
        </w:rPr>
        <w:t xml:space="preserve">. </w:t>
      </w:r>
      <w:r w:rsidR="00907DCE" w:rsidRPr="004031C1">
        <w:rPr>
          <w:szCs w:val="20"/>
        </w:rPr>
        <w:t xml:space="preserve">Notó que las resoluciones que declararon la detención de las presuntas víctimas tampoco estuvieron debidamente motivadas, lo cual generó un obstáculo para las presuntas víctimas al momento de presentar sus alegatos para cuestionar la detención. </w:t>
      </w:r>
      <w:r w:rsidRPr="004031C1">
        <w:rPr>
          <w:szCs w:val="20"/>
        </w:rPr>
        <w:t xml:space="preserve">La Comisión concluyó </w:t>
      </w:r>
      <w:r w:rsidR="00AC2DA2" w:rsidRPr="004031C1">
        <w:rPr>
          <w:szCs w:val="20"/>
        </w:rPr>
        <w:t xml:space="preserve">que </w:t>
      </w:r>
      <w:r w:rsidR="00461C9D">
        <w:rPr>
          <w:szCs w:val="20"/>
        </w:rPr>
        <w:t>el Estado vulneró los artículos</w:t>
      </w:r>
      <w:r w:rsidRPr="004031C1">
        <w:rPr>
          <w:szCs w:val="20"/>
        </w:rPr>
        <w:t xml:space="preserve"> 7.6 y 25.1 de la Convención Americana, en relación con las obligaciones establecidas en el</w:t>
      </w:r>
      <w:r w:rsidR="00A20E11" w:rsidRPr="004031C1">
        <w:rPr>
          <w:szCs w:val="20"/>
        </w:rPr>
        <w:t xml:space="preserve"> artículo</w:t>
      </w:r>
      <w:r w:rsidRPr="004031C1">
        <w:rPr>
          <w:szCs w:val="20"/>
        </w:rPr>
        <w:t xml:space="preserve"> 1.1 del mismo instrumento, en perjuicio de las presuntas víctimas.</w:t>
      </w:r>
    </w:p>
    <w:p w14:paraId="64B193B0" w14:textId="77777777" w:rsidR="00CB7EC5" w:rsidRPr="0092295B" w:rsidRDefault="00CB7EC5" w:rsidP="00CB7EC5">
      <w:pPr>
        <w:pStyle w:val="Prrafodelista"/>
        <w:rPr>
          <w:szCs w:val="20"/>
        </w:rPr>
      </w:pPr>
    </w:p>
    <w:p w14:paraId="1B99AC68" w14:textId="36897649" w:rsidR="00D200CE" w:rsidRPr="00EF4BDB" w:rsidRDefault="004C2779" w:rsidP="00EF4BDB">
      <w:pPr>
        <w:pStyle w:val="Prrafodelista"/>
        <w:numPr>
          <w:ilvl w:val="0"/>
          <w:numId w:val="29"/>
        </w:numPr>
        <w:spacing w:before="0" w:after="0"/>
        <w:ind w:left="0" w:firstLine="0"/>
        <w:rPr>
          <w:szCs w:val="20"/>
        </w:rPr>
      </w:pPr>
      <w:r w:rsidRPr="00EF4BDB">
        <w:rPr>
          <w:szCs w:val="20"/>
        </w:rPr>
        <w:t>El</w:t>
      </w:r>
      <w:r w:rsidR="00D200CE" w:rsidRPr="00EF4BDB">
        <w:rPr>
          <w:szCs w:val="20"/>
        </w:rPr>
        <w:t xml:space="preserve"> </w:t>
      </w:r>
      <w:r w:rsidR="00D200CE" w:rsidRPr="00EF4BDB">
        <w:rPr>
          <w:b/>
          <w:i/>
          <w:szCs w:val="20"/>
        </w:rPr>
        <w:t>representante</w:t>
      </w:r>
      <w:r w:rsidRPr="00EF4BDB">
        <w:rPr>
          <w:b/>
          <w:i/>
          <w:szCs w:val="20"/>
        </w:rPr>
        <w:t xml:space="preserve"> </w:t>
      </w:r>
      <w:r w:rsidR="004C3079" w:rsidRPr="00EF4BDB">
        <w:rPr>
          <w:rFonts w:eastAsia="Calibri" w:cs="Arial"/>
          <w:szCs w:val="20"/>
          <w:lang w:val="es-MX"/>
        </w:rPr>
        <w:t>se remitió en</w:t>
      </w:r>
      <w:r w:rsidR="00461C9D" w:rsidRPr="00EF4BDB">
        <w:rPr>
          <w:rFonts w:eastAsia="Calibri" w:cs="Arial"/>
          <w:szCs w:val="20"/>
          <w:lang w:val="es-MX"/>
        </w:rPr>
        <w:t xml:space="preserve"> general a lo expuesto por la Co</w:t>
      </w:r>
      <w:r w:rsidR="004C3079" w:rsidRPr="00EF4BDB">
        <w:rPr>
          <w:rFonts w:eastAsia="Calibri" w:cs="Arial"/>
          <w:szCs w:val="20"/>
          <w:lang w:val="es-MX"/>
        </w:rPr>
        <w:t xml:space="preserve">misión Interamericana. </w:t>
      </w:r>
      <w:r w:rsidR="00B668FF" w:rsidRPr="00EF4BDB">
        <w:rPr>
          <w:rFonts w:eastAsia="Calibri" w:cs="Arial"/>
          <w:szCs w:val="20"/>
          <w:lang w:val="es-MX"/>
        </w:rPr>
        <w:t>A</w:t>
      </w:r>
      <w:r w:rsidRPr="00EF4BDB">
        <w:rPr>
          <w:szCs w:val="20"/>
        </w:rPr>
        <w:t>legó que</w:t>
      </w:r>
      <w:r w:rsidRPr="00EF4BDB">
        <w:rPr>
          <w:b/>
          <w:i/>
          <w:szCs w:val="20"/>
        </w:rPr>
        <w:t xml:space="preserve"> </w:t>
      </w:r>
      <w:r w:rsidRPr="00EF4BDB">
        <w:rPr>
          <w:szCs w:val="20"/>
        </w:rPr>
        <w:t>la detención en firme ordenada por el General Byron Pinto Muño</w:t>
      </w:r>
      <w:r w:rsidR="008B6AC3" w:rsidRPr="00EF4BDB">
        <w:rPr>
          <w:szCs w:val="20"/>
        </w:rPr>
        <w:t>z</w:t>
      </w:r>
      <w:r w:rsidRPr="00EF4BDB">
        <w:rPr>
          <w:szCs w:val="20"/>
        </w:rPr>
        <w:t xml:space="preserve"> fue decretada sin la existencia </w:t>
      </w:r>
      <w:r w:rsidR="00072A4C" w:rsidRPr="00EF4BDB">
        <w:rPr>
          <w:szCs w:val="20"/>
        </w:rPr>
        <w:t>de una acusación fiscal ni los requisitos fundamentales de la ley penal ecuatoriana, siendo aplicada “de forma retroactiva”</w:t>
      </w:r>
      <w:r w:rsidR="003079F1" w:rsidRPr="00EF4BDB">
        <w:rPr>
          <w:szCs w:val="20"/>
        </w:rPr>
        <w:t>,</w:t>
      </w:r>
      <w:r w:rsidR="00072A4C" w:rsidRPr="00EF4BDB">
        <w:rPr>
          <w:szCs w:val="20"/>
        </w:rPr>
        <w:t xml:space="preserve"> toda vez que dicha medida cautelar entró en vigencia a partir del 13 de enero de 2003, mientras que el auto de cabeza de proceso fue dictado el 19 de marzo de 2002</w:t>
      </w:r>
      <w:r w:rsidR="00ED7035" w:rsidRPr="00EF4BDB">
        <w:rPr>
          <w:szCs w:val="20"/>
        </w:rPr>
        <w:t>.</w:t>
      </w:r>
      <w:r w:rsidR="00072A4C" w:rsidRPr="00EF4BDB">
        <w:rPr>
          <w:szCs w:val="20"/>
        </w:rPr>
        <w:t xml:space="preserve"> </w:t>
      </w:r>
      <w:r w:rsidR="00D042F4" w:rsidRPr="00EF4BDB">
        <w:rPr>
          <w:szCs w:val="20"/>
        </w:rPr>
        <w:t>Concluyó</w:t>
      </w:r>
      <w:r w:rsidR="00ED7035" w:rsidRPr="00EF4BDB">
        <w:rPr>
          <w:b/>
          <w:szCs w:val="20"/>
        </w:rPr>
        <w:t xml:space="preserve"> </w:t>
      </w:r>
      <w:r w:rsidR="00ED7035" w:rsidRPr="00EF4BDB">
        <w:rPr>
          <w:szCs w:val="20"/>
        </w:rPr>
        <w:t xml:space="preserve">que el Estado violó los derechos establecidos en los artículos </w:t>
      </w:r>
      <w:r w:rsidR="00ED7035" w:rsidRPr="009B6CC4">
        <w:t>7.1, 7.2, 7.3, 7.5 y 7.6, 8.1, 8.2, 9, 24 y 25 de la Convención.</w:t>
      </w:r>
      <w:r w:rsidR="00ED7035" w:rsidRPr="00EF4BDB">
        <w:rPr>
          <w:b/>
          <w:color w:val="FF0000"/>
        </w:rPr>
        <w:t xml:space="preserve"> </w:t>
      </w:r>
    </w:p>
    <w:p w14:paraId="528BB000" w14:textId="4C6BE4D4" w:rsidR="00EF4BDB" w:rsidRPr="0092295B" w:rsidRDefault="00EF4BDB" w:rsidP="00EF4BDB">
      <w:pPr>
        <w:pStyle w:val="Prrafodelista"/>
        <w:spacing w:before="0" w:after="0"/>
        <w:ind w:left="0"/>
        <w:rPr>
          <w:szCs w:val="20"/>
        </w:rPr>
      </w:pPr>
    </w:p>
    <w:p w14:paraId="2EFF450F" w14:textId="144F613D" w:rsidR="00800ECB" w:rsidRPr="0092295B" w:rsidRDefault="00800ECB" w:rsidP="00CF2D2A">
      <w:pPr>
        <w:pStyle w:val="Prrafodelista"/>
        <w:numPr>
          <w:ilvl w:val="0"/>
          <w:numId w:val="29"/>
        </w:numPr>
        <w:spacing w:before="0" w:after="0"/>
        <w:ind w:left="0" w:firstLine="0"/>
        <w:rPr>
          <w:szCs w:val="20"/>
        </w:rPr>
      </w:pPr>
      <w:r w:rsidRPr="0092295B">
        <w:rPr>
          <w:szCs w:val="20"/>
        </w:rPr>
        <w:t>El</w:t>
      </w:r>
      <w:r w:rsidRPr="0092295B">
        <w:rPr>
          <w:b/>
          <w:szCs w:val="20"/>
        </w:rPr>
        <w:t xml:space="preserve"> </w:t>
      </w:r>
      <w:r w:rsidRPr="0092295B">
        <w:rPr>
          <w:b/>
          <w:i/>
          <w:szCs w:val="20"/>
        </w:rPr>
        <w:t>Estado</w:t>
      </w:r>
      <w:r w:rsidRPr="0092295B">
        <w:rPr>
          <w:b/>
          <w:szCs w:val="20"/>
        </w:rPr>
        <w:t xml:space="preserve"> </w:t>
      </w:r>
      <w:r w:rsidR="00F67A15" w:rsidRPr="0092295B">
        <w:rPr>
          <w:rFonts w:cs="Times New Roman"/>
          <w:szCs w:val="20"/>
          <w:lang w:val="es-CR"/>
        </w:rPr>
        <w:t>afirmó que</w:t>
      </w:r>
      <w:r w:rsidR="00FE1C29" w:rsidRPr="0092295B">
        <w:rPr>
          <w:rFonts w:cs="Times New Roman"/>
          <w:szCs w:val="20"/>
          <w:lang w:val="es-CR"/>
        </w:rPr>
        <w:t>,</w:t>
      </w:r>
      <w:r w:rsidRPr="0092295B">
        <w:rPr>
          <w:rFonts w:cs="Times New Roman"/>
          <w:szCs w:val="20"/>
          <w:lang w:val="es-CR"/>
        </w:rPr>
        <w:t xml:space="preserve"> la real intención del juzgador fue ordenar prisión preventiva (la cual era totalmente legal y válida a la época de los hechos del presente caso)</w:t>
      </w:r>
      <w:r w:rsidR="00A27840">
        <w:rPr>
          <w:rFonts w:cs="Times New Roman"/>
          <w:szCs w:val="20"/>
          <w:lang w:val="es-CR"/>
        </w:rPr>
        <w:t xml:space="preserve"> </w:t>
      </w:r>
      <w:r w:rsidRPr="0092295B">
        <w:rPr>
          <w:rFonts w:cs="Times New Roman"/>
          <w:szCs w:val="20"/>
          <w:lang w:val="es-CR"/>
        </w:rPr>
        <w:t>y no la detención en firme</w:t>
      </w:r>
      <w:r w:rsidR="009A0CB8" w:rsidRPr="0092295B">
        <w:rPr>
          <w:rFonts w:cs="Times New Roman"/>
          <w:szCs w:val="20"/>
          <w:lang w:val="es-CR"/>
        </w:rPr>
        <w:t xml:space="preserve">. </w:t>
      </w:r>
      <w:r w:rsidR="00880EFC" w:rsidRPr="00DD47DA">
        <w:rPr>
          <w:rFonts w:cs="Times New Roman"/>
          <w:szCs w:val="20"/>
          <w:lang w:val="es-CR"/>
        </w:rPr>
        <w:t>Además,</w:t>
      </w:r>
      <w:r w:rsidR="009A0CB8" w:rsidRPr="00DD47DA">
        <w:rPr>
          <w:rFonts w:cs="Times New Roman"/>
          <w:szCs w:val="20"/>
          <w:lang w:val="es-CR"/>
        </w:rPr>
        <w:t xml:space="preserve"> sostuvo que</w:t>
      </w:r>
      <w:r w:rsidR="00FE1C29" w:rsidRPr="00DD47DA">
        <w:rPr>
          <w:rFonts w:cs="Times New Roman"/>
          <w:szCs w:val="20"/>
          <w:lang w:val="es-CR"/>
        </w:rPr>
        <w:t>,</w:t>
      </w:r>
      <w:r w:rsidR="009A0CB8" w:rsidRPr="00DD47DA">
        <w:rPr>
          <w:rFonts w:cs="Times New Roman"/>
          <w:szCs w:val="20"/>
          <w:lang w:val="es-CR"/>
        </w:rPr>
        <w:t xml:space="preserve"> </w:t>
      </w:r>
      <w:r w:rsidR="009E1E5C" w:rsidRPr="00DD47DA">
        <w:rPr>
          <w:rFonts w:cs="Times New Roman"/>
          <w:szCs w:val="20"/>
          <w:lang w:val="es-CR"/>
        </w:rPr>
        <w:t xml:space="preserve">para </w:t>
      </w:r>
      <w:r w:rsidR="009A0CB8" w:rsidRPr="00DD47DA">
        <w:rPr>
          <w:rFonts w:cs="Times New Roman"/>
          <w:szCs w:val="20"/>
          <w:lang w:val="es-CR"/>
        </w:rPr>
        <w:t>aplic</w:t>
      </w:r>
      <w:r w:rsidR="009E1E5C" w:rsidRPr="00DD47DA">
        <w:rPr>
          <w:rFonts w:cs="Times New Roman"/>
          <w:szCs w:val="20"/>
          <w:lang w:val="es-CR"/>
        </w:rPr>
        <w:t>ar</w:t>
      </w:r>
      <w:r w:rsidR="009A0CB8" w:rsidRPr="00DD47DA">
        <w:rPr>
          <w:rFonts w:cs="Times New Roman"/>
          <w:szCs w:val="20"/>
          <w:lang w:val="es-CR"/>
        </w:rPr>
        <w:t xml:space="preserve"> la figura de </w:t>
      </w:r>
      <w:r w:rsidR="009E1E5C" w:rsidRPr="00DD47DA">
        <w:rPr>
          <w:rFonts w:cs="Times New Roman"/>
          <w:szCs w:val="20"/>
          <w:lang w:val="es-CR"/>
        </w:rPr>
        <w:t>prisión preventiva</w:t>
      </w:r>
      <w:r w:rsidR="009A0CB8" w:rsidRPr="00DD47DA">
        <w:rPr>
          <w:rFonts w:cs="Times New Roman"/>
          <w:szCs w:val="20"/>
          <w:lang w:val="es-CR"/>
        </w:rPr>
        <w:t xml:space="preserve"> a las presuntas víctimas, </w:t>
      </w:r>
      <w:r w:rsidR="009E1E5C" w:rsidRPr="00DD47DA">
        <w:rPr>
          <w:rFonts w:cs="Times New Roman"/>
          <w:szCs w:val="20"/>
          <w:lang w:val="es-CR"/>
        </w:rPr>
        <w:t>se practicaron</w:t>
      </w:r>
      <w:r w:rsidR="009A0CB8" w:rsidRPr="00DD47DA">
        <w:rPr>
          <w:rFonts w:cs="Times New Roman"/>
          <w:szCs w:val="20"/>
          <w:lang w:val="es-CR"/>
        </w:rPr>
        <w:t xml:space="preserve"> varias diligencias y una vez analizada</w:t>
      </w:r>
      <w:r w:rsidR="00914245" w:rsidRPr="00DD47DA">
        <w:rPr>
          <w:rFonts w:cs="Times New Roman"/>
          <w:szCs w:val="20"/>
          <w:lang w:val="es-CR"/>
        </w:rPr>
        <w:t>s</w:t>
      </w:r>
      <w:r w:rsidR="009A0CB8" w:rsidRPr="00DD47DA">
        <w:rPr>
          <w:rFonts w:cs="Times New Roman"/>
          <w:szCs w:val="20"/>
          <w:lang w:val="es-CR"/>
        </w:rPr>
        <w:t xml:space="preserve"> las pruebas</w:t>
      </w:r>
      <w:r w:rsidR="009E1E5C" w:rsidRPr="00DD47DA">
        <w:rPr>
          <w:rFonts w:cs="Times New Roman"/>
          <w:szCs w:val="20"/>
          <w:lang w:val="es-CR"/>
        </w:rPr>
        <w:t xml:space="preserve"> </w:t>
      </w:r>
      <w:r w:rsidR="00914245" w:rsidRPr="00DD47DA">
        <w:rPr>
          <w:rFonts w:cs="Times New Roman"/>
          <w:szCs w:val="20"/>
          <w:lang w:val="es-CR"/>
        </w:rPr>
        <w:t xml:space="preserve">con base en </w:t>
      </w:r>
      <w:r w:rsidR="009E1E5C" w:rsidRPr="00DD47DA">
        <w:rPr>
          <w:rFonts w:cs="Times New Roman"/>
          <w:szCs w:val="20"/>
          <w:lang w:val="es-CR"/>
        </w:rPr>
        <w:t>la sana crítica</w:t>
      </w:r>
      <w:r w:rsidR="009A0CB8" w:rsidRPr="00DD47DA">
        <w:rPr>
          <w:rFonts w:cs="Times New Roman"/>
          <w:szCs w:val="20"/>
          <w:lang w:val="es-CR"/>
        </w:rPr>
        <w:t xml:space="preserve"> se determinó que existían indicios de responsabilidad sobre la existencia de la infracción vinculada al delito de malversación de fondos, así como, nexo causal entre el delito y los presuntos responsables</w:t>
      </w:r>
      <w:r w:rsidR="00880EFC" w:rsidRPr="00DD47DA">
        <w:rPr>
          <w:rFonts w:cs="Times New Roman"/>
          <w:szCs w:val="20"/>
          <w:lang w:val="es-CR"/>
        </w:rPr>
        <w:t>.</w:t>
      </w:r>
      <w:r w:rsidR="009E1E5C" w:rsidRPr="00DD47DA">
        <w:rPr>
          <w:rFonts w:cs="Times New Roman"/>
          <w:szCs w:val="20"/>
          <w:lang w:val="es-CR"/>
        </w:rPr>
        <w:t xml:space="preserve"> Agregó que se emitió la orden de detención con el objetivo de tutelar el desarrollo efectivo del proceso, pues “buscaba únicamente que los encausados comparezcan y no limiten el desarrollo del proceso”</w:t>
      </w:r>
      <w:r w:rsidR="00AC6CD3" w:rsidRPr="00DD47DA">
        <w:rPr>
          <w:rFonts w:cs="Times New Roman"/>
          <w:szCs w:val="20"/>
          <w:lang w:val="es-CR"/>
        </w:rPr>
        <w:t xml:space="preserve"> y que l</w:t>
      </w:r>
      <w:r w:rsidR="00DD47DA" w:rsidRPr="00DD47DA">
        <w:rPr>
          <w:rFonts w:cs="Times New Roman"/>
          <w:szCs w:val="20"/>
          <w:lang w:val="es-CR"/>
        </w:rPr>
        <w:t>a</w:t>
      </w:r>
      <w:r w:rsidR="00AC6CD3" w:rsidRPr="00DD47DA">
        <w:rPr>
          <w:rFonts w:cs="Times New Roman"/>
          <w:szCs w:val="20"/>
          <w:lang w:val="es-CR"/>
        </w:rPr>
        <w:t xml:space="preserve"> detención fue “estrictamente necesaria”</w:t>
      </w:r>
      <w:r w:rsidR="009E1E5C" w:rsidRPr="00DD47DA">
        <w:rPr>
          <w:rFonts w:cs="Times New Roman"/>
          <w:szCs w:val="20"/>
          <w:lang w:val="es-CR"/>
        </w:rPr>
        <w:t>.</w:t>
      </w:r>
      <w:r w:rsidR="00880EFC" w:rsidRPr="00DD47DA">
        <w:rPr>
          <w:rFonts w:cs="Times New Roman"/>
          <w:szCs w:val="20"/>
          <w:lang w:val="es-CR"/>
        </w:rPr>
        <w:t xml:space="preserve"> </w:t>
      </w:r>
      <w:r w:rsidR="009572FA" w:rsidRPr="0037575D">
        <w:rPr>
          <w:rFonts w:eastAsia="Times New Roman" w:cs="Times New Roman"/>
          <w:szCs w:val="20"/>
          <w:lang w:val="es-CR" w:eastAsia="en-GB"/>
        </w:rPr>
        <w:t>Agregó, que las presuntas víctimas nunca estuvieron detenid</w:t>
      </w:r>
      <w:r w:rsidR="00914245" w:rsidRPr="0037575D">
        <w:rPr>
          <w:rFonts w:eastAsia="Times New Roman" w:cs="Times New Roman"/>
          <w:szCs w:val="20"/>
          <w:lang w:val="es-CR" w:eastAsia="en-GB"/>
        </w:rPr>
        <w:t>a</w:t>
      </w:r>
      <w:r w:rsidR="009572FA" w:rsidRPr="0037575D">
        <w:rPr>
          <w:rFonts w:eastAsia="Times New Roman" w:cs="Times New Roman"/>
          <w:szCs w:val="20"/>
          <w:lang w:val="es-CR" w:eastAsia="en-GB"/>
        </w:rPr>
        <w:t>s</w:t>
      </w:r>
      <w:r w:rsidR="00A20E11" w:rsidRPr="0037575D">
        <w:rPr>
          <w:rFonts w:eastAsia="Times New Roman" w:cs="Times New Roman"/>
          <w:szCs w:val="20"/>
          <w:lang w:val="es-CR" w:eastAsia="en-GB"/>
        </w:rPr>
        <w:t xml:space="preserve"> </w:t>
      </w:r>
      <w:r w:rsidR="009572FA" w:rsidRPr="0037575D">
        <w:rPr>
          <w:rFonts w:eastAsia="Times New Roman" w:cs="Times New Roman"/>
          <w:szCs w:val="20"/>
          <w:lang w:val="es-CR" w:eastAsia="en-GB"/>
        </w:rPr>
        <w:t xml:space="preserve">ilegalmente, ya que en cumplimiento del artículo 24.8 de la Constitución Política del Ecuador, al cumplirse el tiempo límite en que una persona puede estar cumpliendo la prisión preventiva, se ordenó </w:t>
      </w:r>
      <w:r w:rsidR="00914245" w:rsidRPr="0037575D">
        <w:rPr>
          <w:rFonts w:eastAsia="Times New Roman" w:cs="Times New Roman"/>
          <w:szCs w:val="20"/>
          <w:lang w:val="es-CR" w:eastAsia="en-GB"/>
        </w:rPr>
        <w:t>su</w:t>
      </w:r>
      <w:r w:rsidR="009572FA" w:rsidRPr="0037575D">
        <w:rPr>
          <w:rFonts w:eastAsia="Times New Roman" w:cs="Times New Roman"/>
          <w:szCs w:val="20"/>
          <w:lang w:val="es-CR" w:eastAsia="en-GB"/>
        </w:rPr>
        <w:t xml:space="preserve"> inmediata libertad.</w:t>
      </w:r>
      <w:r w:rsidR="009572FA" w:rsidRPr="0092295B">
        <w:rPr>
          <w:rFonts w:eastAsia="Times New Roman" w:cs="Times New Roman"/>
          <w:szCs w:val="20"/>
          <w:lang w:val="es-CR" w:eastAsia="en-GB"/>
        </w:rPr>
        <w:t xml:space="preserve"> </w:t>
      </w:r>
    </w:p>
    <w:p w14:paraId="2A14C6D9" w14:textId="77777777" w:rsidR="00AC6CD3" w:rsidRPr="0092295B" w:rsidRDefault="00AC6CD3" w:rsidP="005315F8">
      <w:pPr>
        <w:pStyle w:val="Prrafodelista"/>
        <w:rPr>
          <w:szCs w:val="20"/>
        </w:rPr>
      </w:pPr>
    </w:p>
    <w:p w14:paraId="3B3FF121" w14:textId="2655FA74" w:rsidR="00800ECB" w:rsidRPr="00ED2790" w:rsidRDefault="00AC6CD3" w:rsidP="001661DB">
      <w:pPr>
        <w:pStyle w:val="Prrafodelista"/>
        <w:numPr>
          <w:ilvl w:val="0"/>
          <w:numId w:val="29"/>
        </w:numPr>
        <w:spacing w:before="0" w:after="0"/>
        <w:ind w:left="0" w:firstLine="0"/>
        <w:rPr>
          <w:szCs w:val="20"/>
        </w:rPr>
      </w:pPr>
      <w:r w:rsidRPr="0092295B">
        <w:rPr>
          <w:szCs w:val="20"/>
        </w:rPr>
        <w:t xml:space="preserve">Por otra parte, alegó que, en el auto de 27 de enero de 2004, la Corte Nacional de Justicia </w:t>
      </w:r>
      <w:r w:rsidR="00CE1A00" w:rsidRPr="0092295B">
        <w:rPr>
          <w:szCs w:val="20"/>
        </w:rPr>
        <w:t>Policia</w:t>
      </w:r>
      <w:r w:rsidR="00F519B6" w:rsidRPr="0092295B">
        <w:rPr>
          <w:szCs w:val="20"/>
        </w:rPr>
        <w:t>l</w:t>
      </w:r>
      <w:r w:rsidRPr="0092295B">
        <w:rPr>
          <w:szCs w:val="20"/>
        </w:rPr>
        <w:t xml:space="preserve"> “empleó un término erróneo en cuanto a la determinación del tipo de detención”, cuando se “d</w:t>
      </w:r>
      <w:r w:rsidR="0037575D">
        <w:rPr>
          <w:szCs w:val="20"/>
        </w:rPr>
        <w:t>[</w:t>
      </w:r>
      <w:r w:rsidRPr="0092295B">
        <w:rPr>
          <w:szCs w:val="20"/>
        </w:rPr>
        <w:t>ejó</w:t>
      </w:r>
      <w:r w:rsidR="0037575D">
        <w:rPr>
          <w:szCs w:val="20"/>
        </w:rPr>
        <w:t>]</w:t>
      </w:r>
      <w:r w:rsidRPr="0092295B">
        <w:rPr>
          <w:szCs w:val="20"/>
        </w:rPr>
        <w:t xml:space="preserve"> sin efecto la detención en firme […] y en su lugar se confirm[ó] la detención […] en los mismos términos que establece el </w:t>
      </w:r>
      <w:r w:rsidR="00461C9D">
        <w:rPr>
          <w:szCs w:val="20"/>
        </w:rPr>
        <w:t>[</w:t>
      </w:r>
      <w:r w:rsidR="000F3311">
        <w:rPr>
          <w:szCs w:val="20"/>
        </w:rPr>
        <w:t>artículo</w:t>
      </w:r>
      <w:r w:rsidR="00461C9D">
        <w:rPr>
          <w:szCs w:val="20"/>
        </w:rPr>
        <w:t>]</w:t>
      </w:r>
      <w:r w:rsidRPr="0092295B">
        <w:rPr>
          <w:szCs w:val="20"/>
        </w:rPr>
        <w:t xml:space="preserve"> 167 del Código de Procedimiento Penal de la Policía Nacional”. Concluyó</w:t>
      </w:r>
      <w:r w:rsidR="008B143E" w:rsidRPr="0092295B">
        <w:rPr>
          <w:szCs w:val="20"/>
        </w:rPr>
        <w:t xml:space="preserve"> </w:t>
      </w:r>
      <w:r w:rsidR="008B143E" w:rsidRPr="0092295B">
        <w:rPr>
          <w:szCs w:val="20"/>
          <w:lang w:val="es-CR"/>
        </w:rPr>
        <w:t xml:space="preserve">que la privación de libertad de las presuntas víctimas se enmarcó en lo dispuesto en el artículo 7 de la Convención Americana, “pues éstos fueron privados de su libertad en cumplimiento de lo dispuesto en la ley, </w:t>
      </w:r>
      <w:r w:rsidR="008B143E" w:rsidRPr="0092295B">
        <w:rPr>
          <w:bCs/>
          <w:szCs w:val="20"/>
          <w:lang w:val="es-CR"/>
        </w:rPr>
        <w:t>por lo que no existió privación ilegal de su libertad”</w:t>
      </w:r>
      <w:r w:rsidR="008B143E" w:rsidRPr="0092295B">
        <w:rPr>
          <w:szCs w:val="20"/>
          <w:lang w:val="es-CR"/>
        </w:rPr>
        <w:t>.</w:t>
      </w:r>
    </w:p>
    <w:p w14:paraId="3CA79F35" w14:textId="1D26A654" w:rsidR="006E3A2B" w:rsidRPr="00ED2790" w:rsidRDefault="00D200CE" w:rsidP="00ED2790">
      <w:pPr>
        <w:pStyle w:val="Ttulo3"/>
        <w:rPr>
          <w:i/>
        </w:rPr>
      </w:pPr>
      <w:bookmarkStart w:id="112" w:name="_Toc87339020"/>
      <w:r w:rsidRPr="00ED2790">
        <w:rPr>
          <w:i/>
        </w:rPr>
        <w:t>A.2 Consideraciones de la Corte</w:t>
      </w:r>
      <w:bookmarkEnd w:id="112"/>
      <w:r w:rsidRPr="00ED2790">
        <w:rPr>
          <w:i/>
        </w:rPr>
        <w:t xml:space="preserve"> </w:t>
      </w:r>
    </w:p>
    <w:p w14:paraId="5BB1AC0B" w14:textId="254884DC" w:rsidR="0094139A" w:rsidRPr="0092295B" w:rsidRDefault="00993BCB" w:rsidP="00CF2D2A">
      <w:pPr>
        <w:pStyle w:val="Prrafodelista"/>
        <w:numPr>
          <w:ilvl w:val="0"/>
          <w:numId w:val="29"/>
        </w:numPr>
        <w:spacing w:before="0" w:after="0"/>
        <w:ind w:left="0" w:firstLine="0"/>
        <w:rPr>
          <w:rFonts w:eastAsia="Times New Roman" w:cs="Times New Roman"/>
          <w:szCs w:val="20"/>
          <w:lang w:val="es-CR" w:eastAsia="en-GB"/>
        </w:rPr>
      </w:pPr>
      <w:r w:rsidRPr="0092295B">
        <w:rPr>
          <w:szCs w:val="23"/>
          <w:shd w:val="clear" w:color="auto" w:fill="FFFFFF"/>
          <w:lang w:val="es-CR"/>
        </w:rPr>
        <w:t xml:space="preserve">A </w:t>
      </w:r>
      <w:r w:rsidRPr="00B214DC">
        <w:rPr>
          <w:szCs w:val="23"/>
          <w:shd w:val="clear" w:color="auto" w:fill="FFFFFF"/>
          <w:lang w:val="es-CR"/>
        </w:rPr>
        <w:t>continuación, la Corte pasará a examinar si la privación de la libertad de las presuntas víctimas, en el marco del proceso policial penal, se ajustó a los estándares establecidos en la Convención y desarrollados por la jurisprudencia de este Tribunal. No obstante, antes de hacer referencia a dichos estándares es preciso determinar si las presuntas víctimas estuvieron sometidas o no a la detención en firme</w:t>
      </w:r>
      <w:r w:rsidR="00F23719" w:rsidRPr="00B214DC">
        <w:rPr>
          <w:szCs w:val="23"/>
          <w:shd w:val="clear" w:color="auto" w:fill="FFFFFF"/>
          <w:lang w:val="es-CR"/>
        </w:rPr>
        <w:t>,</w:t>
      </w:r>
      <w:r w:rsidRPr="00B214DC">
        <w:rPr>
          <w:szCs w:val="23"/>
          <w:shd w:val="clear" w:color="auto" w:fill="FFFFFF"/>
          <w:lang w:val="es-CR"/>
        </w:rPr>
        <w:t xml:space="preserve"> pues mientras la</w:t>
      </w:r>
      <w:r w:rsidR="0094139A" w:rsidRPr="00B214DC">
        <w:rPr>
          <w:szCs w:val="23"/>
          <w:shd w:val="clear" w:color="auto" w:fill="FFFFFF"/>
        </w:rPr>
        <w:t xml:space="preserve"> Comisión y el representante sostuvieron que el Estado aplicó </w:t>
      </w:r>
      <w:r w:rsidR="00A27840" w:rsidRPr="00B214DC">
        <w:rPr>
          <w:szCs w:val="23"/>
          <w:shd w:val="clear" w:color="auto" w:fill="FFFFFF"/>
        </w:rPr>
        <w:t xml:space="preserve">a las presuntas víctimas </w:t>
      </w:r>
      <w:r w:rsidR="0094139A" w:rsidRPr="00B214DC">
        <w:rPr>
          <w:szCs w:val="23"/>
          <w:shd w:val="clear" w:color="auto" w:fill="FFFFFF"/>
        </w:rPr>
        <w:t>la detención en firme, el Estado alegó que</w:t>
      </w:r>
      <w:r w:rsidRPr="00B214DC">
        <w:rPr>
          <w:szCs w:val="23"/>
          <w:shd w:val="clear" w:color="auto" w:fill="FFFFFF"/>
        </w:rPr>
        <w:t xml:space="preserve"> esta expresión fue empleada erróneamente en el auto de 26 de mayo de 2003, y que</w:t>
      </w:r>
      <w:r w:rsidR="0094139A" w:rsidRPr="00B214DC">
        <w:rPr>
          <w:szCs w:val="23"/>
          <w:shd w:val="clear" w:color="auto" w:fill="FFFFFF"/>
        </w:rPr>
        <w:t xml:space="preserve"> esa figura no se aplicó a las presuntas víctimas</w:t>
      </w:r>
      <w:r w:rsidR="004C5E37">
        <w:rPr>
          <w:szCs w:val="23"/>
          <w:shd w:val="clear" w:color="auto" w:fill="FFFFFF"/>
        </w:rPr>
        <w:t>,</w:t>
      </w:r>
      <w:r w:rsidR="0094139A" w:rsidRPr="00B214DC">
        <w:rPr>
          <w:szCs w:val="23"/>
          <w:shd w:val="clear" w:color="auto" w:fill="FFFFFF"/>
        </w:rPr>
        <w:t xml:space="preserve"> sino que la real intención del juzgador fue ordenar la prisión pr</w:t>
      </w:r>
      <w:r w:rsidR="00F23719" w:rsidRPr="00B214DC">
        <w:rPr>
          <w:szCs w:val="23"/>
          <w:shd w:val="clear" w:color="auto" w:fill="FFFFFF"/>
        </w:rPr>
        <w:t>eventiva</w:t>
      </w:r>
      <w:r w:rsidR="0094139A" w:rsidRPr="0092295B">
        <w:rPr>
          <w:rStyle w:val="Refdenotaalpie"/>
          <w:shd w:val="clear" w:color="auto" w:fill="FFFFFF"/>
        </w:rPr>
        <w:footnoteReference w:id="95"/>
      </w:r>
      <w:r w:rsidR="00F23719" w:rsidRPr="0092295B">
        <w:rPr>
          <w:szCs w:val="23"/>
          <w:shd w:val="clear" w:color="auto" w:fill="FFFFFF"/>
        </w:rPr>
        <w:t>.</w:t>
      </w:r>
    </w:p>
    <w:p w14:paraId="2D40D841" w14:textId="77777777" w:rsidR="0094139A" w:rsidRPr="0092295B" w:rsidRDefault="0094139A" w:rsidP="00F402EF">
      <w:pPr>
        <w:pStyle w:val="Prrafodelista"/>
        <w:spacing w:before="0" w:after="0"/>
        <w:ind w:left="0"/>
        <w:rPr>
          <w:rFonts w:eastAsia="Times New Roman" w:cs="Times New Roman"/>
          <w:szCs w:val="20"/>
          <w:lang w:val="es-CR" w:eastAsia="en-GB"/>
        </w:rPr>
      </w:pPr>
    </w:p>
    <w:p w14:paraId="44912EBB" w14:textId="6FA8C87D" w:rsidR="0094139A" w:rsidRPr="0092295B" w:rsidRDefault="00630797" w:rsidP="00CF2D2A">
      <w:pPr>
        <w:pStyle w:val="Prrafodelista"/>
        <w:numPr>
          <w:ilvl w:val="0"/>
          <w:numId w:val="29"/>
        </w:numPr>
        <w:shd w:val="clear" w:color="auto" w:fill="FFFFFF"/>
        <w:spacing w:before="0" w:after="0"/>
        <w:ind w:left="0" w:firstLine="0"/>
        <w:rPr>
          <w:i/>
          <w:iCs/>
          <w:color w:val="00B050"/>
          <w:sz w:val="16"/>
          <w:szCs w:val="16"/>
        </w:rPr>
      </w:pPr>
      <w:r w:rsidRPr="0092295B">
        <w:rPr>
          <w:rFonts w:eastAsia="Times New Roman" w:cs="Times New Roman"/>
          <w:szCs w:val="20"/>
          <w:lang w:val="es-CR" w:eastAsia="en-GB"/>
        </w:rPr>
        <w:t>D</w:t>
      </w:r>
      <w:r w:rsidR="0094139A" w:rsidRPr="0092295B">
        <w:rPr>
          <w:rFonts w:eastAsia="Times New Roman" w:cs="Times New Roman"/>
          <w:szCs w:val="20"/>
          <w:lang w:val="es-CR" w:eastAsia="en-GB"/>
        </w:rPr>
        <w:t xml:space="preserve">e </w:t>
      </w:r>
      <w:r w:rsidR="0094139A" w:rsidRPr="00E212BA">
        <w:rPr>
          <w:rFonts w:eastAsia="Times New Roman" w:cs="Times New Roman"/>
          <w:szCs w:val="20"/>
          <w:lang w:val="es-CR" w:eastAsia="en-GB"/>
        </w:rPr>
        <w:t>la prueba que obra en el expediente</w:t>
      </w:r>
      <w:r w:rsidR="004C5E37">
        <w:rPr>
          <w:rFonts w:eastAsia="Times New Roman" w:cs="Times New Roman"/>
          <w:szCs w:val="20"/>
          <w:lang w:val="es-CR" w:eastAsia="en-GB"/>
        </w:rPr>
        <w:t>,</w:t>
      </w:r>
      <w:r w:rsidR="0094139A" w:rsidRPr="00E212BA">
        <w:rPr>
          <w:rFonts w:eastAsia="Times New Roman" w:cs="Times New Roman"/>
          <w:szCs w:val="20"/>
          <w:lang w:val="es-CR" w:eastAsia="en-GB"/>
        </w:rPr>
        <w:t xml:space="preserve"> la Corte concluye que las presuntas víctimas estuvieron sometidas a la figura de la detención en firme y que no se trató de un mero error material en el auto de mayo de 2003. En efecto, el 26 de mayo de 2003 el Presidente de la CNJP </w:t>
      </w:r>
      <w:r w:rsidR="0094139A" w:rsidRPr="00E212BA">
        <w:rPr>
          <w:rFonts w:cs="Times New Roman"/>
          <w:szCs w:val="20"/>
          <w:lang w:val="es-CR"/>
        </w:rPr>
        <w:t xml:space="preserve">ordenó </w:t>
      </w:r>
      <w:r w:rsidR="0094139A" w:rsidRPr="00E212BA">
        <w:rPr>
          <w:rFonts w:eastAsia="Times New Roman" w:cs="Times New Roman"/>
          <w:szCs w:val="20"/>
          <w:lang w:val="es-CR" w:eastAsia="en-GB"/>
        </w:rPr>
        <w:t>la “detención en firme de los imputados como presuntos autores y cómplices”</w:t>
      </w:r>
      <w:r w:rsidR="0094139A" w:rsidRPr="00E212BA">
        <w:rPr>
          <w:rStyle w:val="Refdenotaalpie"/>
        </w:rPr>
        <w:footnoteReference w:id="96"/>
      </w:r>
      <w:r w:rsidR="0094139A" w:rsidRPr="00E212BA">
        <w:rPr>
          <w:rFonts w:eastAsia="Times New Roman" w:cs="Times New Roman"/>
          <w:szCs w:val="20"/>
          <w:lang w:val="es-CR" w:eastAsia="en-GB"/>
        </w:rPr>
        <w:t xml:space="preserve">, </w:t>
      </w:r>
      <w:r w:rsidR="0094139A" w:rsidRPr="00461C9D">
        <w:rPr>
          <w:color w:val="000000"/>
          <w:szCs w:val="20"/>
          <w:shd w:val="clear" w:color="auto" w:fill="FFFFFF"/>
        </w:rPr>
        <w:t>en los términos</w:t>
      </w:r>
      <w:r w:rsidR="00F402EF" w:rsidRPr="00461C9D">
        <w:rPr>
          <w:color w:val="000000"/>
          <w:szCs w:val="20"/>
          <w:shd w:val="clear" w:color="auto" w:fill="FFFFFF"/>
        </w:rPr>
        <w:t xml:space="preserve"> de</w:t>
      </w:r>
      <w:r w:rsidR="0094139A" w:rsidRPr="00461C9D">
        <w:rPr>
          <w:color w:val="000000"/>
          <w:szCs w:val="20"/>
          <w:shd w:val="clear" w:color="auto" w:fill="FFFFFF"/>
        </w:rPr>
        <w:t xml:space="preserve"> los artículos 167 del Código de Procedimiento Penal de la Policía Nacional y correlativo 253 del Código de Procedimiento Penal común.</w:t>
      </w:r>
      <w:r w:rsidR="0094139A" w:rsidRPr="00461C9D">
        <w:rPr>
          <w:color w:val="000000"/>
          <w:sz w:val="15"/>
          <w:szCs w:val="15"/>
          <w:shd w:val="clear" w:color="auto" w:fill="FFFFFF"/>
        </w:rPr>
        <w:t> </w:t>
      </w:r>
      <w:r w:rsidR="0094139A" w:rsidRPr="00461C9D">
        <w:rPr>
          <w:color w:val="000000"/>
          <w:szCs w:val="20"/>
          <w:shd w:val="clear" w:color="auto" w:fill="FFFFFF"/>
        </w:rPr>
        <w:t xml:space="preserve"> </w:t>
      </w:r>
      <w:r w:rsidR="0094139A" w:rsidRPr="000F3311">
        <w:rPr>
          <w:rFonts w:eastAsia="Times New Roman" w:cs="Times New Roman"/>
          <w:szCs w:val="20"/>
          <w:lang w:val="es-CR" w:eastAsia="en-GB"/>
        </w:rPr>
        <w:t>Además, la Corte nota que también en otras piezas del expediente se emplea ese término y se valida que en el auto de 26 de mayo se aplicó dicha figura</w:t>
      </w:r>
      <w:r w:rsidR="0094139A" w:rsidRPr="000F3311">
        <w:rPr>
          <w:rStyle w:val="Refdenotaalpie"/>
          <w:rFonts w:eastAsia="Times New Roman"/>
          <w:lang w:val="es-CR" w:eastAsia="en-GB"/>
        </w:rPr>
        <w:footnoteReference w:id="97"/>
      </w:r>
      <w:r w:rsidR="0094139A" w:rsidRPr="000F3311">
        <w:rPr>
          <w:rFonts w:eastAsia="Times New Roman" w:cs="Times New Roman"/>
          <w:szCs w:val="20"/>
          <w:lang w:val="es-CR" w:eastAsia="en-GB"/>
        </w:rPr>
        <w:t xml:space="preserve">. </w:t>
      </w:r>
      <w:r w:rsidR="0094139A" w:rsidRPr="00E212BA">
        <w:rPr>
          <w:szCs w:val="20"/>
          <w:shd w:val="clear" w:color="auto" w:fill="FFFFFF"/>
        </w:rPr>
        <w:t xml:space="preserve">Posteriormente, el 27 de enero de 2004 el mismo </w:t>
      </w:r>
      <w:r w:rsidR="0094139A" w:rsidRPr="00E212BA">
        <w:rPr>
          <w:szCs w:val="23"/>
          <w:shd w:val="clear" w:color="auto" w:fill="FFFFFF"/>
        </w:rPr>
        <w:t xml:space="preserve">Presidente de la CNJP </w:t>
      </w:r>
      <w:r w:rsidR="0094139A" w:rsidRPr="00E212BA">
        <w:rPr>
          <w:rFonts w:cs="Bookman Old Style"/>
          <w:szCs w:val="20"/>
        </w:rPr>
        <w:t>dejó sin efecto la detención en firme dictada en contra de los señores Villarroel Merino, López Ortiz, Ascázubi Albán, Coloma Gaibor y Vinueza Pánchez y confirmó su detención (</w:t>
      </w:r>
      <w:r w:rsidR="0094139A" w:rsidRPr="00E212BA">
        <w:rPr>
          <w:rFonts w:cs="Bookman Old Style"/>
          <w:i/>
          <w:szCs w:val="20"/>
        </w:rPr>
        <w:t>supra</w:t>
      </w:r>
      <w:r w:rsidR="0094139A" w:rsidRPr="00E212BA">
        <w:rPr>
          <w:rFonts w:cs="Bookman Old Style"/>
          <w:szCs w:val="20"/>
        </w:rPr>
        <w:t xml:space="preserve"> párr. </w:t>
      </w:r>
      <w:r w:rsidR="00E212BA" w:rsidRPr="00E212BA">
        <w:rPr>
          <w:rFonts w:cs="Bookman Old Style"/>
          <w:szCs w:val="20"/>
        </w:rPr>
        <w:t>58</w:t>
      </w:r>
      <w:r w:rsidR="0094139A" w:rsidRPr="00E212BA">
        <w:rPr>
          <w:rFonts w:cs="Bookman Old Style"/>
          <w:szCs w:val="20"/>
        </w:rPr>
        <w:t xml:space="preserve">). Al señor Cevallos Moreno también se le ordenó la detención en firme, pero el 11 de noviembre de 2003 </w:t>
      </w:r>
      <w:r w:rsidR="0094139A" w:rsidRPr="004F6E1E">
        <w:rPr>
          <w:rFonts w:cs="Bookman Old Style"/>
          <w:szCs w:val="20"/>
        </w:rPr>
        <w:t>se ordenó su libertad (</w:t>
      </w:r>
      <w:r w:rsidR="0094139A" w:rsidRPr="004F6E1E">
        <w:rPr>
          <w:rFonts w:cs="Bookman Old Style"/>
          <w:i/>
          <w:szCs w:val="20"/>
        </w:rPr>
        <w:t>supra</w:t>
      </w:r>
      <w:r w:rsidR="0094139A" w:rsidRPr="004F6E1E">
        <w:rPr>
          <w:rFonts w:cs="Bookman Old Style"/>
          <w:szCs w:val="20"/>
        </w:rPr>
        <w:t xml:space="preserve"> párr.</w:t>
      </w:r>
      <w:r w:rsidR="0094139A" w:rsidRPr="0092295B">
        <w:rPr>
          <w:rFonts w:cs="Bookman Old Style"/>
          <w:szCs w:val="20"/>
        </w:rPr>
        <w:t xml:space="preserve"> </w:t>
      </w:r>
      <w:r w:rsidR="004F6E1E">
        <w:rPr>
          <w:rFonts w:cs="Bookman Old Style"/>
          <w:szCs w:val="20"/>
        </w:rPr>
        <w:t>55</w:t>
      </w:r>
      <w:r w:rsidR="0094139A" w:rsidRPr="0092295B">
        <w:rPr>
          <w:rFonts w:cs="Bookman Old Style"/>
          <w:szCs w:val="20"/>
        </w:rPr>
        <w:t xml:space="preserve">). </w:t>
      </w:r>
    </w:p>
    <w:p w14:paraId="1ED3A8E1" w14:textId="723BD4E8" w:rsidR="00993BCB" w:rsidRPr="00AF011A" w:rsidRDefault="00993BCB" w:rsidP="006920D5">
      <w:pPr>
        <w:pStyle w:val="Prrafodelista"/>
        <w:spacing w:before="0" w:after="0"/>
        <w:ind w:left="0"/>
        <w:rPr>
          <w:rFonts w:eastAsia="Times New Roman" w:cs="Times New Roman"/>
          <w:szCs w:val="20"/>
          <w:lang w:val="es-CR" w:eastAsia="en-GB"/>
        </w:rPr>
      </w:pPr>
    </w:p>
    <w:p w14:paraId="2594EF67" w14:textId="3DCD7002" w:rsidR="00993BCB" w:rsidRPr="00F866F8" w:rsidRDefault="00993BCB" w:rsidP="00AF011A">
      <w:pPr>
        <w:pStyle w:val="Prrafodelista"/>
        <w:numPr>
          <w:ilvl w:val="0"/>
          <w:numId w:val="29"/>
        </w:numPr>
        <w:spacing w:before="0" w:after="0"/>
        <w:ind w:left="0" w:firstLine="0"/>
        <w:rPr>
          <w:rFonts w:eastAsia="Times New Roman" w:cs="Times New Roman"/>
          <w:szCs w:val="20"/>
          <w:lang w:val="es-CR" w:eastAsia="en-GB"/>
        </w:rPr>
      </w:pPr>
      <w:r w:rsidRPr="0092295B">
        <w:rPr>
          <w:rFonts w:eastAsia="Times New Roman" w:cs="Times New Roman"/>
          <w:szCs w:val="20"/>
          <w:lang w:val="es-CR" w:eastAsia="en-GB"/>
        </w:rPr>
        <w:t xml:space="preserve">Entonces, </w:t>
      </w:r>
      <w:r w:rsidR="00630797" w:rsidRPr="002E48C8">
        <w:rPr>
          <w:rFonts w:eastAsia="Times New Roman" w:cs="Times New Roman"/>
          <w:szCs w:val="20"/>
          <w:lang w:val="es-CR" w:eastAsia="en-GB"/>
        </w:rPr>
        <w:t>e</w:t>
      </w:r>
      <w:r w:rsidRPr="002E48C8">
        <w:rPr>
          <w:rFonts w:eastAsia="Times New Roman" w:cs="Times New Roman"/>
          <w:szCs w:val="20"/>
          <w:lang w:val="es-CR" w:eastAsia="en-GB"/>
        </w:rPr>
        <w:t xml:space="preserve">stá demostrado que los señores </w:t>
      </w:r>
      <w:r w:rsidR="00F866F8">
        <w:rPr>
          <w:rFonts w:eastAsia="Times New Roman" w:cs="Times New Roman"/>
          <w:szCs w:val="20"/>
          <w:lang w:val="es-CR" w:eastAsia="en-GB"/>
        </w:rPr>
        <w:t xml:space="preserve">Jorge Villarroel Merino, </w:t>
      </w:r>
      <w:r w:rsidRPr="002E48C8">
        <w:rPr>
          <w:szCs w:val="20"/>
        </w:rPr>
        <w:t>Jorge Coloma Gaibor, Fernando López Ortiz, Amílcar Ascázubi Albán y Patricio Vinueza Pánchez</w:t>
      </w:r>
      <w:r w:rsidRPr="002E48C8">
        <w:rPr>
          <w:rFonts w:eastAsia="Times New Roman" w:cs="Times New Roman"/>
          <w:szCs w:val="20"/>
          <w:lang w:val="es-CR" w:eastAsia="en-GB"/>
        </w:rPr>
        <w:t xml:space="preserve"> permanecieron privados de la libertad bajo la detención en firme por ocho meses, entre el 26 de mayo de 2003 y el 27 de enero de 2004, en esta última fecha se cambió </w:t>
      </w:r>
      <w:r w:rsidRPr="00356779">
        <w:rPr>
          <w:rFonts w:eastAsia="Times New Roman" w:cs="Times New Roman"/>
          <w:szCs w:val="20"/>
          <w:lang w:val="es-CR" w:eastAsia="en-GB"/>
        </w:rPr>
        <w:t>la modalidad de la detención, a detención preventiva</w:t>
      </w:r>
      <w:r w:rsidR="00F866F8" w:rsidRPr="00356779">
        <w:rPr>
          <w:rFonts w:eastAsia="Times New Roman" w:cs="Times New Roman"/>
          <w:szCs w:val="20"/>
          <w:lang w:val="es-CR" w:eastAsia="en-GB"/>
        </w:rPr>
        <w:t>,</w:t>
      </w:r>
      <w:r w:rsidRPr="00356779">
        <w:rPr>
          <w:rFonts w:eastAsia="Times New Roman" w:cs="Times New Roman"/>
          <w:szCs w:val="20"/>
          <w:lang w:val="es-CR" w:eastAsia="en-GB"/>
        </w:rPr>
        <w:t xml:space="preserve"> hasta el 25 de mayo de 2004</w:t>
      </w:r>
      <w:r w:rsidR="00F866F8" w:rsidRPr="00356779">
        <w:rPr>
          <w:rFonts w:eastAsia="Times New Roman" w:cs="Times New Roman"/>
          <w:szCs w:val="20"/>
          <w:lang w:val="es-CR" w:eastAsia="en-GB"/>
        </w:rPr>
        <w:t xml:space="preserve"> </w:t>
      </w:r>
      <w:r w:rsidR="00E16E10" w:rsidRPr="00356779">
        <w:rPr>
          <w:rFonts w:eastAsia="Times New Roman" w:cs="Times New Roman"/>
          <w:szCs w:val="20"/>
          <w:lang w:val="es-CR" w:eastAsia="en-GB"/>
        </w:rPr>
        <w:t>para las última</w:t>
      </w:r>
      <w:r w:rsidR="00F866F8" w:rsidRPr="00356779">
        <w:rPr>
          <w:rFonts w:eastAsia="Times New Roman" w:cs="Times New Roman"/>
          <w:szCs w:val="20"/>
          <w:lang w:val="es-CR" w:eastAsia="en-GB"/>
        </w:rPr>
        <w:t>s cuatro</w:t>
      </w:r>
      <w:r w:rsidR="00E16E10" w:rsidRPr="00356779">
        <w:rPr>
          <w:rFonts w:eastAsia="Times New Roman" w:cs="Times New Roman"/>
          <w:szCs w:val="20"/>
          <w:lang w:val="es-CR" w:eastAsia="en-GB"/>
        </w:rPr>
        <w:t xml:space="preserve"> presuntas víctimas mencionadas</w:t>
      </w:r>
      <w:r w:rsidRPr="00356779">
        <w:rPr>
          <w:rFonts w:eastAsia="Times New Roman" w:cs="Times New Roman"/>
          <w:szCs w:val="20"/>
          <w:lang w:val="es-CR" w:eastAsia="en-GB"/>
        </w:rPr>
        <w:t>. El señor Jorge Humberto Villarroel Merino permaneció detenido hasta el 4 de junio de 2004</w:t>
      </w:r>
      <w:r w:rsidR="00E1550B" w:rsidRPr="00356779">
        <w:rPr>
          <w:rStyle w:val="Refdenotaalpie"/>
          <w:rFonts w:eastAsia="Times New Roman"/>
          <w:lang w:val="es-CR" w:eastAsia="en-GB"/>
        </w:rPr>
        <w:footnoteReference w:id="98"/>
      </w:r>
      <w:r w:rsidRPr="00356779">
        <w:rPr>
          <w:rFonts w:eastAsia="Times New Roman" w:cs="Times New Roman"/>
          <w:szCs w:val="20"/>
          <w:lang w:val="es-CR" w:eastAsia="en-GB"/>
        </w:rPr>
        <w:t>.</w:t>
      </w:r>
      <w:r w:rsidRPr="00F866F8">
        <w:rPr>
          <w:rFonts w:eastAsia="Times New Roman" w:cs="Times New Roman"/>
          <w:szCs w:val="20"/>
          <w:lang w:val="es-CR" w:eastAsia="en-GB"/>
        </w:rPr>
        <w:t xml:space="preserve"> En el caso del señor </w:t>
      </w:r>
      <w:r w:rsidRPr="00F866F8">
        <w:rPr>
          <w:szCs w:val="20"/>
        </w:rPr>
        <w:t>Mario Romel Cevallos Moreno</w:t>
      </w:r>
      <w:r w:rsidRPr="00F866F8">
        <w:rPr>
          <w:rFonts w:eastAsia="Times New Roman" w:cs="Times New Roman"/>
          <w:szCs w:val="20"/>
          <w:lang w:val="es-CR" w:eastAsia="en-GB"/>
        </w:rPr>
        <w:t xml:space="preserve"> la duración de la detención en firme fue de cinco meses y diecisiete días, desde el 26 de mayo de 2003 al 13 de noviembre de 200</w:t>
      </w:r>
      <w:r w:rsidR="00F866F8" w:rsidRPr="00F866F8">
        <w:rPr>
          <w:rFonts w:eastAsia="Times New Roman" w:cs="Times New Roman"/>
          <w:szCs w:val="20"/>
          <w:lang w:val="es-CR" w:eastAsia="en-GB"/>
        </w:rPr>
        <w:t>3</w:t>
      </w:r>
      <w:r w:rsidRPr="00F866F8">
        <w:rPr>
          <w:szCs w:val="20"/>
          <w:lang w:val="es-CR"/>
        </w:rPr>
        <w:t xml:space="preserve">. </w:t>
      </w:r>
    </w:p>
    <w:p w14:paraId="33E45530" w14:textId="77777777" w:rsidR="002820DA" w:rsidRPr="0092295B" w:rsidRDefault="002820DA" w:rsidP="002820DA">
      <w:pPr>
        <w:pStyle w:val="Prrafodelista"/>
        <w:spacing w:before="0" w:after="0"/>
        <w:ind w:left="0"/>
        <w:rPr>
          <w:rFonts w:eastAsia="Times New Roman" w:cs="Times New Roman"/>
          <w:szCs w:val="20"/>
          <w:lang w:val="es-CR" w:eastAsia="en-GB"/>
        </w:rPr>
      </w:pPr>
    </w:p>
    <w:p w14:paraId="36A64D96" w14:textId="7DD47007" w:rsidR="000E4FB1" w:rsidRPr="0092295B" w:rsidRDefault="007D663A" w:rsidP="00CF2D2A">
      <w:pPr>
        <w:pStyle w:val="Prrafodelista"/>
        <w:numPr>
          <w:ilvl w:val="0"/>
          <w:numId w:val="29"/>
        </w:numPr>
        <w:spacing w:before="0" w:after="0"/>
        <w:ind w:left="0" w:firstLine="0"/>
        <w:rPr>
          <w:rFonts w:eastAsia="Times New Roman" w:cs="Times New Roman"/>
          <w:szCs w:val="20"/>
          <w:lang w:val="es-CR" w:eastAsia="en-GB"/>
        </w:rPr>
      </w:pPr>
      <w:r w:rsidRPr="0092295B">
        <w:rPr>
          <w:szCs w:val="20"/>
          <w:lang w:val="es-CR"/>
        </w:rPr>
        <w:t>De lo anterior se desprende que</w:t>
      </w:r>
      <w:r w:rsidR="0016340F">
        <w:rPr>
          <w:szCs w:val="20"/>
          <w:lang w:val="es-CR"/>
        </w:rPr>
        <w:t>,</w:t>
      </w:r>
      <w:r w:rsidRPr="0092295B">
        <w:rPr>
          <w:szCs w:val="20"/>
          <w:lang w:val="es-CR"/>
        </w:rPr>
        <w:t xml:space="preserve"> </w:t>
      </w:r>
      <w:r w:rsidR="0016340F" w:rsidRPr="0092295B">
        <w:rPr>
          <w:szCs w:val="20"/>
          <w:lang w:val="es-CR"/>
        </w:rPr>
        <w:t>durante el proceso penal policial</w:t>
      </w:r>
      <w:r w:rsidR="0016340F">
        <w:rPr>
          <w:szCs w:val="20"/>
          <w:lang w:val="es-CR"/>
        </w:rPr>
        <w:t>,</w:t>
      </w:r>
      <w:r w:rsidR="0016340F" w:rsidRPr="0092295B">
        <w:rPr>
          <w:szCs w:val="20"/>
          <w:lang w:val="es-CR"/>
        </w:rPr>
        <w:t xml:space="preserve"> </w:t>
      </w:r>
      <w:r w:rsidRPr="0092295B">
        <w:rPr>
          <w:szCs w:val="20"/>
          <w:lang w:val="es-CR"/>
        </w:rPr>
        <w:t>las presuntas v</w:t>
      </w:r>
      <w:r w:rsidR="00A62F1F" w:rsidRPr="0092295B">
        <w:rPr>
          <w:szCs w:val="20"/>
          <w:lang w:val="es-CR"/>
        </w:rPr>
        <w:t>íctimas estuvieron privad</w:t>
      </w:r>
      <w:r w:rsidR="00B668FF" w:rsidRPr="0092295B">
        <w:rPr>
          <w:szCs w:val="20"/>
          <w:lang w:val="es-CR"/>
        </w:rPr>
        <w:t>a</w:t>
      </w:r>
      <w:r w:rsidR="00A62F1F" w:rsidRPr="0092295B">
        <w:rPr>
          <w:szCs w:val="20"/>
          <w:lang w:val="es-CR"/>
        </w:rPr>
        <w:t xml:space="preserve">s de libertad </w:t>
      </w:r>
      <w:r w:rsidRPr="0092295B">
        <w:rPr>
          <w:szCs w:val="20"/>
          <w:lang w:val="es-CR"/>
        </w:rPr>
        <w:t>bajo dos modalidades,</w:t>
      </w:r>
      <w:r w:rsidR="00A62F1F" w:rsidRPr="0092295B">
        <w:rPr>
          <w:szCs w:val="20"/>
          <w:lang w:val="es-CR"/>
        </w:rPr>
        <w:t xml:space="preserve"> que refieren a una misma situación, independientemente de cómo se denomine la detención. Es por ello, que </w:t>
      </w:r>
      <w:r w:rsidRPr="0092295B">
        <w:rPr>
          <w:szCs w:val="20"/>
          <w:lang w:val="es-CR"/>
        </w:rPr>
        <w:t>c</w:t>
      </w:r>
      <w:r w:rsidR="009E7AC7" w:rsidRPr="0092295B">
        <w:rPr>
          <w:szCs w:val="20"/>
          <w:lang w:val="es-CR"/>
        </w:rPr>
        <w:t>orresponde a esta Corte</w:t>
      </w:r>
      <w:r w:rsidR="00792BA6" w:rsidRPr="0092295B">
        <w:rPr>
          <w:szCs w:val="20"/>
          <w:lang w:val="es-CR"/>
        </w:rPr>
        <w:t xml:space="preserve"> examinar</w:t>
      </w:r>
      <w:r w:rsidR="009E7AC7" w:rsidRPr="0092295B">
        <w:rPr>
          <w:szCs w:val="20"/>
          <w:lang w:val="es-CR"/>
        </w:rPr>
        <w:t xml:space="preserve"> si </w:t>
      </w:r>
      <w:r w:rsidR="00792BA6" w:rsidRPr="0092295B">
        <w:rPr>
          <w:szCs w:val="20"/>
          <w:lang w:val="es-CR"/>
        </w:rPr>
        <w:t xml:space="preserve">la prisión en firme y la </w:t>
      </w:r>
      <w:r w:rsidR="009E7AC7" w:rsidRPr="0092295B">
        <w:rPr>
          <w:szCs w:val="20"/>
          <w:lang w:val="es-CR"/>
        </w:rPr>
        <w:t>prisión preventiva se ajusta</w:t>
      </w:r>
      <w:r w:rsidR="00792BA6" w:rsidRPr="0092295B">
        <w:rPr>
          <w:szCs w:val="20"/>
          <w:lang w:val="es-CR"/>
        </w:rPr>
        <w:t>n</w:t>
      </w:r>
      <w:r w:rsidR="009E7AC7" w:rsidRPr="0092295B">
        <w:rPr>
          <w:szCs w:val="20"/>
          <w:lang w:val="es-CR"/>
        </w:rPr>
        <w:t xml:space="preserve"> </w:t>
      </w:r>
      <w:r w:rsidR="00A62F1F" w:rsidRPr="0092295B">
        <w:rPr>
          <w:szCs w:val="20"/>
          <w:lang w:val="es-CR"/>
        </w:rPr>
        <w:t xml:space="preserve">a </w:t>
      </w:r>
      <w:r w:rsidR="009E7AC7" w:rsidRPr="0092295B">
        <w:rPr>
          <w:szCs w:val="20"/>
          <w:lang w:val="es-CR"/>
        </w:rPr>
        <w:t>los estándares d</w:t>
      </w:r>
      <w:r w:rsidR="00792BA6" w:rsidRPr="0092295B">
        <w:rPr>
          <w:szCs w:val="20"/>
          <w:lang w:val="es-CR"/>
        </w:rPr>
        <w:t>esarrollados por este Tribunal</w:t>
      </w:r>
      <w:r w:rsidR="009E7AC7" w:rsidRPr="0092295B">
        <w:rPr>
          <w:szCs w:val="20"/>
          <w:lang w:val="es-CR"/>
        </w:rPr>
        <w:t>.</w:t>
      </w:r>
    </w:p>
    <w:p w14:paraId="69B63C9B" w14:textId="77777777" w:rsidR="006A792A" w:rsidRPr="0092295B" w:rsidRDefault="006A792A" w:rsidP="006A792A">
      <w:pPr>
        <w:pStyle w:val="Prrafodelista"/>
        <w:spacing w:before="0" w:after="0"/>
        <w:ind w:left="0"/>
        <w:rPr>
          <w:rFonts w:eastAsia="Times New Roman" w:cs="Times New Roman"/>
          <w:szCs w:val="20"/>
          <w:lang w:val="es-CR" w:eastAsia="en-GB"/>
        </w:rPr>
      </w:pPr>
    </w:p>
    <w:p w14:paraId="7FDBFA87" w14:textId="15B5BCF7" w:rsidR="006A792A" w:rsidRPr="0092295B" w:rsidRDefault="006A792A" w:rsidP="00CF2D2A">
      <w:pPr>
        <w:pStyle w:val="Prrafodelista"/>
        <w:numPr>
          <w:ilvl w:val="0"/>
          <w:numId w:val="29"/>
        </w:numPr>
        <w:spacing w:before="0" w:after="0"/>
        <w:ind w:left="0" w:firstLine="0"/>
        <w:rPr>
          <w:rFonts w:eastAsia="Times New Roman" w:cs="Times New Roman"/>
          <w:szCs w:val="20"/>
          <w:lang w:val="es-CR" w:eastAsia="en-GB"/>
        </w:rPr>
      </w:pPr>
      <w:r w:rsidRPr="00B824D5">
        <w:rPr>
          <w:bCs/>
          <w:szCs w:val="20"/>
          <w:lang w:val="es-CR"/>
        </w:rPr>
        <w:t>C</w:t>
      </w:r>
      <w:r w:rsidRPr="00B824D5">
        <w:rPr>
          <w:rFonts w:eastAsia="Times New Roman" w:cs="Times New Roman"/>
          <w:szCs w:val="20"/>
          <w:lang w:val="es-CR" w:eastAsia="en-GB"/>
        </w:rPr>
        <w:t xml:space="preserve">onforme a la jurisprudencia de este Tribunal, la prisión preventiva es la medida más severa que se puede </w:t>
      </w:r>
      <w:r w:rsidR="00B824D5" w:rsidRPr="00EF4BDB">
        <w:rPr>
          <w:rFonts w:eastAsia="Times New Roman" w:cs="Times New Roman"/>
          <w:szCs w:val="20"/>
          <w:lang w:val="es-CR" w:eastAsia="en-GB"/>
        </w:rPr>
        <w:t>imponer a una persona imputada</w:t>
      </w:r>
      <w:r w:rsidRPr="00EF4BDB">
        <w:rPr>
          <w:rFonts w:eastAsia="Times New Roman" w:cs="Times New Roman"/>
          <w:szCs w:val="20"/>
          <w:lang w:val="es-CR" w:eastAsia="en-GB"/>
        </w:rPr>
        <w:t>,</w:t>
      </w:r>
      <w:r w:rsidRPr="00B824D5">
        <w:rPr>
          <w:rFonts w:eastAsia="Times New Roman" w:cs="Times New Roman"/>
          <w:szCs w:val="20"/>
          <w:lang w:val="es-CR" w:eastAsia="en-GB"/>
        </w:rPr>
        <w:t xml:space="preserve"> motivo por el cual su aplicación debe tener un carácter excepcional</w:t>
      </w:r>
      <w:r w:rsidRPr="00B824D5">
        <w:rPr>
          <w:rStyle w:val="Refdenotaalpie"/>
          <w:rFonts w:eastAsia="Times New Roman"/>
          <w:lang w:val="en-GB" w:eastAsia="en-GB"/>
        </w:rPr>
        <w:footnoteReference w:id="99"/>
      </w:r>
      <w:r w:rsidRPr="00B824D5">
        <w:rPr>
          <w:rFonts w:eastAsia="Times New Roman" w:cs="Times New Roman"/>
          <w:szCs w:val="20"/>
          <w:lang w:val="es-CR" w:eastAsia="en-GB"/>
        </w:rPr>
        <w:t xml:space="preserve">. </w:t>
      </w:r>
      <w:r w:rsidRPr="00921A8E">
        <w:rPr>
          <w:rFonts w:eastAsia="Times New Roman"/>
          <w:szCs w:val="20"/>
        </w:rPr>
        <w:t xml:space="preserve">Adicionalmente, la privación de libertad de </w:t>
      </w:r>
      <w:r w:rsidRPr="00EF4BDB">
        <w:rPr>
          <w:rFonts w:eastAsia="Times New Roman"/>
          <w:szCs w:val="20"/>
        </w:rPr>
        <w:t>un</w:t>
      </w:r>
      <w:r w:rsidR="00990BAA" w:rsidRPr="00EF4BDB">
        <w:rPr>
          <w:rFonts w:eastAsia="Times New Roman"/>
          <w:szCs w:val="20"/>
        </w:rPr>
        <w:t>a persona imputada</w:t>
      </w:r>
      <w:r w:rsidRPr="00921A8E">
        <w:rPr>
          <w:rFonts w:eastAsia="Times New Roman"/>
          <w:szCs w:val="20"/>
        </w:rPr>
        <w:t xml:space="preserve"> o de una persona procesada por un delito no puede residir en fines preventivo-generales o preventivo-especiales atribuibles a la pena</w:t>
      </w:r>
      <w:r w:rsidRPr="00921A8E">
        <w:rPr>
          <w:rStyle w:val="Refdenotaalpie"/>
          <w:rFonts w:eastAsia="Times New Roman"/>
        </w:rPr>
        <w:footnoteReference w:id="100"/>
      </w:r>
      <w:r w:rsidRPr="00921A8E">
        <w:rPr>
          <w:rFonts w:eastAsia="Times New Roman"/>
          <w:szCs w:val="20"/>
        </w:rPr>
        <w:t xml:space="preserve">. </w:t>
      </w:r>
      <w:r w:rsidRPr="00990BAA">
        <w:rPr>
          <w:rFonts w:eastAsia="Times New Roman"/>
          <w:szCs w:val="20"/>
        </w:rPr>
        <w:t>En consecuencia,</w:t>
      </w:r>
      <w:r w:rsidRPr="00990BAA">
        <w:rPr>
          <w:rFonts w:eastAsia="Times New Roman" w:cs="Times New Roman"/>
          <w:szCs w:val="20"/>
          <w:lang w:val="es-CR" w:eastAsia="en-GB"/>
        </w:rPr>
        <w:t xml:space="preserve"> la regla general debe ser que el imputado afronte el proceso penal en libertad</w:t>
      </w:r>
      <w:r w:rsidRPr="0092295B">
        <w:rPr>
          <w:rStyle w:val="Refdenotaalpie"/>
          <w:rFonts w:eastAsia="Times New Roman"/>
          <w:lang w:val="en-GB" w:eastAsia="en-GB"/>
        </w:rPr>
        <w:footnoteReference w:id="101"/>
      </w:r>
      <w:r w:rsidRPr="0092295B">
        <w:rPr>
          <w:rFonts w:eastAsia="Times New Roman" w:cs="Times New Roman"/>
          <w:szCs w:val="20"/>
          <w:lang w:val="es-CR" w:eastAsia="en-GB"/>
        </w:rPr>
        <w:t>.</w:t>
      </w:r>
    </w:p>
    <w:p w14:paraId="1F0B3F52" w14:textId="77777777" w:rsidR="006A792A" w:rsidRPr="0092295B" w:rsidRDefault="006A792A" w:rsidP="006A792A">
      <w:pPr>
        <w:pStyle w:val="Prrafodelista"/>
        <w:spacing w:before="0" w:after="0"/>
        <w:ind w:left="0"/>
        <w:rPr>
          <w:rFonts w:eastAsia="Times New Roman" w:cs="Times New Roman"/>
          <w:szCs w:val="20"/>
          <w:lang w:val="es-CR" w:eastAsia="en-GB"/>
        </w:rPr>
      </w:pPr>
    </w:p>
    <w:p w14:paraId="4EDB7AF6" w14:textId="603C01D9" w:rsidR="000310D9" w:rsidRPr="0092295B" w:rsidRDefault="00A62F1F" w:rsidP="00CF2D2A">
      <w:pPr>
        <w:pStyle w:val="Prrafodelista"/>
        <w:numPr>
          <w:ilvl w:val="0"/>
          <w:numId w:val="29"/>
        </w:numPr>
        <w:spacing w:before="0" w:after="0"/>
        <w:ind w:left="0" w:firstLine="0"/>
        <w:rPr>
          <w:rFonts w:eastAsia="Times New Roman" w:cs="Times New Roman"/>
          <w:szCs w:val="20"/>
          <w:lang w:val="es-CR" w:eastAsia="en-GB"/>
        </w:rPr>
      </w:pPr>
      <w:r w:rsidRPr="0092295B">
        <w:rPr>
          <w:szCs w:val="20"/>
          <w:lang w:val="es-CR"/>
        </w:rPr>
        <w:t xml:space="preserve">La </w:t>
      </w:r>
      <w:r w:rsidRPr="00C24100">
        <w:rPr>
          <w:szCs w:val="20"/>
          <w:lang w:val="es-CR"/>
        </w:rPr>
        <w:t>Corte ya ha indicado</w:t>
      </w:r>
      <w:r w:rsidR="006E3A2B" w:rsidRPr="00C24100">
        <w:rPr>
          <w:szCs w:val="20"/>
          <w:lang w:val="es-CR"/>
        </w:rPr>
        <w:t xml:space="preserve"> en su jurisprudencia que el contenido esencial del artículo 7 de la Convención Americana consagra la protección al individuo contra toda interferencia arbitraria o ilegal del Estado</w:t>
      </w:r>
      <w:r w:rsidR="006E3A2B" w:rsidRPr="00C24100">
        <w:rPr>
          <w:vertAlign w:val="superscript"/>
          <w:lang w:val="es-CR"/>
        </w:rPr>
        <w:footnoteReference w:id="102"/>
      </w:r>
      <w:r w:rsidR="006E3A2B" w:rsidRPr="00C24100">
        <w:rPr>
          <w:szCs w:val="20"/>
          <w:lang w:val="es-CR"/>
        </w:rPr>
        <w:t xml:space="preserve">. </w:t>
      </w:r>
      <w:r w:rsidR="006E3A2B" w:rsidRPr="00EF3AD1">
        <w:rPr>
          <w:szCs w:val="20"/>
          <w:lang w:val="es-CR"/>
        </w:rPr>
        <w:t>A su vez, la Corte ha señalado también que este artículo tiene dos tipos de regulaciones, una general y una específica. La general se encuentra en el numeral 1, mientras que la específica en los numerales del 2 al 7. Cualquier violación a estos numerales acarreará necesariamente la violación al artículo 7.1 de la Convención Americana</w:t>
      </w:r>
      <w:r w:rsidR="006E3A2B" w:rsidRPr="00EF3AD1">
        <w:rPr>
          <w:vertAlign w:val="superscript"/>
          <w:lang w:val="es-CR"/>
        </w:rPr>
        <w:footnoteReference w:id="103"/>
      </w:r>
      <w:r w:rsidR="006E3A2B" w:rsidRPr="00EF3AD1">
        <w:rPr>
          <w:szCs w:val="20"/>
          <w:lang w:val="es-CR"/>
        </w:rPr>
        <w:t>.</w:t>
      </w:r>
    </w:p>
    <w:p w14:paraId="38AAD7C5" w14:textId="77777777" w:rsidR="000310D9" w:rsidRPr="0092295B" w:rsidRDefault="000310D9" w:rsidP="000310D9">
      <w:pPr>
        <w:pStyle w:val="Prrafodelista"/>
        <w:rPr>
          <w:szCs w:val="20"/>
          <w:lang w:val="es-CR"/>
        </w:rPr>
      </w:pPr>
    </w:p>
    <w:p w14:paraId="1522DC04" w14:textId="076786FA" w:rsidR="00792BA6" w:rsidRPr="00116BFC" w:rsidRDefault="00792BA6" w:rsidP="00CF2D2A">
      <w:pPr>
        <w:pStyle w:val="Prrafodelista"/>
        <w:numPr>
          <w:ilvl w:val="0"/>
          <w:numId w:val="29"/>
        </w:numPr>
        <w:spacing w:before="0" w:after="0"/>
        <w:ind w:left="0" w:firstLine="0"/>
        <w:rPr>
          <w:rFonts w:eastAsia="Times New Roman" w:cs="Times New Roman"/>
          <w:szCs w:val="20"/>
          <w:lang w:val="es-CR" w:eastAsia="en-GB"/>
        </w:rPr>
      </w:pPr>
      <w:r w:rsidRPr="0092295B">
        <w:rPr>
          <w:szCs w:val="20"/>
          <w:lang w:val="es-CR"/>
        </w:rPr>
        <w:t xml:space="preserve">El </w:t>
      </w:r>
      <w:r w:rsidRPr="00116BFC">
        <w:rPr>
          <w:szCs w:val="20"/>
          <w:lang w:val="es-CR"/>
        </w:rPr>
        <w:t>artículo 7.2 de la Convención Americana establece que “nadie puede ser privado de su libertad física, salvo por las causas y en las condiciones fijadas de antemano por las Constituciones Políticas de los Estados partes o por las leyes dictadas conforme a e</w:t>
      </w:r>
      <w:r w:rsidR="00A62F1F" w:rsidRPr="00116BFC">
        <w:rPr>
          <w:szCs w:val="20"/>
          <w:lang w:val="es-CR"/>
        </w:rPr>
        <w:t xml:space="preserve">llas”. Este Tribunal ha </w:t>
      </w:r>
      <w:r w:rsidR="008177BB" w:rsidRPr="00116BFC">
        <w:rPr>
          <w:szCs w:val="20"/>
          <w:lang w:val="es-CR"/>
        </w:rPr>
        <w:t>expresado</w:t>
      </w:r>
      <w:r w:rsidRPr="00116BFC">
        <w:rPr>
          <w:szCs w:val="20"/>
          <w:lang w:val="es-CR"/>
        </w:rPr>
        <w:t xml:space="preserve"> que al remitir a la Constitución y leyes establecidas “conforme a ellas”, el estudio de la observancia del artículo 7.2 de la Convención implica el examen del cumplimiento de los requisitos establecidos tan concretamente como sea posible y “de antemano” en dicho ordenamiento en cuanto a las “causas” y “condiciones” de la privación de la libertad física. Si la normativa interna, tanto en el aspecto material como en el formal, no es observada al privar a una persona de su libertad, tal privación será ilegal y contraria a la Convención Americana</w:t>
      </w:r>
      <w:r w:rsidRPr="00116BFC">
        <w:rPr>
          <w:vertAlign w:val="superscript"/>
        </w:rPr>
        <w:footnoteReference w:id="104"/>
      </w:r>
      <w:r w:rsidRPr="00116BFC">
        <w:rPr>
          <w:szCs w:val="20"/>
          <w:lang w:val="es-CR"/>
        </w:rPr>
        <w:t>, a la luz del artículo 7.2</w:t>
      </w:r>
      <w:r w:rsidRPr="00116BFC">
        <w:rPr>
          <w:rStyle w:val="Refdenotaalpie"/>
          <w:lang w:val="es-CR"/>
        </w:rPr>
        <w:footnoteReference w:id="105"/>
      </w:r>
      <w:r w:rsidRPr="00116BFC">
        <w:rPr>
          <w:szCs w:val="20"/>
          <w:lang w:val="es-CR"/>
        </w:rPr>
        <w:t>.</w:t>
      </w:r>
    </w:p>
    <w:p w14:paraId="48A17B3D" w14:textId="77777777" w:rsidR="00792BA6" w:rsidRPr="0092295B" w:rsidRDefault="00792BA6" w:rsidP="00792BA6">
      <w:pPr>
        <w:pStyle w:val="Prrafodelista"/>
        <w:rPr>
          <w:szCs w:val="20"/>
        </w:rPr>
      </w:pPr>
    </w:p>
    <w:p w14:paraId="7DC07C18" w14:textId="42B112A9" w:rsidR="000310D9" w:rsidRPr="0092295B" w:rsidRDefault="000310D9" w:rsidP="00CF2D2A">
      <w:pPr>
        <w:pStyle w:val="Prrafodelista"/>
        <w:numPr>
          <w:ilvl w:val="0"/>
          <w:numId w:val="29"/>
        </w:numPr>
        <w:spacing w:after="0"/>
        <w:ind w:left="0" w:firstLine="0"/>
        <w:rPr>
          <w:szCs w:val="20"/>
        </w:rPr>
      </w:pPr>
      <w:r w:rsidRPr="003B570C">
        <w:rPr>
          <w:szCs w:val="20"/>
        </w:rPr>
        <w:t>Sobre la arbitrariedad referida en el artículo 7.3 de la Convención, la Corte ha establecido que nadie puede ser sometido a detención o encarcelamiento por causas y métodos que -aun calificados de legales- puedan reputarse como incompatibles con el respeto a los derechos fundamentales del individuo por ser, entre otras cosas, irrazonables, imprevisibles o faltos de proporcionalidad</w:t>
      </w:r>
      <w:r w:rsidRPr="003B570C">
        <w:rPr>
          <w:rStyle w:val="Refdenotaalpie"/>
        </w:rPr>
        <w:footnoteReference w:id="106"/>
      </w:r>
      <w:r w:rsidRPr="003B570C">
        <w:rPr>
          <w:szCs w:val="20"/>
          <w:vertAlign w:val="subscript"/>
        </w:rPr>
        <w:t>.</w:t>
      </w:r>
      <w:r w:rsidRPr="003B570C">
        <w:rPr>
          <w:szCs w:val="20"/>
        </w:rPr>
        <w:t xml:space="preserve"> El Tribunal consideró que se requiere que la ley interna, el procedimiento aplicable y los principios generales expresos o tácitos correspondientes sean, en sí mismos, compatibles con la Convención. Así, no se debe equiparar el concepto de “arbitrariedad” con el de “contrario a ley”, sino que debe interpretarse de manera más amplia a fin de incluir elementos de incorrección, injusticia e imprevisibilidad</w:t>
      </w:r>
      <w:r w:rsidRPr="0092295B">
        <w:rPr>
          <w:rStyle w:val="Refdenotaalpie"/>
        </w:rPr>
        <w:footnoteReference w:id="107"/>
      </w:r>
      <w:r w:rsidRPr="0092295B">
        <w:rPr>
          <w:szCs w:val="20"/>
        </w:rPr>
        <w:t xml:space="preserve">. </w:t>
      </w:r>
    </w:p>
    <w:p w14:paraId="5C65B28E" w14:textId="77777777" w:rsidR="000310D9" w:rsidRPr="0092295B" w:rsidRDefault="000310D9" w:rsidP="000310D9">
      <w:pPr>
        <w:pStyle w:val="Prrafodelista"/>
        <w:spacing w:after="0"/>
        <w:ind w:left="0"/>
        <w:rPr>
          <w:szCs w:val="20"/>
        </w:rPr>
      </w:pPr>
    </w:p>
    <w:p w14:paraId="447FEBF2" w14:textId="0AF0CB04" w:rsidR="000310D9" w:rsidRPr="0092295B" w:rsidRDefault="000310D9" w:rsidP="00CF2D2A">
      <w:pPr>
        <w:pStyle w:val="Prrafodelista"/>
        <w:numPr>
          <w:ilvl w:val="0"/>
          <w:numId w:val="29"/>
        </w:numPr>
        <w:spacing w:after="0"/>
        <w:ind w:left="0" w:firstLine="0"/>
        <w:rPr>
          <w:szCs w:val="20"/>
        </w:rPr>
      </w:pPr>
      <w:r w:rsidRPr="0092295B">
        <w:rPr>
          <w:szCs w:val="20"/>
        </w:rPr>
        <w:t xml:space="preserve">La </w:t>
      </w:r>
      <w:r w:rsidRPr="004036AC">
        <w:rPr>
          <w:szCs w:val="20"/>
        </w:rPr>
        <w:t xml:space="preserve">Corte ha considerado que para que una medida cautelar restrictiva de la libertad no sea arbitraria es necesario que: i) se presenten presupuestos materiales relacionados con la existencia de un hecho ilícito y con la vinculación de la persona procesada a ese hecho; ii) </w:t>
      </w:r>
      <w:r w:rsidR="001C3A6B" w:rsidRPr="004036AC">
        <w:rPr>
          <w:szCs w:val="20"/>
        </w:rPr>
        <w:t xml:space="preserve">la medida restrictiva de la libertad </w:t>
      </w:r>
      <w:r w:rsidRPr="004036AC">
        <w:rPr>
          <w:szCs w:val="20"/>
        </w:rPr>
        <w:t>cumpl</w:t>
      </w:r>
      <w:r w:rsidR="001C3A6B" w:rsidRPr="004036AC">
        <w:rPr>
          <w:szCs w:val="20"/>
        </w:rPr>
        <w:t>a</w:t>
      </w:r>
      <w:r w:rsidRPr="004036AC">
        <w:rPr>
          <w:szCs w:val="20"/>
        </w:rPr>
        <w:t xml:space="preserve"> con los cuatro elementos del “test de proporcionalidad”, es decir con la finalidad de la medida que debe ser legítima (compatible con la Convención Americana)</w:t>
      </w:r>
      <w:r w:rsidR="003B442E" w:rsidRPr="004036AC">
        <w:rPr>
          <w:rStyle w:val="Refdenotaalpie"/>
        </w:rPr>
        <w:footnoteReference w:id="108"/>
      </w:r>
      <w:r w:rsidRPr="004036AC">
        <w:rPr>
          <w:szCs w:val="20"/>
        </w:rPr>
        <w:t>, idónea para cumplir con el fin que se persigue, necesaria y estrictamente proporcional</w:t>
      </w:r>
      <w:r w:rsidR="003B442E" w:rsidRPr="004036AC">
        <w:rPr>
          <w:rStyle w:val="Refdenotaalpie"/>
        </w:rPr>
        <w:footnoteReference w:id="109"/>
      </w:r>
      <w:r w:rsidRPr="004036AC">
        <w:rPr>
          <w:szCs w:val="20"/>
        </w:rPr>
        <w:t>, y iii) la decisión que las impone contenga una motivación suficiente que permita evaluar si se ajusta a las condiciones señaladas</w:t>
      </w:r>
      <w:r w:rsidR="003B442E" w:rsidRPr="0092295B">
        <w:rPr>
          <w:rStyle w:val="Refdenotaalpie"/>
        </w:rPr>
        <w:footnoteReference w:id="110"/>
      </w:r>
      <w:r w:rsidRPr="0092295B">
        <w:rPr>
          <w:szCs w:val="20"/>
        </w:rPr>
        <w:t xml:space="preserve">. </w:t>
      </w:r>
    </w:p>
    <w:p w14:paraId="7A8B6E24" w14:textId="77777777" w:rsidR="000310D9" w:rsidRPr="0092295B" w:rsidRDefault="000310D9" w:rsidP="000310D9">
      <w:pPr>
        <w:pStyle w:val="Prrafodelista"/>
        <w:spacing w:after="0"/>
        <w:ind w:left="0"/>
        <w:rPr>
          <w:szCs w:val="20"/>
        </w:rPr>
      </w:pPr>
    </w:p>
    <w:p w14:paraId="15612A66" w14:textId="1E25A27B" w:rsidR="001A7D9B" w:rsidRPr="0092295B" w:rsidRDefault="001A7D9B" w:rsidP="00CF2D2A">
      <w:pPr>
        <w:pStyle w:val="Prrafodelista"/>
        <w:numPr>
          <w:ilvl w:val="0"/>
          <w:numId w:val="29"/>
        </w:numPr>
        <w:spacing w:after="0"/>
        <w:ind w:left="0" w:firstLine="0"/>
        <w:rPr>
          <w:i/>
          <w:strike/>
          <w:color w:val="00B050"/>
          <w:szCs w:val="20"/>
        </w:rPr>
      </w:pPr>
      <w:r w:rsidRPr="0092295B">
        <w:rPr>
          <w:szCs w:val="20"/>
        </w:rPr>
        <w:t xml:space="preserve">En </w:t>
      </w:r>
      <w:r w:rsidRPr="007E641B">
        <w:rPr>
          <w:szCs w:val="20"/>
        </w:rPr>
        <w:t xml:space="preserve">lo que refiere </w:t>
      </w:r>
      <w:r w:rsidR="001C3A6B" w:rsidRPr="007E641B">
        <w:rPr>
          <w:szCs w:val="20"/>
        </w:rPr>
        <w:t>al primer elemento</w:t>
      </w:r>
      <w:r w:rsidR="007E641B" w:rsidRPr="007E641B">
        <w:rPr>
          <w:szCs w:val="20"/>
        </w:rPr>
        <w:t>,</w:t>
      </w:r>
      <w:r w:rsidR="001C3A6B" w:rsidRPr="007E641B">
        <w:rPr>
          <w:szCs w:val="20"/>
        </w:rPr>
        <w:t xml:space="preserve"> del test de proporcionalidad, esto es, la finalidad de la medida</w:t>
      </w:r>
      <w:r w:rsidRPr="007E641B">
        <w:rPr>
          <w:szCs w:val="20"/>
        </w:rPr>
        <w:t xml:space="preserve"> </w:t>
      </w:r>
      <w:r w:rsidR="001C3A6B" w:rsidRPr="007E641B">
        <w:rPr>
          <w:szCs w:val="20"/>
        </w:rPr>
        <w:t>restrictiva de la libertad</w:t>
      </w:r>
      <w:r w:rsidR="007E641B" w:rsidRPr="007E641B">
        <w:rPr>
          <w:szCs w:val="20"/>
        </w:rPr>
        <w:t>,</w:t>
      </w:r>
      <w:r w:rsidR="001C3A6B" w:rsidRPr="007E641B">
        <w:rPr>
          <w:szCs w:val="20"/>
        </w:rPr>
        <w:t xml:space="preserve"> </w:t>
      </w:r>
      <w:r w:rsidRPr="007E641B">
        <w:rPr>
          <w:szCs w:val="20"/>
        </w:rPr>
        <w:t xml:space="preserve">el Tribunal ha indicado que </w:t>
      </w:r>
      <w:r w:rsidR="001C3A6B" w:rsidRPr="007E641B">
        <w:rPr>
          <w:szCs w:val="20"/>
        </w:rPr>
        <w:t xml:space="preserve">una medida de esta naturaleza </w:t>
      </w:r>
      <w:r w:rsidRPr="007E641B">
        <w:rPr>
          <w:szCs w:val="20"/>
        </w:rPr>
        <w:t>solo se debe imponer cuando sea necesaria para la satisfacción de un fin legítimo, a saber: que el acusado no impedirá el desarrollo del procedimiento ni eludirá la acción de la justicia</w:t>
      </w:r>
      <w:r w:rsidRPr="007E641B">
        <w:rPr>
          <w:rStyle w:val="Refdenotaalpie"/>
        </w:rPr>
        <w:footnoteReference w:id="111"/>
      </w:r>
      <w:r w:rsidRPr="007E641B">
        <w:rPr>
          <w:szCs w:val="20"/>
        </w:rPr>
        <w:t>. Asimismo, ha destacado que el peligro procesal no se presume, sino que debe realizarse la verificación del mismo en cada caso, fundado en circunstancias objetivas y ciertas del caso concreto</w:t>
      </w:r>
      <w:r w:rsidRPr="007E641B">
        <w:rPr>
          <w:rStyle w:val="Refdenotaalpie"/>
        </w:rPr>
        <w:footnoteReference w:id="112"/>
      </w:r>
      <w:r w:rsidRPr="007E641B">
        <w:rPr>
          <w:szCs w:val="20"/>
        </w:rPr>
        <w:t>. La exigencia de dichos fines, encuentra fundamento en los artículos 7.3, 7.5 y 8.2 de la Convención</w:t>
      </w:r>
      <w:r w:rsidRPr="0092295B">
        <w:rPr>
          <w:szCs w:val="20"/>
        </w:rPr>
        <w:t>.</w:t>
      </w:r>
      <w:r w:rsidR="00A37EC9" w:rsidRPr="0092295B">
        <w:rPr>
          <w:strike/>
          <w:szCs w:val="20"/>
        </w:rPr>
        <w:t xml:space="preserve"> </w:t>
      </w:r>
    </w:p>
    <w:p w14:paraId="338E89E0" w14:textId="77777777" w:rsidR="001A7D9B" w:rsidRPr="0092295B" w:rsidRDefault="001A7D9B" w:rsidP="001A7D9B">
      <w:pPr>
        <w:pStyle w:val="Prrafodelista"/>
        <w:spacing w:after="0"/>
        <w:ind w:left="0"/>
        <w:rPr>
          <w:szCs w:val="20"/>
        </w:rPr>
      </w:pPr>
    </w:p>
    <w:p w14:paraId="520D4301" w14:textId="1ADC12B8" w:rsidR="000310D9" w:rsidRPr="0092295B" w:rsidRDefault="001C3A6B" w:rsidP="00CF2D2A">
      <w:pPr>
        <w:pStyle w:val="Prrafodelista"/>
        <w:numPr>
          <w:ilvl w:val="0"/>
          <w:numId w:val="29"/>
        </w:numPr>
        <w:spacing w:after="0"/>
        <w:ind w:left="0" w:firstLine="0"/>
        <w:rPr>
          <w:szCs w:val="20"/>
        </w:rPr>
      </w:pPr>
      <w:r w:rsidRPr="0043513E">
        <w:rPr>
          <w:szCs w:val="20"/>
        </w:rPr>
        <w:t>Asimismo, l</w:t>
      </w:r>
      <w:r w:rsidR="000310D9" w:rsidRPr="0043513E">
        <w:rPr>
          <w:szCs w:val="20"/>
        </w:rPr>
        <w:t xml:space="preserve">a Corte ha considerado </w:t>
      </w:r>
      <w:r w:rsidR="00DC61C9">
        <w:rPr>
          <w:szCs w:val="20"/>
        </w:rPr>
        <w:t xml:space="preserve">que </w:t>
      </w:r>
      <w:r w:rsidR="000310D9" w:rsidRPr="0043513E">
        <w:rPr>
          <w:szCs w:val="20"/>
        </w:rPr>
        <w:t xml:space="preserve">la prisión preventiva </w:t>
      </w:r>
      <w:r w:rsidR="00DC61C9">
        <w:rPr>
          <w:szCs w:val="20"/>
        </w:rPr>
        <w:t>debe tener una naturaleza</w:t>
      </w:r>
      <w:r w:rsidR="000310D9" w:rsidRPr="0043513E">
        <w:rPr>
          <w:szCs w:val="20"/>
        </w:rPr>
        <w:t xml:space="preserve"> cautelar y no </w:t>
      </w:r>
      <w:r w:rsidR="00DC61C9">
        <w:rPr>
          <w:szCs w:val="20"/>
        </w:rPr>
        <w:t xml:space="preserve">ser </w:t>
      </w:r>
      <w:r w:rsidR="000310D9" w:rsidRPr="0043513E">
        <w:rPr>
          <w:szCs w:val="20"/>
        </w:rPr>
        <w:t>una medida de carácter punitivo</w:t>
      </w:r>
      <w:r w:rsidR="003B442E" w:rsidRPr="0043513E">
        <w:rPr>
          <w:rStyle w:val="Refdenotaalpie"/>
        </w:rPr>
        <w:footnoteReference w:id="113"/>
      </w:r>
      <w:r w:rsidR="000310D9" w:rsidRPr="0043513E">
        <w:rPr>
          <w:szCs w:val="20"/>
        </w:rPr>
        <w:t>, la cual debe aplicarse excepcionalmente</w:t>
      </w:r>
      <w:r w:rsidR="008B273E">
        <w:rPr>
          <w:szCs w:val="20"/>
        </w:rPr>
        <w:t xml:space="preserve"> y </w:t>
      </w:r>
      <w:r w:rsidR="000310D9" w:rsidRPr="0043513E">
        <w:rPr>
          <w:szCs w:val="20"/>
        </w:rPr>
        <w:t>no puede residir en fines preventivo-generales o preventivo-especiales atribuibles a la pena. En consecuencia,</w:t>
      </w:r>
      <w:r w:rsidR="008B273E">
        <w:rPr>
          <w:szCs w:val="20"/>
        </w:rPr>
        <w:t xml:space="preserve"> </w:t>
      </w:r>
      <w:r w:rsidR="00237C9F">
        <w:rPr>
          <w:szCs w:val="20"/>
        </w:rPr>
        <w:t xml:space="preserve">este Tribunal </w:t>
      </w:r>
      <w:r w:rsidR="008B273E">
        <w:rPr>
          <w:szCs w:val="20"/>
        </w:rPr>
        <w:t>reitera</w:t>
      </w:r>
      <w:r w:rsidR="000310D9" w:rsidRPr="0043513E">
        <w:rPr>
          <w:szCs w:val="20"/>
        </w:rPr>
        <w:t xml:space="preserve"> que la regla debe ser la libertad del procesado mientras se resuelve acerca de su responsabilidad penal</w:t>
      </w:r>
      <w:r w:rsidR="008B273E">
        <w:rPr>
          <w:szCs w:val="20"/>
        </w:rPr>
        <w:t xml:space="preserve"> (</w:t>
      </w:r>
      <w:r w:rsidR="008B273E" w:rsidRPr="00461C9D">
        <w:rPr>
          <w:i/>
          <w:szCs w:val="20"/>
        </w:rPr>
        <w:t>supra</w:t>
      </w:r>
      <w:r w:rsidR="008B273E">
        <w:rPr>
          <w:szCs w:val="20"/>
        </w:rPr>
        <w:t xml:space="preserve"> párr. 83)</w:t>
      </w:r>
      <w:r w:rsidR="000310D9" w:rsidRPr="0092295B">
        <w:rPr>
          <w:szCs w:val="20"/>
        </w:rPr>
        <w:t xml:space="preserve">. </w:t>
      </w:r>
    </w:p>
    <w:p w14:paraId="61D054CE" w14:textId="77777777" w:rsidR="000310D9" w:rsidRPr="0092295B" w:rsidRDefault="000310D9" w:rsidP="000310D9">
      <w:pPr>
        <w:pStyle w:val="Prrafodelista"/>
        <w:spacing w:after="0"/>
        <w:ind w:left="0"/>
        <w:rPr>
          <w:szCs w:val="20"/>
        </w:rPr>
      </w:pPr>
    </w:p>
    <w:p w14:paraId="217E4FFF" w14:textId="1CBF5C08" w:rsidR="00017E38" w:rsidRPr="0092295B" w:rsidRDefault="000310D9" w:rsidP="00CF2D2A">
      <w:pPr>
        <w:pStyle w:val="Prrafodelista"/>
        <w:numPr>
          <w:ilvl w:val="0"/>
          <w:numId w:val="29"/>
        </w:numPr>
        <w:spacing w:after="0"/>
        <w:ind w:left="0" w:firstLine="0"/>
        <w:rPr>
          <w:szCs w:val="20"/>
        </w:rPr>
      </w:pPr>
      <w:r w:rsidRPr="00794C71">
        <w:rPr>
          <w:szCs w:val="20"/>
        </w:rPr>
        <w:t>Dado lo anterior, corresponde a la autoridad judicial imponer medidas de esta naturaleza únicamente cuando acredite que: a) la finalidad de las medidas que priven o restrinjan la libertad sea compatible con la Convención; b) que las medidas adoptadas sean las idóneas para cumplir con el fin perseguido; c) que sean necesarias, en el sentido de que sean absolutamente indispensables para conseguir el fin deseado y que no exista una medida menos gravosa respecto al derecho intervenido entre todas aquellas que cuentan con la misma idoneidad para alcanzar el objetivo propuesto, y d) que resulten estrictamente proporcionales, de tal forma que el sacrificio inherente a la restricción del derecho a la libertad no resulte exagerado o desmedido frente a las ventajas que se obtienen mediante tal restricción y el cumplimiento de la finalidad perseguida</w:t>
      </w:r>
      <w:r w:rsidR="003B442E" w:rsidRPr="0092295B">
        <w:rPr>
          <w:rStyle w:val="Refdenotaalpie"/>
        </w:rPr>
        <w:footnoteReference w:id="114"/>
      </w:r>
      <w:r w:rsidRPr="0092295B">
        <w:rPr>
          <w:szCs w:val="20"/>
        </w:rPr>
        <w:t>.</w:t>
      </w:r>
    </w:p>
    <w:p w14:paraId="77D311F6" w14:textId="77777777" w:rsidR="001A7D9B" w:rsidRPr="0092295B" w:rsidRDefault="001A7D9B" w:rsidP="001A7D9B">
      <w:pPr>
        <w:pStyle w:val="Prrafodelista"/>
        <w:rPr>
          <w:rFonts w:eastAsia="Times New Roman"/>
          <w:b/>
          <w:szCs w:val="20"/>
        </w:rPr>
      </w:pPr>
    </w:p>
    <w:p w14:paraId="7B8132AB" w14:textId="18ACBFF0" w:rsidR="001A7D9B" w:rsidRPr="0092295B" w:rsidRDefault="008177BB" w:rsidP="00CF2D2A">
      <w:pPr>
        <w:pStyle w:val="Prrafodelista"/>
        <w:numPr>
          <w:ilvl w:val="0"/>
          <w:numId w:val="29"/>
        </w:numPr>
        <w:ind w:left="0" w:firstLine="0"/>
        <w:rPr>
          <w:rFonts w:eastAsia="Times New Roman" w:cs="Times New Roman"/>
          <w:szCs w:val="20"/>
          <w:lang w:val="es-CR" w:eastAsia="en-GB"/>
        </w:rPr>
      </w:pPr>
      <w:r w:rsidRPr="0092295B">
        <w:rPr>
          <w:rFonts w:eastAsia="Times New Roman"/>
          <w:szCs w:val="20"/>
        </w:rPr>
        <w:t>Ademá</w:t>
      </w:r>
      <w:r w:rsidRPr="006E5CD2">
        <w:rPr>
          <w:rFonts w:eastAsia="Times New Roman"/>
          <w:szCs w:val="20"/>
        </w:rPr>
        <w:t>s, l</w:t>
      </w:r>
      <w:r w:rsidR="001A7D9B" w:rsidRPr="006E5CD2">
        <w:rPr>
          <w:rFonts w:eastAsia="Times New Roman"/>
          <w:szCs w:val="20"/>
        </w:rPr>
        <w:t>a Corte ha considerado que cualquier restricción a la libertad que no contenga una motivación suficiente que permita evaluar si se ajusta a las condic</w:t>
      </w:r>
      <w:r w:rsidR="004B02E5">
        <w:rPr>
          <w:rFonts w:eastAsia="Times New Roman"/>
          <w:szCs w:val="20"/>
        </w:rPr>
        <w:t>iones señaladas será arbitraria</w:t>
      </w:r>
      <w:r w:rsidR="006E5CD2" w:rsidRPr="006E5CD2">
        <w:rPr>
          <w:rStyle w:val="Refdenotaalpie"/>
          <w:rFonts w:eastAsia="Times New Roman"/>
        </w:rPr>
        <w:footnoteReference w:id="115"/>
      </w:r>
      <w:r w:rsidR="004B02E5">
        <w:rPr>
          <w:rFonts w:eastAsia="Times New Roman"/>
          <w:szCs w:val="20"/>
        </w:rPr>
        <w:t>.</w:t>
      </w:r>
      <w:r w:rsidR="001A7D9B" w:rsidRPr="006E5CD2">
        <w:rPr>
          <w:rFonts w:eastAsia="Times New Roman"/>
          <w:szCs w:val="20"/>
        </w:rPr>
        <w:t xml:space="preserve"> </w:t>
      </w:r>
      <w:r w:rsidR="001A7D9B" w:rsidRPr="00994B7F">
        <w:rPr>
          <w:rFonts w:eastAsia="Times New Roman" w:cs="Times New Roman"/>
          <w:szCs w:val="20"/>
          <w:lang w:val="es-CR" w:eastAsia="en-GB"/>
        </w:rPr>
        <w:t>La decisión judicial debe fundamentar y acreditar -</w:t>
      </w:r>
      <w:r w:rsidR="001A7D9B" w:rsidRPr="00994B7F">
        <w:rPr>
          <w:rFonts w:eastAsia="Times New Roman"/>
          <w:szCs w:val="20"/>
        </w:rPr>
        <w:t xml:space="preserve"> de manera clara y motivada-</w:t>
      </w:r>
      <w:r w:rsidR="001A7D9B" w:rsidRPr="00994B7F">
        <w:rPr>
          <w:rFonts w:eastAsia="Times New Roman" w:cs="Times New Roman"/>
          <w:szCs w:val="20"/>
          <w:lang w:val="es-CR" w:eastAsia="en-GB"/>
        </w:rPr>
        <w:t xml:space="preserve"> la existencia de indicios suficientes que prueben la conducta delictiva de la persona</w:t>
      </w:r>
      <w:r w:rsidR="001A7D9B" w:rsidRPr="00994B7F">
        <w:rPr>
          <w:rStyle w:val="Refdenotaalpie"/>
          <w:rFonts w:eastAsia="Times New Roman"/>
          <w:lang w:val="en-GB" w:eastAsia="en-GB"/>
        </w:rPr>
        <w:footnoteReference w:id="116"/>
      </w:r>
      <w:r w:rsidR="001A7D9B" w:rsidRPr="00994B7F">
        <w:rPr>
          <w:rFonts w:eastAsia="Times New Roman" w:cs="Times New Roman"/>
          <w:szCs w:val="20"/>
          <w:lang w:val="es-CR" w:eastAsia="en-GB"/>
        </w:rPr>
        <w:t xml:space="preserve">. </w:t>
      </w:r>
      <w:r w:rsidR="001A7D9B" w:rsidRPr="005F186B">
        <w:rPr>
          <w:rFonts w:eastAsia="Times New Roman" w:cs="Times New Roman"/>
          <w:szCs w:val="20"/>
          <w:lang w:val="es-CR" w:eastAsia="en-GB"/>
        </w:rPr>
        <w:t>Ello resguarda la presunción de inocencia</w:t>
      </w:r>
      <w:r w:rsidR="001A7D9B" w:rsidRPr="005F186B">
        <w:rPr>
          <w:rStyle w:val="Refdenotaalpie"/>
          <w:rFonts w:eastAsia="Times New Roman"/>
          <w:lang w:val="en-GB" w:eastAsia="en-GB"/>
        </w:rPr>
        <w:footnoteReference w:id="117"/>
      </w:r>
      <w:r w:rsidR="001A7D9B" w:rsidRPr="005F186B">
        <w:rPr>
          <w:rFonts w:eastAsia="Times New Roman" w:cs="Times New Roman"/>
          <w:szCs w:val="20"/>
          <w:lang w:val="es-CR" w:eastAsia="en-GB"/>
        </w:rPr>
        <w:t>. Además, las características personales del supuesto autor y la gravedad del delito que se le imputa no son, por si mismos, justificación suficiente de la prisión preventiva</w:t>
      </w:r>
      <w:r w:rsidR="001A7D9B" w:rsidRPr="005F186B">
        <w:rPr>
          <w:rStyle w:val="Refdenotaalpie"/>
          <w:rFonts w:eastAsia="Times New Roman"/>
          <w:lang w:val="en-GB" w:eastAsia="en-GB"/>
        </w:rPr>
        <w:footnoteReference w:id="118"/>
      </w:r>
      <w:r w:rsidR="00A37EC9" w:rsidRPr="005F186B">
        <w:rPr>
          <w:rFonts w:eastAsia="Times New Roman" w:cs="Times New Roman"/>
          <w:szCs w:val="20"/>
          <w:lang w:val="es-CR" w:eastAsia="en-GB"/>
        </w:rPr>
        <w:t>.</w:t>
      </w:r>
    </w:p>
    <w:p w14:paraId="472CACF6" w14:textId="18498E3F" w:rsidR="00A37EC9" w:rsidRPr="0092295B" w:rsidRDefault="00A37EC9" w:rsidP="00A37EC9">
      <w:pPr>
        <w:pStyle w:val="Prrafodelista"/>
        <w:ind w:left="0"/>
        <w:rPr>
          <w:rFonts w:eastAsia="Times New Roman" w:cs="Times New Roman"/>
          <w:szCs w:val="20"/>
          <w:lang w:val="es-CR" w:eastAsia="en-GB"/>
        </w:rPr>
      </w:pPr>
    </w:p>
    <w:p w14:paraId="76C90C38" w14:textId="7FAAE714" w:rsidR="00A37EC9" w:rsidRPr="008D6C78" w:rsidRDefault="00A37EC9" w:rsidP="00CF2D2A">
      <w:pPr>
        <w:pStyle w:val="Prrafodelista"/>
        <w:numPr>
          <w:ilvl w:val="0"/>
          <w:numId w:val="29"/>
        </w:numPr>
        <w:spacing w:before="0" w:after="0"/>
        <w:ind w:left="0" w:firstLine="0"/>
        <w:rPr>
          <w:szCs w:val="20"/>
        </w:rPr>
      </w:pPr>
      <w:r w:rsidRPr="002B201F">
        <w:rPr>
          <w:rFonts w:eastAsia="Times New Roman" w:cs="Times New Roman"/>
          <w:color w:val="000000" w:themeColor="text1"/>
          <w:szCs w:val="20"/>
          <w:lang w:val="es-CR" w:eastAsia="en-GB"/>
        </w:rPr>
        <w:t xml:space="preserve">Conforme a la jurisprudencia, la detención o prisión preventiva debe estar sometida a revisión periódica, de tal forma que no se prolongue cuando no subsistan las razones que motivaron su adopción. El juez debe valorar si se mantienen las causas de la medida y la necesidad y la proporcionalidad de la detención, además de si se ha respetado la razonabilidad del plazo. De lo contrario, </w:t>
      </w:r>
      <w:r w:rsidRPr="002B201F">
        <w:rPr>
          <w:rFonts w:eastAsia="Times New Roman" w:cs="Times New Roman"/>
          <w:color w:val="000000" w:themeColor="text1"/>
          <w:szCs w:val="20"/>
          <w:shd w:val="clear" w:color="auto" w:fill="FFFFFF"/>
          <w:lang w:val="es-CR" w:eastAsia="en-GB"/>
        </w:rPr>
        <w:t xml:space="preserve">el juez deberá ordenar inmediatamente la libertad del privado. </w:t>
      </w:r>
      <w:r w:rsidR="00C14EC9" w:rsidRPr="008D6C78">
        <w:rPr>
          <w:rFonts w:eastAsia="Times New Roman" w:cs="Times New Roman"/>
          <w:color w:val="000000" w:themeColor="text1"/>
          <w:szCs w:val="20"/>
          <w:lang w:val="es-CR" w:eastAsia="en-GB"/>
        </w:rPr>
        <w:t>Recae</w:t>
      </w:r>
      <w:r w:rsidRPr="008D6C78">
        <w:rPr>
          <w:rFonts w:eastAsia="Times New Roman" w:cs="Times New Roman"/>
          <w:color w:val="000000" w:themeColor="text1"/>
          <w:szCs w:val="20"/>
          <w:lang w:val="es-CR" w:eastAsia="en-GB"/>
        </w:rPr>
        <w:t xml:space="preserve"> en las autoridades nacionales aportar los motivos suficientes por los cuales se mantiene la restricción de la libertad, lo cual debe estar fundado en la necesidad de asegurar que el detenido no impedirá el desarrollo eficiente de las investigaciones ni eludirá la acción de la justicia</w:t>
      </w:r>
      <w:r w:rsidRPr="008D6C78">
        <w:rPr>
          <w:rStyle w:val="Refdenotaalpie"/>
          <w:rFonts w:eastAsia="Times New Roman"/>
          <w:color w:val="000000" w:themeColor="text1"/>
          <w:lang w:val="en-GB" w:eastAsia="en-GB"/>
        </w:rPr>
        <w:footnoteReference w:id="119"/>
      </w:r>
      <w:r w:rsidRPr="008D6C78">
        <w:rPr>
          <w:rFonts w:eastAsia="Times New Roman" w:cs="Times New Roman"/>
          <w:color w:val="000000" w:themeColor="text1"/>
          <w:szCs w:val="20"/>
          <w:lang w:val="es-CR" w:eastAsia="en-GB"/>
        </w:rPr>
        <w:t>.</w:t>
      </w:r>
    </w:p>
    <w:p w14:paraId="50A77C67" w14:textId="77777777" w:rsidR="00A37EC9" w:rsidRPr="0092295B" w:rsidRDefault="00A37EC9" w:rsidP="00A37EC9">
      <w:pPr>
        <w:pStyle w:val="Prrafodelista"/>
        <w:ind w:left="0"/>
        <w:rPr>
          <w:rFonts w:eastAsia="Times New Roman" w:cs="Times New Roman"/>
          <w:szCs w:val="20"/>
          <w:lang w:val="es-CR" w:eastAsia="en-GB"/>
        </w:rPr>
      </w:pPr>
    </w:p>
    <w:p w14:paraId="2681BE30" w14:textId="042FA2E5" w:rsidR="001A7D9B" w:rsidRPr="0092295B" w:rsidRDefault="001A7D9B" w:rsidP="00CF2D2A">
      <w:pPr>
        <w:pStyle w:val="Prrafodelista"/>
        <w:numPr>
          <w:ilvl w:val="0"/>
          <w:numId w:val="29"/>
        </w:numPr>
        <w:spacing w:before="240" w:after="160"/>
        <w:ind w:left="0" w:firstLine="0"/>
        <w:rPr>
          <w:szCs w:val="20"/>
          <w:lang w:val="es-ES"/>
        </w:rPr>
      </w:pPr>
      <w:r w:rsidRPr="0092295B">
        <w:rPr>
          <w:szCs w:val="20"/>
          <w:lang w:val="es-ES"/>
        </w:rPr>
        <w:t xml:space="preserve">Uno </w:t>
      </w:r>
      <w:r w:rsidRPr="008D6C78">
        <w:rPr>
          <w:szCs w:val="20"/>
          <w:lang w:val="es-ES"/>
        </w:rPr>
        <w:t xml:space="preserve">de los principios que limitan la prisión preventiva es el de presunción de inocencia, contenido en el artículo 8.2, según el cual </w:t>
      </w:r>
      <w:r w:rsidRPr="008D6C78">
        <w:rPr>
          <w:szCs w:val="20"/>
          <w:lang w:val="es-CR"/>
        </w:rPr>
        <w:t xml:space="preserve">una persona es considerada inocente hasta que su culpabilidad sea demostrada. De esta garantía se desprende que los elementos que acreditan la existencia de los fines legítimos de la privación preventiva de la libertad </w:t>
      </w:r>
      <w:r w:rsidRPr="008D6C78">
        <w:rPr>
          <w:szCs w:val="20"/>
          <w:lang w:val="es-ES"/>
        </w:rPr>
        <w:t xml:space="preserve">tampoco se </w:t>
      </w:r>
      <w:r w:rsidRPr="008D6C78">
        <w:rPr>
          <w:szCs w:val="20"/>
          <w:lang w:val="es-CR"/>
        </w:rPr>
        <w:t>presumen</w:t>
      </w:r>
      <w:r w:rsidRPr="008D6C78">
        <w:rPr>
          <w:szCs w:val="20"/>
          <w:lang w:val="es-ES"/>
        </w:rPr>
        <w:t>, sino que el juez debe fundar su decisión en circunstancias objetivas y ciertas del caso concreto, que corresponde acreditar al titular de la persecución penal y no al acusado, quien además debe tener la posibilidad de ejercer el derecho de contradicción y estar debidamente asistido por un abogado</w:t>
      </w:r>
      <w:r w:rsidRPr="008D6C78">
        <w:rPr>
          <w:rStyle w:val="Refdenotaalpie"/>
          <w:lang w:val="es-ES"/>
        </w:rPr>
        <w:footnoteReference w:id="120"/>
      </w:r>
      <w:r w:rsidRPr="008D6C78">
        <w:rPr>
          <w:szCs w:val="20"/>
          <w:lang w:val="es-ES"/>
        </w:rPr>
        <w:t xml:space="preserve">. </w:t>
      </w:r>
      <w:r w:rsidR="00FC0839" w:rsidRPr="007C53EF">
        <w:rPr>
          <w:szCs w:val="20"/>
          <w:lang w:val="es-ES"/>
        </w:rPr>
        <w:t>En l</w:t>
      </w:r>
      <w:r w:rsidR="000E48C8" w:rsidRPr="007C53EF">
        <w:rPr>
          <w:szCs w:val="20"/>
          <w:lang w:val="es-ES"/>
        </w:rPr>
        <w:t xml:space="preserve">a </w:t>
      </w:r>
      <w:r w:rsidR="00FC0839" w:rsidRPr="007C53EF">
        <w:rPr>
          <w:szCs w:val="20"/>
          <w:lang w:val="es-ES"/>
        </w:rPr>
        <w:t>imposición de la medida cautelar de prisión preventiva se debe verificar la presencia de los fines procesales convencionales exigibles</w:t>
      </w:r>
      <w:r w:rsidR="00F57A98" w:rsidRPr="007C53EF">
        <w:rPr>
          <w:szCs w:val="20"/>
          <w:lang w:val="es-ES"/>
        </w:rPr>
        <w:t>, de lo contrario supone la aplicación</w:t>
      </w:r>
      <w:r w:rsidR="00AC0F07" w:rsidRPr="007C53EF">
        <w:rPr>
          <w:szCs w:val="20"/>
          <w:lang w:val="es-ES"/>
        </w:rPr>
        <w:t xml:space="preserve"> </w:t>
      </w:r>
      <w:r w:rsidR="00310CE4" w:rsidRPr="007C53EF">
        <w:rPr>
          <w:szCs w:val="20"/>
          <w:lang w:val="es-ES"/>
        </w:rPr>
        <w:t xml:space="preserve">de </w:t>
      </w:r>
      <w:r w:rsidR="00D65136">
        <w:rPr>
          <w:szCs w:val="20"/>
          <w:lang w:val="es-ES"/>
        </w:rPr>
        <w:t>una pena anticipada.</w:t>
      </w:r>
    </w:p>
    <w:p w14:paraId="49A5719C" w14:textId="77777777" w:rsidR="003B442E" w:rsidRPr="0092295B" w:rsidRDefault="003B442E" w:rsidP="003B442E">
      <w:pPr>
        <w:pStyle w:val="Prrafodelista"/>
        <w:spacing w:after="0"/>
        <w:ind w:left="0"/>
        <w:rPr>
          <w:szCs w:val="20"/>
          <w:lang w:val="es-ES"/>
        </w:rPr>
      </w:pPr>
    </w:p>
    <w:p w14:paraId="4FA83AB7" w14:textId="725A8087" w:rsidR="00B54974" w:rsidRPr="00ED2790" w:rsidRDefault="006E3A2B" w:rsidP="00B54974">
      <w:pPr>
        <w:pStyle w:val="Prrafodelista"/>
        <w:numPr>
          <w:ilvl w:val="0"/>
          <w:numId w:val="29"/>
        </w:numPr>
        <w:ind w:left="0" w:firstLine="0"/>
        <w:rPr>
          <w:rFonts w:eastAsia="Times New Roman" w:cs="Times New Roman"/>
          <w:szCs w:val="20"/>
          <w:lang w:val="es-CR" w:eastAsia="en-GB"/>
        </w:rPr>
      </w:pPr>
      <w:r w:rsidRPr="0092295B">
        <w:rPr>
          <w:szCs w:val="20"/>
        </w:rPr>
        <w:t>A continuación</w:t>
      </w:r>
      <w:r w:rsidR="0042005A" w:rsidRPr="0092295B">
        <w:rPr>
          <w:szCs w:val="20"/>
        </w:rPr>
        <w:t>,</w:t>
      </w:r>
      <w:r w:rsidRPr="0092295B">
        <w:rPr>
          <w:szCs w:val="20"/>
        </w:rPr>
        <w:t xml:space="preserve"> e</w:t>
      </w:r>
      <w:r w:rsidRPr="0092295B">
        <w:rPr>
          <w:szCs w:val="20"/>
          <w:lang w:val="es-CR"/>
        </w:rPr>
        <w:t>n atención a las</w:t>
      </w:r>
      <w:r w:rsidR="00FE5829" w:rsidRPr="0092295B">
        <w:rPr>
          <w:szCs w:val="20"/>
          <w:lang w:val="es-CR"/>
        </w:rPr>
        <w:t xml:space="preserve"> </w:t>
      </w:r>
      <w:r w:rsidRPr="0092295B">
        <w:rPr>
          <w:szCs w:val="20"/>
          <w:lang w:val="es-CR"/>
        </w:rPr>
        <w:t xml:space="preserve">violaciones de los derechos </w:t>
      </w:r>
      <w:r w:rsidR="002C21B7">
        <w:rPr>
          <w:szCs w:val="20"/>
          <w:lang w:val="es-CR"/>
        </w:rPr>
        <w:t>reconocidos en</w:t>
      </w:r>
      <w:r w:rsidR="002C21B7" w:rsidRPr="0092295B">
        <w:rPr>
          <w:szCs w:val="20"/>
          <w:lang w:val="es-CR"/>
        </w:rPr>
        <w:t xml:space="preserve"> </w:t>
      </w:r>
      <w:r w:rsidRPr="0092295B">
        <w:rPr>
          <w:szCs w:val="20"/>
          <w:lang w:val="es-CR"/>
        </w:rPr>
        <w:t>la Convención</w:t>
      </w:r>
      <w:r w:rsidR="00F519B6" w:rsidRPr="0092295B">
        <w:rPr>
          <w:szCs w:val="20"/>
          <w:lang w:val="es-CR"/>
        </w:rPr>
        <w:t xml:space="preserve"> Americana</w:t>
      </w:r>
      <w:r w:rsidRPr="0092295B">
        <w:rPr>
          <w:szCs w:val="20"/>
          <w:lang w:val="es-CR"/>
        </w:rPr>
        <w:t xml:space="preserve"> alegadas en el presente caso, la Corte las analizará en el siguiente orden: 1) Detención en firme</w:t>
      </w:r>
      <w:r w:rsidR="00744934" w:rsidRPr="0092295B">
        <w:rPr>
          <w:szCs w:val="20"/>
          <w:lang w:val="es-CR"/>
        </w:rPr>
        <w:t>;</w:t>
      </w:r>
      <w:r w:rsidRPr="0092295B">
        <w:rPr>
          <w:szCs w:val="20"/>
          <w:lang w:val="es-CR"/>
        </w:rPr>
        <w:t xml:space="preserve"> </w:t>
      </w:r>
      <w:r w:rsidR="000148A8" w:rsidRPr="0092295B">
        <w:rPr>
          <w:szCs w:val="20"/>
          <w:lang w:val="es-CR"/>
        </w:rPr>
        <w:t xml:space="preserve">2) </w:t>
      </w:r>
      <w:r w:rsidR="00F0068F" w:rsidRPr="0092295B">
        <w:rPr>
          <w:szCs w:val="20"/>
          <w:lang w:val="es-CR"/>
        </w:rPr>
        <w:t>Detención preventiva</w:t>
      </w:r>
      <w:r w:rsidR="000148A8" w:rsidRPr="0092295B">
        <w:rPr>
          <w:szCs w:val="20"/>
          <w:lang w:val="es-CR"/>
        </w:rPr>
        <w:t xml:space="preserve">, y </w:t>
      </w:r>
      <w:r w:rsidR="00F0068F" w:rsidRPr="0092295B">
        <w:rPr>
          <w:szCs w:val="20"/>
          <w:lang w:val="es-CR"/>
        </w:rPr>
        <w:t>3</w:t>
      </w:r>
      <w:r w:rsidRPr="0092295B">
        <w:rPr>
          <w:szCs w:val="20"/>
          <w:lang w:val="es-CR"/>
        </w:rPr>
        <w:t>) Conclusión.</w:t>
      </w:r>
      <w:r w:rsidR="00E52412" w:rsidRPr="0092295B">
        <w:rPr>
          <w:szCs w:val="20"/>
          <w:lang w:val="es-CR"/>
        </w:rPr>
        <w:t xml:space="preserve"> </w:t>
      </w:r>
    </w:p>
    <w:p w14:paraId="7BC07D8D" w14:textId="7E7C5DFF" w:rsidR="00B02599" w:rsidRPr="00F911DC" w:rsidRDefault="00F64244" w:rsidP="00F911DC">
      <w:pPr>
        <w:pStyle w:val="Ttulo2"/>
        <w:ind w:left="284"/>
        <w:rPr>
          <w:rFonts w:eastAsia="Times New Roman" w:cs="Times New Roman"/>
          <w:i w:val="0"/>
          <w:color w:val="00B050"/>
          <w:lang w:val="es-CR" w:eastAsia="en-GB"/>
        </w:rPr>
      </w:pPr>
      <w:bookmarkStart w:id="113" w:name="_Toc87339021"/>
      <w:r w:rsidRPr="00F911DC">
        <w:rPr>
          <w:i w:val="0"/>
        </w:rPr>
        <w:t>B</w:t>
      </w:r>
      <w:r w:rsidR="00792BA6" w:rsidRPr="00F911DC">
        <w:rPr>
          <w:i w:val="0"/>
        </w:rPr>
        <w:t>.</w:t>
      </w:r>
      <w:r w:rsidR="005D6E7F" w:rsidRPr="00F911DC">
        <w:rPr>
          <w:i w:val="0"/>
        </w:rPr>
        <w:t xml:space="preserve"> </w:t>
      </w:r>
      <w:r w:rsidR="006E3A2B" w:rsidRPr="00F911DC">
        <w:rPr>
          <w:i w:val="0"/>
        </w:rPr>
        <w:t xml:space="preserve"> </w:t>
      </w:r>
      <w:r w:rsidR="005D6E7F" w:rsidRPr="00F911DC">
        <w:rPr>
          <w:i w:val="0"/>
        </w:rPr>
        <w:t xml:space="preserve"> </w:t>
      </w:r>
      <w:r w:rsidR="006E3A2B" w:rsidRPr="00F911DC">
        <w:rPr>
          <w:i w:val="0"/>
        </w:rPr>
        <w:t>Detención en firm</w:t>
      </w:r>
      <w:r w:rsidR="00E93DBF" w:rsidRPr="00F911DC">
        <w:rPr>
          <w:rFonts w:cs="Bookman Old Style"/>
          <w:i w:val="0"/>
        </w:rPr>
        <w:t>e</w:t>
      </w:r>
      <w:bookmarkEnd w:id="113"/>
    </w:p>
    <w:p w14:paraId="7089B522" w14:textId="4A75A064" w:rsidR="006E3A2B" w:rsidRPr="0092295B" w:rsidRDefault="0089700B" w:rsidP="002755A9">
      <w:pPr>
        <w:pStyle w:val="Prrafodelista"/>
        <w:numPr>
          <w:ilvl w:val="0"/>
          <w:numId w:val="29"/>
        </w:numPr>
        <w:spacing w:before="0" w:after="0"/>
        <w:ind w:left="0" w:firstLine="0"/>
        <w:rPr>
          <w:rFonts w:eastAsia="Times New Roman" w:cs="Times New Roman"/>
          <w:szCs w:val="20"/>
          <w:lang w:val="es-CR" w:eastAsia="en-GB"/>
        </w:rPr>
      </w:pPr>
      <w:r>
        <w:rPr>
          <w:rFonts w:eastAsia="Times New Roman" w:cs="Times New Roman"/>
          <w:szCs w:val="20"/>
          <w:lang w:eastAsia="en-GB"/>
        </w:rPr>
        <w:t xml:space="preserve">Como previamente se señaló </w:t>
      </w:r>
      <w:r w:rsidR="00DC6663" w:rsidRPr="00DC6663">
        <w:rPr>
          <w:rFonts w:eastAsia="Times New Roman" w:cs="Times New Roman"/>
          <w:szCs w:val="20"/>
          <w:lang w:eastAsia="en-GB"/>
        </w:rPr>
        <w:t>(</w:t>
      </w:r>
      <w:r w:rsidR="00DC6663" w:rsidRPr="00DC6663">
        <w:rPr>
          <w:rFonts w:eastAsia="Times New Roman" w:cs="Times New Roman"/>
          <w:i/>
          <w:szCs w:val="20"/>
          <w:lang w:eastAsia="en-GB"/>
        </w:rPr>
        <w:t xml:space="preserve">supra </w:t>
      </w:r>
      <w:r w:rsidR="00DC6663" w:rsidRPr="00DC6663">
        <w:rPr>
          <w:rFonts w:eastAsia="Times New Roman" w:cs="Times New Roman"/>
          <w:szCs w:val="20"/>
          <w:lang w:eastAsia="en-GB"/>
        </w:rPr>
        <w:t>párr. 37</w:t>
      </w:r>
      <w:r w:rsidRPr="00DC6663">
        <w:rPr>
          <w:rFonts w:eastAsia="Times New Roman" w:cs="Times New Roman"/>
          <w:szCs w:val="20"/>
          <w:lang w:eastAsia="en-GB"/>
        </w:rPr>
        <w:t>)</w:t>
      </w:r>
      <w:r w:rsidR="008A33AC">
        <w:rPr>
          <w:rFonts w:eastAsia="Times New Roman" w:cs="Times New Roman"/>
          <w:szCs w:val="20"/>
          <w:lang w:eastAsia="en-GB"/>
        </w:rPr>
        <w:t>,</w:t>
      </w:r>
      <w:r>
        <w:rPr>
          <w:rFonts w:eastAsia="Times New Roman" w:cs="Times New Roman"/>
          <w:szCs w:val="20"/>
          <w:lang w:eastAsia="en-GB"/>
        </w:rPr>
        <w:t xml:space="preserve"> </w:t>
      </w:r>
      <w:r w:rsidRPr="00C12CF7">
        <w:rPr>
          <w:szCs w:val="20"/>
        </w:rPr>
        <w:t>en el año 2003</w:t>
      </w:r>
      <w:r w:rsidR="008A33AC">
        <w:rPr>
          <w:szCs w:val="20"/>
        </w:rPr>
        <w:t>,</w:t>
      </w:r>
      <w:r w:rsidRPr="00C12CF7">
        <w:rPr>
          <w:szCs w:val="20"/>
        </w:rPr>
        <w:t xml:space="preserve"> la </w:t>
      </w:r>
      <w:r w:rsidR="00FD4D5B">
        <w:rPr>
          <w:szCs w:val="20"/>
        </w:rPr>
        <w:t xml:space="preserve">Ley 2003-101 </w:t>
      </w:r>
      <w:r w:rsidRPr="00C12CF7">
        <w:rPr>
          <w:color w:val="000000"/>
          <w:szCs w:val="20"/>
        </w:rPr>
        <w:t xml:space="preserve">reformó el artículo 160 del </w:t>
      </w:r>
      <w:r w:rsidRPr="00C12CF7">
        <w:rPr>
          <w:rFonts w:cs="Times New Roman"/>
          <w:color w:val="000000"/>
          <w:szCs w:val="20"/>
          <w:lang w:val="es-ES" w:eastAsia="es-ES"/>
        </w:rPr>
        <w:t>CPP común</w:t>
      </w:r>
      <w:r>
        <w:rPr>
          <w:rFonts w:cs="Times New Roman"/>
          <w:color w:val="000000"/>
          <w:szCs w:val="20"/>
          <w:lang w:val="es-ES" w:eastAsia="es-ES"/>
        </w:rPr>
        <w:t xml:space="preserve"> </w:t>
      </w:r>
      <w:r w:rsidR="00FD4D5B">
        <w:rPr>
          <w:rFonts w:cs="Times New Roman"/>
          <w:color w:val="000000"/>
          <w:szCs w:val="20"/>
          <w:lang w:val="es-ES" w:eastAsia="es-ES"/>
        </w:rPr>
        <w:t xml:space="preserve">del Ecuador </w:t>
      </w:r>
      <w:r>
        <w:rPr>
          <w:rFonts w:cs="Times New Roman"/>
          <w:color w:val="000000"/>
          <w:szCs w:val="20"/>
          <w:lang w:val="es-ES" w:eastAsia="es-ES"/>
        </w:rPr>
        <w:t>el cual p</w:t>
      </w:r>
      <w:r>
        <w:rPr>
          <w:rFonts w:eastAsia="Times New Roman" w:cs="Times New Roman"/>
          <w:szCs w:val="20"/>
          <w:lang w:val="es-CR" w:eastAsia="en-GB"/>
        </w:rPr>
        <w:t xml:space="preserve">asó a prever la </w:t>
      </w:r>
      <w:r w:rsidR="006E3A2B" w:rsidRPr="0092295B">
        <w:rPr>
          <w:rFonts w:eastAsia="Times New Roman" w:cs="Times New Roman"/>
          <w:szCs w:val="20"/>
          <w:lang w:val="es-CR" w:eastAsia="en-GB"/>
        </w:rPr>
        <w:t xml:space="preserve">detención en firme </w:t>
      </w:r>
      <w:r w:rsidR="006E3A2B" w:rsidRPr="0092295B">
        <w:rPr>
          <w:rFonts w:eastAsia="Times New Roman" w:cs="Times New Roman"/>
          <w:szCs w:val="20"/>
          <w:lang w:eastAsia="en-GB"/>
        </w:rPr>
        <w:t>“</w:t>
      </w:r>
      <w:r w:rsidR="006E3A2B" w:rsidRPr="0092295B">
        <w:rPr>
          <w:rFonts w:cs="Times New Roman"/>
          <w:color w:val="000000"/>
          <w:szCs w:val="20"/>
          <w:lang w:eastAsia="es-ES"/>
        </w:rPr>
        <w:t xml:space="preserve">en todos los casos en que se dicte auto de llamamiento a juicio, de conformidad </w:t>
      </w:r>
      <w:r w:rsidR="0049334D" w:rsidRPr="0092295B">
        <w:rPr>
          <w:rFonts w:cs="Times New Roman"/>
          <w:color w:val="000000"/>
          <w:szCs w:val="20"/>
          <w:lang w:eastAsia="es-ES"/>
        </w:rPr>
        <w:t xml:space="preserve">con el artículo 232 </w:t>
      </w:r>
      <w:r w:rsidR="00304D73">
        <w:rPr>
          <w:rFonts w:cs="Times New Roman"/>
          <w:color w:val="000000"/>
          <w:szCs w:val="20"/>
          <w:lang w:eastAsia="es-ES"/>
        </w:rPr>
        <w:t>[</w:t>
      </w:r>
      <w:r w:rsidR="0049334D" w:rsidRPr="0092295B">
        <w:rPr>
          <w:rFonts w:cs="Times New Roman"/>
          <w:color w:val="000000"/>
          <w:szCs w:val="20"/>
          <w:lang w:eastAsia="es-ES"/>
        </w:rPr>
        <w:t>del CPP</w:t>
      </w:r>
      <w:r w:rsidR="00304D73">
        <w:rPr>
          <w:rFonts w:cs="Times New Roman"/>
          <w:color w:val="000000"/>
          <w:szCs w:val="20"/>
          <w:lang w:eastAsia="es-ES"/>
        </w:rPr>
        <w:t>]</w:t>
      </w:r>
      <w:r w:rsidR="006E3A2B" w:rsidRPr="0092295B">
        <w:rPr>
          <w:rFonts w:cs="Times New Roman"/>
          <w:color w:val="000000"/>
          <w:szCs w:val="20"/>
          <w:lang w:eastAsia="es-ES"/>
        </w:rPr>
        <w:t xml:space="preserve"> y sólo podrá ser revocada mediante sentencia absolutoria y suspendida en los delitos sancionados con prisión”.</w:t>
      </w:r>
      <w:r w:rsidR="008145E7" w:rsidRPr="0092295B">
        <w:rPr>
          <w:rFonts w:cs="Times New Roman"/>
          <w:color w:val="000000"/>
          <w:szCs w:val="20"/>
          <w:lang w:eastAsia="es-ES"/>
        </w:rPr>
        <w:t xml:space="preserve"> </w:t>
      </w:r>
      <w:r>
        <w:rPr>
          <w:rFonts w:cs="Times New Roman"/>
          <w:color w:val="000000"/>
          <w:szCs w:val="20"/>
          <w:lang w:eastAsia="es-ES"/>
        </w:rPr>
        <w:t>La misma reforma introdujo el</w:t>
      </w:r>
      <w:r w:rsidR="006E3A2B" w:rsidRPr="0092295B">
        <w:rPr>
          <w:rFonts w:eastAsia="Times New Roman" w:cs="Times New Roman"/>
          <w:szCs w:val="20"/>
          <w:lang w:val="es-CR" w:eastAsia="en-GB"/>
        </w:rPr>
        <w:t xml:space="preserve"> artículo 173 - A </w:t>
      </w:r>
      <w:r w:rsidR="00304D73">
        <w:rPr>
          <w:rFonts w:eastAsia="Times New Roman" w:cs="Times New Roman"/>
          <w:szCs w:val="20"/>
          <w:lang w:val="es-CR" w:eastAsia="en-GB"/>
        </w:rPr>
        <w:t>al</w:t>
      </w:r>
      <w:r w:rsidR="00FD4D5B">
        <w:rPr>
          <w:rFonts w:eastAsia="Times New Roman" w:cs="Times New Roman"/>
          <w:szCs w:val="20"/>
          <w:lang w:val="es-CR" w:eastAsia="en-GB"/>
        </w:rPr>
        <w:t xml:space="preserve"> CPP</w:t>
      </w:r>
      <w:r w:rsidR="006E3A2B" w:rsidRPr="0092295B">
        <w:rPr>
          <w:rFonts w:eastAsia="Times New Roman" w:cs="Times New Roman"/>
          <w:szCs w:val="20"/>
          <w:lang w:val="es-CR" w:eastAsia="en-GB"/>
        </w:rPr>
        <w:t xml:space="preserve">, </w:t>
      </w:r>
      <w:r>
        <w:rPr>
          <w:rFonts w:eastAsia="Times New Roman" w:cs="Times New Roman"/>
          <w:szCs w:val="20"/>
          <w:lang w:val="es-CR" w:eastAsia="en-GB"/>
        </w:rPr>
        <w:t>disposición que</w:t>
      </w:r>
      <w:r w:rsidR="00B020F0" w:rsidRPr="0092295B">
        <w:rPr>
          <w:rFonts w:eastAsia="Times New Roman" w:cs="Times New Roman"/>
          <w:szCs w:val="20"/>
          <w:lang w:val="es-CR" w:eastAsia="en-GB"/>
        </w:rPr>
        <w:t xml:space="preserve"> regulaba </w:t>
      </w:r>
      <w:r w:rsidR="00FD4D5B">
        <w:rPr>
          <w:rFonts w:eastAsia="Times New Roman" w:cs="Times New Roman"/>
          <w:szCs w:val="20"/>
          <w:lang w:val="es-CR" w:eastAsia="en-GB"/>
        </w:rPr>
        <w:t xml:space="preserve">esta </w:t>
      </w:r>
      <w:r w:rsidR="00B020F0" w:rsidRPr="0092295B">
        <w:rPr>
          <w:rFonts w:eastAsia="Times New Roman" w:cs="Times New Roman"/>
          <w:szCs w:val="20"/>
          <w:lang w:val="es-CR" w:eastAsia="en-GB"/>
        </w:rPr>
        <w:t>figura.</w:t>
      </w:r>
      <w:r w:rsidR="006E3A2B" w:rsidRPr="0092295B">
        <w:rPr>
          <w:rFonts w:eastAsia="Times New Roman" w:cs="Times New Roman"/>
          <w:szCs w:val="20"/>
          <w:lang w:val="es-CR" w:eastAsia="en-GB"/>
        </w:rPr>
        <w:t xml:space="preserve"> Dicha norma establecía que </w:t>
      </w:r>
      <w:r w:rsidR="006E3A2B" w:rsidRPr="0092295B">
        <w:t xml:space="preserve">el juez que conocía la causa deberá obligatoriamente ordenar la detención en firme del acusado, salvo para: a) aquellas personas calificadas como presuntas encubridoras y b) aquellas personas que estén siendo juzgadas por una infracción cuya pena no exceda de un año de prisión. </w:t>
      </w:r>
      <w:r w:rsidR="00FD4D5B">
        <w:t xml:space="preserve">La </w:t>
      </w:r>
      <w:r w:rsidR="006E3A2B" w:rsidRPr="0092295B">
        <w:t>disposición</w:t>
      </w:r>
      <w:r w:rsidR="00FD4D5B">
        <w:t xml:space="preserve"> en comento</w:t>
      </w:r>
      <w:r w:rsidR="006E3A2B" w:rsidRPr="0092295B">
        <w:t xml:space="preserve"> también incluía la posibilidad de que</w:t>
      </w:r>
      <w:r w:rsidR="008A33AC">
        <w:t>,</w:t>
      </w:r>
      <w:r w:rsidR="006E3A2B" w:rsidRPr="0092295B">
        <w:t xml:space="preserve"> si el acusado tuviera en su contra orden de prisión preventiva, al dictarse el auto de llamamiento a juicio se le cambiar</w:t>
      </w:r>
      <w:r w:rsidR="00FD4D5B">
        <w:t>ía</w:t>
      </w:r>
      <w:r w:rsidR="006E3A2B" w:rsidRPr="0092295B">
        <w:t xml:space="preserve"> por la detención en firme.</w:t>
      </w:r>
    </w:p>
    <w:p w14:paraId="2C260407" w14:textId="1F4E9915" w:rsidR="00AC0F07" w:rsidRPr="0092295B" w:rsidRDefault="00AC0F07" w:rsidP="002755A9">
      <w:pPr>
        <w:spacing w:before="0" w:after="0"/>
        <w:rPr>
          <w:rFonts w:eastAsia="Times New Roman" w:cs="Times New Roman"/>
          <w:szCs w:val="20"/>
          <w:lang w:val="es-CR" w:eastAsia="en-GB"/>
        </w:rPr>
      </w:pPr>
    </w:p>
    <w:p w14:paraId="49753884" w14:textId="48E50B79" w:rsidR="00AC0F07" w:rsidRPr="0092295B" w:rsidRDefault="00AC0F07" w:rsidP="002755A9">
      <w:pPr>
        <w:pStyle w:val="Prrafodelista"/>
        <w:numPr>
          <w:ilvl w:val="0"/>
          <w:numId w:val="29"/>
        </w:numPr>
        <w:spacing w:before="0" w:after="0"/>
        <w:ind w:left="0" w:firstLine="0"/>
        <w:rPr>
          <w:rFonts w:eastAsia="Times New Roman" w:cs="Times New Roman"/>
          <w:szCs w:val="20"/>
          <w:lang w:val="es-CR" w:eastAsia="en-GB"/>
        </w:rPr>
      </w:pPr>
      <w:r w:rsidRPr="0092295B">
        <w:rPr>
          <w:rFonts w:eastAsia="Times New Roman" w:cs="Times New Roman"/>
          <w:szCs w:val="20"/>
          <w:lang w:val="es-CR" w:eastAsia="en-GB"/>
        </w:rPr>
        <w:t xml:space="preserve">Esta Corte nota que las reformas al Código de Procedimiento Penal fueron promulgadas el 13 de enero de 2003 y entraron en vigencia en esa fecha. En ese sentido, </w:t>
      </w:r>
      <w:r w:rsidRPr="0092295B">
        <w:rPr>
          <w:rFonts w:eastAsiaTheme="minorHAnsi" w:cs="Arial"/>
          <w:bCs/>
          <w:szCs w:val="20"/>
          <w:lang w:val="es-CR"/>
        </w:rPr>
        <w:t>la Corte Suprema de Justici</w:t>
      </w:r>
      <w:r w:rsidR="00222687">
        <w:rPr>
          <w:rFonts w:eastAsiaTheme="minorHAnsi" w:cs="Arial"/>
          <w:bCs/>
          <w:szCs w:val="20"/>
          <w:lang w:val="es-CR"/>
        </w:rPr>
        <w:t xml:space="preserve">a </w:t>
      </w:r>
      <w:r w:rsidR="00056BB3">
        <w:rPr>
          <w:rFonts w:eastAsiaTheme="minorHAnsi" w:cs="Arial"/>
          <w:bCs/>
          <w:szCs w:val="20"/>
          <w:lang w:val="es-CR"/>
        </w:rPr>
        <w:t xml:space="preserve">el 9 </w:t>
      </w:r>
      <w:r w:rsidRPr="0092295B">
        <w:rPr>
          <w:rFonts w:eastAsiaTheme="minorHAnsi" w:cs="Arial"/>
          <w:bCs/>
          <w:szCs w:val="20"/>
          <w:lang w:val="es-CR"/>
        </w:rPr>
        <w:t>de enero del 2004</w:t>
      </w:r>
      <w:r w:rsidRPr="0092295B">
        <w:rPr>
          <w:rFonts w:eastAsiaTheme="minorHAnsi" w:cs="Arial"/>
          <w:szCs w:val="20"/>
          <w:lang w:val="es-CR"/>
        </w:rPr>
        <w:t xml:space="preserve">, resolvió que </w:t>
      </w:r>
      <w:r w:rsidRPr="0092295B">
        <w:rPr>
          <w:rFonts w:eastAsiaTheme="minorHAnsi" w:cs="Arial"/>
          <w:iCs/>
          <w:szCs w:val="20"/>
          <w:lang w:val="es-CR"/>
        </w:rPr>
        <w:t xml:space="preserve">“[e]n los procesos penales iniciados antes del 13 de enero del 2003 no proced[ía] dictar la orden de prisión en firme”. </w:t>
      </w:r>
      <w:r w:rsidR="00FD4D5B">
        <w:rPr>
          <w:rFonts w:eastAsiaTheme="minorHAnsi" w:cs="Arial"/>
          <w:iCs/>
          <w:szCs w:val="20"/>
          <w:lang w:val="es-CR"/>
        </w:rPr>
        <w:t>En vista de lo anterior</w:t>
      </w:r>
      <w:r w:rsidR="008A33AC">
        <w:rPr>
          <w:rFonts w:eastAsiaTheme="minorHAnsi" w:cs="Arial"/>
          <w:iCs/>
          <w:szCs w:val="20"/>
          <w:lang w:val="es-CR"/>
        </w:rPr>
        <w:t>,</w:t>
      </w:r>
      <w:r w:rsidR="00FD4D5B">
        <w:rPr>
          <w:rFonts w:eastAsiaTheme="minorHAnsi" w:cs="Arial"/>
          <w:iCs/>
          <w:szCs w:val="20"/>
          <w:lang w:val="es-CR"/>
        </w:rPr>
        <w:t xml:space="preserve"> l</w:t>
      </w:r>
      <w:r w:rsidRPr="0092295B">
        <w:rPr>
          <w:rFonts w:eastAsiaTheme="minorHAnsi" w:cs="Arial"/>
          <w:iCs/>
          <w:szCs w:val="20"/>
          <w:lang w:val="es-CR"/>
        </w:rPr>
        <w:t>a detención en firme era aplicable sólo a los procesos que se iniciaran por delitos presuntamente perpetrados con posterioridad a esa fecha, mientras que en los procesos ya iniciados tenían que aplicarse las normas vigentes al momento en que se hubiere iniciado el proceso</w:t>
      </w:r>
      <w:r w:rsidRPr="0092295B">
        <w:rPr>
          <w:rStyle w:val="Refdenotaalpie"/>
          <w:rFonts w:eastAsiaTheme="minorHAnsi"/>
          <w:iCs/>
          <w:lang w:val="es-CR"/>
        </w:rPr>
        <w:footnoteReference w:id="121"/>
      </w:r>
      <w:r w:rsidRPr="0092295B">
        <w:rPr>
          <w:rFonts w:eastAsiaTheme="minorHAnsi" w:cs="Arial"/>
          <w:iCs/>
          <w:szCs w:val="20"/>
          <w:lang w:val="es-CR"/>
        </w:rPr>
        <w:t>.</w:t>
      </w:r>
    </w:p>
    <w:p w14:paraId="3105EDBB" w14:textId="77777777" w:rsidR="00AC0F07" w:rsidRPr="0092295B" w:rsidRDefault="00AC0F07" w:rsidP="00AC0F07">
      <w:pPr>
        <w:pStyle w:val="Prrafodelista"/>
        <w:rPr>
          <w:rFonts w:eastAsia="Times New Roman" w:cs="Times New Roman"/>
          <w:szCs w:val="20"/>
          <w:lang w:val="es-CR" w:eastAsia="en-GB"/>
        </w:rPr>
      </w:pPr>
    </w:p>
    <w:p w14:paraId="4B7DE73D" w14:textId="6EE9F907" w:rsidR="00AC0F07" w:rsidRPr="0092295B" w:rsidRDefault="00AC0F07" w:rsidP="00CF2D2A">
      <w:pPr>
        <w:pStyle w:val="Prrafodelista"/>
        <w:numPr>
          <w:ilvl w:val="0"/>
          <w:numId w:val="29"/>
        </w:numPr>
        <w:spacing w:before="0" w:after="0"/>
        <w:ind w:left="0" w:firstLine="0"/>
        <w:rPr>
          <w:rFonts w:eastAsia="Times New Roman" w:cs="Times New Roman"/>
          <w:szCs w:val="20"/>
          <w:lang w:val="es-CR" w:eastAsia="en-GB"/>
        </w:rPr>
      </w:pPr>
      <w:r w:rsidRPr="0092295B">
        <w:rPr>
          <w:rFonts w:eastAsia="Times New Roman" w:cs="Times New Roman"/>
          <w:szCs w:val="20"/>
          <w:lang w:val="es-CR" w:eastAsia="en-GB"/>
        </w:rPr>
        <w:t>De lo anterior se desprende que</w:t>
      </w:r>
      <w:r w:rsidR="008A33AC">
        <w:rPr>
          <w:rFonts w:eastAsia="Times New Roman" w:cs="Times New Roman"/>
          <w:szCs w:val="20"/>
          <w:lang w:val="es-CR" w:eastAsia="en-GB"/>
        </w:rPr>
        <w:t>,</w:t>
      </w:r>
      <w:r w:rsidRPr="0092295B">
        <w:rPr>
          <w:rFonts w:eastAsia="Times New Roman" w:cs="Times New Roman"/>
          <w:szCs w:val="20"/>
          <w:lang w:val="es-CR" w:eastAsia="en-GB"/>
        </w:rPr>
        <w:t xml:space="preserve"> de acuerdo al transitorio de la reforma del CPP común y la decisión de la </w:t>
      </w:r>
      <w:r w:rsidR="008B273E">
        <w:rPr>
          <w:rFonts w:eastAsia="Times New Roman" w:cs="Times New Roman"/>
          <w:szCs w:val="20"/>
          <w:lang w:val="es-CR" w:eastAsia="en-GB"/>
        </w:rPr>
        <w:t xml:space="preserve">Corte </w:t>
      </w:r>
      <w:r w:rsidRPr="0092295B">
        <w:rPr>
          <w:rFonts w:eastAsia="Times New Roman" w:cs="Times New Roman"/>
          <w:szCs w:val="20"/>
          <w:lang w:val="es-CR" w:eastAsia="en-GB"/>
        </w:rPr>
        <w:t>Suprema de Justicia (</w:t>
      </w:r>
      <w:r w:rsidRPr="0092295B">
        <w:rPr>
          <w:rFonts w:eastAsia="Times New Roman" w:cs="Times New Roman"/>
          <w:i/>
          <w:szCs w:val="20"/>
          <w:lang w:val="es-CR" w:eastAsia="en-GB"/>
        </w:rPr>
        <w:t>supra</w:t>
      </w:r>
      <w:r w:rsidRPr="0092295B">
        <w:rPr>
          <w:rFonts w:eastAsia="Times New Roman" w:cs="Times New Roman"/>
          <w:szCs w:val="20"/>
          <w:lang w:val="es-CR" w:eastAsia="en-GB"/>
        </w:rPr>
        <w:t xml:space="preserve"> párr. </w:t>
      </w:r>
      <w:r w:rsidR="008B273E">
        <w:rPr>
          <w:rFonts w:eastAsia="Times New Roman" w:cs="Times New Roman"/>
          <w:szCs w:val="20"/>
          <w:lang w:val="es-CR" w:eastAsia="en-GB"/>
        </w:rPr>
        <w:t>57</w:t>
      </w:r>
      <w:r w:rsidRPr="0092295B">
        <w:rPr>
          <w:rFonts w:eastAsia="Times New Roman" w:cs="Times New Roman"/>
          <w:szCs w:val="20"/>
          <w:lang w:val="es-CR" w:eastAsia="en-GB"/>
        </w:rPr>
        <w:t>), la detención en firme no se podía aplicar a las presuntas víctimas del presente caso, en tanto que el auto cabeza del proceso se dictó el 19 de marzo de 2002 con antelación a la vigencia de tal figura a partir del 13 de enero de 2003</w:t>
      </w:r>
      <w:r w:rsidR="00A54510" w:rsidRPr="0092295B">
        <w:rPr>
          <w:rFonts w:eastAsia="Times New Roman" w:cs="Times New Roman"/>
          <w:szCs w:val="20"/>
          <w:lang w:val="es-CR" w:eastAsia="en-GB"/>
        </w:rPr>
        <w:t xml:space="preserve">. En consecuencia, este Tribunal considera que la </w:t>
      </w:r>
      <w:r w:rsidR="0086512D">
        <w:rPr>
          <w:rFonts w:eastAsia="Times New Roman" w:cs="Times New Roman"/>
          <w:szCs w:val="20"/>
          <w:lang w:val="es-CR" w:eastAsia="en-GB"/>
        </w:rPr>
        <w:t>detención en</w:t>
      </w:r>
      <w:r w:rsidR="00A54510" w:rsidRPr="0092295B">
        <w:rPr>
          <w:rFonts w:eastAsia="Times New Roman" w:cs="Times New Roman"/>
          <w:szCs w:val="20"/>
          <w:lang w:val="es-CR" w:eastAsia="en-GB"/>
        </w:rPr>
        <w:t xml:space="preserve"> firme ordenada fue ilegal en violación</w:t>
      </w:r>
      <w:r w:rsidR="00B523CA">
        <w:rPr>
          <w:rFonts w:eastAsia="Times New Roman" w:cs="Times New Roman"/>
          <w:szCs w:val="20"/>
          <w:lang w:val="es-CR" w:eastAsia="en-GB"/>
        </w:rPr>
        <w:t xml:space="preserve"> de</w:t>
      </w:r>
      <w:r w:rsidR="00A54510" w:rsidRPr="0092295B">
        <w:rPr>
          <w:rFonts w:eastAsia="Times New Roman" w:cs="Times New Roman"/>
          <w:szCs w:val="20"/>
          <w:lang w:val="es-CR" w:eastAsia="en-GB"/>
        </w:rPr>
        <w:t xml:space="preserve"> los artículos 7.1 y 7</w:t>
      </w:r>
      <w:r w:rsidR="00F13CD3" w:rsidRPr="0092295B">
        <w:rPr>
          <w:rFonts w:eastAsia="Times New Roman" w:cs="Times New Roman"/>
          <w:szCs w:val="20"/>
          <w:lang w:val="es-CR" w:eastAsia="en-GB"/>
        </w:rPr>
        <w:t>.</w:t>
      </w:r>
      <w:r w:rsidR="00A54510" w:rsidRPr="0092295B">
        <w:rPr>
          <w:rFonts w:eastAsia="Times New Roman" w:cs="Times New Roman"/>
          <w:szCs w:val="20"/>
          <w:lang w:val="es-CR" w:eastAsia="en-GB"/>
        </w:rPr>
        <w:t xml:space="preserve">2 de la Convención Americana, en relación con las </w:t>
      </w:r>
      <w:r w:rsidR="00AA020C">
        <w:rPr>
          <w:rFonts w:eastAsia="Times New Roman" w:cs="Times New Roman"/>
          <w:szCs w:val="20"/>
          <w:lang w:val="es-CR" w:eastAsia="en-GB"/>
        </w:rPr>
        <w:t>obligaciones establecidas en el artículo</w:t>
      </w:r>
      <w:r w:rsidR="00A54510" w:rsidRPr="0092295B">
        <w:rPr>
          <w:rFonts w:eastAsia="Times New Roman" w:cs="Times New Roman"/>
          <w:szCs w:val="20"/>
          <w:lang w:val="es-CR" w:eastAsia="en-GB"/>
        </w:rPr>
        <w:t xml:space="preserve"> 1.1 de la misma Convención, en perjuicio de </w:t>
      </w:r>
      <w:r w:rsidR="00A54510" w:rsidRPr="0092295B">
        <w:rPr>
          <w:szCs w:val="20"/>
        </w:rPr>
        <w:t>Jorge Villarroel Merino,</w:t>
      </w:r>
      <w:r w:rsidR="00996679">
        <w:rPr>
          <w:szCs w:val="20"/>
        </w:rPr>
        <w:t xml:space="preserve"> </w:t>
      </w:r>
      <w:r w:rsidR="00996679" w:rsidRPr="00CE7748">
        <w:rPr>
          <w:szCs w:val="20"/>
        </w:rPr>
        <w:t>Mario Romel Ce</w:t>
      </w:r>
      <w:r w:rsidR="0041675F">
        <w:rPr>
          <w:szCs w:val="20"/>
        </w:rPr>
        <w:t>v</w:t>
      </w:r>
      <w:r w:rsidR="00996679" w:rsidRPr="00CE7748">
        <w:rPr>
          <w:szCs w:val="20"/>
        </w:rPr>
        <w:t>allos Moreno</w:t>
      </w:r>
      <w:r w:rsidR="00996679" w:rsidRPr="00055454">
        <w:rPr>
          <w:szCs w:val="20"/>
        </w:rPr>
        <w:t>,</w:t>
      </w:r>
      <w:r w:rsidR="00A54510" w:rsidRPr="00055454">
        <w:rPr>
          <w:szCs w:val="20"/>
        </w:rPr>
        <w:t xml:space="preserve"> </w:t>
      </w:r>
      <w:r w:rsidR="00A54510" w:rsidRPr="00996679">
        <w:rPr>
          <w:szCs w:val="20"/>
        </w:rPr>
        <w:t xml:space="preserve">Jorge </w:t>
      </w:r>
      <w:r w:rsidR="00A54510" w:rsidRPr="0092295B">
        <w:rPr>
          <w:szCs w:val="20"/>
        </w:rPr>
        <w:t xml:space="preserve">Coloma Gaibor, Fernando López Ortiz, Amílcar Ascázubi Albán y Patricio Vinueza Pánchez.  </w:t>
      </w:r>
    </w:p>
    <w:p w14:paraId="17BC9A62" w14:textId="51D0DE93" w:rsidR="00017E38" w:rsidRPr="0092295B" w:rsidRDefault="00017E38" w:rsidP="00017E38">
      <w:pPr>
        <w:pStyle w:val="Prrafodelista"/>
        <w:spacing w:before="0" w:after="0"/>
        <w:ind w:left="0"/>
        <w:rPr>
          <w:rFonts w:eastAsia="Times New Roman" w:cs="Times New Roman"/>
          <w:strike/>
          <w:szCs w:val="20"/>
          <w:lang w:val="es-CR" w:eastAsia="en-GB"/>
        </w:rPr>
      </w:pPr>
    </w:p>
    <w:p w14:paraId="61049A60" w14:textId="62F48D05" w:rsidR="00EE3138" w:rsidRPr="0092295B" w:rsidRDefault="00A54510" w:rsidP="00CF2D2A">
      <w:pPr>
        <w:pStyle w:val="Prrafodelista"/>
        <w:numPr>
          <w:ilvl w:val="0"/>
          <w:numId w:val="29"/>
        </w:numPr>
        <w:spacing w:before="0" w:after="0"/>
        <w:ind w:left="0" w:firstLine="0"/>
        <w:rPr>
          <w:rFonts w:eastAsia="Times New Roman" w:cs="Times New Roman"/>
          <w:szCs w:val="20"/>
          <w:lang w:val="es-CR" w:eastAsia="en-GB"/>
        </w:rPr>
      </w:pPr>
      <w:r w:rsidRPr="0092295B">
        <w:rPr>
          <w:rFonts w:eastAsia="Times New Roman" w:cs="Times New Roman"/>
          <w:szCs w:val="20"/>
          <w:lang w:val="es-CR" w:eastAsia="en-GB"/>
        </w:rPr>
        <w:t>Por otra parte, a</w:t>
      </w:r>
      <w:r w:rsidR="006E3A2B" w:rsidRPr="0092295B">
        <w:rPr>
          <w:rFonts w:eastAsia="Times New Roman" w:cs="Times New Roman"/>
          <w:szCs w:val="20"/>
          <w:lang w:val="es-CR" w:eastAsia="en-GB"/>
        </w:rPr>
        <w:t xml:space="preserve"> la luz de la regulación y aplicación de la detención en firme, </w:t>
      </w:r>
      <w:r w:rsidR="00DF2806" w:rsidRPr="0092295B">
        <w:rPr>
          <w:rFonts w:eastAsia="Times New Roman" w:cs="Times New Roman"/>
          <w:szCs w:val="20"/>
          <w:lang w:val="es-CR" w:eastAsia="en-GB"/>
        </w:rPr>
        <w:t>esta Corte conside</w:t>
      </w:r>
      <w:r w:rsidR="009E1DBE" w:rsidRPr="0092295B">
        <w:rPr>
          <w:rFonts w:eastAsia="Times New Roman" w:cs="Times New Roman"/>
          <w:szCs w:val="20"/>
          <w:lang w:val="es-CR" w:eastAsia="en-GB"/>
        </w:rPr>
        <w:t>ra</w:t>
      </w:r>
      <w:r w:rsidR="00DA691E" w:rsidRPr="0092295B">
        <w:rPr>
          <w:rFonts w:eastAsia="Times New Roman" w:cs="Times New Roman"/>
          <w:szCs w:val="20"/>
          <w:lang w:val="es-CR" w:eastAsia="en-GB"/>
        </w:rPr>
        <w:t xml:space="preserve"> que </w:t>
      </w:r>
      <w:r w:rsidR="00F23719" w:rsidRPr="0092295B">
        <w:rPr>
          <w:rFonts w:eastAsia="Times New Roman" w:cs="Times New Roman"/>
          <w:szCs w:val="20"/>
          <w:lang w:val="es-CR" w:eastAsia="en-GB"/>
        </w:rPr>
        <w:t xml:space="preserve">la </w:t>
      </w:r>
      <w:r w:rsidR="009E1DBE" w:rsidRPr="0092295B">
        <w:rPr>
          <w:rFonts w:eastAsia="Times New Roman" w:cs="Times New Roman"/>
          <w:szCs w:val="20"/>
          <w:lang w:val="es-CR" w:eastAsia="en-GB"/>
        </w:rPr>
        <w:t xml:space="preserve">misma </w:t>
      </w:r>
      <w:r w:rsidR="00066FF0" w:rsidRPr="0092295B">
        <w:rPr>
          <w:rFonts w:eastAsia="Times New Roman" w:cs="Times New Roman"/>
          <w:szCs w:val="20"/>
          <w:lang w:val="es-CR" w:eastAsia="en-GB"/>
        </w:rPr>
        <w:t xml:space="preserve">operó como una </w:t>
      </w:r>
      <w:r w:rsidR="008003DE">
        <w:rPr>
          <w:rFonts w:eastAsia="Times New Roman" w:cs="Times New Roman"/>
          <w:szCs w:val="20"/>
          <w:lang w:val="es-CR" w:eastAsia="en-GB"/>
        </w:rPr>
        <w:t>detención preventiva</w:t>
      </w:r>
      <w:r w:rsidR="006E3A2B" w:rsidRPr="0092295B">
        <w:rPr>
          <w:rFonts w:eastAsia="Times New Roman" w:cs="Times New Roman"/>
          <w:szCs w:val="20"/>
          <w:lang w:val="es-CR" w:eastAsia="en-GB"/>
        </w:rPr>
        <w:t xml:space="preserve"> obligatoria y automática basada en la gravedad de la pe</w:t>
      </w:r>
      <w:r w:rsidR="00BC6BB0" w:rsidRPr="0092295B">
        <w:rPr>
          <w:rFonts w:eastAsia="Times New Roman" w:cs="Times New Roman"/>
          <w:szCs w:val="20"/>
          <w:lang w:val="es-CR" w:eastAsia="en-GB"/>
        </w:rPr>
        <w:t xml:space="preserve">na que se le atribuía al delito. Por lo anterior, </w:t>
      </w:r>
      <w:r w:rsidR="007A3AFB" w:rsidRPr="0092295B">
        <w:rPr>
          <w:rFonts w:eastAsia="Times New Roman" w:cs="Times New Roman"/>
          <w:szCs w:val="20"/>
          <w:lang w:val="es-CR" w:eastAsia="en-GB"/>
        </w:rPr>
        <w:t>no era exigible a</w:t>
      </w:r>
      <w:r w:rsidR="006E3A2B" w:rsidRPr="0092295B">
        <w:rPr>
          <w:rFonts w:eastAsia="Times New Roman" w:cs="Times New Roman"/>
          <w:szCs w:val="20"/>
          <w:lang w:val="es-CR" w:eastAsia="en-GB"/>
        </w:rPr>
        <w:t>l juzgador analizar ni justificar si se cumplían o no los f</w:t>
      </w:r>
      <w:r w:rsidR="00A47CBE" w:rsidRPr="0092295B">
        <w:rPr>
          <w:rFonts w:eastAsia="Times New Roman" w:cs="Times New Roman"/>
          <w:szCs w:val="20"/>
          <w:lang w:val="es-CR" w:eastAsia="en-GB"/>
        </w:rPr>
        <w:t>ines procesales de la detención</w:t>
      </w:r>
      <w:r w:rsidR="00BC6BB0" w:rsidRPr="0092295B">
        <w:rPr>
          <w:rFonts w:eastAsia="Times New Roman" w:cs="Times New Roman"/>
          <w:szCs w:val="20"/>
          <w:lang w:val="es-CR" w:eastAsia="en-GB"/>
        </w:rPr>
        <w:t xml:space="preserve"> durante el proceso</w:t>
      </w:r>
      <w:r w:rsidR="00A47CBE" w:rsidRPr="0092295B">
        <w:rPr>
          <w:rFonts w:eastAsia="Times New Roman" w:cs="Times New Roman"/>
          <w:szCs w:val="20"/>
          <w:lang w:val="es-CR" w:eastAsia="en-GB"/>
        </w:rPr>
        <w:t xml:space="preserve">, su idoneidad, </w:t>
      </w:r>
      <w:r w:rsidR="00A47CBE" w:rsidRPr="0092295B">
        <w:rPr>
          <w:rFonts w:cs="Times New Roman"/>
          <w:color w:val="000000" w:themeColor="text1"/>
          <w:szCs w:val="20"/>
          <w:lang w:val="es-CR"/>
        </w:rPr>
        <w:t xml:space="preserve">necesidad y proporcionalidad </w:t>
      </w:r>
      <w:r w:rsidR="006E3A2B" w:rsidRPr="0092295B">
        <w:rPr>
          <w:rFonts w:eastAsia="Times New Roman" w:cs="Times New Roman"/>
          <w:szCs w:val="20"/>
          <w:lang w:val="es-CR" w:eastAsia="en-GB"/>
        </w:rPr>
        <w:t>de acuerdo a las obligaciones deriva</w:t>
      </w:r>
      <w:r w:rsidR="00A47CBE" w:rsidRPr="0092295B">
        <w:rPr>
          <w:rFonts w:eastAsia="Times New Roman" w:cs="Times New Roman"/>
          <w:szCs w:val="20"/>
          <w:lang w:val="es-CR" w:eastAsia="en-GB"/>
        </w:rPr>
        <w:t>das de la Convención Americana</w:t>
      </w:r>
      <w:r w:rsidR="00E621F8" w:rsidRPr="0092295B">
        <w:rPr>
          <w:rStyle w:val="Refdenotaalpie"/>
          <w:shd w:val="clear" w:color="auto" w:fill="FFFFFF"/>
        </w:rPr>
        <w:footnoteReference w:id="122"/>
      </w:r>
      <w:r w:rsidR="002F7D9D">
        <w:rPr>
          <w:rFonts w:eastAsia="Times New Roman" w:cs="Times New Roman"/>
          <w:szCs w:val="20"/>
          <w:lang w:val="es-CR" w:eastAsia="en-GB"/>
        </w:rPr>
        <w:t xml:space="preserve">. </w:t>
      </w:r>
      <w:r w:rsidR="006E3A2B" w:rsidRPr="0092295B">
        <w:rPr>
          <w:rFonts w:eastAsia="Times New Roman" w:cs="Times New Roman"/>
          <w:szCs w:val="20"/>
          <w:lang w:val="es-CR" w:eastAsia="en-GB"/>
        </w:rPr>
        <w:t xml:space="preserve">Tampoco </w:t>
      </w:r>
      <w:r w:rsidR="00932DF8" w:rsidRPr="0092295B">
        <w:rPr>
          <w:rFonts w:eastAsia="Times New Roman" w:cs="Times New Roman"/>
          <w:szCs w:val="20"/>
          <w:lang w:val="es-CR" w:eastAsia="en-GB"/>
        </w:rPr>
        <w:t xml:space="preserve">se </w:t>
      </w:r>
      <w:r w:rsidR="006E3A2B" w:rsidRPr="0092295B">
        <w:rPr>
          <w:rFonts w:eastAsia="Times New Roman" w:cs="Times New Roman"/>
          <w:szCs w:val="20"/>
          <w:lang w:val="es-CR" w:eastAsia="en-GB"/>
        </w:rPr>
        <w:t xml:space="preserve">exigía el examen individualizado de la situación de cada uno de los acusados, </w:t>
      </w:r>
      <w:r w:rsidR="007A3AFB" w:rsidRPr="0092295B">
        <w:rPr>
          <w:rFonts w:eastAsia="Times New Roman" w:cs="Times New Roman"/>
          <w:szCs w:val="20"/>
          <w:lang w:val="es-CR" w:eastAsia="en-GB"/>
        </w:rPr>
        <w:t>falta de motivación de la decisión que es violatoria del</w:t>
      </w:r>
      <w:r w:rsidR="006E3A2B" w:rsidRPr="0092295B">
        <w:rPr>
          <w:rFonts w:eastAsia="Times New Roman" w:cs="Times New Roman"/>
          <w:szCs w:val="20"/>
          <w:lang w:val="es-CR" w:eastAsia="en-GB"/>
        </w:rPr>
        <w:t xml:space="preserve"> principio de inocencia.  En ninguno de los casos, por la forma en que se encontraba regulada</w:t>
      </w:r>
      <w:r w:rsidR="00932DF8" w:rsidRPr="0092295B">
        <w:rPr>
          <w:rFonts w:eastAsia="Times New Roman" w:cs="Times New Roman"/>
          <w:szCs w:val="20"/>
          <w:lang w:val="es-CR" w:eastAsia="en-GB"/>
        </w:rPr>
        <w:t xml:space="preserve"> la detención en firme</w:t>
      </w:r>
      <w:r w:rsidR="006E3A2B" w:rsidRPr="0092295B">
        <w:rPr>
          <w:rFonts w:eastAsia="Times New Roman" w:cs="Times New Roman"/>
          <w:szCs w:val="20"/>
          <w:lang w:val="es-CR" w:eastAsia="en-GB"/>
        </w:rPr>
        <w:t>, se acreditó de manera clara y motivada la existenc</w:t>
      </w:r>
      <w:r w:rsidR="00A47CBE" w:rsidRPr="0092295B">
        <w:rPr>
          <w:rFonts w:eastAsia="Times New Roman" w:cs="Times New Roman"/>
          <w:szCs w:val="20"/>
          <w:lang w:val="es-CR" w:eastAsia="en-GB"/>
        </w:rPr>
        <w:t>ia de requisitos válidos p</w:t>
      </w:r>
      <w:r w:rsidR="00932DF8" w:rsidRPr="0092295B">
        <w:rPr>
          <w:rFonts w:eastAsia="Times New Roman" w:cs="Times New Roman"/>
          <w:szCs w:val="20"/>
          <w:lang w:val="es-CR" w:eastAsia="en-GB"/>
        </w:rPr>
        <w:t xml:space="preserve">ara su procedencia, </w:t>
      </w:r>
      <w:r w:rsidR="00A47CBE" w:rsidRPr="0092295B">
        <w:rPr>
          <w:rFonts w:cs="Times New Roman"/>
          <w:color w:val="000000" w:themeColor="text1"/>
          <w:szCs w:val="20"/>
          <w:lang w:val="es-CR"/>
        </w:rPr>
        <w:t xml:space="preserve">ya que el juzgador era la </w:t>
      </w:r>
      <w:r w:rsidR="003D47BB" w:rsidRPr="0092295B">
        <w:rPr>
          <w:rFonts w:cs="Times New Roman"/>
          <w:color w:val="000000" w:themeColor="text1"/>
          <w:szCs w:val="20"/>
          <w:lang w:val="es-CR"/>
        </w:rPr>
        <w:t xml:space="preserve">única </w:t>
      </w:r>
      <w:r w:rsidR="00A47CBE" w:rsidRPr="0092295B">
        <w:rPr>
          <w:rFonts w:cs="Times New Roman"/>
          <w:color w:val="000000" w:themeColor="text1"/>
          <w:szCs w:val="20"/>
          <w:lang w:val="es-CR"/>
        </w:rPr>
        <w:t>autoridad</w:t>
      </w:r>
      <w:r w:rsidR="00932DF8" w:rsidRPr="0092295B">
        <w:rPr>
          <w:rFonts w:cs="Times New Roman"/>
          <w:color w:val="000000" w:themeColor="text1"/>
          <w:szCs w:val="20"/>
          <w:lang w:val="es-CR"/>
        </w:rPr>
        <w:t xml:space="preserve"> </w:t>
      </w:r>
      <w:r w:rsidR="00A47CBE" w:rsidRPr="0092295B">
        <w:rPr>
          <w:rFonts w:cs="Times New Roman"/>
          <w:color w:val="000000" w:themeColor="text1"/>
          <w:szCs w:val="20"/>
          <w:lang w:val="es-CR"/>
        </w:rPr>
        <w:t>encargada de valorar la pertinencia o no de la misma</w:t>
      </w:r>
      <w:r w:rsidR="00BC6BB0" w:rsidRPr="0092295B">
        <w:rPr>
          <w:rFonts w:cs="Times New Roman"/>
          <w:color w:val="000000" w:themeColor="text1"/>
          <w:szCs w:val="20"/>
          <w:lang w:val="es-CR"/>
        </w:rPr>
        <w:t>, pero estaba relev</w:t>
      </w:r>
      <w:r w:rsidR="0035084D" w:rsidRPr="0092295B">
        <w:rPr>
          <w:rFonts w:cs="Times New Roman"/>
          <w:color w:val="000000" w:themeColor="text1"/>
          <w:szCs w:val="20"/>
          <w:lang w:val="es-CR"/>
        </w:rPr>
        <w:t>ado de justificarlo.</w:t>
      </w:r>
      <w:r w:rsidR="00A47CBE" w:rsidRPr="0092295B">
        <w:rPr>
          <w:rFonts w:cs="Times New Roman"/>
          <w:color w:val="000000" w:themeColor="text1"/>
          <w:szCs w:val="20"/>
          <w:lang w:val="es-CR"/>
        </w:rPr>
        <w:t xml:space="preserve"> </w:t>
      </w:r>
    </w:p>
    <w:p w14:paraId="150EEA3B" w14:textId="77777777" w:rsidR="00EE3138" w:rsidRPr="0092295B" w:rsidRDefault="00EE3138" w:rsidP="00EE3138">
      <w:pPr>
        <w:pStyle w:val="Prrafodelista"/>
        <w:spacing w:before="0" w:after="0"/>
        <w:ind w:left="0"/>
        <w:rPr>
          <w:rFonts w:eastAsia="Times New Roman" w:cs="Times New Roman"/>
          <w:strike/>
          <w:szCs w:val="20"/>
          <w:lang w:val="es-CR" w:eastAsia="en-GB"/>
        </w:rPr>
      </w:pPr>
    </w:p>
    <w:p w14:paraId="0B48E843" w14:textId="76F1B4E4" w:rsidR="00EE3138" w:rsidRPr="0092295B" w:rsidRDefault="00EE3138" w:rsidP="00CF2D2A">
      <w:pPr>
        <w:pStyle w:val="Prrafodelista"/>
        <w:numPr>
          <w:ilvl w:val="0"/>
          <w:numId w:val="29"/>
        </w:numPr>
        <w:spacing w:before="0" w:after="0"/>
        <w:ind w:left="0" w:firstLine="0"/>
        <w:rPr>
          <w:rFonts w:eastAsia="Times New Roman" w:cs="Times New Roman"/>
          <w:szCs w:val="20"/>
          <w:lang w:val="es-CR" w:eastAsia="en-GB"/>
        </w:rPr>
      </w:pPr>
      <w:r w:rsidRPr="0092295B">
        <w:rPr>
          <w:rFonts w:eastAsia="Times New Roman" w:cs="Times New Roman"/>
          <w:szCs w:val="20"/>
          <w:lang w:val="es-CR" w:eastAsia="en-GB"/>
        </w:rPr>
        <w:t>Además, la Corte ha corroborado que</w:t>
      </w:r>
      <w:r w:rsidR="006A0DF6">
        <w:rPr>
          <w:rFonts w:eastAsia="Times New Roman" w:cs="Times New Roman"/>
          <w:szCs w:val="20"/>
          <w:lang w:val="es-CR" w:eastAsia="en-GB"/>
        </w:rPr>
        <w:t>,</w:t>
      </w:r>
      <w:r w:rsidRPr="0092295B">
        <w:rPr>
          <w:rFonts w:eastAsia="Times New Roman" w:cs="Times New Roman"/>
          <w:szCs w:val="20"/>
          <w:lang w:val="es-CR" w:eastAsia="en-GB"/>
        </w:rPr>
        <w:t xml:space="preserve"> en el expediente</w:t>
      </w:r>
      <w:r w:rsidR="006A0DF6">
        <w:rPr>
          <w:rFonts w:eastAsia="Times New Roman" w:cs="Times New Roman"/>
          <w:szCs w:val="20"/>
          <w:lang w:val="es-CR" w:eastAsia="en-GB"/>
        </w:rPr>
        <w:t>,</w:t>
      </w:r>
      <w:r w:rsidRPr="0092295B">
        <w:rPr>
          <w:rFonts w:eastAsia="Times New Roman" w:cs="Times New Roman"/>
          <w:szCs w:val="20"/>
          <w:lang w:val="es-CR" w:eastAsia="en-GB"/>
        </w:rPr>
        <w:t xml:space="preserve"> no consta revisión alguna por parte de las autoridades de la detención en firme de las presuntas víctimas durante dicho período </w:t>
      </w:r>
      <w:r w:rsidR="003652AC" w:rsidRPr="0092295B">
        <w:rPr>
          <w:rFonts w:eastAsia="Times New Roman" w:cs="Times New Roman"/>
          <w:szCs w:val="20"/>
          <w:lang w:val="es-CR" w:eastAsia="en-GB"/>
        </w:rPr>
        <w:t xml:space="preserve">de </w:t>
      </w:r>
      <w:r w:rsidRPr="0092295B">
        <w:rPr>
          <w:rFonts w:eastAsia="Times New Roman" w:cs="Times New Roman"/>
          <w:szCs w:val="20"/>
          <w:lang w:val="es-CR" w:eastAsia="en-GB"/>
        </w:rPr>
        <w:t>detención. En el presente caso</w:t>
      </w:r>
      <w:r w:rsidR="006A0DF6">
        <w:rPr>
          <w:rFonts w:eastAsia="Times New Roman" w:cs="Times New Roman"/>
          <w:szCs w:val="20"/>
          <w:lang w:val="es-CR" w:eastAsia="en-GB"/>
        </w:rPr>
        <w:t>,</w:t>
      </w:r>
      <w:r w:rsidRPr="0092295B">
        <w:rPr>
          <w:rFonts w:eastAsia="Times New Roman" w:cs="Times New Roman"/>
          <w:szCs w:val="20"/>
          <w:lang w:val="es-CR" w:eastAsia="en-GB"/>
        </w:rPr>
        <w:t xml:space="preserve"> este Tribunal considera que</w:t>
      </w:r>
      <w:r w:rsidR="00630797" w:rsidRPr="0092295B">
        <w:rPr>
          <w:rFonts w:eastAsia="Times New Roman" w:cs="Times New Roman"/>
          <w:szCs w:val="20"/>
          <w:lang w:val="es-CR" w:eastAsia="en-GB"/>
        </w:rPr>
        <w:t>,</w:t>
      </w:r>
      <w:r w:rsidRPr="0092295B">
        <w:rPr>
          <w:rFonts w:eastAsia="Times New Roman" w:cs="Times New Roman"/>
          <w:szCs w:val="20"/>
          <w:lang w:val="es-CR" w:eastAsia="en-GB"/>
        </w:rPr>
        <w:t xml:space="preserve"> al mantenerse los supuestos de la detención en firme por la aplicación de la señalada normativa, no era posible realizar la revisión periódica para valorar si las causas, necesidad y proporcionalidad de la medida se mantenían o no. En consecuencia, la Corte considera que el Estado al omitir la valoración periódica de la medida cautelar impuesta afectó la libertad personal de las presuntas víctimas en vulneración de los artículos 7.3, 7.5 y 8.2 de la Convención Americana.</w:t>
      </w:r>
    </w:p>
    <w:p w14:paraId="5E7C0A82" w14:textId="7F9F7ACC" w:rsidR="003B6763" w:rsidRPr="0092295B" w:rsidRDefault="00FD4D5B" w:rsidP="003B6763">
      <w:pPr>
        <w:pStyle w:val="Prrafodelista"/>
        <w:rPr>
          <w:rFonts w:eastAsia="Times New Roman" w:cs="Times New Roman"/>
          <w:szCs w:val="20"/>
          <w:lang w:val="es-CR" w:eastAsia="en-GB"/>
        </w:rPr>
      </w:pPr>
      <w:r>
        <w:rPr>
          <w:rFonts w:eastAsia="Times New Roman" w:cs="Times New Roman"/>
          <w:szCs w:val="20"/>
          <w:lang w:val="es-CR" w:eastAsia="en-GB"/>
        </w:rPr>
        <w:t xml:space="preserve"> </w:t>
      </w:r>
    </w:p>
    <w:p w14:paraId="5E20E091" w14:textId="201834D7" w:rsidR="00A709AE" w:rsidRPr="0092295B" w:rsidRDefault="00C23E4C" w:rsidP="003B6763">
      <w:pPr>
        <w:pStyle w:val="Prrafodelista"/>
        <w:numPr>
          <w:ilvl w:val="0"/>
          <w:numId w:val="29"/>
        </w:numPr>
        <w:spacing w:before="0" w:after="0"/>
        <w:ind w:left="0" w:firstLine="0"/>
        <w:rPr>
          <w:rFonts w:eastAsia="Times New Roman" w:cs="Times New Roman"/>
          <w:szCs w:val="20"/>
          <w:lang w:val="es-CR" w:eastAsia="en-GB"/>
        </w:rPr>
      </w:pPr>
      <w:r>
        <w:t>Adicionalmente</w:t>
      </w:r>
      <w:r w:rsidR="00F13CD3" w:rsidRPr="0092295B">
        <w:t>, este Tribunal considera que</w:t>
      </w:r>
      <w:r w:rsidR="006A0DF6">
        <w:t>,</w:t>
      </w:r>
      <w:r w:rsidR="00F13CD3" w:rsidRPr="0092295B">
        <w:t xml:space="preserve"> además de haber sido aplicada de fo</w:t>
      </w:r>
      <w:r w:rsidR="003B6763" w:rsidRPr="0092295B">
        <w:t>rma ilegal en el caso concreto</w:t>
      </w:r>
      <w:r w:rsidR="00ED7F33">
        <w:t>,</w:t>
      </w:r>
      <w:r w:rsidR="003B6763" w:rsidRPr="0092295B">
        <w:t xml:space="preserve"> </w:t>
      </w:r>
      <w:r w:rsidR="00F13CD3" w:rsidRPr="0092295B">
        <w:t>la regulación de la detención en firme</w:t>
      </w:r>
      <w:r w:rsidR="003B6763" w:rsidRPr="0092295B">
        <w:t xml:space="preserve"> </w:t>
      </w:r>
      <w:r w:rsidR="008827E4" w:rsidRPr="0092295B">
        <w:rPr>
          <w:rFonts w:eastAsia="Times New Roman" w:cs="Times New Roman"/>
          <w:szCs w:val="20"/>
          <w:lang w:val="es-CR" w:eastAsia="en-GB"/>
        </w:rPr>
        <w:t>resultaba</w:t>
      </w:r>
      <w:r w:rsidR="001A7D9B" w:rsidRPr="0092295B">
        <w:rPr>
          <w:rFonts w:eastAsia="Times New Roman" w:cs="Times New Roman"/>
          <w:szCs w:val="20"/>
          <w:lang w:val="es-CR" w:eastAsia="en-GB"/>
        </w:rPr>
        <w:t xml:space="preserve"> </w:t>
      </w:r>
      <w:r w:rsidR="000E7843" w:rsidRPr="0092295B">
        <w:rPr>
          <w:rFonts w:eastAsia="Times New Roman" w:cs="Times New Roman"/>
          <w:szCs w:val="20"/>
          <w:lang w:val="es-CR" w:eastAsia="en-GB"/>
        </w:rPr>
        <w:t>incompatible con los fines de la Convención</w:t>
      </w:r>
      <w:r w:rsidR="00DA691E" w:rsidRPr="0092295B">
        <w:rPr>
          <w:rFonts w:eastAsia="Times New Roman" w:cs="Times New Roman"/>
          <w:szCs w:val="20"/>
          <w:lang w:val="es-CR" w:eastAsia="en-GB"/>
        </w:rPr>
        <w:t xml:space="preserve"> Americana</w:t>
      </w:r>
      <w:r w:rsidR="00E94282" w:rsidRPr="0092295B">
        <w:rPr>
          <w:rFonts w:eastAsia="Times New Roman" w:cs="Times New Roman"/>
          <w:szCs w:val="20"/>
          <w:lang w:val="es-CR" w:eastAsia="en-GB"/>
        </w:rPr>
        <w:t>,</w:t>
      </w:r>
      <w:r w:rsidR="003D47BB" w:rsidRPr="0092295B">
        <w:rPr>
          <w:rFonts w:eastAsia="Times New Roman" w:cs="Times New Roman"/>
          <w:szCs w:val="20"/>
          <w:lang w:val="es-CR" w:eastAsia="en-GB"/>
        </w:rPr>
        <w:t xml:space="preserve"> en tanto que </w:t>
      </w:r>
      <w:r w:rsidR="008065B2" w:rsidRPr="0092295B">
        <w:rPr>
          <w:rFonts w:eastAsia="Times New Roman" w:cs="Times New Roman"/>
          <w:szCs w:val="20"/>
          <w:lang w:val="es-CR" w:eastAsia="en-GB"/>
        </w:rPr>
        <w:t>no permitía el examen de</w:t>
      </w:r>
      <w:r w:rsidR="008425DC" w:rsidRPr="0092295B">
        <w:rPr>
          <w:rFonts w:eastAsia="Times New Roman" w:cs="Times New Roman"/>
          <w:szCs w:val="20"/>
          <w:lang w:val="es-CR" w:eastAsia="en-GB"/>
        </w:rPr>
        <w:t xml:space="preserve"> todos l</w:t>
      </w:r>
      <w:r w:rsidR="008827E4" w:rsidRPr="0092295B">
        <w:rPr>
          <w:rFonts w:eastAsia="Times New Roman" w:cs="Times New Roman"/>
          <w:szCs w:val="20"/>
          <w:lang w:val="es-CR" w:eastAsia="en-GB"/>
        </w:rPr>
        <w:t>os presupuestos exigidos para la</w:t>
      </w:r>
      <w:r w:rsidR="00E93DBF" w:rsidRPr="0092295B">
        <w:rPr>
          <w:rFonts w:eastAsia="Times New Roman" w:cs="Times New Roman"/>
          <w:szCs w:val="20"/>
          <w:lang w:val="es-CR" w:eastAsia="en-GB"/>
        </w:rPr>
        <w:t xml:space="preserve"> imposición de una medida restrictiva de la libertad personal. </w:t>
      </w:r>
      <w:r w:rsidR="008827E4" w:rsidRPr="0092295B">
        <w:t>En consideración de lo anterior</w:t>
      </w:r>
      <w:r w:rsidR="00EE3138" w:rsidRPr="0092295B">
        <w:t>, la Corte considera que la normat</w:t>
      </w:r>
      <w:r w:rsidR="008A4849" w:rsidRPr="0092295B">
        <w:t>iva aplicada en el presente caso</w:t>
      </w:r>
      <w:r w:rsidR="00EE3138" w:rsidRPr="0092295B">
        <w:t xml:space="preserve"> es violatoria del </w:t>
      </w:r>
      <w:r w:rsidR="00A57075" w:rsidRPr="0092295B">
        <w:t>artícul</w:t>
      </w:r>
      <w:r w:rsidR="00F13CD3" w:rsidRPr="0092295B">
        <w:t>o 2 de la Convención Americana</w:t>
      </w:r>
      <w:r w:rsidR="003B6763" w:rsidRPr="0092295B">
        <w:t>,</w:t>
      </w:r>
      <w:r w:rsidR="00F13CD3" w:rsidRPr="0092295B">
        <w:t xml:space="preserve"> en relación con el artículo 7 de la misma. </w:t>
      </w:r>
    </w:p>
    <w:p w14:paraId="0BCB8E2C" w14:textId="77777777" w:rsidR="00181C2C" w:rsidRPr="0092295B" w:rsidRDefault="00181C2C" w:rsidP="00A709AE">
      <w:pPr>
        <w:pStyle w:val="Prrafodelista"/>
        <w:spacing w:before="0" w:after="0"/>
        <w:ind w:left="0"/>
        <w:rPr>
          <w:rFonts w:eastAsia="Times New Roman" w:cs="Times New Roman"/>
          <w:i/>
          <w:strike/>
          <w:szCs w:val="20"/>
          <w:lang w:val="es-CR" w:eastAsia="en-GB"/>
        </w:rPr>
      </w:pPr>
    </w:p>
    <w:p w14:paraId="09EA1775" w14:textId="4F4EED9E" w:rsidR="006636EC" w:rsidRPr="002F7D9D" w:rsidRDefault="00A709AE" w:rsidP="00593156">
      <w:pPr>
        <w:pStyle w:val="Prrafodelista"/>
        <w:numPr>
          <w:ilvl w:val="0"/>
          <w:numId w:val="29"/>
        </w:numPr>
        <w:spacing w:before="0" w:after="0"/>
        <w:ind w:left="0" w:firstLine="0"/>
        <w:rPr>
          <w:rFonts w:eastAsia="Times New Roman" w:cs="Times New Roman"/>
          <w:i/>
          <w:color w:val="FF0000"/>
          <w:szCs w:val="20"/>
          <w:lang w:val="es-CR" w:eastAsia="en-GB"/>
        </w:rPr>
      </w:pPr>
      <w:r w:rsidRPr="0092295B">
        <w:rPr>
          <w:rFonts w:eastAsia="Times New Roman" w:cs="Times New Roman"/>
          <w:szCs w:val="20"/>
          <w:lang w:val="es-CR" w:eastAsia="en-GB"/>
        </w:rPr>
        <w:t xml:space="preserve">En cuanto a la alegación de la Comisión de </w:t>
      </w:r>
      <w:r w:rsidR="006A666F" w:rsidRPr="0092295B">
        <w:rPr>
          <w:rFonts w:eastAsia="Times New Roman" w:cs="Times New Roman"/>
          <w:szCs w:val="20"/>
          <w:lang w:val="es-CR" w:eastAsia="en-GB"/>
        </w:rPr>
        <w:t>que la aplicación de dicha norma</w:t>
      </w:r>
      <w:r w:rsidRPr="0092295B">
        <w:rPr>
          <w:rFonts w:eastAsia="Times New Roman" w:cs="Times New Roman"/>
          <w:szCs w:val="20"/>
          <w:lang w:val="es-CR" w:eastAsia="en-GB"/>
        </w:rPr>
        <w:t xml:space="preserve"> implicaba una di</w:t>
      </w:r>
      <w:r w:rsidR="006A666F" w:rsidRPr="0092295B">
        <w:rPr>
          <w:rFonts w:eastAsia="Times New Roman" w:cs="Times New Roman"/>
          <w:szCs w:val="20"/>
          <w:lang w:val="es-CR" w:eastAsia="en-GB"/>
        </w:rPr>
        <w:t>ferencia de trat</w:t>
      </w:r>
      <w:r w:rsidR="00E93DBF" w:rsidRPr="0092295B">
        <w:rPr>
          <w:rFonts w:eastAsia="Times New Roman" w:cs="Times New Roman"/>
          <w:szCs w:val="20"/>
          <w:lang w:val="es-CR" w:eastAsia="en-GB"/>
        </w:rPr>
        <w:t>o</w:t>
      </w:r>
      <w:r w:rsidR="00256A80">
        <w:rPr>
          <w:rFonts w:eastAsia="Times New Roman" w:cs="Times New Roman"/>
          <w:szCs w:val="20"/>
          <w:lang w:val="es-CR" w:eastAsia="en-GB"/>
        </w:rPr>
        <w:t xml:space="preserve"> contraria a la Convención</w:t>
      </w:r>
      <w:r w:rsidR="00E93DBF" w:rsidRPr="0092295B">
        <w:rPr>
          <w:rFonts w:eastAsia="Times New Roman" w:cs="Times New Roman"/>
          <w:szCs w:val="20"/>
          <w:lang w:val="es-CR" w:eastAsia="en-GB"/>
        </w:rPr>
        <w:t>, e</w:t>
      </w:r>
      <w:r w:rsidRPr="0092295B">
        <w:rPr>
          <w:rFonts w:eastAsia="Times New Roman" w:cs="Times New Roman"/>
          <w:szCs w:val="20"/>
          <w:lang w:val="es-CR" w:eastAsia="en-GB"/>
        </w:rPr>
        <w:t>ste Tribunal advierte que</w:t>
      </w:r>
      <w:r w:rsidR="008D18BB" w:rsidRPr="0092295B">
        <w:rPr>
          <w:rFonts w:eastAsia="Times New Roman" w:cs="Times New Roman"/>
          <w:szCs w:val="20"/>
          <w:lang w:val="es-CR" w:eastAsia="en-GB"/>
        </w:rPr>
        <w:t xml:space="preserve"> </w:t>
      </w:r>
      <w:r w:rsidR="006E3A2B" w:rsidRPr="0092295B">
        <w:rPr>
          <w:rFonts w:eastAsia="Times New Roman" w:cs="Times New Roman"/>
          <w:szCs w:val="20"/>
          <w:lang w:val="es-CR" w:eastAsia="en-GB"/>
        </w:rPr>
        <w:t>el artículo 173 - A del Código de Procedimiento Penal referente a la detención en firme (</w:t>
      </w:r>
      <w:r w:rsidR="006E3A2B" w:rsidRPr="0092295B">
        <w:rPr>
          <w:rFonts w:eastAsia="Times New Roman" w:cs="Times New Roman"/>
          <w:i/>
          <w:szCs w:val="20"/>
          <w:lang w:val="es-CR" w:eastAsia="en-GB"/>
        </w:rPr>
        <w:t>supra</w:t>
      </w:r>
      <w:r w:rsidR="006E3A2B" w:rsidRPr="0092295B">
        <w:rPr>
          <w:rFonts w:eastAsia="Times New Roman" w:cs="Times New Roman"/>
          <w:szCs w:val="20"/>
          <w:lang w:val="es-CR" w:eastAsia="en-GB"/>
        </w:rPr>
        <w:t xml:space="preserve"> párr.</w:t>
      </w:r>
      <w:r w:rsidR="00A511C3">
        <w:rPr>
          <w:rFonts w:eastAsia="Times New Roman" w:cs="Times New Roman"/>
          <w:szCs w:val="20"/>
          <w:lang w:val="es-CR" w:eastAsia="en-GB"/>
        </w:rPr>
        <w:t xml:space="preserve"> </w:t>
      </w:r>
      <w:r w:rsidR="00ED7F33">
        <w:rPr>
          <w:rFonts w:eastAsia="Times New Roman" w:cs="Times New Roman"/>
          <w:szCs w:val="20"/>
          <w:lang w:val="es-CR" w:eastAsia="en-GB"/>
        </w:rPr>
        <w:t>38</w:t>
      </w:r>
      <w:r w:rsidR="006E3A2B" w:rsidRPr="0092295B">
        <w:rPr>
          <w:rFonts w:eastAsia="Times New Roman" w:cs="Times New Roman"/>
          <w:szCs w:val="20"/>
          <w:lang w:val="es-CR" w:eastAsia="en-GB"/>
        </w:rPr>
        <w:t>), pl</w:t>
      </w:r>
      <w:r w:rsidR="00F13CD3" w:rsidRPr="0092295B">
        <w:rPr>
          <w:rFonts w:eastAsia="Times New Roman" w:cs="Times New Roman"/>
          <w:szCs w:val="20"/>
          <w:lang w:val="es-CR" w:eastAsia="en-GB"/>
        </w:rPr>
        <w:t>antea dos categorías</w:t>
      </w:r>
      <w:r w:rsidR="008D18BB" w:rsidRPr="0092295B">
        <w:rPr>
          <w:rFonts w:eastAsia="Times New Roman" w:cs="Times New Roman"/>
          <w:szCs w:val="20"/>
          <w:lang w:val="es-CR" w:eastAsia="en-GB"/>
        </w:rPr>
        <w:t xml:space="preserve">: a) </w:t>
      </w:r>
      <w:r w:rsidR="006E3A2B" w:rsidRPr="0092295B">
        <w:rPr>
          <w:rFonts w:eastAsia="Times New Roman" w:cs="Times New Roman"/>
          <w:szCs w:val="20"/>
          <w:lang w:val="es-CR" w:eastAsia="en-GB"/>
        </w:rPr>
        <w:t>aquellas personas procesadas por los delitos con una pena mayor a un año, que no fueran calificadas como presuntas encubridoras</w:t>
      </w:r>
      <w:r w:rsidR="00ED7F33">
        <w:rPr>
          <w:rFonts w:eastAsia="Times New Roman" w:cs="Times New Roman"/>
          <w:szCs w:val="20"/>
          <w:lang w:val="es-CR" w:eastAsia="en-GB"/>
        </w:rPr>
        <w:t xml:space="preserve">, </w:t>
      </w:r>
      <w:r w:rsidR="008D18BB" w:rsidRPr="0092295B">
        <w:rPr>
          <w:rFonts w:eastAsia="Times New Roman" w:cs="Times New Roman"/>
          <w:szCs w:val="20"/>
          <w:lang w:val="es-CR" w:eastAsia="en-GB"/>
        </w:rPr>
        <w:t>a las cuáles se les debía imponer la medida cautelar de detención en firme</w:t>
      </w:r>
      <w:r w:rsidR="00A81BF2" w:rsidRPr="008003DE">
        <w:rPr>
          <w:rFonts w:eastAsia="Times New Roman" w:cs="Times New Roman"/>
          <w:szCs w:val="20"/>
          <w:lang w:val="es-CR" w:eastAsia="en-GB"/>
        </w:rPr>
        <w:t>,</w:t>
      </w:r>
      <w:r w:rsidR="008D18BB" w:rsidRPr="0092295B">
        <w:rPr>
          <w:rFonts w:eastAsia="Times New Roman" w:cs="Times New Roman"/>
          <w:szCs w:val="20"/>
          <w:lang w:val="es-CR" w:eastAsia="en-GB"/>
        </w:rPr>
        <w:t xml:space="preserve"> y b)</w:t>
      </w:r>
      <w:r w:rsidR="006E3A2B" w:rsidRPr="0092295B">
        <w:rPr>
          <w:rFonts w:eastAsia="Times New Roman" w:cs="Times New Roman"/>
          <w:szCs w:val="20"/>
          <w:lang w:val="es-CR" w:eastAsia="en-GB"/>
        </w:rPr>
        <w:t xml:space="preserve"> aquellas </w:t>
      </w:r>
      <w:r w:rsidR="006E3A2B" w:rsidRPr="00464DDB">
        <w:rPr>
          <w:rFonts w:eastAsia="Times New Roman" w:cs="Times New Roman"/>
          <w:szCs w:val="20"/>
          <w:lang w:val="es-CR" w:eastAsia="en-GB"/>
        </w:rPr>
        <w:t>personas procesadas por delitos con una pena menor a un año o calificadas presuntas encubridoras</w:t>
      </w:r>
      <w:r w:rsidR="006E3A2B" w:rsidRPr="00CE7748">
        <w:rPr>
          <w:rFonts w:eastAsia="Times New Roman" w:cs="Times New Roman"/>
          <w:szCs w:val="20"/>
          <w:lang w:val="es-CR" w:eastAsia="en-GB"/>
        </w:rPr>
        <w:t>, o incluso sin esos requisitos, cuando no se les hubiere emitido el llamamiento a juicio</w:t>
      </w:r>
      <w:r w:rsidR="008D18BB" w:rsidRPr="00CE7748">
        <w:rPr>
          <w:rFonts w:eastAsia="Times New Roman" w:cs="Times New Roman"/>
          <w:szCs w:val="20"/>
          <w:lang w:val="es-CR" w:eastAsia="en-GB"/>
        </w:rPr>
        <w:t xml:space="preserve"> que podían ser sujetas a otras medidas cautelares</w:t>
      </w:r>
      <w:r w:rsidR="006E3A2B" w:rsidRPr="00CE7748">
        <w:rPr>
          <w:rFonts w:eastAsia="Times New Roman" w:cs="Times New Roman"/>
          <w:szCs w:val="20"/>
          <w:lang w:val="es-CR" w:eastAsia="en-GB"/>
        </w:rPr>
        <w:t xml:space="preserve">. </w:t>
      </w:r>
      <w:r w:rsidR="006636EC" w:rsidRPr="00CE7748">
        <w:rPr>
          <w:rFonts w:eastAsia="Times New Roman" w:cs="Times New Roman"/>
          <w:szCs w:val="20"/>
          <w:lang w:val="es-CR" w:eastAsia="en-GB"/>
        </w:rPr>
        <w:t>Esta diferencia de trato no estaba fundada en ninguna finalidad legítima a la luz de los estándares establecidos</w:t>
      </w:r>
      <w:r w:rsidR="006636EC" w:rsidRPr="0092295B">
        <w:rPr>
          <w:rFonts w:eastAsia="Times New Roman" w:cs="Times New Roman"/>
          <w:szCs w:val="20"/>
          <w:lang w:val="es-CR" w:eastAsia="en-GB"/>
        </w:rPr>
        <w:t xml:space="preserve"> por este Tribunal para justificar la imposición de la detención preventiva</w:t>
      </w:r>
      <w:r w:rsidR="00A84BA1" w:rsidRPr="0092295B">
        <w:rPr>
          <w:rFonts w:eastAsia="Times New Roman" w:cs="Times New Roman"/>
          <w:szCs w:val="20"/>
          <w:lang w:val="es-CR" w:eastAsia="en-GB"/>
        </w:rPr>
        <w:t xml:space="preserve"> y</w:t>
      </w:r>
      <w:r w:rsidR="00256A80">
        <w:rPr>
          <w:rFonts w:eastAsia="Times New Roman" w:cs="Times New Roman"/>
          <w:szCs w:val="20"/>
          <w:lang w:val="es-CR" w:eastAsia="en-GB"/>
        </w:rPr>
        <w:t>,</w:t>
      </w:r>
      <w:r w:rsidR="00A84BA1" w:rsidRPr="0092295B">
        <w:rPr>
          <w:rFonts w:eastAsia="Times New Roman" w:cs="Times New Roman"/>
          <w:szCs w:val="20"/>
          <w:lang w:val="es-CR" w:eastAsia="en-GB"/>
        </w:rPr>
        <w:t xml:space="preserve"> por lo ta</w:t>
      </w:r>
      <w:r w:rsidR="0060638C" w:rsidRPr="0092295B">
        <w:rPr>
          <w:rFonts w:eastAsia="Times New Roman" w:cs="Times New Roman"/>
          <w:szCs w:val="20"/>
          <w:lang w:val="es-CR" w:eastAsia="en-GB"/>
        </w:rPr>
        <w:t>n</w:t>
      </w:r>
      <w:r w:rsidR="00A84BA1" w:rsidRPr="0092295B">
        <w:rPr>
          <w:rFonts w:eastAsia="Times New Roman" w:cs="Times New Roman"/>
          <w:szCs w:val="20"/>
          <w:lang w:val="es-CR" w:eastAsia="en-GB"/>
        </w:rPr>
        <w:t>to</w:t>
      </w:r>
      <w:r w:rsidR="00256A80">
        <w:rPr>
          <w:rFonts w:eastAsia="Times New Roman" w:cs="Times New Roman"/>
          <w:szCs w:val="20"/>
          <w:lang w:val="es-CR" w:eastAsia="en-GB"/>
        </w:rPr>
        <w:t>,</w:t>
      </w:r>
      <w:r w:rsidR="00A84BA1" w:rsidRPr="0092295B">
        <w:rPr>
          <w:rFonts w:eastAsia="Times New Roman" w:cs="Times New Roman"/>
          <w:szCs w:val="20"/>
          <w:lang w:val="es-CR" w:eastAsia="en-GB"/>
        </w:rPr>
        <w:t xml:space="preserve"> resulta arbitraria</w:t>
      </w:r>
      <w:r w:rsidR="006636EC" w:rsidRPr="0092295B">
        <w:rPr>
          <w:rFonts w:eastAsia="Times New Roman" w:cs="Times New Roman"/>
          <w:szCs w:val="20"/>
          <w:lang w:val="es-CR" w:eastAsia="en-GB"/>
        </w:rPr>
        <w:t>.</w:t>
      </w:r>
      <w:r w:rsidR="00E52412" w:rsidRPr="0092295B">
        <w:rPr>
          <w:rFonts w:eastAsia="Times New Roman" w:cs="Times New Roman"/>
          <w:szCs w:val="20"/>
          <w:lang w:val="es-CR" w:eastAsia="en-GB"/>
        </w:rPr>
        <w:t xml:space="preserve"> </w:t>
      </w:r>
      <w:r w:rsidR="00E829A3" w:rsidRPr="00E829A3">
        <w:rPr>
          <w:rFonts w:eastAsia="Times New Roman" w:cs="Times New Roman"/>
          <w:color w:val="FF0000"/>
          <w:szCs w:val="20"/>
          <w:lang w:val="es-CR" w:eastAsia="en-GB"/>
        </w:rPr>
        <w:t xml:space="preserve"> </w:t>
      </w:r>
    </w:p>
    <w:p w14:paraId="54638348" w14:textId="3DDC386E" w:rsidR="006636EC" w:rsidRPr="0092295B" w:rsidRDefault="006636EC" w:rsidP="00A47645">
      <w:pPr>
        <w:spacing w:before="0" w:after="0"/>
        <w:rPr>
          <w:rFonts w:eastAsia="Times New Roman" w:cs="Times New Roman"/>
          <w:strike/>
          <w:szCs w:val="20"/>
          <w:lang w:val="es-CR" w:eastAsia="en-GB"/>
        </w:rPr>
      </w:pPr>
    </w:p>
    <w:p w14:paraId="291C454E" w14:textId="0F249091" w:rsidR="006E3A2B" w:rsidRPr="00ED2790" w:rsidRDefault="008425DC" w:rsidP="00792BA6">
      <w:pPr>
        <w:pStyle w:val="Prrafodelista"/>
        <w:numPr>
          <w:ilvl w:val="0"/>
          <w:numId w:val="29"/>
        </w:numPr>
        <w:spacing w:before="0" w:after="0"/>
        <w:ind w:left="0" w:firstLine="0"/>
        <w:rPr>
          <w:szCs w:val="20"/>
          <w:lang w:val="es-ES"/>
        </w:rPr>
      </w:pPr>
      <w:r w:rsidRPr="0092295B">
        <w:rPr>
          <w:rFonts w:eastAsia="Times New Roman" w:cs="Times New Roman"/>
          <w:szCs w:val="20"/>
          <w:lang w:val="es-CR" w:eastAsia="en-GB"/>
        </w:rPr>
        <w:t>En el presente caso</w:t>
      </w:r>
      <w:r w:rsidR="00256A80">
        <w:rPr>
          <w:rFonts w:eastAsia="Times New Roman" w:cs="Times New Roman"/>
          <w:szCs w:val="20"/>
          <w:lang w:val="es-CR" w:eastAsia="en-GB"/>
        </w:rPr>
        <w:t>,</w:t>
      </w:r>
      <w:r w:rsidRPr="0092295B">
        <w:rPr>
          <w:rFonts w:eastAsia="Times New Roman" w:cs="Times New Roman"/>
          <w:szCs w:val="20"/>
          <w:lang w:val="es-CR" w:eastAsia="en-GB"/>
        </w:rPr>
        <w:t xml:space="preserve"> </w:t>
      </w:r>
      <w:r w:rsidR="00A84BA1" w:rsidRPr="0092295B">
        <w:rPr>
          <w:rFonts w:eastAsia="Times New Roman" w:cs="Times New Roman"/>
          <w:szCs w:val="20"/>
          <w:lang w:val="es-CR" w:eastAsia="en-GB"/>
        </w:rPr>
        <w:t xml:space="preserve">a </w:t>
      </w:r>
      <w:r w:rsidRPr="0092295B">
        <w:rPr>
          <w:rFonts w:eastAsia="Times New Roman" w:cs="Times New Roman"/>
          <w:szCs w:val="20"/>
          <w:lang w:val="es-CR" w:eastAsia="en-GB"/>
        </w:rPr>
        <w:t xml:space="preserve">las presuntas víctimas se </w:t>
      </w:r>
      <w:r w:rsidR="00A84BA1" w:rsidRPr="0092295B">
        <w:rPr>
          <w:rFonts w:eastAsia="Times New Roman" w:cs="Times New Roman"/>
          <w:szCs w:val="20"/>
          <w:lang w:val="es-CR" w:eastAsia="en-GB"/>
        </w:rPr>
        <w:t>les aplicó la detención en firme</w:t>
      </w:r>
      <w:r w:rsidR="003652AC" w:rsidRPr="0092295B">
        <w:rPr>
          <w:rFonts w:eastAsia="Times New Roman" w:cs="Times New Roman"/>
          <w:szCs w:val="20"/>
          <w:lang w:val="es-CR" w:eastAsia="en-GB"/>
        </w:rPr>
        <w:t>, d</w:t>
      </w:r>
      <w:r w:rsidR="00440B37" w:rsidRPr="0092295B">
        <w:rPr>
          <w:rFonts w:eastAsia="Times New Roman" w:cs="Times New Roman"/>
          <w:szCs w:val="20"/>
          <w:lang w:val="es-CR" w:eastAsia="en-GB"/>
        </w:rPr>
        <w:t>e modo que es</w:t>
      </w:r>
      <w:r w:rsidR="00DA691E" w:rsidRPr="0092295B">
        <w:rPr>
          <w:rFonts w:eastAsia="Times New Roman" w:cs="Times New Roman"/>
          <w:szCs w:val="20"/>
          <w:lang w:val="es-CR" w:eastAsia="en-GB"/>
        </w:rPr>
        <w:t xml:space="preserve">e trato diferenciado no </w:t>
      </w:r>
      <w:r w:rsidR="00FE72C2" w:rsidRPr="0092295B">
        <w:rPr>
          <w:rFonts w:eastAsia="Times New Roman" w:cs="Times New Roman"/>
          <w:szCs w:val="20"/>
          <w:lang w:val="es-CR" w:eastAsia="en-GB"/>
        </w:rPr>
        <w:t xml:space="preserve">puede </w:t>
      </w:r>
      <w:r w:rsidR="003652AC" w:rsidRPr="0092295B">
        <w:rPr>
          <w:rFonts w:eastAsia="Times New Roman" w:cs="Times New Roman"/>
          <w:szCs w:val="20"/>
          <w:lang w:val="es-CR" w:eastAsia="en-GB"/>
        </w:rPr>
        <w:t>ser justificado de manera</w:t>
      </w:r>
      <w:r w:rsidR="00440B37" w:rsidRPr="0092295B">
        <w:rPr>
          <w:rFonts w:eastAsia="Times New Roman" w:cs="Times New Roman"/>
          <w:szCs w:val="20"/>
          <w:lang w:val="es-CR" w:eastAsia="en-GB"/>
        </w:rPr>
        <w:t xml:space="preserve"> razonable de acuerdo a los fines convencionales de las medidas coercitivas</w:t>
      </w:r>
      <w:r w:rsidR="00A84BA1" w:rsidRPr="0092295B">
        <w:rPr>
          <w:rFonts w:eastAsia="Times New Roman" w:cs="Times New Roman"/>
          <w:szCs w:val="20"/>
          <w:lang w:val="es-CR" w:eastAsia="en-GB"/>
        </w:rPr>
        <w:t xml:space="preserve"> que implican la privación de la libertad personal</w:t>
      </w:r>
      <w:r w:rsidR="0045476E" w:rsidRPr="0092295B">
        <w:rPr>
          <w:rStyle w:val="Refdenotaalpie"/>
          <w:rFonts w:eastAsia="Times New Roman"/>
          <w:lang w:val="es-CR" w:eastAsia="en-GB"/>
        </w:rPr>
        <w:footnoteReference w:id="123"/>
      </w:r>
      <w:r w:rsidR="00B62603" w:rsidRPr="0092295B">
        <w:rPr>
          <w:rFonts w:eastAsia="Times New Roman" w:cs="Times New Roman"/>
          <w:szCs w:val="20"/>
          <w:lang w:val="es-CR" w:eastAsia="en-GB"/>
        </w:rPr>
        <w:t xml:space="preserve">. </w:t>
      </w:r>
      <w:r w:rsidR="00B62603" w:rsidRPr="0092295B">
        <w:rPr>
          <w:szCs w:val="20"/>
          <w:lang w:val="es-ES"/>
        </w:rPr>
        <w:t xml:space="preserve">La Corte advierte que no consta en el expediente ninguna justificación o motivación formal de parte de la autoridad judicial para ordenar la prisión en firme de las presuntas víctimas, ni se encuentra una justificación para mantenerla, </w:t>
      </w:r>
      <w:r w:rsidR="00DA691E" w:rsidRPr="0092295B">
        <w:rPr>
          <w:rFonts w:eastAsia="Times New Roman" w:cs="Times New Roman"/>
          <w:szCs w:val="20"/>
          <w:lang w:val="es-CR" w:eastAsia="en-GB"/>
        </w:rPr>
        <w:t>lo que implic</w:t>
      </w:r>
      <w:r w:rsidR="00A84BA1" w:rsidRPr="0092295B">
        <w:rPr>
          <w:rFonts w:eastAsia="Times New Roman" w:cs="Times New Roman"/>
          <w:szCs w:val="20"/>
          <w:lang w:val="es-CR" w:eastAsia="en-GB"/>
        </w:rPr>
        <w:t>ó</w:t>
      </w:r>
      <w:r w:rsidR="00DA691E" w:rsidRPr="0092295B">
        <w:rPr>
          <w:rFonts w:eastAsia="Times New Roman" w:cs="Times New Roman"/>
          <w:szCs w:val="20"/>
          <w:lang w:val="es-CR" w:eastAsia="en-GB"/>
        </w:rPr>
        <w:t xml:space="preserve"> para las presuntas víctimas</w:t>
      </w:r>
      <w:r w:rsidR="00440B37" w:rsidRPr="0092295B">
        <w:rPr>
          <w:rFonts w:eastAsia="Times New Roman" w:cs="Times New Roman"/>
          <w:szCs w:val="20"/>
          <w:lang w:val="es-CR" w:eastAsia="en-GB"/>
        </w:rPr>
        <w:t xml:space="preserve"> una restricción </w:t>
      </w:r>
      <w:r w:rsidR="008D18BB" w:rsidRPr="0092295B">
        <w:rPr>
          <w:rFonts w:eastAsia="Times New Roman" w:cs="Times New Roman"/>
          <w:szCs w:val="20"/>
          <w:lang w:val="es-CR" w:eastAsia="en-GB"/>
        </w:rPr>
        <w:t xml:space="preserve">discriminatoria y </w:t>
      </w:r>
      <w:r w:rsidR="00440B37" w:rsidRPr="0092295B">
        <w:rPr>
          <w:rFonts w:eastAsia="Times New Roman" w:cs="Times New Roman"/>
          <w:szCs w:val="20"/>
          <w:lang w:val="es-CR" w:eastAsia="en-GB"/>
        </w:rPr>
        <w:t>arbitraria de la libertad personal</w:t>
      </w:r>
      <w:r w:rsidR="00D11D8D" w:rsidRPr="0092295B">
        <w:rPr>
          <w:rFonts w:eastAsia="Times New Roman" w:cs="Times New Roman"/>
          <w:szCs w:val="20"/>
          <w:lang w:val="es-CR" w:eastAsia="en-GB"/>
        </w:rPr>
        <w:t>. En consecuencia, la Corte considera que el Estado es responsable de la</w:t>
      </w:r>
      <w:r w:rsidR="0060638C" w:rsidRPr="0092295B">
        <w:rPr>
          <w:rFonts w:eastAsia="Times New Roman" w:cs="Times New Roman"/>
          <w:szCs w:val="20"/>
          <w:lang w:val="es-CR" w:eastAsia="en-GB"/>
        </w:rPr>
        <w:t xml:space="preserve"> violación de los artículos 7.1, 7.3</w:t>
      </w:r>
      <w:r w:rsidR="00D11D8D" w:rsidRPr="0092295B">
        <w:rPr>
          <w:rFonts w:eastAsia="Times New Roman" w:cs="Times New Roman"/>
          <w:szCs w:val="20"/>
          <w:lang w:val="es-CR" w:eastAsia="en-GB"/>
        </w:rPr>
        <w:t xml:space="preserve"> y 24 de la Convención Americana, en relación con las obligaciones establecidas en los artículos 1.1 y 2 de la misma Convenci</w:t>
      </w:r>
      <w:r w:rsidR="002411E4" w:rsidRPr="0092295B">
        <w:rPr>
          <w:rFonts w:eastAsia="Times New Roman" w:cs="Times New Roman"/>
          <w:szCs w:val="20"/>
          <w:lang w:val="es-CR" w:eastAsia="en-GB"/>
        </w:rPr>
        <w:t xml:space="preserve">ón, en perjuicio de </w:t>
      </w:r>
      <w:r w:rsidR="002411E4" w:rsidRPr="0092295B">
        <w:rPr>
          <w:szCs w:val="20"/>
        </w:rPr>
        <w:t xml:space="preserve">Jorge Villarroel Merino, </w:t>
      </w:r>
      <w:r w:rsidR="00996679" w:rsidRPr="00CE7748">
        <w:rPr>
          <w:szCs w:val="20"/>
        </w:rPr>
        <w:t>Mario Romel Ce</w:t>
      </w:r>
      <w:r w:rsidR="0041675F">
        <w:rPr>
          <w:szCs w:val="20"/>
        </w:rPr>
        <w:t>v</w:t>
      </w:r>
      <w:r w:rsidR="00996679" w:rsidRPr="00CE7748">
        <w:rPr>
          <w:szCs w:val="20"/>
        </w:rPr>
        <w:t>allos Moreno</w:t>
      </w:r>
      <w:r w:rsidR="00996679">
        <w:rPr>
          <w:szCs w:val="20"/>
        </w:rPr>
        <w:t>,</w:t>
      </w:r>
      <w:r w:rsidR="002761A7">
        <w:rPr>
          <w:szCs w:val="20"/>
        </w:rPr>
        <w:t xml:space="preserve"> </w:t>
      </w:r>
      <w:r w:rsidR="002411E4" w:rsidRPr="0092295B">
        <w:rPr>
          <w:szCs w:val="20"/>
        </w:rPr>
        <w:t xml:space="preserve">Jorge Coloma Gaibor, Fernando López Ortiz, Amílcar Ascázubi Albán y Patricio Vinueza Pánchez.  </w:t>
      </w:r>
    </w:p>
    <w:p w14:paraId="36389A91" w14:textId="4DD928B5" w:rsidR="006E3A2B" w:rsidRPr="00F911DC" w:rsidRDefault="00F64244" w:rsidP="00F911DC">
      <w:pPr>
        <w:pStyle w:val="Ttulo2"/>
        <w:ind w:left="426"/>
        <w:rPr>
          <w:i w:val="0"/>
        </w:rPr>
      </w:pPr>
      <w:bookmarkStart w:id="114" w:name="_Toc87339022"/>
      <w:r w:rsidRPr="00F911DC">
        <w:rPr>
          <w:i w:val="0"/>
        </w:rPr>
        <w:t>C</w:t>
      </w:r>
      <w:r w:rsidR="006E3A2B" w:rsidRPr="00F911DC">
        <w:rPr>
          <w:i w:val="0"/>
        </w:rPr>
        <w:t xml:space="preserve">. </w:t>
      </w:r>
      <w:r w:rsidR="005D6E7F" w:rsidRPr="00F911DC">
        <w:rPr>
          <w:i w:val="0"/>
        </w:rPr>
        <w:t xml:space="preserve">   </w:t>
      </w:r>
      <w:r w:rsidR="006E3A2B" w:rsidRPr="00F911DC">
        <w:rPr>
          <w:i w:val="0"/>
        </w:rPr>
        <w:t>Detención Preventiva</w:t>
      </w:r>
      <w:bookmarkEnd w:id="114"/>
    </w:p>
    <w:p w14:paraId="7C8F9F27" w14:textId="26C4412E" w:rsidR="00BD20CA" w:rsidRPr="00BD20CA" w:rsidRDefault="006876B7" w:rsidP="00196466">
      <w:pPr>
        <w:pStyle w:val="Prrafodelista"/>
        <w:numPr>
          <w:ilvl w:val="0"/>
          <w:numId w:val="29"/>
        </w:numPr>
        <w:spacing w:before="0" w:after="0"/>
        <w:ind w:left="0" w:firstLine="0"/>
        <w:rPr>
          <w:rFonts w:cs="Times New Roman"/>
          <w:color w:val="242424"/>
          <w:szCs w:val="20"/>
          <w:lang w:val="es-CR"/>
        </w:rPr>
      </w:pPr>
      <w:r w:rsidRPr="0092295B">
        <w:rPr>
          <w:rFonts w:eastAsia="Times New Roman" w:cs="Times New Roman"/>
          <w:szCs w:val="20"/>
          <w:lang w:val="es-CR" w:eastAsia="en-GB"/>
        </w:rPr>
        <w:t xml:space="preserve"> </w:t>
      </w:r>
      <w:r w:rsidR="000A02F2" w:rsidRPr="0092295B">
        <w:rPr>
          <w:rFonts w:eastAsia="Times New Roman" w:cs="Times New Roman"/>
          <w:szCs w:val="20"/>
          <w:lang w:val="es-CR" w:eastAsia="en-GB"/>
        </w:rPr>
        <w:t>La Corte recuerda que l</w:t>
      </w:r>
      <w:r w:rsidR="006E3A2B" w:rsidRPr="0092295B">
        <w:rPr>
          <w:rFonts w:eastAsia="Times New Roman" w:cs="Times New Roman"/>
          <w:szCs w:val="20"/>
          <w:lang w:val="es-CR" w:eastAsia="en-GB"/>
        </w:rPr>
        <w:t xml:space="preserve">os señores </w:t>
      </w:r>
      <w:r w:rsidR="006E3A2B" w:rsidRPr="0092295B">
        <w:rPr>
          <w:szCs w:val="20"/>
        </w:rPr>
        <w:t>Jorge Coloma Gaibor, Fe</w:t>
      </w:r>
      <w:r w:rsidR="0060743E" w:rsidRPr="0092295B">
        <w:rPr>
          <w:szCs w:val="20"/>
        </w:rPr>
        <w:t>rnando López Ortiz, Amílcar Ascázubi Albán y Patricio Vinuez</w:t>
      </w:r>
      <w:r w:rsidR="006E3A2B" w:rsidRPr="0092295B">
        <w:rPr>
          <w:szCs w:val="20"/>
        </w:rPr>
        <w:t>a Pánchez</w:t>
      </w:r>
      <w:r w:rsidR="006E3A2B" w:rsidRPr="0092295B">
        <w:rPr>
          <w:rFonts w:eastAsia="Times New Roman" w:cs="Times New Roman"/>
          <w:szCs w:val="20"/>
          <w:lang w:val="es-CR" w:eastAsia="en-GB"/>
        </w:rPr>
        <w:t xml:space="preserve"> permanecieron </w:t>
      </w:r>
      <w:r w:rsidR="003D6430" w:rsidRPr="0092295B">
        <w:rPr>
          <w:rFonts w:eastAsia="Times New Roman" w:cs="Times New Roman"/>
          <w:szCs w:val="20"/>
          <w:lang w:val="es-CR" w:eastAsia="en-GB"/>
        </w:rPr>
        <w:t>privado</w:t>
      </w:r>
      <w:r w:rsidR="003B1414" w:rsidRPr="0092295B">
        <w:rPr>
          <w:rFonts w:eastAsia="Times New Roman" w:cs="Times New Roman"/>
          <w:szCs w:val="20"/>
          <w:lang w:val="es-CR" w:eastAsia="en-GB"/>
        </w:rPr>
        <w:t>s de la libertad bajo</w:t>
      </w:r>
      <w:r w:rsidR="006E3A2B" w:rsidRPr="0092295B">
        <w:rPr>
          <w:rFonts w:eastAsia="Times New Roman" w:cs="Times New Roman"/>
          <w:szCs w:val="20"/>
          <w:lang w:val="es-CR" w:eastAsia="en-GB"/>
        </w:rPr>
        <w:t xml:space="preserve"> detención</w:t>
      </w:r>
      <w:r w:rsidR="003B1414" w:rsidRPr="0092295B">
        <w:rPr>
          <w:rFonts w:eastAsia="Times New Roman" w:cs="Times New Roman"/>
          <w:szCs w:val="20"/>
          <w:lang w:val="es-CR" w:eastAsia="en-GB"/>
        </w:rPr>
        <w:t xml:space="preserve"> preventiva cuatro meses, entre el 27 de enero de 2004 y </w:t>
      </w:r>
      <w:r w:rsidR="006E3A2B" w:rsidRPr="0092295B">
        <w:rPr>
          <w:rFonts w:eastAsia="Times New Roman" w:cs="Times New Roman"/>
          <w:szCs w:val="20"/>
          <w:lang w:val="es-CR" w:eastAsia="en-GB"/>
        </w:rPr>
        <w:t>el 25 de mayo de 2004</w:t>
      </w:r>
      <w:r w:rsidR="00A03279">
        <w:rPr>
          <w:rFonts w:eastAsia="Times New Roman" w:cs="Times New Roman"/>
          <w:szCs w:val="20"/>
          <w:lang w:val="es-CR" w:eastAsia="en-GB"/>
        </w:rPr>
        <w:t>.</w:t>
      </w:r>
      <w:r w:rsidR="009B0C35" w:rsidRPr="0092295B">
        <w:rPr>
          <w:rFonts w:eastAsia="Times New Roman" w:cs="Times New Roman"/>
          <w:szCs w:val="20"/>
          <w:lang w:val="es-CR" w:eastAsia="en-GB"/>
        </w:rPr>
        <w:t xml:space="preserve"> </w:t>
      </w:r>
      <w:r w:rsidR="00A03279">
        <w:rPr>
          <w:rFonts w:eastAsia="Times New Roman" w:cs="Times New Roman"/>
          <w:szCs w:val="20"/>
          <w:lang w:val="es-CR" w:eastAsia="en-GB"/>
        </w:rPr>
        <w:t>E</w:t>
      </w:r>
      <w:r w:rsidR="009B0C35" w:rsidRPr="0092295B">
        <w:rPr>
          <w:rFonts w:eastAsia="Times New Roman" w:cs="Times New Roman"/>
          <w:szCs w:val="20"/>
          <w:lang w:val="es-CR" w:eastAsia="en-GB"/>
        </w:rPr>
        <w:t>l señor Jorge Villarroel Merino</w:t>
      </w:r>
      <w:r w:rsidR="003B1414" w:rsidRPr="0092295B">
        <w:rPr>
          <w:rFonts w:eastAsia="Times New Roman" w:cs="Times New Roman"/>
          <w:szCs w:val="20"/>
          <w:lang w:val="es-CR" w:eastAsia="en-GB"/>
        </w:rPr>
        <w:t xml:space="preserve"> permaneció privado de libertad </w:t>
      </w:r>
      <w:r w:rsidR="009C3C77" w:rsidRPr="0092295B">
        <w:rPr>
          <w:rFonts w:eastAsia="Times New Roman" w:cs="Times New Roman"/>
          <w:szCs w:val="20"/>
          <w:lang w:val="es-CR" w:eastAsia="en-GB"/>
        </w:rPr>
        <w:t>hasta el 4 de junio de 20</w:t>
      </w:r>
      <w:r w:rsidR="009C3C77" w:rsidRPr="00A03279">
        <w:rPr>
          <w:rFonts w:eastAsia="Times New Roman" w:cs="Times New Roman"/>
          <w:szCs w:val="20"/>
          <w:lang w:val="es-CR" w:eastAsia="en-GB"/>
        </w:rPr>
        <w:t>04</w:t>
      </w:r>
      <w:r w:rsidR="006E3A2B" w:rsidRPr="00A03279">
        <w:rPr>
          <w:rFonts w:eastAsia="Times New Roman" w:cs="Times New Roman"/>
          <w:szCs w:val="20"/>
          <w:lang w:val="es-CR" w:eastAsia="en-GB"/>
        </w:rPr>
        <w:t xml:space="preserve">. </w:t>
      </w:r>
      <w:r w:rsidR="009C3C77" w:rsidRPr="00FA72AF">
        <w:rPr>
          <w:rFonts w:cs="Times New Roman"/>
          <w:szCs w:val="20"/>
          <w:lang w:val="es-CR"/>
        </w:rPr>
        <w:t xml:space="preserve">Para efectos del presente análisis no se incluye </w:t>
      </w:r>
      <w:r w:rsidR="00FA46F1" w:rsidRPr="00FA72AF">
        <w:rPr>
          <w:rFonts w:cs="Times New Roman"/>
          <w:szCs w:val="20"/>
          <w:lang w:val="es-CR"/>
        </w:rPr>
        <w:t>el señor Cev</w:t>
      </w:r>
      <w:r w:rsidR="009C3C77" w:rsidRPr="00FA72AF">
        <w:rPr>
          <w:rFonts w:cs="Times New Roman"/>
          <w:szCs w:val="20"/>
          <w:lang w:val="es-CR"/>
        </w:rPr>
        <w:t xml:space="preserve">allos Moreno, quien </w:t>
      </w:r>
      <w:r w:rsidR="009B0C35" w:rsidRPr="00FA72AF">
        <w:rPr>
          <w:rFonts w:cs="Times New Roman"/>
          <w:szCs w:val="20"/>
          <w:lang w:val="es-CR"/>
        </w:rPr>
        <w:t xml:space="preserve">obtuvo su </w:t>
      </w:r>
      <w:r w:rsidR="009C3C77" w:rsidRPr="00FA72AF">
        <w:rPr>
          <w:rFonts w:cs="Times New Roman"/>
          <w:szCs w:val="20"/>
          <w:lang w:val="es-CR"/>
        </w:rPr>
        <w:t>libertad desde el 13 de noviembre de 2003 (</w:t>
      </w:r>
      <w:r w:rsidR="009C3C77" w:rsidRPr="00FA72AF">
        <w:rPr>
          <w:rFonts w:cs="Times New Roman"/>
          <w:i/>
          <w:szCs w:val="20"/>
          <w:lang w:val="es-CR"/>
        </w:rPr>
        <w:t xml:space="preserve">supra </w:t>
      </w:r>
      <w:r w:rsidR="009C3C77" w:rsidRPr="00FA72AF">
        <w:rPr>
          <w:rFonts w:cs="Times New Roman"/>
          <w:szCs w:val="20"/>
          <w:lang w:val="es-CR"/>
        </w:rPr>
        <w:t xml:space="preserve">párr. </w:t>
      </w:r>
      <w:r w:rsidR="004B02E5">
        <w:rPr>
          <w:rFonts w:cs="Times New Roman"/>
          <w:szCs w:val="20"/>
          <w:lang w:val="es-CR"/>
        </w:rPr>
        <w:t>55</w:t>
      </w:r>
      <w:r w:rsidR="009C3C77" w:rsidRPr="00FA72AF">
        <w:rPr>
          <w:rFonts w:cs="Times New Roman"/>
          <w:szCs w:val="20"/>
          <w:lang w:val="es-CR"/>
        </w:rPr>
        <w:t>).</w:t>
      </w:r>
      <w:r w:rsidR="00504EFF" w:rsidRPr="00FA72AF">
        <w:rPr>
          <w:rFonts w:cs="Times New Roman"/>
          <w:szCs w:val="20"/>
          <w:lang w:val="es-CR"/>
        </w:rPr>
        <w:t xml:space="preserve"> </w:t>
      </w:r>
    </w:p>
    <w:p w14:paraId="4E076EB2" w14:textId="77777777" w:rsidR="00BD20CA" w:rsidRPr="00BD20CA" w:rsidRDefault="00BD20CA" w:rsidP="00BD20CA">
      <w:pPr>
        <w:pStyle w:val="Prrafodelista"/>
        <w:spacing w:before="0" w:after="0"/>
        <w:ind w:left="0"/>
        <w:rPr>
          <w:rFonts w:cs="Times New Roman"/>
          <w:color w:val="242424"/>
          <w:szCs w:val="20"/>
          <w:lang w:val="es-CR"/>
        </w:rPr>
      </w:pPr>
    </w:p>
    <w:p w14:paraId="20F53FD1" w14:textId="5C2B0D30" w:rsidR="00DD0B27" w:rsidRPr="00BD20CA" w:rsidRDefault="00017E38" w:rsidP="00196466">
      <w:pPr>
        <w:pStyle w:val="Prrafodelista"/>
        <w:numPr>
          <w:ilvl w:val="0"/>
          <w:numId w:val="29"/>
        </w:numPr>
        <w:spacing w:before="0" w:after="0"/>
        <w:ind w:left="0" w:firstLine="0"/>
        <w:rPr>
          <w:rFonts w:cs="Times New Roman"/>
          <w:color w:val="242424"/>
          <w:szCs w:val="20"/>
          <w:lang w:val="es-CR"/>
        </w:rPr>
      </w:pPr>
      <w:r w:rsidRPr="00BD20CA">
        <w:rPr>
          <w:rFonts w:cs="Times New Roman"/>
          <w:color w:val="000000" w:themeColor="text1"/>
          <w:lang w:val="es-CR"/>
        </w:rPr>
        <w:t xml:space="preserve">Este Tribunal </w:t>
      </w:r>
      <w:r w:rsidR="006E3A2B" w:rsidRPr="00BD20CA">
        <w:rPr>
          <w:rFonts w:cs="Times New Roman"/>
          <w:color w:val="000000" w:themeColor="text1"/>
          <w:lang w:val="es-CR"/>
        </w:rPr>
        <w:t xml:space="preserve">constata que el auto de 27 de enero de 2004 </w:t>
      </w:r>
      <w:r w:rsidR="006F2958" w:rsidRPr="00BD20CA">
        <w:rPr>
          <w:rFonts w:cs="Times New Roman"/>
          <w:color w:val="000000" w:themeColor="text1"/>
          <w:lang w:val="es-CR"/>
        </w:rPr>
        <w:t xml:space="preserve">que confirma la </w:t>
      </w:r>
      <w:r w:rsidR="006E3A2B" w:rsidRPr="00BD20CA">
        <w:rPr>
          <w:rFonts w:cs="Times New Roman"/>
          <w:color w:val="000000" w:themeColor="text1"/>
          <w:lang w:val="es-CR"/>
        </w:rPr>
        <w:t xml:space="preserve">detención </w:t>
      </w:r>
      <w:r w:rsidR="006F2958" w:rsidRPr="00BD20CA">
        <w:rPr>
          <w:rFonts w:cs="Times New Roman"/>
          <w:color w:val="000000" w:themeColor="text1"/>
          <w:lang w:val="es-CR"/>
        </w:rPr>
        <w:t xml:space="preserve">preventiva </w:t>
      </w:r>
      <w:r w:rsidR="006E3A2B" w:rsidRPr="00BD20CA">
        <w:rPr>
          <w:rFonts w:cs="Times New Roman"/>
          <w:color w:val="000000" w:themeColor="text1"/>
          <w:lang w:val="es-CR"/>
        </w:rPr>
        <w:t>de cinco de las presuntas víctimas</w:t>
      </w:r>
      <w:r w:rsidR="008E02AE">
        <w:rPr>
          <w:rFonts w:cs="Times New Roman"/>
          <w:color w:val="000000" w:themeColor="text1"/>
          <w:lang w:val="es-CR"/>
        </w:rPr>
        <w:t>,</w:t>
      </w:r>
      <w:r w:rsidR="006F2958" w:rsidRPr="00BD20CA">
        <w:rPr>
          <w:rFonts w:cs="Times New Roman"/>
          <w:color w:val="000000" w:themeColor="text1"/>
          <w:lang w:val="es-CR"/>
        </w:rPr>
        <w:t xml:space="preserve"> señores</w:t>
      </w:r>
      <w:r w:rsidR="006E3A2B" w:rsidRPr="0092295B">
        <w:t xml:space="preserve"> Villarroel Merino, Coloma Gaibor, </w:t>
      </w:r>
      <w:r w:rsidR="0060743E" w:rsidRPr="0092295B">
        <w:t>López Ortiz, Ascá</w:t>
      </w:r>
      <w:r w:rsidR="006E3A2B" w:rsidRPr="0092295B">
        <w:t>zubi Albán y Vinue</w:t>
      </w:r>
      <w:r w:rsidR="0060743E" w:rsidRPr="0092295B">
        <w:t>z</w:t>
      </w:r>
      <w:r w:rsidR="006E3A2B" w:rsidRPr="0092295B">
        <w:t>a Pánchez</w:t>
      </w:r>
      <w:r w:rsidR="009B0C35" w:rsidRPr="0092295B">
        <w:t xml:space="preserve">, se basa en el </w:t>
      </w:r>
      <w:r w:rsidR="006E3A2B" w:rsidRPr="0092295B">
        <w:t>artículo 167 del CPP</w:t>
      </w:r>
      <w:r w:rsidR="002A685C">
        <w:t>P</w:t>
      </w:r>
      <w:r w:rsidR="006E3A2B" w:rsidRPr="0092295B">
        <w:t>N, y no menciona expresamente el artículo 91</w:t>
      </w:r>
      <w:r w:rsidR="00996679">
        <w:rPr>
          <w:color w:val="000000" w:themeColor="text1"/>
          <w:lang w:val="es-CR"/>
        </w:rPr>
        <w:t xml:space="preserve"> </w:t>
      </w:r>
      <w:r w:rsidR="006E3A2B" w:rsidRPr="0092295B">
        <w:t>del mi</w:t>
      </w:r>
      <w:r w:rsidR="006F2958" w:rsidRPr="0092295B">
        <w:t>smo cuer</w:t>
      </w:r>
      <w:r w:rsidR="00B92BA6" w:rsidRPr="0092295B">
        <w:t>po legal</w:t>
      </w:r>
      <w:r w:rsidR="00996679">
        <w:t xml:space="preserve"> (</w:t>
      </w:r>
      <w:r w:rsidR="00996679" w:rsidRPr="00996679">
        <w:rPr>
          <w:i/>
        </w:rPr>
        <w:t xml:space="preserve">supra </w:t>
      </w:r>
      <w:r w:rsidR="004B02E5">
        <w:t>párr. 58</w:t>
      </w:r>
      <w:r w:rsidR="00996679">
        <w:t>)</w:t>
      </w:r>
      <w:r w:rsidR="00B92BA6" w:rsidRPr="0092295B">
        <w:t>.  Además, esta Corte</w:t>
      </w:r>
      <w:r w:rsidR="006F2958" w:rsidRPr="0092295B">
        <w:t xml:space="preserve"> </w:t>
      </w:r>
      <w:r w:rsidR="006E3A2B" w:rsidRPr="00BD20CA">
        <w:rPr>
          <w:rFonts w:cs="Times New Roman"/>
          <w:color w:val="000000" w:themeColor="text1"/>
          <w:lang w:val="es-CR"/>
        </w:rPr>
        <w:t>constata que dicho auto carece de motivación, pues el juez se limit</w:t>
      </w:r>
      <w:r w:rsidR="00256A80">
        <w:rPr>
          <w:rFonts w:cs="Times New Roman"/>
          <w:color w:val="000000" w:themeColor="text1"/>
          <w:lang w:val="es-CR"/>
        </w:rPr>
        <w:t>ó</w:t>
      </w:r>
      <w:r w:rsidR="006E3A2B" w:rsidRPr="00BD20CA">
        <w:rPr>
          <w:rFonts w:cs="Times New Roman"/>
          <w:color w:val="000000" w:themeColor="text1"/>
          <w:lang w:val="es-CR"/>
        </w:rPr>
        <w:t xml:space="preserve"> exclusivamente a indicar que se deja</w:t>
      </w:r>
      <w:r w:rsidR="00256A80">
        <w:rPr>
          <w:rFonts w:cs="Times New Roman"/>
          <w:color w:val="000000" w:themeColor="text1"/>
          <w:lang w:val="es-CR"/>
        </w:rPr>
        <w:t>ba</w:t>
      </w:r>
      <w:r w:rsidR="006E3A2B" w:rsidRPr="00BD20CA">
        <w:rPr>
          <w:rFonts w:cs="Times New Roman"/>
          <w:color w:val="000000" w:themeColor="text1"/>
          <w:lang w:val="es-CR"/>
        </w:rPr>
        <w:t xml:space="preserve"> sin efecto la detención en firme en contra de las presuntas víctimas y que confirma</w:t>
      </w:r>
      <w:r w:rsidR="00256A80">
        <w:rPr>
          <w:rFonts w:cs="Times New Roman"/>
          <w:color w:val="000000" w:themeColor="text1"/>
          <w:lang w:val="es-CR"/>
        </w:rPr>
        <w:t>ba</w:t>
      </w:r>
      <w:r w:rsidR="006E3A2B" w:rsidRPr="00BD20CA">
        <w:rPr>
          <w:rFonts w:cs="Times New Roman"/>
          <w:color w:val="000000" w:themeColor="text1"/>
          <w:lang w:val="es-CR"/>
        </w:rPr>
        <w:t xml:space="preserve"> su detención (</w:t>
      </w:r>
      <w:r w:rsidR="006E3A2B" w:rsidRPr="00BD20CA">
        <w:rPr>
          <w:rFonts w:cs="Times New Roman"/>
          <w:i/>
          <w:color w:val="000000" w:themeColor="text1"/>
          <w:lang w:val="es-CR"/>
        </w:rPr>
        <w:t>supra</w:t>
      </w:r>
      <w:r w:rsidR="006E3A2B" w:rsidRPr="00BD20CA">
        <w:rPr>
          <w:rFonts w:cs="Times New Roman"/>
          <w:color w:val="000000" w:themeColor="text1"/>
          <w:lang w:val="es-CR"/>
        </w:rPr>
        <w:t xml:space="preserve"> párr.  </w:t>
      </w:r>
      <w:r w:rsidR="004068E5" w:rsidRPr="00BD20CA">
        <w:rPr>
          <w:rFonts w:cs="Times New Roman"/>
          <w:color w:val="000000" w:themeColor="text1"/>
          <w:lang w:val="es-CR"/>
        </w:rPr>
        <w:t>58</w:t>
      </w:r>
      <w:r w:rsidR="006E3A2B" w:rsidRPr="00BD20CA">
        <w:rPr>
          <w:rFonts w:cs="Times New Roman"/>
          <w:color w:val="000000" w:themeColor="text1"/>
          <w:lang w:val="es-CR"/>
        </w:rPr>
        <w:t xml:space="preserve">). Lo anterior resulta congruente con el inciso 2 del artículo 91 citado que no exigía la fundamentación de la detención preventiva </w:t>
      </w:r>
      <w:r w:rsidR="00E4488D">
        <w:rPr>
          <w:rFonts w:cs="Times New Roman"/>
          <w:color w:val="000000" w:themeColor="text1"/>
          <w:lang w:val="es-CR"/>
        </w:rPr>
        <w:t>con</w:t>
      </w:r>
      <w:r w:rsidR="006E3A2B" w:rsidRPr="00BD20CA">
        <w:rPr>
          <w:rFonts w:cs="Times New Roman"/>
          <w:color w:val="000000" w:themeColor="text1"/>
          <w:lang w:val="es-CR"/>
        </w:rPr>
        <w:t xml:space="preserve"> fines procesales, sino que la misma se regulaba automáticamente cuando existieren indicios o presunci</w:t>
      </w:r>
      <w:r w:rsidR="00AC131B" w:rsidRPr="00BD20CA">
        <w:rPr>
          <w:rFonts w:cs="Times New Roman"/>
          <w:color w:val="000000" w:themeColor="text1"/>
          <w:lang w:val="es-CR"/>
        </w:rPr>
        <w:t xml:space="preserve">ones graves de responsabilidad. Igualmente, este Tribunal </w:t>
      </w:r>
      <w:r w:rsidR="00AC131B" w:rsidRPr="00BD20CA">
        <w:rPr>
          <w:rFonts w:eastAsia="Times New Roman" w:cs="Times New Roman"/>
          <w:lang w:val="es-CR" w:eastAsia="en-GB"/>
        </w:rPr>
        <w:t xml:space="preserve">ha constatado que </w:t>
      </w:r>
      <w:r w:rsidR="006E3A2B" w:rsidRPr="00BD20CA">
        <w:rPr>
          <w:rFonts w:cs="Times New Roman"/>
          <w:color w:val="000000" w:themeColor="text1"/>
          <w:lang w:val="es-CR"/>
        </w:rPr>
        <w:t>el juzgador</w:t>
      </w:r>
      <w:r w:rsidR="009B0C35" w:rsidRPr="00BD20CA">
        <w:rPr>
          <w:rFonts w:cs="Times New Roman"/>
          <w:color w:val="000000" w:themeColor="text1"/>
          <w:lang w:val="es-CR"/>
        </w:rPr>
        <w:t xml:space="preserve"> al momento de confirmar </w:t>
      </w:r>
      <w:r w:rsidR="00AC131B" w:rsidRPr="00BD20CA">
        <w:rPr>
          <w:rFonts w:cs="Times New Roman"/>
          <w:color w:val="000000" w:themeColor="text1"/>
          <w:lang w:val="es-CR"/>
        </w:rPr>
        <w:t xml:space="preserve">la detención </w:t>
      </w:r>
      <w:r w:rsidR="006E3A2B" w:rsidRPr="00BD20CA">
        <w:rPr>
          <w:rFonts w:cs="Times New Roman"/>
          <w:color w:val="000000" w:themeColor="text1"/>
          <w:lang w:val="es-CR"/>
        </w:rPr>
        <w:t>omitió valorar si los fines, necesidad y proporcionalidad de la detención se mantenía</w:t>
      </w:r>
      <w:r w:rsidR="009C3C77" w:rsidRPr="00BD20CA">
        <w:rPr>
          <w:rFonts w:cs="Times New Roman"/>
          <w:color w:val="000000" w:themeColor="text1"/>
          <w:lang w:val="es-CR"/>
        </w:rPr>
        <w:t>n o no, ya que</w:t>
      </w:r>
      <w:r w:rsidR="000148A8" w:rsidRPr="00BD20CA">
        <w:rPr>
          <w:rFonts w:cs="Times New Roman"/>
          <w:color w:val="000000" w:themeColor="text1"/>
          <w:lang w:val="es-CR"/>
        </w:rPr>
        <w:t xml:space="preserve"> a él</w:t>
      </w:r>
      <w:r w:rsidR="00B33ECE">
        <w:rPr>
          <w:rFonts w:cs="Times New Roman"/>
          <w:color w:val="000000" w:themeColor="text1"/>
          <w:lang w:val="es-CR"/>
        </w:rPr>
        <w:t xml:space="preserve"> </w:t>
      </w:r>
      <w:r w:rsidR="000148A8" w:rsidRPr="00BD20CA">
        <w:rPr>
          <w:rFonts w:cs="Times New Roman"/>
          <w:color w:val="000000" w:themeColor="text1"/>
          <w:lang w:val="es-CR"/>
        </w:rPr>
        <w:t xml:space="preserve">le correspondía evaluar </w:t>
      </w:r>
      <w:r w:rsidR="006E3A2B" w:rsidRPr="00BD20CA">
        <w:rPr>
          <w:rFonts w:cs="Times New Roman"/>
          <w:color w:val="000000" w:themeColor="text1"/>
          <w:lang w:val="es-CR"/>
        </w:rPr>
        <w:t xml:space="preserve">la pertinencia </w:t>
      </w:r>
      <w:r w:rsidR="000148A8" w:rsidRPr="00BD20CA">
        <w:rPr>
          <w:rFonts w:cs="Times New Roman"/>
          <w:color w:val="000000" w:themeColor="text1"/>
          <w:lang w:val="es-CR"/>
        </w:rPr>
        <w:t xml:space="preserve">de mantener o no </w:t>
      </w:r>
      <w:r w:rsidR="006E3A2B" w:rsidRPr="00BD20CA">
        <w:rPr>
          <w:rFonts w:cs="Times New Roman"/>
          <w:color w:val="000000" w:themeColor="text1"/>
          <w:lang w:val="es-CR"/>
        </w:rPr>
        <w:t>la misma</w:t>
      </w:r>
      <w:r w:rsidR="009B449B" w:rsidRPr="00BD20CA">
        <w:rPr>
          <w:rFonts w:cs="Times New Roman"/>
          <w:color w:val="000000" w:themeColor="text1"/>
          <w:lang w:val="es-CR"/>
        </w:rPr>
        <w:t>, lo cual también afectó el principio de presunción de inocencia</w:t>
      </w:r>
      <w:r w:rsidR="006E3A2B" w:rsidRPr="00BD20CA">
        <w:rPr>
          <w:rFonts w:cs="Times New Roman"/>
          <w:color w:val="000000" w:themeColor="text1"/>
          <w:lang w:val="es-CR"/>
        </w:rPr>
        <w:t>.</w:t>
      </w:r>
      <w:r w:rsidR="00196466" w:rsidRPr="00BD20CA">
        <w:rPr>
          <w:rFonts w:cs="Times New Roman"/>
          <w:color w:val="FF0000"/>
          <w:lang w:val="es-CR"/>
        </w:rPr>
        <w:t xml:space="preserve"> </w:t>
      </w:r>
    </w:p>
    <w:p w14:paraId="796B2026" w14:textId="77777777" w:rsidR="00CA7F74" w:rsidRPr="0092295B" w:rsidRDefault="00CA7F74" w:rsidP="006D047E">
      <w:pPr>
        <w:pStyle w:val="Prrafodelista"/>
        <w:autoSpaceDE w:val="0"/>
        <w:autoSpaceDN w:val="0"/>
        <w:adjustRightInd w:val="0"/>
        <w:spacing w:before="0" w:after="0"/>
        <w:ind w:left="0"/>
        <w:rPr>
          <w:rFonts w:cs="Times New Roman"/>
          <w:color w:val="000000" w:themeColor="text1"/>
          <w:szCs w:val="20"/>
          <w:lang w:val="es-CR"/>
        </w:rPr>
      </w:pPr>
    </w:p>
    <w:p w14:paraId="76656FBC" w14:textId="25045798" w:rsidR="00CA7F74" w:rsidRPr="0092295B" w:rsidRDefault="00CA7F74" w:rsidP="00CF2D2A">
      <w:pPr>
        <w:pStyle w:val="Prrafodelista"/>
        <w:numPr>
          <w:ilvl w:val="0"/>
          <w:numId w:val="29"/>
        </w:numPr>
        <w:ind w:left="0" w:firstLine="0"/>
        <w:rPr>
          <w:rFonts w:cs="Times New Roman"/>
          <w:color w:val="000000" w:themeColor="text1"/>
          <w:szCs w:val="20"/>
          <w:lang w:val="es-CR"/>
        </w:rPr>
      </w:pPr>
      <w:r w:rsidRPr="0092295B">
        <w:rPr>
          <w:rFonts w:cs="Times New Roman"/>
          <w:color w:val="000000" w:themeColor="text1"/>
          <w:szCs w:val="20"/>
          <w:lang w:val="es-CR"/>
        </w:rPr>
        <w:t xml:space="preserve">Por otra parte, </w:t>
      </w:r>
      <w:r w:rsidR="00256A80">
        <w:rPr>
          <w:rFonts w:cs="Times New Roman"/>
          <w:color w:val="000000" w:themeColor="text1"/>
          <w:szCs w:val="20"/>
          <w:lang w:val="es-CR"/>
        </w:rPr>
        <w:t xml:space="preserve">la Corte recuerda que </w:t>
      </w:r>
      <w:r w:rsidRPr="0092295B">
        <w:rPr>
          <w:rFonts w:cs="Times New Roman"/>
          <w:color w:val="000000" w:themeColor="text1"/>
          <w:szCs w:val="20"/>
          <w:lang w:val="es-CR"/>
        </w:rPr>
        <w:t xml:space="preserve">el artículo 7.5 </w:t>
      </w:r>
      <w:r w:rsidR="004B02E5">
        <w:rPr>
          <w:rFonts w:cs="Times New Roman"/>
          <w:color w:val="000000" w:themeColor="text1"/>
          <w:szCs w:val="20"/>
          <w:lang w:val="es-CR"/>
        </w:rPr>
        <w:t xml:space="preserve">de la Convención </w:t>
      </w:r>
      <w:r w:rsidR="00256A80">
        <w:rPr>
          <w:rFonts w:cs="Times New Roman"/>
          <w:color w:val="000000" w:themeColor="text1"/>
          <w:szCs w:val="20"/>
          <w:lang w:val="es-CR"/>
        </w:rPr>
        <w:t>exige</w:t>
      </w:r>
      <w:r w:rsidRPr="0092295B">
        <w:rPr>
          <w:rFonts w:cs="Times New Roman"/>
          <w:color w:val="000000" w:themeColor="text1"/>
          <w:szCs w:val="20"/>
          <w:lang w:val="es-CR"/>
        </w:rPr>
        <w:t xml:space="preserve"> que el detenido debe ser “llevado ante un juez”, </w:t>
      </w:r>
      <w:r w:rsidR="00D15980">
        <w:rPr>
          <w:rFonts w:cs="Times New Roman"/>
          <w:color w:val="000000" w:themeColor="text1"/>
          <w:szCs w:val="20"/>
          <w:lang w:val="es-CR"/>
        </w:rPr>
        <w:t xml:space="preserve">lo </w:t>
      </w:r>
      <w:r w:rsidR="00256A80">
        <w:rPr>
          <w:rFonts w:cs="Times New Roman"/>
          <w:color w:val="000000" w:themeColor="text1"/>
          <w:szCs w:val="20"/>
          <w:lang w:val="es-CR"/>
        </w:rPr>
        <w:t xml:space="preserve">cual </w:t>
      </w:r>
      <w:r w:rsidRPr="0092295B">
        <w:rPr>
          <w:rFonts w:cs="Times New Roman"/>
          <w:color w:val="000000" w:themeColor="text1"/>
          <w:szCs w:val="20"/>
          <w:lang w:val="es-CR"/>
        </w:rPr>
        <w:t xml:space="preserve">implica que la autoridad </w:t>
      </w:r>
      <w:r w:rsidRPr="0092295B">
        <w:rPr>
          <w:szCs w:val="20"/>
          <w:lang w:val="es-ES"/>
        </w:rPr>
        <w:t>debe oír personalmente al detenido y valorar todas las explicaciones que éste le proporcione, para decidir si procede la liberación o el mantenimiento de la privación de libertad</w:t>
      </w:r>
      <w:r w:rsidRPr="0092295B">
        <w:rPr>
          <w:rStyle w:val="Refdenotaalpie"/>
          <w:lang w:val="es-ES"/>
        </w:rPr>
        <w:footnoteReference w:id="124"/>
      </w:r>
      <w:r w:rsidRPr="0092295B">
        <w:rPr>
          <w:szCs w:val="20"/>
          <w:lang w:val="es-ES"/>
        </w:rPr>
        <w:t>. El juzgador</w:t>
      </w:r>
      <w:r w:rsidR="00507DCD" w:rsidRPr="0092295B">
        <w:rPr>
          <w:szCs w:val="20"/>
          <w:lang w:val="es-ES"/>
        </w:rPr>
        <w:t xml:space="preserve"> en el presente caso</w:t>
      </w:r>
      <w:r w:rsidRPr="0092295B">
        <w:rPr>
          <w:szCs w:val="20"/>
          <w:lang w:val="es-ES"/>
        </w:rPr>
        <w:t xml:space="preserve"> </w:t>
      </w:r>
      <w:r w:rsidR="00D15980" w:rsidRPr="0092295B">
        <w:rPr>
          <w:rFonts w:cs="Times New Roman"/>
          <w:color w:val="000000" w:themeColor="text1"/>
          <w:szCs w:val="20"/>
          <w:lang w:val="es-CR"/>
        </w:rPr>
        <w:t xml:space="preserve">no ejerció un control judicial directo, ya que </w:t>
      </w:r>
      <w:r w:rsidRPr="0092295B">
        <w:rPr>
          <w:szCs w:val="20"/>
          <w:lang w:val="es-ES"/>
        </w:rPr>
        <w:t xml:space="preserve">simplemente se limitó a modificar la detención en firme por la detención preventiva. </w:t>
      </w:r>
      <w:r w:rsidRPr="0092295B">
        <w:rPr>
          <w:rFonts w:cs="Times New Roman"/>
          <w:color w:val="000000" w:themeColor="text1"/>
          <w:szCs w:val="20"/>
          <w:lang w:val="es-CR"/>
        </w:rPr>
        <w:t>Además, la falta de motivación de la decisión impidió que la defensa conociera las razones por las cuales se mantenía la prisión preventiva.</w:t>
      </w:r>
    </w:p>
    <w:p w14:paraId="41CC4CE3" w14:textId="77777777" w:rsidR="0045300A" w:rsidRPr="0092295B" w:rsidRDefault="0045300A" w:rsidP="00FE5829">
      <w:pPr>
        <w:pStyle w:val="Prrafodelista"/>
        <w:autoSpaceDE w:val="0"/>
        <w:autoSpaceDN w:val="0"/>
        <w:adjustRightInd w:val="0"/>
        <w:spacing w:before="0" w:after="0"/>
        <w:ind w:left="0"/>
        <w:rPr>
          <w:rFonts w:cs="Times New Roman"/>
          <w:color w:val="000000" w:themeColor="text1"/>
          <w:szCs w:val="20"/>
          <w:lang w:val="es-CR"/>
        </w:rPr>
      </w:pPr>
    </w:p>
    <w:p w14:paraId="7DE5F82F" w14:textId="4B911640" w:rsidR="00F34517" w:rsidRPr="00CE7748" w:rsidRDefault="006E3A2B" w:rsidP="006E3A2B">
      <w:pPr>
        <w:pStyle w:val="Prrafodelista"/>
        <w:numPr>
          <w:ilvl w:val="0"/>
          <w:numId w:val="29"/>
        </w:numPr>
        <w:autoSpaceDE w:val="0"/>
        <w:autoSpaceDN w:val="0"/>
        <w:adjustRightInd w:val="0"/>
        <w:spacing w:before="0" w:after="0"/>
        <w:ind w:left="0" w:firstLine="0"/>
        <w:rPr>
          <w:rFonts w:cs="Times New Roman"/>
          <w:color w:val="000000" w:themeColor="text1"/>
          <w:szCs w:val="20"/>
          <w:lang w:val="es-CR"/>
        </w:rPr>
      </w:pPr>
      <w:r w:rsidRPr="0092295B">
        <w:rPr>
          <w:rFonts w:cs="Times New Roman"/>
          <w:color w:val="000000" w:themeColor="text1"/>
          <w:szCs w:val="20"/>
          <w:lang w:val="es-CR"/>
        </w:rPr>
        <w:t xml:space="preserve">Por lo tanto, </w:t>
      </w:r>
      <w:r w:rsidR="00E4488D">
        <w:rPr>
          <w:rFonts w:cs="Times New Roman"/>
          <w:color w:val="000000" w:themeColor="text1"/>
          <w:szCs w:val="20"/>
          <w:lang w:val="es-CR"/>
        </w:rPr>
        <w:t>la</w:t>
      </w:r>
      <w:r w:rsidRPr="0092295B">
        <w:rPr>
          <w:rFonts w:cs="Times New Roman"/>
          <w:color w:val="000000" w:themeColor="text1"/>
          <w:szCs w:val="20"/>
          <w:lang w:val="es-CR"/>
        </w:rPr>
        <w:t xml:space="preserve"> Corte considera que en este caso</w:t>
      </w:r>
      <w:r w:rsidR="00275300">
        <w:rPr>
          <w:rFonts w:cs="Times New Roman"/>
          <w:color w:val="000000" w:themeColor="text1"/>
          <w:szCs w:val="20"/>
          <w:lang w:val="es-CR"/>
        </w:rPr>
        <w:t>,</w:t>
      </w:r>
      <w:r w:rsidR="00445DEE" w:rsidRPr="0092295B">
        <w:rPr>
          <w:rFonts w:cs="Times New Roman"/>
          <w:color w:val="000000" w:themeColor="text1"/>
          <w:szCs w:val="20"/>
          <w:lang w:val="es-CR"/>
        </w:rPr>
        <w:t xml:space="preserve"> </w:t>
      </w:r>
      <w:r w:rsidRPr="0092295B">
        <w:rPr>
          <w:rFonts w:cs="Times New Roman"/>
          <w:color w:val="000000" w:themeColor="text1"/>
          <w:szCs w:val="20"/>
          <w:lang w:val="es-CR"/>
        </w:rPr>
        <w:t xml:space="preserve">al momento de prolongar la privación de libertad </w:t>
      </w:r>
      <w:r w:rsidR="0045300A" w:rsidRPr="0092295B">
        <w:rPr>
          <w:rFonts w:cs="Times New Roman"/>
          <w:color w:val="000000" w:themeColor="text1"/>
          <w:szCs w:val="20"/>
          <w:lang w:val="es-CR"/>
        </w:rPr>
        <w:t xml:space="preserve">sin ejercer un control directo de la detención y </w:t>
      </w:r>
      <w:r w:rsidRPr="0092295B">
        <w:rPr>
          <w:rFonts w:cs="Times New Roman"/>
          <w:color w:val="000000" w:themeColor="text1"/>
          <w:szCs w:val="20"/>
          <w:lang w:val="es-CR"/>
        </w:rPr>
        <w:t>sin una motivación suficiente para justificarla</w:t>
      </w:r>
      <w:r w:rsidR="00275300">
        <w:rPr>
          <w:rFonts w:cs="Times New Roman"/>
          <w:color w:val="000000" w:themeColor="text1"/>
          <w:szCs w:val="20"/>
          <w:lang w:val="es-CR"/>
        </w:rPr>
        <w:t xml:space="preserve"> por parte del juzgador</w:t>
      </w:r>
      <w:r w:rsidRPr="0092295B">
        <w:rPr>
          <w:rFonts w:cs="Times New Roman"/>
          <w:color w:val="000000" w:themeColor="text1"/>
          <w:szCs w:val="20"/>
          <w:lang w:val="es-CR"/>
        </w:rPr>
        <w:t>,</w:t>
      </w:r>
      <w:r w:rsidR="00275300">
        <w:rPr>
          <w:rFonts w:cs="Times New Roman"/>
          <w:color w:val="000000" w:themeColor="text1"/>
          <w:szCs w:val="20"/>
          <w:lang w:val="es-CR"/>
        </w:rPr>
        <w:t xml:space="preserve"> se</w:t>
      </w:r>
      <w:r w:rsidRPr="0092295B">
        <w:rPr>
          <w:rFonts w:cs="Times New Roman"/>
          <w:color w:val="000000" w:themeColor="text1"/>
          <w:szCs w:val="20"/>
          <w:lang w:val="es-CR"/>
        </w:rPr>
        <w:t xml:space="preserve"> constituyó una privación de la libertad arbitraria</w:t>
      </w:r>
      <w:r w:rsidR="00BB723F" w:rsidRPr="0092295B">
        <w:rPr>
          <w:rFonts w:cs="Times New Roman"/>
          <w:color w:val="000000" w:themeColor="text1"/>
          <w:szCs w:val="20"/>
          <w:lang w:val="es-CR"/>
        </w:rPr>
        <w:t xml:space="preserve"> </w:t>
      </w:r>
      <w:r w:rsidRPr="0092295B">
        <w:rPr>
          <w:rFonts w:cs="Times New Roman"/>
          <w:color w:val="000000" w:themeColor="text1"/>
          <w:szCs w:val="20"/>
          <w:lang w:val="es-CR"/>
        </w:rPr>
        <w:t xml:space="preserve">y </w:t>
      </w:r>
      <w:r w:rsidR="0045300A" w:rsidRPr="0092295B">
        <w:rPr>
          <w:rFonts w:cs="Times New Roman"/>
          <w:color w:val="000000" w:themeColor="text1"/>
          <w:szCs w:val="20"/>
          <w:lang w:val="es-CR"/>
        </w:rPr>
        <w:t>contraria a</w:t>
      </w:r>
      <w:r w:rsidRPr="0092295B">
        <w:rPr>
          <w:rFonts w:cs="Times New Roman"/>
          <w:color w:val="000000" w:themeColor="text1"/>
          <w:szCs w:val="20"/>
          <w:lang w:val="es-CR"/>
        </w:rPr>
        <w:t>l principio de presunción de inocencia</w:t>
      </w:r>
      <w:r w:rsidR="00C15214" w:rsidRPr="0092295B">
        <w:rPr>
          <w:rFonts w:cs="Times New Roman"/>
          <w:color w:val="000000" w:themeColor="text1"/>
          <w:szCs w:val="20"/>
          <w:lang w:val="es-CR"/>
        </w:rPr>
        <w:t>,</w:t>
      </w:r>
      <w:r w:rsidRPr="0092295B">
        <w:rPr>
          <w:rFonts w:cs="Times New Roman"/>
          <w:color w:val="000000" w:themeColor="text1"/>
          <w:szCs w:val="20"/>
          <w:lang w:val="es-CR"/>
        </w:rPr>
        <w:t xml:space="preserve"> en perjuicio de </w:t>
      </w:r>
      <w:r w:rsidR="00BB723F" w:rsidRPr="0092295B">
        <w:rPr>
          <w:rFonts w:cs="Times New Roman"/>
          <w:color w:val="000000" w:themeColor="text1"/>
          <w:szCs w:val="20"/>
          <w:lang w:val="es-CR"/>
        </w:rPr>
        <w:t xml:space="preserve">los señores </w:t>
      </w:r>
      <w:r w:rsidR="00BB723F" w:rsidRPr="00CE7748">
        <w:rPr>
          <w:szCs w:val="20"/>
        </w:rPr>
        <w:t xml:space="preserve">Villarroel Merino, Coloma Gaibor, </w:t>
      </w:r>
      <w:r w:rsidR="0060743E" w:rsidRPr="00CE7748">
        <w:rPr>
          <w:szCs w:val="20"/>
        </w:rPr>
        <w:t>López Ortiz, Ascá</w:t>
      </w:r>
      <w:r w:rsidR="00BB723F" w:rsidRPr="00CE7748">
        <w:rPr>
          <w:szCs w:val="20"/>
        </w:rPr>
        <w:t xml:space="preserve">zubi Albán y </w:t>
      </w:r>
      <w:r w:rsidR="0060743E" w:rsidRPr="00CE7748">
        <w:rPr>
          <w:szCs w:val="20"/>
        </w:rPr>
        <w:t>Vinuez</w:t>
      </w:r>
      <w:r w:rsidR="00BB723F" w:rsidRPr="00CE7748">
        <w:rPr>
          <w:szCs w:val="20"/>
        </w:rPr>
        <w:t>a Pánchez</w:t>
      </w:r>
      <w:r w:rsidR="006157AA" w:rsidRPr="00CE7748">
        <w:rPr>
          <w:szCs w:val="20"/>
        </w:rPr>
        <w:t>, en violación de los</w:t>
      </w:r>
      <w:r w:rsidR="008A4849" w:rsidRPr="00CE7748">
        <w:rPr>
          <w:szCs w:val="20"/>
        </w:rPr>
        <w:t xml:space="preserve"> artículos</w:t>
      </w:r>
      <w:r w:rsidR="006157AA" w:rsidRPr="00CE7748">
        <w:rPr>
          <w:szCs w:val="20"/>
        </w:rPr>
        <w:t xml:space="preserve"> 7.1</w:t>
      </w:r>
      <w:r w:rsidR="00744934" w:rsidRPr="00CE7748">
        <w:rPr>
          <w:szCs w:val="20"/>
        </w:rPr>
        <w:t>,</w:t>
      </w:r>
      <w:r w:rsidR="006157AA" w:rsidRPr="00CE7748">
        <w:rPr>
          <w:szCs w:val="20"/>
        </w:rPr>
        <w:t xml:space="preserve"> 7.3, </w:t>
      </w:r>
      <w:r w:rsidR="00CA7F74" w:rsidRPr="00CE7748">
        <w:rPr>
          <w:szCs w:val="20"/>
        </w:rPr>
        <w:t xml:space="preserve">7.5 </w:t>
      </w:r>
      <w:r w:rsidR="006157AA" w:rsidRPr="00CE7748">
        <w:rPr>
          <w:szCs w:val="20"/>
        </w:rPr>
        <w:t>y 8.2</w:t>
      </w:r>
      <w:r w:rsidR="00131B54" w:rsidRPr="00CE7748">
        <w:rPr>
          <w:szCs w:val="20"/>
        </w:rPr>
        <w:t xml:space="preserve"> de la Convención Americana</w:t>
      </w:r>
      <w:r w:rsidR="00BB723F" w:rsidRPr="00CE7748">
        <w:rPr>
          <w:szCs w:val="20"/>
        </w:rPr>
        <w:t>.</w:t>
      </w:r>
      <w:r w:rsidR="00A55E16" w:rsidRPr="00CE7748">
        <w:rPr>
          <w:szCs w:val="20"/>
        </w:rPr>
        <w:t xml:space="preserve"> </w:t>
      </w:r>
    </w:p>
    <w:p w14:paraId="501C96F6" w14:textId="45EFA480" w:rsidR="000148A8" w:rsidRPr="00F911DC" w:rsidRDefault="00F64244" w:rsidP="00F911DC">
      <w:pPr>
        <w:pStyle w:val="Ttulo2"/>
        <w:tabs>
          <w:tab w:val="left" w:pos="851"/>
        </w:tabs>
        <w:ind w:left="426"/>
        <w:rPr>
          <w:i w:val="0"/>
        </w:rPr>
      </w:pPr>
      <w:bookmarkStart w:id="115" w:name="_Toc87339023"/>
      <w:r w:rsidRPr="00F911DC">
        <w:rPr>
          <w:i w:val="0"/>
        </w:rPr>
        <w:t>D</w:t>
      </w:r>
      <w:r w:rsidR="000148A8" w:rsidRPr="00F911DC">
        <w:rPr>
          <w:i w:val="0"/>
        </w:rPr>
        <w:t xml:space="preserve">. </w:t>
      </w:r>
      <w:r w:rsidR="005D6E7F" w:rsidRPr="00F911DC">
        <w:rPr>
          <w:i w:val="0"/>
        </w:rPr>
        <w:t xml:space="preserve">  </w:t>
      </w:r>
      <w:r w:rsidR="006E3A2B" w:rsidRPr="00F911DC">
        <w:rPr>
          <w:i w:val="0"/>
        </w:rPr>
        <w:t>Conclusión</w:t>
      </w:r>
      <w:bookmarkEnd w:id="115"/>
      <w:r w:rsidR="006E3A2B" w:rsidRPr="00F911DC">
        <w:rPr>
          <w:i w:val="0"/>
        </w:rPr>
        <w:t xml:space="preserve"> </w:t>
      </w:r>
    </w:p>
    <w:p w14:paraId="73D8423E" w14:textId="6289AC15" w:rsidR="000148A8" w:rsidRPr="0092295B" w:rsidRDefault="000148A8" w:rsidP="00CF2D2A">
      <w:pPr>
        <w:pStyle w:val="Prrafodelista"/>
        <w:numPr>
          <w:ilvl w:val="0"/>
          <w:numId w:val="29"/>
        </w:numPr>
        <w:spacing w:before="0" w:after="0"/>
        <w:ind w:left="0" w:firstLine="0"/>
        <w:rPr>
          <w:rFonts w:eastAsia="Times New Roman" w:cs="Times New Roman"/>
          <w:szCs w:val="20"/>
          <w:lang w:val="es-CR" w:eastAsia="en-GB"/>
        </w:rPr>
      </w:pPr>
      <w:r w:rsidRPr="0092295B">
        <w:rPr>
          <w:rFonts w:eastAsia="Times New Roman" w:cs="Times New Roman"/>
          <w:szCs w:val="20"/>
          <w:lang w:val="es-CR" w:eastAsia="en-GB"/>
        </w:rPr>
        <w:t>En consideración de todo lo expuesto, la Corte concluye que la privación de libertad dispuesta a través de la detención en firme resultó ilegal y arbitraria en vulneración de la libertad personal</w:t>
      </w:r>
      <w:r w:rsidR="00334204">
        <w:rPr>
          <w:rFonts w:eastAsia="Times New Roman" w:cs="Times New Roman"/>
          <w:szCs w:val="20"/>
          <w:lang w:val="es-CR" w:eastAsia="en-GB"/>
        </w:rPr>
        <w:t>,</w:t>
      </w:r>
      <w:r w:rsidRPr="0092295B">
        <w:rPr>
          <w:rFonts w:eastAsia="Times New Roman" w:cs="Times New Roman"/>
          <w:szCs w:val="20"/>
          <w:lang w:val="es-CR" w:eastAsia="en-GB"/>
        </w:rPr>
        <w:t xml:space="preserve"> así como violatoria </w:t>
      </w:r>
      <w:r w:rsidR="00055454">
        <w:rPr>
          <w:rFonts w:eastAsia="Times New Roman" w:cs="Times New Roman"/>
          <w:szCs w:val="20"/>
          <w:lang w:val="es-CR" w:eastAsia="en-GB"/>
        </w:rPr>
        <w:t xml:space="preserve">del principio </w:t>
      </w:r>
      <w:r w:rsidRPr="0092295B">
        <w:rPr>
          <w:rFonts w:eastAsia="Times New Roman" w:cs="Times New Roman"/>
          <w:szCs w:val="20"/>
          <w:lang w:val="es-CR" w:eastAsia="en-GB"/>
        </w:rPr>
        <w:t xml:space="preserve">de </w:t>
      </w:r>
      <w:r w:rsidR="002A2012">
        <w:rPr>
          <w:rFonts w:eastAsia="Times New Roman" w:cs="Times New Roman"/>
          <w:szCs w:val="20"/>
          <w:lang w:val="es-CR" w:eastAsia="en-GB"/>
        </w:rPr>
        <w:t xml:space="preserve">presunción de </w:t>
      </w:r>
      <w:r w:rsidRPr="0092295B">
        <w:rPr>
          <w:rFonts w:eastAsia="Times New Roman" w:cs="Times New Roman"/>
          <w:szCs w:val="20"/>
          <w:lang w:val="es-CR" w:eastAsia="en-GB"/>
        </w:rPr>
        <w:t xml:space="preserve">inocencia y </w:t>
      </w:r>
      <w:r w:rsidR="00331D55" w:rsidRPr="002A2012">
        <w:rPr>
          <w:rFonts w:eastAsia="Times New Roman" w:cs="Times New Roman"/>
          <w:szCs w:val="20"/>
          <w:lang w:val="es-CR" w:eastAsia="en-GB"/>
        </w:rPr>
        <w:t>a la</w:t>
      </w:r>
      <w:r w:rsidR="00CB1A68" w:rsidRPr="002A2012">
        <w:rPr>
          <w:rFonts w:eastAsia="Times New Roman" w:cs="Times New Roman"/>
          <w:szCs w:val="20"/>
          <w:lang w:val="es-CR" w:eastAsia="en-GB"/>
        </w:rPr>
        <w:t xml:space="preserve"> igua</w:t>
      </w:r>
      <w:r w:rsidR="002A2012">
        <w:rPr>
          <w:rFonts w:eastAsia="Times New Roman" w:cs="Times New Roman"/>
          <w:szCs w:val="20"/>
          <w:lang w:val="es-CR" w:eastAsia="en-GB"/>
        </w:rPr>
        <w:t>ldad ante la</w:t>
      </w:r>
      <w:r w:rsidR="00CB1A68" w:rsidRPr="00242B07">
        <w:rPr>
          <w:rFonts w:eastAsia="Times New Roman" w:cs="Times New Roman"/>
          <w:szCs w:val="20"/>
          <w:lang w:val="es-CR" w:eastAsia="en-GB"/>
        </w:rPr>
        <w:t xml:space="preserve"> ley</w:t>
      </w:r>
      <w:r w:rsidRPr="00242B07">
        <w:rPr>
          <w:rFonts w:eastAsia="Times New Roman" w:cs="Times New Roman"/>
          <w:szCs w:val="20"/>
          <w:lang w:val="es-CR" w:eastAsia="en-GB"/>
        </w:rPr>
        <w:t>.</w:t>
      </w:r>
      <w:r w:rsidRPr="0092295B">
        <w:rPr>
          <w:rFonts w:eastAsia="Times New Roman" w:cs="Times New Roman"/>
          <w:szCs w:val="20"/>
          <w:lang w:val="es-CR" w:eastAsia="en-GB"/>
        </w:rPr>
        <w:t xml:space="preserve"> </w:t>
      </w:r>
      <w:r w:rsidR="00D01B05" w:rsidRPr="0092295B">
        <w:rPr>
          <w:rFonts w:eastAsia="Times New Roman" w:cs="Times New Roman"/>
          <w:szCs w:val="20"/>
          <w:lang w:val="es-CR" w:eastAsia="en-GB"/>
        </w:rPr>
        <w:t xml:space="preserve">El juzgador en el período de detención en firme </w:t>
      </w:r>
      <w:r w:rsidR="00D01B05" w:rsidRPr="0092295B">
        <w:t>omitió</w:t>
      </w:r>
      <w:r w:rsidR="008A4849" w:rsidRPr="0092295B">
        <w:t xml:space="preserve"> valorar</w:t>
      </w:r>
      <w:r w:rsidR="00D01B05" w:rsidRPr="0092295B">
        <w:t xml:space="preserve"> los fines, idoneidad, necesidad y proporcionalidad de la detención. </w:t>
      </w:r>
      <w:r w:rsidRPr="0092295B">
        <w:rPr>
          <w:rFonts w:eastAsia="Times New Roman" w:cs="Times New Roman"/>
          <w:szCs w:val="20"/>
          <w:lang w:val="es-CR" w:eastAsia="en-GB"/>
        </w:rPr>
        <w:t xml:space="preserve">En consecuencia, este Tribunal considera que el Estado vulneró los derechos establecidos en los artículos 7.1, 7.2, 7.3, </w:t>
      </w:r>
      <w:r w:rsidR="006157AA" w:rsidRPr="0092295B">
        <w:rPr>
          <w:rFonts w:eastAsia="Times New Roman" w:cs="Times New Roman"/>
          <w:szCs w:val="20"/>
          <w:lang w:val="es-CR" w:eastAsia="en-GB"/>
        </w:rPr>
        <w:t xml:space="preserve">7.5, </w:t>
      </w:r>
      <w:r w:rsidRPr="0092295B">
        <w:rPr>
          <w:rFonts w:eastAsia="Times New Roman" w:cs="Times New Roman"/>
          <w:szCs w:val="20"/>
          <w:lang w:val="es-CR" w:eastAsia="en-GB"/>
        </w:rPr>
        <w:t xml:space="preserve">8.2 y 24 de la Convención Americana, en relación con los artículos 1.1 y 2 de la </w:t>
      </w:r>
      <w:r w:rsidR="00D369F9">
        <w:rPr>
          <w:rFonts w:eastAsia="Times New Roman" w:cs="Times New Roman"/>
          <w:szCs w:val="20"/>
          <w:lang w:val="es-CR" w:eastAsia="en-GB"/>
        </w:rPr>
        <w:t>misma</w:t>
      </w:r>
      <w:r w:rsidRPr="0092295B">
        <w:rPr>
          <w:rFonts w:eastAsia="Times New Roman" w:cs="Times New Roman"/>
          <w:szCs w:val="20"/>
          <w:lang w:val="es-CR" w:eastAsia="en-GB"/>
        </w:rPr>
        <w:t xml:space="preserve">, en perjuicio de los señores </w:t>
      </w:r>
      <w:r w:rsidRPr="0092295B">
        <w:rPr>
          <w:szCs w:val="20"/>
        </w:rPr>
        <w:t>Jorge Villarroel Merino, Mario Romel Cevallos Moreno, Jorge Coloma Gaibor, Fe</w:t>
      </w:r>
      <w:r w:rsidR="0060743E" w:rsidRPr="0092295B">
        <w:rPr>
          <w:szCs w:val="20"/>
        </w:rPr>
        <w:t>rnando López Ortiz, Amílcar Ascázubi Albán y Patricio Vinuez</w:t>
      </w:r>
      <w:r w:rsidRPr="0092295B">
        <w:rPr>
          <w:szCs w:val="20"/>
        </w:rPr>
        <w:t xml:space="preserve">a Pánchez. </w:t>
      </w:r>
    </w:p>
    <w:p w14:paraId="16B1F240" w14:textId="77777777" w:rsidR="000148A8" w:rsidRPr="0092295B" w:rsidRDefault="000148A8" w:rsidP="000148A8">
      <w:pPr>
        <w:pStyle w:val="Prrafodelista"/>
        <w:spacing w:before="0" w:after="0"/>
        <w:ind w:left="0"/>
        <w:rPr>
          <w:rFonts w:eastAsia="Times New Roman" w:cs="Times New Roman"/>
          <w:szCs w:val="20"/>
          <w:lang w:val="es-CR" w:eastAsia="en-GB"/>
        </w:rPr>
      </w:pPr>
    </w:p>
    <w:p w14:paraId="4578C6B6" w14:textId="38B13B5D" w:rsidR="00ED7035" w:rsidRPr="00D44B5C" w:rsidRDefault="000148A8" w:rsidP="00CE7748">
      <w:pPr>
        <w:pStyle w:val="Prrafodelista"/>
        <w:numPr>
          <w:ilvl w:val="0"/>
          <w:numId w:val="29"/>
        </w:numPr>
        <w:spacing w:before="0" w:after="0"/>
        <w:ind w:left="0" w:firstLine="0"/>
        <w:rPr>
          <w:szCs w:val="20"/>
        </w:rPr>
      </w:pPr>
      <w:r w:rsidRPr="0092295B">
        <w:rPr>
          <w:rFonts w:eastAsia="Times New Roman" w:cs="Times New Roman"/>
          <w:szCs w:val="20"/>
          <w:lang w:val="es-CR" w:eastAsia="en-GB"/>
        </w:rPr>
        <w:t>Asimismo, l</w:t>
      </w:r>
      <w:r w:rsidR="006E3A2B" w:rsidRPr="0092295B">
        <w:rPr>
          <w:rFonts w:eastAsia="Times New Roman" w:cs="Times New Roman"/>
          <w:szCs w:val="20"/>
          <w:lang w:val="es-CR" w:eastAsia="en-GB"/>
        </w:rPr>
        <w:t xml:space="preserve">a Corte concluye que el Estado es responsable </w:t>
      </w:r>
      <w:r w:rsidRPr="0092295B">
        <w:t>por</w:t>
      </w:r>
      <w:r w:rsidR="003B1414" w:rsidRPr="0092295B">
        <w:t xml:space="preserve"> omitir</w:t>
      </w:r>
      <w:r w:rsidR="00334204">
        <w:t xml:space="preserve"> la</w:t>
      </w:r>
      <w:r w:rsidR="003B1414" w:rsidRPr="0092295B">
        <w:t xml:space="preserve"> valora</w:t>
      </w:r>
      <w:r w:rsidR="00334204">
        <w:t>ción de</w:t>
      </w:r>
      <w:r w:rsidR="003B1414" w:rsidRPr="0092295B">
        <w:t xml:space="preserve"> </w:t>
      </w:r>
      <w:r w:rsidR="006E3A2B" w:rsidRPr="0092295B">
        <w:t xml:space="preserve">los fines, </w:t>
      </w:r>
      <w:r w:rsidRPr="0092295B">
        <w:t xml:space="preserve">idoneidad, </w:t>
      </w:r>
      <w:r w:rsidR="006E3A2B" w:rsidRPr="0092295B">
        <w:t>ne</w:t>
      </w:r>
      <w:r w:rsidRPr="0092295B">
        <w:t>cesidad y proporcionalidad de la detención preven</w:t>
      </w:r>
      <w:r w:rsidR="00AC131B" w:rsidRPr="0092295B">
        <w:t>tiva</w:t>
      </w:r>
      <w:r w:rsidR="003B1414" w:rsidRPr="0092295B">
        <w:t>, ya que</w:t>
      </w:r>
      <w:r w:rsidR="00AC131B" w:rsidRPr="0092295B">
        <w:t xml:space="preserve"> </w:t>
      </w:r>
      <w:r w:rsidR="003B1414" w:rsidRPr="0092295B">
        <w:rPr>
          <w:rFonts w:cs="Times New Roman"/>
          <w:color w:val="000000" w:themeColor="text1"/>
          <w:szCs w:val="20"/>
          <w:lang w:val="es-CR"/>
        </w:rPr>
        <w:t xml:space="preserve">el juzgador al momento de prolongar la privación de libertad no ejerció un control directo de la detención ni la motivó, lo que constituyó una privación de la libertad arbitraria y también contraria al principio de presunción de inocencia, </w:t>
      </w:r>
      <w:r w:rsidR="006E3A2B" w:rsidRPr="0092295B">
        <w:rPr>
          <w:rFonts w:cs="Times New Roman"/>
          <w:color w:val="000000" w:themeColor="text1"/>
          <w:szCs w:val="20"/>
          <w:lang w:val="es-CR"/>
        </w:rPr>
        <w:t>en violación de</w:t>
      </w:r>
      <w:r w:rsidR="006E3A2B" w:rsidRPr="0092295B">
        <w:t xml:space="preserve"> los </w:t>
      </w:r>
      <w:r w:rsidR="006E3A2B" w:rsidRPr="00CE7748">
        <w:t>artículos 7.1, 7.3</w:t>
      </w:r>
      <w:r w:rsidR="00CA7F74" w:rsidRPr="00CE7748">
        <w:t>, 7.5</w:t>
      </w:r>
      <w:r w:rsidR="006E3A2B" w:rsidRPr="00CE7748">
        <w:t xml:space="preserve"> y 8.2</w:t>
      </w:r>
      <w:r w:rsidR="006E3A2B" w:rsidRPr="00CE7748">
        <w:rPr>
          <w:b/>
        </w:rPr>
        <w:t xml:space="preserve"> </w:t>
      </w:r>
      <w:r w:rsidR="006E3A2B" w:rsidRPr="00CE7748">
        <w:t>de la Conve</w:t>
      </w:r>
      <w:r w:rsidR="006157AA" w:rsidRPr="00CE7748">
        <w:t>nción Americana, en relación</w:t>
      </w:r>
      <w:r w:rsidR="006E3A2B" w:rsidRPr="00CE7748">
        <w:t xml:space="preserve"> con el art</w:t>
      </w:r>
      <w:r w:rsidR="00181C2C" w:rsidRPr="00CE7748">
        <w:t>ículo 1.1 del misma,</w:t>
      </w:r>
      <w:r w:rsidR="006E3A2B" w:rsidRPr="00CE7748">
        <w:t xml:space="preserve"> en perjuicio</w:t>
      </w:r>
      <w:r w:rsidR="006E3A2B" w:rsidRPr="00CE7748">
        <w:rPr>
          <w:rFonts w:cs="Times New Roman"/>
          <w:color w:val="000000" w:themeColor="text1"/>
          <w:szCs w:val="20"/>
          <w:lang w:val="es-CR"/>
        </w:rPr>
        <w:t xml:space="preserve"> </w:t>
      </w:r>
      <w:r w:rsidR="006E3A2B" w:rsidRPr="00CE7748">
        <w:rPr>
          <w:rFonts w:eastAsia="Times New Roman" w:cs="Times New Roman"/>
          <w:szCs w:val="20"/>
          <w:lang w:val="es-CR" w:eastAsia="en-GB"/>
        </w:rPr>
        <w:t xml:space="preserve">Jorge Humberto Villarroel Merino, </w:t>
      </w:r>
      <w:r w:rsidR="006E3A2B" w:rsidRPr="00CE7748">
        <w:rPr>
          <w:szCs w:val="20"/>
        </w:rPr>
        <w:t>Jorge Coloma Gaibor, Fe</w:t>
      </w:r>
      <w:r w:rsidR="0060743E" w:rsidRPr="00CE7748">
        <w:rPr>
          <w:szCs w:val="20"/>
        </w:rPr>
        <w:t>rnando López Ortiz, Amílcar Ascázubi Albán y Patricio Vinuez</w:t>
      </w:r>
      <w:r w:rsidR="006E3A2B" w:rsidRPr="00CE7748">
        <w:rPr>
          <w:szCs w:val="20"/>
        </w:rPr>
        <w:t>a Pánchez.</w:t>
      </w:r>
      <w:r w:rsidR="00A55E16" w:rsidRPr="00A55E16">
        <w:rPr>
          <w:b/>
          <w:color w:val="FF0000"/>
          <w:szCs w:val="20"/>
        </w:rPr>
        <w:t xml:space="preserve"> </w:t>
      </w:r>
    </w:p>
    <w:p w14:paraId="20BCD52C" w14:textId="11239026" w:rsidR="00D44B5C" w:rsidRPr="0092295B" w:rsidRDefault="00D44B5C" w:rsidP="00D44B5C">
      <w:pPr>
        <w:pStyle w:val="Prrafodelista"/>
        <w:spacing w:before="0" w:after="0"/>
        <w:ind w:left="0"/>
        <w:rPr>
          <w:szCs w:val="20"/>
        </w:rPr>
      </w:pPr>
    </w:p>
    <w:p w14:paraId="2C9CFE81" w14:textId="05A97BA2" w:rsidR="00907DCE" w:rsidRPr="00F911DC" w:rsidRDefault="00F64244" w:rsidP="00F911DC">
      <w:pPr>
        <w:pStyle w:val="Ttulo2"/>
        <w:ind w:left="426"/>
        <w:rPr>
          <w:i w:val="0"/>
        </w:rPr>
      </w:pPr>
      <w:bookmarkStart w:id="116" w:name="_Toc87339024"/>
      <w:r w:rsidRPr="00F911DC">
        <w:rPr>
          <w:i w:val="0"/>
        </w:rPr>
        <w:t>E</w:t>
      </w:r>
      <w:r w:rsidR="006157AA" w:rsidRPr="00F911DC">
        <w:rPr>
          <w:i w:val="0"/>
        </w:rPr>
        <w:t>.</w:t>
      </w:r>
      <w:r w:rsidR="006157AA" w:rsidRPr="00F911DC">
        <w:rPr>
          <w:i w:val="0"/>
        </w:rPr>
        <w:tab/>
      </w:r>
      <w:r w:rsidR="0053447D" w:rsidRPr="00F911DC">
        <w:rPr>
          <w:i w:val="0"/>
        </w:rPr>
        <w:t>Recursos interpuestos contra la detención</w:t>
      </w:r>
      <w:r w:rsidR="00907DCE" w:rsidRPr="00F911DC">
        <w:rPr>
          <w:i w:val="0"/>
        </w:rPr>
        <w:t xml:space="preserve"> (artículos 7.1</w:t>
      </w:r>
      <w:r w:rsidR="007B3EF2" w:rsidRPr="00F911DC">
        <w:rPr>
          <w:i w:val="0"/>
        </w:rPr>
        <w:t>,</w:t>
      </w:r>
      <w:r w:rsidR="00907DCE" w:rsidRPr="00F911DC">
        <w:rPr>
          <w:i w:val="0"/>
        </w:rPr>
        <w:t xml:space="preserve"> 7.6 </w:t>
      </w:r>
      <w:r w:rsidR="0053447D" w:rsidRPr="00F911DC">
        <w:rPr>
          <w:i w:val="0"/>
        </w:rPr>
        <w:t xml:space="preserve">y </w:t>
      </w:r>
      <w:r w:rsidR="00907DCE" w:rsidRPr="00F911DC">
        <w:rPr>
          <w:i w:val="0"/>
        </w:rPr>
        <w:t>1.1</w:t>
      </w:r>
      <w:r w:rsidR="0053447D" w:rsidRPr="00F911DC">
        <w:rPr>
          <w:i w:val="0"/>
        </w:rPr>
        <w:t>)</w:t>
      </w:r>
      <w:bookmarkEnd w:id="116"/>
    </w:p>
    <w:p w14:paraId="470AF93D" w14:textId="260D347E" w:rsidR="00134949" w:rsidRPr="0092295B" w:rsidRDefault="00134949" w:rsidP="005D6E7F">
      <w:pPr>
        <w:pStyle w:val="Ttulo1"/>
        <w:spacing w:before="0" w:after="0"/>
        <w:jc w:val="both"/>
        <w:rPr>
          <w:lang w:val="es-CR"/>
        </w:rPr>
      </w:pPr>
    </w:p>
    <w:p w14:paraId="14D1503D" w14:textId="70702276" w:rsidR="00EB1B7C" w:rsidRPr="0092295B" w:rsidRDefault="00EB1B7C" w:rsidP="00CF2D2A">
      <w:pPr>
        <w:pStyle w:val="Prrafodelista"/>
        <w:numPr>
          <w:ilvl w:val="0"/>
          <w:numId w:val="29"/>
        </w:numPr>
        <w:ind w:left="0" w:firstLine="0"/>
        <w:rPr>
          <w:szCs w:val="20"/>
          <w:u w:val="single"/>
          <w:lang w:val="es-CR"/>
        </w:rPr>
      </w:pPr>
      <w:r w:rsidRPr="0092295B">
        <w:rPr>
          <w:szCs w:val="20"/>
          <w:lang w:val="es-CR"/>
        </w:rPr>
        <w:t xml:space="preserve">En este acápite, este Tribunal analizará si el Estado otorgó a las presuntas víctimas la posibilidad de recurrir ante un juez o tribunal competente, a fin de que éste decidiera, sin demora, sobre la legalidad de su detención y, si fuera ilegal, ordenara su libertad, conforme el artículo 7.6 de la Convención. En razón </w:t>
      </w:r>
      <w:r w:rsidR="007B3EF2">
        <w:rPr>
          <w:szCs w:val="20"/>
          <w:lang w:val="es-CR"/>
        </w:rPr>
        <w:t xml:space="preserve">de </w:t>
      </w:r>
      <w:r w:rsidRPr="0092295B">
        <w:rPr>
          <w:szCs w:val="20"/>
          <w:lang w:val="es-CR"/>
        </w:rPr>
        <w:t>que el artículo 7.6 tiene un contenido jurídico propio y el principio de efectividad (</w:t>
      </w:r>
      <w:r w:rsidRPr="0092295B">
        <w:rPr>
          <w:i/>
          <w:szCs w:val="20"/>
          <w:lang w:val="es-CR"/>
        </w:rPr>
        <w:t>effet utile</w:t>
      </w:r>
      <w:r w:rsidRPr="0092295B">
        <w:rPr>
          <w:szCs w:val="20"/>
          <w:lang w:val="es-CR"/>
        </w:rPr>
        <w:t>) es transversal a la protección debida de todos los derechos reconocidos en ese instrumento, este Tribunal considera innecesario analizar aquella disposición en relación con el artículo 25 de la Convención</w:t>
      </w:r>
      <w:r w:rsidR="009D06CA">
        <w:rPr>
          <w:szCs w:val="20"/>
          <w:lang w:val="es-CR"/>
        </w:rPr>
        <w:t>, como fue alegado por la Comisión</w:t>
      </w:r>
      <w:r w:rsidRPr="0092295B">
        <w:rPr>
          <w:rStyle w:val="Refdenotaalpie"/>
          <w:lang w:val="es-CR"/>
        </w:rPr>
        <w:footnoteReference w:id="125"/>
      </w:r>
      <w:r w:rsidRPr="0092295B">
        <w:rPr>
          <w:szCs w:val="20"/>
          <w:lang w:val="es-CR"/>
        </w:rPr>
        <w:t xml:space="preserve">. Por la misma razón tampoco examinará aquí </w:t>
      </w:r>
      <w:r w:rsidRPr="0092295B">
        <w:rPr>
          <w:szCs w:val="20"/>
        </w:rPr>
        <w:t>los recursos de nulidad y apelación presentados por las presuntas víctimas</w:t>
      </w:r>
      <w:r w:rsidRPr="0092295B">
        <w:rPr>
          <w:rStyle w:val="Refdenotaalpie"/>
        </w:rPr>
        <w:footnoteReference w:id="126"/>
      </w:r>
      <w:r w:rsidR="00135ACD">
        <w:rPr>
          <w:szCs w:val="20"/>
        </w:rPr>
        <w:t xml:space="preserve">, </w:t>
      </w:r>
      <w:r w:rsidRPr="0092295B">
        <w:rPr>
          <w:szCs w:val="20"/>
        </w:rPr>
        <w:t xml:space="preserve"> pues no tenían como </w:t>
      </w:r>
      <w:r w:rsidRPr="0092295B">
        <w:rPr>
          <w:szCs w:val="20"/>
          <w:lang w:val="es-CR"/>
        </w:rPr>
        <w:t>fin alcanzar sin demora una decisión sobre la legalidad o no de la detención, por lo que no constituyen recursos idóneos ni efectivos para tutelar la libertad personal</w:t>
      </w:r>
      <w:r w:rsidRPr="0092295B">
        <w:rPr>
          <w:rStyle w:val="Refdenotaalpie"/>
          <w:lang w:val="es-CR"/>
        </w:rPr>
        <w:footnoteReference w:id="127"/>
      </w:r>
      <w:r w:rsidRPr="0092295B">
        <w:rPr>
          <w:szCs w:val="20"/>
          <w:lang w:val="es-CR"/>
        </w:rPr>
        <w:t xml:space="preserve">. </w:t>
      </w:r>
    </w:p>
    <w:p w14:paraId="2DD6E19D" w14:textId="77777777" w:rsidR="00EB1B7C" w:rsidRPr="0092295B" w:rsidRDefault="00EB1B7C" w:rsidP="00017E38">
      <w:pPr>
        <w:pStyle w:val="Prrafodelista"/>
        <w:ind w:left="0"/>
        <w:rPr>
          <w:szCs w:val="20"/>
          <w:u w:val="single"/>
          <w:lang w:val="es-CR"/>
        </w:rPr>
      </w:pPr>
    </w:p>
    <w:p w14:paraId="38A1CBA0" w14:textId="4805A2CF" w:rsidR="00017E38" w:rsidRPr="0092295B" w:rsidRDefault="009D06CA" w:rsidP="00CF2D2A">
      <w:pPr>
        <w:pStyle w:val="Prrafodelista"/>
        <w:numPr>
          <w:ilvl w:val="0"/>
          <w:numId w:val="29"/>
        </w:numPr>
        <w:ind w:left="0" w:firstLine="0"/>
        <w:rPr>
          <w:szCs w:val="20"/>
          <w:u w:val="single"/>
          <w:lang w:val="es-CR"/>
        </w:rPr>
      </w:pPr>
      <w:r>
        <w:rPr>
          <w:szCs w:val="20"/>
          <w:lang w:val="es-CR"/>
        </w:rPr>
        <w:t>Tal</w:t>
      </w:r>
      <w:r w:rsidR="00134949" w:rsidRPr="0092295B">
        <w:rPr>
          <w:szCs w:val="20"/>
          <w:lang w:val="es-CR"/>
        </w:rPr>
        <w:t xml:space="preserve"> como ha sido mencionado, el artículo 7.6 de la Convención tiene un contenido jurídico propio, que consiste en tutelar de manera directa la libertad personal o física, por medio del mandato judicial dirigido a las autoridades correspondientes a fin de que se lleve al detenido a la presencia del juez para que éste pueda examinar la legalidad de la privación y, en su caso, decretar su libertad</w:t>
      </w:r>
      <w:r w:rsidR="00362E93" w:rsidRPr="0092295B">
        <w:rPr>
          <w:rStyle w:val="Refdenotaalpie"/>
          <w:lang w:val="es-CR"/>
        </w:rPr>
        <w:footnoteReference w:id="128"/>
      </w:r>
      <w:r w:rsidR="00134949" w:rsidRPr="0092295B">
        <w:rPr>
          <w:szCs w:val="20"/>
        </w:rPr>
        <w:t>. L</w:t>
      </w:r>
      <w:r w:rsidR="00134949" w:rsidRPr="0092295B">
        <w:rPr>
          <w:szCs w:val="20"/>
          <w:lang w:val="es-CR"/>
        </w:rPr>
        <w:t>a jurisprudencia de este Tribunal ya ha referido que estos recursos no solo deben existir formalmente en la legislación</w:t>
      </w:r>
      <w:r w:rsidR="00F704DA">
        <w:rPr>
          <w:szCs w:val="20"/>
          <w:lang w:val="es-CR"/>
        </w:rPr>
        <w:t>,</w:t>
      </w:r>
      <w:r w:rsidR="00134949" w:rsidRPr="0092295B">
        <w:rPr>
          <w:szCs w:val="20"/>
          <w:lang w:val="es-CR"/>
        </w:rPr>
        <w:t xml:space="preserve"> sino que deben ser efectivos, esto es, cumplir con el objetivo de obtener sin demora una decisión sobre la legalidad del arresto o de la detención. De lo contrario, la actividad judicial no significaría un verdadero control, sino un mero trámite formal, o incluso simbólico, que generaría un menoscabo de la libertad del individuo. Más aún, el análisis de la legalidad de una privación de libertad “debe examinar las razones invocadas por el demandante y manifestarse expresamente sobre ellas, de acuerdo a los parámetros establecidos por la Convención Americana”</w:t>
      </w:r>
      <w:r w:rsidR="00134949" w:rsidRPr="0092295B">
        <w:rPr>
          <w:vertAlign w:val="superscript"/>
        </w:rPr>
        <w:footnoteReference w:id="129"/>
      </w:r>
      <w:r w:rsidR="00134949" w:rsidRPr="0092295B">
        <w:rPr>
          <w:szCs w:val="20"/>
          <w:lang w:val="es-CR"/>
        </w:rPr>
        <w:t xml:space="preserve">. </w:t>
      </w:r>
    </w:p>
    <w:p w14:paraId="48B3DDEB" w14:textId="564AA82A" w:rsidR="00465D58" w:rsidRPr="0092295B" w:rsidRDefault="00465D58" w:rsidP="00465D58">
      <w:pPr>
        <w:pStyle w:val="Prrafodelista"/>
        <w:ind w:left="0"/>
        <w:rPr>
          <w:szCs w:val="20"/>
          <w:u w:val="single"/>
          <w:lang w:val="es-CR"/>
        </w:rPr>
      </w:pPr>
    </w:p>
    <w:p w14:paraId="2BF8AB2A" w14:textId="0DD50415" w:rsidR="00134949" w:rsidRPr="0092295B" w:rsidRDefault="00EB1B7C" w:rsidP="00CF2D2A">
      <w:pPr>
        <w:pStyle w:val="Prrafodelista"/>
        <w:numPr>
          <w:ilvl w:val="0"/>
          <w:numId w:val="29"/>
        </w:numPr>
        <w:ind w:left="0" w:firstLine="0"/>
        <w:rPr>
          <w:szCs w:val="20"/>
          <w:u w:val="single"/>
          <w:lang w:val="es-CR"/>
        </w:rPr>
      </w:pPr>
      <w:r w:rsidRPr="0092295B">
        <w:rPr>
          <w:szCs w:val="20"/>
          <w:lang w:val="es-CR"/>
        </w:rPr>
        <w:t>En el presente caso</w:t>
      </w:r>
      <w:r w:rsidR="000E6833" w:rsidRPr="0092295B">
        <w:rPr>
          <w:szCs w:val="20"/>
          <w:lang w:val="es-CR"/>
        </w:rPr>
        <w:t xml:space="preserve">, se </w:t>
      </w:r>
      <w:r w:rsidRPr="0092295B">
        <w:rPr>
          <w:rFonts w:eastAsia="Times New Roman" w:cs="Times New Roman"/>
          <w:szCs w:val="20"/>
          <w:lang w:val="es-CR" w:eastAsia="en-GB"/>
        </w:rPr>
        <w:t>interpusieron</w:t>
      </w:r>
      <w:r w:rsidR="000E6833" w:rsidRPr="0092295B">
        <w:rPr>
          <w:rFonts w:eastAsia="Times New Roman" w:cs="Times New Roman"/>
          <w:szCs w:val="20"/>
          <w:lang w:val="es-CR" w:eastAsia="en-GB"/>
        </w:rPr>
        <w:t xml:space="preserve"> dos recursos de amparo</w:t>
      </w:r>
      <w:r w:rsidR="005B79A3" w:rsidRPr="0092295B">
        <w:rPr>
          <w:rStyle w:val="Refdenotaalpie"/>
          <w:rFonts w:eastAsia="Times New Roman"/>
          <w:lang w:val="es-CR" w:eastAsia="en-GB"/>
        </w:rPr>
        <w:footnoteReference w:id="130"/>
      </w:r>
      <w:r w:rsidR="000E6833" w:rsidRPr="0092295B">
        <w:rPr>
          <w:rFonts w:eastAsia="Times New Roman" w:cs="Times New Roman"/>
          <w:szCs w:val="20"/>
          <w:lang w:val="es-CR" w:eastAsia="en-GB"/>
        </w:rPr>
        <w:t xml:space="preserve">, fundamentados en los artículos 422 y siguientes el Código de Procedimiento Penal común como norma supletoria, la cual establecía el denominado amparo de libertad </w:t>
      </w:r>
      <w:r w:rsidR="000E6833" w:rsidRPr="0092295B">
        <w:rPr>
          <w:szCs w:val="20"/>
          <w:lang w:val="es-CR"/>
        </w:rPr>
        <w:t xml:space="preserve">que permitía específicamente revisar la legalidad de una privación </w:t>
      </w:r>
      <w:r w:rsidR="000E6833" w:rsidRPr="009A5462">
        <w:rPr>
          <w:szCs w:val="20"/>
          <w:lang w:val="es-CR"/>
        </w:rPr>
        <w:t xml:space="preserve">de libertad. </w:t>
      </w:r>
      <w:r w:rsidR="000E6833" w:rsidRPr="009A5462">
        <w:rPr>
          <w:szCs w:val="20"/>
        </w:rPr>
        <w:t xml:space="preserve">Los señores </w:t>
      </w:r>
      <w:r w:rsidR="000E6833" w:rsidRPr="00FA72AF">
        <w:rPr>
          <w:rFonts w:cs="Times New Roman"/>
          <w:szCs w:val="20"/>
          <w:lang w:val="es-CR"/>
        </w:rPr>
        <w:t>Villarroel Merino, Coloma Gaibor, Vinueza Pánchez, López Ortiz y A</w:t>
      </w:r>
      <w:r w:rsidR="00660BC9" w:rsidRPr="00FA72AF">
        <w:rPr>
          <w:rFonts w:cs="Times New Roman"/>
          <w:szCs w:val="20"/>
          <w:lang w:val="es-CR"/>
        </w:rPr>
        <w:t>s</w:t>
      </w:r>
      <w:r w:rsidR="000E6833" w:rsidRPr="00FA72AF">
        <w:rPr>
          <w:rFonts w:cs="Times New Roman"/>
          <w:szCs w:val="20"/>
          <w:lang w:val="es-CR"/>
        </w:rPr>
        <w:t xml:space="preserve">cázubi Albán </w:t>
      </w:r>
      <w:r w:rsidR="000E6833" w:rsidRPr="009A5462">
        <w:rPr>
          <w:szCs w:val="20"/>
        </w:rPr>
        <w:t xml:space="preserve">presentaron </w:t>
      </w:r>
      <w:r w:rsidR="000E6833" w:rsidRPr="0092295B">
        <w:rPr>
          <w:szCs w:val="20"/>
        </w:rPr>
        <w:t xml:space="preserve">en conjunto un amparo de libertad y el señor Cevallos Moreno presentó otro amparo en forma individual, </w:t>
      </w:r>
      <w:r w:rsidR="00D337BE" w:rsidRPr="0092295B">
        <w:rPr>
          <w:szCs w:val="20"/>
        </w:rPr>
        <w:t xml:space="preserve">ambos recursos </w:t>
      </w:r>
      <w:r w:rsidR="000E6833" w:rsidRPr="0092295B">
        <w:rPr>
          <w:szCs w:val="20"/>
        </w:rPr>
        <w:t>fueron rechazados.</w:t>
      </w:r>
      <w:r w:rsidR="006D73D5" w:rsidRPr="0092295B">
        <w:rPr>
          <w:szCs w:val="20"/>
        </w:rPr>
        <w:t xml:space="preserve"> A continuación</w:t>
      </w:r>
      <w:r w:rsidR="005B79A3" w:rsidRPr="0092295B">
        <w:rPr>
          <w:szCs w:val="20"/>
        </w:rPr>
        <w:t>,</w:t>
      </w:r>
      <w:r w:rsidR="006D73D5" w:rsidRPr="0092295B">
        <w:rPr>
          <w:szCs w:val="20"/>
        </w:rPr>
        <w:t xml:space="preserve"> los recursos mencionados serán examinados por la Corte para determinar si constituye</w:t>
      </w:r>
      <w:r w:rsidR="00E16A9E" w:rsidRPr="0092295B">
        <w:rPr>
          <w:szCs w:val="20"/>
        </w:rPr>
        <w:t>ron</w:t>
      </w:r>
      <w:r w:rsidR="006D73D5" w:rsidRPr="0092295B">
        <w:rPr>
          <w:szCs w:val="20"/>
        </w:rPr>
        <w:t xml:space="preserve"> recursos idóneos y efectivos para para </w:t>
      </w:r>
      <w:r w:rsidR="006D73D5" w:rsidRPr="0092295B">
        <w:rPr>
          <w:szCs w:val="20"/>
          <w:lang w:val="es-CR"/>
        </w:rPr>
        <w:t>obtener sin demora una decisión sobre la legalidad o no de la detención</w:t>
      </w:r>
      <w:r w:rsidR="00E16A9E" w:rsidRPr="0092295B">
        <w:rPr>
          <w:szCs w:val="20"/>
          <w:lang w:val="es-CR"/>
        </w:rPr>
        <w:t xml:space="preserve"> de las presuntas víctimas</w:t>
      </w:r>
      <w:r w:rsidR="006D73D5" w:rsidRPr="0092295B">
        <w:rPr>
          <w:szCs w:val="20"/>
        </w:rPr>
        <w:t>.</w:t>
      </w:r>
    </w:p>
    <w:p w14:paraId="3D651B27" w14:textId="77777777" w:rsidR="00017E38" w:rsidRPr="0092295B" w:rsidRDefault="00017E38" w:rsidP="00017E38">
      <w:pPr>
        <w:pStyle w:val="Prrafodelista"/>
        <w:ind w:left="0"/>
        <w:rPr>
          <w:szCs w:val="20"/>
          <w:u w:val="single"/>
          <w:lang w:val="es-CR"/>
        </w:rPr>
      </w:pPr>
    </w:p>
    <w:p w14:paraId="7DCB2E11" w14:textId="0BA6FF1A" w:rsidR="00134949" w:rsidRPr="007B3EF2" w:rsidRDefault="00134949" w:rsidP="00CF2D2A">
      <w:pPr>
        <w:pStyle w:val="Prrafodelista"/>
        <w:numPr>
          <w:ilvl w:val="0"/>
          <w:numId w:val="29"/>
        </w:numPr>
        <w:ind w:left="0" w:right="90" w:firstLine="0"/>
        <w:rPr>
          <w:szCs w:val="20"/>
        </w:rPr>
      </w:pPr>
      <w:r w:rsidRPr="0092295B">
        <w:rPr>
          <w:szCs w:val="20"/>
          <w:lang w:val="es-CR"/>
        </w:rPr>
        <w:t>Como puede apreciarse por este Tribunal</w:t>
      </w:r>
      <w:r w:rsidR="00BA4DF6" w:rsidRPr="0092295B">
        <w:rPr>
          <w:szCs w:val="20"/>
          <w:lang w:val="es-CR"/>
        </w:rPr>
        <w:t>,</w:t>
      </w:r>
      <w:r w:rsidRPr="0092295B">
        <w:rPr>
          <w:szCs w:val="20"/>
          <w:lang w:val="es-CR"/>
        </w:rPr>
        <w:t xml:space="preserve"> </w:t>
      </w:r>
      <w:r w:rsidR="002F2403" w:rsidRPr="0092295B">
        <w:rPr>
          <w:szCs w:val="20"/>
          <w:lang w:val="es-CR"/>
        </w:rPr>
        <w:t xml:space="preserve">en las decisiones de </w:t>
      </w:r>
      <w:r w:rsidRPr="0092295B">
        <w:rPr>
          <w:szCs w:val="20"/>
          <w:lang w:val="es-CR"/>
        </w:rPr>
        <w:t>la CNJP</w:t>
      </w:r>
      <w:r w:rsidR="00131B54" w:rsidRPr="0092295B">
        <w:rPr>
          <w:szCs w:val="20"/>
          <w:lang w:val="es-CR"/>
        </w:rPr>
        <w:t xml:space="preserve"> mediante las cuales</w:t>
      </w:r>
      <w:r w:rsidRPr="0092295B">
        <w:rPr>
          <w:szCs w:val="20"/>
          <w:lang w:val="es-CR"/>
        </w:rPr>
        <w:t xml:space="preserve"> denegó </w:t>
      </w:r>
      <w:r w:rsidRPr="007B3EF2">
        <w:rPr>
          <w:szCs w:val="20"/>
          <w:lang w:val="es-CR"/>
        </w:rPr>
        <w:t>los recursos interpuestos</w:t>
      </w:r>
      <w:r w:rsidR="002F2403" w:rsidRPr="007B3EF2">
        <w:rPr>
          <w:szCs w:val="20"/>
          <w:lang w:val="es-CR"/>
        </w:rPr>
        <w:t xml:space="preserve"> </w:t>
      </w:r>
      <w:r w:rsidR="00EF1319" w:rsidRPr="007B3EF2">
        <w:rPr>
          <w:szCs w:val="20"/>
          <w:lang w:val="es-CR"/>
        </w:rPr>
        <w:t xml:space="preserve">no se mencionan los fundamentos que sustentaron los recursos ni </w:t>
      </w:r>
      <w:r w:rsidR="009D06CA">
        <w:rPr>
          <w:szCs w:val="20"/>
          <w:lang w:val="es-CR"/>
        </w:rPr>
        <w:t xml:space="preserve">se hizo </w:t>
      </w:r>
      <w:r w:rsidR="00EF1319" w:rsidRPr="007B3EF2">
        <w:rPr>
          <w:szCs w:val="20"/>
          <w:lang w:val="es-CR"/>
        </w:rPr>
        <w:t>pronunciamiento alguno</w:t>
      </w:r>
      <w:r w:rsidR="00362009" w:rsidRPr="007B3EF2">
        <w:rPr>
          <w:szCs w:val="20"/>
          <w:lang w:val="es-CR"/>
        </w:rPr>
        <w:t xml:space="preserve"> al respecto</w:t>
      </w:r>
      <w:r w:rsidRPr="007B3EF2">
        <w:rPr>
          <w:szCs w:val="20"/>
          <w:lang w:val="es-CR"/>
        </w:rPr>
        <w:t xml:space="preserve">.  Al resolver el recurso </w:t>
      </w:r>
      <w:r w:rsidRPr="00FA72AF">
        <w:rPr>
          <w:rFonts w:cs="Times New Roman"/>
          <w:szCs w:val="20"/>
          <w:lang w:val="es-CR"/>
        </w:rPr>
        <w:t>de los señores Villarr</w:t>
      </w:r>
      <w:r w:rsidR="00E17F29" w:rsidRPr="00FA72AF">
        <w:rPr>
          <w:rFonts w:cs="Times New Roman"/>
          <w:szCs w:val="20"/>
          <w:lang w:val="es-CR"/>
        </w:rPr>
        <w:t xml:space="preserve">oel Merino, </w:t>
      </w:r>
      <w:r w:rsidRPr="00FA72AF">
        <w:rPr>
          <w:rFonts w:cs="Times New Roman"/>
          <w:szCs w:val="20"/>
          <w:lang w:val="es-CR"/>
        </w:rPr>
        <w:t>Coloma Gaibor, Vinueza Pánchez, López Ortiz y A</w:t>
      </w:r>
      <w:r w:rsidR="00660BC9" w:rsidRPr="00FA72AF">
        <w:rPr>
          <w:rFonts w:cs="Times New Roman"/>
          <w:szCs w:val="20"/>
          <w:lang w:val="es-CR"/>
        </w:rPr>
        <w:t>s</w:t>
      </w:r>
      <w:r w:rsidRPr="00FA72AF">
        <w:rPr>
          <w:rFonts w:cs="Times New Roman"/>
          <w:szCs w:val="20"/>
          <w:lang w:val="es-CR"/>
        </w:rPr>
        <w:t xml:space="preserve">cázubi Albán, la CNJP se limitó a indicar que “atento el estado de la causa es improcedente, conforme tiene resuelto el Tribunal en un caso semejante formulado anteriormente por otro de los encausados en este juicio”. Lo anterior </w:t>
      </w:r>
      <w:r w:rsidR="00317420" w:rsidRPr="00FA72AF">
        <w:rPr>
          <w:rFonts w:cs="Times New Roman"/>
          <w:szCs w:val="20"/>
          <w:lang w:val="es-CR"/>
        </w:rPr>
        <w:t xml:space="preserve">evidencia </w:t>
      </w:r>
      <w:r w:rsidRPr="00FA72AF">
        <w:rPr>
          <w:rFonts w:cs="Times New Roman"/>
          <w:szCs w:val="20"/>
          <w:lang w:val="es-CR"/>
        </w:rPr>
        <w:t>que la CNJP no fundamentó debidamente la decisión ni se pronunció sobre la legalidad o no de la detención, ni sobre el mantenimiento de la medida. Tampoco fijó una audiencia para la comparecencia de los oficiales de conformidad con el artículo 425 del CPP</w:t>
      </w:r>
      <w:r w:rsidR="00144249" w:rsidRPr="00FA72AF">
        <w:rPr>
          <w:rFonts w:cs="Times New Roman"/>
          <w:szCs w:val="20"/>
          <w:lang w:val="es-CR"/>
        </w:rPr>
        <w:t xml:space="preserve"> </w:t>
      </w:r>
      <w:r w:rsidRPr="00FA72AF">
        <w:rPr>
          <w:rFonts w:cs="Times New Roman"/>
          <w:szCs w:val="20"/>
          <w:lang w:val="es-CR"/>
        </w:rPr>
        <w:t>común</w:t>
      </w:r>
      <w:r w:rsidR="00AD08C2" w:rsidRPr="00FA72AF">
        <w:rPr>
          <w:rStyle w:val="Refdenotaalpie"/>
          <w:lang w:val="es-CR"/>
        </w:rPr>
        <w:footnoteReference w:id="131"/>
      </w:r>
      <w:r w:rsidRPr="00FA72AF">
        <w:rPr>
          <w:rFonts w:cs="Times New Roman"/>
          <w:szCs w:val="20"/>
          <w:lang w:val="es-CR"/>
        </w:rPr>
        <w:t xml:space="preserve">. </w:t>
      </w:r>
      <w:r w:rsidR="00E16A9E" w:rsidRPr="00FA72AF">
        <w:rPr>
          <w:rFonts w:cs="Times New Roman"/>
          <w:szCs w:val="20"/>
          <w:lang w:val="es-CR"/>
        </w:rPr>
        <w:t>Por lo tanto</w:t>
      </w:r>
      <w:r w:rsidR="005B79A3" w:rsidRPr="00FA72AF">
        <w:rPr>
          <w:rFonts w:cs="Times New Roman"/>
          <w:szCs w:val="20"/>
          <w:lang w:val="es-CR"/>
        </w:rPr>
        <w:t>,</w:t>
      </w:r>
      <w:r w:rsidR="00E16A9E" w:rsidRPr="00FA72AF">
        <w:rPr>
          <w:rFonts w:cs="Times New Roman"/>
          <w:szCs w:val="20"/>
          <w:lang w:val="es-CR"/>
        </w:rPr>
        <w:t xml:space="preserve"> </w:t>
      </w:r>
      <w:r w:rsidRPr="00FA72AF">
        <w:rPr>
          <w:rFonts w:cs="Times New Roman"/>
          <w:szCs w:val="20"/>
          <w:lang w:val="es-CR"/>
        </w:rPr>
        <w:t xml:space="preserve">en este caso el </w:t>
      </w:r>
      <w:r w:rsidR="00EF1319" w:rsidRPr="00FA72AF">
        <w:rPr>
          <w:rFonts w:cs="Times New Roman"/>
          <w:szCs w:val="20"/>
          <w:lang w:val="es-CR"/>
        </w:rPr>
        <w:t xml:space="preserve">amparo </w:t>
      </w:r>
      <w:r w:rsidRPr="00FA72AF">
        <w:rPr>
          <w:rFonts w:cs="Times New Roman"/>
          <w:szCs w:val="20"/>
          <w:lang w:val="es-CR"/>
        </w:rPr>
        <w:t xml:space="preserve">interpuesto no </w:t>
      </w:r>
      <w:r w:rsidRPr="007B3EF2">
        <w:rPr>
          <w:szCs w:val="20"/>
          <w:lang w:val="es-CR"/>
        </w:rPr>
        <w:t>permitió un verdadero control de la libertad de las presuntas víctimas, ya que no</w:t>
      </w:r>
      <w:r w:rsidR="00362009" w:rsidRPr="007B3EF2">
        <w:rPr>
          <w:szCs w:val="20"/>
          <w:lang w:val="es-CR"/>
        </w:rPr>
        <w:t xml:space="preserve"> se</w:t>
      </w:r>
      <w:r w:rsidRPr="007B3EF2">
        <w:rPr>
          <w:szCs w:val="20"/>
          <w:lang w:val="es-CR"/>
        </w:rPr>
        <w:t xml:space="preserve"> examinó la legalidad de la detención en firme, cuestión que se debatía ante dicha Corte, ni se pronunció expresamente sobre el mantenimiento de tal medida. </w:t>
      </w:r>
    </w:p>
    <w:p w14:paraId="76B32AC6" w14:textId="77777777" w:rsidR="00134949" w:rsidRPr="0092295B" w:rsidRDefault="00134949" w:rsidP="00017D3B">
      <w:pPr>
        <w:pStyle w:val="Prrafodelista"/>
        <w:ind w:left="0" w:right="90"/>
        <w:rPr>
          <w:szCs w:val="20"/>
        </w:rPr>
      </w:pPr>
    </w:p>
    <w:p w14:paraId="527CDDA6" w14:textId="29B58528" w:rsidR="00134949" w:rsidRPr="00185E24" w:rsidRDefault="00134949" w:rsidP="00CF2D2A">
      <w:pPr>
        <w:pStyle w:val="Prrafodelista"/>
        <w:numPr>
          <w:ilvl w:val="0"/>
          <w:numId w:val="29"/>
        </w:numPr>
        <w:ind w:left="0" w:right="90" w:firstLine="0"/>
        <w:rPr>
          <w:szCs w:val="20"/>
        </w:rPr>
      </w:pPr>
      <w:r w:rsidRPr="0092295B">
        <w:rPr>
          <w:szCs w:val="20"/>
        </w:rPr>
        <w:t xml:space="preserve">Además, </w:t>
      </w:r>
      <w:r w:rsidR="00AF2F71" w:rsidRPr="0092295B">
        <w:rPr>
          <w:szCs w:val="20"/>
        </w:rPr>
        <w:t xml:space="preserve">en el </w:t>
      </w:r>
      <w:r w:rsidRPr="0092295B">
        <w:rPr>
          <w:szCs w:val="20"/>
        </w:rPr>
        <w:t xml:space="preserve">recurso del señor </w:t>
      </w:r>
      <w:r w:rsidR="00EF1319" w:rsidRPr="0092295B">
        <w:rPr>
          <w:szCs w:val="20"/>
        </w:rPr>
        <w:t>Cev</w:t>
      </w:r>
      <w:r w:rsidRPr="0092295B">
        <w:rPr>
          <w:szCs w:val="20"/>
        </w:rPr>
        <w:t xml:space="preserve">allos Moreno, a pesar de que </w:t>
      </w:r>
      <w:r w:rsidR="00AF2F71" w:rsidRPr="0092295B">
        <w:rPr>
          <w:szCs w:val="20"/>
        </w:rPr>
        <w:t xml:space="preserve">la decisión contiene </w:t>
      </w:r>
      <w:r w:rsidRPr="0092295B">
        <w:rPr>
          <w:szCs w:val="20"/>
        </w:rPr>
        <w:t xml:space="preserve">un recuento de lo manifestado por el recurrente, igualmente la </w:t>
      </w:r>
      <w:r w:rsidR="00C61674" w:rsidRPr="0092295B">
        <w:rPr>
          <w:szCs w:val="20"/>
        </w:rPr>
        <w:t xml:space="preserve">CNJP </w:t>
      </w:r>
      <w:r w:rsidRPr="0092295B">
        <w:rPr>
          <w:szCs w:val="20"/>
        </w:rPr>
        <w:t xml:space="preserve">se limitó a expresar lo siguiente: “por ser ese el estado de la causa, el Tribunal considera que sin que sea necesario realizar ningún otro análisis y menos </w:t>
      </w:r>
      <w:r w:rsidR="00185E24">
        <w:rPr>
          <w:szCs w:val="20"/>
        </w:rPr>
        <w:t xml:space="preserve">aún </w:t>
      </w:r>
      <w:r w:rsidRPr="0092295B">
        <w:rPr>
          <w:szCs w:val="20"/>
        </w:rPr>
        <w:t>entrar a examinar pruebas practicadas dentro de la audiencia correspondiente, la petición de amparo de libertad solicitada […] deviene improcedente y consecuentemente se le niega”.</w:t>
      </w:r>
      <w:r w:rsidRPr="00185E24">
        <w:rPr>
          <w:szCs w:val="20"/>
        </w:rPr>
        <w:t xml:space="preserve"> </w:t>
      </w:r>
      <w:r w:rsidR="00E16A9E" w:rsidRPr="00185E24">
        <w:rPr>
          <w:szCs w:val="20"/>
        </w:rPr>
        <w:t>En este caso</w:t>
      </w:r>
      <w:r w:rsidR="00F704DA">
        <w:rPr>
          <w:szCs w:val="20"/>
        </w:rPr>
        <w:t>,</w:t>
      </w:r>
      <w:r w:rsidR="00E16A9E" w:rsidRPr="00185E24">
        <w:rPr>
          <w:szCs w:val="20"/>
        </w:rPr>
        <w:t xml:space="preserve"> </w:t>
      </w:r>
      <w:r w:rsidRPr="00FA72AF">
        <w:rPr>
          <w:rFonts w:cs="Times New Roman"/>
          <w:szCs w:val="20"/>
          <w:lang w:val="es-CR"/>
        </w:rPr>
        <w:t xml:space="preserve">la </w:t>
      </w:r>
      <w:r w:rsidR="00C61674" w:rsidRPr="00185E24">
        <w:rPr>
          <w:szCs w:val="20"/>
        </w:rPr>
        <w:t>CNJP</w:t>
      </w:r>
      <w:r w:rsidR="00C61674" w:rsidRPr="00FA72AF">
        <w:rPr>
          <w:rFonts w:cs="Times New Roman"/>
          <w:szCs w:val="20"/>
          <w:lang w:val="es-CR"/>
        </w:rPr>
        <w:t xml:space="preserve"> </w:t>
      </w:r>
      <w:r w:rsidRPr="00FA72AF">
        <w:rPr>
          <w:rFonts w:cs="Times New Roman"/>
          <w:szCs w:val="20"/>
          <w:lang w:val="es-CR"/>
        </w:rPr>
        <w:t xml:space="preserve">tampoco se pronunció sobre el fondo de la cuestión, relativa a la legalidad o no de la detención, ni sobre el mantenimiento de la medida. </w:t>
      </w:r>
    </w:p>
    <w:p w14:paraId="1B4FFC8D" w14:textId="77777777" w:rsidR="00134949" w:rsidRPr="0092295B" w:rsidRDefault="00134949" w:rsidP="00017D3B">
      <w:pPr>
        <w:pStyle w:val="Prrafodelista"/>
        <w:ind w:left="0"/>
        <w:rPr>
          <w:szCs w:val="20"/>
        </w:rPr>
      </w:pPr>
    </w:p>
    <w:p w14:paraId="66987F7E" w14:textId="0D4C4FFC" w:rsidR="00134949" w:rsidRPr="00FF2C9F" w:rsidRDefault="00134949" w:rsidP="00CF2D2A">
      <w:pPr>
        <w:pStyle w:val="Prrafodelista"/>
        <w:numPr>
          <w:ilvl w:val="0"/>
          <w:numId w:val="29"/>
        </w:numPr>
        <w:spacing w:before="0" w:after="0"/>
        <w:ind w:left="0" w:right="90" w:firstLine="0"/>
        <w:rPr>
          <w:szCs w:val="20"/>
        </w:rPr>
      </w:pPr>
      <w:r w:rsidRPr="0092295B">
        <w:rPr>
          <w:szCs w:val="20"/>
        </w:rPr>
        <w:t>De lo expuesto, este Tribunal considera que en el presente caso los recursos de amparo</w:t>
      </w:r>
      <w:r w:rsidR="00362009" w:rsidRPr="0092295B">
        <w:rPr>
          <w:szCs w:val="20"/>
        </w:rPr>
        <w:t xml:space="preserve"> de libertad</w:t>
      </w:r>
      <w:r w:rsidR="00AF2F71" w:rsidRPr="0092295B">
        <w:rPr>
          <w:szCs w:val="20"/>
        </w:rPr>
        <w:t xml:space="preserve"> presentados</w:t>
      </w:r>
      <w:r w:rsidRPr="0092295B">
        <w:rPr>
          <w:szCs w:val="20"/>
        </w:rPr>
        <w:t xml:space="preserve"> no fueron</w:t>
      </w:r>
      <w:r w:rsidRPr="0092295B">
        <w:rPr>
          <w:szCs w:val="20"/>
          <w:lang w:val="es-CR"/>
        </w:rPr>
        <w:t xml:space="preserve"> idóneos ni efectivos, pues no cumplieron con el objetivo de obtener sin demora una decisión sobre la legalidad de la detención</w:t>
      </w:r>
      <w:r w:rsidR="006109B1">
        <w:rPr>
          <w:szCs w:val="20"/>
          <w:lang w:val="es-CR"/>
        </w:rPr>
        <w:t>. Esto en razón de</w:t>
      </w:r>
      <w:r w:rsidRPr="0092295B">
        <w:rPr>
          <w:szCs w:val="20"/>
          <w:lang w:val="es-CR"/>
        </w:rPr>
        <w:t xml:space="preserve"> que la </w:t>
      </w:r>
      <w:r w:rsidR="00C61674" w:rsidRPr="0092295B">
        <w:rPr>
          <w:szCs w:val="20"/>
        </w:rPr>
        <w:t>CNJP</w:t>
      </w:r>
      <w:r w:rsidRPr="0092295B">
        <w:rPr>
          <w:szCs w:val="20"/>
          <w:lang w:val="es-CR"/>
        </w:rPr>
        <w:t xml:space="preserve"> no realizó un control de la legalidad de la detención ni decretó su libertad, amparada en que un pronunciamiento al respecto</w:t>
      </w:r>
      <w:r w:rsidR="003D6F82">
        <w:rPr>
          <w:szCs w:val="20"/>
          <w:lang w:val="es-CR"/>
        </w:rPr>
        <w:t>,</w:t>
      </w:r>
      <w:r w:rsidRPr="0092295B">
        <w:rPr>
          <w:szCs w:val="20"/>
          <w:lang w:val="es-CR"/>
        </w:rPr>
        <w:t xml:space="preserve"> </w:t>
      </w:r>
      <w:r w:rsidR="00362009" w:rsidRPr="0092295B">
        <w:rPr>
          <w:szCs w:val="20"/>
          <w:lang w:val="es-CR"/>
        </w:rPr>
        <w:t xml:space="preserve">podría </w:t>
      </w:r>
      <w:r w:rsidRPr="0092295B">
        <w:rPr>
          <w:szCs w:val="20"/>
          <w:lang w:val="es-CR"/>
        </w:rPr>
        <w:t>significar una anticipación de criterio sobre el asunto principal de la causa</w:t>
      </w:r>
      <w:r w:rsidR="00362009" w:rsidRPr="0092295B">
        <w:rPr>
          <w:szCs w:val="20"/>
          <w:lang w:val="es-CR"/>
        </w:rPr>
        <w:t>,</w:t>
      </w:r>
      <w:r w:rsidR="003D6F82">
        <w:rPr>
          <w:szCs w:val="20"/>
          <w:lang w:val="es-CR"/>
        </w:rPr>
        <w:t xml:space="preserve"> </w:t>
      </w:r>
      <w:r w:rsidR="003D6F82" w:rsidRPr="00FF2C9F">
        <w:rPr>
          <w:szCs w:val="20"/>
          <w:lang w:val="es-CR"/>
        </w:rPr>
        <w:t>relacionado con</w:t>
      </w:r>
      <w:r w:rsidR="00362009" w:rsidRPr="00FF2C9F">
        <w:rPr>
          <w:szCs w:val="20"/>
          <w:lang w:val="es-CR"/>
        </w:rPr>
        <w:t xml:space="preserve"> los recursos de nulidad y apelación </w:t>
      </w:r>
      <w:r w:rsidR="00A511C3">
        <w:rPr>
          <w:szCs w:val="20"/>
          <w:lang w:val="es-CR"/>
        </w:rPr>
        <w:t xml:space="preserve">interpuestos </w:t>
      </w:r>
      <w:r w:rsidR="00A511C3" w:rsidRPr="00FF2C9F">
        <w:rPr>
          <w:szCs w:val="20"/>
          <w:lang w:val="es-CR"/>
        </w:rPr>
        <w:t>con anterioridad</w:t>
      </w:r>
      <w:r w:rsidR="00A511C3">
        <w:rPr>
          <w:szCs w:val="20"/>
          <w:lang w:val="es-CR"/>
        </w:rPr>
        <w:t xml:space="preserve"> </w:t>
      </w:r>
      <w:r w:rsidR="00C15DD9" w:rsidRPr="00CE7748">
        <w:rPr>
          <w:szCs w:val="20"/>
          <w:lang w:val="es-CR"/>
        </w:rPr>
        <w:t xml:space="preserve">contra </w:t>
      </w:r>
      <w:r w:rsidR="00C15DD9" w:rsidRPr="00CE7748">
        <w:rPr>
          <w:lang w:val="es-CR"/>
        </w:rPr>
        <w:t>el auto de 26 de mayo de 2003</w:t>
      </w:r>
      <w:r w:rsidR="00C15DD9" w:rsidRPr="00FF2C9F">
        <w:rPr>
          <w:szCs w:val="20"/>
          <w:lang w:val="es-CR"/>
        </w:rPr>
        <w:t xml:space="preserve"> </w:t>
      </w:r>
      <w:r w:rsidR="00362009" w:rsidRPr="00FF2C9F">
        <w:rPr>
          <w:szCs w:val="20"/>
          <w:lang w:val="es-CR"/>
        </w:rPr>
        <w:t>por las presuntas víctimas</w:t>
      </w:r>
      <w:r w:rsidRPr="00FF2C9F">
        <w:rPr>
          <w:szCs w:val="20"/>
          <w:lang w:val="es-CR"/>
        </w:rPr>
        <w:t>.</w:t>
      </w:r>
    </w:p>
    <w:p w14:paraId="035FEF8D" w14:textId="77777777" w:rsidR="00134949" w:rsidRPr="0092295B" w:rsidRDefault="00134949" w:rsidP="0067505B">
      <w:pPr>
        <w:spacing w:before="0" w:after="0"/>
        <w:ind w:right="90"/>
        <w:rPr>
          <w:szCs w:val="20"/>
        </w:rPr>
      </w:pPr>
    </w:p>
    <w:p w14:paraId="1275A17C" w14:textId="23397AD8" w:rsidR="00134949" w:rsidRPr="0092295B" w:rsidRDefault="00134949" w:rsidP="00CF2D2A">
      <w:pPr>
        <w:pStyle w:val="Prrafodelista"/>
        <w:numPr>
          <w:ilvl w:val="0"/>
          <w:numId w:val="29"/>
        </w:numPr>
        <w:spacing w:before="0" w:after="0"/>
        <w:ind w:left="0" w:firstLine="0"/>
        <w:rPr>
          <w:szCs w:val="20"/>
          <w:lang w:val="es-CR"/>
        </w:rPr>
      </w:pPr>
      <w:r w:rsidRPr="0092295B">
        <w:rPr>
          <w:szCs w:val="20"/>
          <w:lang w:val="es-CR"/>
        </w:rPr>
        <w:t>En razón que en el presente caso no se cuenta con la fecha</w:t>
      </w:r>
      <w:r w:rsidR="0003205A" w:rsidRPr="0092295B">
        <w:rPr>
          <w:szCs w:val="20"/>
          <w:lang w:val="es-CR"/>
        </w:rPr>
        <w:t xml:space="preserve"> de presentación de </w:t>
      </w:r>
      <w:r w:rsidRPr="0092295B">
        <w:rPr>
          <w:szCs w:val="20"/>
          <w:lang w:val="es-CR"/>
        </w:rPr>
        <w:t xml:space="preserve">los recursos de amparo de libertad, la Corte no se pronunciará sobre el tiempo que la </w:t>
      </w:r>
      <w:r w:rsidR="00C61674" w:rsidRPr="0092295B">
        <w:rPr>
          <w:szCs w:val="20"/>
        </w:rPr>
        <w:t>CNJP</w:t>
      </w:r>
      <w:r w:rsidR="00C61674" w:rsidRPr="0092295B">
        <w:rPr>
          <w:szCs w:val="20"/>
          <w:lang w:val="es-CR"/>
        </w:rPr>
        <w:t xml:space="preserve"> </w:t>
      </w:r>
      <w:r w:rsidRPr="0092295B">
        <w:rPr>
          <w:szCs w:val="20"/>
          <w:lang w:val="es-CR"/>
        </w:rPr>
        <w:t>demoró en resolver los recursos, para determinar si se ajustó o no al término “sin demora” contenido en el artículo 7.6 de la Convención.</w:t>
      </w:r>
    </w:p>
    <w:p w14:paraId="45C0BA6F" w14:textId="77777777" w:rsidR="00134949" w:rsidRPr="0092295B" w:rsidRDefault="00134949" w:rsidP="0067505B">
      <w:pPr>
        <w:spacing w:before="0" w:after="0"/>
        <w:rPr>
          <w:szCs w:val="20"/>
          <w:lang w:val="es-CR"/>
        </w:rPr>
      </w:pPr>
    </w:p>
    <w:p w14:paraId="0DBD0A7F" w14:textId="7DC7B415" w:rsidR="00134949" w:rsidRPr="006109B1" w:rsidRDefault="00134949" w:rsidP="00CF2D2A">
      <w:pPr>
        <w:pStyle w:val="Prrafodelista"/>
        <w:numPr>
          <w:ilvl w:val="0"/>
          <w:numId w:val="29"/>
        </w:numPr>
        <w:spacing w:before="0" w:after="0"/>
        <w:ind w:left="0" w:firstLine="0"/>
        <w:rPr>
          <w:szCs w:val="20"/>
          <w:lang w:val="es-CR"/>
        </w:rPr>
      </w:pPr>
      <w:r w:rsidRPr="006109B1">
        <w:rPr>
          <w:szCs w:val="20"/>
          <w:lang w:val="es-CR"/>
        </w:rPr>
        <w:t>Por lo anterior, e</w:t>
      </w:r>
      <w:r w:rsidR="00C15DD9">
        <w:rPr>
          <w:szCs w:val="20"/>
          <w:lang w:val="es-CR"/>
        </w:rPr>
        <w:t>ste</w:t>
      </w:r>
      <w:r w:rsidRPr="006109B1">
        <w:rPr>
          <w:szCs w:val="20"/>
          <w:lang w:val="es-CR"/>
        </w:rPr>
        <w:t xml:space="preserve"> Tribunal considera que el Estado violó </w:t>
      </w:r>
      <w:r w:rsidR="00362009" w:rsidRPr="006109B1">
        <w:rPr>
          <w:szCs w:val="20"/>
          <w:lang w:val="es-CR"/>
        </w:rPr>
        <w:t>el derecho a la libertad per</w:t>
      </w:r>
      <w:r w:rsidR="00362009" w:rsidRPr="00FC7FE9">
        <w:rPr>
          <w:szCs w:val="20"/>
          <w:lang w:val="es-CR"/>
        </w:rPr>
        <w:t xml:space="preserve">sonal consagrado en </w:t>
      </w:r>
      <w:r w:rsidR="00445DEE" w:rsidRPr="00FC7FE9">
        <w:rPr>
          <w:szCs w:val="20"/>
          <w:lang w:val="es-CR"/>
        </w:rPr>
        <w:t>los</w:t>
      </w:r>
      <w:r w:rsidRPr="00FC7FE9">
        <w:rPr>
          <w:szCs w:val="20"/>
          <w:lang w:val="es-CR"/>
        </w:rPr>
        <w:t xml:space="preserve"> artículo</w:t>
      </w:r>
      <w:r w:rsidR="00445DEE" w:rsidRPr="008A472E">
        <w:rPr>
          <w:szCs w:val="20"/>
          <w:lang w:val="es-CR"/>
        </w:rPr>
        <w:t>s 7.1 y</w:t>
      </w:r>
      <w:r w:rsidRPr="008A472E">
        <w:rPr>
          <w:szCs w:val="20"/>
          <w:lang w:val="es-CR"/>
        </w:rPr>
        <w:t xml:space="preserve"> 7.6 de la Convención</w:t>
      </w:r>
      <w:r w:rsidR="00362009" w:rsidRPr="008A472E">
        <w:rPr>
          <w:szCs w:val="20"/>
          <w:lang w:val="es-CR"/>
        </w:rPr>
        <w:t xml:space="preserve"> Americana, en relación con el artículo 1.1 de la </w:t>
      </w:r>
      <w:r w:rsidR="00F704DA">
        <w:rPr>
          <w:szCs w:val="20"/>
          <w:lang w:val="es-CR"/>
        </w:rPr>
        <w:t>misma</w:t>
      </w:r>
      <w:r w:rsidRPr="008A472E">
        <w:rPr>
          <w:szCs w:val="20"/>
          <w:lang w:val="es-CR"/>
        </w:rPr>
        <w:t xml:space="preserve">, en perjuicio </w:t>
      </w:r>
      <w:r w:rsidRPr="00FA72AF">
        <w:rPr>
          <w:rFonts w:cs="Times New Roman"/>
          <w:szCs w:val="20"/>
          <w:lang w:val="es-CR"/>
        </w:rPr>
        <w:t>de l</w:t>
      </w:r>
      <w:r w:rsidR="00445DEE" w:rsidRPr="00FA72AF">
        <w:rPr>
          <w:rFonts w:cs="Times New Roman"/>
          <w:szCs w:val="20"/>
          <w:lang w:val="es-CR"/>
        </w:rPr>
        <w:t>os señores Villarroel Merino, Ce</w:t>
      </w:r>
      <w:r w:rsidRPr="00FA72AF">
        <w:rPr>
          <w:rFonts w:cs="Times New Roman"/>
          <w:szCs w:val="20"/>
          <w:lang w:val="es-CR"/>
        </w:rPr>
        <w:t>vallos Moreno, Coloma Gaibor, Vinueza Pánchez, López Ortiz y A</w:t>
      </w:r>
      <w:r w:rsidR="00660BC9" w:rsidRPr="00FA72AF">
        <w:rPr>
          <w:rFonts w:cs="Times New Roman"/>
          <w:szCs w:val="20"/>
          <w:lang w:val="es-CR"/>
        </w:rPr>
        <w:t>s</w:t>
      </w:r>
      <w:r w:rsidRPr="00FA72AF">
        <w:rPr>
          <w:rFonts w:cs="Times New Roman"/>
          <w:szCs w:val="20"/>
          <w:lang w:val="es-CR"/>
        </w:rPr>
        <w:t>cázubi</w:t>
      </w:r>
      <w:r w:rsidRPr="006109B1">
        <w:rPr>
          <w:szCs w:val="20"/>
          <w:lang w:val="es-CR"/>
        </w:rPr>
        <w:t xml:space="preserve"> </w:t>
      </w:r>
      <w:r w:rsidRPr="006109B1">
        <w:rPr>
          <w:rFonts w:cs="Times New Roman"/>
          <w:szCs w:val="20"/>
          <w:lang w:val="es-CR"/>
        </w:rPr>
        <w:t>Albán</w:t>
      </w:r>
      <w:r w:rsidRPr="006109B1">
        <w:rPr>
          <w:szCs w:val="20"/>
          <w:lang w:val="es-CR"/>
        </w:rPr>
        <w:t>.</w:t>
      </w:r>
    </w:p>
    <w:p w14:paraId="28485945" w14:textId="50166265" w:rsidR="00134949" w:rsidRPr="00ED2790" w:rsidRDefault="00F64244" w:rsidP="00ED2790">
      <w:pPr>
        <w:pStyle w:val="Ttulo3"/>
        <w:rPr>
          <w:i/>
        </w:rPr>
      </w:pPr>
      <w:bookmarkStart w:id="117" w:name="_Toc87339025"/>
      <w:r w:rsidRPr="00ED2790">
        <w:rPr>
          <w:i/>
        </w:rPr>
        <w:t>E</w:t>
      </w:r>
      <w:r w:rsidR="006157AA" w:rsidRPr="00ED2790">
        <w:rPr>
          <w:i/>
        </w:rPr>
        <w:t>.1</w:t>
      </w:r>
      <w:r w:rsidR="00134949" w:rsidRPr="00ED2790">
        <w:rPr>
          <w:i/>
        </w:rPr>
        <w:t xml:space="preserve"> Conclusión</w:t>
      </w:r>
      <w:bookmarkEnd w:id="117"/>
    </w:p>
    <w:p w14:paraId="133CF9FB" w14:textId="6AB45722" w:rsidR="00E17F29" w:rsidRPr="0092295B" w:rsidRDefault="00134949" w:rsidP="00276ECB">
      <w:pPr>
        <w:pStyle w:val="Prrafodelista"/>
        <w:numPr>
          <w:ilvl w:val="0"/>
          <w:numId w:val="29"/>
        </w:numPr>
        <w:ind w:left="0" w:firstLine="0"/>
        <w:rPr>
          <w:rFonts w:cs="Times New Roman"/>
          <w:szCs w:val="20"/>
          <w:lang w:val="es-CR"/>
        </w:rPr>
      </w:pPr>
      <w:r w:rsidRPr="0092295B">
        <w:rPr>
          <w:szCs w:val="20"/>
          <w:lang w:val="es-CR"/>
        </w:rPr>
        <w:t xml:space="preserve">La Corte concluye que </w:t>
      </w:r>
      <w:r w:rsidRPr="0092295B">
        <w:rPr>
          <w:szCs w:val="20"/>
        </w:rPr>
        <w:t>los recursos de amparo interpuestos no fueron</w:t>
      </w:r>
      <w:r w:rsidRPr="0092295B">
        <w:rPr>
          <w:szCs w:val="20"/>
          <w:lang w:val="es-CR"/>
        </w:rPr>
        <w:t xml:space="preserve"> idóneos ni efectivos </w:t>
      </w:r>
      <w:r w:rsidRPr="00CE7748">
        <w:rPr>
          <w:szCs w:val="20"/>
          <w:lang w:val="es-CR"/>
        </w:rPr>
        <w:t xml:space="preserve">para </w:t>
      </w:r>
      <w:r w:rsidR="00F173F0" w:rsidRPr="00CE7748">
        <w:rPr>
          <w:szCs w:val="20"/>
          <w:lang w:val="es-CR"/>
        </w:rPr>
        <w:t>controlar la legalidad de la privación de la libertad</w:t>
      </w:r>
      <w:r w:rsidR="00F173F0" w:rsidRPr="0092295B">
        <w:rPr>
          <w:szCs w:val="20"/>
          <w:lang w:val="es-CR"/>
        </w:rPr>
        <w:t xml:space="preserve"> </w:t>
      </w:r>
      <w:r w:rsidRPr="0092295B">
        <w:rPr>
          <w:szCs w:val="20"/>
          <w:lang w:val="es-CR"/>
        </w:rPr>
        <w:t xml:space="preserve">de las presuntas víctimas, por lo que </w:t>
      </w:r>
      <w:r w:rsidR="00362009" w:rsidRPr="0092295B">
        <w:rPr>
          <w:szCs w:val="20"/>
          <w:lang w:val="es-CR"/>
        </w:rPr>
        <w:t xml:space="preserve">el Estado violó </w:t>
      </w:r>
      <w:r w:rsidR="00445DEE" w:rsidRPr="0092295B">
        <w:rPr>
          <w:szCs w:val="20"/>
          <w:lang w:val="es-CR"/>
        </w:rPr>
        <w:t xml:space="preserve">el </w:t>
      </w:r>
      <w:r w:rsidR="00362009" w:rsidRPr="0092295B">
        <w:rPr>
          <w:szCs w:val="20"/>
          <w:lang w:val="es-CR"/>
        </w:rPr>
        <w:t>derecho</w:t>
      </w:r>
      <w:r w:rsidR="00445DEE" w:rsidRPr="0092295B">
        <w:rPr>
          <w:szCs w:val="20"/>
          <w:lang w:val="es-CR"/>
        </w:rPr>
        <w:t xml:space="preserve"> a</w:t>
      </w:r>
      <w:r w:rsidRPr="0092295B">
        <w:rPr>
          <w:szCs w:val="20"/>
          <w:lang w:val="es-CR"/>
        </w:rPr>
        <w:t xml:space="preserve"> la libertad personal establecido en </w:t>
      </w:r>
      <w:r w:rsidR="00445DEE" w:rsidRPr="006109B1">
        <w:rPr>
          <w:szCs w:val="20"/>
          <w:lang w:val="es-CR"/>
        </w:rPr>
        <w:t>los</w:t>
      </w:r>
      <w:r w:rsidRPr="006109B1">
        <w:rPr>
          <w:szCs w:val="20"/>
          <w:lang w:val="es-CR"/>
        </w:rPr>
        <w:t xml:space="preserve"> artículo</w:t>
      </w:r>
      <w:r w:rsidR="00445DEE" w:rsidRPr="006109B1">
        <w:rPr>
          <w:szCs w:val="20"/>
          <w:lang w:val="es-CR"/>
        </w:rPr>
        <w:t>s</w:t>
      </w:r>
      <w:r w:rsidRPr="006109B1">
        <w:rPr>
          <w:szCs w:val="20"/>
          <w:lang w:val="es-CR"/>
        </w:rPr>
        <w:t xml:space="preserve"> 7.1 y 7.6 de la Convención Americana, en relación con el artículo 1.1 de la misma, en perjuicio </w:t>
      </w:r>
      <w:r w:rsidRPr="00FA72AF">
        <w:rPr>
          <w:rFonts w:cs="Times New Roman"/>
          <w:szCs w:val="20"/>
          <w:lang w:val="es-CR"/>
        </w:rPr>
        <w:t>de los señores Villar</w:t>
      </w:r>
      <w:r w:rsidR="00445DEE" w:rsidRPr="00FA72AF">
        <w:rPr>
          <w:rFonts w:cs="Times New Roman"/>
          <w:szCs w:val="20"/>
          <w:lang w:val="es-CR"/>
        </w:rPr>
        <w:t>roel Merino, Ce</w:t>
      </w:r>
      <w:r w:rsidRPr="00FA72AF">
        <w:rPr>
          <w:rFonts w:cs="Times New Roman"/>
          <w:szCs w:val="20"/>
          <w:lang w:val="es-CR"/>
        </w:rPr>
        <w:t>vallos Moreno, Coloma Gaibor, Vinueza Pánchez, López Ortiz y A</w:t>
      </w:r>
      <w:r w:rsidR="00660BC9" w:rsidRPr="00FA72AF">
        <w:rPr>
          <w:rFonts w:cs="Times New Roman"/>
          <w:szCs w:val="20"/>
          <w:lang w:val="es-CR"/>
        </w:rPr>
        <w:t>s</w:t>
      </w:r>
      <w:r w:rsidRPr="00FA72AF">
        <w:rPr>
          <w:rFonts w:cs="Times New Roman"/>
          <w:szCs w:val="20"/>
          <w:lang w:val="es-CR"/>
        </w:rPr>
        <w:t>cázubi</w:t>
      </w:r>
      <w:r w:rsidRPr="006109B1">
        <w:rPr>
          <w:szCs w:val="20"/>
          <w:lang w:val="es-CR"/>
        </w:rPr>
        <w:t xml:space="preserve"> </w:t>
      </w:r>
      <w:r w:rsidRPr="006109B1">
        <w:rPr>
          <w:rFonts w:cs="Times New Roman"/>
          <w:szCs w:val="20"/>
          <w:lang w:val="es-CR"/>
        </w:rPr>
        <w:t>Albán</w:t>
      </w:r>
      <w:r w:rsidR="00445DEE" w:rsidRPr="006109B1">
        <w:rPr>
          <w:rFonts w:cs="Times New Roman"/>
          <w:szCs w:val="20"/>
          <w:lang w:val="es-CR"/>
        </w:rPr>
        <w:t>.</w:t>
      </w:r>
    </w:p>
    <w:p w14:paraId="688C569A" w14:textId="77777777" w:rsidR="00D200CE" w:rsidRPr="0092295B" w:rsidRDefault="00D200CE" w:rsidP="002A4049">
      <w:pPr>
        <w:spacing w:before="0" w:after="0"/>
        <w:ind w:left="720"/>
        <w:jc w:val="center"/>
        <w:outlineLvl w:val="1"/>
        <w:rPr>
          <w:b/>
          <w:szCs w:val="20"/>
          <w:lang w:val="es-CR"/>
        </w:rPr>
      </w:pPr>
    </w:p>
    <w:p w14:paraId="260550A2" w14:textId="6AF2449C" w:rsidR="00BF3574" w:rsidRPr="0092295B" w:rsidRDefault="003D5664" w:rsidP="00ED2790">
      <w:pPr>
        <w:pStyle w:val="Ttulo1"/>
        <w:spacing w:before="0" w:after="0"/>
        <w:rPr>
          <w:lang w:val="es-CR"/>
        </w:rPr>
      </w:pPr>
      <w:bookmarkStart w:id="118" w:name="_Toc80775526"/>
      <w:bookmarkStart w:id="119" w:name="_Toc87339026"/>
      <w:r w:rsidRPr="0092295B">
        <w:rPr>
          <w:lang w:val="es-CR"/>
        </w:rPr>
        <w:t>VII</w:t>
      </w:r>
      <w:r w:rsidR="00767169">
        <w:rPr>
          <w:lang w:val="es-CR"/>
        </w:rPr>
        <w:t>-</w:t>
      </w:r>
      <w:r w:rsidRPr="0092295B">
        <w:rPr>
          <w:lang w:val="es-CR"/>
        </w:rPr>
        <w:t>2</w:t>
      </w:r>
      <w:bookmarkEnd w:id="118"/>
      <w:bookmarkEnd w:id="119"/>
    </w:p>
    <w:p w14:paraId="02B32843" w14:textId="75430132" w:rsidR="00BF3574" w:rsidRPr="0092295B" w:rsidRDefault="00514EAF" w:rsidP="00ED2790">
      <w:pPr>
        <w:pStyle w:val="Ttulo1"/>
        <w:spacing w:before="0" w:after="0"/>
        <w:rPr>
          <w:lang w:val="es-CR"/>
        </w:rPr>
      </w:pPr>
      <w:bookmarkStart w:id="120" w:name="_Toc80775527"/>
      <w:bookmarkStart w:id="121" w:name="_Toc86996774"/>
      <w:bookmarkStart w:id="122" w:name="_Toc87339027"/>
      <w:r w:rsidRPr="0092295B">
        <w:rPr>
          <w:lang w:val="es-CR"/>
        </w:rPr>
        <w:t>G</w:t>
      </w:r>
      <w:r w:rsidR="008A4849" w:rsidRPr="0092295B">
        <w:rPr>
          <w:lang w:val="es-CR"/>
        </w:rPr>
        <w:t>ARANTÍAS JUDICIALES</w:t>
      </w:r>
      <w:r w:rsidR="002311E5" w:rsidRPr="0092295B">
        <w:rPr>
          <w:lang w:val="es-CR"/>
        </w:rPr>
        <w:t>,</w:t>
      </w:r>
      <w:bookmarkStart w:id="123" w:name="_Toc74898350"/>
      <w:bookmarkEnd w:id="120"/>
      <w:r w:rsidR="002123BD">
        <w:rPr>
          <w:lang w:val="es-CR"/>
        </w:rPr>
        <w:t xml:space="preserve"> </w:t>
      </w:r>
      <w:r w:rsidR="00767169">
        <w:rPr>
          <w:lang w:val="es-CR"/>
        </w:rPr>
        <w:t>EN RELACIÓN CON</w:t>
      </w:r>
      <w:bookmarkEnd w:id="121"/>
      <w:bookmarkEnd w:id="122"/>
      <w:r w:rsidR="00767169">
        <w:rPr>
          <w:lang w:val="es-CR"/>
        </w:rPr>
        <w:t xml:space="preserve"> </w:t>
      </w:r>
    </w:p>
    <w:p w14:paraId="6002D035" w14:textId="4C71C20D" w:rsidR="00AA7476" w:rsidRDefault="00055454" w:rsidP="00ED2790">
      <w:pPr>
        <w:pStyle w:val="Ttulo1"/>
        <w:spacing w:before="0" w:after="0"/>
        <w:rPr>
          <w:szCs w:val="20"/>
          <w:lang w:val="es-CR"/>
        </w:rPr>
      </w:pPr>
      <w:bookmarkStart w:id="124" w:name="_Toc86996775"/>
      <w:bookmarkStart w:id="125" w:name="_Toc87339028"/>
      <w:r>
        <w:rPr>
          <w:szCs w:val="20"/>
          <w:lang w:val="es-CR"/>
        </w:rPr>
        <w:t>LAS OBLIGACIONES DE RESPETAR Y GARANTIZAR LOS DERECHOS</w:t>
      </w:r>
      <w:bookmarkEnd w:id="124"/>
      <w:bookmarkEnd w:id="125"/>
    </w:p>
    <w:p w14:paraId="59082911" w14:textId="77777777" w:rsidR="00767169" w:rsidRDefault="00055454" w:rsidP="00242B07">
      <w:pPr>
        <w:pStyle w:val="Ttulo1"/>
        <w:spacing w:before="0" w:after="0"/>
        <w:rPr>
          <w:szCs w:val="20"/>
          <w:lang w:val="es-CR"/>
        </w:rPr>
      </w:pPr>
      <w:r>
        <w:rPr>
          <w:szCs w:val="20"/>
          <w:lang w:val="es-CR"/>
        </w:rPr>
        <w:t xml:space="preserve"> </w:t>
      </w:r>
      <w:bookmarkStart w:id="126" w:name="_Toc86996776"/>
      <w:bookmarkStart w:id="127" w:name="_Toc87339029"/>
      <w:r>
        <w:rPr>
          <w:szCs w:val="20"/>
          <w:lang w:val="es-CR"/>
        </w:rPr>
        <w:t>y El DEBER DE ADOPTAR DISPOSICIONES DE DERECHO INTERNO</w:t>
      </w:r>
      <w:bookmarkEnd w:id="126"/>
      <w:bookmarkEnd w:id="127"/>
    </w:p>
    <w:p w14:paraId="0EB4EA92" w14:textId="23B45AB2" w:rsidR="00D22BC7" w:rsidRPr="00ED2790" w:rsidRDefault="00055454" w:rsidP="00242B07">
      <w:pPr>
        <w:pStyle w:val="Ttulo1"/>
        <w:spacing w:before="0" w:after="0"/>
        <w:rPr>
          <w:lang w:val="es-CR"/>
        </w:rPr>
      </w:pPr>
      <w:r>
        <w:rPr>
          <w:szCs w:val="20"/>
          <w:lang w:val="es-CR"/>
        </w:rPr>
        <w:t xml:space="preserve"> </w:t>
      </w:r>
      <w:bookmarkStart w:id="128" w:name="_Toc86996777"/>
      <w:bookmarkStart w:id="129" w:name="_Toc87339030"/>
      <w:r w:rsidRPr="0092295B">
        <w:rPr>
          <w:szCs w:val="20"/>
          <w:lang w:val="es-CR"/>
        </w:rPr>
        <w:t>DE LA CONVENCIÓN</w:t>
      </w:r>
      <w:r w:rsidRPr="0043534A">
        <w:rPr>
          <w:szCs w:val="20"/>
          <w:lang w:val="es-CR"/>
        </w:rPr>
        <w:t xml:space="preserve"> </w:t>
      </w:r>
      <w:r w:rsidRPr="0092295B">
        <w:rPr>
          <w:szCs w:val="20"/>
          <w:lang w:val="es-CR"/>
        </w:rPr>
        <w:t>AMERICANA</w:t>
      </w:r>
      <w:r w:rsidR="003D5664" w:rsidRPr="0092295B">
        <w:rPr>
          <w:rStyle w:val="Refdenotaalpie"/>
          <w:b w:val="0"/>
          <w:lang w:val="es-CR"/>
        </w:rPr>
        <w:footnoteReference w:id="132"/>
      </w:r>
      <w:bookmarkEnd w:id="123"/>
      <w:bookmarkEnd w:id="128"/>
      <w:bookmarkEnd w:id="129"/>
    </w:p>
    <w:p w14:paraId="032F43A0" w14:textId="111EEE77" w:rsidR="005D6E7F" w:rsidRPr="00ED2790" w:rsidRDefault="005D6E7F" w:rsidP="00ED2790">
      <w:pPr>
        <w:pStyle w:val="Ttulo2"/>
        <w:numPr>
          <w:ilvl w:val="0"/>
          <w:numId w:val="34"/>
        </w:numPr>
        <w:rPr>
          <w:i w:val="0"/>
          <w:szCs w:val="28"/>
          <w:lang w:val="es-ES"/>
        </w:rPr>
      </w:pPr>
      <w:bookmarkStart w:id="130" w:name="_Toc87339031"/>
      <w:bookmarkEnd w:id="97"/>
      <w:r w:rsidRPr="00ED2790">
        <w:rPr>
          <w:i w:val="0"/>
          <w:lang w:val="es-ES"/>
        </w:rPr>
        <w:t>Garantías Judiciales</w:t>
      </w:r>
      <w:bookmarkEnd w:id="130"/>
    </w:p>
    <w:p w14:paraId="3467A426" w14:textId="4BFBA4BA" w:rsidR="001F15ED" w:rsidRPr="0092295B" w:rsidRDefault="00445DEE" w:rsidP="00276ECB">
      <w:pPr>
        <w:pStyle w:val="Prrafodelista"/>
        <w:numPr>
          <w:ilvl w:val="0"/>
          <w:numId w:val="29"/>
        </w:numPr>
        <w:tabs>
          <w:tab w:val="left" w:pos="720"/>
        </w:tabs>
        <w:spacing w:before="0" w:after="0"/>
        <w:ind w:left="0" w:firstLine="0"/>
        <w:rPr>
          <w:b/>
          <w:i/>
          <w:szCs w:val="20"/>
          <w:lang w:val="es-ES"/>
        </w:rPr>
      </w:pPr>
      <w:r w:rsidRPr="0092295B">
        <w:rPr>
          <w:szCs w:val="20"/>
          <w:lang w:val="es-CR"/>
        </w:rPr>
        <w:t>E</w:t>
      </w:r>
      <w:r w:rsidR="00C250D7" w:rsidRPr="0092295B">
        <w:rPr>
          <w:szCs w:val="20"/>
        </w:rPr>
        <w:t>n este capítulo</w:t>
      </w:r>
      <w:r w:rsidR="005E0E47">
        <w:rPr>
          <w:szCs w:val="20"/>
        </w:rPr>
        <w:t>,</w:t>
      </w:r>
      <w:r w:rsidRPr="0092295B">
        <w:rPr>
          <w:szCs w:val="20"/>
        </w:rPr>
        <w:t xml:space="preserve"> la Corte</w:t>
      </w:r>
      <w:r w:rsidR="00FE6737" w:rsidRPr="0092295B">
        <w:rPr>
          <w:szCs w:val="20"/>
        </w:rPr>
        <w:t xml:space="preserve"> examinará </w:t>
      </w:r>
      <w:r w:rsidR="00C250D7" w:rsidRPr="0092295B">
        <w:rPr>
          <w:szCs w:val="20"/>
        </w:rPr>
        <w:t xml:space="preserve">las </w:t>
      </w:r>
      <w:r w:rsidR="00FE6737" w:rsidRPr="0092295B">
        <w:rPr>
          <w:szCs w:val="20"/>
        </w:rPr>
        <w:t>alegadas violaciones a las garantías judiciales</w:t>
      </w:r>
      <w:r w:rsidR="00EE670D" w:rsidRPr="0092295B">
        <w:rPr>
          <w:szCs w:val="20"/>
        </w:rPr>
        <w:t>.</w:t>
      </w:r>
      <w:r w:rsidR="00CE0405" w:rsidRPr="0092295B">
        <w:rPr>
          <w:szCs w:val="20"/>
        </w:rPr>
        <w:t xml:space="preserve"> </w:t>
      </w:r>
      <w:r w:rsidR="002755A9" w:rsidRPr="0092295B">
        <w:rPr>
          <w:szCs w:val="20"/>
        </w:rPr>
        <w:t xml:space="preserve">En primer término, </w:t>
      </w:r>
      <w:r w:rsidR="00BD4155">
        <w:rPr>
          <w:szCs w:val="20"/>
        </w:rPr>
        <w:t>se referirá a</w:t>
      </w:r>
      <w:r w:rsidR="00507DCD" w:rsidRPr="0092295B">
        <w:rPr>
          <w:szCs w:val="20"/>
        </w:rPr>
        <w:t xml:space="preserve"> </w:t>
      </w:r>
      <w:r w:rsidR="00CE0405" w:rsidRPr="0092295B">
        <w:rPr>
          <w:szCs w:val="20"/>
        </w:rPr>
        <w:t xml:space="preserve">la </w:t>
      </w:r>
      <w:r w:rsidR="00CE0405" w:rsidRPr="0092295B">
        <w:rPr>
          <w:szCs w:val="20"/>
          <w:lang w:val="es-CR"/>
        </w:rPr>
        <w:t>falta de información previa y detallada de la acusación a las presuntas víctimas y de tiempo para preparar su defensa</w:t>
      </w:r>
      <w:r w:rsidR="002755A9" w:rsidRPr="0092295B">
        <w:rPr>
          <w:szCs w:val="20"/>
          <w:lang w:val="es-CR"/>
        </w:rPr>
        <w:t xml:space="preserve">, respecto al Informe de la Contraloría elaborado con anterioridad al proceso penal policial. En segundo término, </w:t>
      </w:r>
      <w:r w:rsidR="00BD4155">
        <w:rPr>
          <w:szCs w:val="20"/>
          <w:lang w:val="es-CR"/>
        </w:rPr>
        <w:t xml:space="preserve">analizará </w:t>
      </w:r>
      <w:r w:rsidR="002755A9" w:rsidRPr="0092295B">
        <w:rPr>
          <w:szCs w:val="20"/>
          <w:lang w:val="es-CR"/>
        </w:rPr>
        <w:t>las alegadas violaciones a las garantías judiciales en el proceso penal policial, a saber: a</w:t>
      </w:r>
      <w:r w:rsidR="00CE0405" w:rsidRPr="0092295B">
        <w:rPr>
          <w:szCs w:val="20"/>
          <w:lang w:val="es-CR"/>
        </w:rPr>
        <w:t xml:space="preserve">) la falta de competencia e imparcialidad del </w:t>
      </w:r>
      <w:r w:rsidR="002755A9" w:rsidRPr="0092295B">
        <w:rPr>
          <w:szCs w:val="20"/>
          <w:lang w:val="es-CR"/>
        </w:rPr>
        <w:t>tribunal que conoció del caso</w:t>
      </w:r>
      <w:r w:rsidR="00CB1DFA">
        <w:rPr>
          <w:szCs w:val="20"/>
          <w:lang w:val="es-CR"/>
        </w:rPr>
        <w:t>, y</w:t>
      </w:r>
      <w:r w:rsidR="002755A9" w:rsidRPr="0092295B">
        <w:rPr>
          <w:szCs w:val="20"/>
          <w:lang w:val="es-CR"/>
        </w:rPr>
        <w:t xml:space="preserve"> b</w:t>
      </w:r>
      <w:r w:rsidR="00CE0405" w:rsidRPr="0092295B">
        <w:rPr>
          <w:szCs w:val="20"/>
          <w:lang w:val="es-CR"/>
        </w:rPr>
        <w:t>)</w:t>
      </w:r>
      <w:r w:rsidR="00DF0346" w:rsidRPr="0092295B">
        <w:rPr>
          <w:szCs w:val="20"/>
          <w:lang w:val="es-CR"/>
        </w:rPr>
        <w:t xml:space="preserve"> </w:t>
      </w:r>
      <w:r w:rsidR="00CE0405" w:rsidRPr="0092295B">
        <w:rPr>
          <w:szCs w:val="20"/>
          <w:lang w:val="es-CR"/>
        </w:rPr>
        <w:t xml:space="preserve">la irrazonable duración del proceso penal policial. Finalmente, </w:t>
      </w:r>
      <w:r w:rsidR="00BD4155">
        <w:rPr>
          <w:szCs w:val="20"/>
          <w:lang w:val="es-CR"/>
        </w:rPr>
        <w:t>examinará la</w:t>
      </w:r>
      <w:r w:rsidR="00CE0405" w:rsidRPr="0092295B">
        <w:rPr>
          <w:szCs w:val="20"/>
          <w:lang w:val="es-CR"/>
        </w:rPr>
        <w:t xml:space="preserve"> aleg</w:t>
      </w:r>
      <w:r w:rsidR="002003D3">
        <w:rPr>
          <w:szCs w:val="20"/>
          <w:lang w:val="es-CR"/>
        </w:rPr>
        <w:t>a</w:t>
      </w:r>
      <w:r w:rsidR="00BD4155">
        <w:rPr>
          <w:szCs w:val="20"/>
          <w:lang w:val="es-CR"/>
        </w:rPr>
        <w:t>da</w:t>
      </w:r>
      <w:r w:rsidR="00CE0405" w:rsidRPr="0092295B">
        <w:rPr>
          <w:szCs w:val="20"/>
          <w:lang w:val="es-CR"/>
        </w:rPr>
        <w:t xml:space="preserve"> la violación a la protección judicial respecto de las </w:t>
      </w:r>
      <w:r w:rsidR="00507DCD" w:rsidRPr="00BD4155">
        <w:rPr>
          <w:szCs w:val="20"/>
          <w:lang w:val="es-CR"/>
        </w:rPr>
        <w:t>presuntas</w:t>
      </w:r>
      <w:r w:rsidR="00507DCD" w:rsidRPr="00FA72AF">
        <w:rPr>
          <w:szCs w:val="20"/>
          <w:lang w:val="es-CR"/>
        </w:rPr>
        <w:t xml:space="preserve"> </w:t>
      </w:r>
      <w:r w:rsidR="00CE0405" w:rsidRPr="00BD4155">
        <w:rPr>
          <w:szCs w:val="20"/>
          <w:lang w:val="es-CR"/>
        </w:rPr>
        <w:t>demandas de indemnización presentadas por las presuntas víctimas.</w:t>
      </w:r>
      <w:r w:rsidR="00EE670D" w:rsidRPr="0092295B">
        <w:rPr>
          <w:szCs w:val="20"/>
        </w:rPr>
        <w:t xml:space="preserve"> </w:t>
      </w:r>
    </w:p>
    <w:p w14:paraId="35DA46A4" w14:textId="77777777" w:rsidR="00004588" w:rsidRPr="0092295B" w:rsidRDefault="00004588" w:rsidP="00C250D7">
      <w:pPr>
        <w:pStyle w:val="Prrafodelista"/>
        <w:spacing w:before="0" w:after="0"/>
        <w:ind w:left="0"/>
        <w:rPr>
          <w:i/>
          <w:color w:val="00B050"/>
          <w:sz w:val="18"/>
          <w:szCs w:val="18"/>
        </w:rPr>
      </w:pPr>
    </w:p>
    <w:p w14:paraId="50D361E0" w14:textId="2748FF25" w:rsidR="00507DCD" w:rsidRPr="006109B1" w:rsidRDefault="00B4581B" w:rsidP="00276ECB">
      <w:pPr>
        <w:pStyle w:val="Prrafodelista"/>
        <w:numPr>
          <w:ilvl w:val="0"/>
          <w:numId w:val="29"/>
        </w:numPr>
        <w:spacing w:before="0" w:after="0"/>
        <w:ind w:left="0" w:firstLine="0"/>
        <w:rPr>
          <w:szCs w:val="20"/>
        </w:rPr>
      </w:pPr>
      <w:r w:rsidRPr="006109B1">
        <w:rPr>
          <w:szCs w:val="20"/>
        </w:rPr>
        <w:t xml:space="preserve">Por otra parte, en relación a la denuncia penal que presentaron las presuntas víctimas </w:t>
      </w:r>
      <w:r w:rsidRPr="00FA72AF">
        <w:rPr>
          <w:rFonts w:cs="Times New Roman"/>
          <w:szCs w:val="20"/>
          <w:lang w:val="es-CR"/>
        </w:rPr>
        <w:t xml:space="preserve">Villarroel Merino, Coloma Gaibor, López Ortiz, Ascázubi Albán y Vinueza Pánchez en contra del señor </w:t>
      </w:r>
      <w:r w:rsidR="00445DEE" w:rsidRPr="00FA72AF">
        <w:rPr>
          <w:rFonts w:cs="Times New Roman"/>
          <w:szCs w:val="20"/>
          <w:lang w:val="es-CR"/>
        </w:rPr>
        <w:t>B</w:t>
      </w:r>
      <w:r w:rsidRPr="00FA72AF">
        <w:rPr>
          <w:rFonts w:cs="Times New Roman"/>
          <w:szCs w:val="20"/>
          <w:lang w:val="es-CR"/>
        </w:rPr>
        <w:t>yron Pinto Muñoz</w:t>
      </w:r>
      <w:r w:rsidR="00DF48C9" w:rsidRPr="00FA72AF">
        <w:rPr>
          <w:rFonts w:cs="Times New Roman"/>
          <w:szCs w:val="20"/>
          <w:lang w:val="es-CR"/>
        </w:rPr>
        <w:t>,</w:t>
      </w:r>
      <w:r w:rsidRPr="00FA72AF">
        <w:rPr>
          <w:rFonts w:cs="Times New Roman"/>
          <w:szCs w:val="20"/>
          <w:lang w:val="es-CR"/>
        </w:rPr>
        <w:t xml:space="preserve"> por el delito de prevaricato</w:t>
      </w:r>
      <w:r w:rsidRPr="00FA72AF">
        <w:rPr>
          <w:rStyle w:val="Refdenotaalpie"/>
          <w:lang w:val="es-CR"/>
        </w:rPr>
        <w:footnoteReference w:id="133"/>
      </w:r>
      <w:r w:rsidRPr="00FA72AF">
        <w:rPr>
          <w:rFonts w:cs="Times New Roman"/>
          <w:szCs w:val="20"/>
          <w:lang w:val="es-CR"/>
        </w:rPr>
        <w:t>,</w:t>
      </w:r>
      <w:r w:rsidR="00DF48C9" w:rsidRPr="00FA72AF">
        <w:rPr>
          <w:rFonts w:cs="Times New Roman"/>
          <w:szCs w:val="20"/>
          <w:lang w:val="es-CR"/>
        </w:rPr>
        <w:t xml:space="preserve"> esta Corte nota que</w:t>
      </w:r>
      <w:r w:rsidRPr="00FA72AF">
        <w:rPr>
          <w:rFonts w:cs="Times New Roman"/>
          <w:szCs w:val="20"/>
          <w:lang w:val="es-CR"/>
        </w:rPr>
        <w:t xml:space="preserve"> </w:t>
      </w:r>
      <w:r w:rsidRPr="006109B1">
        <w:rPr>
          <w:szCs w:val="20"/>
        </w:rPr>
        <w:t>tanto el representante como la Comisión h</w:t>
      </w:r>
      <w:r w:rsidR="005E0E47">
        <w:rPr>
          <w:szCs w:val="20"/>
        </w:rPr>
        <w:t>icieron</w:t>
      </w:r>
      <w:r w:rsidRPr="006109B1">
        <w:rPr>
          <w:szCs w:val="20"/>
        </w:rPr>
        <w:t xml:space="preserve"> alusión a dicho proceso</w:t>
      </w:r>
      <w:r w:rsidR="00DF48C9" w:rsidRPr="006109B1">
        <w:rPr>
          <w:szCs w:val="20"/>
        </w:rPr>
        <w:t xml:space="preserve"> y </w:t>
      </w:r>
      <w:r w:rsidR="00F96BE0" w:rsidRPr="006109B1">
        <w:rPr>
          <w:szCs w:val="20"/>
        </w:rPr>
        <w:t xml:space="preserve">que </w:t>
      </w:r>
      <w:r w:rsidRPr="006109B1">
        <w:rPr>
          <w:szCs w:val="20"/>
        </w:rPr>
        <w:t>el Estado presentó argumentaciones para desvirtuar las posibles vulneraciones al debido proceso en el mencionado juicio</w:t>
      </w:r>
      <w:r w:rsidR="00DF48C9" w:rsidRPr="00AA500F">
        <w:rPr>
          <w:szCs w:val="20"/>
        </w:rPr>
        <w:t>. Sin embargo, este Trib</w:t>
      </w:r>
      <w:r w:rsidR="00C25FC1" w:rsidRPr="00AA500F">
        <w:rPr>
          <w:szCs w:val="20"/>
        </w:rPr>
        <w:t>unal advierte que el representante</w:t>
      </w:r>
      <w:r w:rsidR="00DF48C9" w:rsidRPr="00687A84">
        <w:rPr>
          <w:szCs w:val="20"/>
        </w:rPr>
        <w:t xml:space="preserve"> y la Comisión </w:t>
      </w:r>
      <w:r w:rsidR="00F96BE0" w:rsidRPr="00687A84">
        <w:rPr>
          <w:szCs w:val="20"/>
        </w:rPr>
        <w:t xml:space="preserve">únicamente </w:t>
      </w:r>
      <w:r w:rsidR="00DF48C9" w:rsidRPr="006109B1">
        <w:rPr>
          <w:szCs w:val="20"/>
        </w:rPr>
        <w:t>citaron el juicio</w:t>
      </w:r>
      <w:r w:rsidR="00F96BE0" w:rsidRPr="006109B1">
        <w:rPr>
          <w:szCs w:val="20"/>
        </w:rPr>
        <w:t>,</w:t>
      </w:r>
      <w:r w:rsidR="00DF48C9" w:rsidRPr="006109B1">
        <w:rPr>
          <w:szCs w:val="20"/>
        </w:rPr>
        <w:t xml:space="preserve"> sin acompañarlo</w:t>
      </w:r>
      <w:r w:rsidRPr="006109B1">
        <w:rPr>
          <w:szCs w:val="20"/>
        </w:rPr>
        <w:t xml:space="preserve"> de un sustento jurídico o argumentativo</w:t>
      </w:r>
      <w:r w:rsidR="00DF48C9" w:rsidRPr="006109B1">
        <w:rPr>
          <w:szCs w:val="20"/>
        </w:rPr>
        <w:t xml:space="preserve"> relativo a posibles violaciones de la Convención</w:t>
      </w:r>
      <w:r w:rsidRPr="006109B1">
        <w:rPr>
          <w:szCs w:val="20"/>
        </w:rPr>
        <w:t>. Por ello, la Corte</w:t>
      </w:r>
      <w:r w:rsidR="00DF48C9" w:rsidRPr="006109B1">
        <w:rPr>
          <w:szCs w:val="20"/>
        </w:rPr>
        <w:t xml:space="preserve"> no se pronunciará al respecto, </w:t>
      </w:r>
      <w:r w:rsidR="00F96BE0" w:rsidRPr="006109B1">
        <w:rPr>
          <w:szCs w:val="20"/>
        </w:rPr>
        <w:t>pues</w:t>
      </w:r>
      <w:r w:rsidRPr="006109B1">
        <w:rPr>
          <w:szCs w:val="20"/>
        </w:rPr>
        <w:t xml:space="preserve"> no tiene elementos suficientes para examinar </w:t>
      </w:r>
      <w:r w:rsidR="00DF48C9" w:rsidRPr="006109B1">
        <w:rPr>
          <w:szCs w:val="20"/>
        </w:rPr>
        <w:t>dicho proceso.</w:t>
      </w:r>
    </w:p>
    <w:p w14:paraId="282F292E" w14:textId="116A6F17" w:rsidR="009B64D7" w:rsidRPr="0092295B" w:rsidRDefault="009B64D7" w:rsidP="005D6E7F">
      <w:pPr>
        <w:pStyle w:val="Ttulo3"/>
        <w:rPr>
          <w:i/>
          <w:szCs w:val="20"/>
          <w:lang w:val="es-CR"/>
        </w:rPr>
      </w:pPr>
      <w:bookmarkStart w:id="131" w:name="_Toc87339032"/>
      <w:r w:rsidRPr="0092295B">
        <w:rPr>
          <w:i/>
          <w:szCs w:val="20"/>
          <w:lang w:val="es-CR"/>
        </w:rPr>
        <w:t>A</w:t>
      </w:r>
      <w:r w:rsidR="00507DCD" w:rsidRPr="0092295B">
        <w:rPr>
          <w:i/>
          <w:szCs w:val="20"/>
          <w:lang w:val="es-CR"/>
        </w:rPr>
        <w:t>.1</w:t>
      </w:r>
      <w:r w:rsidRPr="0092295B">
        <w:rPr>
          <w:i/>
          <w:szCs w:val="20"/>
          <w:lang w:val="es-CR"/>
        </w:rPr>
        <w:t xml:space="preserve"> Argumentos de las partes y la Comisión</w:t>
      </w:r>
      <w:bookmarkEnd w:id="131"/>
    </w:p>
    <w:p w14:paraId="6B7C6292" w14:textId="40C0DAA6" w:rsidR="007333A7" w:rsidRPr="00FC7FE9" w:rsidRDefault="008A4849" w:rsidP="00ED2790">
      <w:pPr>
        <w:pStyle w:val="Ttulo4"/>
        <w:ind w:left="1134"/>
      </w:pPr>
      <w:r w:rsidRPr="006109B1">
        <w:rPr>
          <w:lang w:val="es-CR"/>
        </w:rPr>
        <w:t xml:space="preserve">A.1.1 </w:t>
      </w:r>
      <w:r w:rsidR="007333A7" w:rsidRPr="006109B1">
        <w:t>Derecho a la comunicación previa y detallada de la acusación y al tiempo y los medios adecuados para la preparación de la defensa respecto del informe de la Contraloría General del Estado</w:t>
      </w:r>
    </w:p>
    <w:p w14:paraId="09374C2A" w14:textId="4A9B8369" w:rsidR="007333A7" w:rsidRPr="006109B1" w:rsidRDefault="00985079" w:rsidP="00276ECB">
      <w:pPr>
        <w:pStyle w:val="Prrafodelista"/>
        <w:numPr>
          <w:ilvl w:val="0"/>
          <w:numId w:val="29"/>
        </w:numPr>
        <w:spacing w:before="0" w:after="0"/>
        <w:ind w:left="0" w:firstLine="0"/>
        <w:rPr>
          <w:b/>
          <w:szCs w:val="20"/>
        </w:rPr>
      </w:pPr>
      <w:r w:rsidRPr="00AA500F">
        <w:rPr>
          <w:szCs w:val="20"/>
        </w:rPr>
        <w:t xml:space="preserve">La </w:t>
      </w:r>
      <w:r w:rsidRPr="00AA500F">
        <w:rPr>
          <w:b/>
          <w:i/>
          <w:szCs w:val="20"/>
        </w:rPr>
        <w:t>Comisión</w:t>
      </w:r>
      <w:r w:rsidRPr="00CC05C5">
        <w:rPr>
          <w:szCs w:val="20"/>
        </w:rPr>
        <w:t xml:space="preserve"> alegó </w:t>
      </w:r>
      <w:r w:rsidR="005E0E47">
        <w:rPr>
          <w:szCs w:val="20"/>
        </w:rPr>
        <w:t>la</w:t>
      </w:r>
      <w:r w:rsidR="005E0E47" w:rsidRPr="00CC05C5">
        <w:rPr>
          <w:szCs w:val="20"/>
        </w:rPr>
        <w:t xml:space="preserve"> </w:t>
      </w:r>
      <w:r w:rsidRPr="00CC05C5">
        <w:rPr>
          <w:szCs w:val="20"/>
        </w:rPr>
        <w:t>violación del derecho a contar con una decisió</w:t>
      </w:r>
      <w:r w:rsidR="003652AC" w:rsidRPr="00CC05C5">
        <w:rPr>
          <w:szCs w:val="20"/>
        </w:rPr>
        <w:t>n informada</w:t>
      </w:r>
      <w:r w:rsidRPr="00687A84">
        <w:rPr>
          <w:szCs w:val="20"/>
        </w:rPr>
        <w:t xml:space="preserve"> previa y detallada de la acusación y de defensa, establecido en los artículos 8.2</w:t>
      </w:r>
      <w:r w:rsidR="0082625F" w:rsidRPr="006109B1">
        <w:rPr>
          <w:szCs w:val="20"/>
        </w:rPr>
        <w:t>.</w:t>
      </w:r>
      <w:r w:rsidRPr="006109B1">
        <w:rPr>
          <w:szCs w:val="20"/>
        </w:rPr>
        <w:t xml:space="preserve">b) y </w:t>
      </w:r>
      <w:r w:rsidR="00F23719" w:rsidRPr="006109B1">
        <w:rPr>
          <w:szCs w:val="20"/>
        </w:rPr>
        <w:t>8.2.</w:t>
      </w:r>
      <w:r w:rsidRPr="006109B1">
        <w:rPr>
          <w:szCs w:val="20"/>
        </w:rPr>
        <w:t>c) de la Convención Americana</w:t>
      </w:r>
      <w:r w:rsidR="0082625F" w:rsidRPr="006109B1">
        <w:rPr>
          <w:szCs w:val="20"/>
        </w:rPr>
        <w:t>,</w:t>
      </w:r>
      <w:r w:rsidRPr="006109B1">
        <w:rPr>
          <w:szCs w:val="20"/>
        </w:rPr>
        <w:t xml:space="preserve"> en relación con el artículo 1.1 del mismo instrumento</w:t>
      </w:r>
      <w:r w:rsidR="0082625F" w:rsidRPr="006109B1">
        <w:rPr>
          <w:szCs w:val="20"/>
        </w:rPr>
        <w:t>.</w:t>
      </w:r>
      <w:r w:rsidRPr="006109B1">
        <w:rPr>
          <w:szCs w:val="20"/>
        </w:rPr>
        <w:t xml:space="preserve"> La Comisión observó que</w:t>
      </w:r>
      <w:r w:rsidR="005E0E47">
        <w:rPr>
          <w:szCs w:val="20"/>
        </w:rPr>
        <w:t>,</w:t>
      </w:r>
      <w:r w:rsidRPr="006109B1">
        <w:rPr>
          <w:szCs w:val="20"/>
        </w:rPr>
        <w:t xml:space="preserve"> tomando en cuenta las implicaciones sancionatorias de la investigación </w:t>
      </w:r>
      <w:r w:rsidRPr="00FC7FE9">
        <w:rPr>
          <w:szCs w:val="20"/>
        </w:rPr>
        <w:t>administrativa</w:t>
      </w:r>
      <w:r w:rsidR="004B02E5">
        <w:rPr>
          <w:szCs w:val="20"/>
        </w:rPr>
        <w:t xml:space="preserve"> que, además, precedió el inicio</w:t>
      </w:r>
      <w:r w:rsidRPr="00FC7FE9">
        <w:rPr>
          <w:szCs w:val="20"/>
        </w:rPr>
        <w:t xml:space="preserve"> de la investigación penal, la investigación debió ser previamente notificada a las personas involucradas, de manera que contaran con información de las posibles irregularidades que se investigaban y pudieran ejercer su derecho de defensa en esta instancia</w:t>
      </w:r>
      <w:r w:rsidR="00594A37" w:rsidRPr="00FC7FE9">
        <w:rPr>
          <w:szCs w:val="20"/>
        </w:rPr>
        <w:t>.</w:t>
      </w:r>
      <w:r w:rsidR="00A95383" w:rsidRPr="006109B1">
        <w:rPr>
          <w:b/>
          <w:szCs w:val="20"/>
        </w:rPr>
        <w:t xml:space="preserve"> </w:t>
      </w:r>
      <w:r w:rsidR="003B1C75" w:rsidRPr="00FC7FE9">
        <w:rPr>
          <w:szCs w:val="20"/>
        </w:rPr>
        <w:t xml:space="preserve">Además, notó que en su escrito de contestación el Estado no controvirtió dicha información ni demostró mediante documentación pertinente, haber notificado a las </w:t>
      </w:r>
      <w:r w:rsidR="002311E5" w:rsidRPr="00AA500F">
        <w:rPr>
          <w:szCs w:val="20"/>
        </w:rPr>
        <w:t xml:space="preserve">presuntas </w:t>
      </w:r>
      <w:r w:rsidR="003B1C75" w:rsidRPr="00687A84">
        <w:rPr>
          <w:szCs w:val="20"/>
        </w:rPr>
        <w:t>víctimas previamente al inicio de la investigación administrativa ni haberles ofrecido a lo largo de la misma la oportunidad de formular su defensa.</w:t>
      </w:r>
      <w:r w:rsidR="007D6675" w:rsidRPr="006109B1">
        <w:rPr>
          <w:szCs w:val="20"/>
        </w:rPr>
        <w:t xml:space="preserve"> </w:t>
      </w:r>
    </w:p>
    <w:p w14:paraId="0E542CD4" w14:textId="77777777" w:rsidR="0056502F" w:rsidRPr="006109B1" w:rsidRDefault="0056502F" w:rsidP="00FE6737">
      <w:pPr>
        <w:pStyle w:val="Prrafodelista"/>
        <w:spacing w:before="0" w:after="0"/>
        <w:ind w:left="0"/>
        <w:rPr>
          <w:b/>
          <w:szCs w:val="20"/>
        </w:rPr>
      </w:pPr>
    </w:p>
    <w:p w14:paraId="53CB7D35" w14:textId="53E32A6C" w:rsidR="008A472E" w:rsidRPr="008A472E" w:rsidRDefault="000B4B73" w:rsidP="008A472E">
      <w:pPr>
        <w:pStyle w:val="Prrafodelista"/>
        <w:numPr>
          <w:ilvl w:val="0"/>
          <w:numId w:val="29"/>
        </w:numPr>
        <w:spacing w:before="0" w:after="0"/>
        <w:ind w:left="0" w:firstLine="0"/>
        <w:rPr>
          <w:b/>
          <w:szCs w:val="20"/>
        </w:rPr>
      </w:pPr>
      <w:r w:rsidRPr="00276ECB">
        <w:rPr>
          <w:bCs/>
          <w:szCs w:val="20"/>
        </w:rPr>
        <w:t>El</w:t>
      </w:r>
      <w:r w:rsidRPr="00276ECB">
        <w:rPr>
          <w:b/>
          <w:szCs w:val="20"/>
        </w:rPr>
        <w:t xml:space="preserve"> </w:t>
      </w:r>
      <w:r w:rsidRPr="00276ECB">
        <w:rPr>
          <w:b/>
          <w:i/>
          <w:iCs/>
          <w:szCs w:val="20"/>
        </w:rPr>
        <w:t>representante</w:t>
      </w:r>
      <w:r w:rsidRPr="00276ECB">
        <w:rPr>
          <w:i/>
          <w:iCs/>
          <w:szCs w:val="20"/>
          <w:lang w:val="es-CR"/>
        </w:rPr>
        <w:t xml:space="preserve"> </w:t>
      </w:r>
      <w:r w:rsidRPr="00276ECB">
        <w:rPr>
          <w:rFonts w:eastAsia="Calibri" w:cs="Arial"/>
          <w:szCs w:val="20"/>
          <w:lang w:val="es-MX"/>
        </w:rPr>
        <w:t>se remitió en general a lo expuesto por la Comisión Interamericana. Se limitó a enlistar l</w:t>
      </w:r>
      <w:r w:rsidR="0056502F" w:rsidRPr="00276ECB">
        <w:rPr>
          <w:rFonts w:eastAsia="Calibri" w:cs="Arial"/>
          <w:szCs w:val="20"/>
          <w:lang w:val="es-MX"/>
        </w:rPr>
        <w:t xml:space="preserve">os artículos de la Convención Americana, </w:t>
      </w:r>
      <w:r w:rsidRPr="00276ECB">
        <w:rPr>
          <w:rFonts w:eastAsia="Calibri" w:cs="Arial"/>
          <w:szCs w:val="20"/>
          <w:lang w:val="es-MX"/>
        </w:rPr>
        <w:t>que fueron supuestamente violad</w:t>
      </w:r>
      <w:r w:rsidR="0056502F" w:rsidRPr="00276ECB">
        <w:rPr>
          <w:rFonts w:eastAsia="Calibri" w:cs="Arial"/>
          <w:szCs w:val="20"/>
          <w:lang w:val="es-MX"/>
        </w:rPr>
        <w:t>o</w:t>
      </w:r>
      <w:r w:rsidRPr="00276ECB">
        <w:rPr>
          <w:rFonts w:eastAsia="Calibri" w:cs="Arial"/>
          <w:szCs w:val="20"/>
          <w:lang w:val="es-MX"/>
        </w:rPr>
        <w:t>s</w:t>
      </w:r>
      <w:r w:rsidR="00DC6B95" w:rsidRPr="00276ECB">
        <w:rPr>
          <w:rFonts w:eastAsia="Calibri" w:cs="Arial"/>
          <w:szCs w:val="20"/>
          <w:lang w:val="es-MX"/>
        </w:rPr>
        <w:t xml:space="preserve"> entre los que mencionó el artículo </w:t>
      </w:r>
      <w:r w:rsidRPr="00276ECB">
        <w:rPr>
          <w:rFonts w:eastAsia="Calibri" w:cs="Arial"/>
          <w:szCs w:val="20"/>
          <w:lang w:val="es-MX"/>
        </w:rPr>
        <w:t>8</w:t>
      </w:r>
      <w:r w:rsidR="0056502F" w:rsidRPr="00276ECB">
        <w:rPr>
          <w:rFonts w:eastAsia="Calibri" w:cs="Arial"/>
          <w:szCs w:val="20"/>
          <w:lang w:val="es-MX"/>
        </w:rPr>
        <w:t>, incisos 1 y 2</w:t>
      </w:r>
      <w:r w:rsidRPr="00276ECB">
        <w:rPr>
          <w:rFonts w:eastAsia="Calibri" w:cs="Arial"/>
          <w:szCs w:val="20"/>
          <w:lang w:val="es-MX"/>
        </w:rPr>
        <w:t>, y 25</w:t>
      </w:r>
      <w:r w:rsidR="0056502F" w:rsidRPr="00276ECB">
        <w:rPr>
          <w:rFonts w:eastAsia="Calibri" w:cs="Arial"/>
          <w:szCs w:val="20"/>
          <w:lang w:val="es-MX"/>
        </w:rPr>
        <w:t>. Al respecto, no presentó</w:t>
      </w:r>
      <w:r w:rsidRPr="00276ECB">
        <w:rPr>
          <w:rFonts w:eastAsia="Calibri" w:cs="Arial"/>
          <w:szCs w:val="20"/>
          <w:lang w:val="es-MX"/>
        </w:rPr>
        <w:t xml:space="preserve"> alegaciones concretas y reprodujo algunos extractos de los Informes de Admisibilidad y Fondo </w:t>
      </w:r>
      <w:r w:rsidRPr="00FC7FE9">
        <w:rPr>
          <w:rFonts w:eastAsia="Calibri" w:cs="Arial"/>
          <w:szCs w:val="20"/>
          <w:lang w:val="es-MX"/>
        </w:rPr>
        <w:t xml:space="preserve">de la Comisión, así como del escrito de sometimiento del caso. </w:t>
      </w:r>
    </w:p>
    <w:p w14:paraId="47828B7B" w14:textId="77777777" w:rsidR="008A472E" w:rsidRPr="008A472E" w:rsidRDefault="008A472E" w:rsidP="008A472E">
      <w:pPr>
        <w:pStyle w:val="Prrafodelista"/>
        <w:rPr>
          <w:szCs w:val="20"/>
          <w:lang w:val="es-CR"/>
        </w:rPr>
      </w:pPr>
    </w:p>
    <w:p w14:paraId="2BD0A0CC" w14:textId="28FD52B5" w:rsidR="00A452A2" w:rsidRPr="008A472E" w:rsidRDefault="00EC64FF" w:rsidP="008A472E">
      <w:pPr>
        <w:pStyle w:val="Prrafodelista"/>
        <w:numPr>
          <w:ilvl w:val="0"/>
          <w:numId w:val="29"/>
        </w:numPr>
        <w:spacing w:before="0" w:after="0"/>
        <w:ind w:left="0" w:firstLine="0"/>
        <w:rPr>
          <w:b/>
          <w:szCs w:val="20"/>
        </w:rPr>
      </w:pPr>
      <w:r w:rsidRPr="008A472E">
        <w:rPr>
          <w:szCs w:val="20"/>
          <w:lang w:val="es-CR"/>
        </w:rPr>
        <w:t xml:space="preserve">El </w:t>
      </w:r>
      <w:r w:rsidRPr="008A472E">
        <w:rPr>
          <w:b/>
          <w:i/>
          <w:szCs w:val="20"/>
          <w:lang w:val="es-CR"/>
        </w:rPr>
        <w:t>Estado</w:t>
      </w:r>
      <w:r w:rsidR="009B2B49" w:rsidRPr="008A472E">
        <w:rPr>
          <w:szCs w:val="20"/>
          <w:lang w:val="es-CR"/>
        </w:rPr>
        <w:t xml:space="preserve"> </w:t>
      </w:r>
      <w:r w:rsidR="003A6BEE" w:rsidRPr="008A472E">
        <w:rPr>
          <w:szCs w:val="20"/>
          <w:lang w:val="es-CR"/>
        </w:rPr>
        <w:t>no se refirió concretamente a lo señalado por la Comisión. En general</w:t>
      </w:r>
      <w:r w:rsidR="00344485" w:rsidRPr="008A472E">
        <w:rPr>
          <w:szCs w:val="20"/>
          <w:lang w:val="es-CR"/>
        </w:rPr>
        <w:t>,</w:t>
      </w:r>
      <w:r w:rsidR="003A6BEE" w:rsidRPr="008A472E">
        <w:rPr>
          <w:szCs w:val="20"/>
          <w:lang w:val="es-CR"/>
        </w:rPr>
        <w:t xml:space="preserve"> </w:t>
      </w:r>
      <w:r w:rsidR="009B2B49" w:rsidRPr="008A472E">
        <w:rPr>
          <w:szCs w:val="20"/>
          <w:lang w:val="es-CR"/>
        </w:rPr>
        <w:t xml:space="preserve">alegó </w:t>
      </w:r>
      <w:r w:rsidR="009B2B49" w:rsidRPr="008A472E">
        <w:rPr>
          <w:rFonts w:cs="Times New Roman"/>
          <w:szCs w:val="20"/>
          <w:lang w:val="es-CR"/>
        </w:rPr>
        <w:t>que las presuntas víctimas fueron oídas en cada una de las etapas procesales y que</w:t>
      </w:r>
      <w:r w:rsidR="00344485" w:rsidRPr="008A472E">
        <w:rPr>
          <w:rFonts w:cs="Times New Roman"/>
          <w:szCs w:val="20"/>
          <w:lang w:val="es-CR"/>
        </w:rPr>
        <w:t>,</w:t>
      </w:r>
      <w:r w:rsidR="009B2B49" w:rsidRPr="008A472E">
        <w:rPr>
          <w:rFonts w:cs="Times New Roman"/>
          <w:szCs w:val="20"/>
          <w:lang w:val="es-CR"/>
        </w:rPr>
        <w:t xml:space="preserve"> a lo largo del proceso pen</w:t>
      </w:r>
      <w:r w:rsidR="009B2B49" w:rsidRPr="00F57414">
        <w:rPr>
          <w:rFonts w:cs="Times New Roman"/>
          <w:szCs w:val="20"/>
          <w:lang w:val="es-CR"/>
        </w:rPr>
        <w:t xml:space="preserve">al, las autoridades judiciales respetaron el debido proceso. </w:t>
      </w:r>
      <w:r w:rsidR="009B651B" w:rsidRPr="00F57414">
        <w:rPr>
          <w:rFonts w:cs="Times New Roman"/>
          <w:szCs w:val="20"/>
          <w:lang w:val="es-CR"/>
        </w:rPr>
        <w:t>Además, adujo que l</w:t>
      </w:r>
      <w:r w:rsidR="009B2B49" w:rsidRPr="00AA500F">
        <w:rPr>
          <w:rFonts w:cs="Times New Roman"/>
          <w:szCs w:val="20"/>
          <w:lang w:val="es-CR"/>
        </w:rPr>
        <w:t>as presuntas víctimas pudieron presentar alegatos, pruebas y recursos que ellos consideraron pertinentes</w:t>
      </w:r>
      <w:r w:rsidR="009B651B" w:rsidRPr="00687A84">
        <w:rPr>
          <w:rFonts w:cs="Times New Roman"/>
          <w:szCs w:val="20"/>
          <w:lang w:val="es-CR"/>
        </w:rPr>
        <w:t xml:space="preserve"> a lo largo del proceso</w:t>
      </w:r>
      <w:r w:rsidR="008A472E">
        <w:rPr>
          <w:rFonts w:cs="Times New Roman"/>
          <w:szCs w:val="20"/>
          <w:lang w:val="es-CR"/>
        </w:rPr>
        <w:t>.</w:t>
      </w:r>
      <w:r w:rsidR="009B2B49" w:rsidRPr="008A472E">
        <w:rPr>
          <w:rFonts w:cs="Times New Roman"/>
          <w:szCs w:val="20"/>
          <w:lang w:val="es-CR"/>
        </w:rPr>
        <w:t xml:space="preserve"> </w:t>
      </w:r>
      <w:r w:rsidR="009B2B49" w:rsidRPr="008A472E">
        <w:rPr>
          <w:rFonts w:cs="Times New Roman"/>
          <w:b/>
          <w:szCs w:val="20"/>
          <w:lang w:val="es-CR"/>
        </w:rPr>
        <w:t xml:space="preserve"> </w:t>
      </w:r>
      <w:r w:rsidR="009B2B49" w:rsidRPr="008A472E">
        <w:rPr>
          <w:rFonts w:cs="Times New Roman"/>
          <w:szCs w:val="20"/>
          <w:lang w:val="es-CR"/>
        </w:rPr>
        <w:t>Por otro lado, el Estado reiteró que</w:t>
      </w:r>
      <w:r w:rsidR="009B2B49" w:rsidRPr="008A472E">
        <w:rPr>
          <w:rFonts w:cs="Times New Roman"/>
          <w:b/>
          <w:szCs w:val="20"/>
          <w:lang w:val="es-CR"/>
        </w:rPr>
        <w:t xml:space="preserve"> </w:t>
      </w:r>
      <w:r w:rsidR="009B2B49" w:rsidRPr="008A472E">
        <w:rPr>
          <w:rFonts w:cs="Times New Roman"/>
          <w:szCs w:val="20"/>
          <w:lang w:val="es-CR"/>
        </w:rPr>
        <w:t>las</w:t>
      </w:r>
      <w:r w:rsidR="009B2B49" w:rsidRPr="008A472E">
        <w:rPr>
          <w:rFonts w:cs="Times New Roman"/>
          <w:b/>
          <w:szCs w:val="20"/>
          <w:lang w:val="es-CR"/>
        </w:rPr>
        <w:t xml:space="preserve"> </w:t>
      </w:r>
      <w:r w:rsidR="009B2B49" w:rsidRPr="008A472E">
        <w:rPr>
          <w:rFonts w:cs="Times New Roman"/>
          <w:szCs w:val="20"/>
          <w:lang w:val="es-CR"/>
        </w:rPr>
        <w:t>presuntas víctimas obtuvieron resoluciones judiciales favorables</w:t>
      </w:r>
      <w:r w:rsidR="008A472E">
        <w:rPr>
          <w:rFonts w:cs="Times New Roman"/>
          <w:szCs w:val="20"/>
          <w:lang w:val="es-CR"/>
        </w:rPr>
        <w:t>.</w:t>
      </w:r>
      <w:r w:rsidR="009B2B49" w:rsidRPr="008A472E">
        <w:rPr>
          <w:rFonts w:cs="Times New Roman"/>
          <w:szCs w:val="20"/>
          <w:lang w:val="es-CR"/>
        </w:rPr>
        <w:t xml:space="preserve"> </w:t>
      </w:r>
    </w:p>
    <w:p w14:paraId="333DE191" w14:textId="68F92E0C" w:rsidR="007333A7" w:rsidRPr="00ED2790" w:rsidRDefault="008A4849" w:rsidP="00ED2790">
      <w:pPr>
        <w:pStyle w:val="Ttulo4"/>
        <w:ind w:left="1134"/>
      </w:pPr>
      <w:r w:rsidRPr="0092295B">
        <w:t xml:space="preserve">A.1.2. </w:t>
      </w:r>
      <w:r w:rsidR="007333A7" w:rsidRPr="0092295B">
        <w:t>Derecho a contar con un juez o tribunal competente, imparcial e independiente, presunción de inocencia y deber de motivación</w:t>
      </w:r>
    </w:p>
    <w:p w14:paraId="408466FC" w14:textId="3CB3F238" w:rsidR="007333A7" w:rsidRPr="0092295B" w:rsidRDefault="007333A7" w:rsidP="00276ECB">
      <w:pPr>
        <w:pStyle w:val="Prrafodelista"/>
        <w:numPr>
          <w:ilvl w:val="0"/>
          <w:numId w:val="29"/>
        </w:numPr>
        <w:spacing w:before="0" w:after="0"/>
        <w:ind w:left="0" w:firstLine="0"/>
        <w:rPr>
          <w:b/>
          <w:szCs w:val="20"/>
        </w:rPr>
      </w:pPr>
      <w:r w:rsidRPr="0092295B">
        <w:rPr>
          <w:szCs w:val="20"/>
        </w:rPr>
        <w:t xml:space="preserve">La </w:t>
      </w:r>
      <w:r w:rsidRPr="0092295B">
        <w:rPr>
          <w:b/>
          <w:i/>
          <w:szCs w:val="20"/>
        </w:rPr>
        <w:t>Comisión</w:t>
      </w:r>
      <w:r w:rsidRPr="0092295B">
        <w:rPr>
          <w:szCs w:val="20"/>
        </w:rPr>
        <w:t xml:space="preserve"> </w:t>
      </w:r>
      <w:r w:rsidR="00BD4155" w:rsidRPr="00FA72AF">
        <w:rPr>
          <w:szCs w:val="20"/>
        </w:rPr>
        <w:t xml:space="preserve">adujo </w:t>
      </w:r>
      <w:r w:rsidRPr="008A472E">
        <w:rPr>
          <w:szCs w:val="20"/>
        </w:rPr>
        <w:t>que, como Presidente de la CNJP, el señor Byron Pinto Muñoz ejerció facultades de carácter sustantivo en el proceso, incluyendo las determinaciones relativas a la libertad personal. La Comisión consideró que, frente a los múltiples indicios de la falta de competencia del señor Pinto Muñoz, el Estado no logró ofrecer una explicación convincente de las razones por las cuales dicha persona sí era competente conforme a la normativa interna</w:t>
      </w:r>
      <w:r w:rsidR="00BD4155" w:rsidRPr="008A472E">
        <w:rPr>
          <w:rStyle w:val="Refdenotaalpie"/>
        </w:rPr>
        <w:footnoteReference w:id="134"/>
      </w:r>
      <w:r w:rsidRPr="008A472E">
        <w:rPr>
          <w:szCs w:val="20"/>
        </w:rPr>
        <w:t>.</w:t>
      </w:r>
      <w:r w:rsidRPr="0092295B">
        <w:rPr>
          <w:b/>
          <w:sz w:val="16"/>
          <w:szCs w:val="16"/>
        </w:rPr>
        <w:t xml:space="preserve"> </w:t>
      </w:r>
      <w:r w:rsidR="00BD4155" w:rsidRPr="00FA72AF">
        <w:rPr>
          <w:szCs w:val="20"/>
        </w:rPr>
        <w:t>Por lo tanto</w:t>
      </w:r>
      <w:r w:rsidR="008A472E">
        <w:rPr>
          <w:szCs w:val="20"/>
        </w:rPr>
        <w:t>,</w:t>
      </w:r>
      <w:r w:rsidR="00BD4155" w:rsidRPr="00FA72AF">
        <w:rPr>
          <w:szCs w:val="20"/>
        </w:rPr>
        <w:t xml:space="preserve"> consider</w:t>
      </w:r>
      <w:r w:rsidR="00BD4155">
        <w:rPr>
          <w:szCs w:val="20"/>
        </w:rPr>
        <w:t>ó</w:t>
      </w:r>
      <w:r w:rsidR="00BD4155" w:rsidRPr="00FA72AF">
        <w:rPr>
          <w:szCs w:val="20"/>
        </w:rPr>
        <w:t xml:space="preserve"> que</w:t>
      </w:r>
      <w:r w:rsidR="00BD4155">
        <w:rPr>
          <w:b/>
          <w:sz w:val="16"/>
          <w:szCs w:val="16"/>
        </w:rPr>
        <w:t xml:space="preserve"> </w:t>
      </w:r>
      <w:r w:rsidR="00BD4155">
        <w:rPr>
          <w:szCs w:val="20"/>
        </w:rPr>
        <w:t xml:space="preserve">el </w:t>
      </w:r>
      <w:r w:rsidR="00BD4155" w:rsidRPr="0092295B">
        <w:rPr>
          <w:szCs w:val="20"/>
        </w:rPr>
        <w:t>E</w:t>
      </w:r>
      <w:r w:rsidR="008A472E">
        <w:rPr>
          <w:szCs w:val="20"/>
        </w:rPr>
        <w:t>stado</w:t>
      </w:r>
      <w:r w:rsidR="00BD4155" w:rsidRPr="0092295B">
        <w:rPr>
          <w:szCs w:val="20"/>
        </w:rPr>
        <w:t xml:space="preserve"> violó el derecho a contar con una autoridad competente, conforme a los procedimientos legalmente establecidos, consagrado en el artículo 8.1 de la Convención Americana, en relación con el artículo 1.1 del mismo instrumento. </w:t>
      </w:r>
    </w:p>
    <w:p w14:paraId="326FAF3F" w14:textId="77777777" w:rsidR="007333A7" w:rsidRPr="0092295B" w:rsidRDefault="007333A7" w:rsidP="007333A7">
      <w:pPr>
        <w:spacing w:before="0" w:after="0"/>
        <w:rPr>
          <w:strike/>
          <w:szCs w:val="20"/>
        </w:rPr>
      </w:pPr>
    </w:p>
    <w:p w14:paraId="01A2D005" w14:textId="73D6A5A7" w:rsidR="007333A7" w:rsidRPr="0092295B" w:rsidRDefault="007333A7" w:rsidP="00276ECB">
      <w:pPr>
        <w:pStyle w:val="Prrafodelista"/>
        <w:numPr>
          <w:ilvl w:val="0"/>
          <w:numId w:val="29"/>
        </w:numPr>
        <w:spacing w:before="0" w:after="0"/>
        <w:ind w:left="0" w:firstLine="0"/>
        <w:rPr>
          <w:szCs w:val="20"/>
        </w:rPr>
      </w:pPr>
      <w:r w:rsidRPr="0092295B">
        <w:rPr>
          <w:szCs w:val="20"/>
        </w:rPr>
        <w:t xml:space="preserve">Además, </w:t>
      </w:r>
      <w:r w:rsidR="00BD4155">
        <w:rPr>
          <w:szCs w:val="20"/>
        </w:rPr>
        <w:t>en relación con la composición de la CNJP</w:t>
      </w:r>
      <w:r w:rsidR="00FA72AF">
        <w:rPr>
          <w:szCs w:val="20"/>
        </w:rPr>
        <w:t>,</w:t>
      </w:r>
      <w:r w:rsidR="00BD4155">
        <w:rPr>
          <w:szCs w:val="20"/>
        </w:rPr>
        <w:t xml:space="preserve"> </w:t>
      </w:r>
      <w:r w:rsidR="00BD4155" w:rsidRPr="0092295B">
        <w:rPr>
          <w:szCs w:val="20"/>
        </w:rPr>
        <w:t xml:space="preserve">la Comisión </w:t>
      </w:r>
      <w:r w:rsidRPr="0092295B">
        <w:rPr>
          <w:szCs w:val="20"/>
        </w:rPr>
        <w:t xml:space="preserve">destacó </w:t>
      </w:r>
      <w:r w:rsidRPr="0092295B">
        <w:rPr>
          <w:szCs w:val="20"/>
          <w:lang w:val="es-CR"/>
        </w:rPr>
        <w:t>que al tratarse de funciones judiciales de carácter penal con la potestad de imponer penas privativas de libertad, la falta de formación jurídica de todos los miembros, el nombramiento directamente por el Presidente de la República y un mandato reducido de dos años con posibilidad de reelección, ocasiona que dicho órgano no ofrezca garantías suficientes de independencia e imparcialidad,</w:t>
      </w:r>
      <w:r w:rsidRPr="0092295B">
        <w:rPr>
          <w:b/>
          <w:szCs w:val="20"/>
          <w:lang w:val="es-CR"/>
        </w:rPr>
        <w:t xml:space="preserve"> </w:t>
      </w:r>
      <w:r w:rsidRPr="0092295B">
        <w:rPr>
          <w:szCs w:val="20"/>
        </w:rPr>
        <w:t xml:space="preserve">en violación a las garantías judiciales establecidas en el </w:t>
      </w:r>
      <w:r w:rsidRPr="00DC6663">
        <w:rPr>
          <w:szCs w:val="20"/>
        </w:rPr>
        <w:t>artículo 8.</w:t>
      </w:r>
      <w:r w:rsidR="00DC6663">
        <w:rPr>
          <w:szCs w:val="20"/>
        </w:rPr>
        <w:t>1</w:t>
      </w:r>
      <w:r w:rsidR="004B02E5">
        <w:rPr>
          <w:szCs w:val="20"/>
        </w:rPr>
        <w:t xml:space="preserve"> </w:t>
      </w:r>
      <w:r w:rsidRPr="0092295B">
        <w:rPr>
          <w:szCs w:val="20"/>
        </w:rPr>
        <w:t>de la Convención</w:t>
      </w:r>
      <w:r w:rsidR="00EA3CFF">
        <w:rPr>
          <w:szCs w:val="20"/>
        </w:rPr>
        <w:t>.</w:t>
      </w:r>
    </w:p>
    <w:p w14:paraId="5E12F1E8" w14:textId="77777777" w:rsidR="007333A7" w:rsidRPr="0092295B" w:rsidRDefault="007333A7" w:rsidP="007333A7">
      <w:pPr>
        <w:pStyle w:val="Prrafodelista"/>
        <w:spacing w:before="0" w:after="0"/>
        <w:ind w:left="0"/>
        <w:rPr>
          <w:b/>
          <w:szCs w:val="20"/>
        </w:rPr>
      </w:pPr>
    </w:p>
    <w:p w14:paraId="17D743ED" w14:textId="31F6CB9F" w:rsidR="007333A7" w:rsidRPr="0092295B" w:rsidRDefault="007333A7" w:rsidP="00276ECB">
      <w:pPr>
        <w:pStyle w:val="Prrafodelista"/>
        <w:numPr>
          <w:ilvl w:val="0"/>
          <w:numId w:val="29"/>
        </w:numPr>
        <w:spacing w:before="0" w:after="0"/>
        <w:ind w:left="0" w:firstLine="0"/>
        <w:rPr>
          <w:b/>
          <w:szCs w:val="20"/>
        </w:rPr>
      </w:pPr>
      <w:r w:rsidRPr="0092295B">
        <w:rPr>
          <w:szCs w:val="20"/>
        </w:rPr>
        <w:t>Por último, respecto a la segunda conformación de la CNJP</w:t>
      </w:r>
      <w:r w:rsidRPr="0092295B">
        <w:rPr>
          <w:rStyle w:val="Refdenotaalpie"/>
        </w:rPr>
        <w:footnoteReference w:id="135"/>
      </w:r>
      <w:r w:rsidRPr="0092295B">
        <w:rPr>
          <w:szCs w:val="20"/>
        </w:rPr>
        <w:t xml:space="preserve">, presidida por el señor Pinto Muñoz, destacó que la condena de Alfonso Vinueza Pánchez, Jorge Coloma Gaibor y Jorge Villarroel Merino por </w:t>
      </w:r>
      <w:r w:rsidR="00BD4155" w:rsidRPr="00B7210C">
        <w:rPr>
          <w:szCs w:val="20"/>
        </w:rPr>
        <w:t>el delito de</w:t>
      </w:r>
      <w:r w:rsidR="00BD4155">
        <w:rPr>
          <w:szCs w:val="20"/>
        </w:rPr>
        <w:t xml:space="preserve"> </w:t>
      </w:r>
      <w:r w:rsidRPr="0092295B">
        <w:rPr>
          <w:szCs w:val="20"/>
        </w:rPr>
        <w:t>malversación de fondos fue emitida a pesar de la existencia de múltiples elementos exculpatorios que incluyen los diversos dictámenes fiscales</w:t>
      </w:r>
      <w:r w:rsidR="00BD4155">
        <w:rPr>
          <w:szCs w:val="20"/>
        </w:rPr>
        <w:t xml:space="preserve"> </w:t>
      </w:r>
      <w:r w:rsidR="00BD4155" w:rsidRPr="00CE7748">
        <w:rPr>
          <w:szCs w:val="20"/>
        </w:rPr>
        <w:t>que concluyeron que no existían elementos para acusar a las presuntas víctimas</w:t>
      </w:r>
      <w:r w:rsidRPr="004B02E5">
        <w:rPr>
          <w:szCs w:val="20"/>
        </w:rPr>
        <w:t>.</w:t>
      </w:r>
      <w:r w:rsidRPr="00154B34">
        <w:rPr>
          <w:szCs w:val="20"/>
        </w:rPr>
        <w:t xml:space="preserve"> Así pues, al condenar </w:t>
      </w:r>
      <w:r w:rsidR="00C15DD9">
        <w:rPr>
          <w:szCs w:val="20"/>
        </w:rPr>
        <w:t xml:space="preserve">a </w:t>
      </w:r>
      <w:r w:rsidRPr="00154B34">
        <w:rPr>
          <w:szCs w:val="20"/>
        </w:rPr>
        <w:t>las presuntas víctimas, se vulneró la presunción de inocencia y el deber de motivar decisiones.</w:t>
      </w:r>
      <w:r w:rsidRPr="0092295B">
        <w:rPr>
          <w:b/>
          <w:szCs w:val="20"/>
        </w:rPr>
        <w:t xml:space="preserve"> </w:t>
      </w:r>
    </w:p>
    <w:p w14:paraId="38559697" w14:textId="77777777" w:rsidR="007333A7" w:rsidRPr="0092295B" w:rsidRDefault="007333A7" w:rsidP="007333A7">
      <w:pPr>
        <w:pStyle w:val="Prrafodelista"/>
        <w:spacing w:before="0" w:after="0"/>
        <w:ind w:left="0"/>
        <w:rPr>
          <w:b/>
          <w:strike/>
          <w:szCs w:val="20"/>
        </w:rPr>
      </w:pPr>
    </w:p>
    <w:p w14:paraId="467F013C" w14:textId="49C8BC2E" w:rsidR="007333A7" w:rsidRPr="0092295B" w:rsidRDefault="007333A7" w:rsidP="00276ECB">
      <w:pPr>
        <w:pStyle w:val="Prrafodelista"/>
        <w:numPr>
          <w:ilvl w:val="0"/>
          <w:numId w:val="29"/>
        </w:numPr>
        <w:spacing w:before="0" w:after="0"/>
        <w:ind w:left="0" w:firstLine="0"/>
        <w:rPr>
          <w:b/>
          <w:szCs w:val="20"/>
        </w:rPr>
      </w:pPr>
      <w:r w:rsidRPr="0092295B">
        <w:rPr>
          <w:bCs/>
          <w:szCs w:val="20"/>
        </w:rPr>
        <w:t>El</w:t>
      </w:r>
      <w:r w:rsidRPr="0092295B">
        <w:rPr>
          <w:b/>
          <w:szCs w:val="20"/>
        </w:rPr>
        <w:t xml:space="preserve"> </w:t>
      </w:r>
      <w:r w:rsidRPr="0092295B">
        <w:rPr>
          <w:b/>
          <w:i/>
          <w:iCs/>
          <w:szCs w:val="20"/>
        </w:rPr>
        <w:t>representante</w:t>
      </w:r>
      <w:r w:rsidRPr="0092295B">
        <w:rPr>
          <w:b/>
          <w:szCs w:val="20"/>
        </w:rPr>
        <w:t xml:space="preserve"> </w:t>
      </w:r>
      <w:r w:rsidRPr="0092295B">
        <w:rPr>
          <w:bCs/>
          <w:szCs w:val="20"/>
        </w:rPr>
        <w:t>reprodujo algunas partes de los Informe</w:t>
      </w:r>
      <w:r w:rsidR="00C15DD9">
        <w:rPr>
          <w:bCs/>
          <w:szCs w:val="20"/>
        </w:rPr>
        <w:t>s</w:t>
      </w:r>
      <w:r w:rsidRPr="0092295B">
        <w:rPr>
          <w:bCs/>
          <w:szCs w:val="20"/>
        </w:rPr>
        <w:t xml:space="preserve"> de Admisibilidad y Fondo, así como del escrito de sometimiento del caso. </w:t>
      </w:r>
    </w:p>
    <w:p w14:paraId="115F4799" w14:textId="77777777" w:rsidR="007333A7" w:rsidRPr="0092295B" w:rsidRDefault="007333A7" w:rsidP="007333A7">
      <w:pPr>
        <w:pStyle w:val="Prrafodelista"/>
        <w:spacing w:before="0" w:after="0"/>
        <w:ind w:left="0"/>
        <w:rPr>
          <w:b/>
          <w:strike/>
        </w:rPr>
      </w:pPr>
    </w:p>
    <w:p w14:paraId="166DB222" w14:textId="36800D95" w:rsidR="0092295B" w:rsidRPr="00ED2790" w:rsidRDefault="007333A7" w:rsidP="0095757D">
      <w:pPr>
        <w:pStyle w:val="Prrafodelista"/>
        <w:widowControl w:val="0"/>
        <w:numPr>
          <w:ilvl w:val="0"/>
          <w:numId w:val="29"/>
        </w:numPr>
        <w:autoSpaceDE w:val="0"/>
        <w:autoSpaceDN w:val="0"/>
        <w:adjustRightInd w:val="0"/>
        <w:spacing w:before="0" w:after="0"/>
        <w:ind w:left="0" w:firstLine="0"/>
        <w:rPr>
          <w:szCs w:val="20"/>
          <w:lang w:val="es-CR"/>
        </w:rPr>
      </w:pPr>
      <w:r w:rsidRPr="0092295B">
        <w:rPr>
          <w:szCs w:val="20"/>
          <w:lang w:val="es-CR"/>
        </w:rPr>
        <w:t xml:space="preserve">El </w:t>
      </w:r>
      <w:r w:rsidRPr="0092295B">
        <w:rPr>
          <w:b/>
          <w:i/>
          <w:szCs w:val="20"/>
          <w:lang w:val="es-CR"/>
        </w:rPr>
        <w:t>Estado</w:t>
      </w:r>
      <w:r w:rsidRPr="0092295B">
        <w:rPr>
          <w:szCs w:val="20"/>
          <w:lang w:val="es-CR"/>
        </w:rPr>
        <w:t xml:space="preserve"> </w:t>
      </w:r>
      <w:r w:rsidRPr="0092295B">
        <w:rPr>
          <w:rFonts w:cs="Times New Roman"/>
          <w:szCs w:val="20"/>
          <w:lang w:val="es-CR"/>
        </w:rPr>
        <w:t>respecto a la independencia judicial se refirió a los artículos 69 y 70 de la Ley Org</w:t>
      </w:r>
      <w:r w:rsidR="003652AC" w:rsidRPr="0092295B">
        <w:rPr>
          <w:rFonts w:cs="Times New Roman"/>
          <w:szCs w:val="20"/>
          <w:lang w:val="es-CR"/>
        </w:rPr>
        <w:t>ánica de la Policía Nacional, lo</w:t>
      </w:r>
      <w:r w:rsidRPr="0092295B">
        <w:rPr>
          <w:rFonts w:cs="Times New Roman"/>
          <w:szCs w:val="20"/>
          <w:lang w:val="es-CR"/>
        </w:rPr>
        <w:t xml:space="preserve">s cuales establecían la forma en la que son nombrados los jueces de la CNJP, la duración del cargo (dos años) y la posibilidad de </w:t>
      </w:r>
      <w:r w:rsidR="00BD4155">
        <w:rPr>
          <w:rFonts w:cs="Times New Roman"/>
          <w:szCs w:val="20"/>
          <w:lang w:val="es-CR"/>
        </w:rPr>
        <w:t xml:space="preserve">ser </w:t>
      </w:r>
      <w:r w:rsidRPr="0092295B">
        <w:rPr>
          <w:rFonts w:cs="Times New Roman"/>
          <w:szCs w:val="20"/>
          <w:lang w:val="es-CR"/>
        </w:rPr>
        <w:t>reele</w:t>
      </w:r>
      <w:r w:rsidR="00BD4155">
        <w:rPr>
          <w:rFonts w:cs="Times New Roman"/>
          <w:szCs w:val="20"/>
          <w:lang w:val="es-CR"/>
        </w:rPr>
        <w:t>gidos</w:t>
      </w:r>
      <w:r w:rsidRPr="0092295B">
        <w:rPr>
          <w:rFonts w:cs="Times New Roman"/>
          <w:szCs w:val="20"/>
          <w:lang w:val="es-CR"/>
        </w:rPr>
        <w:t xml:space="preserve">. </w:t>
      </w:r>
      <w:r w:rsidR="00FB38DB">
        <w:rPr>
          <w:rFonts w:cs="Times New Roman"/>
          <w:szCs w:val="20"/>
          <w:lang w:val="es-CR"/>
        </w:rPr>
        <w:t>Señaló que e</w:t>
      </w:r>
      <w:r w:rsidRPr="0092295B">
        <w:rPr>
          <w:rFonts w:cs="Times New Roman"/>
          <w:szCs w:val="20"/>
          <w:lang w:val="es-CR"/>
        </w:rPr>
        <w:t>n el presente caso, el proceso fue conocido por tres jueces que presidieron la CNJP: el Genera</w:t>
      </w:r>
      <w:r w:rsidR="00D520F2">
        <w:rPr>
          <w:rFonts w:cs="Times New Roman"/>
          <w:szCs w:val="20"/>
          <w:lang w:val="es-CR"/>
        </w:rPr>
        <w:t>l Superior MAD</w:t>
      </w:r>
      <w:r w:rsidRPr="0092295B">
        <w:rPr>
          <w:rFonts w:cs="Times New Roman"/>
          <w:szCs w:val="20"/>
          <w:lang w:val="es-CR"/>
        </w:rPr>
        <w:t xml:space="preserve">, el General Byron Pinto Muñoz y posteriormente Comandante General </w:t>
      </w:r>
      <w:r w:rsidR="00D520F2">
        <w:rPr>
          <w:rFonts w:cs="Times New Roman"/>
          <w:szCs w:val="20"/>
          <w:lang w:val="es-CR"/>
        </w:rPr>
        <w:t>JJR</w:t>
      </w:r>
      <w:r w:rsidRPr="0092295B">
        <w:rPr>
          <w:rFonts w:cs="Times New Roman"/>
          <w:szCs w:val="20"/>
          <w:lang w:val="es-CR"/>
        </w:rPr>
        <w:t xml:space="preserve">. Añadió que no se ha demostrado que el Presidente de la CNJP haya estado sujeto a ningún tipo de presión, por lo que se </w:t>
      </w:r>
      <w:r w:rsidR="0001139E" w:rsidRPr="00CE7748">
        <w:rPr>
          <w:rFonts w:cs="Times New Roman"/>
          <w:szCs w:val="20"/>
          <w:lang w:val="es-CR"/>
        </w:rPr>
        <w:t>colige</w:t>
      </w:r>
      <w:r w:rsidRPr="00FA72AF">
        <w:rPr>
          <w:rFonts w:cs="Times New Roman"/>
          <w:b/>
          <w:szCs w:val="20"/>
          <w:lang w:val="es-CR"/>
        </w:rPr>
        <w:t xml:space="preserve"> </w:t>
      </w:r>
      <w:r w:rsidRPr="0092295B">
        <w:rPr>
          <w:rFonts w:cs="Times New Roman"/>
          <w:szCs w:val="20"/>
          <w:lang w:val="es-CR"/>
        </w:rPr>
        <w:t xml:space="preserve">la existencia de independencia tanto en su faceta individual como institucional. Insistió en que el enjuiciamiento se desarrolló con apego a las garantías básicas que componen el debido proceso, empezando por el respecto al principio de inocencia durante toda la tramitación del caso, desde el inicio de las investigaciones y hasta que se dictó sentencia condenatoria en contra de los señores Villarroel, Vinueza y Coloma, que posteriormente fue revocada, en segunda y definitiva instancia por la CNJP. Agregó que </w:t>
      </w:r>
      <w:r w:rsidR="00FB38DB" w:rsidRPr="00D43695">
        <w:rPr>
          <w:rFonts w:cs="Times New Roman"/>
          <w:szCs w:val="20"/>
          <w:lang w:val="es-CR"/>
        </w:rPr>
        <w:t>“</w:t>
      </w:r>
      <w:r w:rsidRPr="0092295B">
        <w:rPr>
          <w:rFonts w:cs="Times New Roman"/>
          <w:szCs w:val="20"/>
          <w:lang w:val="es-CR"/>
        </w:rPr>
        <w:t>en los fallos dictados existen varios aspectos relevantes que no solo demuestran la existencia motivación en las resoluciones, sino principalmente el acervo probatorio recogido en el proceso</w:t>
      </w:r>
      <w:r w:rsidR="00A436B4">
        <w:rPr>
          <w:rFonts w:cs="Times New Roman"/>
          <w:szCs w:val="20"/>
          <w:lang w:val="es-CR"/>
        </w:rPr>
        <w:t xml:space="preserve"> </w:t>
      </w:r>
      <w:r w:rsidRPr="0092295B">
        <w:rPr>
          <w:rFonts w:cs="Times New Roman"/>
          <w:szCs w:val="20"/>
          <w:lang w:val="es-CR"/>
        </w:rPr>
        <w:t>[…]”</w:t>
      </w:r>
      <w:r w:rsidR="0001139E">
        <w:rPr>
          <w:rFonts w:cs="Times New Roman"/>
          <w:szCs w:val="20"/>
          <w:lang w:val="es-CR"/>
        </w:rPr>
        <w:t>.</w:t>
      </w:r>
    </w:p>
    <w:p w14:paraId="5C91E278" w14:textId="00CD23CB" w:rsidR="0095757D" w:rsidRPr="0092295B" w:rsidRDefault="008A4849" w:rsidP="00ED2790">
      <w:pPr>
        <w:pStyle w:val="Ttulo4"/>
        <w:ind w:left="1134"/>
      </w:pPr>
      <w:r w:rsidRPr="0092295B">
        <w:t xml:space="preserve">A.1.3. </w:t>
      </w:r>
      <w:r w:rsidR="0095757D" w:rsidRPr="0092295B">
        <w:t xml:space="preserve">Plazo razonable </w:t>
      </w:r>
    </w:p>
    <w:p w14:paraId="644DFFFA" w14:textId="34E26F25" w:rsidR="0095757D" w:rsidRPr="0092295B" w:rsidRDefault="0095757D" w:rsidP="00276ECB">
      <w:pPr>
        <w:pStyle w:val="Prrafodelista"/>
        <w:numPr>
          <w:ilvl w:val="0"/>
          <w:numId w:val="29"/>
        </w:numPr>
        <w:spacing w:before="0" w:after="0"/>
        <w:ind w:left="0" w:firstLine="0"/>
        <w:rPr>
          <w:rFonts w:eastAsia="Times New Roman"/>
          <w:szCs w:val="20"/>
          <w:lang w:val="es-ES"/>
        </w:rPr>
      </w:pPr>
      <w:r w:rsidRPr="0092295B">
        <w:rPr>
          <w:szCs w:val="20"/>
        </w:rPr>
        <w:t xml:space="preserve">La </w:t>
      </w:r>
      <w:r w:rsidRPr="0092295B">
        <w:rPr>
          <w:b/>
          <w:i/>
          <w:szCs w:val="20"/>
        </w:rPr>
        <w:t>Comisión</w:t>
      </w:r>
      <w:r w:rsidRPr="0092295B">
        <w:rPr>
          <w:szCs w:val="20"/>
        </w:rPr>
        <w:t xml:space="preserve"> afirmó que el Estado violó el plazo razonable establecido en el artículo 8.1 de la Convención. Arguyó que el caso no revestía de especial complejidad como para justificar la duración de tres años y ocho meses del proceso penal seguido en contra las presuntas víctimas. </w:t>
      </w:r>
      <w:r w:rsidRPr="00AA500F">
        <w:rPr>
          <w:szCs w:val="20"/>
        </w:rPr>
        <w:t xml:space="preserve">La Comisión agregó que la CNJP se basó exclusivamente en el informe de la Contraloría, el cual fue emitido en el año 2001 </w:t>
      </w:r>
      <w:r w:rsidR="00D337BE" w:rsidRPr="00AA500F">
        <w:rPr>
          <w:szCs w:val="20"/>
        </w:rPr>
        <w:t>y</w:t>
      </w:r>
      <w:r w:rsidRPr="00AA500F">
        <w:rPr>
          <w:szCs w:val="20"/>
        </w:rPr>
        <w:t xml:space="preserve"> la sentencia </w:t>
      </w:r>
      <w:r w:rsidR="0001139E" w:rsidRPr="00CE7748">
        <w:rPr>
          <w:szCs w:val="20"/>
        </w:rPr>
        <w:t xml:space="preserve">absolutoria </w:t>
      </w:r>
      <w:r w:rsidRPr="00AA500F">
        <w:rPr>
          <w:szCs w:val="20"/>
        </w:rPr>
        <w:t>del CNJP fue emitida en septiembre de 2005.</w:t>
      </w:r>
      <w:r w:rsidRPr="0092295B">
        <w:rPr>
          <w:szCs w:val="20"/>
        </w:rPr>
        <w:t xml:space="preserve"> </w:t>
      </w:r>
      <w:r w:rsidRPr="0092295B">
        <w:rPr>
          <w:b/>
          <w:szCs w:val="20"/>
        </w:rPr>
        <w:t xml:space="preserve"> </w:t>
      </w:r>
      <w:r w:rsidRPr="0092295B">
        <w:rPr>
          <w:szCs w:val="20"/>
        </w:rPr>
        <w:t>Respecto de la conducta de las autoridades internas, la Comisión observó que del expediente no se desprende actividad probatoria que justifique la demora en las decisiones del pr</w:t>
      </w:r>
      <w:r w:rsidR="00F23719" w:rsidRPr="0092295B">
        <w:rPr>
          <w:szCs w:val="20"/>
        </w:rPr>
        <w:t>oceso penal. De hecho, hubo perí</w:t>
      </w:r>
      <w:r w:rsidRPr="0092295B">
        <w:rPr>
          <w:szCs w:val="20"/>
        </w:rPr>
        <w:t>odos de inactividad que no fueron justificados por el Estado.</w:t>
      </w:r>
      <w:r w:rsidR="00FA72AF">
        <w:rPr>
          <w:szCs w:val="20"/>
        </w:rPr>
        <w:t xml:space="preserve"> </w:t>
      </w:r>
      <w:r w:rsidR="0001139E" w:rsidRPr="00CE7748">
        <w:rPr>
          <w:szCs w:val="20"/>
        </w:rPr>
        <w:t>En cuanto al actuar de las presuntas víctimas</w:t>
      </w:r>
      <w:r w:rsidRPr="0092295B">
        <w:rPr>
          <w:szCs w:val="20"/>
        </w:rPr>
        <w:t xml:space="preserve">, </w:t>
      </w:r>
      <w:r w:rsidR="0001139E">
        <w:rPr>
          <w:szCs w:val="20"/>
        </w:rPr>
        <w:t xml:space="preserve">en </w:t>
      </w:r>
      <w:r w:rsidRPr="0092295B">
        <w:rPr>
          <w:szCs w:val="20"/>
        </w:rPr>
        <w:t xml:space="preserve">el expediente no destaca elemento alguno que </w:t>
      </w:r>
      <w:r w:rsidR="0001139E">
        <w:rPr>
          <w:szCs w:val="20"/>
        </w:rPr>
        <w:t xml:space="preserve">indique que </w:t>
      </w:r>
      <w:r w:rsidRPr="0092295B">
        <w:rPr>
          <w:szCs w:val="20"/>
        </w:rPr>
        <w:t>las presuntas víctimas obstaculizaron el proceso o tuvieron responsabilidad alguna en la demora. Por último, la Comisión consideró que la continuidad del proceso en las circunstancias del present</w:t>
      </w:r>
      <w:r w:rsidR="003652AC" w:rsidRPr="0092295B">
        <w:rPr>
          <w:szCs w:val="20"/>
        </w:rPr>
        <w:t>e</w:t>
      </w:r>
      <w:r w:rsidRPr="0092295B">
        <w:rPr>
          <w:szCs w:val="20"/>
        </w:rPr>
        <w:t xml:space="preserve"> caso – la prohibición de excarcelación bajo la detención en firme, la aplicación posterior de la detención preventiva y la privación de libertad de dos de las presuntas víctimas por la sentencia condenatoria – dieron lugar a la continuidad de la privación de libertad de las presuntas víctimas.</w:t>
      </w:r>
      <w:r w:rsidRPr="0092295B">
        <w:rPr>
          <w:b/>
          <w:szCs w:val="20"/>
        </w:rPr>
        <w:t xml:space="preserve"> </w:t>
      </w:r>
    </w:p>
    <w:p w14:paraId="1F62160E" w14:textId="77777777" w:rsidR="0095757D" w:rsidRPr="0092295B" w:rsidRDefault="0095757D" w:rsidP="00276ECB">
      <w:pPr>
        <w:spacing w:before="0" w:after="0"/>
        <w:rPr>
          <w:rFonts w:eastAsia="Times New Roman"/>
          <w:szCs w:val="20"/>
          <w:lang w:val="es-ES"/>
        </w:rPr>
      </w:pPr>
    </w:p>
    <w:p w14:paraId="10F4D0B6" w14:textId="22791CA6" w:rsidR="0095757D" w:rsidRPr="0092295B" w:rsidRDefault="0095757D" w:rsidP="00276ECB">
      <w:pPr>
        <w:pStyle w:val="Prrafodelista"/>
        <w:numPr>
          <w:ilvl w:val="0"/>
          <w:numId w:val="29"/>
        </w:numPr>
        <w:spacing w:before="0" w:after="0"/>
        <w:ind w:left="0" w:firstLine="0"/>
        <w:rPr>
          <w:rFonts w:eastAsia="Times New Roman"/>
          <w:szCs w:val="20"/>
          <w:lang w:val="es-ES"/>
        </w:rPr>
      </w:pPr>
      <w:r w:rsidRPr="0092295B">
        <w:rPr>
          <w:szCs w:val="20"/>
          <w:lang w:val="es-CR"/>
        </w:rPr>
        <w:t xml:space="preserve">El </w:t>
      </w:r>
      <w:r w:rsidRPr="0092295B">
        <w:rPr>
          <w:b/>
          <w:i/>
          <w:szCs w:val="20"/>
          <w:lang w:val="es-CR"/>
        </w:rPr>
        <w:t>representante</w:t>
      </w:r>
      <w:r w:rsidRPr="0092295B">
        <w:rPr>
          <w:szCs w:val="20"/>
          <w:lang w:val="es-CR"/>
        </w:rPr>
        <w:t xml:space="preserve"> </w:t>
      </w:r>
      <w:r w:rsidRPr="0092295B">
        <w:rPr>
          <w:rFonts w:eastAsia="Calibri" w:cs="Arial"/>
          <w:szCs w:val="20"/>
          <w:lang w:val="es-MX"/>
        </w:rPr>
        <w:t xml:space="preserve">se remitió en general a lo expuesto por la Comisión Interamericana, sin presentar alegaciones concretas, reprodujo algunos extractos de los Informes de Admisibilidad y Fondo de la Comisión, así como del escrito de sometimiento del caso.    </w:t>
      </w:r>
    </w:p>
    <w:p w14:paraId="1AF77D62" w14:textId="77777777" w:rsidR="0095757D" w:rsidRPr="0092295B" w:rsidRDefault="0095757D" w:rsidP="00276ECB">
      <w:pPr>
        <w:pStyle w:val="Prrafodelista"/>
        <w:autoSpaceDE w:val="0"/>
        <w:autoSpaceDN w:val="0"/>
        <w:adjustRightInd w:val="0"/>
        <w:spacing w:before="0" w:after="0"/>
        <w:ind w:left="0"/>
        <w:rPr>
          <w:szCs w:val="20"/>
          <w:lang w:val="es-CR"/>
        </w:rPr>
      </w:pPr>
    </w:p>
    <w:p w14:paraId="1C865663" w14:textId="4290E923" w:rsidR="00CB7EC5" w:rsidRPr="001838DF" w:rsidRDefault="0095757D" w:rsidP="00277F14">
      <w:pPr>
        <w:pStyle w:val="Prrafodelista"/>
        <w:numPr>
          <w:ilvl w:val="0"/>
          <w:numId w:val="29"/>
        </w:numPr>
        <w:spacing w:before="0" w:after="0"/>
        <w:ind w:left="0" w:firstLine="0"/>
        <w:rPr>
          <w:szCs w:val="20"/>
          <w:lang w:val="es-CR"/>
        </w:rPr>
      </w:pPr>
      <w:r w:rsidRPr="0092295B">
        <w:rPr>
          <w:szCs w:val="20"/>
          <w:lang w:val="es-CR"/>
        </w:rPr>
        <w:t xml:space="preserve">El </w:t>
      </w:r>
      <w:r w:rsidRPr="0092295B">
        <w:rPr>
          <w:b/>
          <w:i/>
          <w:szCs w:val="20"/>
          <w:lang w:val="es-CR"/>
        </w:rPr>
        <w:t>Estado</w:t>
      </w:r>
      <w:r w:rsidRPr="0092295B">
        <w:rPr>
          <w:szCs w:val="20"/>
          <w:lang w:val="es-CR"/>
        </w:rPr>
        <w:t xml:space="preserve"> adujo que el proceso pe</w:t>
      </w:r>
      <w:r w:rsidR="003652AC" w:rsidRPr="0092295B">
        <w:rPr>
          <w:szCs w:val="20"/>
          <w:lang w:val="es-CR"/>
        </w:rPr>
        <w:t>n</w:t>
      </w:r>
      <w:r w:rsidRPr="0092295B">
        <w:rPr>
          <w:szCs w:val="20"/>
          <w:lang w:val="es-CR"/>
        </w:rPr>
        <w:t xml:space="preserve">al seguido contra las presuntas víctimas, que fue resuelto a su favor tuvo una duración de 3 años y 6 meses, </w:t>
      </w:r>
      <w:r w:rsidRPr="001838DF">
        <w:rPr>
          <w:szCs w:val="20"/>
          <w:lang w:val="es-CR"/>
        </w:rPr>
        <w:t xml:space="preserve">un tiempo razonable en virtud del número de inculpados en el proceso y de la actividad procesal de los señores </w:t>
      </w:r>
      <w:r w:rsidRPr="00B7210C">
        <w:rPr>
          <w:rFonts w:cs="Times New Roman"/>
          <w:szCs w:val="20"/>
          <w:lang w:val="es-CR"/>
        </w:rPr>
        <w:t>Villarroel Merino, Cevallos Moreno, Coloma Gaibor, Vinueza Pánchez, López Ortiz y A</w:t>
      </w:r>
      <w:r w:rsidR="00660BC9" w:rsidRPr="00B7210C">
        <w:rPr>
          <w:rFonts w:cs="Times New Roman"/>
          <w:szCs w:val="20"/>
          <w:lang w:val="es-CR"/>
        </w:rPr>
        <w:t>s</w:t>
      </w:r>
      <w:r w:rsidRPr="00B7210C">
        <w:rPr>
          <w:rFonts w:cs="Times New Roman"/>
          <w:szCs w:val="20"/>
          <w:lang w:val="es-CR"/>
        </w:rPr>
        <w:t>cázubi</w:t>
      </w:r>
      <w:r w:rsidRPr="001838DF">
        <w:rPr>
          <w:szCs w:val="20"/>
          <w:lang w:val="es-CR"/>
        </w:rPr>
        <w:t xml:space="preserve"> </w:t>
      </w:r>
      <w:r w:rsidRPr="001838DF">
        <w:rPr>
          <w:rFonts w:cs="Times New Roman"/>
          <w:szCs w:val="20"/>
          <w:lang w:val="es-CR"/>
        </w:rPr>
        <w:t xml:space="preserve">Albán. De los hechos se desprende que tuvieron una participación activa dentro del proceso penal, interpusieron los recursos que consideraron pertinentes. La actividad de las autoridades judiciales, no fue en ningún momento demorar el análisis de los recursos propuestos, por el contrario, el proceso penal, a pesar de los recursos de apelación, nulidad, recusación, ampliación, aclaración, entre otros, se desarrolló de manera adecuada. Los procesados tuvieron la posibilidad de presentar todos los recursos que consideraron pertinentes. Concluyó que queda evidenciado que en el proceso penal No. 36-PCJP-2002 instaurado contra las presuntas víctimas se siguió el debido proceso de acuerdo a los parámetros establecidos por la Corte, por lo que no existe una violación del artículo 8 de la Convención. </w:t>
      </w:r>
    </w:p>
    <w:p w14:paraId="06A24B65" w14:textId="34448A28" w:rsidR="00277F14" w:rsidRPr="00ED2790" w:rsidRDefault="009B64D7" w:rsidP="00ED2790">
      <w:pPr>
        <w:pStyle w:val="Ttulo3"/>
        <w:rPr>
          <w:i/>
          <w:lang w:val="es-CR"/>
        </w:rPr>
      </w:pPr>
      <w:bookmarkStart w:id="132" w:name="_Toc87339033"/>
      <w:r w:rsidRPr="00ED2790">
        <w:rPr>
          <w:i/>
          <w:lang w:val="es-CR"/>
        </w:rPr>
        <w:t>A.2</w:t>
      </w:r>
      <w:r w:rsidR="00EC64FF" w:rsidRPr="00ED2790">
        <w:rPr>
          <w:i/>
          <w:lang w:val="es-CR"/>
        </w:rPr>
        <w:t xml:space="preserve"> Consideraciones de la Corte</w:t>
      </w:r>
      <w:bookmarkEnd w:id="132"/>
    </w:p>
    <w:p w14:paraId="0A8E2013" w14:textId="1BDC0329" w:rsidR="006D047E" w:rsidRPr="0092295B" w:rsidRDefault="00F23719" w:rsidP="00276ECB">
      <w:pPr>
        <w:pStyle w:val="Prrafodelista"/>
        <w:numPr>
          <w:ilvl w:val="0"/>
          <w:numId w:val="29"/>
        </w:numPr>
        <w:spacing w:before="0" w:after="0"/>
        <w:ind w:left="0" w:firstLine="0"/>
        <w:rPr>
          <w:szCs w:val="20"/>
        </w:rPr>
      </w:pPr>
      <w:r w:rsidRPr="0092295B">
        <w:rPr>
          <w:lang w:val="es-CR"/>
        </w:rPr>
        <w:t>Previamente, este</w:t>
      </w:r>
      <w:r w:rsidR="00277F14" w:rsidRPr="0092295B">
        <w:rPr>
          <w:rFonts w:eastAsia="Times New Roman" w:cs="Times New Roman"/>
          <w:szCs w:val="20"/>
          <w:lang w:val="es-CR" w:eastAsia="en-GB"/>
        </w:rPr>
        <w:t xml:space="preserve"> Tribunal recuerda que el 13 de julio de 2001 la Contraloría General del Estado emitió un informe denominado “Indicios de responsabilidad penal del examen especial a las operaciones administrativas y financieras de la Comandancia General de la Policía Nacional”</w:t>
      </w:r>
      <w:r w:rsidR="00DE5BFB">
        <w:rPr>
          <w:rFonts w:eastAsia="Times New Roman" w:cs="Times New Roman"/>
          <w:szCs w:val="20"/>
          <w:lang w:val="es-CR" w:eastAsia="en-GB"/>
        </w:rPr>
        <w:t>,</w:t>
      </w:r>
      <w:r w:rsidR="007B54CC" w:rsidRPr="0092295B">
        <w:rPr>
          <w:rFonts w:eastAsia="Times New Roman" w:cs="Times New Roman"/>
          <w:szCs w:val="20"/>
          <w:lang w:val="es-CR" w:eastAsia="en-GB"/>
        </w:rPr>
        <w:t xml:space="preserve"> </w:t>
      </w:r>
      <w:r w:rsidR="007B54CC" w:rsidRPr="00A436B4">
        <w:rPr>
          <w:rFonts w:eastAsiaTheme="minorHAnsi" w:cs="Times New Roman"/>
          <w:lang w:val="es-CR"/>
        </w:rPr>
        <w:t>Informe No. 32-DA.1- 2001- 466</w:t>
      </w:r>
      <w:r w:rsidR="00277F14" w:rsidRPr="00A436B4">
        <w:rPr>
          <w:rFonts w:eastAsia="Times New Roman" w:cs="Times New Roman"/>
          <w:szCs w:val="20"/>
          <w:lang w:val="es-CR" w:eastAsia="en-GB"/>
        </w:rPr>
        <w:t>,</w:t>
      </w:r>
      <w:r w:rsidR="00277F14" w:rsidRPr="0092295B">
        <w:rPr>
          <w:rFonts w:eastAsia="Times New Roman" w:cs="Times New Roman"/>
          <w:szCs w:val="20"/>
          <w:lang w:val="es-CR" w:eastAsia="en-GB"/>
        </w:rPr>
        <w:t xml:space="preserve"> que concluyó que había existido una serie de irregularidades en los procesos contractuales para la adquisición de repuestos automotrices y la reparación de vehículos de la Policía Nacional (</w:t>
      </w:r>
      <w:r w:rsidR="00277F14" w:rsidRPr="0092295B">
        <w:rPr>
          <w:rFonts w:eastAsia="Times New Roman" w:cs="Times New Roman"/>
          <w:i/>
          <w:iCs/>
          <w:szCs w:val="20"/>
          <w:lang w:val="es-CR" w:eastAsia="en-GB"/>
        </w:rPr>
        <w:t>supra</w:t>
      </w:r>
      <w:r w:rsidR="00277F14" w:rsidRPr="0092295B">
        <w:rPr>
          <w:rFonts w:eastAsia="Times New Roman" w:cs="Times New Roman"/>
          <w:szCs w:val="20"/>
          <w:lang w:val="es-CR" w:eastAsia="en-GB"/>
        </w:rPr>
        <w:t xml:space="preserve"> párr. </w:t>
      </w:r>
      <w:r w:rsidR="002003D3">
        <w:rPr>
          <w:rFonts w:eastAsia="Times New Roman" w:cs="Times New Roman"/>
          <w:szCs w:val="20"/>
          <w:lang w:val="es-CR" w:eastAsia="en-GB"/>
        </w:rPr>
        <w:t>43</w:t>
      </w:r>
      <w:r w:rsidR="00277F14" w:rsidRPr="0092295B">
        <w:rPr>
          <w:rFonts w:eastAsia="Times New Roman" w:cs="Times New Roman"/>
          <w:szCs w:val="20"/>
          <w:lang w:val="es-CR" w:eastAsia="en-GB"/>
        </w:rPr>
        <w:t>), en el que, involucró a las presuntas víctimas, quienes para el momento de los hechos eran oficiales de la Policía Nacional del Ecuador (</w:t>
      </w:r>
      <w:r w:rsidR="00277F14" w:rsidRPr="0092295B">
        <w:rPr>
          <w:rFonts w:eastAsia="Times New Roman" w:cs="Times New Roman"/>
          <w:i/>
          <w:iCs/>
          <w:szCs w:val="20"/>
          <w:lang w:val="es-CR" w:eastAsia="en-GB"/>
        </w:rPr>
        <w:t>supra</w:t>
      </w:r>
      <w:r w:rsidR="00277F14" w:rsidRPr="0092295B">
        <w:rPr>
          <w:rFonts w:eastAsia="Times New Roman" w:cs="Times New Roman"/>
          <w:szCs w:val="20"/>
          <w:lang w:val="es-CR" w:eastAsia="en-GB"/>
        </w:rPr>
        <w:t xml:space="preserve"> párr. </w:t>
      </w:r>
      <w:r w:rsidR="00796F2A">
        <w:rPr>
          <w:rFonts w:eastAsia="Times New Roman" w:cs="Times New Roman"/>
          <w:szCs w:val="20"/>
          <w:lang w:val="es-CR" w:eastAsia="en-GB"/>
        </w:rPr>
        <w:t>42</w:t>
      </w:r>
      <w:r w:rsidR="00277F14" w:rsidRPr="0092295B">
        <w:rPr>
          <w:rFonts w:eastAsia="Times New Roman" w:cs="Times New Roman"/>
          <w:szCs w:val="20"/>
          <w:lang w:val="es-CR" w:eastAsia="en-GB"/>
        </w:rPr>
        <w:t xml:space="preserve">). </w:t>
      </w:r>
      <w:r w:rsidR="00B46946" w:rsidRPr="0092295B">
        <w:rPr>
          <w:szCs w:val="20"/>
        </w:rPr>
        <w:t>Dicho informe</w:t>
      </w:r>
      <w:r w:rsidR="007B54CC" w:rsidRPr="0092295B">
        <w:rPr>
          <w:rFonts w:eastAsiaTheme="minorHAnsi" w:cs="Times New Roman"/>
          <w:lang w:val="es-CR"/>
        </w:rPr>
        <w:t xml:space="preserve"> sirvió de base para abrir el proceso penal policial al que fueron sometidas las presuntas víctimas</w:t>
      </w:r>
      <w:r w:rsidR="00617979" w:rsidRPr="0092295B">
        <w:rPr>
          <w:rFonts w:eastAsiaTheme="minorHAnsi" w:cs="Times New Roman"/>
          <w:lang w:val="es-CR"/>
        </w:rPr>
        <w:t xml:space="preserve">. </w:t>
      </w:r>
      <w:r w:rsidR="002755A9" w:rsidRPr="0092295B">
        <w:rPr>
          <w:rFonts w:eastAsiaTheme="minorHAnsi" w:cs="Times New Roman"/>
          <w:lang w:val="es-CR"/>
        </w:rPr>
        <w:t xml:space="preserve">La Comisión alegó que </w:t>
      </w:r>
      <w:r w:rsidR="007B12DE">
        <w:rPr>
          <w:rFonts w:eastAsiaTheme="minorHAnsi" w:cs="Times New Roman"/>
          <w:lang w:val="es-CR"/>
        </w:rPr>
        <w:t>el referido</w:t>
      </w:r>
      <w:r w:rsidR="002755A9" w:rsidRPr="0092295B">
        <w:rPr>
          <w:rFonts w:eastAsiaTheme="minorHAnsi" w:cs="Times New Roman"/>
          <w:lang w:val="es-CR"/>
        </w:rPr>
        <w:t xml:space="preserve"> informe no fue comunicado a las presuntas víctimas al momento de su elaboración. </w:t>
      </w:r>
      <w:r w:rsidR="00B46946" w:rsidRPr="0092295B">
        <w:rPr>
          <w:rFonts w:eastAsiaTheme="minorHAnsi" w:cs="Times New Roman"/>
          <w:lang w:val="es-CR"/>
        </w:rPr>
        <w:t xml:space="preserve">Al respecto, </w:t>
      </w:r>
      <w:r w:rsidRPr="0092295B">
        <w:rPr>
          <w:rFonts w:eastAsiaTheme="minorHAnsi" w:cs="Times New Roman"/>
          <w:lang w:val="es-CR"/>
        </w:rPr>
        <w:t xml:space="preserve">la Corte </w:t>
      </w:r>
      <w:r w:rsidR="00B46946" w:rsidRPr="0092295B">
        <w:rPr>
          <w:rFonts w:eastAsiaTheme="minorHAnsi" w:cs="Times New Roman"/>
          <w:lang w:val="es-CR"/>
        </w:rPr>
        <w:t xml:space="preserve">no </w:t>
      </w:r>
      <w:r w:rsidR="007B54CC" w:rsidRPr="0092295B">
        <w:rPr>
          <w:rFonts w:eastAsiaTheme="minorHAnsi" w:cs="Times New Roman"/>
          <w:lang w:val="es-CR"/>
        </w:rPr>
        <w:t xml:space="preserve">tiene la certeza de si habría sido puesto en conocimiento </w:t>
      </w:r>
      <w:r w:rsidR="00B46946" w:rsidRPr="0092295B">
        <w:rPr>
          <w:rFonts w:eastAsiaTheme="minorHAnsi" w:cs="Times New Roman"/>
          <w:lang w:val="es-CR"/>
        </w:rPr>
        <w:t xml:space="preserve">de todas las presuntas víctimas </w:t>
      </w:r>
      <w:r w:rsidR="007B54CC" w:rsidRPr="0092295B">
        <w:rPr>
          <w:rFonts w:eastAsiaTheme="minorHAnsi" w:cs="Times New Roman"/>
          <w:lang w:val="es-CR"/>
        </w:rPr>
        <w:t>con anterioridad al proceso penal policial, pero</w:t>
      </w:r>
      <w:r w:rsidR="008E03EC">
        <w:rPr>
          <w:rFonts w:eastAsiaTheme="minorHAnsi" w:cs="Times New Roman"/>
          <w:lang w:val="es-CR"/>
        </w:rPr>
        <w:t>,</w:t>
      </w:r>
      <w:r w:rsidR="007B54CC" w:rsidRPr="0092295B">
        <w:rPr>
          <w:rFonts w:eastAsiaTheme="minorHAnsi" w:cs="Times New Roman"/>
          <w:lang w:val="es-CR"/>
        </w:rPr>
        <w:t xml:space="preserve"> al menos, se desprende que les fue notificado cuando se abrió la causa</w:t>
      </w:r>
      <w:r w:rsidR="007B54CC" w:rsidRPr="0092295B">
        <w:rPr>
          <w:rStyle w:val="Refdenotaalpie"/>
          <w:rFonts w:eastAsiaTheme="minorHAnsi"/>
          <w:lang w:val="es-CR"/>
        </w:rPr>
        <w:footnoteReference w:id="136"/>
      </w:r>
      <w:r w:rsidR="004759D7" w:rsidRPr="0092295B">
        <w:rPr>
          <w:rFonts w:eastAsiaTheme="minorHAnsi" w:cs="Times New Roman"/>
          <w:lang w:val="es-CR"/>
        </w:rPr>
        <w:t>. En consecuencia, este Tribunal no cuenta con elementos suficientes para pronunciarse sobre la alegada violación</w:t>
      </w:r>
      <w:r w:rsidR="007B12DE">
        <w:rPr>
          <w:rFonts w:eastAsiaTheme="minorHAnsi" w:cs="Times New Roman"/>
          <w:lang w:val="es-CR"/>
        </w:rPr>
        <w:t xml:space="preserve"> </w:t>
      </w:r>
      <w:r w:rsidR="004759D7" w:rsidRPr="0092295B">
        <w:rPr>
          <w:rFonts w:eastAsiaTheme="minorHAnsi" w:cs="Times New Roman"/>
          <w:lang w:val="es-CR"/>
        </w:rPr>
        <w:t>de los artículos 8.2.b</w:t>
      </w:r>
      <w:r w:rsidR="007B12DE">
        <w:rPr>
          <w:rFonts w:eastAsiaTheme="minorHAnsi" w:cs="Times New Roman"/>
          <w:lang w:val="es-CR"/>
        </w:rPr>
        <w:t>)</w:t>
      </w:r>
      <w:r w:rsidR="004759D7" w:rsidRPr="0092295B">
        <w:rPr>
          <w:rFonts w:eastAsiaTheme="minorHAnsi" w:cs="Times New Roman"/>
          <w:lang w:val="es-CR"/>
        </w:rPr>
        <w:t xml:space="preserve"> y 8.2.c</w:t>
      </w:r>
      <w:r w:rsidR="007B12DE">
        <w:rPr>
          <w:rFonts w:eastAsiaTheme="minorHAnsi" w:cs="Times New Roman"/>
          <w:lang w:val="es-CR"/>
        </w:rPr>
        <w:t xml:space="preserve">) </w:t>
      </w:r>
      <w:r w:rsidR="004759D7" w:rsidRPr="0092295B">
        <w:rPr>
          <w:rFonts w:eastAsiaTheme="minorHAnsi" w:cs="Times New Roman"/>
          <w:lang w:val="es-CR"/>
        </w:rPr>
        <w:t>de la Convención</w:t>
      </w:r>
      <w:r w:rsidR="002003D3">
        <w:rPr>
          <w:rFonts w:eastAsiaTheme="minorHAnsi" w:cs="Times New Roman"/>
          <w:lang w:val="es-CR"/>
        </w:rPr>
        <w:t xml:space="preserve"> Americana</w:t>
      </w:r>
      <w:r w:rsidR="004759D7" w:rsidRPr="0092295B">
        <w:rPr>
          <w:rFonts w:eastAsiaTheme="minorHAnsi" w:cs="Times New Roman"/>
          <w:lang w:val="es-CR"/>
        </w:rPr>
        <w:t>. Sin perjuicio de lo anterior, dada la relevancia d</w:t>
      </w:r>
      <w:r w:rsidR="004759D7" w:rsidRPr="0092295B">
        <w:rPr>
          <w:rFonts w:eastAsia="Times New Roman" w:cs="Times New Roman"/>
          <w:szCs w:val="20"/>
          <w:lang w:eastAsia="es-CR"/>
        </w:rPr>
        <w:t xml:space="preserve">el referido </w:t>
      </w:r>
      <w:r w:rsidR="004759D7" w:rsidRPr="0092295B">
        <w:rPr>
          <w:rFonts w:eastAsiaTheme="minorHAnsi" w:cs="Times New Roman"/>
          <w:lang w:val="es-CR"/>
        </w:rPr>
        <w:t>Informe No. 32-DA.1- 2001- 466 y</w:t>
      </w:r>
      <w:r w:rsidR="008E03EC">
        <w:rPr>
          <w:rFonts w:eastAsiaTheme="minorHAnsi" w:cs="Times New Roman"/>
          <w:lang w:val="es-CR"/>
        </w:rPr>
        <w:t>,</w:t>
      </w:r>
      <w:r w:rsidR="004759D7" w:rsidRPr="0092295B">
        <w:rPr>
          <w:rFonts w:eastAsiaTheme="minorHAnsi" w:cs="Times New Roman"/>
          <w:lang w:val="es-CR"/>
        </w:rPr>
        <w:t xml:space="preserve"> de acuerdo a los estándares fijados por la Corte en relaci</w:t>
      </w:r>
      <w:r w:rsidR="00B46946" w:rsidRPr="0092295B">
        <w:rPr>
          <w:rFonts w:eastAsiaTheme="minorHAnsi" w:cs="Times New Roman"/>
          <w:lang w:val="es-CR"/>
        </w:rPr>
        <w:t>ón</w:t>
      </w:r>
      <w:r w:rsidR="004759D7" w:rsidRPr="0092295B">
        <w:rPr>
          <w:rFonts w:eastAsiaTheme="minorHAnsi" w:cs="Times New Roman"/>
          <w:lang w:val="es-CR"/>
        </w:rPr>
        <w:t xml:space="preserve"> </w:t>
      </w:r>
      <w:r w:rsidR="00617979" w:rsidRPr="0092295B">
        <w:rPr>
          <w:rFonts w:eastAsiaTheme="minorHAnsi" w:cs="Times New Roman"/>
          <w:lang w:val="es-CR"/>
        </w:rPr>
        <w:t>con el derecho de defensa,</w:t>
      </w:r>
      <w:r w:rsidR="00B46946" w:rsidRPr="0092295B">
        <w:rPr>
          <w:rFonts w:eastAsiaTheme="minorHAnsi" w:cs="Times New Roman"/>
          <w:lang w:val="es-CR"/>
        </w:rPr>
        <w:t xml:space="preserve"> este Tribunal advierte que</w:t>
      </w:r>
      <w:r w:rsidR="00617979" w:rsidRPr="0092295B">
        <w:rPr>
          <w:rFonts w:eastAsiaTheme="minorHAnsi" w:cs="Times New Roman"/>
          <w:lang w:val="es-CR"/>
        </w:rPr>
        <w:t xml:space="preserve"> las presuntas víctimas debieron </w:t>
      </w:r>
      <w:r w:rsidR="00B46946" w:rsidRPr="0092295B">
        <w:rPr>
          <w:rFonts w:eastAsiaTheme="minorHAnsi" w:cs="Times New Roman"/>
          <w:lang w:val="es-CR"/>
        </w:rPr>
        <w:t>participar en</w:t>
      </w:r>
      <w:r w:rsidR="00617979" w:rsidRPr="0092295B">
        <w:rPr>
          <w:rFonts w:eastAsiaTheme="minorHAnsi" w:cs="Times New Roman"/>
          <w:lang w:val="es-CR"/>
        </w:rPr>
        <w:t xml:space="preserve"> el examen efectua</w:t>
      </w:r>
      <w:r w:rsidR="007B12DE">
        <w:rPr>
          <w:rFonts w:eastAsiaTheme="minorHAnsi" w:cs="Times New Roman"/>
          <w:lang w:val="es-CR"/>
        </w:rPr>
        <w:t>do por</w:t>
      </w:r>
      <w:r w:rsidR="00617979" w:rsidRPr="0092295B">
        <w:rPr>
          <w:rFonts w:eastAsiaTheme="minorHAnsi" w:cs="Times New Roman"/>
          <w:lang w:val="es-CR"/>
        </w:rPr>
        <w:t xml:space="preserve"> la Contraloría</w:t>
      </w:r>
      <w:r w:rsidR="00B46946" w:rsidRPr="0092295B">
        <w:rPr>
          <w:rStyle w:val="Refdenotaalpie"/>
          <w:rFonts w:eastAsiaTheme="minorHAnsi"/>
          <w:lang w:val="es-CR"/>
        </w:rPr>
        <w:footnoteReference w:id="137"/>
      </w:r>
      <w:r w:rsidR="00617979" w:rsidRPr="0092295B">
        <w:rPr>
          <w:rFonts w:eastAsiaTheme="minorHAnsi" w:cs="Times New Roman"/>
          <w:lang w:val="es-CR"/>
        </w:rPr>
        <w:t xml:space="preserve"> y</w:t>
      </w:r>
      <w:r w:rsidR="00B46946" w:rsidRPr="0092295B">
        <w:rPr>
          <w:rFonts w:eastAsiaTheme="minorHAnsi" w:cs="Times New Roman"/>
          <w:lang w:val="es-CR"/>
        </w:rPr>
        <w:t xml:space="preserve"> conocer el informe</w:t>
      </w:r>
      <w:r w:rsidR="00617979" w:rsidRPr="0092295B">
        <w:rPr>
          <w:rFonts w:eastAsiaTheme="minorHAnsi" w:cs="Times New Roman"/>
          <w:lang w:val="es-CR"/>
        </w:rPr>
        <w:t xml:space="preserve"> </w:t>
      </w:r>
      <w:r w:rsidR="00B46946" w:rsidRPr="0092295B">
        <w:rPr>
          <w:rFonts w:eastAsiaTheme="minorHAnsi" w:cs="Times New Roman"/>
          <w:lang w:val="es-CR"/>
        </w:rPr>
        <w:t xml:space="preserve">con anterioridad a la apertura de la causa penal policial para </w:t>
      </w:r>
      <w:r w:rsidR="00617979" w:rsidRPr="0092295B">
        <w:rPr>
          <w:rFonts w:eastAsiaTheme="minorHAnsi" w:cs="Times New Roman"/>
          <w:lang w:val="es-CR"/>
        </w:rPr>
        <w:t>ejercer el derecho de defensa</w:t>
      </w:r>
      <w:r w:rsidR="00B46946" w:rsidRPr="0092295B">
        <w:rPr>
          <w:rFonts w:eastAsiaTheme="minorHAnsi" w:cs="Times New Roman"/>
          <w:lang w:val="es-CR"/>
        </w:rPr>
        <w:t>.</w:t>
      </w:r>
      <w:r w:rsidR="00F83A46" w:rsidRPr="0092295B">
        <w:rPr>
          <w:rFonts w:eastAsiaTheme="minorHAnsi" w:cs="Times New Roman"/>
          <w:lang w:val="es-CR"/>
        </w:rPr>
        <w:t xml:space="preserve"> </w:t>
      </w:r>
    </w:p>
    <w:p w14:paraId="641B2DA0" w14:textId="77777777" w:rsidR="00EC64FF" w:rsidRPr="0092295B" w:rsidRDefault="00EC64FF" w:rsidP="00276ECB">
      <w:pPr>
        <w:spacing w:before="0" w:after="0"/>
        <w:rPr>
          <w:b/>
          <w:szCs w:val="20"/>
          <w:lang w:val="es-CR"/>
        </w:rPr>
      </w:pPr>
    </w:p>
    <w:p w14:paraId="3BB7D371" w14:textId="01981895" w:rsidR="00CA0CA0" w:rsidRPr="0092295B" w:rsidRDefault="00F83A46" w:rsidP="00276ECB">
      <w:pPr>
        <w:pStyle w:val="Prrafodelista"/>
        <w:numPr>
          <w:ilvl w:val="0"/>
          <w:numId w:val="29"/>
        </w:numPr>
        <w:spacing w:before="0" w:after="0"/>
        <w:ind w:left="0" w:firstLine="0"/>
        <w:rPr>
          <w:szCs w:val="20"/>
          <w:lang w:val="es-CR"/>
        </w:rPr>
      </w:pPr>
      <w:r w:rsidRPr="0092295B">
        <w:rPr>
          <w:szCs w:val="20"/>
          <w:lang w:val="es-CR"/>
        </w:rPr>
        <w:t>Por otra parte, en</w:t>
      </w:r>
      <w:r w:rsidR="005F6809" w:rsidRPr="0092295B">
        <w:rPr>
          <w:szCs w:val="20"/>
          <w:lang w:val="es-CR"/>
        </w:rPr>
        <w:t xml:space="preserve"> </w:t>
      </w:r>
      <w:r w:rsidR="00CA0CA0" w:rsidRPr="0092295B">
        <w:rPr>
          <w:szCs w:val="20"/>
          <w:lang w:val="es-CR"/>
        </w:rPr>
        <w:t>el presente caso, la controversia</w:t>
      </w:r>
      <w:r w:rsidR="002D62E7" w:rsidRPr="0092295B">
        <w:rPr>
          <w:szCs w:val="20"/>
          <w:lang w:val="es-CR"/>
        </w:rPr>
        <w:t xml:space="preserve"> se centra</w:t>
      </w:r>
      <w:r w:rsidR="00CA0CA0" w:rsidRPr="0092295B">
        <w:rPr>
          <w:szCs w:val="20"/>
          <w:lang w:val="es-CR"/>
        </w:rPr>
        <w:t xml:space="preserve"> en determinar si el Estado violó </w:t>
      </w:r>
      <w:r w:rsidR="00CA0CA0" w:rsidRPr="0092295B">
        <w:rPr>
          <w:szCs w:val="20"/>
        </w:rPr>
        <w:t>el derecho a contar con un juez o tribunal compet</w:t>
      </w:r>
      <w:r w:rsidR="00DF0346" w:rsidRPr="0092295B">
        <w:rPr>
          <w:szCs w:val="20"/>
        </w:rPr>
        <w:t>e</w:t>
      </w:r>
      <w:r w:rsidRPr="0092295B">
        <w:rPr>
          <w:szCs w:val="20"/>
        </w:rPr>
        <w:t xml:space="preserve">nte, imparcial e independiente en el proceso penal policial. </w:t>
      </w:r>
      <w:r w:rsidR="00CA0CA0" w:rsidRPr="0092295B">
        <w:rPr>
          <w:szCs w:val="20"/>
          <w:lang w:val="es-CR"/>
        </w:rPr>
        <w:t xml:space="preserve">Este Tribunal </w:t>
      </w:r>
      <w:r w:rsidR="0039391E" w:rsidRPr="0092295B">
        <w:rPr>
          <w:szCs w:val="20"/>
          <w:lang w:val="es-CR"/>
        </w:rPr>
        <w:t>seguidamente</w:t>
      </w:r>
      <w:r w:rsidR="002D62E7" w:rsidRPr="0092295B">
        <w:rPr>
          <w:szCs w:val="20"/>
          <w:lang w:val="es-CR"/>
        </w:rPr>
        <w:t xml:space="preserve"> examinará</w:t>
      </w:r>
      <w:r w:rsidR="0039391E" w:rsidRPr="0092295B">
        <w:rPr>
          <w:szCs w:val="20"/>
          <w:lang w:val="es-CR"/>
        </w:rPr>
        <w:t xml:space="preserve"> </w:t>
      </w:r>
      <w:r w:rsidR="002D62E7" w:rsidRPr="0092295B">
        <w:rPr>
          <w:szCs w:val="20"/>
          <w:lang w:val="es-CR"/>
        </w:rPr>
        <w:t xml:space="preserve">los aspectos relevantes respecto a </w:t>
      </w:r>
      <w:r w:rsidR="00B93008" w:rsidRPr="0092295B">
        <w:rPr>
          <w:szCs w:val="20"/>
          <w:lang w:val="es-CR"/>
        </w:rPr>
        <w:t>si la jurisdicción penal policial</w:t>
      </w:r>
      <w:r w:rsidR="00CA0CA0" w:rsidRPr="0092295B">
        <w:rPr>
          <w:szCs w:val="20"/>
          <w:lang w:val="es-CR"/>
        </w:rPr>
        <w:t xml:space="preserve"> ofrecía las suficientes garantías de independencia e imparcialidad</w:t>
      </w:r>
      <w:r w:rsidR="0039391E" w:rsidRPr="0092295B">
        <w:rPr>
          <w:szCs w:val="20"/>
          <w:lang w:val="es-CR"/>
        </w:rPr>
        <w:t>.</w:t>
      </w:r>
    </w:p>
    <w:p w14:paraId="2F7A3B0B" w14:textId="309EE5C2" w:rsidR="00570200" w:rsidRPr="0092295B" w:rsidRDefault="00CA0CA0" w:rsidP="00465D58">
      <w:pPr>
        <w:pStyle w:val="Prrafodelista"/>
        <w:spacing w:before="0" w:after="0"/>
        <w:ind w:left="0"/>
        <w:rPr>
          <w:szCs w:val="20"/>
          <w:lang w:val="es-CR"/>
        </w:rPr>
      </w:pPr>
      <w:r w:rsidRPr="0092295B">
        <w:rPr>
          <w:szCs w:val="20"/>
          <w:lang w:val="es-CR"/>
        </w:rPr>
        <w:t xml:space="preserve"> </w:t>
      </w:r>
    </w:p>
    <w:p w14:paraId="5B4B7F4B" w14:textId="352CA51B" w:rsidR="00570200" w:rsidRPr="00F45EB0" w:rsidRDefault="00570200" w:rsidP="00276ECB">
      <w:pPr>
        <w:pStyle w:val="Sinespaciado"/>
        <w:numPr>
          <w:ilvl w:val="0"/>
          <w:numId w:val="29"/>
        </w:numPr>
        <w:ind w:left="0" w:firstLine="0"/>
        <w:jc w:val="both"/>
        <w:rPr>
          <w:rFonts w:ascii="Verdana" w:hAnsi="Verdana"/>
          <w:spacing w:val="-2"/>
          <w:sz w:val="20"/>
          <w:szCs w:val="20"/>
          <w:lang w:val="es-CR"/>
        </w:rPr>
      </w:pPr>
      <w:r w:rsidRPr="00303E56">
        <w:rPr>
          <w:rFonts w:ascii="Verdana" w:eastAsia="Times New Roman" w:hAnsi="Verdana"/>
          <w:sz w:val="20"/>
          <w:szCs w:val="20"/>
          <w:lang w:val="es-ES"/>
        </w:rPr>
        <w:t xml:space="preserve">La </w:t>
      </w:r>
      <w:r w:rsidR="00E617E8" w:rsidRPr="00303E56">
        <w:rPr>
          <w:rFonts w:ascii="Verdana" w:eastAsia="Times New Roman" w:hAnsi="Verdana"/>
          <w:sz w:val="20"/>
          <w:szCs w:val="20"/>
          <w:lang w:val="es-ES"/>
        </w:rPr>
        <w:t xml:space="preserve">Corte ha indicado que la </w:t>
      </w:r>
      <w:r w:rsidRPr="00303E56">
        <w:rPr>
          <w:rFonts w:ascii="Verdana" w:eastAsia="Times New Roman" w:hAnsi="Verdana"/>
          <w:sz w:val="20"/>
          <w:szCs w:val="20"/>
          <w:lang w:val="es-ES"/>
        </w:rPr>
        <w:t>independencia del juez se garantiza mediante la inamovilidad y un nombramiento adecuado que contemple sus méritos y formación jurídica</w:t>
      </w:r>
      <w:r w:rsidR="00AF011A">
        <w:rPr>
          <w:rFonts w:ascii="Verdana" w:eastAsia="Times New Roman" w:hAnsi="Verdana"/>
          <w:sz w:val="20"/>
          <w:szCs w:val="20"/>
          <w:lang w:val="es-ES"/>
        </w:rPr>
        <w:t>, y la garantía contra presiones externas</w:t>
      </w:r>
      <w:r w:rsidR="00F45EB0">
        <w:rPr>
          <w:rStyle w:val="Refdenotaalpie"/>
          <w:rFonts w:ascii="Verdana" w:eastAsia="Times New Roman" w:hAnsi="Verdana"/>
          <w:sz w:val="20"/>
          <w:lang w:val="es-ES"/>
        </w:rPr>
        <w:footnoteReference w:id="138"/>
      </w:r>
      <w:r w:rsidR="00FA72AF">
        <w:rPr>
          <w:rFonts w:ascii="Verdana" w:eastAsia="Times New Roman" w:hAnsi="Verdana"/>
          <w:sz w:val="20"/>
          <w:szCs w:val="20"/>
          <w:lang w:val="es-ES"/>
        </w:rPr>
        <w:t>.</w:t>
      </w:r>
      <w:r w:rsidRPr="00F45EB0">
        <w:rPr>
          <w:rFonts w:ascii="Verdana" w:eastAsia="Times New Roman" w:hAnsi="Verdana"/>
          <w:sz w:val="20"/>
          <w:szCs w:val="20"/>
          <w:lang w:val="es-ES"/>
        </w:rPr>
        <w:t xml:space="preserve"> E</w:t>
      </w:r>
      <w:r w:rsidRPr="00046475">
        <w:rPr>
          <w:rFonts w:ascii="Verdana" w:eastAsia="Times New Roman" w:hAnsi="Verdana"/>
          <w:sz w:val="20"/>
          <w:szCs w:val="20"/>
          <w:lang w:val="es-ES"/>
        </w:rPr>
        <w:t>l hecho de que el Poder Ejecutivo efectúe el nombramiento de jueces, genera dependencia funcional y administrativa al mismo, lo que implica una falta de independencia e imparcialidad desde el punto de vista institucional</w:t>
      </w:r>
      <w:r w:rsidR="00FE72C2" w:rsidRPr="00F45EB0">
        <w:rPr>
          <w:rStyle w:val="Refdenotaalpie"/>
          <w:rFonts w:ascii="Verdana" w:eastAsia="Times New Roman" w:hAnsi="Verdana"/>
          <w:sz w:val="20"/>
          <w:lang w:val="es-ES"/>
        </w:rPr>
        <w:footnoteReference w:id="139"/>
      </w:r>
      <w:r w:rsidR="00FE72C2" w:rsidRPr="00F45EB0">
        <w:rPr>
          <w:rFonts w:ascii="Verdana" w:eastAsia="Times New Roman" w:hAnsi="Verdana"/>
          <w:sz w:val="20"/>
          <w:szCs w:val="20"/>
          <w:lang w:val="es-ES"/>
        </w:rPr>
        <w:t>.</w:t>
      </w:r>
      <w:r w:rsidRPr="00F45EB0">
        <w:rPr>
          <w:rFonts w:ascii="Verdana" w:eastAsia="Times New Roman" w:hAnsi="Verdana"/>
          <w:sz w:val="20"/>
          <w:szCs w:val="20"/>
          <w:lang w:val="es-ES"/>
        </w:rPr>
        <w:t xml:space="preserve"> </w:t>
      </w:r>
    </w:p>
    <w:p w14:paraId="0EFF7523" w14:textId="77777777" w:rsidR="00A9471D" w:rsidRPr="00DE5D27" w:rsidRDefault="00A9471D" w:rsidP="00276ECB">
      <w:pPr>
        <w:spacing w:before="0" w:after="0"/>
        <w:rPr>
          <w:rFonts w:eastAsia="Times New Roman"/>
          <w:b/>
          <w:szCs w:val="20"/>
          <w:lang w:val="es-ES"/>
        </w:rPr>
      </w:pPr>
    </w:p>
    <w:p w14:paraId="3BA33BB2" w14:textId="1795FF38" w:rsidR="0058050B" w:rsidRPr="00151E0B" w:rsidRDefault="001B7821" w:rsidP="00276ECB">
      <w:pPr>
        <w:pStyle w:val="Sinespaciado"/>
        <w:numPr>
          <w:ilvl w:val="0"/>
          <w:numId w:val="29"/>
        </w:numPr>
        <w:ind w:left="0" w:firstLine="0"/>
        <w:jc w:val="both"/>
        <w:rPr>
          <w:rFonts w:ascii="Verdana" w:hAnsi="Verdana"/>
          <w:spacing w:val="-2"/>
          <w:sz w:val="20"/>
          <w:szCs w:val="20"/>
          <w:lang w:val="es-CR"/>
        </w:rPr>
      </w:pPr>
      <w:r w:rsidRPr="00151E0B">
        <w:rPr>
          <w:rFonts w:ascii="Verdana" w:hAnsi="Verdana"/>
          <w:sz w:val="20"/>
          <w:szCs w:val="20"/>
          <w:lang w:val="es-ES"/>
        </w:rPr>
        <w:t>Además, este Tribunal</w:t>
      </w:r>
      <w:r w:rsidR="00A9471D" w:rsidRPr="00151E0B">
        <w:rPr>
          <w:rFonts w:ascii="Verdana" w:hAnsi="Verdana"/>
          <w:sz w:val="20"/>
          <w:szCs w:val="20"/>
          <w:lang w:val="es-CR"/>
        </w:rPr>
        <w:t xml:space="preserve"> ha señalado que la imparcialidad exige que el juez que interviene en una contienda particular se aproxime a los hechos de la causa careciendo, de manera subjetiva, de todo prejuicio y, asimismo, ofreciendo garantías suficientes de índole objetiva que per</w:t>
      </w:r>
      <w:r w:rsidR="00A9471D" w:rsidRPr="00230FC2">
        <w:rPr>
          <w:rFonts w:ascii="Verdana" w:hAnsi="Verdana"/>
          <w:sz w:val="20"/>
          <w:szCs w:val="20"/>
          <w:lang w:val="es-CR"/>
        </w:rPr>
        <w:t>mitan desterrar toda duda que el justiciable o la comunidad puedan albergar respecto de la ausencia de imparcialidad</w:t>
      </w:r>
      <w:r w:rsidR="00A9471D" w:rsidRPr="00151E0B">
        <w:rPr>
          <w:rStyle w:val="Refdenotaalpie"/>
          <w:rFonts w:ascii="Verdana" w:hAnsi="Verdana"/>
          <w:sz w:val="20"/>
          <w:lang w:val="es-CR"/>
        </w:rPr>
        <w:footnoteReference w:id="140"/>
      </w:r>
      <w:r w:rsidR="00A9471D" w:rsidRPr="00151E0B">
        <w:rPr>
          <w:rFonts w:ascii="Verdana" w:hAnsi="Verdana"/>
          <w:sz w:val="20"/>
          <w:szCs w:val="20"/>
          <w:lang w:val="es-CR"/>
        </w:rPr>
        <w:t>.</w:t>
      </w:r>
    </w:p>
    <w:p w14:paraId="04F60CB6" w14:textId="77777777" w:rsidR="00F847DA" w:rsidRPr="0092295B" w:rsidRDefault="00F847DA" w:rsidP="00276ECB">
      <w:pPr>
        <w:pStyle w:val="Sinespaciado"/>
        <w:jc w:val="both"/>
        <w:rPr>
          <w:rFonts w:ascii="Verdana" w:hAnsi="Verdana"/>
          <w:spacing w:val="-2"/>
          <w:sz w:val="20"/>
          <w:szCs w:val="20"/>
          <w:lang w:val="es-CR"/>
        </w:rPr>
      </w:pPr>
    </w:p>
    <w:p w14:paraId="64F7F017" w14:textId="21579C73" w:rsidR="00CA0CA0" w:rsidRPr="0092295B" w:rsidRDefault="00BF5F6E" w:rsidP="00276ECB">
      <w:pPr>
        <w:pStyle w:val="Prrafodelista"/>
        <w:numPr>
          <w:ilvl w:val="0"/>
          <w:numId w:val="29"/>
        </w:numPr>
        <w:spacing w:before="0" w:after="0"/>
        <w:ind w:left="0" w:firstLine="0"/>
        <w:rPr>
          <w:szCs w:val="20"/>
          <w:lang w:val="es-CR"/>
        </w:rPr>
      </w:pPr>
      <w:r w:rsidRPr="0092295B">
        <w:rPr>
          <w:szCs w:val="20"/>
          <w:lang w:val="es-CR"/>
        </w:rPr>
        <w:t>En el presente caso, al momento de</w:t>
      </w:r>
      <w:r w:rsidR="0039391E" w:rsidRPr="0092295B">
        <w:rPr>
          <w:szCs w:val="20"/>
          <w:lang w:val="es-CR"/>
        </w:rPr>
        <w:t xml:space="preserve"> la ocurrencia de</w:t>
      </w:r>
      <w:r w:rsidRPr="0092295B">
        <w:rPr>
          <w:szCs w:val="20"/>
          <w:lang w:val="es-CR"/>
        </w:rPr>
        <w:t xml:space="preserve"> los hechos investigados</w:t>
      </w:r>
      <w:r w:rsidR="0039391E" w:rsidRPr="0092295B">
        <w:rPr>
          <w:szCs w:val="20"/>
          <w:lang w:val="es-CR"/>
        </w:rPr>
        <w:t>,</w:t>
      </w:r>
      <w:r w:rsidRPr="0092295B">
        <w:rPr>
          <w:szCs w:val="20"/>
          <w:lang w:val="es-CR"/>
        </w:rPr>
        <w:t xml:space="preserve"> las presuntas víctimas eran miembros de la Policía Nacional en servicio activo y en funciones</w:t>
      </w:r>
      <w:r w:rsidR="0039391E" w:rsidRPr="0092295B">
        <w:rPr>
          <w:szCs w:val="20"/>
          <w:lang w:val="es-CR"/>
        </w:rPr>
        <w:t xml:space="preserve"> (</w:t>
      </w:r>
      <w:r w:rsidR="0039391E" w:rsidRPr="0092295B">
        <w:rPr>
          <w:i/>
          <w:szCs w:val="20"/>
          <w:lang w:val="es-CR"/>
        </w:rPr>
        <w:t>supra</w:t>
      </w:r>
      <w:r w:rsidR="0039391E" w:rsidRPr="0092295B">
        <w:rPr>
          <w:szCs w:val="20"/>
          <w:lang w:val="es-CR"/>
        </w:rPr>
        <w:t xml:space="preserve"> párr</w:t>
      </w:r>
      <w:r w:rsidR="005C683F">
        <w:rPr>
          <w:szCs w:val="20"/>
          <w:lang w:val="es-CR"/>
        </w:rPr>
        <w:t>. 42</w:t>
      </w:r>
      <w:r w:rsidR="0039391E" w:rsidRPr="0092295B">
        <w:rPr>
          <w:szCs w:val="20"/>
          <w:lang w:val="es-CR"/>
        </w:rPr>
        <w:t>)</w:t>
      </w:r>
      <w:r w:rsidR="00CC337F" w:rsidRPr="0092295B">
        <w:rPr>
          <w:szCs w:val="20"/>
          <w:lang w:val="es-CR"/>
        </w:rPr>
        <w:t>,</w:t>
      </w:r>
      <w:r w:rsidRPr="0092295B">
        <w:rPr>
          <w:szCs w:val="20"/>
          <w:lang w:val="es-CR"/>
        </w:rPr>
        <w:t xml:space="preserve"> </w:t>
      </w:r>
      <w:r w:rsidR="00CC337F" w:rsidRPr="0092295B">
        <w:rPr>
          <w:szCs w:val="20"/>
          <w:lang w:val="es-CR"/>
        </w:rPr>
        <w:t>e</w:t>
      </w:r>
      <w:r w:rsidRPr="0092295B">
        <w:rPr>
          <w:szCs w:val="20"/>
          <w:lang w:val="es-CR"/>
        </w:rPr>
        <w:t>n razón de lo cual se abrió una investigación en la jurisdicci</w:t>
      </w:r>
      <w:r w:rsidR="003C33A1" w:rsidRPr="0092295B">
        <w:rPr>
          <w:szCs w:val="20"/>
          <w:lang w:val="es-CR"/>
        </w:rPr>
        <w:t xml:space="preserve">ón especial, </w:t>
      </w:r>
      <w:r w:rsidRPr="0092295B">
        <w:rPr>
          <w:szCs w:val="20"/>
          <w:lang w:val="es-CR"/>
        </w:rPr>
        <w:t xml:space="preserve">la jurisdicción penal policial. Así, a nivel interno, </w:t>
      </w:r>
      <w:r w:rsidR="00CA0CA0" w:rsidRPr="0092295B">
        <w:rPr>
          <w:szCs w:val="20"/>
          <w:lang w:val="es-CR"/>
        </w:rPr>
        <w:t xml:space="preserve">el 11 de noviembre de 2003 </w:t>
      </w:r>
      <w:r w:rsidR="00C04A5B" w:rsidRPr="0092295B">
        <w:rPr>
          <w:szCs w:val="20"/>
          <w:lang w:val="es-CR"/>
        </w:rPr>
        <w:t xml:space="preserve">la CNJP sobreseyó parcialmente </w:t>
      </w:r>
      <w:r w:rsidRPr="0092295B">
        <w:rPr>
          <w:szCs w:val="20"/>
          <w:lang w:val="es-CR"/>
        </w:rPr>
        <w:t xml:space="preserve">al </w:t>
      </w:r>
      <w:r w:rsidR="00CA0CA0" w:rsidRPr="0092295B">
        <w:rPr>
          <w:szCs w:val="20"/>
          <w:lang w:val="es-CR"/>
        </w:rPr>
        <w:t xml:space="preserve">señor Mario Romel Cevallos Moreno, y </w:t>
      </w:r>
      <w:r w:rsidR="00C02602" w:rsidRPr="0092295B">
        <w:rPr>
          <w:szCs w:val="20"/>
          <w:lang w:val="es-CR"/>
        </w:rPr>
        <w:t xml:space="preserve">después dictó </w:t>
      </w:r>
      <w:r w:rsidR="00CA0CA0" w:rsidRPr="0092295B">
        <w:rPr>
          <w:szCs w:val="20"/>
          <w:lang w:val="es-CR"/>
        </w:rPr>
        <w:t xml:space="preserve">su sobreseimiento definitivo. </w:t>
      </w:r>
      <w:r w:rsidR="003C33A1" w:rsidRPr="0092295B">
        <w:rPr>
          <w:szCs w:val="20"/>
          <w:lang w:val="es-CR"/>
        </w:rPr>
        <w:t>Posteriormente, el</w:t>
      </w:r>
      <w:r w:rsidR="00CA0CA0" w:rsidRPr="0092295B">
        <w:rPr>
          <w:szCs w:val="20"/>
          <w:lang w:val="es-CR"/>
        </w:rPr>
        <w:t xml:space="preserve"> 10 de enero de 2005</w:t>
      </w:r>
      <w:r w:rsidR="00CC337F" w:rsidRPr="0092295B">
        <w:rPr>
          <w:szCs w:val="20"/>
          <w:lang w:val="es-CR"/>
        </w:rPr>
        <w:t>,</w:t>
      </w:r>
      <w:r w:rsidR="00CA0CA0" w:rsidRPr="0092295B">
        <w:rPr>
          <w:szCs w:val="20"/>
          <w:lang w:val="es-CR"/>
        </w:rPr>
        <w:t xml:space="preserve"> </w:t>
      </w:r>
      <w:r w:rsidR="003C33A1" w:rsidRPr="0092295B">
        <w:rPr>
          <w:szCs w:val="20"/>
          <w:lang w:val="es-CR"/>
        </w:rPr>
        <w:t xml:space="preserve">la CNJP </w:t>
      </w:r>
      <w:r w:rsidR="002B1CCA" w:rsidRPr="0092295B">
        <w:rPr>
          <w:szCs w:val="20"/>
          <w:lang w:val="es-CR"/>
        </w:rPr>
        <w:t xml:space="preserve">absolvió en forma definitiva a los señores Fernando </w:t>
      </w:r>
      <w:r w:rsidR="003723B8">
        <w:rPr>
          <w:szCs w:val="20"/>
          <w:lang w:val="es-CR"/>
        </w:rPr>
        <w:t>Marcelo López Ortiz y Leoncio A</w:t>
      </w:r>
      <w:r w:rsidR="002B1CCA" w:rsidRPr="0092295B">
        <w:rPr>
          <w:szCs w:val="20"/>
          <w:lang w:val="es-CR"/>
        </w:rPr>
        <w:t>mí</w:t>
      </w:r>
      <w:r w:rsidR="003723B8">
        <w:rPr>
          <w:szCs w:val="20"/>
          <w:lang w:val="es-CR"/>
        </w:rPr>
        <w:t>l</w:t>
      </w:r>
      <w:r w:rsidR="002B1CCA" w:rsidRPr="0092295B">
        <w:rPr>
          <w:szCs w:val="20"/>
          <w:lang w:val="es-CR"/>
        </w:rPr>
        <w:t xml:space="preserve">car Ascázubi Albán y </w:t>
      </w:r>
      <w:r w:rsidR="00CA0CA0" w:rsidRPr="0092295B">
        <w:rPr>
          <w:szCs w:val="20"/>
          <w:lang w:val="es-CR"/>
        </w:rPr>
        <w:t xml:space="preserve">condenó a los señores Jorge Enrique Coloma Gaibor y Alfonso Patricio Vinueza Pánchez </w:t>
      </w:r>
      <w:r w:rsidR="00CA0CA0" w:rsidRPr="00151E0B">
        <w:rPr>
          <w:szCs w:val="20"/>
          <w:lang w:val="es-CR"/>
        </w:rPr>
        <w:t>como autores del delito tipificado en el artículo 222, incisos 1, 3, 4 y 10 del CPPN</w:t>
      </w:r>
      <w:r w:rsidR="00CA0CA0" w:rsidRPr="0092295B">
        <w:rPr>
          <w:szCs w:val="20"/>
          <w:lang w:val="es-CR"/>
        </w:rPr>
        <w:t xml:space="preserve"> y al señor Jorge Humberto V</w:t>
      </w:r>
      <w:r w:rsidR="002B1CCA" w:rsidRPr="0092295B">
        <w:rPr>
          <w:szCs w:val="20"/>
          <w:lang w:val="es-CR"/>
        </w:rPr>
        <w:t>illarroel Merino como cómplice</w:t>
      </w:r>
      <w:r w:rsidR="002B1CCA" w:rsidRPr="00303E56">
        <w:rPr>
          <w:szCs w:val="20"/>
          <w:lang w:val="es-CR"/>
        </w:rPr>
        <w:t xml:space="preserve">, por lo que </w:t>
      </w:r>
      <w:r w:rsidR="007036B0">
        <w:rPr>
          <w:szCs w:val="20"/>
          <w:lang w:val="es-CR"/>
        </w:rPr>
        <w:t>apelaron</w:t>
      </w:r>
      <w:r w:rsidR="002B1CCA" w:rsidRPr="00303E56">
        <w:rPr>
          <w:szCs w:val="20"/>
          <w:lang w:val="es-CR"/>
        </w:rPr>
        <w:t xml:space="preserve"> </w:t>
      </w:r>
      <w:r w:rsidR="00FF2C9F">
        <w:rPr>
          <w:szCs w:val="20"/>
          <w:lang w:val="es-CR"/>
        </w:rPr>
        <w:t xml:space="preserve">dicha </w:t>
      </w:r>
      <w:r w:rsidR="002B1CCA" w:rsidRPr="00303E56">
        <w:rPr>
          <w:szCs w:val="20"/>
          <w:lang w:val="es-CR"/>
        </w:rPr>
        <w:t>sentencia</w:t>
      </w:r>
      <w:r w:rsidR="002B1CCA" w:rsidRPr="00AF011A">
        <w:rPr>
          <w:szCs w:val="20"/>
          <w:lang w:val="es-CR"/>
        </w:rPr>
        <w:t>.</w:t>
      </w:r>
      <w:r w:rsidR="00CA0CA0" w:rsidRPr="0092295B">
        <w:rPr>
          <w:szCs w:val="20"/>
          <w:lang w:val="es-CR"/>
        </w:rPr>
        <w:t xml:space="preserve"> </w:t>
      </w:r>
      <w:r w:rsidR="00C02602" w:rsidRPr="0092295B">
        <w:rPr>
          <w:szCs w:val="20"/>
          <w:lang w:val="es-CR"/>
        </w:rPr>
        <w:t xml:space="preserve">Finalmente, </w:t>
      </w:r>
      <w:r w:rsidR="00CA0CA0" w:rsidRPr="0092295B">
        <w:rPr>
          <w:szCs w:val="20"/>
          <w:lang w:val="es-CR"/>
        </w:rPr>
        <w:t>la Corte Nacional de Justicia Policial</w:t>
      </w:r>
      <w:r w:rsidR="00CC337F" w:rsidRPr="0092295B">
        <w:rPr>
          <w:szCs w:val="20"/>
          <w:lang w:val="es-CR"/>
        </w:rPr>
        <w:t>,</w:t>
      </w:r>
      <w:r w:rsidR="00CA0CA0" w:rsidRPr="0092295B">
        <w:rPr>
          <w:szCs w:val="20"/>
          <w:lang w:val="es-CR"/>
        </w:rPr>
        <w:t xml:space="preserve"> el 19 de septiembre de 2005</w:t>
      </w:r>
      <w:r w:rsidR="00CC337F" w:rsidRPr="0092295B">
        <w:rPr>
          <w:szCs w:val="20"/>
          <w:lang w:val="es-CR"/>
        </w:rPr>
        <w:t>,</w:t>
      </w:r>
      <w:r w:rsidR="00CA0CA0" w:rsidRPr="0092295B">
        <w:rPr>
          <w:szCs w:val="20"/>
          <w:lang w:val="es-CR"/>
        </w:rPr>
        <w:t xml:space="preserve"> emitió sentencia absolutoria a favor a los señores </w:t>
      </w:r>
      <w:r w:rsidR="00796F2A">
        <w:rPr>
          <w:szCs w:val="20"/>
          <w:lang w:val="es-CR"/>
        </w:rPr>
        <w:t>Coloma Gaibor,</w:t>
      </w:r>
      <w:r w:rsidR="00CA0CA0" w:rsidRPr="0092295B">
        <w:rPr>
          <w:szCs w:val="20"/>
          <w:lang w:val="es-CR"/>
        </w:rPr>
        <w:t xml:space="preserve"> Vinueza Pánchez</w:t>
      </w:r>
      <w:r w:rsidR="0039391E" w:rsidRPr="0092295B">
        <w:rPr>
          <w:szCs w:val="20"/>
          <w:lang w:val="es-CR"/>
        </w:rPr>
        <w:t xml:space="preserve"> </w:t>
      </w:r>
      <w:r w:rsidR="00796F2A">
        <w:rPr>
          <w:szCs w:val="20"/>
          <w:lang w:val="es-CR"/>
        </w:rPr>
        <w:t xml:space="preserve">y </w:t>
      </w:r>
      <w:r w:rsidR="00796F2A" w:rsidRPr="0092295B">
        <w:rPr>
          <w:szCs w:val="20"/>
          <w:lang w:val="es-CR"/>
        </w:rPr>
        <w:t xml:space="preserve">Villarroel Merino, </w:t>
      </w:r>
      <w:r w:rsidR="0039391E" w:rsidRPr="0092295B">
        <w:rPr>
          <w:szCs w:val="20"/>
          <w:lang w:val="es-CR"/>
        </w:rPr>
        <w:t>(</w:t>
      </w:r>
      <w:r w:rsidR="0039391E" w:rsidRPr="0092295B">
        <w:rPr>
          <w:i/>
          <w:szCs w:val="20"/>
          <w:lang w:val="es-CR"/>
        </w:rPr>
        <w:t>supra</w:t>
      </w:r>
      <w:r w:rsidR="0039391E" w:rsidRPr="0092295B">
        <w:rPr>
          <w:szCs w:val="20"/>
          <w:lang w:val="es-CR"/>
        </w:rPr>
        <w:t xml:space="preserve"> párr. </w:t>
      </w:r>
      <w:r w:rsidR="005C683F">
        <w:rPr>
          <w:szCs w:val="20"/>
          <w:lang w:val="es-CR"/>
        </w:rPr>
        <w:t>65</w:t>
      </w:r>
      <w:r w:rsidR="0039391E" w:rsidRPr="0092295B">
        <w:rPr>
          <w:szCs w:val="20"/>
          <w:lang w:val="es-CR"/>
        </w:rPr>
        <w:t>).</w:t>
      </w:r>
      <w:r w:rsidR="00CA0CA0" w:rsidRPr="0092295B">
        <w:rPr>
          <w:szCs w:val="20"/>
          <w:lang w:val="es-CR"/>
        </w:rPr>
        <w:t xml:space="preserve"> </w:t>
      </w:r>
    </w:p>
    <w:p w14:paraId="112BA17C" w14:textId="77777777" w:rsidR="003C33A1" w:rsidRPr="0092295B" w:rsidRDefault="003C33A1" w:rsidP="003C33A1">
      <w:pPr>
        <w:pStyle w:val="Prrafodelista"/>
        <w:ind w:left="0"/>
        <w:rPr>
          <w:szCs w:val="20"/>
          <w:lang w:val="es-CR"/>
        </w:rPr>
      </w:pPr>
    </w:p>
    <w:p w14:paraId="7B240F69" w14:textId="2DEED1B7" w:rsidR="0058050B" w:rsidRPr="0092295B" w:rsidRDefault="00B93008" w:rsidP="00276ECB">
      <w:pPr>
        <w:pStyle w:val="Prrafodelista"/>
        <w:numPr>
          <w:ilvl w:val="0"/>
          <w:numId w:val="29"/>
        </w:numPr>
        <w:ind w:left="0" w:firstLine="0"/>
        <w:rPr>
          <w:szCs w:val="20"/>
          <w:lang w:val="es-CR"/>
        </w:rPr>
      </w:pPr>
      <w:r w:rsidRPr="0092295B">
        <w:rPr>
          <w:rFonts w:eastAsia="Times New Roman"/>
          <w:szCs w:val="20"/>
          <w:lang w:val="es-CR"/>
        </w:rPr>
        <w:t>L</w:t>
      </w:r>
      <w:r w:rsidR="003C33A1" w:rsidRPr="0092295B">
        <w:rPr>
          <w:rFonts w:eastAsia="Times New Roman"/>
          <w:szCs w:val="20"/>
          <w:lang w:val="es-ES"/>
        </w:rPr>
        <w:t xml:space="preserve">a Corte nota que </w:t>
      </w:r>
      <w:r w:rsidR="003C33A1" w:rsidRPr="0092295B">
        <w:rPr>
          <w:szCs w:val="20"/>
          <w:lang w:val="es-CR"/>
        </w:rPr>
        <w:t xml:space="preserve">la investigación </w:t>
      </w:r>
      <w:r w:rsidR="00DE5BFB">
        <w:rPr>
          <w:szCs w:val="20"/>
          <w:lang w:val="es-CR"/>
        </w:rPr>
        <w:t xml:space="preserve">y juzgamiento de las presuntas víctimas </w:t>
      </w:r>
      <w:r w:rsidR="003C33A1" w:rsidRPr="0092295B">
        <w:rPr>
          <w:szCs w:val="20"/>
          <w:lang w:val="es-CR"/>
        </w:rPr>
        <w:t>se desarroll</w:t>
      </w:r>
      <w:r w:rsidR="00DE5BFB">
        <w:rPr>
          <w:szCs w:val="20"/>
          <w:lang w:val="es-CR"/>
        </w:rPr>
        <w:t>ó</w:t>
      </w:r>
      <w:r w:rsidR="003C33A1" w:rsidRPr="0092295B">
        <w:rPr>
          <w:szCs w:val="20"/>
          <w:lang w:val="es-CR"/>
        </w:rPr>
        <w:t xml:space="preserve"> ante la Corte Nacional de Justicia Policial, </w:t>
      </w:r>
      <w:r w:rsidR="00DE5BFB">
        <w:rPr>
          <w:szCs w:val="20"/>
          <w:lang w:val="es-CR"/>
        </w:rPr>
        <w:t xml:space="preserve">la cual a su vez </w:t>
      </w:r>
      <w:r w:rsidR="003C33A1" w:rsidRPr="0092295B">
        <w:rPr>
          <w:szCs w:val="20"/>
          <w:lang w:val="es-CR"/>
        </w:rPr>
        <w:t xml:space="preserve">era la encargada de conocer y </w:t>
      </w:r>
      <w:r w:rsidR="003C33A1" w:rsidRPr="0092295B">
        <w:rPr>
          <w:szCs w:val="20"/>
        </w:rPr>
        <w:t>resolver los recursos de apelación</w:t>
      </w:r>
      <w:r w:rsidR="001B7821" w:rsidRPr="0092295B">
        <w:rPr>
          <w:szCs w:val="20"/>
        </w:rPr>
        <w:t xml:space="preserve">. </w:t>
      </w:r>
      <w:r w:rsidR="001B7821" w:rsidRPr="00230FC2">
        <w:rPr>
          <w:szCs w:val="20"/>
        </w:rPr>
        <w:t xml:space="preserve">Además, </w:t>
      </w:r>
      <w:r w:rsidR="008000B5" w:rsidRPr="00230FC2">
        <w:rPr>
          <w:szCs w:val="20"/>
        </w:rPr>
        <w:t>conforme al artículo 68 de la Ley Orgánica de la Policía Naciona</w:t>
      </w:r>
      <w:r w:rsidR="006642EF" w:rsidRPr="00230FC2">
        <w:rPr>
          <w:szCs w:val="20"/>
        </w:rPr>
        <w:t>l</w:t>
      </w:r>
      <w:r w:rsidR="006642EF" w:rsidRPr="00230FC2">
        <w:rPr>
          <w:rStyle w:val="Refdenotaalpie"/>
        </w:rPr>
        <w:footnoteReference w:id="141"/>
      </w:r>
      <w:r w:rsidR="006642EF" w:rsidRPr="00230FC2">
        <w:rPr>
          <w:szCs w:val="20"/>
        </w:rPr>
        <w:t>,</w:t>
      </w:r>
      <w:r w:rsidR="008000B5" w:rsidRPr="00230FC2">
        <w:rPr>
          <w:sz w:val="16"/>
          <w:szCs w:val="16"/>
          <w:lang w:val="es-CR"/>
        </w:rPr>
        <w:t xml:space="preserve"> </w:t>
      </w:r>
      <w:r w:rsidR="008000B5" w:rsidRPr="00230FC2">
        <w:rPr>
          <w:szCs w:val="20"/>
          <w:lang w:val="es-CR"/>
        </w:rPr>
        <w:t>la CNJP</w:t>
      </w:r>
      <w:r w:rsidR="008000B5" w:rsidRPr="00230FC2">
        <w:rPr>
          <w:sz w:val="16"/>
          <w:szCs w:val="16"/>
          <w:lang w:val="es-CR"/>
        </w:rPr>
        <w:t xml:space="preserve"> </w:t>
      </w:r>
      <w:r w:rsidR="008000B5" w:rsidRPr="00230FC2">
        <w:rPr>
          <w:szCs w:val="20"/>
          <w:lang w:val="es-CR"/>
        </w:rPr>
        <w:t>dependía administrativamente del Ministerio de Gobierno</w:t>
      </w:r>
      <w:r w:rsidR="008000B5" w:rsidRPr="00230FC2">
        <w:rPr>
          <w:szCs w:val="20"/>
        </w:rPr>
        <w:t xml:space="preserve"> y conforme al artículo 69 de la Ley Orgánica de la Policía Nacional,</w:t>
      </w:r>
      <w:r w:rsidR="001B7821" w:rsidRPr="00046475">
        <w:rPr>
          <w:szCs w:val="20"/>
        </w:rPr>
        <w:t xml:space="preserve"> </w:t>
      </w:r>
      <w:r w:rsidR="008000B5" w:rsidRPr="00046475">
        <w:rPr>
          <w:szCs w:val="20"/>
        </w:rPr>
        <w:t xml:space="preserve">el Presidente de la República </w:t>
      </w:r>
      <w:r w:rsidR="001B7821" w:rsidRPr="00AD16E0">
        <w:rPr>
          <w:szCs w:val="20"/>
        </w:rPr>
        <w:t>se encargaba del nombra</w:t>
      </w:r>
      <w:r w:rsidR="006265E7" w:rsidRPr="00AD16E0">
        <w:rPr>
          <w:szCs w:val="20"/>
        </w:rPr>
        <w:t>miento de los jueces de la CNJP</w:t>
      </w:r>
      <w:r w:rsidR="006265E7" w:rsidRPr="0092295B">
        <w:rPr>
          <w:szCs w:val="20"/>
        </w:rPr>
        <w:t>. C</w:t>
      </w:r>
      <w:r w:rsidR="00C04A5B" w:rsidRPr="0092295B">
        <w:rPr>
          <w:szCs w:val="20"/>
        </w:rPr>
        <w:t>omo está probado</w:t>
      </w:r>
      <w:r w:rsidR="003C33A1" w:rsidRPr="0092295B">
        <w:rPr>
          <w:szCs w:val="20"/>
        </w:rPr>
        <w:t xml:space="preserve">, </w:t>
      </w:r>
      <w:r w:rsidR="003C33A1" w:rsidRPr="0092295B">
        <w:rPr>
          <w:rFonts w:eastAsia="Times New Roman"/>
          <w:szCs w:val="20"/>
          <w:lang w:val="es-ES"/>
        </w:rPr>
        <w:t>el 29 de abril de 2003, el entonces Presidente de la República emitió el Decreto Ejecutivo No. 357</w:t>
      </w:r>
      <w:r w:rsidR="0039391E" w:rsidRPr="0092295B">
        <w:rPr>
          <w:rFonts w:eastAsia="Times New Roman"/>
          <w:szCs w:val="20"/>
          <w:lang w:val="es-ES"/>
        </w:rPr>
        <w:t>,</w:t>
      </w:r>
      <w:r w:rsidR="003C33A1" w:rsidRPr="0092295B">
        <w:rPr>
          <w:rFonts w:eastAsia="Times New Roman"/>
          <w:szCs w:val="20"/>
          <w:lang w:val="es-ES"/>
        </w:rPr>
        <w:t xml:space="preserve"> mediante el cual nombró a los nuevos ministros jueces de la CNJP, </w:t>
      </w:r>
      <w:r w:rsidR="006265E7" w:rsidRPr="0092295B">
        <w:rPr>
          <w:rFonts w:eastAsia="Times New Roman"/>
          <w:szCs w:val="20"/>
          <w:lang w:val="es-ES"/>
        </w:rPr>
        <w:t>que conocieron en primera instancia el caso</w:t>
      </w:r>
      <w:r w:rsidR="00CC337F" w:rsidRPr="0092295B">
        <w:rPr>
          <w:rFonts w:eastAsia="Times New Roman"/>
          <w:szCs w:val="20"/>
          <w:lang w:val="es-ES"/>
        </w:rPr>
        <w:t>;</w:t>
      </w:r>
      <w:r w:rsidR="006265E7" w:rsidRPr="0092295B">
        <w:rPr>
          <w:rFonts w:eastAsia="Times New Roman"/>
          <w:szCs w:val="20"/>
          <w:lang w:val="es-ES"/>
        </w:rPr>
        <w:t xml:space="preserve"> entre ellos nombró </w:t>
      </w:r>
      <w:r w:rsidR="003C33A1" w:rsidRPr="0092295B">
        <w:rPr>
          <w:rFonts w:eastAsia="Times New Roman"/>
          <w:szCs w:val="20"/>
          <w:lang w:val="es-ES"/>
        </w:rPr>
        <w:t>al General Byron Pinto Muñoz</w:t>
      </w:r>
      <w:r w:rsidR="0039391E" w:rsidRPr="0092295B">
        <w:rPr>
          <w:rFonts w:eastAsia="Times New Roman"/>
          <w:szCs w:val="20"/>
          <w:lang w:val="es-ES"/>
        </w:rPr>
        <w:t xml:space="preserve"> </w:t>
      </w:r>
      <w:r w:rsidR="0039391E" w:rsidRPr="0092295B">
        <w:rPr>
          <w:szCs w:val="20"/>
          <w:lang w:val="es-CR"/>
        </w:rPr>
        <w:t>(</w:t>
      </w:r>
      <w:r w:rsidR="0039391E" w:rsidRPr="0092295B">
        <w:rPr>
          <w:i/>
          <w:szCs w:val="20"/>
          <w:lang w:val="es-CR"/>
        </w:rPr>
        <w:t>supra</w:t>
      </w:r>
      <w:r w:rsidR="0039391E" w:rsidRPr="0092295B">
        <w:rPr>
          <w:szCs w:val="20"/>
          <w:lang w:val="es-CR"/>
        </w:rPr>
        <w:t xml:space="preserve"> párr. </w:t>
      </w:r>
      <w:r w:rsidR="005C683F">
        <w:rPr>
          <w:szCs w:val="20"/>
          <w:lang w:val="es-CR"/>
        </w:rPr>
        <w:t>48</w:t>
      </w:r>
      <w:r w:rsidR="0039391E" w:rsidRPr="0092295B">
        <w:rPr>
          <w:szCs w:val="20"/>
          <w:lang w:val="es-CR"/>
        </w:rPr>
        <w:t>)</w:t>
      </w:r>
      <w:r w:rsidR="003C33A1" w:rsidRPr="0092295B">
        <w:rPr>
          <w:rFonts w:eastAsia="Times New Roman"/>
          <w:szCs w:val="20"/>
          <w:lang w:val="es-ES"/>
        </w:rPr>
        <w:t>. Posteriormente, el 10 de junio de 2005, el entonces Presidente de la República, emitió el Decreto</w:t>
      </w:r>
      <w:r w:rsidR="0039391E" w:rsidRPr="0092295B">
        <w:rPr>
          <w:rFonts w:eastAsia="Times New Roman"/>
          <w:szCs w:val="20"/>
          <w:lang w:val="es-ES"/>
        </w:rPr>
        <w:t xml:space="preserve"> Ejecutivo No.</w:t>
      </w:r>
      <w:r w:rsidR="003C33A1" w:rsidRPr="0092295B">
        <w:rPr>
          <w:rFonts w:eastAsia="Times New Roman"/>
          <w:szCs w:val="20"/>
          <w:lang w:val="es-ES"/>
        </w:rPr>
        <w:t xml:space="preserve"> 227 nombrando a nuevos miembros de la CNJP por el cumplimiento del período de los anteriores</w:t>
      </w:r>
      <w:r w:rsidR="006265E7" w:rsidRPr="0092295B">
        <w:rPr>
          <w:rFonts w:eastAsia="Times New Roman"/>
          <w:szCs w:val="20"/>
          <w:lang w:val="es-ES"/>
        </w:rPr>
        <w:t>, quienes conocieron la apelación de la sentencia condenatoria</w:t>
      </w:r>
      <w:r w:rsidR="0039391E" w:rsidRPr="0092295B">
        <w:rPr>
          <w:rFonts w:eastAsia="Times New Roman"/>
          <w:szCs w:val="20"/>
          <w:lang w:val="es-ES"/>
        </w:rPr>
        <w:t xml:space="preserve"> </w:t>
      </w:r>
      <w:r w:rsidR="0039391E" w:rsidRPr="0092295B">
        <w:rPr>
          <w:szCs w:val="20"/>
          <w:lang w:val="es-CR"/>
        </w:rPr>
        <w:t>(</w:t>
      </w:r>
      <w:r w:rsidR="0039391E" w:rsidRPr="0092295B">
        <w:rPr>
          <w:i/>
          <w:szCs w:val="20"/>
          <w:lang w:val="es-CR"/>
        </w:rPr>
        <w:t>supra</w:t>
      </w:r>
      <w:r w:rsidR="0039391E" w:rsidRPr="0092295B">
        <w:rPr>
          <w:szCs w:val="20"/>
          <w:lang w:val="es-CR"/>
        </w:rPr>
        <w:t xml:space="preserve"> párr</w:t>
      </w:r>
      <w:r w:rsidR="00E16D7C">
        <w:rPr>
          <w:szCs w:val="20"/>
          <w:lang w:val="es-CR"/>
        </w:rPr>
        <w:t>s</w:t>
      </w:r>
      <w:r w:rsidR="0039391E" w:rsidRPr="0092295B">
        <w:rPr>
          <w:szCs w:val="20"/>
          <w:lang w:val="es-CR"/>
        </w:rPr>
        <w:t xml:space="preserve">. </w:t>
      </w:r>
      <w:r w:rsidR="005C683F">
        <w:rPr>
          <w:szCs w:val="20"/>
          <w:lang w:val="es-CR"/>
        </w:rPr>
        <w:t>64</w:t>
      </w:r>
      <w:r w:rsidR="00E16D7C">
        <w:rPr>
          <w:szCs w:val="20"/>
          <w:lang w:val="es-CR"/>
        </w:rPr>
        <w:t xml:space="preserve"> y 65</w:t>
      </w:r>
      <w:r w:rsidR="0039391E" w:rsidRPr="0092295B">
        <w:rPr>
          <w:szCs w:val="20"/>
          <w:lang w:val="es-CR"/>
        </w:rPr>
        <w:t>)</w:t>
      </w:r>
      <w:r w:rsidR="006265E7" w:rsidRPr="0092295B">
        <w:rPr>
          <w:rFonts w:eastAsia="Times New Roman"/>
          <w:szCs w:val="20"/>
          <w:lang w:val="es-ES"/>
        </w:rPr>
        <w:t>. Asimismo</w:t>
      </w:r>
      <w:r w:rsidR="003C33A1" w:rsidRPr="0092295B">
        <w:rPr>
          <w:rFonts w:eastAsia="Times New Roman"/>
          <w:szCs w:val="20"/>
          <w:lang w:val="es-ES"/>
        </w:rPr>
        <w:t xml:space="preserve">, la formación jurídica de los integrantes de la CNJP no era exigible para el desempeño del cargo de los ministros jueces </w:t>
      </w:r>
      <w:r w:rsidR="003C33A1" w:rsidRPr="0092295B">
        <w:rPr>
          <w:szCs w:val="20"/>
          <w:lang w:val="es-ES"/>
        </w:rPr>
        <w:t>y la duración del mandato era únicamente de dos años con posibilidad de reelección</w:t>
      </w:r>
      <w:r w:rsidR="0039391E" w:rsidRPr="0092295B">
        <w:rPr>
          <w:rStyle w:val="Refdenotaalpie"/>
          <w:lang w:val="es-ES"/>
        </w:rPr>
        <w:footnoteReference w:id="142"/>
      </w:r>
      <w:r w:rsidR="003C33A1" w:rsidRPr="0092295B">
        <w:rPr>
          <w:szCs w:val="20"/>
          <w:lang w:val="es-ES"/>
        </w:rPr>
        <w:t>.</w:t>
      </w:r>
    </w:p>
    <w:p w14:paraId="28D7B715" w14:textId="77777777" w:rsidR="00645F9A" w:rsidRPr="0092295B" w:rsidRDefault="00645F9A" w:rsidP="00276ECB">
      <w:pPr>
        <w:pStyle w:val="Prrafodelista"/>
        <w:ind w:left="0"/>
        <w:rPr>
          <w:szCs w:val="20"/>
          <w:lang w:val="es-CR"/>
        </w:rPr>
      </w:pPr>
    </w:p>
    <w:p w14:paraId="7167EC80" w14:textId="77777777" w:rsidR="00905649" w:rsidRPr="00905649" w:rsidRDefault="00645F9A" w:rsidP="00905649">
      <w:pPr>
        <w:pStyle w:val="Prrafodelista"/>
        <w:numPr>
          <w:ilvl w:val="0"/>
          <w:numId w:val="29"/>
        </w:numPr>
        <w:ind w:left="0" w:firstLine="0"/>
        <w:rPr>
          <w:szCs w:val="20"/>
          <w:lang w:val="es-CR"/>
        </w:rPr>
      </w:pPr>
      <w:r w:rsidRPr="00905649">
        <w:rPr>
          <w:szCs w:val="20"/>
          <w:lang w:val="es-CR"/>
        </w:rPr>
        <w:t xml:space="preserve">La Corte </w:t>
      </w:r>
      <w:r w:rsidR="00774067" w:rsidRPr="00905649">
        <w:rPr>
          <w:szCs w:val="20"/>
          <w:lang w:val="es-CR"/>
        </w:rPr>
        <w:t>ha tenido la oportunidad de analizar la compatibilidad de la jurisdicción penal policial con l</w:t>
      </w:r>
      <w:r w:rsidR="00CD547C" w:rsidRPr="00905649">
        <w:rPr>
          <w:szCs w:val="20"/>
          <w:lang w:val="es-CR"/>
        </w:rPr>
        <w:t>a Convención Americana, tomando</w:t>
      </w:r>
      <w:r w:rsidR="00774067" w:rsidRPr="00905649">
        <w:rPr>
          <w:szCs w:val="20"/>
          <w:lang w:val="es-CR"/>
        </w:rPr>
        <w:t xml:space="preserve"> en cuenta la especificidad de la naturaleza jurídica de la policía. En ese sentido</w:t>
      </w:r>
      <w:r w:rsidR="00E617E8" w:rsidRPr="00046475">
        <w:rPr>
          <w:szCs w:val="20"/>
          <w:lang w:val="es-CR"/>
        </w:rPr>
        <w:t>,</w:t>
      </w:r>
      <w:r w:rsidR="00774067" w:rsidRPr="00046475">
        <w:rPr>
          <w:szCs w:val="20"/>
          <w:lang w:val="es-CR"/>
        </w:rPr>
        <w:t xml:space="preserve"> </w:t>
      </w:r>
      <w:r w:rsidR="0039391E" w:rsidRPr="00AD16E0">
        <w:rPr>
          <w:szCs w:val="20"/>
          <w:lang w:val="es-CR"/>
        </w:rPr>
        <w:t xml:space="preserve">ya ha señalado que </w:t>
      </w:r>
      <w:r w:rsidRPr="00AD16E0">
        <w:rPr>
          <w:lang w:val="es-CR"/>
        </w:rPr>
        <w:t>los estándares de garantía y deb</w:t>
      </w:r>
      <w:r w:rsidRPr="00905649">
        <w:rPr>
          <w:lang w:val="es-CR"/>
        </w:rPr>
        <w:t xml:space="preserve">ido proceso de la Convención Americana son igualmente exigibles en la jurisdicción penal policial, de modo que </w:t>
      </w:r>
      <w:r w:rsidR="008653A6" w:rsidRPr="00905649">
        <w:rPr>
          <w:lang w:val="es-CR"/>
        </w:rPr>
        <w:t xml:space="preserve">ésta </w:t>
      </w:r>
      <w:r w:rsidRPr="00905649">
        <w:rPr>
          <w:lang w:val="es-CR"/>
        </w:rPr>
        <w:t>debe prever las garantías suficientes de imparcialidad e independencia tanto en su dimensión institucional como en su dimensió</w:t>
      </w:r>
      <w:r w:rsidR="0039391E" w:rsidRPr="00905649">
        <w:rPr>
          <w:lang w:val="es-CR"/>
        </w:rPr>
        <w:t>n individual</w:t>
      </w:r>
      <w:r w:rsidR="005C683F" w:rsidRPr="00905649">
        <w:rPr>
          <w:rStyle w:val="Refdenotaalpie"/>
          <w:lang w:val="es-CR"/>
        </w:rPr>
        <w:footnoteReference w:id="143"/>
      </w:r>
      <w:r w:rsidRPr="00905649">
        <w:rPr>
          <w:lang w:val="es-CR"/>
        </w:rPr>
        <w:t xml:space="preserve">. </w:t>
      </w:r>
    </w:p>
    <w:p w14:paraId="636058AB" w14:textId="77777777" w:rsidR="00905649" w:rsidRPr="00905649" w:rsidRDefault="00905649" w:rsidP="00905649">
      <w:pPr>
        <w:pStyle w:val="Prrafodelista"/>
        <w:rPr>
          <w:szCs w:val="20"/>
          <w:lang w:val="es-CR"/>
        </w:rPr>
      </w:pPr>
    </w:p>
    <w:p w14:paraId="3E7997F5" w14:textId="4C4CAC8B" w:rsidR="00CA0CA0" w:rsidRPr="00905649" w:rsidRDefault="0039391E" w:rsidP="00905649">
      <w:pPr>
        <w:pStyle w:val="Prrafodelista"/>
        <w:numPr>
          <w:ilvl w:val="0"/>
          <w:numId w:val="29"/>
        </w:numPr>
        <w:ind w:left="0" w:firstLine="0"/>
        <w:rPr>
          <w:szCs w:val="20"/>
          <w:lang w:val="es-CR"/>
        </w:rPr>
      </w:pPr>
      <w:r w:rsidRPr="00905649">
        <w:rPr>
          <w:szCs w:val="20"/>
          <w:lang w:val="es-CR"/>
        </w:rPr>
        <w:t>En</w:t>
      </w:r>
      <w:r w:rsidR="00A4388C" w:rsidRPr="00905649">
        <w:rPr>
          <w:szCs w:val="20"/>
          <w:lang w:val="es-CR"/>
        </w:rPr>
        <w:t xml:space="preserve"> </w:t>
      </w:r>
      <w:r w:rsidR="00CA0CA0" w:rsidRPr="00905649">
        <w:rPr>
          <w:szCs w:val="20"/>
          <w:lang w:val="es-CR"/>
        </w:rPr>
        <w:t xml:space="preserve">la sentencia recaída en el </w:t>
      </w:r>
      <w:r w:rsidR="00CA0CA0" w:rsidRPr="00905649">
        <w:rPr>
          <w:i/>
          <w:szCs w:val="20"/>
          <w:lang w:val="es-CR"/>
        </w:rPr>
        <w:t>caso Valencia Hinojosa Vs. Ecuador</w:t>
      </w:r>
      <w:r w:rsidR="00CA0CA0" w:rsidRPr="00905649">
        <w:rPr>
          <w:szCs w:val="20"/>
          <w:lang w:val="es-CR"/>
        </w:rPr>
        <w:t>, la Corte señaló que</w:t>
      </w:r>
      <w:r w:rsidR="007904B8" w:rsidRPr="00A7329F">
        <w:rPr>
          <w:szCs w:val="20"/>
          <w:lang w:val="es-CR"/>
        </w:rPr>
        <w:t xml:space="preserve"> </w:t>
      </w:r>
      <w:r w:rsidR="00CA0CA0" w:rsidRPr="00905649">
        <w:rPr>
          <w:szCs w:val="20"/>
          <w:lang w:val="es-CR"/>
        </w:rPr>
        <w:t xml:space="preserve">la jurisdicción penal policial en el Ecuador no formaba parte del Poder Judicial, sino que era </w:t>
      </w:r>
      <w:r w:rsidR="00CC337F" w:rsidRPr="00905649">
        <w:rPr>
          <w:szCs w:val="20"/>
          <w:lang w:val="es-CR"/>
        </w:rPr>
        <w:t>de</w:t>
      </w:r>
      <w:r w:rsidR="00CA0CA0" w:rsidRPr="00905649">
        <w:rPr>
          <w:szCs w:val="20"/>
          <w:lang w:val="es-CR"/>
        </w:rPr>
        <w:t>pendiente funcional y administrativamente</w:t>
      </w:r>
      <w:r w:rsidR="00B93008" w:rsidRPr="00905649">
        <w:rPr>
          <w:szCs w:val="20"/>
          <w:lang w:val="es-CR"/>
        </w:rPr>
        <w:t xml:space="preserve"> del Poder Ejecutivo</w:t>
      </w:r>
      <w:r w:rsidR="00CA0CA0" w:rsidRPr="00905649">
        <w:rPr>
          <w:szCs w:val="20"/>
          <w:lang w:val="es-CR"/>
        </w:rPr>
        <w:t xml:space="preserve">. La mayoría de sus funcionarios eran nombrados por el Ministro de Gobierno, a petición del Comandante General de la Policía Nacional y, </w:t>
      </w:r>
      <w:r w:rsidR="00CC337F" w:rsidRPr="00905649">
        <w:rPr>
          <w:szCs w:val="20"/>
          <w:lang w:val="es-CR"/>
        </w:rPr>
        <w:t xml:space="preserve">si </w:t>
      </w:r>
      <w:r w:rsidR="00CA0CA0" w:rsidRPr="00905649">
        <w:rPr>
          <w:szCs w:val="20"/>
          <w:lang w:val="es-CR"/>
        </w:rPr>
        <w:t>bien estaba compuesto por funcionarios que en su mayoría tenían formación jurídica, se trataba de oficiales que también en su mayoría se encontraban en servicio activo en la Policía Nacional</w:t>
      </w:r>
      <w:r w:rsidR="00CA0CA0" w:rsidRPr="00391CA6">
        <w:rPr>
          <w:rStyle w:val="Refdenotaalpie"/>
          <w:lang w:val="es-CR"/>
        </w:rPr>
        <w:footnoteReference w:id="144"/>
      </w:r>
      <w:r w:rsidR="00CA0CA0" w:rsidRPr="00905649">
        <w:rPr>
          <w:szCs w:val="20"/>
          <w:lang w:val="es-CR"/>
        </w:rPr>
        <w:t>. Además, en el caso mencionado concluy</w:t>
      </w:r>
      <w:bookmarkStart w:id="133" w:name="_Ref467779807"/>
      <w:r w:rsidR="00CA0CA0" w:rsidRPr="00905649">
        <w:rPr>
          <w:szCs w:val="20"/>
          <w:lang w:val="es-CR"/>
        </w:rPr>
        <w:t>ó</w:t>
      </w:r>
      <w:r w:rsidR="00CA0CA0" w:rsidRPr="00391CA6">
        <w:t xml:space="preserve"> que</w:t>
      </w:r>
      <w:r w:rsidR="00905649">
        <w:t>,</w:t>
      </w:r>
      <w:r w:rsidR="00CA0CA0" w:rsidRPr="00391CA6">
        <w:t xml:space="preserve"> </w:t>
      </w:r>
    </w:p>
    <w:p w14:paraId="59C762DA" w14:textId="77777777" w:rsidR="00CA0CA0" w:rsidRPr="00A7329F" w:rsidRDefault="00CA0CA0" w:rsidP="00CA0CA0">
      <w:pPr>
        <w:pStyle w:val="Prrafodelista"/>
        <w:rPr>
          <w:highlight w:val="cyan"/>
        </w:rPr>
      </w:pPr>
    </w:p>
    <w:p w14:paraId="51281EA9" w14:textId="77777777" w:rsidR="00CA0CA0" w:rsidRPr="00391CA6" w:rsidRDefault="00CA0CA0" w:rsidP="00C04A5B">
      <w:pPr>
        <w:pStyle w:val="Prrafodelista"/>
        <w:spacing w:before="0" w:after="0"/>
        <w:ind w:right="720"/>
        <w:rPr>
          <w:sz w:val="16"/>
          <w:szCs w:val="16"/>
          <w:lang w:val="es-CR"/>
        </w:rPr>
      </w:pPr>
      <w:r w:rsidRPr="00391CA6">
        <w:rPr>
          <w:sz w:val="16"/>
          <w:szCs w:val="16"/>
        </w:rPr>
        <w:t>la dependencia funcional y administrativa del sistema de justicia policial al Poder Ejecutivo, y la imposibilidad de solicitar una revisión judicial por parte de la jurisdicción ordinaria, no garantizaban la independencia e imparcialidad institucional de la jurisdicción policial. Además, la relación de subordinación y cadena de mando, propia de la Policía Nacional, no ofrecía garantías suficientes de independencia e imparcialidad de los jueces penales policiales, a nivel personal o individual, debido a: la manera en que eran nombrados; la ausencia de garantías suficientes de estabilidad en el cargo (especialmente para los Juzgados de Distrito, cuyos puestos eran de libre nombramiento y remoción y que, como sucedió en este caso, tenían competencia para determinar la continuación o no de la causa), y el estatus de oficiales en servicio activo de la mayoría de los intervinientes (lo cual generaba la posibilidad que los jueces de distrito, por ejemplo, tuvieran que investigar a funcionarios de mayor jerarquía o a sus mismos compañeros de promoción)</w:t>
      </w:r>
      <w:r w:rsidRPr="00391CA6">
        <w:rPr>
          <w:rStyle w:val="Refdenotaalpie"/>
          <w:sz w:val="16"/>
        </w:rPr>
        <w:footnoteReference w:id="145"/>
      </w:r>
      <w:r w:rsidRPr="00391CA6">
        <w:rPr>
          <w:sz w:val="16"/>
          <w:szCs w:val="16"/>
        </w:rPr>
        <w:t xml:space="preserve">. </w:t>
      </w:r>
      <w:bookmarkEnd w:id="133"/>
    </w:p>
    <w:p w14:paraId="0B2D0E97" w14:textId="77777777" w:rsidR="00CA0CA0" w:rsidRPr="00A7329F" w:rsidRDefault="00CA0CA0" w:rsidP="00C04A5B">
      <w:pPr>
        <w:spacing w:before="0" w:after="0"/>
        <w:rPr>
          <w:highlight w:val="cyan"/>
        </w:rPr>
      </w:pPr>
    </w:p>
    <w:p w14:paraId="6A344AF9" w14:textId="23C2DCCA" w:rsidR="00FC4E1E" w:rsidRPr="002810C4" w:rsidRDefault="00CA0CA0" w:rsidP="00276ECB">
      <w:pPr>
        <w:pStyle w:val="Prrafodelista"/>
        <w:numPr>
          <w:ilvl w:val="0"/>
          <w:numId w:val="29"/>
        </w:numPr>
        <w:spacing w:before="0" w:after="0"/>
        <w:ind w:left="0" w:firstLine="0"/>
      </w:pPr>
      <w:r w:rsidRPr="002810C4">
        <w:t>Asimismo,</w:t>
      </w:r>
      <w:r w:rsidR="008653A6" w:rsidRPr="002810C4">
        <w:t xml:space="preserve"> en el mencionado</w:t>
      </w:r>
      <w:r w:rsidRPr="002810C4">
        <w:t xml:space="preserve"> caso, la Corte tomó nota de las conclusiones de la Comisión de la Verdad del Ecuador, en donde se resaltó que la propia Corte Nacional de Justicia ha concluido que la jurisdicción penal policial “no se encontraba revestid[a] de autonomía e independencia”</w:t>
      </w:r>
      <w:r w:rsidRPr="002810C4">
        <w:rPr>
          <w:vertAlign w:val="superscript"/>
        </w:rPr>
        <w:footnoteReference w:id="146"/>
      </w:r>
      <w:r w:rsidRPr="002810C4">
        <w:t>.</w:t>
      </w:r>
    </w:p>
    <w:p w14:paraId="1F01D5A9" w14:textId="77777777" w:rsidR="008E6AFD" w:rsidRPr="0092295B" w:rsidRDefault="008E6AFD" w:rsidP="00276ECB">
      <w:pPr>
        <w:pStyle w:val="Prrafodelista"/>
        <w:spacing w:before="0" w:after="0"/>
        <w:ind w:left="0"/>
      </w:pPr>
    </w:p>
    <w:p w14:paraId="35061C86" w14:textId="3A7D1AE8" w:rsidR="008D3258" w:rsidRPr="0092295B" w:rsidRDefault="008653A6" w:rsidP="00276ECB">
      <w:pPr>
        <w:numPr>
          <w:ilvl w:val="0"/>
          <w:numId w:val="29"/>
        </w:numPr>
        <w:spacing w:before="0" w:after="0"/>
        <w:ind w:left="0" w:firstLine="0"/>
        <w:rPr>
          <w:szCs w:val="20"/>
          <w:lang w:val="es-ES"/>
        </w:rPr>
      </w:pPr>
      <w:r w:rsidRPr="0092295B">
        <w:rPr>
          <w:szCs w:val="20"/>
          <w:lang w:val="es-ES"/>
        </w:rPr>
        <w:t>A la vez cabe resaltar</w:t>
      </w:r>
      <w:r w:rsidR="00F105F3" w:rsidRPr="0092295B">
        <w:rPr>
          <w:szCs w:val="20"/>
          <w:lang w:val="es-ES"/>
        </w:rPr>
        <w:t>,</w:t>
      </w:r>
      <w:r w:rsidRPr="0092295B">
        <w:rPr>
          <w:szCs w:val="20"/>
          <w:lang w:val="es-ES"/>
        </w:rPr>
        <w:t xml:space="preserve"> </w:t>
      </w:r>
      <w:r w:rsidRPr="00DA4BBD">
        <w:rPr>
          <w:szCs w:val="20"/>
          <w:lang w:val="es-ES"/>
        </w:rPr>
        <w:t>que</w:t>
      </w:r>
      <w:r w:rsidR="0039391E" w:rsidRPr="00DA4BBD">
        <w:rPr>
          <w:szCs w:val="20"/>
          <w:lang w:val="es-ES"/>
        </w:rPr>
        <w:t xml:space="preserve"> en otra sentencia dictada </w:t>
      </w:r>
      <w:r w:rsidR="00CC337F" w:rsidRPr="00DA4BBD">
        <w:rPr>
          <w:szCs w:val="20"/>
          <w:lang w:val="es-ES"/>
        </w:rPr>
        <w:t>por la Corte,</w:t>
      </w:r>
      <w:r w:rsidR="0039391E" w:rsidRPr="00DA4BBD">
        <w:rPr>
          <w:szCs w:val="20"/>
          <w:lang w:val="es-ES"/>
        </w:rPr>
        <w:t xml:space="preserve"> </w:t>
      </w:r>
      <w:r w:rsidR="008A4849" w:rsidRPr="00DA4BBD">
        <w:rPr>
          <w:szCs w:val="20"/>
          <w:lang w:val="es-ES"/>
        </w:rPr>
        <w:t xml:space="preserve">en </w:t>
      </w:r>
      <w:r w:rsidR="0039391E" w:rsidRPr="00DA4BBD">
        <w:rPr>
          <w:szCs w:val="20"/>
          <w:lang w:val="es-ES"/>
        </w:rPr>
        <w:t xml:space="preserve">el </w:t>
      </w:r>
      <w:r w:rsidR="0039391E" w:rsidRPr="00DA4BBD">
        <w:rPr>
          <w:i/>
          <w:szCs w:val="20"/>
          <w:lang w:val="es-ES"/>
        </w:rPr>
        <w:t>caso Grijalva Bueno Vs. Ecuador</w:t>
      </w:r>
      <w:r w:rsidR="0039391E" w:rsidRPr="00DA4BBD">
        <w:rPr>
          <w:szCs w:val="20"/>
          <w:lang w:val="es-ES"/>
        </w:rPr>
        <w:t xml:space="preserve">, </w:t>
      </w:r>
      <w:r w:rsidRPr="00DA4BBD">
        <w:rPr>
          <w:szCs w:val="20"/>
          <w:lang w:val="es-ES"/>
        </w:rPr>
        <w:t xml:space="preserve">la Corte </w:t>
      </w:r>
      <w:r w:rsidR="00C04A5B" w:rsidRPr="00DA4BBD">
        <w:rPr>
          <w:szCs w:val="20"/>
          <w:lang w:val="es-ES"/>
        </w:rPr>
        <w:t xml:space="preserve">señaló </w:t>
      </w:r>
      <w:r w:rsidR="001B7821" w:rsidRPr="00DA4BBD">
        <w:rPr>
          <w:szCs w:val="20"/>
          <w:lang w:val="es-ES"/>
        </w:rPr>
        <w:t>que</w:t>
      </w:r>
      <w:r w:rsidR="0039391E" w:rsidRPr="00DA4BBD">
        <w:rPr>
          <w:szCs w:val="20"/>
          <w:lang w:val="es-ES"/>
        </w:rPr>
        <w:t xml:space="preserve"> </w:t>
      </w:r>
      <w:r w:rsidRPr="00DA4BBD">
        <w:rPr>
          <w:szCs w:val="20"/>
          <w:lang w:val="es-ES"/>
        </w:rPr>
        <w:t>“</w:t>
      </w:r>
      <w:r w:rsidR="0039391E" w:rsidRPr="00DA4BBD">
        <w:rPr>
          <w:szCs w:val="20"/>
          <w:lang w:val="es-ES"/>
        </w:rPr>
        <w:t>el proceso que culminó en</w:t>
      </w:r>
      <w:r w:rsidR="001B7821" w:rsidRPr="00DA4BBD">
        <w:rPr>
          <w:szCs w:val="20"/>
          <w:lang w:val="es-ES"/>
        </w:rPr>
        <w:t xml:space="preserve"> la imposición de una pena al señor Grijalva Bueno</w:t>
      </w:r>
      <w:r w:rsidR="0039391E" w:rsidRPr="00DA4BBD">
        <w:rPr>
          <w:szCs w:val="20"/>
          <w:lang w:val="es-ES"/>
        </w:rPr>
        <w:t>, fue resuelto por funcionarios que se encontraban en dependencia jerárquica del Poder Ejecutivo</w:t>
      </w:r>
      <w:r w:rsidR="00DA4BBD" w:rsidRPr="00DA4BBD">
        <w:rPr>
          <w:szCs w:val="20"/>
          <w:lang w:val="es-ES"/>
        </w:rPr>
        <w:t xml:space="preserve"> </w:t>
      </w:r>
      <w:r w:rsidR="0039391E" w:rsidRPr="00DA4BBD">
        <w:rPr>
          <w:szCs w:val="20"/>
          <w:lang w:val="es-ES"/>
        </w:rPr>
        <w:t xml:space="preserve">y, por ende, no eran jueces independientes. </w:t>
      </w:r>
      <w:r w:rsidR="00E108F1" w:rsidRPr="00DA4BBD">
        <w:rPr>
          <w:szCs w:val="20"/>
          <w:lang w:val="es-ES"/>
        </w:rPr>
        <w:t>No obstante, la Corte no abundará en esta consideración debido a las irregularidades procesales que descalifican el proceso y a que el Estado ha derogado la legislación que establecía esas competencias</w:t>
      </w:r>
      <w:r w:rsidR="00964675" w:rsidRPr="00DA4BBD">
        <w:rPr>
          <w:szCs w:val="20"/>
          <w:lang w:val="es-ES"/>
        </w:rPr>
        <w:t>”</w:t>
      </w:r>
      <w:r w:rsidR="001D22CD" w:rsidRPr="001D22CD">
        <w:rPr>
          <w:rStyle w:val="Refdenotaalpie"/>
          <w:lang w:val="es-ES"/>
        </w:rPr>
        <w:t xml:space="preserve"> </w:t>
      </w:r>
      <w:r w:rsidR="001D22CD" w:rsidRPr="00FA72AF">
        <w:rPr>
          <w:rStyle w:val="Refdenotaalpie"/>
          <w:lang w:val="es-ES"/>
        </w:rPr>
        <w:footnoteReference w:id="147"/>
      </w:r>
      <w:r w:rsidR="00964675" w:rsidRPr="00DA4BBD">
        <w:rPr>
          <w:szCs w:val="20"/>
          <w:lang w:val="es-ES"/>
        </w:rPr>
        <w:t>.</w:t>
      </w:r>
      <w:r w:rsidR="00964675" w:rsidRPr="0092295B">
        <w:rPr>
          <w:szCs w:val="20"/>
          <w:lang w:val="es-ES"/>
        </w:rPr>
        <w:t> </w:t>
      </w:r>
    </w:p>
    <w:p w14:paraId="2636B92C" w14:textId="77777777" w:rsidR="008D3258" w:rsidRPr="0092295B" w:rsidRDefault="008D3258" w:rsidP="00276ECB">
      <w:pPr>
        <w:pStyle w:val="Prrafodelista"/>
        <w:spacing w:before="0" w:after="0"/>
        <w:ind w:left="0"/>
        <w:rPr>
          <w:szCs w:val="20"/>
          <w:lang w:val="es-ES"/>
        </w:rPr>
      </w:pPr>
    </w:p>
    <w:p w14:paraId="25C6AA99" w14:textId="37E88B6B" w:rsidR="0057423E" w:rsidRPr="0092295B" w:rsidRDefault="006265E7" w:rsidP="00276ECB">
      <w:pPr>
        <w:numPr>
          <w:ilvl w:val="0"/>
          <w:numId w:val="29"/>
        </w:numPr>
        <w:spacing w:before="0" w:after="0"/>
        <w:ind w:left="0" w:firstLine="0"/>
        <w:rPr>
          <w:szCs w:val="20"/>
          <w:lang w:val="es-ES"/>
        </w:rPr>
      </w:pPr>
      <w:r w:rsidRPr="0092295B">
        <w:rPr>
          <w:szCs w:val="20"/>
          <w:lang w:val="es-ES"/>
        </w:rPr>
        <w:t xml:space="preserve">Los criterios anteriormente reseñados </w:t>
      </w:r>
      <w:r w:rsidR="00D957EB" w:rsidRPr="0092295B">
        <w:rPr>
          <w:szCs w:val="20"/>
          <w:lang w:val="es-ES"/>
        </w:rPr>
        <w:t xml:space="preserve">son de aplicación en la investigación </w:t>
      </w:r>
      <w:r w:rsidR="00DE5BFB">
        <w:rPr>
          <w:szCs w:val="20"/>
          <w:lang w:val="es-ES"/>
        </w:rPr>
        <w:t xml:space="preserve">y juzgamiento </w:t>
      </w:r>
      <w:r w:rsidR="00D957EB" w:rsidRPr="0092295B">
        <w:rPr>
          <w:szCs w:val="20"/>
          <w:lang w:val="es-ES"/>
        </w:rPr>
        <w:t>de los hechos ocurridos en contra de las presuntas víctimas en el presente caso, por lo que</w:t>
      </w:r>
      <w:r w:rsidRPr="0092295B">
        <w:rPr>
          <w:szCs w:val="20"/>
          <w:lang w:val="es-ES"/>
        </w:rPr>
        <w:t xml:space="preserve"> este Tribunal considera que </w:t>
      </w:r>
      <w:r w:rsidR="00E617E8" w:rsidRPr="0092295B">
        <w:rPr>
          <w:szCs w:val="20"/>
          <w:lang w:val="es-CR"/>
        </w:rPr>
        <w:t xml:space="preserve">la jurisdicción penal policial </w:t>
      </w:r>
      <w:r w:rsidR="001B7821" w:rsidRPr="0092295B">
        <w:rPr>
          <w:szCs w:val="20"/>
          <w:lang w:val="es-CR"/>
        </w:rPr>
        <w:t xml:space="preserve">no </w:t>
      </w:r>
      <w:r w:rsidR="00CD547C" w:rsidRPr="0092295B">
        <w:rPr>
          <w:szCs w:val="20"/>
          <w:lang w:val="es-CR"/>
        </w:rPr>
        <w:t>ofrecía las</w:t>
      </w:r>
      <w:r w:rsidR="00E617E8" w:rsidRPr="0092295B">
        <w:rPr>
          <w:szCs w:val="20"/>
          <w:lang w:val="es-CR"/>
        </w:rPr>
        <w:t xml:space="preserve"> garantías de independencia e imparcialidad desde e</w:t>
      </w:r>
      <w:r w:rsidR="00D957EB" w:rsidRPr="0092295B">
        <w:rPr>
          <w:szCs w:val="20"/>
          <w:lang w:val="es-CR"/>
        </w:rPr>
        <w:t>l punto de vista institucional</w:t>
      </w:r>
      <w:r w:rsidR="00D957EB" w:rsidRPr="0092295B">
        <w:rPr>
          <w:szCs w:val="20"/>
          <w:lang w:val="es-ES"/>
        </w:rPr>
        <w:t>, en violación d</w:t>
      </w:r>
      <w:r w:rsidR="008653A6" w:rsidRPr="0092295B">
        <w:rPr>
          <w:lang w:val="es-CR"/>
        </w:rPr>
        <w:t>el</w:t>
      </w:r>
      <w:bookmarkStart w:id="134" w:name="_Ref453707282"/>
      <w:r w:rsidR="00F105F3" w:rsidRPr="0092295B">
        <w:rPr>
          <w:lang w:val="es-CR"/>
        </w:rPr>
        <w:t xml:space="preserve"> artículo 8.1 de la Convención.</w:t>
      </w:r>
    </w:p>
    <w:p w14:paraId="787BD179" w14:textId="77777777" w:rsidR="008653A6" w:rsidRPr="0092295B" w:rsidRDefault="008653A6" w:rsidP="00276ECB">
      <w:pPr>
        <w:spacing w:before="0" w:after="0"/>
        <w:rPr>
          <w:b/>
          <w:szCs w:val="20"/>
          <w:lang w:val="es-ES"/>
        </w:rPr>
      </w:pPr>
    </w:p>
    <w:p w14:paraId="518B68FA" w14:textId="19A3CB1B" w:rsidR="0057423E" w:rsidRPr="0092295B" w:rsidRDefault="00210786" w:rsidP="00276ECB">
      <w:pPr>
        <w:pStyle w:val="Prrafodelista"/>
        <w:numPr>
          <w:ilvl w:val="0"/>
          <w:numId w:val="29"/>
        </w:numPr>
        <w:ind w:left="0" w:firstLine="0"/>
      </w:pPr>
      <w:bookmarkStart w:id="135" w:name="_Ref467780391"/>
      <w:r w:rsidRPr="002810C4">
        <w:t>Por otra parte</w:t>
      </w:r>
      <w:r w:rsidR="00F105F3" w:rsidRPr="002810C4">
        <w:t>, este Tribunal</w:t>
      </w:r>
      <w:r w:rsidR="0057423E" w:rsidRPr="002810C4">
        <w:t xml:space="preserve"> recuerda que el artículo 2 de la Convención obliga a los Estados Partes a adoptar, con arreglo a sus procedimientos constitucionales y a las disposiciones de la Convención, las medidas legislativas o de otro carácter que fueren necesarias para hacer efectivos los derechos y libertades protegidos por la Convención</w:t>
      </w:r>
      <w:r w:rsidR="0057423E" w:rsidRPr="002810C4">
        <w:rPr>
          <w:vertAlign w:val="superscript"/>
        </w:rPr>
        <w:footnoteReference w:id="148"/>
      </w:r>
      <w:r w:rsidR="0057423E" w:rsidRPr="002810C4">
        <w:t>.</w:t>
      </w:r>
      <w:r w:rsidR="0057423E" w:rsidRPr="0092295B">
        <w:t xml:space="preserve"> La Corte toma nota</w:t>
      </w:r>
      <w:r w:rsidR="00F105F3" w:rsidRPr="0092295B">
        <w:t>, como ha informado el Estado,</w:t>
      </w:r>
      <w:r w:rsidR="0057423E" w:rsidRPr="0092295B">
        <w:t xml:space="preserve"> que en 2008 Ecuador adoptó una nueva Constitución, mediante la cual derogó el fuero policial. Sin embargo, resalta que</w:t>
      </w:r>
      <w:r w:rsidR="00E83B55">
        <w:t>,</w:t>
      </w:r>
      <w:r w:rsidR="0057423E" w:rsidRPr="0092295B">
        <w:t xml:space="preserve"> al momento de los hechos</w:t>
      </w:r>
      <w:r w:rsidR="00E83B55">
        <w:t>,</w:t>
      </w:r>
      <w:r w:rsidR="0057423E" w:rsidRPr="0092295B">
        <w:t xml:space="preserve"> se encontraba vigente dicha jurisdicción, la cual desarrolló y concluyó la investigación</w:t>
      </w:r>
      <w:r w:rsidR="00F105F3" w:rsidRPr="0092295B">
        <w:t xml:space="preserve"> contra las presuntas víctimas</w:t>
      </w:r>
      <w:r w:rsidR="0057423E" w:rsidRPr="0092295B">
        <w:t xml:space="preserve">, en violación de las garantías de independencia e imparcialidad. Aun cuando este Tribunal valora los cambios normativos realizados por el Ecuador, advierte que dicha modificación </w:t>
      </w:r>
      <w:r w:rsidR="00F105F3" w:rsidRPr="0092295B">
        <w:t>no fue aplicada al presente caso</w:t>
      </w:r>
      <w:r w:rsidR="0057423E" w:rsidRPr="0092295B">
        <w:t>. Por tanto, la Corte considera que el Estado adicionalmente incumplió con su obligación de adecuar su normativa interna a fin de garantizar el acceso a una justicia independiente e imparcial.</w:t>
      </w:r>
      <w:bookmarkEnd w:id="135"/>
      <w:r w:rsidR="0057423E" w:rsidRPr="0092295B">
        <w:t xml:space="preserve"> </w:t>
      </w:r>
      <w:bookmarkEnd w:id="134"/>
    </w:p>
    <w:p w14:paraId="6C471DE7" w14:textId="77777777" w:rsidR="0057423E" w:rsidRPr="0092295B" w:rsidRDefault="0057423E" w:rsidP="0057423E">
      <w:pPr>
        <w:pStyle w:val="Prrafodelista"/>
        <w:ind w:left="795"/>
      </w:pPr>
    </w:p>
    <w:p w14:paraId="743C5FEA" w14:textId="2FA1D253" w:rsidR="00F105F3" w:rsidRPr="00036404" w:rsidRDefault="00F105F3" w:rsidP="00FA72AF">
      <w:pPr>
        <w:numPr>
          <w:ilvl w:val="0"/>
          <w:numId w:val="29"/>
        </w:numPr>
        <w:spacing w:before="0" w:after="0"/>
        <w:ind w:left="0" w:firstLine="0"/>
        <w:rPr>
          <w:szCs w:val="20"/>
          <w:lang w:val="es-ES"/>
        </w:rPr>
      </w:pPr>
      <w:r w:rsidRPr="0092295B">
        <w:rPr>
          <w:szCs w:val="20"/>
        </w:rPr>
        <w:t>Por lo tanto</w:t>
      </w:r>
      <w:r w:rsidRPr="0092295B">
        <w:rPr>
          <w:szCs w:val="20"/>
          <w:lang w:val="es-ES"/>
        </w:rPr>
        <w:t xml:space="preserve">, la Corte concluye que la investigación de los hechos ocurridos en contra de las presuntas víctimas por parte de la jurisdicción penal policial violó </w:t>
      </w:r>
      <w:r w:rsidRPr="0092295B">
        <w:rPr>
          <w:lang w:val="es-CR"/>
        </w:rPr>
        <w:t>las garantías de independencia e imparcialidad, consagradas en el artículo 8.1 de la Convención</w:t>
      </w:r>
      <w:r w:rsidR="005C683F">
        <w:rPr>
          <w:lang w:val="es-CR"/>
        </w:rPr>
        <w:t xml:space="preserve"> Americana</w:t>
      </w:r>
      <w:r w:rsidRPr="0092295B">
        <w:rPr>
          <w:lang w:val="es-CR"/>
        </w:rPr>
        <w:t xml:space="preserve">, en relación con los artículos 1.1 y 2 de la misma Convención, en </w:t>
      </w:r>
      <w:r w:rsidRPr="00036404">
        <w:rPr>
          <w:lang w:val="es-CR"/>
        </w:rPr>
        <w:t xml:space="preserve">perjuicio </w:t>
      </w:r>
      <w:r w:rsidR="00391B3C" w:rsidRPr="00036404">
        <w:rPr>
          <w:lang w:val="es-CR"/>
        </w:rPr>
        <w:t xml:space="preserve">de </w:t>
      </w:r>
      <w:r w:rsidRPr="00036404">
        <w:rPr>
          <w:szCs w:val="20"/>
          <w:lang w:val="es-CR"/>
        </w:rPr>
        <w:t>Fernando</w:t>
      </w:r>
      <w:r w:rsidR="003723B8" w:rsidRPr="00036404">
        <w:rPr>
          <w:szCs w:val="20"/>
          <w:lang w:val="es-CR"/>
        </w:rPr>
        <w:t xml:space="preserve"> Marcelo López Ortiz, Leoncio A</w:t>
      </w:r>
      <w:r w:rsidRPr="00036404">
        <w:rPr>
          <w:szCs w:val="20"/>
          <w:lang w:val="es-CR"/>
        </w:rPr>
        <w:t>mí</w:t>
      </w:r>
      <w:r w:rsidR="003723B8" w:rsidRPr="00036404">
        <w:rPr>
          <w:szCs w:val="20"/>
          <w:lang w:val="es-CR"/>
        </w:rPr>
        <w:t>l</w:t>
      </w:r>
      <w:r w:rsidRPr="00036404">
        <w:rPr>
          <w:szCs w:val="20"/>
          <w:lang w:val="es-CR"/>
        </w:rPr>
        <w:t xml:space="preserve">car Ascázubi Albán, Jorge Humberto Villarroel Merino, </w:t>
      </w:r>
      <w:r w:rsidR="00CE7748" w:rsidRPr="00036404">
        <w:rPr>
          <w:szCs w:val="20"/>
          <w:lang w:val="es-CR"/>
        </w:rPr>
        <w:t xml:space="preserve">Mario Romel Cevallos Moreno, </w:t>
      </w:r>
      <w:r w:rsidRPr="00036404">
        <w:rPr>
          <w:szCs w:val="20"/>
          <w:lang w:val="es-CR"/>
        </w:rPr>
        <w:t>Jorge Enrique Coloma Gaibor y Alfonso Patricio Vinueza Pánc</w:t>
      </w:r>
      <w:r w:rsidR="001A466E" w:rsidRPr="00036404">
        <w:rPr>
          <w:szCs w:val="20"/>
          <w:lang w:val="es-CR"/>
        </w:rPr>
        <w:t>hez</w:t>
      </w:r>
      <w:r w:rsidR="00992395" w:rsidRPr="00036404">
        <w:rPr>
          <w:szCs w:val="20"/>
          <w:lang w:val="es-CR"/>
        </w:rPr>
        <w:t>.</w:t>
      </w:r>
    </w:p>
    <w:p w14:paraId="29EEF672" w14:textId="77777777" w:rsidR="004B6656" w:rsidRPr="0092295B" w:rsidRDefault="004B6656" w:rsidP="004B6656">
      <w:pPr>
        <w:pStyle w:val="Prrafodelista"/>
        <w:spacing w:before="0" w:after="0"/>
        <w:ind w:left="0"/>
        <w:rPr>
          <w:b/>
          <w:szCs w:val="20"/>
        </w:rPr>
      </w:pPr>
    </w:p>
    <w:p w14:paraId="3B8DB5B1" w14:textId="48B2AADF" w:rsidR="00EC5708" w:rsidRPr="00ED2790" w:rsidRDefault="00AB0750" w:rsidP="00EC5708">
      <w:pPr>
        <w:pStyle w:val="Sinespaciado"/>
        <w:numPr>
          <w:ilvl w:val="0"/>
          <w:numId w:val="29"/>
        </w:numPr>
        <w:ind w:left="0" w:firstLine="0"/>
        <w:jc w:val="both"/>
        <w:rPr>
          <w:rFonts w:ascii="Verdana" w:eastAsia="MS Mincho" w:hAnsi="Verdana" w:cs="Times New Roman"/>
          <w:b/>
          <w:sz w:val="20"/>
          <w:szCs w:val="20"/>
          <w:lang w:val="es-CR" w:eastAsia="es-ES"/>
        </w:rPr>
      </w:pPr>
      <w:r w:rsidRPr="0092295B">
        <w:rPr>
          <w:rFonts w:ascii="Verdana" w:eastAsia="MS Mincho" w:hAnsi="Verdana" w:cs="Times New Roman"/>
          <w:sz w:val="20"/>
          <w:szCs w:val="20"/>
          <w:lang w:val="es-CR" w:eastAsia="es-ES"/>
        </w:rPr>
        <w:t>Por último, r</w:t>
      </w:r>
      <w:r w:rsidR="004B6656" w:rsidRPr="0092295B">
        <w:rPr>
          <w:rFonts w:ascii="Verdana" w:eastAsia="MS Mincho" w:hAnsi="Verdana" w:cs="Times New Roman"/>
          <w:sz w:val="20"/>
          <w:szCs w:val="20"/>
          <w:lang w:val="es-CR" w:eastAsia="es-ES"/>
        </w:rPr>
        <w:t xml:space="preserve">especto a los alegatos </w:t>
      </w:r>
      <w:r w:rsidR="00A4388C" w:rsidRPr="0092295B">
        <w:rPr>
          <w:rFonts w:ascii="Verdana" w:eastAsia="MS Mincho" w:hAnsi="Verdana" w:cs="Times New Roman"/>
          <w:sz w:val="20"/>
          <w:szCs w:val="20"/>
          <w:lang w:val="es-CR" w:eastAsia="es-ES"/>
        </w:rPr>
        <w:t>de la Comisión</w:t>
      </w:r>
      <w:r w:rsidR="00B93008" w:rsidRPr="0092295B">
        <w:rPr>
          <w:rFonts w:ascii="Verdana" w:eastAsia="MS Mincho" w:hAnsi="Verdana" w:cs="Times New Roman"/>
          <w:sz w:val="20"/>
          <w:szCs w:val="20"/>
          <w:lang w:val="es-CR" w:eastAsia="es-ES"/>
        </w:rPr>
        <w:t xml:space="preserve"> y reproducidos por el representante</w:t>
      </w:r>
      <w:r w:rsidR="00F105F3" w:rsidRPr="0092295B">
        <w:rPr>
          <w:rFonts w:ascii="Verdana" w:eastAsia="MS Mincho" w:hAnsi="Verdana" w:cs="Times New Roman"/>
          <w:sz w:val="20"/>
          <w:szCs w:val="20"/>
          <w:lang w:val="es-CR" w:eastAsia="es-ES"/>
        </w:rPr>
        <w:t>,</w:t>
      </w:r>
      <w:r w:rsidR="00A4388C" w:rsidRPr="0092295B">
        <w:rPr>
          <w:rFonts w:ascii="Verdana" w:eastAsia="MS Mincho" w:hAnsi="Verdana" w:cs="Times New Roman"/>
          <w:sz w:val="20"/>
          <w:szCs w:val="20"/>
          <w:lang w:val="es-CR" w:eastAsia="es-ES"/>
        </w:rPr>
        <w:t xml:space="preserve"> </w:t>
      </w:r>
      <w:r w:rsidR="00DF0346" w:rsidRPr="0092295B">
        <w:rPr>
          <w:rFonts w:ascii="Verdana" w:hAnsi="Verdana"/>
          <w:sz w:val="20"/>
          <w:szCs w:val="20"/>
          <w:lang w:val="es-CR"/>
        </w:rPr>
        <w:t>respecto</w:t>
      </w:r>
      <w:r w:rsidR="00A275BC">
        <w:rPr>
          <w:rFonts w:ascii="Verdana" w:hAnsi="Verdana"/>
          <w:sz w:val="20"/>
          <w:szCs w:val="20"/>
          <w:lang w:val="es-CR"/>
        </w:rPr>
        <w:t xml:space="preserve"> a la</w:t>
      </w:r>
      <w:r w:rsidR="00DF0346" w:rsidRPr="0092295B">
        <w:rPr>
          <w:rFonts w:ascii="Verdana" w:hAnsi="Verdana"/>
          <w:sz w:val="20"/>
          <w:szCs w:val="20"/>
          <w:lang w:val="es-CR"/>
        </w:rPr>
        <w:t xml:space="preserve"> vulneración de la presunción de inocencia, el deber de motivación, el derecho recurrir el fallo, y el plazo razonable esta</w:t>
      </w:r>
      <w:r w:rsidR="00F64244" w:rsidRPr="0092295B">
        <w:rPr>
          <w:rFonts w:ascii="Verdana" w:hAnsi="Verdana"/>
          <w:sz w:val="20"/>
          <w:szCs w:val="20"/>
          <w:lang w:val="es-CR"/>
        </w:rPr>
        <w:t xml:space="preserve">blecidos en los artículos 8.1, </w:t>
      </w:r>
      <w:r w:rsidR="00DF0346" w:rsidRPr="0092295B">
        <w:rPr>
          <w:rFonts w:ascii="Verdana" w:hAnsi="Verdana"/>
          <w:sz w:val="20"/>
          <w:szCs w:val="20"/>
          <w:lang w:val="es-CR"/>
        </w:rPr>
        <w:t xml:space="preserve">8.2 y 8.2.h) de la Convención Americana, </w:t>
      </w:r>
      <w:r w:rsidR="00A4388C" w:rsidRPr="0092295B">
        <w:rPr>
          <w:rFonts w:ascii="Verdana" w:eastAsia="MS Mincho" w:hAnsi="Verdana" w:cs="Times New Roman"/>
          <w:sz w:val="20"/>
          <w:szCs w:val="20"/>
          <w:lang w:val="es-CR" w:eastAsia="es-ES"/>
        </w:rPr>
        <w:t xml:space="preserve">este Tribunal </w:t>
      </w:r>
      <w:r w:rsidR="00A4388C" w:rsidRPr="0092295B">
        <w:rPr>
          <w:rFonts w:ascii="Verdana" w:hAnsi="Verdana"/>
          <w:sz w:val="20"/>
          <w:szCs w:val="20"/>
          <w:lang w:val="es-CR"/>
        </w:rPr>
        <w:t>conside</w:t>
      </w:r>
      <w:r w:rsidR="00C04A5B" w:rsidRPr="0092295B">
        <w:rPr>
          <w:rFonts w:ascii="Verdana" w:hAnsi="Verdana"/>
          <w:sz w:val="20"/>
          <w:szCs w:val="20"/>
          <w:lang w:val="es-CR"/>
        </w:rPr>
        <w:t>ra que</w:t>
      </w:r>
      <w:r w:rsidR="00A275BC">
        <w:rPr>
          <w:rFonts w:ascii="Verdana" w:hAnsi="Verdana"/>
          <w:sz w:val="20"/>
          <w:szCs w:val="20"/>
          <w:lang w:val="es-CR"/>
        </w:rPr>
        <w:t>,</w:t>
      </w:r>
      <w:r w:rsidR="00C04A5B" w:rsidRPr="0092295B">
        <w:rPr>
          <w:rFonts w:ascii="Verdana" w:hAnsi="Verdana"/>
          <w:sz w:val="20"/>
          <w:szCs w:val="20"/>
          <w:lang w:val="es-CR"/>
        </w:rPr>
        <w:t xml:space="preserve"> al haber declarado que el</w:t>
      </w:r>
      <w:r w:rsidR="00A4388C" w:rsidRPr="0092295B">
        <w:rPr>
          <w:rFonts w:ascii="Verdana" w:hAnsi="Verdana"/>
          <w:sz w:val="20"/>
          <w:szCs w:val="20"/>
          <w:lang w:val="es-CR"/>
        </w:rPr>
        <w:t xml:space="preserve"> proceso </w:t>
      </w:r>
      <w:r w:rsidR="00C04A5B" w:rsidRPr="0092295B">
        <w:rPr>
          <w:rFonts w:ascii="Verdana" w:hAnsi="Verdana"/>
          <w:sz w:val="20"/>
          <w:szCs w:val="20"/>
          <w:lang w:val="es-CR"/>
        </w:rPr>
        <w:t xml:space="preserve">penal policial seguido contra las </w:t>
      </w:r>
      <w:r w:rsidR="004B6656" w:rsidRPr="0092295B">
        <w:rPr>
          <w:rFonts w:ascii="Verdana" w:hAnsi="Verdana"/>
          <w:sz w:val="20"/>
          <w:szCs w:val="20"/>
          <w:lang w:val="es-CR"/>
        </w:rPr>
        <w:t xml:space="preserve">presuntas víctimas </w:t>
      </w:r>
      <w:r w:rsidR="00A4388C" w:rsidRPr="0092295B">
        <w:rPr>
          <w:rFonts w:ascii="Verdana" w:hAnsi="Verdana"/>
          <w:sz w:val="20"/>
          <w:szCs w:val="20"/>
          <w:lang w:val="es-CR"/>
        </w:rPr>
        <w:t>fue llevado a cabo por autoridades carentes de independencia e imparcialidad (</w:t>
      </w:r>
      <w:r w:rsidR="00A4388C" w:rsidRPr="0092295B">
        <w:rPr>
          <w:rFonts w:ascii="Verdana" w:hAnsi="Verdana"/>
          <w:i/>
          <w:sz w:val="20"/>
          <w:szCs w:val="20"/>
          <w:lang w:val="es-CR"/>
        </w:rPr>
        <w:t xml:space="preserve">supra </w:t>
      </w:r>
      <w:r w:rsidR="00A4388C" w:rsidRPr="0092295B">
        <w:rPr>
          <w:rFonts w:ascii="Verdana" w:hAnsi="Verdana"/>
          <w:sz w:val="20"/>
          <w:szCs w:val="20"/>
          <w:lang w:val="es-CR"/>
        </w:rPr>
        <w:t>párrs.</w:t>
      </w:r>
      <w:r w:rsidR="004B6656" w:rsidRPr="0092295B">
        <w:rPr>
          <w:rFonts w:ascii="Verdana" w:hAnsi="Verdana"/>
          <w:sz w:val="20"/>
          <w:szCs w:val="20"/>
          <w:lang w:val="es-CR"/>
        </w:rPr>
        <w:t xml:space="preserve"> </w:t>
      </w:r>
      <w:r w:rsidR="005C683F">
        <w:rPr>
          <w:rFonts w:ascii="Verdana" w:hAnsi="Verdana"/>
          <w:sz w:val="20"/>
          <w:szCs w:val="20"/>
          <w:lang w:val="es-CR"/>
        </w:rPr>
        <w:t>141 y 143</w:t>
      </w:r>
      <w:r w:rsidR="00A4388C" w:rsidRPr="0092295B">
        <w:rPr>
          <w:rFonts w:ascii="Verdana" w:hAnsi="Verdana"/>
          <w:sz w:val="20"/>
          <w:szCs w:val="20"/>
          <w:lang w:val="es-CR"/>
        </w:rPr>
        <w:t>), se está ante un procedimiento viciado desde su origen, por lo que la Corte considera innecesario analizar, de manera adicional, la garantía de competencia o referirse a las otras violaciones alegadas</w:t>
      </w:r>
      <w:r w:rsidR="00C04A5B" w:rsidRPr="0092295B">
        <w:rPr>
          <w:rFonts w:ascii="Verdana" w:hAnsi="Verdana"/>
          <w:sz w:val="20"/>
          <w:szCs w:val="20"/>
          <w:lang w:val="es-CR"/>
        </w:rPr>
        <w:t xml:space="preserve"> en relación con las garantías judiciales</w:t>
      </w:r>
      <w:r w:rsidR="00A4388C" w:rsidRPr="0092295B">
        <w:rPr>
          <w:rFonts w:ascii="Verdana" w:hAnsi="Verdana"/>
          <w:sz w:val="20"/>
          <w:szCs w:val="20"/>
          <w:lang w:val="es-CR"/>
        </w:rPr>
        <w:t>.</w:t>
      </w:r>
    </w:p>
    <w:p w14:paraId="127DF927" w14:textId="299789EE" w:rsidR="00880058" w:rsidRPr="00ED2790" w:rsidRDefault="002332BC" w:rsidP="00ED2790">
      <w:pPr>
        <w:pStyle w:val="Ttulo3"/>
        <w:rPr>
          <w:i/>
        </w:rPr>
      </w:pPr>
      <w:bookmarkStart w:id="136" w:name="_Toc74898358"/>
      <w:bookmarkStart w:id="137" w:name="_Toc87339034"/>
      <w:r w:rsidRPr="00ED2790">
        <w:rPr>
          <w:i/>
        </w:rPr>
        <w:t>A.3</w:t>
      </w:r>
      <w:r w:rsidR="00F64244" w:rsidRPr="00ED2790">
        <w:rPr>
          <w:i/>
        </w:rPr>
        <w:t>.</w:t>
      </w:r>
      <w:r w:rsidR="00880058" w:rsidRPr="00ED2790">
        <w:rPr>
          <w:i/>
        </w:rPr>
        <w:t xml:space="preserve"> Conclusión</w:t>
      </w:r>
      <w:bookmarkEnd w:id="136"/>
      <w:bookmarkEnd w:id="137"/>
      <w:r w:rsidR="00880058" w:rsidRPr="00ED2790">
        <w:rPr>
          <w:i/>
        </w:rPr>
        <w:t xml:space="preserve"> </w:t>
      </w:r>
    </w:p>
    <w:p w14:paraId="005359B9" w14:textId="226AFC08" w:rsidR="00672E62" w:rsidRPr="00036404" w:rsidRDefault="00880058" w:rsidP="00276ECB">
      <w:pPr>
        <w:numPr>
          <w:ilvl w:val="0"/>
          <w:numId w:val="29"/>
        </w:numPr>
        <w:spacing w:before="0" w:after="0"/>
        <w:ind w:left="0" w:firstLine="0"/>
        <w:rPr>
          <w:szCs w:val="20"/>
          <w:lang w:val="es-ES"/>
        </w:rPr>
      </w:pPr>
      <w:r w:rsidRPr="0092295B">
        <w:rPr>
          <w:szCs w:val="20"/>
        </w:rPr>
        <w:t>En consecuencia, este Tr</w:t>
      </w:r>
      <w:r w:rsidR="0039391E" w:rsidRPr="0092295B">
        <w:rPr>
          <w:szCs w:val="20"/>
        </w:rPr>
        <w:t xml:space="preserve">ibunal concluye </w:t>
      </w:r>
      <w:r w:rsidR="00F105F3" w:rsidRPr="0092295B">
        <w:rPr>
          <w:szCs w:val="20"/>
        </w:rPr>
        <w:t xml:space="preserve">que el Estado es responsable de la </w:t>
      </w:r>
      <w:r w:rsidR="00F105F3" w:rsidRPr="0092295B">
        <w:rPr>
          <w:szCs w:val="20"/>
          <w:lang w:val="es-ES"/>
        </w:rPr>
        <w:t xml:space="preserve">violación de </w:t>
      </w:r>
      <w:r w:rsidR="00F105F3" w:rsidRPr="0092295B">
        <w:rPr>
          <w:lang w:val="es-CR"/>
        </w:rPr>
        <w:t xml:space="preserve">las garantías de independencia e imparcialidad </w:t>
      </w:r>
      <w:r w:rsidR="00F105F3" w:rsidRPr="0092295B">
        <w:rPr>
          <w:szCs w:val="20"/>
          <w:lang w:val="es-ES"/>
        </w:rPr>
        <w:t>en la investigación de los hechos ocurridos en contra de las presuntas víctimas en la jurisdicción penal policial</w:t>
      </w:r>
      <w:r w:rsidR="00F105F3" w:rsidRPr="0092295B">
        <w:rPr>
          <w:lang w:val="es-CR"/>
        </w:rPr>
        <w:t xml:space="preserve">, consagradas en el </w:t>
      </w:r>
      <w:r w:rsidR="00F105F3" w:rsidRPr="00036404">
        <w:rPr>
          <w:lang w:val="es-CR"/>
        </w:rPr>
        <w:t>artículo 8.1 de la Convención</w:t>
      </w:r>
      <w:r w:rsidR="005C683F" w:rsidRPr="00036404">
        <w:rPr>
          <w:lang w:val="es-CR"/>
        </w:rPr>
        <w:t xml:space="preserve"> Americana</w:t>
      </w:r>
      <w:r w:rsidR="00F105F3" w:rsidRPr="00036404">
        <w:rPr>
          <w:lang w:val="es-CR"/>
        </w:rPr>
        <w:t xml:space="preserve">, en relación con los artículos 1.1 y 2 de la misma, en perjuicio </w:t>
      </w:r>
      <w:r w:rsidR="00391B3C" w:rsidRPr="00036404">
        <w:rPr>
          <w:lang w:val="es-CR"/>
        </w:rPr>
        <w:t xml:space="preserve">de </w:t>
      </w:r>
      <w:r w:rsidR="00F105F3" w:rsidRPr="00036404">
        <w:rPr>
          <w:szCs w:val="20"/>
          <w:lang w:val="es-CR"/>
        </w:rPr>
        <w:t>Fernando</w:t>
      </w:r>
      <w:r w:rsidR="003723B8" w:rsidRPr="00036404">
        <w:rPr>
          <w:szCs w:val="20"/>
          <w:lang w:val="es-CR"/>
        </w:rPr>
        <w:t xml:space="preserve"> Marcelo López Ortiz, Leoncio A</w:t>
      </w:r>
      <w:r w:rsidR="00F105F3" w:rsidRPr="00036404">
        <w:rPr>
          <w:szCs w:val="20"/>
          <w:lang w:val="es-CR"/>
        </w:rPr>
        <w:t>mí</w:t>
      </w:r>
      <w:r w:rsidR="003723B8" w:rsidRPr="00036404">
        <w:rPr>
          <w:szCs w:val="20"/>
          <w:lang w:val="es-CR"/>
        </w:rPr>
        <w:t>l</w:t>
      </w:r>
      <w:r w:rsidR="00F105F3" w:rsidRPr="00036404">
        <w:rPr>
          <w:szCs w:val="20"/>
          <w:lang w:val="es-CR"/>
        </w:rPr>
        <w:t xml:space="preserve">car Ascázubi Albán, Jorge Humberto Villarroel Merino, </w:t>
      </w:r>
      <w:r w:rsidR="00036404" w:rsidRPr="00036404">
        <w:rPr>
          <w:szCs w:val="20"/>
          <w:lang w:val="es-CR"/>
        </w:rPr>
        <w:t>Mario Romel Cevallos Moreno,</w:t>
      </w:r>
      <w:r w:rsidR="00A275BC">
        <w:rPr>
          <w:szCs w:val="20"/>
          <w:lang w:val="es-CR"/>
        </w:rPr>
        <w:t xml:space="preserve"> </w:t>
      </w:r>
      <w:r w:rsidR="00F105F3" w:rsidRPr="00036404">
        <w:rPr>
          <w:szCs w:val="20"/>
          <w:lang w:val="es-CR"/>
        </w:rPr>
        <w:t>Jorge Enrique Coloma Gaibor y A</w:t>
      </w:r>
      <w:bookmarkStart w:id="138" w:name="_Toc1630863"/>
      <w:r w:rsidR="00036404" w:rsidRPr="00036404">
        <w:rPr>
          <w:szCs w:val="20"/>
          <w:lang w:val="es-CR"/>
        </w:rPr>
        <w:t>lfonso Patricio Vinueza Pánchez.</w:t>
      </w:r>
    </w:p>
    <w:p w14:paraId="0224D90F" w14:textId="36DFEA2A" w:rsidR="00446EBD" w:rsidRPr="00F911DC" w:rsidRDefault="002332BC" w:rsidP="00F911DC">
      <w:pPr>
        <w:pStyle w:val="Ttulo2"/>
        <w:ind w:left="426"/>
        <w:rPr>
          <w:i w:val="0"/>
        </w:rPr>
      </w:pPr>
      <w:bookmarkStart w:id="139" w:name="_Toc87339035"/>
      <w:bookmarkStart w:id="140" w:name="_Toc470105125"/>
      <w:bookmarkEnd w:id="138"/>
      <w:r w:rsidRPr="00F911DC">
        <w:rPr>
          <w:i w:val="0"/>
        </w:rPr>
        <w:t>B</w:t>
      </w:r>
      <w:r w:rsidR="002C0663" w:rsidRPr="00F911DC">
        <w:rPr>
          <w:i w:val="0"/>
        </w:rPr>
        <w:t>.</w:t>
      </w:r>
      <w:r w:rsidR="00070FB9" w:rsidRPr="00F911DC">
        <w:rPr>
          <w:i w:val="0"/>
        </w:rPr>
        <w:t xml:space="preserve"> </w:t>
      </w:r>
      <w:r w:rsidR="00933C78" w:rsidRPr="00F911DC">
        <w:rPr>
          <w:i w:val="0"/>
        </w:rPr>
        <w:t>P</w:t>
      </w:r>
      <w:r w:rsidR="00DB2DA0" w:rsidRPr="00F911DC">
        <w:rPr>
          <w:i w:val="0"/>
        </w:rPr>
        <w:t>rocesos indemnizatorios</w:t>
      </w:r>
      <w:bookmarkEnd w:id="139"/>
      <w:r w:rsidR="00DA4251" w:rsidRPr="00F911DC">
        <w:rPr>
          <w:i w:val="0"/>
        </w:rPr>
        <w:t xml:space="preserve"> </w:t>
      </w:r>
    </w:p>
    <w:p w14:paraId="11737E6B" w14:textId="7C40F74F" w:rsidR="002C0663" w:rsidRPr="00ED2790" w:rsidRDefault="002332BC" w:rsidP="00ED2790">
      <w:pPr>
        <w:pStyle w:val="Ttulo3"/>
        <w:rPr>
          <w:i/>
        </w:rPr>
      </w:pPr>
      <w:bookmarkStart w:id="141" w:name="_Toc87339036"/>
      <w:r w:rsidRPr="00ED2790">
        <w:rPr>
          <w:i/>
        </w:rPr>
        <w:t>B</w:t>
      </w:r>
      <w:r w:rsidR="002D5341" w:rsidRPr="00ED2790">
        <w:rPr>
          <w:i/>
        </w:rPr>
        <w:t xml:space="preserve">.1. </w:t>
      </w:r>
      <w:r w:rsidR="002D5341" w:rsidRPr="00ED2790">
        <w:rPr>
          <w:i/>
          <w:lang w:val="es-CR"/>
        </w:rPr>
        <w:t>Argumentos de las partes y la Comisión</w:t>
      </w:r>
      <w:bookmarkEnd w:id="141"/>
    </w:p>
    <w:p w14:paraId="6A497118" w14:textId="1074EB0D" w:rsidR="002564CE" w:rsidRPr="00672E62" w:rsidRDefault="003A39A3" w:rsidP="00276ECB">
      <w:pPr>
        <w:pStyle w:val="Prrafodelista"/>
        <w:numPr>
          <w:ilvl w:val="0"/>
          <w:numId w:val="29"/>
        </w:numPr>
        <w:spacing w:before="0" w:after="0"/>
        <w:ind w:left="0" w:firstLine="0"/>
        <w:rPr>
          <w:rFonts w:eastAsia="Times New Roman"/>
          <w:color w:val="00B050"/>
          <w:szCs w:val="20"/>
          <w:lang w:val="es-ES"/>
        </w:rPr>
      </w:pPr>
      <w:r w:rsidRPr="0092295B">
        <w:rPr>
          <w:szCs w:val="20"/>
        </w:rPr>
        <w:t xml:space="preserve">La </w:t>
      </w:r>
      <w:r w:rsidRPr="0092295B">
        <w:rPr>
          <w:b/>
          <w:i/>
          <w:szCs w:val="20"/>
        </w:rPr>
        <w:t xml:space="preserve">Comisión </w:t>
      </w:r>
      <w:r w:rsidRPr="0092295B">
        <w:rPr>
          <w:szCs w:val="20"/>
        </w:rPr>
        <w:t>tomó nota de que las presuntas víctimas presentaron diversas demandas de indemnización. En el caso del señor Villarroel Merino</w:t>
      </w:r>
      <w:r w:rsidR="007E65DE" w:rsidRPr="0092295B">
        <w:rPr>
          <w:szCs w:val="20"/>
        </w:rPr>
        <w:t xml:space="preserve"> presentó una demand</w:t>
      </w:r>
      <w:r w:rsidR="00B070FF" w:rsidRPr="0092295B">
        <w:rPr>
          <w:szCs w:val="20"/>
        </w:rPr>
        <w:t>a de indemnización y un reclamo</w:t>
      </w:r>
      <w:r w:rsidR="007E65DE" w:rsidRPr="0092295B">
        <w:rPr>
          <w:szCs w:val="20"/>
        </w:rPr>
        <w:t xml:space="preserve"> por daños y perjuicios ante el Presidente de la República, que fueron rechazadas por falta de competencia y una demanda por indemnización ante la Corte Suprema de Justicia, que habría sido rechazada. </w:t>
      </w:r>
      <w:r w:rsidR="00933C78" w:rsidRPr="0092295B">
        <w:rPr>
          <w:szCs w:val="20"/>
        </w:rPr>
        <w:t>La Comisión c</w:t>
      </w:r>
      <w:r w:rsidRPr="0092295B">
        <w:rPr>
          <w:szCs w:val="20"/>
        </w:rPr>
        <w:t>oncluyó que carecía de elementos suficientes para pronunciarse sobre si, en el marco del conocimiento de estos recursos, el Estado violó el derecho a la protección judicial. Respecto de los señores Fer</w:t>
      </w:r>
      <w:r w:rsidR="00911365" w:rsidRPr="0092295B">
        <w:rPr>
          <w:szCs w:val="20"/>
        </w:rPr>
        <w:t>nando López Ortiz y Amílcar Ascá</w:t>
      </w:r>
      <w:r w:rsidRPr="0092295B">
        <w:rPr>
          <w:szCs w:val="20"/>
        </w:rPr>
        <w:t xml:space="preserve">zubi Albán, </w:t>
      </w:r>
      <w:r w:rsidR="00CF2CF9">
        <w:rPr>
          <w:szCs w:val="20"/>
        </w:rPr>
        <w:t xml:space="preserve">señaló que </w:t>
      </w:r>
      <w:r w:rsidR="00933C78" w:rsidRPr="0092295B">
        <w:rPr>
          <w:szCs w:val="20"/>
        </w:rPr>
        <w:t xml:space="preserve">presentaron </w:t>
      </w:r>
      <w:r w:rsidRPr="0092295B">
        <w:rPr>
          <w:szCs w:val="20"/>
        </w:rPr>
        <w:t>demandas por indemnización en la vía civil en el año 2008</w:t>
      </w:r>
      <w:r w:rsidR="00933C78" w:rsidRPr="0092295B">
        <w:rPr>
          <w:szCs w:val="20"/>
        </w:rPr>
        <w:t xml:space="preserve"> y para el año 2015 no habían sido resueltas. Por lo que dichos procesos habrían permanecido</w:t>
      </w:r>
      <w:r w:rsidRPr="0092295B">
        <w:rPr>
          <w:szCs w:val="20"/>
        </w:rPr>
        <w:t xml:space="preserve"> abiert</w:t>
      </w:r>
      <w:r w:rsidR="00025664">
        <w:rPr>
          <w:szCs w:val="20"/>
        </w:rPr>
        <w:t>o</w:t>
      </w:r>
      <w:r w:rsidRPr="0092295B">
        <w:rPr>
          <w:szCs w:val="20"/>
        </w:rPr>
        <w:t xml:space="preserve">s más de 9 años. La Comisión </w:t>
      </w:r>
      <w:r w:rsidR="00B070FF" w:rsidRPr="0092295B">
        <w:rPr>
          <w:szCs w:val="20"/>
        </w:rPr>
        <w:t>s</w:t>
      </w:r>
      <w:r w:rsidR="00E13470" w:rsidRPr="0092295B">
        <w:rPr>
          <w:szCs w:val="20"/>
        </w:rPr>
        <w:t>os</w:t>
      </w:r>
      <w:r w:rsidR="00B070FF" w:rsidRPr="0092295B">
        <w:rPr>
          <w:szCs w:val="20"/>
        </w:rPr>
        <w:t>tuvo</w:t>
      </w:r>
      <w:r w:rsidRPr="0092295B">
        <w:rPr>
          <w:szCs w:val="20"/>
        </w:rPr>
        <w:t xml:space="preserve"> que dicho tiempo constituía u</w:t>
      </w:r>
      <w:r w:rsidR="00933C78" w:rsidRPr="0092295B">
        <w:rPr>
          <w:szCs w:val="20"/>
        </w:rPr>
        <w:t>n plazo irrazonable, lo cual da</w:t>
      </w:r>
      <w:r w:rsidRPr="0092295B">
        <w:rPr>
          <w:szCs w:val="20"/>
        </w:rPr>
        <w:t xml:space="preserve"> lugar a una violación del derecho a contar con un recurso rápido y sencillo frente a violaciones de derechos establecidos en los artículos 8.1 y 25.1 de la Convención Americana, en relación con el artículo 1.1 del mismo instrumento, en perjuicio de los señores López </w:t>
      </w:r>
      <w:r w:rsidR="00933C78" w:rsidRPr="0092295B">
        <w:rPr>
          <w:szCs w:val="20"/>
        </w:rPr>
        <w:t xml:space="preserve">Ortiz </w:t>
      </w:r>
      <w:r w:rsidR="008D4CD9">
        <w:rPr>
          <w:szCs w:val="20"/>
        </w:rPr>
        <w:t>y Ascázu</w:t>
      </w:r>
      <w:r w:rsidRPr="0092295B">
        <w:rPr>
          <w:szCs w:val="20"/>
        </w:rPr>
        <w:t>bi Albán.</w:t>
      </w:r>
    </w:p>
    <w:p w14:paraId="51F50141" w14:textId="77777777" w:rsidR="00672E62" w:rsidRPr="00672E62" w:rsidRDefault="00672E62" w:rsidP="00672E62">
      <w:pPr>
        <w:pStyle w:val="Prrafodelista"/>
        <w:spacing w:before="0" w:after="0"/>
        <w:ind w:left="0"/>
        <w:rPr>
          <w:rFonts w:eastAsia="Times New Roman"/>
          <w:color w:val="00B050"/>
          <w:szCs w:val="20"/>
          <w:lang w:val="es-ES"/>
        </w:rPr>
      </w:pPr>
    </w:p>
    <w:p w14:paraId="26F897A8" w14:textId="04B2B5D9" w:rsidR="00672E62" w:rsidRPr="00036404" w:rsidRDefault="00672E62" w:rsidP="00672E62">
      <w:pPr>
        <w:pStyle w:val="Prrafodelista"/>
        <w:numPr>
          <w:ilvl w:val="0"/>
          <w:numId w:val="29"/>
        </w:numPr>
        <w:spacing w:before="0" w:after="0"/>
        <w:ind w:left="0" w:firstLine="0"/>
        <w:rPr>
          <w:rFonts w:eastAsia="Times New Roman"/>
          <w:szCs w:val="20"/>
          <w:lang w:val="es-ES"/>
        </w:rPr>
      </w:pPr>
      <w:r w:rsidRPr="00036404">
        <w:rPr>
          <w:szCs w:val="20"/>
          <w:lang w:val="es-CR"/>
        </w:rPr>
        <w:t xml:space="preserve">El </w:t>
      </w:r>
      <w:r w:rsidRPr="00036404">
        <w:rPr>
          <w:b/>
          <w:i/>
          <w:szCs w:val="20"/>
          <w:lang w:val="es-CR"/>
        </w:rPr>
        <w:t>representante</w:t>
      </w:r>
      <w:r w:rsidRPr="00036404">
        <w:rPr>
          <w:szCs w:val="20"/>
          <w:lang w:val="es-CR"/>
        </w:rPr>
        <w:t xml:space="preserve"> </w:t>
      </w:r>
      <w:r w:rsidRPr="00036404">
        <w:rPr>
          <w:rFonts w:eastAsia="Calibri" w:cs="Arial"/>
          <w:szCs w:val="20"/>
          <w:lang w:val="es-MX"/>
        </w:rPr>
        <w:t xml:space="preserve">se remitió en general a lo expuesto por la Comisión Interamericana, sin presentar alegaciones concretas, reprodujo algunos extractos de los Informes de Admisibilidad y Fondo de la Comisión, así como del escrito de sometimiento del caso.    </w:t>
      </w:r>
    </w:p>
    <w:p w14:paraId="70D9CB70" w14:textId="77777777" w:rsidR="00446EBD" w:rsidRPr="0092295B" w:rsidRDefault="00446EBD" w:rsidP="00276ECB">
      <w:pPr>
        <w:pStyle w:val="Prrafodelista"/>
        <w:spacing w:before="0" w:after="0"/>
        <w:ind w:left="0"/>
        <w:rPr>
          <w:rFonts w:eastAsia="Times New Roman"/>
          <w:color w:val="00B050"/>
          <w:szCs w:val="20"/>
          <w:lang w:val="es-ES"/>
        </w:rPr>
      </w:pPr>
    </w:p>
    <w:p w14:paraId="558A653D" w14:textId="37606D39" w:rsidR="00702E96" w:rsidRPr="0092295B" w:rsidRDefault="00702E96" w:rsidP="00276ECB">
      <w:pPr>
        <w:pStyle w:val="Prrafodelista"/>
        <w:numPr>
          <w:ilvl w:val="0"/>
          <w:numId w:val="29"/>
        </w:numPr>
        <w:spacing w:before="0" w:after="0"/>
        <w:ind w:left="0" w:firstLine="0"/>
        <w:rPr>
          <w:rFonts w:eastAsia="Times New Roman"/>
          <w:szCs w:val="20"/>
          <w:lang w:val="es-ES"/>
        </w:rPr>
      </w:pPr>
      <w:r w:rsidRPr="0092295B">
        <w:rPr>
          <w:szCs w:val="20"/>
        </w:rPr>
        <w:t xml:space="preserve">El </w:t>
      </w:r>
      <w:r w:rsidRPr="0092295B">
        <w:rPr>
          <w:b/>
          <w:i/>
          <w:szCs w:val="20"/>
        </w:rPr>
        <w:t>Estado</w:t>
      </w:r>
      <w:r w:rsidRPr="0092295B">
        <w:rPr>
          <w:szCs w:val="20"/>
        </w:rPr>
        <w:t xml:space="preserve"> </w:t>
      </w:r>
      <w:r w:rsidR="00E17821" w:rsidRPr="0092295B">
        <w:rPr>
          <w:szCs w:val="20"/>
        </w:rPr>
        <w:t xml:space="preserve">adujo </w:t>
      </w:r>
      <w:r w:rsidRPr="0092295B">
        <w:rPr>
          <w:szCs w:val="20"/>
        </w:rPr>
        <w:t>que la</w:t>
      </w:r>
      <w:r w:rsidR="00E13470" w:rsidRPr="0092295B">
        <w:rPr>
          <w:szCs w:val="20"/>
        </w:rPr>
        <w:t>s</w:t>
      </w:r>
      <w:r w:rsidRPr="0092295B">
        <w:rPr>
          <w:szCs w:val="20"/>
        </w:rPr>
        <w:t xml:space="preserve"> presuntas víctimas pudieron acudir ante las autoridades jurisdiccionales, por la vía del procedimiento contencioso administrativ</w:t>
      </w:r>
      <w:r w:rsidR="00B42B84" w:rsidRPr="0092295B">
        <w:rPr>
          <w:szCs w:val="20"/>
        </w:rPr>
        <w:t>o para exigir el pago de una indemnización por daños y perjuicios e inclusive una reparación por el daño moral, si consideraba</w:t>
      </w:r>
      <w:r w:rsidR="008D5C5F" w:rsidRPr="0092295B">
        <w:rPr>
          <w:szCs w:val="20"/>
        </w:rPr>
        <w:t>n</w:t>
      </w:r>
      <w:r w:rsidR="00B42B84" w:rsidRPr="0092295B">
        <w:rPr>
          <w:szCs w:val="20"/>
        </w:rPr>
        <w:t xml:space="preserve"> que las acciones u omisiones de él o los jueces que sustanciaron su enjuiciamiento provocaron un retardo injustificado o inadecuada administración de justicia, o una violación </w:t>
      </w:r>
      <w:r w:rsidR="008D5C5F" w:rsidRPr="0092295B">
        <w:rPr>
          <w:szCs w:val="20"/>
        </w:rPr>
        <w:t>del derecho a la tutela efectiva</w:t>
      </w:r>
      <w:r w:rsidR="00B42B84" w:rsidRPr="0092295B">
        <w:rPr>
          <w:szCs w:val="20"/>
        </w:rPr>
        <w:t xml:space="preserve"> y al debido proceso o en general constituían un error judicial. Tal</w:t>
      </w:r>
      <w:r w:rsidR="00AD180F" w:rsidRPr="0092295B">
        <w:rPr>
          <w:szCs w:val="20"/>
        </w:rPr>
        <w:t xml:space="preserve"> recurso podía ser ejercido a través de una demanda presentada conforme a las reglas del procedimiento establecidas legalmente, esto es presentada ante un juez de lo contencioso administrativo de su domicilio, según el artículo 217 del Código Orgánico de la Función Judicial, </w:t>
      </w:r>
      <w:r w:rsidR="00B42B84" w:rsidRPr="0092295B">
        <w:rPr>
          <w:szCs w:val="20"/>
        </w:rPr>
        <w:t xml:space="preserve">para </w:t>
      </w:r>
      <w:r w:rsidR="00AD180F" w:rsidRPr="0092295B">
        <w:rPr>
          <w:szCs w:val="20"/>
        </w:rPr>
        <w:t>demandar como legitimado pasivo al Presidente del Consejo de la Judicatura y seguir el trámite de</w:t>
      </w:r>
      <w:r w:rsidR="0022286E" w:rsidRPr="0092295B">
        <w:rPr>
          <w:szCs w:val="20"/>
        </w:rPr>
        <w:t xml:space="preserve"> </w:t>
      </w:r>
      <w:r w:rsidR="00AD180F" w:rsidRPr="0092295B">
        <w:rPr>
          <w:szCs w:val="20"/>
        </w:rPr>
        <w:t xml:space="preserve">las reclamaciones contencioso administrativas, teniendo en cuenta el plazo de prescripción </w:t>
      </w:r>
      <w:r w:rsidR="00833FF6" w:rsidRPr="0092295B">
        <w:rPr>
          <w:szCs w:val="20"/>
        </w:rPr>
        <w:t>de esta acción de 4 años.</w:t>
      </w:r>
      <w:r w:rsidR="00B42B84" w:rsidRPr="0092295B">
        <w:rPr>
          <w:szCs w:val="20"/>
        </w:rPr>
        <w:t xml:space="preserve"> Por otra parte</w:t>
      </w:r>
      <w:r w:rsidR="00FE3131" w:rsidRPr="0092295B">
        <w:rPr>
          <w:szCs w:val="20"/>
        </w:rPr>
        <w:t>,</w:t>
      </w:r>
      <w:r w:rsidR="00B42B84" w:rsidRPr="0092295B">
        <w:rPr>
          <w:szCs w:val="20"/>
        </w:rPr>
        <w:t xml:space="preserve"> mencionó que</w:t>
      </w:r>
      <w:r w:rsidR="005B38AB">
        <w:rPr>
          <w:szCs w:val="20"/>
        </w:rPr>
        <w:t>,</w:t>
      </w:r>
      <w:r w:rsidR="00B42B84" w:rsidRPr="0092295B">
        <w:rPr>
          <w:szCs w:val="20"/>
        </w:rPr>
        <w:t xml:space="preserve"> como </w:t>
      </w:r>
      <w:r w:rsidR="00833FF6" w:rsidRPr="0092295B">
        <w:rPr>
          <w:szCs w:val="20"/>
        </w:rPr>
        <w:t>consta en el Informe de Fondo N. 113/18 de la Com</w:t>
      </w:r>
      <w:r w:rsidR="00FE3131" w:rsidRPr="0092295B">
        <w:rPr>
          <w:szCs w:val="20"/>
        </w:rPr>
        <w:t>isión, el</w:t>
      </w:r>
      <w:r w:rsidR="00833FF6" w:rsidRPr="0092295B">
        <w:rPr>
          <w:szCs w:val="20"/>
        </w:rPr>
        <w:t xml:space="preserve"> señor Villarroel Merino propuso este recurso a nivel interno, pero equivocó la vía procesal establecida en la ley, por lo que el proceso no pudo prosperar a causa de la inhibición de la Corte Policial. </w:t>
      </w:r>
    </w:p>
    <w:p w14:paraId="724A811D" w14:textId="696A0D7E" w:rsidR="003A39A3" w:rsidRPr="0092295B" w:rsidRDefault="003A39A3" w:rsidP="00933C78">
      <w:pPr>
        <w:pStyle w:val="Prrafodelista"/>
        <w:spacing w:before="0" w:after="0"/>
        <w:ind w:left="0"/>
        <w:rPr>
          <w:rFonts w:eastAsia="Times New Roman"/>
          <w:szCs w:val="20"/>
          <w:lang w:val="es-ES"/>
        </w:rPr>
      </w:pPr>
    </w:p>
    <w:p w14:paraId="56A7D08E" w14:textId="0C86BB3D" w:rsidR="00933C78" w:rsidRPr="005D6E7F" w:rsidRDefault="002332BC" w:rsidP="00BB3B98">
      <w:pPr>
        <w:pStyle w:val="Ttulo3"/>
        <w:spacing w:before="0" w:after="0"/>
        <w:rPr>
          <w:i/>
          <w:szCs w:val="20"/>
          <w:lang w:val="es-CR"/>
        </w:rPr>
      </w:pPr>
      <w:bookmarkStart w:id="142" w:name="_Toc87339037"/>
      <w:r w:rsidRPr="005D6E7F">
        <w:rPr>
          <w:i/>
          <w:szCs w:val="20"/>
          <w:lang w:val="es-CR"/>
        </w:rPr>
        <w:t>B</w:t>
      </w:r>
      <w:r w:rsidR="002D5341" w:rsidRPr="005D6E7F">
        <w:rPr>
          <w:i/>
          <w:szCs w:val="20"/>
          <w:lang w:val="es-CR"/>
        </w:rPr>
        <w:t>.2</w:t>
      </w:r>
      <w:r w:rsidR="00933C78" w:rsidRPr="005D6E7F">
        <w:rPr>
          <w:i/>
          <w:szCs w:val="20"/>
          <w:lang w:val="es-CR"/>
        </w:rPr>
        <w:t>. Consideraciones de la Corte</w:t>
      </w:r>
      <w:bookmarkEnd w:id="142"/>
    </w:p>
    <w:p w14:paraId="638CE51A" w14:textId="77777777" w:rsidR="00B070FF" w:rsidRPr="0092295B" w:rsidRDefault="00B070FF" w:rsidP="00BB3B98">
      <w:pPr>
        <w:spacing w:before="0" w:after="0"/>
        <w:rPr>
          <w:lang w:val="es-CR"/>
        </w:rPr>
      </w:pPr>
    </w:p>
    <w:p w14:paraId="2131794C" w14:textId="4E21DE86" w:rsidR="009006F2" w:rsidRPr="0092295B" w:rsidRDefault="00E13470" w:rsidP="00276ECB">
      <w:pPr>
        <w:pStyle w:val="Prrafodelista"/>
        <w:numPr>
          <w:ilvl w:val="0"/>
          <w:numId w:val="29"/>
        </w:numPr>
        <w:spacing w:before="0" w:after="0"/>
        <w:ind w:left="0" w:firstLine="0"/>
        <w:rPr>
          <w:szCs w:val="20"/>
          <w:lang w:val="es-CR"/>
        </w:rPr>
      </w:pPr>
      <w:r w:rsidRPr="0092295B">
        <w:rPr>
          <w:szCs w:val="20"/>
          <w:lang w:val="es-CR"/>
        </w:rPr>
        <w:t>La Corte nota que la Comisión se refirió a las diversas demandas indemnizatorias present</w:t>
      </w:r>
      <w:r w:rsidR="00FE3131" w:rsidRPr="0092295B">
        <w:rPr>
          <w:szCs w:val="20"/>
          <w:lang w:val="es-CR"/>
        </w:rPr>
        <w:t>adas por las presuntas víctimas</w:t>
      </w:r>
      <w:r w:rsidR="007459AD" w:rsidRPr="0092295B">
        <w:rPr>
          <w:szCs w:val="20"/>
          <w:lang w:val="es-CR"/>
        </w:rPr>
        <w:t xml:space="preserve">, </w:t>
      </w:r>
      <w:r w:rsidR="009006F2" w:rsidRPr="0092295B">
        <w:rPr>
          <w:szCs w:val="20"/>
          <w:lang w:val="es-CR"/>
        </w:rPr>
        <w:t xml:space="preserve">en particular se refirió a: i) una demanda indemnizatoria </w:t>
      </w:r>
      <w:r w:rsidR="00EF4BD7">
        <w:rPr>
          <w:szCs w:val="20"/>
          <w:lang w:val="es-CR"/>
        </w:rPr>
        <w:t xml:space="preserve">y </w:t>
      </w:r>
      <w:r w:rsidR="00EF4BD7" w:rsidRPr="00036404">
        <w:rPr>
          <w:szCs w:val="20"/>
          <w:lang w:val="es-CR"/>
        </w:rPr>
        <w:t xml:space="preserve">un reclamo por daños y perjuicios </w:t>
      </w:r>
      <w:r w:rsidR="009006F2" w:rsidRPr="0092295B">
        <w:rPr>
          <w:szCs w:val="20"/>
          <w:lang w:val="es-CR"/>
        </w:rPr>
        <w:t>pre</w:t>
      </w:r>
      <w:r w:rsidR="00EF4BD7">
        <w:rPr>
          <w:szCs w:val="20"/>
          <w:lang w:val="es-CR"/>
        </w:rPr>
        <w:t>sentados</w:t>
      </w:r>
      <w:r w:rsidR="009006F2" w:rsidRPr="0092295B">
        <w:rPr>
          <w:szCs w:val="20"/>
          <w:lang w:val="es-CR"/>
        </w:rPr>
        <w:t xml:space="preserve"> por el señor Villarroel Merino</w:t>
      </w:r>
      <w:r w:rsidR="008B0B04">
        <w:rPr>
          <w:szCs w:val="20"/>
          <w:lang w:val="es-CR"/>
        </w:rPr>
        <w:t>;</w:t>
      </w:r>
      <w:r w:rsidR="00855FBB">
        <w:rPr>
          <w:szCs w:val="20"/>
          <w:lang w:val="es-CR"/>
        </w:rPr>
        <w:t xml:space="preserve"> ii)</w:t>
      </w:r>
      <w:r w:rsidR="009006F2" w:rsidRPr="0092295B">
        <w:rPr>
          <w:szCs w:val="20"/>
          <w:lang w:val="es-CR"/>
        </w:rPr>
        <w:t xml:space="preserve"> demanda</w:t>
      </w:r>
      <w:r w:rsidR="001031F5">
        <w:rPr>
          <w:szCs w:val="20"/>
          <w:lang w:val="es-CR"/>
        </w:rPr>
        <w:t>s</w:t>
      </w:r>
      <w:r w:rsidR="009006F2" w:rsidRPr="0092295B">
        <w:rPr>
          <w:szCs w:val="20"/>
          <w:lang w:val="es-CR"/>
        </w:rPr>
        <w:t xml:space="preserve"> indemnizatoria</w:t>
      </w:r>
      <w:r w:rsidR="001031F5">
        <w:rPr>
          <w:szCs w:val="20"/>
          <w:lang w:val="es-CR"/>
        </w:rPr>
        <w:t>s</w:t>
      </w:r>
      <w:r w:rsidR="009006F2" w:rsidRPr="0092295B">
        <w:rPr>
          <w:szCs w:val="20"/>
          <w:lang w:val="es-CR"/>
        </w:rPr>
        <w:t xml:space="preserve"> </w:t>
      </w:r>
      <w:r w:rsidR="00855FBB" w:rsidRPr="00036404">
        <w:rPr>
          <w:szCs w:val="20"/>
          <w:lang w:val="es-CR"/>
        </w:rPr>
        <w:t>y reclamo administrativo</w:t>
      </w:r>
      <w:r w:rsidR="00855FBB">
        <w:rPr>
          <w:szCs w:val="20"/>
          <w:lang w:val="es-CR"/>
        </w:rPr>
        <w:t xml:space="preserve"> presentados</w:t>
      </w:r>
      <w:r w:rsidR="009006F2" w:rsidRPr="0092295B">
        <w:rPr>
          <w:szCs w:val="20"/>
          <w:lang w:val="es-CR"/>
        </w:rPr>
        <w:t xml:space="preserve"> por el señor A</w:t>
      </w:r>
      <w:r w:rsidR="00660BC9">
        <w:rPr>
          <w:szCs w:val="20"/>
          <w:lang w:val="es-CR"/>
        </w:rPr>
        <w:t>s</w:t>
      </w:r>
      <w:r w:rsidR="00447FDD">
        <w:rPr>
          <w:szCs w:val="20"/>
          <w:lang w:val="es-CR"/>
        </w:rPr>
        <w:t>cázu</w:t>
      </w:r>
      <w:r w:rsidR="009006F2" w:rsidRPr="0092295B">
        <w:rPr>
          <w:szCs w:val="20"/>
          <w:lang w:val="es-CR"/>
        </w:rPr>
        <w:t>bi Albán</w:t>
      </w:r>
      <w:r w:rsidR="008B0B04">
        <w:rPr>
          <w:szCs w:val="20"/>
          <w:lang w:val="es-CR"/>
        </w:rPr>
        <w:t>,</w:t>
      </w:r>
      <w:r w:rsidR="009006F2" w:rsidRPr="0092295B">
        <w:rPr>
          <w:szCs w:val="20"/>
          <w:lang w:val="es-CR"/>
        </w:rPr>
        <w:t xml:space="preserve"> y iii) demanda indemnizatoria presentada por el señor López Ortiz.</w:t>
      </w:r>
    </w:p>
    <w:p w14:paraId="692F98E5" w14:textId="77777777" w:rsidR="009006F2" w:rsidRPr="0092295B" w:rsidRDefault="009006F2" w:rsidP="00276ECB">
      <w:pPr>
        <w:pStyle w:val="Prrafodelista"/>
        <w:spacing w:before="0" w:after="0"/>
        <w:ind w:left="0"/>
        <w:rPr>
          <w:szCs w:val="20"/>
          <w:lang w:val="es-CR"/>
        </w:rPr>
      </w:pPr>
    </w:p>
    <w:p w14:paraId="7DE7E42E" w14:textId="4929EF05" w:rsidR="00672E62" w:rsidRPr="00036404" w:rsidRDefault="009006F2" w:rsidP="00276ECB">
      <w:pPr>
        <w:pStyle w:val="Prrafodelista"/>
        <w:numPr>
          <w:ilvl w:val="0"/>
          <w:numId w:val="29"/>
        </w:numPr>
        <w:spacing w:before="0" w:after="0"/>
        <w:ind w:left="0" w:firstLine="0"/>
        <w:rPr>
          <w:color w:val="FF0000"/>
          <w:szCs w:val="20"/>
          <w:lang w:val="es-CR"/>
        </w:rPr>
      </w:pPr>
      <w:r w:rsidRPr="00036404">
        <w:rPr>
          <w:szCs w:val="20"/>
          <w:lang w:val="es-CR"/>
        </w:rPr>
        <w:t xml:space="preserve">En relación con la </w:t>
      </w:r>
      <w:r w:rsidR="007459AD" w:rsidRPr="00036404">
        <w:rPr>
          <w:szCs w:val="20"/>
        </w:rPr>
        <w:t>demanda</w:t>
      </w:r>
      <w:r w:rsidR="00855FBB" w:rsidRPr="00036404">
        <w:rPr>
          <w:szCs w:val="20"/>
        </w:rPr>
        <w:t xml:space="preserve"> indemnizatoria y reclamo por daños y perjuicios</w:t>
      </w:r>
      <w:r w:rsidR="00EC7FE8" w:rsidRPr="00036404">
        <w:rPr>
          <w:szCs w:val="20"/>
        </w:rPr>
        <w:t xml:space="preserve"> presentados</w:t>
      </w:r>
      <w:r w:rsidR="007459AD" w:rsidRPr="00036404">
        <w:rPr>
          <w:szCs w:val="20"/>
        </w:rPr>
        <w:t xml:space="preserve"> por el señor Villarroel Merino</w:t>
      </w:r>
      <w:r w:rsidR="005B38AB">
        <w:rPr>
          <w:szCs w:val="20"/>
        </w:rPr>
        <w:t>,</w:t>
      </w:r>
      <w:r w:rsidRPr="00036404">
        <w:rPr>
          <w:szCs w:val="20"/>
        </w:rPr>
        <w:t xml:space="preserve"> la Comisión sostuvo que</w:t>
      </w:r>
      <w:r w:rsidR="007459AD" w:rsidRPr="00036404">
        <w:rPr>
          <w:szCs w:val="20"/>
        </w:rPr>
        <w:t xml:space="preserve"> carecía de elementos suficientes para pronunciarse sobre si, en el marco del conocimiento de estos recursos, el Estado violó el derecho a la protección judicial.</w:t>
      </w:r>
      <w:r w:rsidR="00FE3131" w:rsidRPr="00036404">
        <w:rPr>
          <w:szCs w:val="20"/>
          <w:lang w:val="es-CR"/>
        </w:rPr>
        <w:t xml:space="preserve"> </w:t>
      </w:r>
      <w:r w:rsidRPr="00036404">
        <w:rPr>
          <w:szCs w:val="20"/>
          <w:lang w:val="es-CR"/>
        </w:rPr>
        <w:t xml:space="preserve">Sobre el particular, </w:t>
      </w:r>
      <w:r w:rsidR="00855FBB" w:rsidRPr="00036404">
        <w:rPr>
          <w:szCs w:val="20"/>
          <w:lang w:val="es-CR"/>
        </w:rPr>
        <w:t xml:space="preserve">esta Corte nota que </w:t>
      </w:r>
      <w:r w:rsidR="001B5467" w:rsidRPr="00036404">
        <w:rPr>
          <w:szCs w:val="20"/>
          <w:lang w:val="es-CR"/>
        </w:rPr>
        <w:t xml:space="preserve">la Comisión Interamericana </w:t>
      </w:r>
      <w:r w:rsidR="00855FBB" w:rsidRPr="00036404">
        <w:rPr>
          <w:szCs w:val="20"/>
          <w:lang w:val="es-CR"/>
        </w:rPr>
        <w:t>hizo una mera mención</w:t>
      </w:r>
      <w:r w:rsidR="00447FDD" w:rsidRPr="00036404">
        <w:rPr>
          <w:szCs w:val="20"/>
          <w:lang w:val="es-CR"/>
        </w:rPr>
        <w:t xml:space="preserve"> de las demandas </w:t>
      </w:r>
      <w:r w:rsidR="00855FBB" w:rsidRPr="00036404">
        <w:rPr>
          <w:szCs w:val="20"/>
          <w:lang w:val="es-CR"/>
        </w:rPr>
        <w:t>y no presen</w:t>
      </w:r>
      <w:r w:rsidR="001B5467" w:rsidRPr="00036404">
        <w:rPr>
          <w:szCs w:val="20"/>
          <w:lang w:val="es-CR"/>
        </w:rPr>
        <w:t>tó</w:t>
      </w:r>
      <w:r w:rsidR="00855FBB" w:rsidRPr="00036404">
        <w:rPr>
          <w:szCs w:val="20"/>
          <w:lang w:val="es-CR"/>
        </w:rPr>
        <w:t xml:space="preserve"> argumentos que sustentara</w:t>
      </w:r>
      <w:r w:rsidR="00447FDD" w:rsidRPr="00036404">
        <w:rPr>
          <w:szCs w:val="20"/>
          <w:lang w:val="es-CR"/>
        </w:rPr>
        <w:t>n</w:t>
      </w:r>
      <w:r w:rsidR="00855FBB" w:rsidRPr="00036404">
        <w:rPr>
          <w:szCs w:val="20"/>
          <w:lang w:val="es-CR"/>
        </w:rPr>
        <w:t xml:space="preserve"> una presunta violación a la protección judicial</w:t>
      </w:r>
      <w:r w:rsidR="00447FDD" w:rsidRPr="00036404">
        <w:rPr>
          <w:szCs w:val="20"/>
          <w:lang w:val="es-CR"/>
        </w:rPr>
        <w:t>, como</w:t>
      </w:r>
      <w:r w:rsidR="00DB7D89" w:rsidRPr="00036404">
        <w:rPr>
          <w:szCs w:val="20"/>
          <w:lang w:val="es-CR"/>
        </w:rPr>
        <w:t xml:space="preserve"> tampoco lo hizo el representante </w:t>
      </w:r>
      <w:r w:rsidR="00055A0E" w:rsidRPr="00036404">
        <w:rPr>
          <w:szCs w:val="20"/>
          <w:lang w:val="es-CR"/>
        </w:rPr>
        <w:t>de las presuntas víctimas</w:t>
      </w:r>
      <w:r w:rsidR="00855FBB" w:rsidRPr="00036404">
        <w:rPr>
          <w:szCs w:val="20"/>
          <w:lang w:val="es-CR"/>
        </w:rPr>
        <w:t xml:space="preserve">. </w:t>
      </w:r>
      <w:r w:rsidR="00FE3131" w:rsidRPr="00036404">
        <w:rPr>
          <w:szCs w:val="20"/>
          <w:lang w:val="es-CR"/>
        </w:rPr>
        <w:t xml:space="preserve">En </w:t>
      </w:r>
      <w:r w:rsidR="007459AD" w:rsidRPr="00036404">
        <w:rPr>
          <w:szCs w:val="20"/>
          <w:lang w:val="es-CR"/>
        </w:rPr>
        <w:t>razón d</w:t>
      </w:r>
      <w:r w:rsidR="00327AAD" w:rsidRPr="00036404">
        <w:rPr>
          <w:szCs w:val="20"/>
          <w:lang w:val="es-CR"/>
        </w:rPr>
        <w:t>e lo anterior, este Tribunal</w:t>
      </w:r>
      <w:r w:rsidR="00447FDD" w:rsidRPr="00036404">
        <w:rPr>
          <w:szCs w:val="20"/>
          <w:lang w:val="es-CR"/>
        </w:rPr>
        <w:t xml:space="preserve"> no cuenta con elementos suficientes para pronunciarse al respecto.</w:t>
      </w:r>
    </w:p>
    <w:p w14:paraId="26FB54D6" w14:textId="77777777" w:rsidR="007459AD" w:rsidRPr="00BD20CA" w:rsidRDefault="007459AD" w:rsidP="00276ECB">
      <w:pPr>
        <w:pStyle w:val="Prrafodelista"/>
        <w:spacing w:before="0" w:after="0"/>
        <w:ind w:left="0"/>
        <w:rPr>
          <w:szCs w:val="20"/>
          <w:lang w:val="es-CR"/>
        </w:rPr>
      </w:pPr>
    </w:p>
    <w:p w14:paraId="57AC0814" w14:textId="079C575B" w:rsidR="00773B15" w:rsidRPr="00303E56" w:rsidRDefault="007459AD" w:rsidP="00276ECB">
      <w:pPr>
        <w:pStyle w:val="Prrafodelista"/>
        <w:numPr>
          <w:ilvl w:val="0"/>
          <w:numId w:val="29"/>
        </w:numPr>
        <w:spacing w:before="0" w:after="0"/>
        <w:ind w:left="0" w:firstLine="0"/>
        <w:rPr>
          <w:szCs w:val="20"/>
          <w:lang w:val="es-CR"/>
        </w:rPr>
      </w:pPr>
      <w:r w:rsidRPr="00303E56">
        <w:rPr>
          <w:szCs w:val="20"/>
        </w:rPr>
        <w:t xml:space="preserve">De acuerdo a información con que cuenta este Tribunal, en lo </w:t>
      </w:r>
      <w:r w:rsidR="00327AAD" w:rsidRPr="00303E56">
        <w:rPr>
          <w:szCs w:val="20"/>
        </w:rPr>
        <w:t xml:space="preserve">que se </w:t>
      </w:r>
      <w:r w:rsidRPr="00303E56">
        <w:rPr>
          <w:szCs w:val="20"/>
        </w:rPr>
        <w:t xml:space="preserve">refiere al </w:t>
      </w:r>
      <w:r w:rsidR="00655723" w:rsidRPr="00303E56">
        <w:rPr>
          <w:szCs w:val="20"/>
        </w:rPr>
        <w:t xml:space="preserve">señor </w:t>
      </w:r>
      <w:r w:rsidR="008D4CD9" w:rsidRPr="00303E56">
        <w:rPr>
          <w:szCs w:val="20"/>
        </w:rPr>
        <w:t>Ascázu</w:t>
      </w:r>
      <w:r w:rsidR="007955D4" w:rsidRPr="00303E56">
        <w:rPr>
          <w:szCs w:val="20"/>
        </w:rPr>
        <w:t>bi Albán</w:t>
      </w:r>
      <w:r w:rsidR="009A6C08" w:rsidRPr="00303E56">
        <w:rPr>
          <w:szCs w:val="20"/>
        </w:rPr>
        <w:t>, la Corte hace notar que</w:t>
      </w:r>
      <w:r w:rsidR="00554806" w:rsidRPr="00303E56">
        <w:rPr>
          <w:szCs w:val="20"/>
        </w:rPr>
        <w:t xml:space="preserve"> en el acervo probatorio constan </w:t>
      </w:r>
      <w:r w:rsidR="00911365" w:rsidRPr="00303E56">
        <w:rPr>
          <w:szCs w:val="20"/>
        </w:rPr>
        <w:t xml:space="preserve">distintos oficios relacionados con la presentación de dos </w:t>
      </w:r>
      <w:r w:rsidR="003F2B97" w:rsidRPr="00036404">
        <w:rPr>
          <w:szCs w:val="20"/>
        </w:rPr>
        <w:t>demandas indemnizatorias</w:t>
      </w:r>
      <w:r w:rsidR="00554806" w:rsidRPr="00036404">
        <w:rPr>
          <w:szCs w:val="20"/>
        </w:rPr>
        <w:t xml:space="preserve">, </w:t>
      </w:r>
      <w:r w:rsidR="00447FDD" w:rsidRPr="00036404">
        <w:rPr>
          <w:szCs w:val="20"/>
        </w:rPr>
        <w:t>una</w:t>
      </w:r>
      <w:r w:rsidR="00327AAD" w:rsidRPr="00036404">
        <w:rPr>
          <w:szCs w:val="20"/>
        </w:rPr>
        <w:t>,</w:t>
      </w:r>
      <w:r w:rsidR="00554806" w:rsidRPr="00036404">
        <w:rPr>
          <w:szCs w:val="20"/>
        </w:rPr>
        <w:t xml:space="preserve"> </w:t>
      </w:r>
      <w:r w:rsidR="00EC7FE8" w:rsidRPr="00036404">
        <w:rPr>
          <w:szCs w:val="20"/>
        </w:rPr>
        <w:t>presentada</w:t>
      </w:r>
      <w:r w:rsidR="00554806" w:rsidRPr="00036404">
        <w:rPr>
          <w:szCs w:val="20"/>
        </w:rPr>
        <w:t xml:space="preserve"> ante el Juzgado Décimo Tercero de lo Civil de Pichincha</w:t>
      </w:r>
      <w:r w:rsidR="00327AAD" w:rsidRPr="00036404">
        <w:rPr>
          <w:szCs w:val="20"/>
        </w:rPr>
        <w:t>,</w:t>
      </w:r>
      <w:r w:rsidR="00447FDD" w:rsidRPr="00036404">
        <w:rPr>
          <w:szCs w:val="20"/>
        </w:rPr>
        <w:t xml:space="preserve"> y otra</w:t>
      </w:r>
      <w:r w:rsidR="00327AAD" w:rsidRPr="00036404">
        <w:rPr>
          <w:szCs w:val="20"/>
        </w:rPr>
        <w:t>,</w:t>
      </w:r>
      <w:r w:rsidR="00554806" w:rsidRPr="00036404">
        <w:rPr>
          <w:szCs w:val="20"/>
        </w:rPr>
        <w:t xml:space="preserve"> ante la Corte</w:t>
      </w:r>
      <w:r w:rsidR="00EC7FE8" w:rsidRPr="00036404">
        <w:rPr>
          <w:szCs w:val="20"/>
        </w:rPr>
        <w:t xml:space="preserve"> de Justicia de la Policía Nacional</w:t>
      </w:r>
      <w:r w:rsidR="009A6C08" w:rsidRPr="00036404">
        <w:rPr>
          <w:szCs w:val="20"/>
        </w:rPr>
        <w:t>.</w:t>
      </w:r>
      <w:r w:rsidR="00E46D30" w:rsidRPr="00036404">
        <w:rPr>
          <w:szCs w:val="20"/>
        </w:rPr>
        <w:t xml:space="preserve"> </w:t>
      </w:r>
      <w:r w:rsidRPr="00036404">
        <w:rPr>
          <w:szCs w:val="20"/>
        </w:rPr>
        <w:t>E</w:t>
      </w:r>
      <w:r w:rsidR="0093073D" w:rsidRPr="00036404">
        <w:rPr>
          <w:szCs w:val="20"/>
        </w:rPr>
        <w:t>n relación con e</w:t>
      </w:r>
      <w:r w:rsidR="00554806" w:rsidRPr="00036404">
        <w:rPr>
          <w:szCs w:val="20"/>
        </w:rPr>
        <w:t>l primer reclamo</w:t>
      </w:r>
      <w:r w:rsidR="005B38AB">
        <w:rPr>
          <w:szCs w:val="20"/>
        </w:rPr>
        <w:t>,</w:t>
      </w:r>
      <w:r w:rsidR="00554806" w:rsidRPr="00036404">
        <w:rPr>
          <w:szCs w:val="20"/>
        </w:rPr>
        <w:t xml:space="preserve"> consta </w:t>
      </w:r>
      <w:r w:rsidR="00E46D30" w:rsidRPr="00036404">
        <w:rPr>
          <w:szCs w:val="20"/>
        </w:rPr>
        <w:t xml:space="preserve">una providencia </w:t>
      </w:r>
      <w:r w:rsidR="009A6C08" w:rsidRPr="00036404">
        <w:rPr>
          <w:szCs w:val="20"/>
        </w:rPr>
        <w:t>de 1 de septiembre de 2010 emitid</w:t>
      </w:r>
      <w:r w:rsidR="005B38AB">
        <w:rPr>
          <w:szCs w:val="20"/>
        </w:rPr>
        <w:t>a</w:t>
      </w:r>
      <w:r w:rsidR="009A6C08" w:rsidRPr="00036404">
        <w:rPr>
          <w:szCs w:val="20"/>
        </w:rPr>
        <w:t xml:space="preserve"> por el Juzgado Décimo Tercero de lo Civil de Pichincha en donde se indica “dado el estado de la causa pasen los autos para dictar sentencia”</w:t>
      </w:r>
      <w:r w:rsidRPr="00036404">
        <w:rPr>
          <w:szCs w:val="20"/>
        </w:rPr>
        <w:t xml:space="preserve">. </w:t>
      </w:r>
      <w:r w:rsidR="003F2B97" w:rsidRPr="00036404">
        <w:rPr>
          <w:szCs w:val="20"/>
        </w:rPr>
        <w:t xml:space="preserve">Asimismo, </w:t>
      </w:r>
      <w:r w:rsidR="005B38AB" w:rsidRPr="00036404">
        <w:rPr>
          <w:szCs w:val="20"/>
        </w:rPr>
        <w:t xml:space="preserve">en el acervo probatorio </w:t>
      </w:r>
      <w:r w:rsidR="003F2B97" w:rsidRPr="00036404">
        <w:rPr>
          <w:szCs w:val="20"/>
        </w:rPr>
        <w:t>consta una reclamación administrativa p</w:t>
      </w:r>
      <w:r w:rsidR="00E33233" w:rsidRPr="00036404">
        <w:rPr>
          <w:szCs w:val="20"/>
        </w:rPr>
        <w:t>resentada por el señor Ascázubi</w:t>
      </w:r>
      <w:r w:rsidR="003F2B97" w:rsidRPr="00036404">
        <w:rPr>
          <w:szCs w:val="20"/>
        </w:rPr>
        <w:t xml:space="preserve"> Albán y</w:t>
      </w:r>
      <w:r w:rsidR="003F2B97" w:rsidRPr="00303E56">
        <w:rPr>
          <w:b/>
          <w:szCs w:val="20"/>
        </w:rPr>
        <w:t xml:space="preserve"> </w:t>
      </w:r>
      <w:r w:rsidR="00554806" w:rsidRPr="00303E56">
        <w:rPr>
          <w:szCs w:val="20"/>
        </w:rPr>
        <w:t>una providencia de 8 de febrero de 2007 de la Presidencia Subrogante de la Corte Suprema de Justicia</w:t>
      </w:r>
      <w:r w:rsidR="00327AAD" w:rsidRPr="00303E56">
        <w:rPr>
          <w:szCs w:val="20"/>
        </w:rPr>
        <w:t>,</w:t>
      </w:r>
      <w:r w:rsidR="00554806" w:rsidRPr="00303E56">
        <w:rPr>
          <w:szCs w:val="20"/>
        </w:rPr>
        <w:t xml:space="preserve"> mediante la cual se dispuso pasar los autos a dicha Presidencia para continuar con el trámite de </w:t>
      </w:r>
      <w:r w:rsidR="00554806" w:rsidRPr="00AF011A">
        <w:rPr>
          <w:szCs w:val="20"/>
        </w:rPr>
        <w:t>Ley (</w:t>
      </w:r>
      <w:r w:rsidR="00554806" w:rsidRPr="00AF011A">
        <w:rPr>
          <w:i/>
          <w:szCs w:val="20"/>
        </w:rPr>
        <w:t>supra</w:t>
      </w:r>
      <w:r w:rsidR="00554806" w:rsidRPr="00AF011A">
        <w:rPr>
          <w:szCs w:val="20"/>
        </w:rPr>
        <w:t xml:space="preserve"> párr. </w:t>
      </w:r>
      <w:r w:rsidR="00E73EDB" w:rsidRPr="00AF011A">
        <w:rPr>
          <w:szCs w:val="20"/>
        </w:rPr>
        <w:t>66</w:t>
      </w:r>
      <w:r w:rsidR="00554806" w:rsidRPr="007C53EF">
        <w:rPr>
          <w:szCs w:val="20"/>
        </w:rPr>
        <w:t>).</w:t>
      </w:r>
      <w:r w:rsidR="00196466" w:rsidRPr="00BD20CA">
        <w:rPr>
          <w:szCs w:val="20"/>
        </w:rPr>
        <w:t xml:space="preserve"> </w:t>
      </w:r>
    </w:p>
    <w:p w14:paraId="4B52D534" w14:textId="6B898F3C" w:rsidR="000E5161" w:rsidRPr="0092295B" w:rsidRDefault="009A6C08" w:rsidP="00276ECB">
      <w:pPr>
        <w:pStyle w:val="Prrafodelista"/>
        <w:spacing w:before="0" w:after="0"/>
        <w:ind w:left="0"/>
        <w:rPr>
          <w:szCs w:val="20"/>
          <w:lang w:val="es-CR"/>
        </w:rPr>
      </w:pPr>
      <w:r w:rsidRPr="0092295B">
        <w:rPr>
          <w:szCs w:val="20"/>
        </w:rPr>
        <w:t xml:space="preserve"> </w:t>
      </w:r>
    </w:p>
    <w:p w14:paraId="565B0025" w14:textId="221CF4C4" w:rsidR="00CA73E4" w:rsidRPr="00AD16E0" w:rsidRDefault="009A6C08" w:rsidP="00276ECB">
      <w:pPr>
        <w:pStyle w:val="Prrafodelista"/>
        <w:numPr>
          <w:ilvl w:val="0"/>
          <w:numId w:val="29"/>
        </w:numPr>
        <w:spacing w:before="0" w:after="0"/>
        <w:ind w:left="0" w:firstLine="0"/>
        <w:rPr>
          <w:szCs w:val="20"/>
        </w:rPr>
      </w:pPr>
      <w:r w:rsidRPr="00AD16E0">
        <w:rPr>
          <w:szCs w:val="20"/>
        </w:rPr>
        <w:t xml:space="preserve">En </w:t>
      </w:r>
      <w:r w:rsidR="007459AD" w:rsidRPr="00AD16E0">
        <w:rPr>
          <w:szCs w:val="20"/>
        </w:rPr>
        <w:t xml:space="preserve">lo que se refiere al señor López Ortiz, consta en el acervo probatorio un escrito </w:t>
      </w:r>
      <w:r w:rsidR="00917EEA" w:rsidRPr="001A466E">
        <w:rPr>
          <w:szCs w:val="20"/>
        </w:rPr>
        <w:t xml:space="preserve">presentado por él </w:t>
      </w:r>
      <w:r w:rsidR="007459AD" w:rsidRPr="00AD16E0">
        <w:rPr>
          <w:szCs w:val="20"/>
        </w:rPr>
        <w:t xml:space="preserve">de </w:t>
      </w:r>
      <w:r w:rsidR="00CA73E4" w:rsidRPr="00AD16E0">
        <w:rPr>
          <w:szCs w:val="20"/>
        </w:rPr>
        <w:t>“</w:t>
      </w:r>
      <w:r w:rsidR="007955D4" w:rsidRPr="00AD16E0">
        <w:rPr>
          <w:szCs w:val="20"/>
        </w:rPr>
        <w:t>demanda</w:t>
      </w:r>
      <w:r w:rsidRPr="00AD16E0">
        <w:rPr>
          <w:szCs w:val="20"/>
        </w:rPr>
        <w:t xml:space="preserve"> por daños y perjuicios </w:t>
      </w:r>
      <w:r w:rsidR="00CA73E4" w:rsidRPr="00AD16E0">
        <w:rPr>
          <w:szCs w:val="20"/>
        </w:rPr>
        <w:t>y daño moral al Estado Ecuatoriano en la persona del señor Procurador General del Estado Ecuatoriano, […,] y a la Institución Policial”</w:t>
      </w:r>
      <w:r w:rsidR="00327AAD" w:rsidRPr="00AD16E0">
        <w:rPr>
          <w:szCs w:val="20"/>
        </w:rPr>
        <w:t>, y consta</w:t>
      </w:r>
      <w:r w:rsidR="00CA73E4" w:rsidRPr="00AD16E0">
        <w:rPr>
          <w:szCs w:val="20"/>
        </w:rPr>
        <w:t xml:space="preserve"> </w:t>
      </w:r>
      <w:r w:rsidR="0093073D" w:rsidRPr="00AD16E0">
        <w:rPr>
          <w:rFonts w:cstheme="minorBidi"/>
          <w:szCs w:val="20"/>
          <w:lang w:val="es-CR"/>
        </w:rPr>
        <w:t xml:space="preserve">el 8 de noviembre de 2018 </w:t>
      </w:r>
      <w:r w:rsidR="00327AAD" w:rsidRPr="00AD16E0">
        <w:rPr>
          <w:rFonts w:cstheme="minorBidi"/>
          <w:szCs w:val="20"/>
          <w:lang w:val="es-CR"/>
        </w:rPr>
        <w:t>de</w:t>
      </w:r>
      <w:r w:rsidR="007459AD" w:rsidRPr="00AD16E0">
        <w:rPr>
          <w:rFonts w:cstheme="minorBidi"/>
          <w:szCs w:val="20"/>
          <w:lang w:val="es-CR"/>
        </w:rPr>
        <w:t>l</w:t>
      </w:r>
      <w:r w:rsidR="0093073D" w:rsidRPr="00AD16E0">
        <w:rPr>
          <w:rFonts w:cstheme="minorBidi"/>
          <w:szCs w:val="20"/>
          <w:lang w:val="es-CR"/>
        </w:rPr>
        <w:t xml:space="preserve"> Tribunal Distrital de lo Contencioso Administrativo con sede en el Distrito Metropolitano de Quito, Provincia de Pichincha</w:t>
      </w:r>
      <w:r w:rsidR="00327AAD" w:rsidRPr="00AD16E0">
        <w:rPr>
          <w:rFonts w:cstheme="minorBidi"/>
          <w:szCs w:val="20"/>
          <w:lang w:val="es-CR"/>
        </w:rPr>
        <w:t>,</w:t>
      </w:r>
      <w:r w:rsidR="0093073D" w:rsidRPr="00AD16E0">
        <w:rPr>
          <w:rFonts w:cstheme="minorBidi"/>
          <w:szCs w:val="20"/>
          <w:lang w:val="es-CR"/>
        </w:rPr>
        <w:t xml:space="preserve"> </w:t>
      </w:r>
      <w:r w:rsidR="00327AAD" w:rsidRPr="00AD16E0">
        <w:rPr>
          <w:rFonts w:cstheme="minorBidi"/>
          <w:szCs w:val="20"/>
          <w:lang w:val="es-CR"/>
        </w:rPr>
        <w:t xml:space="preserve">en el cual se </w:t>
      </w:r>
      <w:r w:rsidR="0093073D" w:rsidRPr="00AD16E0">
        <w:rPr>
          <w:rFonts w:cstheme="minorBidi"/>
          <w:szCs w:val="20"/>
          <w:lang w:val="es-CR"/>
        </w:rPr>
        <w:t>indicó que la petición de sentencia solicitada por el recurrente será atendida observando el orden cronológico de ingreso de causas</w:t>
      </w:r>
      <w:r w:rsidR="0093073D" w:rsidRPr="00AD16E0">
        <w:rPr>
          <w:szCs w:val="20"/>
        </w:rPr>
        <w:t xml:space="preserve"> (</w:t>
      </w:r>
      <w:r w:rsidR="0093073D" w:rsidRPr="00AD16E0">
        <w:rPr>
          <w:i/>
          <w:szCs w:val="20"/>
        </w:rPr>
        <w:t>supra</w:t>
      </w:r>
      <w:r w:rsidR="001031F5">
        <w:rPr>
          <w:szCs w:val="20"/>
        </w:rPr>
        <w:t xml:space="preserve"> párr</w:t>
      </w:r>
      <w:r w:rsidR="000E5161" w:rsidRPr="00AD16E0">
        <w:rPr>
          <w:szCs w:val="20"/>
        </w:rPr>
        <w:t>.</w:t>
      </w:r>
      <w:r w:rsidR="0093073D" w:rsidRPr="00AD16E0">
        <w:rPr>
          <w:szCs w:val="20"/>
        </w:rPr>
        <w:t xml:space="preserve"> </w:t>
      </w:r>
      <w:r w:rsidR="00AD16E0" w:rsidRPr="001A466E">
        <w:rPr>
          <w:szCs w:val="20"/>
        </w:rPr>
        <w:t>67</w:t>
      </w:r>
      <w:r w:rsidR="0093073D" w:rsidRPr="00AD16E0">
        <w:rPr>
          <w:szCs w:val="20"/>
        </w:rPr>
        <w:t>).</w:t>
      </w:r>
    </w:p>
    <w:p w14:paraId="5304C186" w14:textId="77777777" w:rsidR="00E114A1" w:rsidRPr="00AD16E0" w:rsidRDefault="00E114A1" w:rsidP="00E114A1">
      <w:pPr>
        <w:pStyle w:val="Prrafodelista"/>
        <w:rPr>
          <w:szCs w:val="20"/>
        </w:rPr>
      </w:pPr>
    </w:p>
    <w:p w14:paraId="2934F88C" w14:textId="434458C7" w:rsidR="007B08F7" w:rsidRPr="00BB26B8" w:rsidRDefault="00D863A4" w:rsidP="00276ECB">
      <w:pPr>
        <w:pStyle w:val="Prrafodelista"/>
        <w:numPr>
          <w:ilvl w:val="0"/>
          <w:numId w:val="29"/>
        </w:numPr>
        <w:spacing w:before="0" w:after="0"/>
        <w:ind w:left="0" w:firstLine="0"/>
        <w:rPr>
          <w:szCs w:val="20"/>
        </w:rPr>
      </w:pPr>
      <w:r w:rsidRPr="00BB26B8">
        <w:rPr>
          <w:szCs w:val="20"/>
        </w:rPr>
        <w:t xml:space="preserve">Al respecto, la Corte </w:t>
      </w:r>
      <w:r w:rsidR="005871EC" w:rsidRPr="00BB26B8">
        <w:rPr>
          <w:szCs w:val="20"/>
        </w:rPr>
        <w:t>observa</w:t>
      </w:r>
      <w:r w:rsidRPr="00BB26B8">
        <w:rPr>
          <w:szCs w:val="20"/>
        </w:rPr>
        <w:t xml:space="preserve"> que la Comisión al momento del sometimiento del caso </w:t>
      </w:r>
      <w:r w:rsidR="000E5161" w:rsidRPr="00BB26B8">
        <w:rPr>
          <w:szCs w:val="20"/>
        </w:rPr>
        <w:t>señaló que al menos dichos procedimientos se encontrarían abiertos desde hacía más de nueve años, ya que los señores López Ortiz</w:t>
      </w:r>
      <w:r w:rsidR="008D4CD9" w:rsidRPr="00BB26B8">
        <w:rPr>
          <w:szCs w:val="20"/>
        </w:rPr>
        <w:t xml:space="preserve"> y Ascázu</w:t>
      </w:r>
      <w:r w:rsidR="00E13470" w:rsidRPr="00BB26B8">
        <w:rPr>
          <w:szCs w:val="20"/>
        </w:rPr>
        <w:t xml:space="preserve">bi Albán </w:t>
      </w:r>
      <w:r w:rsidR="000E5161" w:rsidRPr="00BB26B8">
        <w:rPr>
          <w:szCs w:val="20"/>
        </w:rPr>
        <w:t>habrían presentado dichas demandas en la vía civil en el año 2008 y para el año 2015 no habían sido resueltas. Por su parte, el representante no presentó alegaciones al respecto. Y el Estado</w:t>
      </w:r>
      <w:r w:rsidR="00672DAF">
        <w:rPr>
          <w:szCs w:val="20"/>
        </w:rPr>
        <w:t>,</w:t>
      </w:r>
      <w:r w:rsidR="000E5161" w:rsidRPr="00BB26B8">
        <w:rPr>
          <w:szCs w:val="20"/>
        </w:rPr>
        <w:t xml:space="preserve"> en un escrito presentado ante la Comisión en febrero de 2014</w:t>
      </w:r>
      <w:r w:rsidR="00672DAF">
        <w:rPr>
          <w:szCs w:val="20"/>
        </w:rPr>
        <w:t>,</w:t>
      </w:r>
      <w:r w:rsidR="000E5161" w:rsidRPr="00BB26B8">
        <w:rPr>
          <w:szCs w:val="20"/>
        </w:rPr>
        <w:t xml:space="preserve"> se limitó a indicar que en los archivos judiciales no constata la presentación de acción civil alguna vinculada a los hechos del caso</w:t>
      </w:r>
      <w:r w:rsidR="0093242D">
        <w:rPr>
          <w:rStyle w:val="Refdenotaalpie"/>
        </w:rPr>
        <w:footnoteReference w:id="149"/>
      </w:r>
      <w:r w:rsidR="00E114A1" w:rsidRPr="00BB26B8">
        <w:rPr>
          <w:szCs w:val="20"/>
        </w:rPr>
        <w:t xml:space="preserve">. </w:t>
      </w:r>
    </w:p>
    <w:p w14:paraId="1927921B" w14:textId="77777777" w:rsidR="007125AD" w:rsidRPr="00B7210C" w:rsidRDefault="007125AD" w:rsidP="00276ECB">
      <w:pPr>
        <w:pStyle w:val="Prrafodelista"/>
        <w:spacing w:before="0" w:after="0"/>
        <w:ind w:left="0"/>
        <w:rPr>
          <w:szCs w:val="20"/>
          <w:lang w:val="es-CR"/>
        </w:rPr>
      </w:pPr>
    </w:p>
    <w:p w14:paraId="7D7BD287" w14:textId="300EA3D5" w:rsidR="00210786" w:rsidRPr="0092295B" w:rsidRDefault="000922C2" w:rsidP="00276ECB">
      <w:pPr>
        <w:pStyle w:val="Prrafodelista"/>
        <w:numPr>
          <w:ilvl w:val="0"/>
          <w:numId w:val="29"/>
        </w:numPr>
        <w:spacing w:before="0" w:after="0"/>
        <w:ind w:left="0" w:firstLine="0"/>
        <w:rPr>
          <w:szCs w:val="20"/>
          <w:lang w:val="es-CR"/>
        </w:rPr>
      </w:pPr>
      <w:r w:rsidRPr="0092295B">
        <w:rPr>
          <w:szCs w:val="20"/>
          <w:lang w:val="es-CR"/>
        </w:rPr>
        <w:t>Esta Corte advierte</w:t>
      </w:r>
      <w:r w:rsidR="009C46A4" w:rsidRPr="0092295B">
        <w:rPr>
          <w:szCs w:val="20"/>
          <w:lang w:val="es-CR"/>
        </w:rPr>
        <w:t xml:space="preserve"> </w:t>
      </w:r>
      <w:r w:rsidRPr="0092295B">
        <w:rPr>
          <w:szCs w:val="20"/>
          <w:lang w:val="es-CR"/>
        </w:rPr>
        <w:t>que</w:t>
      </w:r>
      <w:r w:rsidR="00CD55A9">
        <w:rPr>
          <w:szCs w:val="20"/>
          <w:lang w:val="es-CR"/>
        </w:rPr>
        <w:t>,</w:t>
      </w:r>
      <w:r w:rsidR="00FE3131" w:rsidRPr="0092295B">
        <w:rPr>
          <w:szCs w:val="20"/>
          <w:lang w:val="es-CR"/>
        </w:rPr>
        <w:t xml:space="preserve"> respecto a las demandas de indemnización</w:t>
      </w:r>
      <w:r w:rsidRPr="0092295B">
        <w:rPr>
          <w:szCs w:val="20"/>
          <w:lang w:val="es-CR"/>
        </w:rPr>
        <w:t xml:space="preserve"> </w:t>
      </w:r>
      <w:r w:rsidR="00327AAD" w:rsidRPr="0092295B">
        <w:rPr>
          <w:szCs w:val="20"/>
          <w:lang w:val="es-CR"/>
        </w:rPr>
        <w:t>presentad</w:t>
      </w:r>
      <w:r w:rsidR="00CD55A9">
        <w:rPr>
          <w:szCs w:val="20"/>
          <w:lang w:val="es-CR"/>
        </w:rPr>
        <w:t>a</w:t>
      </w:r>
      <w:r w:rsidR="00327AAD" w:rsidRPr="0092295B">
        <w:rPr>
          <w:szCs w:val="20"/>
          <w:lang w:val="es-CR"/>
        </w:rPr>
        <w:t xml:space="preserve">s por </w:t>
      </w:r>
      <w:r w:rsidR="005871EC">
        <w:rPr>
          <w:szCs w:val="20"/>
          <w:lang w:val="es-CR"/>
        </w:rPr>
        <w:t xml:space="preserve">los </w:t>
      </w:r>
      <w:r w:rsidR="008D4CD9">
        <w:rPr>
          <w:szCs w:val="20"/>
        </w:rPr>
        <w:t>señores López Ortiz y Ascázu</w:t>
      </w:r>
      <w:r w:rsidR="00327AAD" w:rsidRPr="0092295B">
        <w:rPr>
          <w:szCs w:val="20"/>
        </w:rPr>
        <w:t xml:space="preserve">bi Albán, </w:t>
      </w:r>
      <w:r w:rsidR="00122FBF" w:rsidRPr="0092295B">
        <w:rPr>
          <w:szCs w:val="20"/>
          <w:lang w:val="es-CR"/>
        </w:rPr>
        <w:t xml:space="preserve">la Comisión </w:t>
      </w:r>
      <w:r w:rsidR="00347C14" w:rsidRPr="0092295B">
        <w:rPr>
          <w:szCs w:val="20"/>
          <w:lang w:val="es-CR"/>
        </w:rPr>
        <w:t>hizo</w:t>
      </w:r>
      <w:r w:rsidRPr="0092295B">
        <w:rPr>
          <w:szCs w:val="20"/>
          <w:lang w:val="es-CR"/>
        </w:rPr>
        <w:t xml:space="preserve"> una mera mención de los reclamos sin profundizar en sus argumentos ni </w:t>
      </w:r>
      <w:r w:rsidR="005C6182" w:rsidRPr="0092295B">
        <w:rPr>
          <w:szCs w:val="20"/>
          <w:lang w:val="es-CR"/>
        </w:rPr>
        <w:t xml:space="preserve">en </w:t>
      </w:r>
      <w:r w:rsidRPr="0092295B">
        <w:rPr>
          <w:szCs w:val="20"/>
          <w:lang w:val="es-CR"/>
        </w:rPr>
        <w:t>la descripción concreta de los hechos</w:t>
      </w:r>
      <w:r w:rsidR="00DB7D89">
        <w:rPr>
          <w:szCs w:val="20"/>
          <w:lang w:val="es-CR"/>
        </w:rPr>
        <w:t>, como tampoco lo hizo el representante de las presuntas víctimas</w:t>
      </w:r>
      <w:r w:rsidR="009C46A4" w:rsidRPr="0092295B">
        <w:rPr>
          <w:szCs w:val="20"/>
          <w:lang w:val="es-CR"/>
        </w:rPr>
        <w:t xml:space="preserve">. </w:t>
      </w:r>
      <w:r w:rsidR="00B070FF" w:rsidRPr="0092295B">
        <w:rPr>
          <w:szCs w:val="20"/>
          <w:lang w:val="es-CR"/>
        </w:rPr>
        <w:t xml:space="preserve">Teniendo en cuenta todo lo indicado, la Corte no tiene </w:t>
      </w:r>
      <w:r w:rsidR="00327AAD" w:rsidRPr="0092295B">
        <w:rPr>
          <w:szCs w:val="20"/>
          <w:lang w:val="es-CR"/>
        </w:rPr>
        <w:t xml:space="preserve">elementos de </w:t>
      </w:r>
      <w:r w:rsidR="00B070FF" w:rsidRPr="0092295B">
        <w:rPr>
          <w:szCs w:val="20"/>
          <w:lang w:val="es-CR"/>
        </w:rPr>
        <w:t>su</w:t>
      </w:r>
      <w:r w:rsidR="005C6182" w:rsidRPr="0092295B">
        <w:rPr>
          <w:szCs w:val="20"/>
          <w:lang w:val="es-CR"/>
        </w:rPr>
        <w:t>stento suficiente</w:t>
      </w:r>
      <w:r w:rsidR="00327AAD" w:rsidRPr="0092295B">
        <w:rPr>
          <w:szCs w:val="20"/>
          <w:lang w:val="es-CR"/>
        </w:rPr>
        <w:t>s</w:t>
      </w:r>
      <w:r w:rsidR="005C6182" w:rsidRPr="0092295B">
        <w:rPr>
          <w:szCs w:val="20"/>
          <w:lang w:val="es-CR"/>
        </w:rPr>
        <w:t xml:space="preserve"> para establecer la supuesta responsabilidad estatal</w:t>
      </w:r>
      <w:r w:rsidR="00CD55A9">
        <w:rPr>
          <w:szCs w:val="20"/>
          <w:lang w:val="es-CR"/>
        </w:rPr>
        <w:t xml:space="preserve"> por</w:t>
      </w:r>
      <w:r w:rsidR="005C6182" w:rsidRPr="0092295B">
        <w:rPr>
          <w:szCs w:val="20"/>
          <w:lang w:val="es-CR"/>
        </w:rPr>
        <w:t xml:space="preserve"> </w:t>
      </w:r>
      <w:r w:rsidR="00A81BF2" w:rsidRPr="0092295B">
        <w:rPr>
          <w:szCs w:val="20"/>
          <w:lang w:val="es-CR"/>
        </w:rPr>
        <w:t>eventuales</w:t>
      </w:r>
      <w:r w:rsidR="00B070FF" w:rsidRPr="0092295B">
        <w:rPr>
          <w:szCs w:val="20"/>
          <w:lang w:val="es-CR"/>
        </w:rPr>
        <w:t xml:space="preserve"> vulneraciones a los derechos </w:t>
      </w:r>
      <w:r w:rsidR="00FE3131" w:rsidRPr="0092295B">
        <w:rPr>
          <w:szCs w:val="20"/>
          <w:lang w:val="es-CR"/>
        </w:rPr>
        <w:t xml:space="preserve">establecidos en los artículos </w:t>
      </w:r>
      <w:r w:rsidR="009C46A4" w:rsidRPr="0092295B">
        <w:rPr>
          <w:szCs w:val="20"/>
          <w:lang w:val="es-CR"/>
        </w:rPr>
        <w:t xml:space="preserve">8.1 y 25.1 </w:t>
      </w:r>
      <w:r w:rsidR="00FE3131" w:rsidRPr="0092295B">
        <w:rPr>
          <w:szCs w:val="20"/>
          <w:lang w:val="es-CR"/>
        </w:rPr>
        <w:t xml:space="preserve">de la Convención </w:t>
      </w:r>
      <w:r w:rsidR="005871EC">
        <w:rPr>
          <w:szCs w:val="20"/>
          <w:lang w:val="es-CR"/>
        </w:rPr>
        <w:t xml:space="preserve">Americana </w:t>
      </w:r>
      <w:r w:rsidR="00FE3131" w:rsidRPr="0092295B">
        <w:rPr>
          <w:szCs w:val="20"/>
          <w:lang w:val="es-CR"/>
        </w:rPr>
        <w:t>alegados por la Comisión</w:t>
      </w:r>
      <w:r w:rsidR="009C46A4" w:rsidRPr="0092295B">
        <w:rPr>
          <w:szCs w:val="20"/>
          <w:lang w:val="es-CR"/>
        </w:rPr>
        <w:t>.</w:t>
      </w:r>
      <w:r w:rsidR="00D07F6D" w:rsidRPr="0092295B">
        <w:rPr>
          <w:szCs w:val="20"/>
          <w:lang w:val="es-CR"/>
        </w:rPr>
        <w:t xml:space="preserve"> </w:t>
      </w:r>
    </w:p>
    <w:p w14:paraId="44144C43" w14:textId="6CED22DF" w:rsidR="00A721AE" w:rsidRPr="0092295B" w:rsidRDefault="001A62CA" w:rsidP="001F15ED">
      <w:pPr>
        <w:pStyle w:val="Ttulo1"/>
        <w:spacing w:before="360" w:after="360"/>
      </w:pPr>
      <w:bookmarkStart w:id="143" w:name="_Toc87339038"/>
      <w:r>
        <w:t>VIII</w:t>
      </w:r>
      <w:r w:rsidR="00F0482A" w:rsidRPr="0092295B">
        <w:br/>
      </w:r>
      <w:r w:rsidR="00A721AE" w:rsidRPr="0092295B">
        <w:t>REPARACIONES</w:t>
      </w:r>
      <w:bookmarkEnd w:id="82"/>
      <w:bookmarkEnd w:id="83"/>
      <w:bookmarkEnd w:id="84"/>
      <w:r w:rsidR="00FD5879" w:rsidRPr="0092295B">
        <w:rPr>
          <w:b w:val="0"/>
        </w:rPr>
        <w:br/>
      </w:r>
      <w:r w:rsidR="00A721AE" w:rsidRPr="0092295B">
        <w:t>(Aplicación del artículo 63.1 de la Convención Americana</w:t>
      </w:r>
      <w:r w:rsidR="005053F4" w:rsidRPr="0092295B">
        <w:rPr>
          <w:rStyle w:val="Refdenotaalpie"/>
          <w:caps/>
        </w:rPr>
        <w:footnoteReference w:id="150"/>
      </w:r>
      <w:r w:rsidR="00A721AE" w:rsidRPr="0092295B">
        <w:t>)</w:t>
      </w:r>
      <w:bookmarkEnd w:id="85"/>
      <w:bookmarkEnd w:id="86"/>
      <w:bookmarkEnd w:id="140"/>
      <w:bookmarkEnd w:id="143"/>
    </w:p>
    <w:p w14:paraId="3BB061D8" w14:textId="65B2A805" w:rsidR="00710B40" w:rsidRDefault="004C7E8A" w:rsidP="00276ECB">
      <w:pPr>
        <w:pStyle w:val="Prrafodelista"/>
        <w:numPr>
          <w:ilvl w:val="0"/>
          <w:numId w:val="29"/>
        </w:numPr>
        <w:spacing w:before="0" w:after="0"/>
        <w:ind w:left="0" w:firstLine="0"/>
        <w:rPr>
          <w:lang w:bidi="en-US"/>
        </w:rPr>
      </w:pPr>
      <w:r w:rsidRPr="0092295B">
        <w:rPr>
          <w:lang w:bidi="en-US"/>
        </w:rPr>
        <w:t xml:space="preserve">Con base en lo dispuesto en el artículo 63.1 de la Convención, la Corte ha indicado que toda </w:t>
      </w:r>
      <w:r w:rsidRPr="0092295B">
        <w:t>violación</w:t>
      </w:r>
      <w:r w:rsidRPr="0092295B">
        <w:rPr>
          <w:lang w:bidi="en-US"/>
        </w:rPr>
        <w:t xml:space="preserve"> de una obligación internacional que haya producido daño comporta el deber de repararlo adecuadamente y que esa disposición recoge una norma consuetudinaria que constituye uno de los principios fundamentales del Derecho Internacional contemporáneo sobre responsabilidad de un Estado</w:t>
      </w:r>
      <w:r w:rsidR="005053F4" w:rsidRPr="0092295B">
        <w:rPr>
          <w:rStyle w:val="Refdenotaalpie"/>
          <w:lang w:bidi="en-US"/>
        </w:rPr>
        <w:footnoteReference w:id="151"/>
      </w:r>
      <w:r w:rsidRPr="0092295B">
        <w:rPr>
          <w:lang w:bidi="en-US"/>
        </w:rPr>
        <w:t xml:space="preserve">. </w:t>
      </w:r>
      <w:r w:rsidRPr="00836A07">
        <w:rPr>
          <w:lang w:bidi="en-US"/>
        </w:rPr>
        <w:t>Además, este Tribunal ha establecido que las reparaciones deben tener</w:t>
      </w:r>
      <w:r w:rsidRPr="00836A07">
        <w:t xml:space="preserve"> </w:t>
      </w:r>
      <w:r w:rsidRPr="00836A07">
        <w:rPr>
          <w:lang w:bidi="en-US"/>
        </w:rPr>
        <w:t>un nexo causal con los hechos del caso, las violaciones declaradas, los daños acreditados, así como con las medidas solicitadas para reparar l</w:t>
      </w:r>
      <w:r w:rsidRPr="00836A07">
        <w:t>o</w:t>
      </w:r>
      <w:r w:rsidRPr="00836A07">
        <w:rPr>
          <w:lang w:bidi="en-US"/>
        </w:rPr>
        <w:t>s daños respectivos</w:t>
      </w:r>
      <w:r w:rsidR="00836A07" w:rsidRPr="001A466E">
        <w:rPr>
          <w:vertAlign w:val="superscript"/>
          <w:lang w:bidi="en-US"/>
        </w:rPr>
        <w:footnoteReference w:id="152"/>
      </w:r>
      <w:r w:rsidR="00836A07" w:rsidRPr="001A466E">
        <w:rPr>
          <w:lang w:bidi="en-US"/>
        </w:rPr>
        <w:t xml:space="preserve">. </w:t>
      </w:r>
      <w:r w:rsidRPr="00836A07">
        <w:rPr>
          <w:lang w:bidi="en-US"/>
        </w:rPr>
        <w:t>Por lo tanto, la Corte deberá analizar dicha concurrencia para pronunciarse debidamente y conforme a derecho</w:t>
      </w:r>
      <w:r w:rsidR="00710B40">
        <w:rPr>
          <w:lang w:bidi="en-US"/>
        </w:rPr>
        <w:t>.</w:t>
      </w:r>
    </w:p>
    <w:p w14:paraId="79A4BCD5" w14:textId="77777777" w:rsidR="00710B40" w:rsidRDefault="00710B40" w:rsidP="001A466E">
      <w:pPr>
        <w:pStyle w:val="Prrafodelista"/>
        <w:spacing w:before="0" w:after="0"/>
        <w:ind w:left="0"/>
        <w:rPr>
          <w:lang w:bidi="en-US"/>
        </w:rPr>
      </w:pPr>
    </w:p>
    <w:p w14:paraId="57C7A621" w14:textId="28A70C96" w:rsidR="00A857B4" w:rsidRPr="00036404" w:rsidRDefault="00710B40" w:rsidP="00D43695">
      <w:pPr>
        <w:pStyle w:val="Prrafodelista"/>
        <w:numPr>
          <w:ilvl w:val="0"/>
          <w:numId w:val="29"/>
        </w:numPr>
        <w:spacing w:before="0" w:after="0"/>
        <w:ind w:left="0" w:firstLine="0"/>
      </w:pPr>
      <w:r w:rsidRPr="00036404">
        <w:t>En consecuencia, de acuerdo con las consideraciones expuestas sobre el fondo y las violaciones a la Convención declaradas en la presente Sentencia, el Tribunal procederá a analizar las pretensiones de la Comisión y de las víctimas, así como las observaciones del Estado, a la luz de los criterios fijados en su jurisprudencia en relación con la naturaleza y alcance de la obligación de reparar, con el objeto de disponer las medidas dirigidas a reparar los daños ocasionados</w:t>
      </w:r>
      <w:r w:rsidRPr="00036404">
        <w:rPr>
          <w:rStyle w:val="Refdenotaalpie"/>
          <w:bCs/>
          <w:lang w:val="es-CO"/>
        </w:rPr>
        <w:footnoteReference w:id="153"/>
      </w:r>
      <w:r w:rsidRPr="00036404">
        <w:t>.</w:t>
      </w:r>
    </w:p>
    <w:p w14:paraId="581C2544" w14:textId="3A5F5B28" w:rsidR="00CB5D9D" w:rsidRPr="00F911DC" w:rsidRDefault="00F911DC" w:rsidP="00F911DC">
      <w:pPr>
        <w:pStyle w:val="Ttulo2"/>
        <w:ind w:left="426"/>
        <w:rPr>
          <w:i w:val="0"/>
        </w:rPr>
      </w:pPr>
      <w:bookmarkStart w:id="144" w:name="_Toc434937759"/>
      <w:bookmarkStart w:id="145" w:name="_Toc470105126"/>
      <w:bookmarkStart w:id="146" w:name="_Toc87339039"/>
      <w:r w:rsidRPr="00F911DC">
        <w:rPr>
          <w:i w:val="0"/>
          <w:lang w:eastAsia="es-ES"/>
        </w:rPr>
        <w:t xml:space="preserve">A. </w:t>
      </w:r>
      <w:r w:rsidR="00CB5D9D" w:rsidRPr="00F911DC">
        <w:rPr>
          <w:i w:val="0"/>
          <w:lang w:eastAsia="es-ES"/>
        </w:rPr>
        <w:t>Parte Lesionada</w:t>
      </w:r>
      <w:bookmarkEnd w:id="144"/>
      <w:bookmarkEnd w:id="145"/>
      <w:bookmarkEnd w:id="146"/>
    </w:p>
    <w:p w14:paraId="7CA9E446" w14:textId="1D17E9FD" w:rsidR="000D3067" w:rsidRPr="001A466E" w:rsidRDefault="00CB5D9D" w:rsidP="002755A9">
      <w:pPr>
        <w:pStyle w:val="Prrafodelista"/>
        <w:numPr>
          <w:ilvl w:val="0"/>
          <w:numId w:val="29"/>
        </w:numPr>
        <w:spacing w:before="0" w:after="0"/>
        <w:ind w:left="0" w:firstLine="0"/>
      </w:pPr>
      <w:r w:rsidRPr="001A466E">
        <w:t xml:space="preserve">El Tribunal reitera que se considera parte lesionada, en los términos del artículo 63.1 de la Convención Americana, a quien ha sido declarado víctima de la violación de algún </w:t>
      </w:r>
      <w:r w:rsidRPr="001A466E">
        <w:rPr>
          <w:rFonts w:eastAsia="Calibri" w:cs="Times New Roman"/>
          <w:szCs w:val="20"/>
          <w:lang w:val="es-MX"/>
        </w:rPr>
        <w:t>derecho</w:t>
      </w:r>
      <w:r w:rsidRPr="001A466E">
        <w:t xml:space="preserve"> reconocido en la misma. Por tanto, esta Corte considera como parte lesionada a</w:t>
      </w:r>
      <w:r w:rsidR="008D7E78" w:rsidRPr="001A466E">
        <w:t xml:space="preserve"> </w:t>
      </w:r>
      <w:r w:rsidR="008D7E78" w:rsidRPr="001A466E">
        <w:rPr>
          <w:iCs/>
          <w:szCs w:val="20"/>
          <w:lang w:val="es-ES"/>
        </w:rPr>
        <w:t xml:space="preserve">Jorge </w:t>
      </w:r>
      <w:r w:rsidR="00605382" w:rsidRPr="001A466E">
        <w:rPr>
          <w:iCs/>
          <w:szCs w:val="20"/>
          <w:lang w:val="es-ES"/>
        </w:rPr>
        <w:t>Humberto Villarroel Merino, Mario Rom</w:t>
      </w:r>
      <w:r w:rsidR="003C541C" w:rsidRPr="001A466E">
        <w:rPr>
          <w:iCs/>
          <w:szCs w:val="20"/>
          <w:lang w:val="es-ES"/>
        </w:rPr>
        <w:t>el Cev</w:t>
      </w:r>
      <w:r w:rsidR="008D7E78" w:rsidRPr="001A466E">
        <w:rPr>
          <w:iCs/>
          <w:szCs w:val="20"/>
          <w:lang w:val="es-ES"/>
        </w:rPr>
        <w:t>allos Moreno, Jorge</w:t>
      </w:r>
      <w:r w:rsidR="00605382" w:rsidRPr="001A466E">
        <w:rPr>
          <w:iCs/>
          <w:szCs w:val="20"/>
          <w:lang w:val="es-ES"/>
        </w:rPr>
        <w:t xml:space="preserve"> Enrique</w:t>
      </w:r>
      <w:r w:rsidR="008D7E78" w:rsidRPr="001A466E">
        <w:rPr>
          <w:iCs/>
          <w:szCs w:val="20"/>
          <w:lang w:val="es-ES"/>
        </w:rPr>
        <w:t xml:space="preserve"> Coloma Ga</w:t>
      </w:r>
      <w:r w:rsidR="004443E2" w:rsidRPr="001A466E">
        <w:rPr>
          <w:iCs/>
          <w:szCs w:val="20"/>
          <w:lang w:val="es-ES"/>
        </w:rPr>
        <w:t>i</w:t>
      </w:r>
      <w:r w:rsidR="008D7E78" w:rsidRPr="001A466E">
        <w:rPr>
          <w:iCs/>
          <w:szCs w:val="20"/>
          <w:lang w:val="es-ES"/>
        </w:rPr>
        <w:t xml:space="preserve">bor, Fernando </w:t>
      </w:r>
      <w:r w:rsidR="00605382" w:rsidRPr="001A466E">
        <w:rPr>
          <w:iCs/>
          <w:szCs w:val="20"/>
          <w:lang w:val="es-ES"/>
        </w:rPr>
        <w:t xml:space="preserve">Marcelo </w:t>
      </w:r>
      <w:r w:rsidR="008D7E78" w:rsidRPr="001A466E">
        <w:rPr>
          <w:iCs/>
          <w:szCs w:val="20"/>
          <w:lang w:val="es-ES"/>
        </w:rPr>
        <w:t xml:space="preserve">López Ortiz, </w:t>
      </w:r>
      <w:r w:rsidR="00605382" w:rsidRPr="001A466E">
        <w:rPr>
          <w:iCs/>
          <w:szCs w:val="20"/>
          <w:lang w:val="es-ES"/>
        </w:rPr>
        <w:t xml:space="preserve">Leoncio </w:t>
      </w:r>
      <w:r w:rsidR="003723B8" w:rsidRPr="001A466E">
        <w:rPr>
          <w:iCs/>
          <w:szCs w:val="20"/>
          <w:lang w:val="es-ES"/>
        </w:rPr>
        <w:t>A</w:t>
      </w:r>
      <w:r w:rsidR="003C541C" w:rsidRPr="001A466E">
        <w:rPr>
          <w:iCs/>
          <w:szCs w:val="20"/>
          <w:lang w:val="es-ES"/>
        </w:rPr>
        <w:t>mí</w:t>
      </w:r>
      <w:r w:rsidR="003723B8" w:rsidRPr="001A466E">
        <w:rPr>
          <w:iCs/>
          <w:szCs w:val="20"/>
          <w:lang w:val="es-ES"/>
        </w:rPr>
        <w:t>l</w:t>
      </w:r>
      <w:r w:rsidR="003C541C" w:rsidRPr="001A466E">
        <w:rPr>
          <w:iCs/>
          <w:szCs w:val="20"/>
          <w:lang w:val="es-ES"/>
        </w:rPr>
        <w:t>car Ascá</w:t>
      </w:r>
      <w:r w:rsidR="008D7E78" w:rsidRPr="001A466E">
        <w:rPr>
          <w:iCs/>
          <w:szCs w:val="20"/>
          <w:lang w:val="es-ES"/>
        </w:rPr>
        <w:t xml:space="preserve">zubi Albán y </w:t>
      </w:r>
      <w:r w:rsidR="00605382" w:rsidRPr="001A466E">
        <w:rPr>
          <w:iCs/>
          <w:szCs w:val="20"/>
          <w:lang w:val="es-ES"/>
        </w:rPr>
        <w:t xml:space="preserve">Alfonso </w:t>
      </w:r>
      <w:r w:rsidR="003C541C" w:rsidRPr="001A466E">
        <w:rPr>
          <w:iCs/>
          <w:szCs w:val="20"/>
          <w:lang w:val="es-ES"/>
        </w:rPr>
        <w:t>Patricio Vinuez</w:t>
      </w:r>
      <w:r w:rsidR="008D7E78" w:rsidRPr="001A466E">
        <w:rPr>
          <w:iCs/>
          <w:szCs w:val="20"/>
          <w:lang w:val="es-ES"/>
        </w:rPr>
        <w:t>a Pánchez</w:t>
      </w:r>
      <w:r w:rsidR="00605382" w:rsidRPr="001A466E">
        <w:t xml:space="preserve">, </w:t>
      </w:r>
      <w:r w:rsidRPr="001A466E">
        <w:t>qui</w:t>
      </w:r>
      <w:r w:rsidR="00010F8E">
        <w:t>e</w:t>
      </w:r>
      <w:r w:rsidRPr="001A466E">
        <w:t>n</w:t>
      </w:r>
      <w:r w:rsidR="008D7E78" w:rsidRPr="001A466E">
        <w:t>es</w:t>
      </w:r>
      <w:r w:rsidR="00B355A4" w:rsidRPr="001A466E">
        <w:t xml:space="preserve"> en</w:t>
      </w:r>
      <w:r w:rsidRPr="001A466E">
        <w:t xml:space="preserve"> su carácter de víctima</w:t>
      </w:r>
      <w:r w:rsidR="008D7E78" w:rsidRPr="001A466E">
        <w:t>s</w:t>
      </w:r>
      <w:r w:rsidRPr="001A466E">
        <w:t xml:space="preserve"> de las violaciones declaradas en esta Sentencia, será</w:t>
      </w:r>
      <w:r w:rsidR="001440AC" w:rsidRPr="001A466E">
        <w:t>n</w:t>
      </w:r>
      <w:r w:rsidRPr="001A466E">
        <w:t xml:space="preserve"> </w:t>
      </w:r>
      <w:r w:rsidR="00ED4A40" w:rsidRPr="001A466E">
        <w:t>considerad</w:t>
      </w:r>
      <w:r w:rsidR="001440AC" w:rsidRPr="001A466E">
        <w:t>os</w:t>
      </w:r>
      <w:r w:rsidR="00ED4A40" w:rsidRPr="001A466E">
        <w:t xml:space="preserve"> beneficiari</w:t>
      </w:r>
      <w:r w:rsidR="001440AC" w:rsidRPr="001A466E">
        <w:t>os</w:t>
      </w:r>
      <w:r w:rsidR="00ED4A40" w:rsidRPr="001A466E">
        <w:t xml:space="preserve"> </w:t>
      </w:r>
      <w:r w:rsidRPr="001A466E">
        <w:t>de las reparaciones que la Corte ordene.</w:t>
      </w:r>
      <w:r w:rsidR="00C42D44" w:rsidRPr="001A466E">
        <w:rPr>
          <w:b/>
        </w:rPr>
        <w:t xml:space="preserve"> </w:t>
      </w:r>
      <w:r w:rsidR="00C42D44" w:rsidRPr="001A466E">
        <w:t>En razón de lo anterior</w:t>
      </w:r>
      <w:r w:rsidR="00823DC3" w:rsidRPr="001A466E">
        <w:t xml:space="preserve">, la Corte no se pronunciará sobre </w:t>
      </w:r>
      <w:r w:rsidR="00CE0405" w:rsidRPr="001A466E">
        <w:t>la</w:t>
      </w:r>
      <w:r w:rsidR="00823DC3" w:rsidRPr="001A466E">
        <w:t xml:space="preserve">s solicitudes para </w:t>
      </w:r>
      <w:r w:rsidR="002564CE" w:rsidRPr="001A466E">
        <w:rPr>
          <w:iCs/>
          <w:szCs w:val="20"/>
        </w:rPr>
        <w:t>sus</w:t>
      </w:r>
      <w:r w:rsidR="005913DD" w:rsidRPr="001A466E">
        <w:rPr>
          <w:iCs/>
          <w:szCs w:val="20"/>
        </w:rPr>
        <w:t xml:space="preserve"> cónyuges e hijos de las víctimas</w:t>
      </w:r>
      <w:r w:rsidR="006C684C" w:rsidRPr="001A466E">
        <w:rPr>
          <w:iCs/>
          <w:szCs w:val="20"/>
        </w:rPr>
        <w:t>,</w:t>
      </w:r>
      <w:r w:rsidR="00823DC3" w:rsidRPr="001A466E">
        <w:rPr>
          <w:iCs/>
          <w:szCs w:val="20"/>
        </w:rPr>
        <w:t xml:space="preserve"> </w:t>
      </w:r>
      <w:r w:rsidR="00CE0405" w:rsidRPr="001A466E">
        <w:rPr>
          <w:iCs/>
          <w:szCs w:val="20"/>
        </w:rPr>
        <w:t xml:space="preserve">ya </w:t>
      </w:r>
      <w:r w:rsidR="005913DD" w:rsidRPr="001A466E">
        <w:rPr>
          <w:iCs/>
          <w:szCs w:val="20"/>
          <w:lang w:val="es-ES"/>
        </w:rPr>
        <w:t>que no son víctimas del presente caso.</w:t>
      </w:r>
    </w:p>
    <w:p w14:paraId="57DFBD99" w14:textId="0E343ECD" w:rsidR="000D3067" w:rsidRPr="00F911DC" w:rsidRDefault="000D3067" w:rsidP="00F911DC">
      <w:pPr>
        <w:pStyle w:val="Ttulo2"/>
        <w:numPr>
          <w:ilvl w:val="0"/>
          <w:numId w:val="34"/>
        </w:numPr>
        <w:rPr>
          <w:i w:val="0"/>
          <w:lang w:val="es-MX"/>
        </w:rPr>
      </w:pPr>
      <w:bookmarkStart w:id="147" w:name="_Toc87339040"/>
      <w:r w:rsidRPr="00F911DC">
        <w:rPr>
          <w:i w:val="0"/>
          <w:lang w:val="es-MX"/>
        </w:rPr>
        <w:t>Medidas de satisfacción</w:t>
      </w:r>
      <w:bookmarkEnd w:id="147"/>
      <w:r w:rsidRPr="00F911DC">
        <w:rPr>
          <w:i w:val="0"/>
          <w:lang w:val="es-MX"/>
        </w:rPr>
        <w:t xml:space="preserve"> </w:t>
      </w:r>
    </w:p>
    <w:p w14:paraId="3D79790A" w14:textId="451CFA54" w:rsidR="000D3067" w:rsidRPr="001A466E" w:rsidRDefault="000D3067" w:rsidP="001C3C82">
      <w:pPr>
        <w:pStyle w:val="Prrafodelista"/>
        <w:numPr>
          <w:ilvl w:val="0"/>
          <w:numId w:val="7"/>
        </w:numPr>
        <w:spacing w:before="0" w:after="0"/>
        <w:ind w:hanging="11"/>
        <w:rPr>
          <w:szCs w:val="20"/>
          <w:lang w:val="es-MX"/>
        </w:rPr>
      </w:pPr>
      <w:r w:rsidRPr="001A466E">
        <w:rPr>
          <w:i/>
          <w:szCs w:val="20"/>
          <w:lang w:val="es-MX"/>
        </w:rPr>
        <w:t>Publicación de la sentencia</w:t>
      </w:r>
      <w:r w:rsidR="004309AD" w:rsidRPr="001A466E">
        <w:rPr>
          <w:i/>
          <w:szCs w:val="20"/>
          <w:lang w:val="es-MX"/>
        </w:rPr>
        <w:t xml:space="preserve"> </w:t>
      </w:r>
    </w:p>
    <w:p w14:paraId="78254208" w14:textId="77777777" w:rsidR="000D3067" w:rsidRPr="001A466E" w:rsidRDefault="000D3067" w:rsidP="000D3067">
      <w:pPr>
        <w:pStyle w:val="Prrafodelista"/>
        <w:autoSpaceDE w:val="0"/>
        <w:autoSpaceDN w:val="0"/>
        <w:adjustRightInd w:val="0"/>
        <w:spacing w:after="0"/>
        <w:ind w:left="0"/>
        <w:rPr>
          <w:b/>
          <w:szCs w:val="20"/>
          <w:lang w:val="es-MX"/>
        </w:rPr>
      </w:pPr>
    </w:p>
    <w:p w14:paraId="14353870" w14:textId="75D15767" w:rsidR="008977F5" w:rsidRPr="001A466E" w:rsidRDefault="008977F5" w:rsidP="00276ECB">
      <w:pPr>
        <w:pStyle w:val="Prrafodelista"/>
        <w:numPr>
          <w:ilvl w:val="0"/>
          <w:numId w:val="29"/>
        </w:numPr>
        <w:spacing w:before="0" w:after="0"/>
        <w:ind w:left="0" w:firstLine="0"/>
        <w:rPr>
          <w:b/>
          <w:szCs w:val="20"/>
          <w:lang w:val="es-MX"/>
        </w:rPr>
      </w:pPr>
      <w:r w:rsidRPr="001A466E">
        <w:rPr>
          <w:szCs w:val="20"/>
          <w:lang w:val="es-MX"/>
        </w:rPr>
        <w:t>El</w:t>
      </w:r>
      <w:r w:rsidRPr="001A466E">
        <w:rPr>
          <w:i/>
          <w:szCs w:val="20"/>
          <w:lang w:val="es-MX"/>
        </w:rPr>
        <w:t xml:space="preserve"> </w:t>
      </w:r>
      <w:r w:rsidRPr="001A466E">
        <w:rPr>
          <w:b/>
          <w:i/>
          <w:szCs w:val="20"/>
          <w:lang w:val="es-MX"/>
        </w:rPr>
        <w:t>representante</w:t>
      </w:r>
      <w:r w:rsidRPr="001A466E">
        <w:rPr>
          <w:szCs w:val="20"/>
          <w:lang w:val="es-MX"/>
        </w:rPr>
        <w:t xml:space="preserve"> solicitó que se publique la resolució</w:t>
      </w:r>
      <w:r w:rsidR="00B02CD9" w:rsidRPr="001A466E">
        <w:rPr>
          <w:szCs w:val="20"/>
          <w:lang w:val="es-MX"/>
        </w:rPr>
        <w:t>n de la Comisión Interamericana</w:t>
      </w:r>
      <w:r w:rsidRPr="001A466E">
        <w:rPr>
          <w:szCs w:val="20"/>
          <w:lang w:val="es-MX"/>
        </w:rPr>
        <w:t xml:space="preserve"> y la Sentencia de la Corte en el Registro Oficial, en la Orden General de la Policía Nacional y en los diarios de alcance nacional. La </w:t>
      </w:r>
      <w:r w:rsidRPr="001A466E">
        <w:rPr>
          <w:b/>
          <w:i/>
          <w:szCs w:val="20"/>
          <w:lang w:val="es-MX"/>
        </w:rPr>
        <w:t>Comisión</w:t>
      </w:r>
      <w:r w:rsidRPr="001A466E">
        <w:rPr>
          <w:szCs w:val="20"/>
          <w:lang w:val="es-MX"/>
        </w:rPr>
        <w:t xml:space="preserve"> hizo solicitudes al respecto. </w:t>
      </w:r>
    </w:p>
    <w:p w14:paraId="1DACD508" w14:textId="77777777" w:rsidR="006D0962" w:rsidRPr="001A466E" w:rsidRDefault="006D0962" w:rsidP="006D0962">
      <w:pPr>
        <w:pStyle w:val="Prrafodelista"/>
        <w:autoSpaceDE w:val="0"/>
        <w:autoSpaceDN w:val="0"/>
        <w:adjustRightInd w:val="0"/>
        <w:spacing w:before="0" w:after="0"/>
        <w:ind w:left="0"/>
        <w:rPr>
          <w:b/>
          <w:szCs w:val="20"/>
          <w:lang w:val="es-MX"/>
        </w:rPr>
      </w:pPr>
    </w:p>
    <w:p w14:paraId="50B0673B" w14:textId="3E73E931" w:rsidR="000D3067" w:rsidRPr="001A466E" w:rsidRDefault="000D3067" w:rsidP="00276ECB">
      <w:pPr>
        <w:pStyle w:val="Prrafodelista"/>
        <w:numPr>
          <w:ilvl w:val="0"/>
          <w:numId w:val="29"/>
        </w:numPr>
        <w:autoSpaceDE w:val="0"/>
        <w:autoSpaceDN w:val="0"/>
        <w:adjustRightInd w:val="0"/>
        <w:spacing w:before="0" w:after="0"/>
        <w:ind w:left="0" w:firstLine="0"/>
        <w:rPr>
          <w:b/>
          <w:szCs w:val="20"/>
          <w:lang w:val="es-MX"/>
        </w:rPr>
      </w:pPr>
      <w:r w:rsidRPr="001A466E">
        <w:rPr>
          <w:szCs w:val="20"/>
          <w:lang w:val="es-MX"/>
        </w:rPr>
        <w:t xml:space="preserve">El </w:t>
      </w:r>
      <w:r w:rsidRPr="001A466E">
        <w:rPr>
          <w:b/>
          <w:i/>
          <w:szCs w:val="20"/>
          <w:lang w:val="es-MX"/>
        </w:rPr>
        <w:t>Estado</w:t>
      </w:r>
      <w:r w:rsidR="004A71B5" w:rsidRPr="001A466E">
        <w:rPr>
          <w:szCs w:val="20"/>
          <w:lang w:val="es-MX"/>
        </w:rPr>
        <w:t xml:space="preserve"> </w:t>
      </w:r>
      <w:r w:rsidR="004A71B5" w:rsidRPr="001A466E">
        <w:rPr>
          <w:rFonts w:cs="AppleSystemUIFont"/>
          <w:szCs w:val="20"/>
          <w:lang w:val="es-CR"/>
        </w:rPr>
        <w:t>observó que el proceso fue resuelto en</w:t>
      </w:r>
      <w:r w:rsidR="00605382" w:rsidRPr="001A466E">
        <w:rPr>
          <w:rFonts w:cs="AppleSystemUIFont"/>
          <w:szCs w:val="20"/>
          <w:lang w:val="es-CR"/>
        </w:rPr>
        <w:t xml:space="preserve"> la jurisdicción nacional y la</w:t>
      </w:r>
      <w:r w:rsidR="004A71B5" w:rsidRPr="001A466E">
        <w:rPr>
          <w:rFonts w:cs="AppleSystemUIFont"/>
          <w:szCs w:val="20"/>
          <w:lang w:val="es-CR"/>
        </w:rPr>
        <w:t xml:space="preserve"> sentencia es pública.</w:t>
      </w:r>
      <w:r w:rsidR="00605382" w:rsidRPr="001A466E">
        <w:rPr>
          <w:rFonts w:cs="AppleSystemUIFont"/>
          <w:szCs w:val="20"/>
          <w:lang w:val="es-CR"/>
        </w:rPr>
        <w:t xml:space="preserve"> Agregó</w:t>
      </w:r>
      <w:r w:rsidR="004A71B5" w:rsidRPr="001A466E">
        <w:rPr>
          <w:rFonts w:cs="AppleSystemUIFont"/>
          <w:szCs w:val="20"/>
          <w:lang w:val="es-CR"/>
        </w:rPr>
        <w:t xml:space="preserve">, </w:t>
      </w:r>
      <w:r w:rsidR="00605382" w:rsidRPr="001A466E">
        <w:rPr>
          <w:rFonts w:cs="AppleSystemUIFont"/>
          <w:szCs w:val="20"/>
          <w:lang w:val="es-CR"/>
        </w:rPr>
        <w:t xml:space="preserve">que </w:t>
      </w:r>
      <w:r w:rsidR="004A71B5" w:rsidRPr="001A466E">
        <w:rPr>
          <w:rFonts w:cs="AppleSystemUIFont"/>
          <w:szCs w:val="20"/>
          <w:lang w:val="es-CR"/>
        </w:rPr>
        <w:t>si la sentencia dictada por la Corte fuese condenatoria, esta medida no debería superar la disponibilidad de la sentencia, de manera pública, a través de la página web de la Policía Nacional</w:t>
      </w:r>
      <w:r w:rsidR="00605382" w:rsidRPr="001A466E">
        <w:rPr>
          <w:rFonts w:cs="AppleSystemUIFont"/>
          <w:szCs w:val="20"/>
          <w:lang w:val="es-CR"/>
        </w:rPr>
        <w:t>.</w:t>
      </w:r>
      <w:r w:rsidR="004A71B5" w:rsidRPr="001A466E">
        <w:rPr>
          <w:rFonts w:cs="AppleSystemUIFont"/>
          <w:szCs w:val="20"/>
          <w:lang w:val="es-CR"/>
        </w:rPr>
        <w:t xml:space="preserve"> </w:t>
      </w:r>
    </w:p>
    <w:p w14:paraId="7973B34C" w14:textId="77777777" w:rsidR="006C684C" w:rsidRPr="001A466E" w:rsidRDefault="006C684C" w:rsidP="00276ECB">
      <w:pPr>
        <w:pStyle w:val="Prrafodelista"/>
        <w:autoSpaceDE w:val="0"/>
        <w:autoSpaceDN w:val="0"/>
        <w:adjustRightInd w:val="0"/>
        <w:spacing w:before="0" w:after="0"/>
        <w:ind w:left="0"/>
        <w:rPr>
          <w:b/>
          <w:szCs w:val="20"/>
          <w:lang w:val="es-MX"/>
        </w:rPr>
      </w:pPr>
    </w:p>
    <w:p w14:paraId="6959E6D6" w14:textId="7A0C6611" w:rsidR="000D3067" w:rsidRPr="00CF60EF" w:rsidRDefault="000D3067" w:rsidP="00CF60EF">
      <w:pPr>
        <w:pStyle w:val="Prrafodelista"/>
        <w:numPr>
          <w:ilvl w:val="0"/>
          <w:numId w:val="29"/>
        </w:numPr>
        <w:spacing w:before="0" w:after="0"/>
        <w:ind w:left="0" w:firstLine="0"/>
        <w:rPr>
          <w:szCs w:val="20"/>
          <w:lang w:val="es-MX"/>
        </w:rPr>
      </w:pPr>
      <w:r w:rsidRPr="001A466E">
        <w:rPr>
          <w:szCs w:val="20"/>
          <w:lang w:val="es-MX"/>
        </w:rPr>
        <w:t xml:space="preserve">La </w:t>
      </w:r>
      <w:r w:rsidRPr="001A466E">
        <w:rPr>
          <w:b/>
          <w:i/>
          <w:szCs w:val="20"/>
          <w:lang w:val="es-MX"/>
        </w:rPr>
        <w:t>Corte</w:t>
      </w:r>
      <w:r w:rsidRPr="001A466E">
        <w:rPr>
          <w:szCs w:val="20"/>
          <w:lang w:val="es-MX"/>
        </w:rPr>
        <w:t xml:space="preserve"> dispon</w:t>
      </w:r>
      <w:r w:rsidR="00605382" w:rsidRPr="001A466E">
        <w:rPr>
          <w:szCs w:val="20"/>
          <w:lang w:val="es-MX"/>
        </w:rPr>
        <w:t>e</w:t>
      </w:r>
      <w:r w:rsidR="00605382" w:rsidRPr="001A466E">
        <w:rPr>
          <w:szCs w:val="20"/>
          <w:lang w:val="es-CR"/>
        </w:rPr>
        <w:t>, como lo ha hecho en otros casos</w:t>
      </w:r>
      <w:r w:rsidR="00605382" w:rsidRPr="001A466E">
        <w:rPr>
          <w:szCs w:val="20"/>
          <w:vertAlign w:val="superscript"/>
        </w:rPr>
        <w:footnoteReference w:id="154"/>
      </w:r>
      <w:r w:rsidR="00605382" w:rsidRPr="001A466E">
        <w:rPr>
          <w:szCs w:val="20"/>
          <w:lang w:val="es-CR"/>
        </w:rPr>
        <w:t xml:space="preserve">, </w:t>
      </w:r>
      <w:r w:rsidR="00605382" w:rsidRPr="001A466E">
        <w:rPr>
          <w:rFonts w:cs="Verdana"/>
          <w:szCs w:val="20"/>
          <w:lang w:val="es-CR"/>
        </w:rPr>
        <w:t>que</w:t>
      </w:r>
      <w:r w:rsidR="00605382" w:rsidRPr="0092295B">
        <w:rPr>
          <w:rFonts w:cs="Verdana"/>
          <w:szCs w:val="20"/>
          <w:lang w:val="es-CR"/>
        </w:rPr>
        <w:t xml:space="preserve"> el Estado publique, en el plazo de seis meses, contado a partir de la notificación de la presente Sentencia</w:t>
      </w:r>
      <w:r w:rsidR="00605382" w:rsidRPr="0092295B">
        <w:rPr>
          <w:szCs w:val="20"/>
          <w:lang w:val="es-CR"/>
        </w:rPr>
        <w:t>, en un tamaño de letra legible y adecuado</w:t>
      </w:r>
      <w:r w:rsidR="00605382" w:rsidRPr="0092295B">
        <w:rPr>
          <w:rFonts w:cs="Verdana"/>
          <w:szCs w:val="20"/>
          <w:lang w:val="es-CR"/>
        </w:rPr>
        <w:t xml:space="preserve">: a) el resumen </w:t>
      </w:r>
      <w:r w:rsidR="00605382" w:rsidRPr="0092295B">
        <w:rPr>
          <w:szCs w:val="20"/>
          <w:lang w:val="es-CR"/>
        </w:rPr>
        <w:t>oficial</w:t>
      </w:r>
      <w:r w:rsidR="00605382" w:rsidRPr="0092295B">
        <w:rPr>
          <w:rFonts w:cs="Verdana"/>
          <w:szCs w:val="20"/>
          <w:lang w:val="es-CR"/>
        </w:rPr>
        <w:t xml:space="preserve"> de la presente Sentencia elaborado por la Corte, por una sola vez, en el Diario Oficial; b) el </w:t>
      </w:r>
      <w:r w:rsidR="00605382" w:rsidRPr="0092295B">
        <w:rPr>
          <w:szCs w:val="20"/>
          <w:lang w:val="es-CR"/>
        </w:rPr>
        <w:t>resumen</w:t>
      </w:r>
      <w:r w:rsidR="00605382" w:rsidRPr="0092295B">
        <w:rPr>
          <w:rFonts w:cs="Verdana"/>
          <w:szCs w:val="20"/>
          <w:lang w:val="es-CR"/>
        </w:rPr>
        <w:t xml:space="preserve"> oficial de la presente Sentencia </w:t>
      </w:r>
      <w:r w:rsidR="00605382" w:rsidRPr="0092295B">
        <w:rPr>
          <w:rFonts w:eastAsia="Times New Roman"/>
          <w:szCs w:val="20"/>
          <w:lang w:val="es-CR" w:eastAsia="es-ES" w:bidi="es-ES"/>
        </w:rPr>
        <w:t>elaborado</w:t>
      </w:r>
      <w:r w:rsidR="00605382" w:rsidRPr="0092295B">
        <w:rPr>
          <w:rFonts w:cs="Verdana"/>
          <w:szCs w:val="20"/>
          <w:lang w:val="es-CR"/>
        </w:rPr>
        <w:t xml:space="preserve"> por la Corte, por una sola vez, en un diario de amplia circulación nacional, y c) la presente Sentencia en su integridad, disponible por un período de un año, en el sitio </w:t>
      </w:r>
      <w:r w:rsidR="00605382" w:rsidRPr="0092295B">
        <w:rPr>
          <w:rFonts w:cs="Verdana"/>
          <w:i/>
          <w:szCs w:val="20"/>
          <w:lang w:val="es-CR"/>
        </w:rPr>
        <w:t>web</w:t>
      </w:r>
      <w:r w:rsidR="00605382" w:rsidRPr="0092295B">
        <w:rPr>
          <w:rFonts w:cs="Verdana"/>
          <w:szCs w:val="20"/>
          <w:lang w:val="es-CR"/>
        </w:rPr>
        <w:t xml:space="preserve"> oficial de la Policía Nacional</w:t>
      </w:r>
      <w:r w:rsidR="00605382" w:rsidRPr="0092295B">
        <w:rPr>
          <w:rFonts w:cs="Georgia"/>
          <w:szCs w:val="20"/>
          <w:lang w:val="es-CR"/>
        </w:rPr>
        <w:t xml:space="preserve">. </w:t>
      </w:r>
      <w:r w:rsidR="00605382" w:rsidRPr="0092295B">
        <w:rPr>
          <w:szCs w:val="20"/>
          <w:lang w:val="es-CR"/>
        </w:rPr>
        <w:t>El Estado deberá informar de forma inmediata a este Tribunal una vez que proceda a realizar cada una de las publicaciones dispuestas, independientemente del plazo de un año para presentar su primer informe di</w:t>
      </w:r>
      <w:r w:rsidR="009A4796" w:rsidRPr="0092295B">
        <w:rPr>
          <w:szCs w:val="20"/>
          <w:lang w:val="es-CR"/>
        </w:rPr>
        <w:t xml:space="preserve">spuesto en el punto resolutivo </w:t>
      </w:r>
      <w:r w:rsidR="00A43449" w:rsidRPr="00A43449">
        <w:rPr>
          <w:szCs w:val="20"/>
          <w:lang w:val="es-CR"/>
        </w:rPr>
        <w:t>8</w:t>
      </w:r>
      <w:r w:rsidR="00605382" w:rsidRPr="0092295B">
        <w:rPr>
          <w:szCs w:val="20"/>
          <w:lang w:val="es-CR"/>
        </w:rPr>
        <w:t xml:space="preserve"> de la presente Sentencia.</w:t>
      </w:r>
    </w:p>
    <w:p w14:paraId="2D47B951" w14:textId="34C66FAC" w:rsidR="006C684C" w:rsidRPr="00F911DC" w:rsidRDefault="006C684C" w:rsidP="00F911DC">
      <w:pPr>
        <w:pStyle w:val="Ttulo2"/>
        <w:numPr>
          <w:ilvl w:val="0"/>
          <w:numId w:val="34"/>
        </w:numPr>
        <w:rPr>
          <w:i w:val="0"/>
          <w:lang w:val="es-MX"/>
        </w:rPr>
      </w:pPr>
      <w:bookmarkStart w:id="148" w:name="_Toc87339041"/>
      <w:r w:rsidRPr="00F911DC">
        <w:rPr>
          <w:i w:val="0"/>
          <w:lang w:val="es-MX"/>
        </w:rPr>
        <w:t>Otras medidas</w:t>
      </w:r>
      <w:bookmarkEnd w:id="148"/>
      <w:r w:rsidRPr="00F911DC">
        <w:rPr>
          <w:i w:val="0"/>
          <w:lang w:val="es-MX"/>
        </w:rPr>
        <w:t xml:space="preserve"> </w:t>
      </w:r>
    </w:p>
    <w:p w14:paraId="662EE6AC" w14:textId="5385B2BF" w:rsidR="00B02CD9" w:rsidRPr="0092295B" w:rsidRDefault="006C684C" w:rsidP="00276ECB">
      <w:pPr>
        <w:pStyle w:val="Prrafodelista"/>
        <w:numPr>
          <w:ilvl w:val="0"/>
          <w:numId w:val="29"/>
        </w:numPr>
        <w:spacing w:before="0" w:after="0"/>
        <w:ind w:left="0" w:firstLine="0"/>
        <w:rPr>
          <w:b/>
          <w:szCs w:val="20"/>
          <w:lang w:val="es-MX"/>
        </w:rPr>
      </w:pPr>
      <w:r w:rsidRPr="0092295B">
        <w:rPr>
          <w:bCs/>
          <w:szCs w:val="20"/>
          <w:lang w:val="es-MX"/>
        </w:rPr>
        <w:t xml:space="preserve">El </w:t>
      </w:r>
      <w:r w:rsidRPr="0092295B">
        <w:rPr>
          <w:b/>
          <w:bCs/>
          <w:i/>
          <w:szCs w:val="20"/>
          <w:lang w:val="es-MX"/>
        </w:rPr>
        <w:t>representante</w:t>
      </w:r>
      <w:r w:rsidRPr="0092295B">
        <w:rPr>
          <w:bCs/>
          <w:i/>
          <w:szCs w:val="20"/>
          <w:lang w:val="es-MX"/>
        </w:rPr>
        <w:t xml:space="preserve"> </w:t>
      </w:r>
      <w:r w:rsidRPr="0092295B">
        <w:rPr>
          <w:bCs/>
          <w:szCs w:val="20"/>
          <w:lang w:val="es-MX"/>
        </w:rPr>
        <w:t>solicitó la realización de un acto de disculpas públicas.</w:t>
      </w:r>
      <w:r w:rsidRPr="0092295B">
        <w:rPr>
          <w:rFonts w:cs="Arial"/>
          <w:color w:val="000000" w:themeColor="text1"/>
          <w:szCs w:val="20"/>
        </w:rPr>
        <w:t xml:space="preserve"> </w:t>
      </w:r>
      <w:r w:rsidR="008977F5" w:rsidRPr="0092295B">
        <w:rPr>
          <w:rFonts w:cs="Arial"/>
          <w:color w:val="000000" w:themeColor="text1"/>
          <w:szCs w:val="20"/>
        </w:rPr>
        <w:t xml:space="preserve">El </w:t>
      </w:r>
      <w:r w:rsidR="008977F5" w:rsidRPr="0092295B">
        <w:rPr>
          <w:rFonts w:cs="Arial"/>
          <w:b/>
          <w:i/>
          <w:color w:val="000000" w:themeColor="text1"/>
          <w:szCs w:val="20"/>
        </w:rPr>
        <w:t xml:space="preserve">Estado </w:t>
      </w:r>
      <w:r w:rsidR="008977F5" w:rsidRPr="0092295B">
        <w:rPr>
          <w:rFonts w:cs="Arial"/>
          <w:color w:val="000000" w:themeColor="text1"/>
          <w:szCs w:val="20"/>
        </w:rPr>
        <w:t xml:space="preserve">reiteró a la Corte dar por satisfecha esta medida, en virtud de las acciones realizadas para cumplir con las recomendaciones del Informe de Fondo No. 113/18. </w:t>
      </w:r>
      <w:r w:rsidR="00B02CD9" w:rsidRPr="0092295B">
        <w:t>Este Tribunal no considera necesario ordenar medidas de satisfacción adicionales a las ya ordenadas anteriormente.</w:t>
      </w:r>
    </w:p>
    <w:p w14:paraId="6452C2DC" w14:textId="77777777" w:rsidR="009C2B9F" w:rsidRPr="0092295B" w:rsidRDefault="009C2B9F" w:rsidP="00276ECB">
      <w:pPr>
        <w:pStyle w:val="Prrafodelista"/>
        <w:spacing w:before="0" w:after="0"/>
        <w:ind w:left="0"/>
        <w:rPr>
          <w:b/>
          <w:szCs w:val="20"/>
          <w:lang w:val="es-MX"/>
        </w:rPr>
      </w:pPr>
    </w:p>
    <w:p w14:paraId="4EF68611" w14:textId="3CFAA683" w:rsidR="000C5D48" w:rsidRPr="0092295B" w:rsidRDefault="006C684C" w:rsidP="00276ECB">
      <w:pPr>
        <w:pStyle w:val="Prrafodelista"/>
        <w:numPr>
          <w:ilvl w:val="0"/>
          <w:numId w:val="29"/>
        </w:numPr>
        <w:spacing w:before="0" w:after="0"/>
        <w:ind w:left="0" w:firstLine="0"/>
        <w:rPr>
          <w:b/>
          <w:szCs w:val="20"/>
          <w:lang w:val="es-MX"/>
        </w:rPr>
      </w:pPr>
      <w:r w:rsidRPr="0092295B">
        <w:rPr>
          <w:bCs/>
          <w:szCs w:val="20"/>
          <w:lang w:val="es-MX"/>
        </w:rPr>
        <w:t>Por otro lado, l</w:t>
      </w:r>
      <w:r w:rsidR="002B74D6" w:rsidRPr="0092295B">
        <w:rPr>
          <w:bCs/>
          <w:szCs w:val="20"/>
          <w:lang w:val="es-MX"/>
        </w:rPr>
        <w:t xml:space="preserve">a </w:t>
      </w:r>
      <w:r w:rsidR="002B74D6" w:rsidRPr="0092295B">
        <w:rPr>
          <w:b/>
          <w:i/>
          <w:iCs/>
          <w:szCs w:val="20"/>
          <w:lang w:val="es-MX"/>
        </w:rPr>
        <w:t>Comisión</w:t>
      </w:r>
      <w:r w:rsidR="002B74D6" w:rsidRPr="0092295B">
        <w:rPr>
          <w:bCs/>
          <w:szCs w:val="20"/>
          <w:lang w:val="es-MX"/>
        </w:rPr>
        <w:t xml:space="preserve"> solicitó a la Corte disponer medidas de </w:t>
      </w:r>
      <w:r w:rsidR="00F215B8" w:rsidRPr="0092295B">
        <w:rPr>
          <w:bCs/>
          <w:szCs w:val="20"/>
          <w:lang w:val="es-MX"/>
        </w:rPr>
        <w:t xml:space="preserve">no </w:t>
      </w:r>
      <w:r w:rsidR="002B74D6" w:rsidRPr="0092295B">
        <w:rPr>
          <w:bCs/>
          <w:szCs w:val="20"/>
          <w:lang w:val="es-MX"/>
        </w:rPr>
        <w:t>repetición necesarias para</w:t>
      </w:r>
      <w:r w:rsidR="006D0962" w:rsidRPr="0092295B">
        <w:rPr>
          <w:bCs/>
          <w:szCs w:val="20"/>
          <w:lang w:val="es-MX"/>
        </w:rPr>
        <w:t>:</w:t>
      </w:r>
      <w:r w:rsidR="002B74D6" w:rsidRPr="0092295B">
        <w:rPr>
          <w:bCs/>
          <w:szCs w:val="20"/>
          <w:lang w:val="es-MX"/>
        </w:rPr>
        <w:t xml:space="preserve"> </w:t>
      </w:r>
      <w:r w:rsidR="00153671" w:rsidRPr="0092295B">
        <w:rPr>
          <w:bCs/>
          <w:szCs w:val="20"/>
          <w:lang w:val="es-MX"/>
        </w:rPr>
        <w:t xml:space="preserve">a) </w:t>
      </w:r>
      <w:r w:rsidR="002B74D6" w:rsidRPr="0092295B">
        <w:rPr>
          <w:bCs/>
          <w:szCs w:val="20"/>
          <w:lang w:val="es-MX"/>
        </w:rPr>
        <w:t xml:space="preserve">asegurar que tanto la normativa aplicable como las prácticas respectivas en materia de detención preventiva y jurisdicción penal policial en Ecuador, sean compatibles con los estándares establecidos en el Informe No. 113/18. En particular, el Estado deberá garantizar que tanto la normativa como en la práctica, la detención preventiva sea procedente de manera excepcional, sobre la base de fines procesales y con una revisión periódica; </w:t>
      </w:r>
      <w:r w:rsidR="006D0962" w:rsidRPr="0092295B">
        <w:rPr>
          <w:bCs/>
          <w:szCs w:val="20"/>
          <w:lang w:val="es-MX"/>
        </w:rPr>
        <w:t>b</w:t>
      </w:r>
      <w:r w:rsidR="00153671" w:rsidRPr="0092295B">
        <w:rPr>
          <w:bCs/>
          <w:szCs w:val="20"/>
          <w:lang w:val="es-MX"/>
        </w:rPr>
        <w:t xml:space="preserve">) </w:t>
      </w:r>
      <w:r w:rsidR="002B74D6" w:rsidRPr="0092295B">
        <w:rPr>
          <w:bCs/>
          <w:szCs w:val="20"/>
          <w:lang w:val="es-MX"/>
        </w:rPr>
        <w:t>que la conformaci</w:t>
      </w:r>
      <w:r w:rsidR="00D13EFE" w:rsidRPr="0092295B">
        <w:rPr>
          <w:bCs/>
          <w:szCs w:val="20"/>
          <w:lang w:val="es-MX"/>
        </w:rPr>
        <w:t>ón de las autoridades de la justicia penal policial cumplan con las garantías de independencia e imparcialidad tanto en su conformación como en sus prácticas</w:t>
      </w:r>
      <w:r w:rsidR="00153671" w:rsidRPr="0092295B">
        <w:rPr>
          <w:bCs/>
          <w:szCs w:val="20"/>
          <w:lang w:val="es-MX"/>
        </w:rPr>
        <w:t>,</w:t>
      </w:r>
      <w:r w:rsidR="00D13EFE" w:rsidRPr="0092295B">
        <w:rPr>
          <w:bCs/>
          <w:szCs w:val="20"/>
          <w:lang w:val="es-MX"/>
        </w:rPr>
        <w:t xml:space="preserve"> y </w:t>
      </w:r>
      <w:r w:rsidR="006D0962" w:rsidRPr="0092295B">
        <w:rPr>
          <w:bCs/>
          <w:szCs w:val="20"/>
          <w:lang w:val="es-MX"/>
        </w:rPr>
        <w:t>c</w:t>
      </w:r>
      <w:r w:rsidR="00153671" w:rsidRPr="0092295B">
        <w:rPr>
          <w:bCs/>
          <w:szCs w:val="20"/>
          <w:lang w:val="es-MX"/>
        </w:rPr>
        <w:t xml:space="preserve">) </w:t>
      </w:r>
      <w:r w:rsidR="00D13EFE" w:rsidRPr="0092295B">
        <w:rPr>
          <w:bCs/>
          <w:szCs w:val="20"/>
          <w:lang w:val="es-MX"/>
        </w:rPr>
        <w:t>que las personas condenadas en el marco de la justicia penal policial cuenten con un recurso que permita una revisión integral de la condena ante autoridad superior jerá</w:t>
      </w:r>
      <w:r w:rsidR="00DC309C" w:rsidRPr="0092295B">
        <w:rPr>
          <w:bCs/>
          <w:szCs w:val="20"/>
          <w:lang w:val="es-MX"/>
        </w:rPr>
        <w:t>r</w:t>
      </w:r>
      <w:r w:rsidR="00D13EFE" w:rsidRPr="0092295B">
        <w:rPr>
          <w:bCs/>
          <w:szCs w:val="20"/>
          <w:lang w:val="es-MX"/>
        </w:rPr>
        <w:t>quicamente.</w:t>
      </w:r>
      <w:r w:rsidR="006D0962" w:rsidRPr="0092295B">
        <w:rPr>
          <w:b/>
          <w:szCs w:val="20"/>
          <w:lang w:val="es-MX"/>
        </w:rPr>
        <w:t xml:space="preserve"> </w:t>
      </w:r>
      <w:r w:rsidR="00DC309C" w:rsidRPr="0092295B">
        <w:rPr>
          <w:bCs/>
          <w:szCs w:val="20"/>
          <w:lang w:val="es-MX"/>
        </w:rPr>
        <w:t xml:space="preserve">El </w:t>
      </w:r>
      <w:r w:rsidR="00DC309C" w:rsidRPr="0092295B">
        <w:rPr>
          <w:b/>
          <w:i/>
          <w:iCs/>
          <w:szCs w:val="20"/>
          <w:lang w:val="es-MX"/>
        </w:rPr>
        <w:t>representante</w:t>
      </w:r>
      <w:r w:rsidR="00DC309C" w:rsidRPr="0092295B">
        <w:rPr>
          <w:b/>
          <w:szCs w:val="20"/>
          <w:lang w:val="es-MX"/>
        </w:rPr>
        <w:t xml:space="preserve"> </w:t>
      </w:r>
      <w:r w:rsidR="00001D95" w:rsidRPr="00036404">
        <w:rPr>
          <w:szCs w:val="20"/>
          <w:lang w:val="es-MX"/>
        </w:rPr>
        <w:t>reprodujo las alegaciones de la Comisión</w:t>
      </w:r>
      <w:r w:rsidR="00DC309C" w:rsidRPr="00036404">
        <w:rPr>
          <w:bCs/>
          <w:szCs w:val="20"/>
          <w:lang w:val="es-MX"/>
        </w:rPr>
        <w:t>.</w:t>
      </w:r>
      <w:r w:rsidR="000C5D48" w:rsidRPr="0092295B">
        <w:rPr>
          <w:bCs/>
          <w:szCs w:val="20"/>
          <w:lang w:val="es-MX"/>
        </w:rPr>
        <w:t xml:space="preserve"> </w:t>
      </w:r>
    </w:p>
    <w:p w14:paraId="16CC2EFE" w14:textId="77777777" w:rsidR="00E304C5" w:rsidRPr="0092295B" w:rsidRDefault="00E304C5" w:rsidP="00276ECB">
      <w:pPr>
        <w:pStyle w:val="Prrafodelista"/>
        <w:ind w:left="0"/>
        <w:rPr>
          <w:b/>
          <w:szCs w:val="20"/>
          <w:lang w:val="es-MX"/>
        </w:rPr>
      </w:pPr>
    </w:p>
    <w:p w14:paraId="24D49A2C" w14:textId="15395E2B" w:rsidR="008977F5" w:rsidRPr="0092295B" w:rsidRDefault="007600CD" w:rsidP="00276ECB">
      <w:pPr>
        <w:pStyle w:val="Prrafodelista"/>
        <w:numPr>
          <w:ilvl w:val="0"/>
          <w:numId w:val="29"/>
        </w:numPr>
        <w:spacing w:before="0" w:after="0"/>
        <w:ind w:left="0" w:firstLine="0"/>
        <w:rPr>
          <w:szCs w:val="20"/>
          <w:lang w:val="es-MX"/>
        </w:rPr>
      </w:pPr>
      <w:r w:rsidRPr="0092295B">
        <w:rPr>
          <w:bCs/>
          <w:szCs w:val="20"/>
          <w:lang w:val="es-MX"/>
        </w:rPr>
        <w:t>E</w:t>
      </w:r>
      <w:r w:rsidR="008977F5" w:rsidRPr="0092295B">
        <w:rPr>
          <w:bCs/>
          <w:szCs w:val="20"/>
          <w:lang w:val="es-MX"/>
        </w:rPr>
        <w:t xml:space="preserve">l </w:t>
      </w:r>
      <w:r w:rsidR="008977F5" w:rsidRPr="0092295B">
        <w:rPr>
          <w:b/>
          <w:i/>
          <w:iCs/>
          <w:szCs w:val="20"/>
          <w:lang w:val="es-MX"/>
        </w:rPr>
        <w:t xml:space="preserve">Estado </w:t>
      </w:r>
      <w:r w:rsidR="008977F5" w:rsidRPr="0092295B">
        <w:rPr>
          <w:rFonts w:cs="Arial"/>
          <w:color w:val="000000" w:themeColor="text1"/>
          <w:szCs w:val="20"/>
        </w:rPr>
        <w:t>alegó que, a partir de la nueva Constitución de 2008, se incorporaron los estándares internacionales de derechos humanos a la normativa y jurisprudencia interna</w:t>
      </w:r>
      <w:r w:rsidR="008977F5" w:rsidRPr="00EB2A21">
        <w:rPr>
          <w:rFonts w:cs="Arial"/>
          <w:color w:val="000000" w:themeColor="text1"/>
          <w:szCs w:val="20"/>
        </w:rPr>
        <w:t>.</w:t>
      </w:r>
      <w:r w:rsidR="008977F5" w:rsidRPr="0092295B">
        <w:rPr>
          <w:rFonts w:cs="Arial"/>
          <w:color w:val="000000" w:themeColor="text1"/>
          <w:szCs w:val="20"/>
        </w:rPr>
        <w:t xml:space="preserve"> El Estado expuso la normativa interna, a fin de probar que se suprimió la jurisdicción penal </w:t>
      </w:r>
      <w:r w:rsidR="00D17C05" w:rsidRPr="0092295B">
        <w:rPr>
          <w:rFonts w:cs="Arial"/>
          <w:color w:val="000000" w:themeColor="text1"/>
          <w:szCs w:val="20"/>
        </w:rPr>
        <w:t xml:space="preserve">militar </w:t>
      </w:r>
      <w:r w:rsidR="008977F5" w:rsidRPr="0092295B">
        <w:rPr>
          <w:rFonts w:cs="Arial"/>
          <w:color w:val="000000" w:themeColor="text1"/>
          <w:szCs w:val="20"/>
        </w:rPr>
        <w:t>y el fuero especial de la Policía Nacional, así como la competencia especial para el juzgamiento de agentes policiales y militares, y que la prisión preventiva contempla garantías que protegen los derechos a la libertad personal, la presunción de inocencia, el principio de legalidad, el principio de proporcionalidad</w:t>
      </w:r>
      <w:r w:rsidR="008977F5" w:rsidRPr="0092295B">
        <w:rPr>
          <w:rFonts w:cs="Arial"/>
          <w:b/>
          <w:color w:val="000000" w:themeColor="text1"/>
          <w:szCs w:val="20"/>
        </w:rPr>
        <w:t xml:space="preserve"> </w:t>
      </w:r>
      <w:r w:rsidR="008977F5" w:rsidRPr="0092295B">
        <w:rPr>
          <w:rFonts w:cs="Arial"/>
          <w:color w:val="000000" w:themeColor="text1"/>
          <w:szCs w:val="20"/>
        </w:rPr>
        <w:t>y la razonabilidad del plazo de la medida</w:t>
      </w:r>
      <w:r w:rsidR="00EB2A21">
        <w:rPr>
          <w:rFonts w:cs="Arial"/>
          <w:b/>
          <w:color w:val="000000" w:themeColor="text1"/>
          <w:sz w:val="16"/>
          <w:szCs w:val="16"/>
        </w:rPr>
        <w:t>.</w:t>
      </w:r>
      <w:r w:rsidR="008977F5" w:rsidRPr="0092295B">
        <w:rPr>
          <w:b/>
          <w:szCs w:val="20"/>
          <w:lang w:val="es-MX"/>
        </w:rPr>
        <w:t xml:space="preserve"> </w:t>
      </w:r>
      <w:r w:rsidR="008977F5" w:rsidRPr="0092295B">
        <w:rPr>
          <w:rFonts w:cs="Arial"/>
          <w:color w:val="000000" w:themeColor="text1"/>
          <w:szCs w:val="20"/>
        </w:rPr>
        <w:t xml:space="preserve">Por otro lado, señaló que el ordenamiento jurídico ecuatoriano también contempla la obligación de motivar la imposición de la prisión preventiva. Además, </w:t>
      </w:r>
      <w:r w:rsidR="002E7033" w:rsidRPr="0092295B">
        <w:rPr>
          <w:rFonts w:cs="Arial"/>
          <w:color w:val="000000" w:themeColor="text1"/>
          <w:szCs w:val="20"/>
        </w:rPr>
        <w:t xml:space="preserve">adujo que </w:t>
      </w:r>
      <w:r w:rsidR="00BE43F9">
        <w:rPr>
          <w:rFonts w:cs="Arial"/>
          <w:color w:val="000000" w:themeColor="text1"/>
          <w:szCs w:val="20"/>
        </w:rPr>
        <w:t xml:space="preserve">las </w:t>
      </w:r>
      <w:r w:rsidR="008977F5" w:rsidRPr="0092295B">
        <w:rPr>
          <w:rFonts w:cs="Arial"/>
          <w:color w:val="000000" w:themeColor="text1"/>
          <w:szCs w:val="20"/>
        </w:rPr>
        <w:t>víctimas cuentan con el acceso a todos los recursos judiciales previstos en el ordenamiento, tanto de apelación, como casación, revisión y de hecho. Lo</w:t>
      </w:r>
      <w:r w:rsidR="008977F5" w:rsidRPr="0092295B">
        <w:rPr>
          <w:rFonts w:eastAsia="Times New Roman" w:cs="Arial"/>
          <w:color w:val="000000" w:themeColor="text1"/>
          <w:szCs w:val="20"/>
        </w:rPr>
        <w:t>s recursos también permiten la revisión por parte de una Corte Superior, tanto de la prisión preventiva, como de una condena. Por último, el Estado resaltó que en 2017 se estableció un nuevo régimen disciplinario para el personal policial, a través de la aprobación del Código Orgánico de Entidades de Seguridad Ciudadana y Orden Público y conforme a este cuerpo legal, en los procedimientos disciplinarios se garantizan las garantías procesales.</w:t>
      </w:r>
      <w:r w:rsidR="00E64131" w:rsidRPr="0092295B">
        <w:rPr>
          <w:rFonts w:eastAsia="Times New Roman" w:cs="Arial"/>
          <w:b/>
          <w:color w:val="000000" w:themeColor="text1"/>
          <w:sz w:val="16"/>
          <w:szCs w:val="16"/>
        </w:rPr>
        <w:t xml:space="preserve"> </w:t>
      </w:r>
    </w:p>
    <w:p w14:paraId="424E27DE" w14:textId="77777777" w:rsidR="00E304C5" w:rsidRPr="0092295B" w:rsidRDefault="00E304C5" w:rsidP="00E304C5">
      <w:pPr>
        <w:pStyle w:val="Prrafodelista"/>
        <w:spacing w:before="0" w:after="0"/>
        <w:ind w:left="0"/>
        <w:rPr>
          <w:szCs w:val="20"/>
          <w:lang w:val="es-MX"/>
        </w:rPr>
      </w:pPr>
    </w:p>
    <w:p w14:paraId="72B9B39F" w14:textId="0D72A5FC" w:rsidR="00F17171" w:rsidRPr="0092295B" w:rsidRDefault="00E304C5" w:rsidP="00276ECB">
      <w:pPr>
        <w:pStyle w:val="Prrafodelista"/>
        <w:numPr>
          <w:ilvl w:val="0"/>
          <w:numId w:val="29"/>
        </w:numPr>
        <w:spacing w:before="0" w:after="0"/>
        <w:ind w:left="0" w:firstLine="0"/>
        <w:rPr>
          <w:szCs w:val="20"/>
          <w:lang w:val="es-MX"/>
        </w:rPr>
      </w:pPr>
      <w:r w:rsidRPr="009C67E5">
        <w:rPr>
          <w:lang w:val="es-MX"/>
        </w:rPr>
        <w:t>L</w:t>
      </w:r>
      <w:r w:rsidR="00B02CD9" w:rsidRPr="009C67E5">
        <w:t xml:space="preserve">a </w:t>
      </w:r>
      <w:r w:rsidR="00B02CD9" w:rsidRPr="001A466E">
        <w:rPr>
          <w:b/>
          <w:i/>
        </w:rPr>
        <w:t>Corte</w:t>
      </w:r>
      <w:r w:rsidR="00B02CD9" w:rsidRPr="009C67E5">
        <w:t xml:space="preserve"> r</w:t>
      </w:r>
      <w:r w:rsidR="002810C4">
        <w:t>eitera</w:t>
      </w:r>
      <w:r w:rsidR="00B02CD9" w:rsidRPr="009C67E5">
        <w:t xml:space="preserve"> que el artículo 2 de la Convención obliga a los Estados Partes a adoptar, con arreglo a sus procedimientos constitucionales y a las disposiciones de la Convención, las medidas legislativas o de otro carácter que fueren necesarias para hacer efectivos los derechos y libertades protegidos por la Convención</w:t>
      </w:r>
      <w:r w:rsidR="006817BA">
        <w:t xml:space="preserve"> (</w:t>
      </w:r>
      <w:r w:rsidR="006817BA" w:rsidRPr="006817BA">
        <w:rPr>
          <w:i/>
        </w:rPr>
        <w:t>supra</w:t>
      </w:r>
      <w:r w:rsidR="006817BA">
        <w:t xml:space="preserve"> párr. 142)</w:t>
      </w:r>
      <w:r w:rsidR="00B02CD9" w:rsidRPr="009C67E5">
        <w:t>.</w:t>
      </w:r>
      <w:r w:rsidR="00B02CD9" w:rsidRPr="0092295B">
        <w:t xml:space="preserve"> La Corte toma nota que</w:t>
      </w:r>
      <w:r w:rsidR="002A4782">
        <w:t>,</w:t>
      </w:r>
      <w:r w:rsidR="00B02CD9" w:rsidRPr="0092295B">
        <w:t xml:space="preserve"> en 2008</w:t>
      </w:r>
      <w:r w:rsidR="00FD3FB9">
        <w:t>, como lo señaló el</w:t>
      </w:r>
      <w:r w:rsidR="00B02CD9" w:rsidRPr="0092295B">
        <w:t xml:space="preserve"> Ecuador</w:t>
      </w:r>
      <w:r w:rsidR="00FD3FB9">
        <w:t>, se</w:t>
      </w:r>
      <w:r w:rsidR="00B02CD9" w:rsidRPr="0092295B">
        <w:t xml:space="preserve"> adoptó una nueva Constitución, mediante la cual derogó el fuero policial. </w:t>
      </w:r>
      <w:r w:rsidR="00A364DB" w:rsidRPr="0092295B">
        <w:t>Asimismo, l</w:t>
      </w:r>
      <w:r w:rsidR="00F17171" w:rsidRPr="0092295B">
        <w:t>a Corte nota que</w:t>
      </w:r>
      <w:r w:rsidR="002A4782">
        <w:t xml:space="preserve"> la</w:t>
      </w:r>
      <w:r w:rsidR="00F17171" w:rsidRPr="0092295B">
        <w:t xml:space="preserve"> regulación de la detención en firme establecida en el artículo </w:t>
      </w:r>
      <w:r w:rsidR="00FE72C2" w:rsidRPr="0092295B">
        <w:t>1</w:t>
      </w:r>
      <w:r w:rsidR="00F17171" w:rsidRPr="0092295B">
        <w:t xml:space="preserve">73-A del Código de Procedimiento Penal </w:t>
      </w:r>
      <w:r w:rsidR="00DB2DA0" w:rsidRPr="0092295B">
        <w:t xml:space="preserve">común </w:t>
      </w:r>
      <w:r w:rsidR="00F17171" w:rsidRPr="0092295B">
        <w:t xml:space="preserve">aplicado en el caso, al momento de la emisión de esta </w:t>
      </w:r>
      <w:r w:rsidR="002A4782">
        <w:t>S</w:t>
      </w:r>
      <w:r w:rsidR="00F17171" w:rsidRPr="0092295B">
        <w:t xml:space="preserve">entencia, no se encuentra </w:t>
      </w:r>
      <w:r w:rsidR="00EB2A21">
        <w:t>vigente</w:t>
      </w:r>
      <w:r w:rsidR="00DB2DA0" w:rsidRPr="0092295B">
        <w:t>.</w:t>
      </w:r>
      <w:r w:rsidR="00DB2DA0" w:rsidRPr="0092295B">
        <w:rPr>
          <w:szCs w:val="20"/>
          <w:lang w:val="es-MX"/>
        </w:rPr>
        <w:t xml:space="preserve"> </w:t>
      </w:r>
      <w:r w:rsidR="00361DB6" w:rsidRPr="0092295B">
        <w:t xml:space="preserve">Por lo tanto, </w:t>
      </w:r>
      <w:r w:rsidR="00823DC3" w:rsidRPr="0092295B">
        <w:t xml:space="preserve">este Tribunal </w:t>
      </w:r>
      <w:r w:rsidR="00361DB6" w:rsidRPr="0092295B">
        <w:t>considera que no corresponde</w:t>
      </w:r>
      <w:r w:rsidR="00A364DB" w:rsidRPr="0092295B">
        <w:t xml:space="preserve"> </w:t>
      </w:r>
      <w:r w:rsidR="00361DB6" w:rsidRPr="0092295B">
        <w:t>ordenar la adopción, mod</w:t>
      </w:r>
      <w:r w:rsidR="00204C95" w:rsidRPr="0092295B">
        <w:t xml:space="preserve">ificación o adecuación de </w:t>
      </w:r>
      <w:r w:rsidR="00361DB6" w:rsidRPr="0092295B">
        <w:t>normas del derecho interno ecuatoriano</w:t>
      </w:r>
      <w:r w:rsidR="00361DB6" w:rsidRPr="0092295B">
        <w:rPr>
          <w:rStyle w:val="Refdenotaalpie"/>
        </w:rPr>
        <w:footnoteReference w:id="155"/>
      </w:r>
      <w:r w:rsidR="00204C95" w:rsidRPr="0092295B">
        <w:t>.</w:t>
      </w:r>
    </w:p>
    <w:p w14:paraId="635F8A13" w14:textId="77777777" w:rsidR="005260B2" w:rsidRPr="0092295B" w:rsidRDefault="005260B2" w:rsidP="00276ECB">
      <w:pPr>
        <w:pStyle w:val="Prrafodelista"/>
        <w:ind w:left="0"/>
        <w:rPr>
          <w:b/>
          <w:szCs w:val="20"/>
          <w:lang w:val="es-MX"/>
        </w:rPr>
      </w:pPr>
    </w:p>
    <w:p w14:paraId="50FE6736" w14:textId="7E1663B7" w:rsidR="000D3067" w:rsidRPr="00CF60EF" w:rsidRDefault="00B02CD9" w:rsidP="00CF60EF">
      <w:pPr>
        <w:pStyle w:val="Prrafodelista"/>
        <w:numPr>
          <w:ilvl w:val="0"/>
          <w:numId w:val="29"/>
        </w:numPr>
        <w:spacing w:before="0" w:after="0"/>
        <w:ind w:left="0" w:firstLine="0"/>
        <w:rPr>
          <w:b/>
          <w:szCs w:val="20"/>
          <w:lang w:val="es-MX"/>
        </w:rPr>
      </w:pPr>
      <w:r w:rsidRPr="0092295B">
        <w:t>Tomando en cuenta lo anterior, la Corte estima que, en relación con las demás medidas de reparación s</w:t>
      </w:r>
      <w:r w:rsidR="00D874CE" w:rsidRPr="0092295B">
        <w:t>olicitadas por la Comisión y el representante</w:t>
      </w:r>
      <w:r w:rsidRPr="0092295B">
        <w:t xml:space="preserve">, la emisión de la presente Sentencia y las reparaciones ordenadas en este capítulo resultan suficientes y adecuadas para remediar las violaciones sufridas por las víctimas, por lo que no considera necesario ordenar dichas medidas. </w:t>
      </w:r>
    </w:p>
    <w:p w14:paraId="0AC9D9A5" w14:textId="16A5149B" w:rsidR="001E39A9" w:rsidRPr="00F911DC" w:rsidRDefault="000D3067" w:rsidP="00F911DC">
      <w:pPr>
        <w:pStyle w:val="Ttulo2"/>
        <w:numPr>
          <w:ilvl w:val="0"/>
          <w:numId w:val="34"/>
        </w:numPr>
        <w:rPr>
          <w:i w:val="0"/>
          <w:lang w:val="es-MX"/>
        </w:rPr>
      </w:pPr>
      <w:bookmarkStart w:id="149" w:name="_Toc87339042"/>
      <w:r w:rsidRPr="00F911DC">
        <w:rPr>
          <w:i w:val="0"/>
          <w:lang w:val="es-MX"/>
        </w:rPr>
        <w:t>Indemnización compensatoria</w:t>
      </w:r>
      <w:bookmarkEnd w:id="149"/>
      <w:r w:rsidR="00F02FA5" w:rsidRPr="00F911DC">
        <w:rPr>
          <w:i w:val="0"/>
          <w:lang w:val="es-MX"/>
        </w:rPr>
        <w:t xml:space="preserve"> </w:t>
      </w:r>
    </w:p>
    <w:p w14:paraId="7CAF4CFB" w14:textId="3F22C159" w:rsidR="00C76CC5" w:rsidRPr="0092295B" w:rsidRDefault="00C76CC5" w:rsidP="00276ECB">
      <w:pPr>
        <w:pStyle w:val="Prrafodelista"/>
        <w:numPr>
          <w:ilvl w:val="0"/>
          <w:numId w:val="29"/>
        </w:numPr>
        <w:spacing w:before="0" w:after="0"/>
        <w:ind w:left="0" w:firstLine="0"/>
        <w:rPr>
          <w:b/>
          <w:szCs w:val="20"/>
          <w:lang w:val="es-MX"/>
        </w:rPr>
      </w:pPr>
      <w:r w:rsidRPr="0092295B">
        <w:rPr>
          <w:szCs w:val="20"/>
        </w:rPr>
        <w:t xml:space="preserve">La </w:t>
      </w:r>
      <w:r w:rsidRPr="0092295B">
        <w:rPr>
          <w:b/>
          <w:i/>
          <w:szCs w:val="20"/>
        </w:rPr>
        <w:t>Comisión</w:t>
      </w:r>
      <w:r w:rsidRPr="0092295B">
        <w:rPr>
          <w:szCs w:val="20"/>
        </w:rPr>
        <w:t xml:space="preserve"> </w:t>
      </w:r>
      <w:r w:rsidR="001E39A9" w:rsidRPr="0092295B">
        <w:rPr>
          <w:szCs w:val="20"/>
        </w:rPr>
        <w:t xml:space="preserve">solicitó reparar integralmente a cada una de las víctimas a través de medidas de compensación y satisfacción, que incluyan el daño material e inmaterial ocasionado a las víctimas como consecuencia las violaciones declaradas en el </w:t>
      </w:r>
      <w:r w:rsidR="0038466C" w:rsidRPr="0092295B">
        <w:rPr>
          <w:szCs w:val="20"/>
        </w:rPr>
        <w:t>I</w:t>
      </w:r>
      <w:r w:rsidR="001E39A9" w:rsidRPr="0092295B">
        <w:rPr>
          <w:szCs w:val="20"/>
        </w:rPr>
        <w:t>nforme</w:t>
      </w:r>
      <w:r w:rsidR="0038466C" w:rsidRPr="0092295B">
        <w:rPr>
          <w:szCs w:val="20"/>
        </w:rPr>
        <w:t xml:space="preserve"> de Fondo</w:t>
      </w:r>
      <w:r w:rsidR="001E39A9" w:rsidRPr="0092295B">
        <w:rPr>
          <w:szCs w:val="20"/>
        </w:rPr>
        <w:t>.</w:t>
      </w:r>
    </w:p>
    <w:p w14:paraId="6C29224E" w14:textId="77777777" w:rsidR="001E39A9" w:rsidRPr="0092295B" w:rsidRDefault="001E39A9" w:rsidP="00276ECB">
      <w:pPr>
        <w:pStyle w:val="Prrafodelista"/>
        <w:autoSpaceDE w:val="0"/>
        <w:autoSpaceDN w:val="0"/>
        <w:adjustRightInd w:val="0"/>
        <w:spacing w:before="0" w:after="0"/>
        <w:ind w:left="0"/>
        <w:rPr>
          <w:b/>
          <w:szCs w:val="20"/>
          <w:lang w:val="es-MX"/>
        </w:rPr>
      </w:pPr>
    </w:p>
    <w:p w14:paraId="44B92C3A" w14:textId="6D5DE1C7" w:rsidR="001E39A9" w:rsidRPr="00D34D25" w:rsidRDefault="001E39A9" w:rsidP="00D34D25">
      <w:pPr>
        <w:pStyle w:val="Prrafodelista"/>
        <w:numPr>
          <w:ilvl w:val="0"/>
          <w:numId w:val="29"/>
        </w:numPr>
        <w:spacing w:before="0"/>
        <w:ind w:left="0" w:firstLine="0"/>
        <w:rPr>
          <w:b/>
          <w:szCs w:val="20"/>
          <w:lang w:val="es-MX"/>
        </w:rPr>
      </w:pPr>
      <w:r w:rsidRPr="0092295B">
        <w:rPr>
          <w:szCs w:val="20"/>
          <w:lang w:val="es-MX"/>
        </w:rPr>
        <w:t>El</w:t>
      </w:r>
      <w:r w:rsidR="000D3067" w:rsidRPr="0092295B">
        <w:rPr>
          <w:szCs w:val="20"/>
          <w:lang w:val="es-MX"/>
        </w:rPr>
        <w:t xml:space="preserve"> </w:t>
      </w:r>
      <w:r w:rsidR="000D3067" w:rsidRPr="0092295B">
        <w:rPr>
          <w:b/>
          <w:i/>
          <w:szCs w:val="20"/>
          <w:lang w:val="es-MX"/>
        </w:rPr>
        <w:t>representante</w:t>
      </w:r>
      <w:r w:rsidRPr="0092295B">
        <w:rPr>
          <w:b/>
          <w:i/>
          <w:szCs w:val="20"/>
          <w:lang w:val="es-MX"/>
        </w:rPr>
        <w:t xml:space="preserve"> </w:t>
      </w:r>
      <w:r w:rsidRPr="0092295B">
        <w:rPr>
          <w:bCs/>
          <w:iCs/>
          <w:szCs w:val="20"/>
          <w:lang w:val="es-MX"/>
        </w:rPr>
        <w:t>al referirse a la indemnización compensatoria señaló</w:t>
      </w:r>
      <w:r w:rsidR="00201BEF" w:rsidRPr="0092295B">
        <w:rPr>
          <w:bCs/>
          <w:iCs/>
          <w:szCs w:val="20"/>
          <w:lang w:val="es-MX"/>
        </w:rPr>
        <w:t>, respecto a cada una de las víctimas</w:t>
      </w:r>
      <w:r w:rsidR="00407FD3" w:rsidRPr="0092295B">
        <w:rPr>
          <w:bCs/>
          <w:iCs/>
          <w:szCs w:val="20"/>
          <w:lang w:val="es-MX"/>
        </w:rPr>
        <w:t>,</w:t>
      </w:r>
      <w:r w:rsidRPr="0092295B">
        <w:rPr>
          <w:bCs/>
          <w:iCs/>
          <w:szCs w:val="20"/>
          <w:lang w:val="es-MX"/>
        </w:rPr>
        <w:t xml:space="preserve"> lo siguiente</w:t>
      </w:r>
      <w:r w:rsidR="00D27326" w:rsidRPr="0092295B">
        <w:rPr>
          <w:szCs w:val="20"/>
        </w:rPr>
        <w:t>:</w:t>
      </w:r>
    </w:p>
    <w:p w14:paraId="45AB8C46" w14:textId="24464344" w:rsidR="00D34D25" w:rsidRPr="00CF60EF" w:rsidRDefault="00D34D25" w:rsidP="00D34D25">
      <w:pPr>
        <w:pStyle w:val="Prrafodelista"/>
        <w:spacing w:before="0" w:after="0"/>
        <w:ind w:left="0"/>
        <w:rPr>
          <w:b/>
          <w:szCs w:val="20"/>
          <w:lang w:val="es-MX"/>
        </w:rPr>
      </w:pPr>
    </w:p>
    <w:p w14:paraId="07CDC636" w14:textId="695EEC50" w:rsidR="00D34D25" w:rsidRDefault="001E39A9" w:rsidP="00D34D25">
      <w:pPr>
        <w:pStyle w:val="Prrafodelista"/>
        <w:numPr>
          <w:ilvl w:val="0"/>
          <w:numId w:val="38"/>
        </w:numPr>
        <w:spacing w:before="0" w:after="0"/>
        <w:rPr>
          <w:i/>
          <w:lang w:val="es-ES"/>
        </w:rPr>
      </w:pPr>
      <w:r w:rsidRPr="00D34D25">
        <w:rPr>
          <w:i/>
          <w:lang w:val="es-ES"/>
        </w:rPr>
        <w:t xml:space="preserve">Jorge </w:t>
      </w:r>
      <w:r w:rsidR="00D27326" w:rsidRPr="00D34D25">
        <w:rPr>
          <w:i/>
          <w:lang w:val="es-ES"/>
        </w:rPr>
        <w:t xml:space="preserve">Humberto </w:t>
      </w:r>
      <w:r w:rsidRPr="00D34D25">
        <w:rPr>
          <w:i/>
          <w:lang w:val="es-ES"/>
        </w:rPr>
        <w:t>Villar</w:t>
      </w:r>
      <w:r w:rsidR="00D34D25" w:rsidRPr="00D34D25">
        <w:rPr>
          <w:i/>
          <w:lang w:val="es-ES"/>
        </w:rPr>
        <w:t>roel Merino</w:t>
      </w:r>
    </w:p>
    <w:p w14:paraId="799CAD46" w14:textId="77777777" w:rsidR="00D34D25" w:rsidRPr="00D34D25" w:rsidRDefault="00D34D25" w:rsidP="00D34D25">
      <w:pPr>
        <w:spacing w:before="0" w:after="0"/>
        <w:rPr>
          <w:i/>
          <w:lang w:val="es-ES"/>
        </w:rPr>
      </w:pPr>
    </w:p>
    <w:p w14:paraId="110E46E4" w14:textId="3112BEB7" w:rsidR="00201BEF" w:rsidRPr="00D34D25" w:rsidRDefault="001E39A9" w:rsidP="00D34D25">
      <w:pPr>
        <w:pStyle w:val="Prrafodelista"/>
        <w:numPr>
          <w:ilvl w:val="0"/>
          <w:numId w:val="29"/>
        </w:numPr>
        <w:spacing w:before="0" w:after="0"/>
        <w:ind w:left="0" w:firstLine="0"/>
        <w:rPr>
          <w:szCs w:val="20"/>
          <w:lang w:val="es-ES"/>
        </w:rPr>
      </w:pPr>
      <w:r w:rsidRPr="0092295B">
        <w:rPr>
          <w:szCs w:val="20"/>
          <w:lang w:val="es-ES"/>
        </w:rPr>
        <w:t xml:space="preserve">Con respecto al señor Villarroel Merino se alegó </w:t>
      </w:r>
      <w:r w:rsidR="0038466C" w:rsidRPr="0092295B">
        <w:rPr>
          <w:szCs w:val="20"/>
          <w:lang w:val="es-ES"/>
        </w:rPr>
        <w:t>que</w:t>
      </w:r>
      <w:r w:rsidRPr="0092295B">
        <w:rPr>
          <w:szCs w:val="20"/>
          <w:lang w:val="es-ES"/>
        </w:rPr>
        <w:t xml:space="preserve"> </w:t>
      </w:r>
      <w:r w:rsidR="00794818" w:rsidRPr="0092295B">
        <w:rPr>
          <w:szCs w:val="20"/>
          <w:lang w:val="es-ES"/>
        </w:rPr>
        <w:t>e</w:t>
      </w:r>
      <w:r w:rsidRPr="0092295B">
        <w:rPr>
          <w:szCs w:val="20"/>
          <w:lang w:val="es-ES"/>
        </w:rPr>
        <w:t>sta situación le produjo un incuantificable daño moral y psicológico que afectó su proyecto de vida</w:t>
      </w:r>
      <w:r w:rsidR="0038466C" w:rsidRPr="0092295B">
        <w:rPr>
          <w:szCs w:val="20"/>
          <w:lang w:val="es-ES"/>
        </w:rPr>
        <w:t>,</w:t>
      </w:r>
      <w:r w:rsidRPr="0092295B">
        <w:rPr>
          <w:szCs w:val="20"/>
          <w:lang w:val="es-ES"/>
        </w:rPr>
        <w:t xml:space="preserve"> dada su trayectoria institucional, académica y carrera profesional que públicamente fue reconocida</w:t>
      </w:r>
      <w:r w:rsidR="008977F5" w:rsidRPr="0092295B">
        <w:rPr>
          <w:szCs w:val="20"/>
          <w:lang w:val="es-ES"/>
        </w:rPr>
        <w:t>, por lo que respecto al daño inmaterial indicó que “lo dej[a] al equitativo criterio” de la Corte</w:t>
      </w:r>
      <w:r w:rsidR="008977F5" w:rsidRPr="0092295B">
        <w:rPr>
          <w:rStyle w:val="Refdenotaalpie"/>
          <w:lang w:val="es-ES"/>
        </w:rPr>
        <w:footnoteReference w:id="156"/>
      </w:r>
      <w:r w:rsidR="008977F5" w:rsidRPr="0092295B">
        <w:rPr>
          <w:szCs w:val="20"/>
          <w:lang w:val="es-ES"/>
        </w:rPr>
        <w:t xml:space="preserve">. En cuanto al </w:t>
      </w:r>
      <w:r w:rsidR="00B80C50" w:rsidRPr="0092295B">
        <w:rPr>
          <w:szCs w:val="20"/>
          <w:lang w:val="es-ES"/>
        </w:rPr>
        <w:t>daño material solicitó una justa compensación por la suma de USD $800</w:t>
      </w:r>
      <w:r w:rsidR="00770E8E">
        <w:rPr>
          <w:szCs w:val="20"/>
          <w:lang w:val="es-ES"/>
        </w:rPr>
        <w:t>,</w:t>
      </w:r>
      <w:r w:rsidR="00B80C50" w:rsidRPr="0092295B">
        <w:rPr>
          <w:szCs w:val="20"/>
          <w:lang w:val="es-ES"/>
        </w:rPr>
        <w:t>000</w:t>
      </w:r>
      <w:r w:rsidR="00770E8E">
        <w:rPr>
          <w:szCs w:val="20"/>
          <w:lang w:val="es-ES"/>
        </w:rPr>
        <w:t>.</w:t>
      </w:r>
      <w:r w:rsidR="00B80C50" w:rsidRPr="0092295B">
        <w:rPr>
          <w:szCs w:val="20"/>
          <w:lang w:val="es-ES"/>
        </w:rPr>
        <w:t>00 (ochocientos mil dólares de los Estados Unidos de América) por concepto de lucro cesante</w:t>
      </w:r>
      <w:r w:rsidR="0092295B">
        <w:rPr>
          <w:szCs w:val="20"/>
          <w:lang w:val="es-ES"/>
        </w:rPr>
        <w:t>.</w:t>
      </w:r>
      <w:r w:rsidR="00B80C50" w:rsidRPr="0092295B">
        <w:rPr>
          <w:szCs w:val="20"/>
          <w:lang w:val="es-ES"/>
        </w:rPr>
        <w:t xml:space="preserve"> </w:t>
      </w:r>
    </w:p>
    <w:p w14:paraId="2D0E0C19" w14:textId="77777777" w:rsidR="00D34D25" w:rsidRPr="00D34D25" w:rsidRDefault="00D34D25" w:rsidP="00D34D25">
      <w:pPr>
        <w:pStyle w:val="Prrafodelista"/>
        <w:spacing w:before="0" w:after="0"/>
        <w:ind w:left="0"/>
        <w:rPr>
          <w:szCs w:val="20"/>
          <w:lang w:val="es-ES"/>
        </w:rPr>
      </w:pPr>
    </w:p>
    <w:p w14:paraId="219EBCE9" w14:textId="2150D6DA" w:rsidR="002332BC" w:rsidRDefault="00D27326" w:rsidP="00D34D25">
      <w:pPr>
        <w:pStyle w:val="Prrafodelista"/>
        <w:numPr>
          <w:ilvl w:val="0"/>
          <w:numId w:val="7"/>
        </w:numPr>
        <w:ind w:left="1701"/>
        <w:rPr>
          <w:i/>
          <w:lang w:val="es-ES"/>
        </w:rPr>
      </w:pPr>
      <w:r w:rsidRPr="00D34D25">
        <w:rPr>
          <w:i/>
          <w:lang w:val="es-ES"/>
        </w:rPr>
        <w:t>Mario Ro</w:t>
      </w:r>
      <w:r w:rsidR="003C541C" w:rsidRPr="00D34D25">
        <w:rPr>
          <w:i/>
          <w:lang w:val="es-ES"/>
        </w:rPr>
        <w:t>mel Cev</w:t>
      </w:r>
      <w:r w:rsidR="001E39A9" w:rsidRPr="00D34D25">
        <w:rPr>
          <w:i/>
          <w:lang w:val="es-ES"/>
        </w:rPr>
        <w:t>allos Moreno</w:t>
      </w:r>
    </w:p>
    <w:p w14:paraId="354F3673" w14:textId="77777777" w:rsidR="00D34D25" w:rsidRPr="00D34D25" w:rsidRDefault="00D34D25" w:rsidP="00D34D25">
      <w:pPr>
        <w:pStyle w:val="Prrafodelista"/>
        <w:ind w:left="1701"/>
        <w:rPr>
          <w:i/>
          <w:lang w:val="es-ES"/>
        </w:rPr>
      </w:pPr>
    </w:p>
    <w:p w14:paraId="770DCDF2" w14:textId="2AC794D7" w:rsidR="00D90920" w:rsidRPr="00870EAA" w:rsidRDefault="00E6189D" w:rsidP="00D90920">
      <w:pPr>
        <w:pStyle w:val="Prrafodelista"/>
        <w:numPr>
          <w:ilvl w:val="0"/>
          <w:numId w:val="29"/>
        </w:numPr>
        <w:spacing w:before="0" w:after="0"/>
        <w:ind w:left="0" w:firstLine="0"/>
        <w:rPr>
          <w:szCs w:val="20"/>
          <w:lang w:val="es-ES"/>
        </w:rPr>
      </w:pPr>
      <w:r w:rsidRPr="0092295B">
        <w:rPr>
          <w:szCs w:val="20"/>
          <w:lang w:val="es-ES"/>
        </w:rPr>
        <w:t>Con respecto al seño</w:t>
      </w:r>
      <w:r w:rsidR="003C541C" w:rsidRPr="0092295B">
        <w:rPr>
          <w:szCs w:val="20"/>
          <w:lang w:val="es-ES"/>
        </w:rPr>
        <w:t>r Cev</w:t>
      </w:r>
      <w:r w:rsidRPr="0092295B">
        <w:rPr>
          <w:szCs w:val="20"/>
          <w:lang w:val="es-ES"/>
        </w:rPr>
        <w:t>allos Moreno, solicitó la suma de USD $400</w:t>
      </w:r>
      <w:r w:rsidR="00770E8E">
        <w:rPr>
          <w:szCs w:val="20"/>
          <w:lang w:val="es-ES"/>
        </w:rPr>
        <w:t>,</w:t>
      </w:r>
      <w:r w:rsidRPr="0092295B">
        <w:rPr>
          <w:szCs w:val="20"/>
          <w:lang w:val="es-ES"/>
        </w:rPr>
        <w:t>000</w:t>
      </w:r>
      <w:r w:rsidR="00770E8E">
        <w:rPr>
          <w:szCs w:val="20"/>
          <w:lang w:val="es-ES"/>
        </w:rPr>
        <w:t>.</w:t>
      </w:r>
      <w:r w:rsidRPr="0092295B">
        <w:rPr>
          <w:szCs w:val="20"/>
          <w:lang w:val="es-ES"/>
        </w:rPr>
        <w:t>00 (cuatrocientos mil dólares de los Estados Unidos de América) por concepto de daño material. Además, por el daño moral</w:t>
      </w:r>
      <w:r w:rsidR="00177BCB">
        <w:rPr>
          <w:szCs w:val="20"/>
          <w:lang w:val="es-ES"/>
        </w:rPr>
        <w:t xml:space="preserve"> y otras </w:t>
      </w:r>
      <w:r w:rsidRPr="0092295B">
        <w:rPr>
          <w:szCs w:val="20"/>
          <w:lang w:val="es-ES"/>
        </w:rPr>
        <w:t>afectaciones</w:t>
      </w:r>
      <w:r w:rsidR="00177BCB" w:rsidRPr="0092295B">
        <w:rPr>
          <w:rStyle w:val="Refdenotaalpie"/>
          <w:lang w:val="es-ES"/>
        </w:rPr>
        <w:footnoteReference w:id="157"/>
      </w:r>
      <w:r w:rsidRPr="0092295B">
        <w:rPr>
          <w:szCs w:val="20"/>
          <w:lang w:val="es-ES"/>
        </w:rPr>
        <w:t xml:space="preserve"> solicitó la suma USD$800</w:t>
      </w:r>
      <w:r w:rsidR="00770E8E">
        <w:rPr>
          <w:szCs w:val="20"/>
          <w:lang w:val="es-ES"/>
        </w:rPr>
        <w:t>,</w:t>
      </w:r>
      <w:r w:rsidRPr="0092295B">
        <w:rPr>
          <w:szCs w:val="20"/>
          <w:lang w:val="es-ES"/>
        </w:rPr>
        <w:t>000</w:t>
      </w:r>
      <w:r w:rsidR="00770E8E">
        <w:rPr>
          <w:szCs w:val="20"/>
          <w:lang w:val="es-ES"/>
        </w:rPr>
        <w:t>.</w:t>
      </w:r>
      <w:r w:rsidRPr="0092295B">
        <w:rPr>
          <w:szCs w:val="20"/>
          <w:lang w:val="es-ES"/>
        </w:rPr>
        <w:t xml:space="preserve">00 (ochocientos mil dólares de los Estados Unidos de América). </w:t>
      </w:r>
    </w:p>
    <w:p w14:paraId="1836ADAC" w14:textId="77777777" w:rsidR="00870EAA" w:rsidRPr="00CF60EF" w:rsidRDefault="00870EAA" w:rsidP="00870EAA">
      <w:pPr>
        <w:pStyle w:val="Prrafodelista"/>
        <w:spacing w:before="0" w:after="0"/>
        <w:ind w:left="0"/>
        <w:rPr>
          <w:szCs w:val="20"/>
          <w:lang w:val="es-ES"/>
        </w:rPr>
      </w:pPr>
    </w:p>
    <w:p w14:paraId="71D1DE64" w14:textId="1C6BA54E" w:rsidR="001E39A9" w:rsidRPr="00870EAA" w:rsidRDefault="001E39A9" w:rsidP="00870EAA">
      <w:pPr>
        <w:pStyle w:val="Prrafodelista"/>
        <w:numPr>
          <w:ilvl w:val="0"/>
          <w:numId w:val="7"/>
        </w:numPr>
        <w:ind w:left="1701"/>
        <w:rPr>
          <w:i/>
          <w:lang w:val="pt-BR"/>
        </w:rPr>
      </w:pPr>
      <w:r w:rsidRPr="00870EAA">
        <w:rPr>
          <w:i/>
          <w:lang w:val="pt-BR"/>
        </w:rPr>
        <w:t xml:space="preserve">Fernando </w:t>
      </w:r>
      <w:r w:rsidR="00D27326" w:rsidRPr="00870EAA">
        <w:rPr>
          <w:i/>
          <w:lang w:val="pt-BR"/>
        </w:rPr>
        <w:t xml:space="preserve">Marcelo </w:t>
      </w:r>
      <w:r w:rsidRPr="00870EAA">
        <w:rPr>
          <w:i/>
          <w:lang w:val="pt-BR"/>
        </w:rPr>
        <w:t>López Ortiz</w:t>
      </w:r>
    </w:p>
    <w:p w14:paraId="554E2B9F" w14:textId="77777777" w:rsidR="00870EAA" w:rsidRPr="00870EAA" w:rsidRDefault="00870EAA" w:rsidP="00870EAA">
      <w:pPr>
        <w:pStyle w:val="Prrafodelista"/>
        <w:rPr>
          <w:lang w:val="pt-BR"/>
        </w:rPr>
      </w:pPr>
    </w:p>
    <w:p w14:paraId="55EC8F47" w14:textId="5721AB3B" w:rsidR="00A90518" w:rsidRPr="00AF011A" w:rsidRDefault="001E39A9" w:rsidP="00A90518">
      <w:pPr>
        <w:pStyle w:val="Prrafodelista"/>
        <w:numPr>
          <w:ilvl w:val="0"/>
          <w:numId w:val="29"/>
        </w:numPr>
        <w:spacing w:before="0" w:after="0"/>
        <w:ind w:left="0" w:firstLine="0"/>
        <w:rPr>
          <w:sz w:val="16"/>
          <w:szCs w:val="16"/>
          <w:lang w:val="es-ES"/>
        </w:rPr>
      </w:pPr>
      <w:r w:rsidRPr="00EB2A21">
        <w:rPr>
          <w:szCs w:val="20"/>
          <w:lang w:val="es-ES"/>
        </w:rPr>
        <w:t>Con respecto al señor López Ortiz</w:t>
      </w:r>
      <w:r w:rsidR="00E6189D" w:rsidRPr="00EB2A21">
        <w:rPr>
          <w:szCs w:val="20"/>
          <w:lang w:val="es-ES"/>
        </w:rPr>
        <w:t>,</w:t>
      </w:r>
      <w:r w:rsidRPr="00EB2A21">
        <w:rPr>
          <w:szCs w:val="20"/>
          <w:lang w:val="es-ES"/>
        </w:rPr>
        <w:t xml:space="preserve"> </w:t>
      </w:r>
      <w:r w:rsidRPr="006C484B">
        <w:rPr>
          <w:szCs w:val="20"/>
          <w:lang w:val="es-ES"/>
        </w:rPr>
        <w:t>en consideración de los derechos conculcados solici</w:t>
      </w:r>
      <w:r w:rsidR="006C484B" w:rsidRPr="006C484B">
        <w:rPr>
          <w:szCs w:val="20"/>
          <w:lang w:val="es-ES"/>
        </w:rPr>
        <w:t>tó</w:t>
      </w:r>
      <w:r w:rsidR="006C484B">
        <w:rPr>
          <w:szCs w:val="20"/>
          <w:lang w:val="es-ES"/>
        </w:rPr>
        <w:t xml:space="preserve"> una suma que no puede ser menor a un</w:t>
      </w:r>
      <w:r w:rsidRPr="00EB2A21">
        <w:rPr>
          <w:szCs w:val="20"/>
          <w:lang w:val="es-ES"/>
        </w:rPr>
        <w:t xml:space="preserve"> USD$1</w:t>
      </w:r>
      <w:r w:rsidR="00770E8E">
        <w:rPr>
          <w:szCs w:val="20"/>
          <w:lang w:val="es-ES"/>
        </w:rPr>
        <w:t>,</w:t>
      </w:r>
      <w:r w:rsidRPr="00EB2A21">
        <w:rPr>
          <w:szCs w:val="20"/>
          <w:lang w:val="es-ES"/>
        </w:rPr>
        <w:t>000.000</w:t>
      </w:r>
      <w:r w:rsidR="00770E8E">
        <w:rPr>
          <w:szCs w:val="20"/>
          <w:lang w:val="es-ES"/>
        </w:rPr>
        <w:t>.</w:t>
      </w:r>
      <w:r w:rsidRPr="00EB2A21">
        <w:rPr>
          <w:szCs w:val="20"/>
          <w:lang w:val="es-ES"/>
        </w:rPr>
        <w:t>00 (un millón de dólares de los Estados Unidos de América) por concepto de reparación integral</w:t>
      </w:r>
      <w:r w:rsidR="00794818" w:rsidRPr="0092295B">
        <w:rPr>
          <w:rStyle w:val="Refdenotaalpie"/>
          <w:lang w:val="es-ES"/>
        </w:rPr>
        <w:footnoteReference w:id="158"/>
      </w:r>
      <w:r w:rsidR="00034B80" w:rsidRPr="00EB2A21">
        <w:rPr>
          <w:szCs w:val="20"/>
          <w:lang w:val="es-ES"/>
        </w:rPr>
        <w:t>.</w:t>
      </w:r>
      <w:r w:rsidRPr="00EB2A21">
        <w:rPr>
          <w:szCs w:val="20"/>
          <w:lang w:val="es-ES"/>
        </w:rPr>
        <w:t xml:space="preserve"> </w:t>
      </w:r>
    </w:p>
    <w:p w14:paraId="40D5CD34" w14:textId="77777777" w:rsidR="00870EAA" w:rsidRPr="00EB2A21" w:rsidRDefault="00870EAA">
      <w:pPr>
        <w:pStyle w:val="Prrafodelista"/>
        <w:spacing w:before="0" w:after="0"/>
        <w:ind w:left="0"/>
        <w:rPr>
          <w:sz w:val="16"/>
          <w:szCs w:val="16"/>
          <w:lang w:val="es-ES"/>
        </w:rPr>
      </w:pPr>
    </w:p>
    <w:p w14:paraId="5C93838C" w14:textId="3B8043AA" w:rsidR="001E39A9" w:rsidRPr="00870EAA" w:rsidRDefault="001E39A9" w:rsidP="00870EAA">
      <w:pPr>
        <w:pStyle w:val="Prrafodelista"/>
        <w:numPr>
          <w:ilvl w:val="0"/>
          <w:numId w:val="7"/>
        </w:numPr>
        <w:ind w:left="1701"/>
        <w:rPr>
          <w:i/>
          <w:lang w:val="es-ES"/>
        </w:rPr>
      </w:pPr>
      <w:r w:rsidRPr="00870EAA">
        <w:rPr>
          <w:i/>
          <w:lang w:val="es-ES"/>
        </w:rPr>
        <w:t xml:space="preserve">Jorge </w:t>
      </w:r>
      <w:r w:rsidR="00D27326" w:rsidRPr="00870EAA">
        <w:rPr>
          <w:i/>
          <w:lang w:val="es-ES"/>
        </w:rPr>
        <w:t xml:space="preserve">Enrique </w:t>
      </w:r>
      <w:r w:rsidRPr="00870EAA">
        <w:rPr>
          <w:i/>
          <w:lang w:val="es-ES"/>
        </w:rPr>
        <w:t>Coloma Ga</w:t>
      </w:r>
      <w:r w:rsidR="004443E2" w:rsidRPr="00870EAA">
        <w:rPr>
          <w:i/>
          <w:lang w:val="es-ES"/>
        </w:rPr>
        <w:t>i</w:t>
      </w:r>
      <w:r w:rsidRPr="00870EAA">
        <w:rPr>
          <w:i/>
          <w:lang w:val="es-ES"/>
        </w:rPr>
        <w:t>bor</w:t>
      </w:r>
    </w:p>
    <w:p w14:paraId="42B0A8F3" w14:textId="77777777" w:rsidR="00870EAA" w:rsidRPr="00870EAA" w:rsidRDefault="00870EAA" w:rsidP="00870EAA">
      <w:pPr>
        <w:pStyle w:val="Prrafodelista"/>
        <w:rPr>
          <w:lang w:val="es-ES"/>
        </w:rPr>
      </w:pPr>
    </w:p>
    <w:p w14:paraId="51E832E3" w14:textId="592562A9" w:rsidR="001E39A9" w:rsidRPr="00870EAA" w:rsidRDefault="00E6189D" w:rsidP="00CF60EF">
      <w:pPr>
        <w:pStyle w:val="Prrafodelista"/>
        <w:numPr>
          <w:ilvl w:val="0"/>
          <w:numId w:val="29"/>
        </w:numPr>
        <w:spacing w:before="0" w:after="0"/>
        <w:ind w:left="0" w:firstLine="0"/>
        <w:rPr>
          <w:szCs w:val="20"/>
          <w:lang w:val="es-ES"/>
        </w:rPr>
      </w:pPr>
      <w:r w:rsidRPr="0092295B">
        <w:rPr>
          <w:szCs w:val="20"/>
          <w:lang w:val="es-ES"/>
        </w:rPr>
        <w:t>Con respecto al señor Coloma Gaibor,</w:t>
      </w:r>
      <w:r w:rsidR="00DC3410" w:rsidRPr="0092295B">
        <w:rPr>
          <w:szCs w:val="20"/>
          <w:lang w:val="es-ES"/>
        </w:rPr>
        <w:t xml:space="preserve"> </w:t>
      </w:r>
      <w:r w:rsidR="00DC3410" w:rsidRPr="005D2D72">
        <w:rPr>
          <w:szCs w:val="20"/>
          <w:lang w:val="es-ES"/>
        </w:rPr>
        <w:t xml:space="preserve">solicitó la suma USD$30.000,00 (treinta mil dólares de los Estados Unidos de América) por concepto de daño emergente, correspondientes al valor de un inmueble que enajenó para cubrir los gastos para </w:t>
      </w:r>
      <w:r w:rsidR="00DC3410" w:rsidRPr="00E6684E">
        <w:rPr>
          <w:szCs w:val="20"/>
          <w:lang w:val="es-ES"/>
        </w:rPr>
        <w:t>afrontar el juicio y su detención,</w:t>
      </w:r>
      <w:r w:rsidR="00DC3410" w:rsidRPr="0092295B">
        <w:rPr>
          <w:szCs w:val="20"/>
          <w:lang w:val="es-ES"/>
        </w:rPr>
        <w:t xml:space="preserve"> y la suma de USD</w:t>
      </w:r>
      <w:r w:rsidRPr="0092295B">
        <w:rPr>
          <w:szCs w:val="20"/>
          <w:lang w:val="es-ES"/>
        </w:rPr>
        <w:t>$300.000,00 (trescientos mil dólares de</w:t>
      </w:r>
      <w:r w:rsidR="00DC3410" w:rsidRPr="0092295B">
        <w:rPr>
          <w:szCs w:val="20"/>
          <w:lang w:val="es-ES"/>
        </w:rPr>
        <w:t xml:space="preserve"> los Estados Unidos de América) por concepto de lucro cesante. </w:t>
      </w:r>
      <w:r w:rsidRPr="0092295B">
        <w:rPr>
          <w:szCs w:val="20"/>
          <w:lang w:val="es-ES"/>
        </w:rPr>
        <w:t>Además, solicitó la suma USD$950.000,00 (novecientos cincuenta mil dólares de los Estados Unidos de América) por concepto de daño material e inmaterial</w:t>
      </w:r>
      <w:r w:rsidRPr="0092295B">
        <w:rPr>
          <w:rStyle w:val="Refdenotaalpie"/>
          <w:lang w:val="es-ES"/>
        </w:rPr>
        <w:footnoteReference w:id="159"/>
      </w:r>
      <w:r w:rsidRPr="0092295B">
        <w:rPr>
          <w:szCs w:val="20"/>
          <w:lang w:val="es-ES"/>
        </w:rPr>
        <w:t xml:space="preserve">. </w:t>
      </w:r>
    </w:p>
    <w:p w14:paraId="46A5D8EE" w14:textId="77777777" w:rsidR="00870EAA" w:rsidRPr="00CF60EF" w:rsidRDefault="00870EAA" w:rsidP="00870EAA">
      <w:pPr>
        <w:pStyle w:val="Prrafodelista"/>
        <w:spacing w:before="0" w:after="0"/>
        <w:ind w:left="0"/>
        <w:rPr>
          <w:szCs w:val="20"/>
          <w:lang w:val="es-ES"/>
        </w:rPr>
      </w:pPr>
    </w:p>
    <w:p w14:paraId="7A6EE874" w14:textId="2208D1C8" w:rsidR="001E39A9" w:rsidRDefault="00D27326" w:rsidP="00870EAA">
      <w:pPr>
        <w:pStyle w:val="Prrafodelista"/>
        <w:numPr>
          <w:ilvl w:val="0"/>
          <w:numId w:val="7"/>
        </w:numPr>
        <w:ind w:left="1701"/>
        <w:rPr>
          <w:i/>
          <w:lang w:val="es-ES"/>
        </w:rPr>
      </w:pPr>
      <w:r w:rsidRPr="00870EAA">
        <w:rPr>
          <w:i/>
          <w:lang w:val="es-ES"/>
        </w:rPr>
        <w:t xml:space="preserve">Leoncio </w:t>
      </w:r>
      <w:r w:rsidR="003723B8" w:rsidRPr="00870EAA">
        <w:rPr>
          <w:i/>
          <w:lang w:val="es-ES"/>
        </w:rPr>
        <w:t>A</w:t>
      </w:r>
      <w:r w:rsidR="003C541C" w:rsidRPr="00870EAA">
        <w:rPr>
          <w:i/>
          <w:lang w:val="es-ES"/>
        </w:rPr>
        <w:t>mí</w:t>
      </w:r>
      <w:r w:rsidR="003723B8" w:rsidRPr="00870EAA">
        <w:rPr>
          <w:i/>
          <w:lang w:val="es-ES"/>
        </w:rPr>
        <w:t>l</w:t>
      </w:r>
      <w:r w:rsidR="003C541C" w:rsidRPr="00870EAA">
        <w:rPr>
          <w:i/>
          <w:lang w:val="es-ES"/>
        </w:rPr>
        <w:t>car Ascá</w:t>
      </w:r>
      <w:r w:rsidR="001E39A9" w:rsidRPr="00870EAA">
        <w:rPr>
          <w:i/>
          <w:lang w:val="es-ES"/>
        </w:rPr>
        <w:t xml:space="preserve">zubi Albán </w:t>
      </w:r>
    </w:p>
    <w:p w14:paraId="4764A558" w14:textId="77777777" w:rsidR="00870EAA" w:rsidRPr="00870EAA" w:rsidRDefault="00870EAA" w:rsidP="00870EAA">
      <w:pPr>
        <w:pStyle w:val="Prrafodelista"/>
        <w:rPr>
          <w:i/>
          <w:lang w:val="es-ES"/>
        </w:rPr>
      </w:pPr>
    </w:p>
    <w:p w14:paraId="734DE205" w14:textId="47677C02" w:rsidR="008A3FAF" w:rsidRPr="00870EAA" w:rsidRDefault="003C541C" w:rsidP="0092295B">
      <w:pPr>
        <w:pStyle w:val="Prrafodelista"/>
        <w:numPr>
          <w:ilvl w:val="0"/>
          <w:numId w:val="29"/>
        </w:numPr>
        <w:spacing w:before="0" w:after="0"/>
        <w:ind w:left="0" w:firstLine="0"/>
        <w:rPr>
          <w:szCs w:val="20"/>
          <w:lang w:val="es-ES"/>
        </w:rPr>
      </w:pPr>
      <w:r w:rsidRPr="0092295B">
        <w:rPr>
          <w:szCs w:val="20"/>
          <w:lang w:val="es-ES"/>
        </w:rPr>
        <w:t>Con respecto al señor Ascá</w:t>
      </w:r>
      <w:r w:rsidR="001E39A9" w:rsidRPr="0092295B">
        <w:rPr>
          <w:szCs w:val="20"/>
          <w:lang w:val="es-ES"/>
        </w:rPr>
        <w:t>zubi Albá</w:t>
      </w:r>
      <w:r w:rsidR="00D27326" w:rsidRPr="0092295B">
        <w:rPr>
          <w:szCs w:val="20"/>
          <w:lang w:val="es-ES"/>
        </w:rPr>
        <w:t>n</w:t>
      </w:r>
      <w:r w:rsidR="00F5447F">
        <w:rPr>
          <w:szCs w:val="20"/>
          <w:lang w:val="es-ES"/>
        </w:rPr>
        <w:t xml:space="preserve"> en consideración de </w:t>
      </w:r>
      <w:r w:rsidR="001E39A9" w:rsidRPr="0092295B">
        <w:rPr>
          <w:szCs w:val="20"/>
          <w:lang w:val="es-ES"/>
        </w:rPr>
        <w:t>su situación personal, profesional y sus consecuencias producto de la violación a sus derechos human</w:t>
      </w:r>
      <w:r w:rsidR="00F5447F">
        <w:rPr>
          <w:szCs w:val="20"/>
          <w:lang w:val="es-ES"/>
        </w:rPr>
        <w:t>os, s</w:t>
      </w:r>
      <w:r w:rsidR="001E39A9" w:rsidRPr="0092295B">
        <w:rPr>
          <w:szCs w:val="20"/>
          <w:lang w:val="es-ES"/>
        </w:rPr>
        <w:t xml:space="preserve">olicitó la suma </w:t>
      </w:r>
      <w:r w:rsidR="00DC3410" w:rsidRPr="0092295B">
        <w:rPr>
          <w:szCs w:val="20"/>
          <w:lang w:val="es-ES"/>
        </w:rPr>
        <w:t>USD</w:t>
      </w:r>
      <w:r w:rsidR="001E39A9" w:rsidRPr="0092295B">
        <w:rPr>
          <w:szCs w:val="20"/>
          <w:lang w:val="es-ES"/>
        </w:rPr>
        <w:t>$</w:t>
      </w:r>
      <w:r w:rsidR="00F31950" w:rsidRPr="0092295B">
        <w:rPr>
          <w:szCs w:val="20"/>
          <w:lang w:val="es-ES"/>
        </w:rPr>
        <w:t>800</w:t>
      </w:r>
      <w:r w:rsidR="001E39A9" w:rsidRPr="0092295B">
        <w:rPr>
          <w:szCs w:val="20"/>
          <w:lang w:val="es-ES"/>
        </w:rPr>
        <w:t>.000,00 (</w:t>
      </w:r>
      <w:r w:rsidR="00F31950" w:rsidRPr="0092295B">
        <w:rPr>
          <w:szCs w:val="20"/>
          <w:lang w:val="es-ES"/>
        </w:rPr>
        <w:t xml:space="preserve">ochocientos </w:t>
      </w:r>
      <w:r w:rsidR="001E39A9" w:rsidRPr="0092295B">
        <w:rPr>
          <w:szCs w:val="20"/>
          <w:lang w:val="es-ES"/>
        </w:rPr>
        <w:t>mil dólares de los Estados Unidos de América</w:t>
      </w:r>
      <w:r w:rsidR="00F31950" w:rsidRPr="0092295B">
        <w:rPr>
          <w:szCs w:val="20"/>
          <w:lang w:val="es-ES"/>
        </w:rPr>
        <w:t>)</w:t>
      </w:r>
      <w:r w:rsidR="001E39A9" w:rsidRPr="0092295B">
        <w:rPr>
          <w:szCs w:val="20"/>
          <w:lang w:val="es-ES"/>
        </w:rPr>
        <w:t xml:space="preserve"> por </w:t>
      </w:r>
      <w:r w:rsidR="00F31950" w:rsidRPr="0092295B">
        <w:rPr>
          <w:szCs w:val="20"/>
          <w:lang w:val="es-ES"/>
        </w:rPr>
        <w:t>el daño económico causado</w:t>
      </w:r>
      <w:r w:rsidR="005B0055" w:rsidRPr="0092295B">
        <w:rPr>
          <w:rStyle w:val="Refdenotaalpie"/>
          <w:lang w:val="es-ES"/>
        </w:rPr>
        <w:footnoteReference w:id="160"/>
      </w:r>
      <w:r w:rsidR="008F035A" w:rsidRPr="0092295B">
        <w:rPr>
          <w:szCs w:val="20"/>
          <w:lang w:val="es-ES"/>
        </w:rPr>
        <w:t xml:space="preserve">. </w:t>
      </w:r>
    </w:p>
    <w:p w14:paraId="71E30D87" w14:textId="77777777" w:rsidR="00870EAA" w:rsidRPr="00CF60EF" w:rsidRDefault="00870EAA" w:rsidP="00870EAA">
      <w:pPr>
        <w:pStyle w:val="Prrafodelista"/>
        <w:spacing w:before="0" w:after="0"/>
        <w:ind w:left="0"/>
        <w:rPr>
          <w:szCs w:val="20"/>
          <w:lang w:val="es-ES"/>
        </w:rPr>
      </w:pPr>
    </w:p>
    <w:p w14:paraId="4F6379FC" w14:textId="74BD3D6F" w:rsidR="001E39A9" w:rsidRDefault="00D27326" w:rsidP="00870EAA">
      <w:pPr>
        <w:pStyle w:val="Prrafodelista"/>
        <w:numPr>
          <w:ilvl w:val="0"/>
          <w:numId w:val="7"/>
        </w:numPr>
        <w:ind w:left="1701" w:hanging="349"/>
        <w:rPr>
          <w:i/>
          <w:lang w:val="es-ES"/>
        </w:rPr>
      </w:pPr>
      <w:r w:rsidRPr="00870EAA">
        <w:rPr>
          <w:i/>
          <w:lang w:val="es-ES"/>
        </w:rPr>
        <w:t>Alfonso</w:t>
      </w:r>
      <w:r w:rsidR="00DC3410" w:rsidRPr="00870EAA">
        <w:rPr>
          <w:i/>
          <w:lang w:val="es-ES"/>
        </w:rPr>
        <w:t xml:space="preserve"> </w:t>
      </w:r>
      <w:r w:rsidR="003C541C" w:rsidRPr="00870EAA">
        <w:rPr>
          <w:i/>
          <w:lang w:val="es-ES"/>
        </w:rPr>
        <w:t>Patricio Vinuez</w:t>
      </w:r>
      <w:r w:rsidR="001E39A9" w:rsidRPr="00870EAA">
        <w:rPr>
          <w:i/>
          <w:lang w:val="es-ES"/>
        </w:rPr>
        <w:t>a Pánchez</w:t>
      </w:r>
    </w:p>
    <w:p w14:paraId="1AEAB38D" w14:textId="77777777" w:rsidR="00870EAA" w:rsidRPr="00870EAA" w:rsidRDefault="00870EAA" w:rsidP="00870EAA">
      <w:pPr>
        <w:pStyle w:val="Prrafodelista"/>
        <w:ind w:left="1701"/>
        <w:rPr>
          <w:i/>
          <w:lang w:val="es-ES"/>
        </w:rPr>
      </w:pPr>
    </w:p>
    <w:p w14:paraId="05AE8F57" w14:textId="5E968BF1" w:rsidR="00E6189D" w:rsidRPr="0092295B" w:rsidRDefault="003C541C" w:rsidP="00276ECB">
      <w:pPr>
        <w:pStyle w:val="Prrafodelista"/>
        <w:numPr>
          <w:ilvl w:val="0"/>
          <w:numId w:val="29"/>
        </w:numPr>
        <w:spacing w:before="0" w:after="0"/>
        <w:ind w:left="0" w:firstLine="0"/>
        <w:rPr>
          <w:b/>
          <w:szCs w:val="20"/>
          <w:lang w:val="es-MX"/>
        </w:rPr>
      </w:pPr>
      <w:r w:rsidRPr="0092295B">
        <w:rPr>
          <w:szCs w:val="20"/>
          <w:lang w:val="es-ES"/>
        </w:rPr>
        <w:t>Respecto al señor Vinuez</w:t>
      </w:r>
      <w:r w:rsidR="00E6189D" w:rsidRPr="0092295B">
        <w:rPr>
          <w:szCs w:val="20"/>
          <w:lang w:val="es-ES"/>
        </w:rPr>
        <w:t>a Pánchez, alegó que la situación judicial le impactó en su vida institucional, personal y familiar. Alegó un lucro cesante por</w:t>
      </w:r>
      <w:r w:rsidR="00DC3410" w:rsidRPr="0092295B">
        <w:rPr>
          <w:szCs w:val="20"/>
          <w:lang w:val="es-ES"/>
        </w:rPr>
        <w:t xml:space="preserve"> la suma de USD$</w:t>
      </w:r>
      <w:r w:rsidR="00E6189D" w:rsidRPr="0092295B">
        <w:rPr>
          <w:szCs w:val="20"/>
          <w:lang w:val="es-ES"/>
        </w:rPr>
        <w:t>390.000 (trescientos noventa dólares de los Estados Unidos de América). Además,</w:t>
      </w:r>
      <w:r w:rsidR="00DC3410" w:rsidRPr="0092295B">
        <w:rPr>
          <w:szCs w:val="20"/>
          <w:lang w:val="es-ES"/>
        </w:rPr>
        <w:t xml:space="preserve"> solicitó la suma de USD$</w:t>
      </w:r>
      <w:r w:rsidR="001A466E">
        <w:rPr>
          <w:szCs w:val="20"/>
          <w:lang w:val="es-ES"/>
        </w:rPr>
        <w:t>800,</w:t>
      </w:r>
      <w:r w:rsidR="00E6189D" w:rsidRPr="0092295B">
        <w:rPr>
          <w:szCs w:val="20"/>
          <w:lang w:val="es-ES"/>
        </w:rPr>
        <w:t>000</w:t>
      </w:r>
      <w:r w:rsidR="001A466E">
        <w:rPr>
          <w:szCs w:val="20"/>
          <w:lang w:val="es-ES"/>
        </w:rPr>
        <w:t>.00</w:t>
      </w:r>
      <w:r w:rsidR="00E6189D" w:rsidRPr="0092295B">
        <w:rPr>
          <w:szCs w:val="20"/>
          <w:lang w:val="es-ES"/>
        </w:rPr>
        <w:t xml:space="preserve"> (ochocientos mil dólares de los Estados Unidos de América) como reparación integral</w:t>
      </w:r>
      <w:r w:rsidR="00E6189D" w:rsidRPr="0092295B">
        <w:rPr>
          <w:rStyle w:val="Refdenotaalpie"/>
          <w:lang w:val="es-ES"/>
        </w:rPr>
        <w:footnoteReference w:id="161"/>
      </w:r>
      <w:r w:rsidR="00E6189D" w:rsidRPr="0092295B">
        <w:rPr>
          <w:szCs w:val="20"/>
          <w:lang w:val="es-ES"/>
        </w:rPr>
        <w:t xml:space="preserve">. </w:t>
      </w:r>
    </w:p>
    <w:p w14:paraId="781A6AA8" w14:textId="77777777" w:rsidR="004A71B5" w:rsidRPr="0092295B" w:rsidRDefault="004A71B5" w:rsidP="004A71B5">
      <w:pPr>
        <w:pStyle w:val="Prrafodelista"/>
        <w:spacing w:before="0" w:after="0"/>
        <w:ind w:left="0"/>
        <w:rPr>
          <w:b/>
          <w:szCs w:val="20"/>
          <w:lang w:val="es-MX"/>
        </w:rPr>
      </w:pPr>
    </w:p>
    <w:p w14:paraId="540CC2D0" w14:textId="5F3ECE35" w:rsidR="00E6189D" w:rsidRPr="0092295B" w:rsidRDefault="00607D54" w:rsidP="00276ECB">
      <w:pPr>
        <w:pStyle w:val="Prrafodelista"/>
        <w:numPr>
          <w:ilvl w:val="0"/>
          <w:numId w:val="29"/>
        </w:numPr>
        <w:spacing w:before="0" w:after="0"/>
        <w:ind w:left="0" w:firstLine="0"/>
        <w:rPr>
          <w:b/>
          <w:szCs w:val="20"/>
          <w:lang w:val="es-MX"/>
        </w:rPr>
      </w:pPr>
      <w:r w:rsidRPr="0092295B">
        <w:rPr>
          <w:szCs w:val="20"/>
        </w:rPr>
        <w:t xml:space="preserve"> </w:t>
      </w:r>
      <w:r w:rsidR="00E6189D" w:rsidRPr="0092295B">
        <w:rPr>
          <w:szCs w:val="20"/>
        </w:rPr>
        <w:t xml:space="preserve">El </w:t>
      </w:r>
      <w:r w:rsidR="00E6189D" w:rsidRPr="0092295B">
        <w:rPr>
          <w:b/>
          <w:i/>
          <w:szCs w:val="20"/>
        </w:rPr>
        <w:t>Estado</w:t>
      </w:r>
      <w:r w:rsidR="00E6189D" w:rsidRPr="0092295B">
        <w:rPr>
          <w:szCs w:val="20"/>
        </w:rPr>
        <w:t xml:space="preserve"> </w:t>
      </w:r>
      <w:r w:rsidR="00E6189D" w:rsidRPr="0092295B">
        <w:rPr>
          <w:rFonts w:cs="Arial"/>
          <w:color w:val="000000" w:themeColor="text1"/>
          <w:szCs w:val="20"/>
        </w:rPr>
        <w:t>reiteró que no es responsable de ningún daño material</w:t>
      </w:r>
      <w:r w:rsidR="008D3258" w:rsidRPr="0092295B">
        <w:rPr>
          <w:rFonts w:cs="Arial"/>
          <w:color w:val="000000" w:themeColor="text1"/>
          <w:szCs w:val="20"/>
        </w:rPr>
        <w:t xml:space="preserve"> hacia las </w:t>
      </w:r>
      <w:r w:rsidR="00E6189D" w:rsidRPr="0092295B">
        <w:rPr>
          <w:rFonts w:cs="Arial"/>
          <w:color w:val="000000" w:themeColor="text1"/>
          <w:szCs w:val="20"/>
        </w:rPr>
        <w:t xml:space="preserve">víctimas, pues </w:t>
      </w:r>
      <w:r w:rsidR="00E6189D" w:rsidRPr="0092295B">
        <w:rPr>
          <w:rFonts w:cs="Times New Roman"/>
          <w:szCs w:val="20"/>
          <w:lang w:val="es-ES"/>
        </w:rPr>
        <w:t>no se ha producido ninguna vulneración de derechos que atribuya la responsabilidad internacional del Ecuador.</w:t>
      </w:r>
      <w:r w:rsidR="00E6189D" w:rsidRPr="0092295B">
        <w:rPr>
          <w:rFonts w:cs="Arial"/>
          <w:color w:val="000000" w:themeColor="text1"/>
          <w:szCs w:val="20"/>
        </w:rPr>
        <w:t xml:space="preserve"> De todas formas, hizo algunas aclaraciones para la consideración de la Corte. </w:t>
      </w:r>
      <w:r w:rsidR="00E6189D" w:rsidRPr="0092295B">
        <w:rPr>
          <w:rFonts w:eastAsia="Times New Roman" w:cs="Arial"/>
          <w:szCs w:val="20"/>
        </w:rPr>
        <w:t>En cuanto al daño emergente señaló:</w:t>
      </w:r>
    </w:p>
    <w:p w14:paraId="60B0DA60" w14:textId="77D93BE9" w:rsidR="004A71B5" w:rsidRPr="0092295B" w:rsidRDefault="004A71B5" w:rsidP="00E6189D">
      <w:pPr>
        <w:pStyle w:val="Prrafodelista"/>
        <w:spacing w:before="0" w:after="0"/>
        <w:ind w:left="0"/>
        <w:rPr>
          <w:szCs w:val="20"/>
        </w:rPr>
      </w:pPr>
    </w:p>
    <w:p w14:paraId="6F4747C7" w14:textId="0921AE39" w:rsidR="00E6189D" w:rsidRPr="0092295B" w:rsidRDefault="00E6189D" w:rsidP="00C42D44">
      <w:pPr>
        <w:pStyle w:val="Prrafodelista"/>
        <w:numPr>
          <w:ilvl w:val="0"/>
          <w:numId w:val="8"/>
        </w:numPr>
        <w:spacing w:before="0" w:after="0"/>
        <w:ind w:left="806" w:firstLine="0"/>
        <w:rPr>
          <w:rFonts w:cs="Arial"/>
          <w:color w:val="000000" w:themeColor="text1"/>
          <w:szCs w:val="20"/>
        </w:rPr>
      </w:pPr>
      <w:r w:rsidRPr="0092295B">
        <w:rPr>
          <w:rFonts w:cs="Arial"/>
          <w:color w:val="000000" w:themeColor="text1"/>
          <w:szCs w:val="20"/>
        </w:rPr>
        <w:t xml:space="preserve">Respecto a Jorge Humberto Villarroel Merino, consideró que el señor Villarroel no aportó prueba en el momento procesal oportuno que demuestre los </w:t>
      </w:r>
      <w:r w:rsidR="00EB2A21">
        <w:rPr>
          <w:rFonts w:cs="Arial"/>
          <w:color w:val="000000" w:themeColor="text1"/>
          <w:szCs w:val="20"/>
        </w:rPr>
        <w:t xml:space="preserve">gastos en que </w:t>
      </w:r>
      <w:r w:rsidRPr="0092295B">
        <w:rPr>
          <w:rFonts w:cs="Arial"/>
          <w:color w:val="000000" w:themeColor="text1"/>
          <w:szCs w:val="20"/>
        </w:rPr>
        <w:t xml:space="preserve">incurrió como consecuencia de las supuestas violaciones de sus derechos. </w:t>
      </w:r>
    </w:p>
    <w:p w14:paraId="25B01B61" w14:textId="77777777" w:rsidR="004A71B5" w:rsidRPr="0092295B" w:rsidRDefault="004A71B5" w:rsidP="00C42D44">
      <w:pPr>
        <w:pStyle w:val="Prrafodelista"/>
        <w:spacing w:before="0" w:after="0"/>
        <w:ind w:left="806"/>
        <w:rPr>
          <w:rFonts w:cs="Arial"/>
          <w:color w:val="000000" w:themeColor="text1"/>
          <w:szCs w:val="20"/>
        </w:rPr>
      </w:pPr>
    </w:p>
    <w:p w14:paraId="4B0B7623" w14:textId="233E82B2" w:rsidR="00E6189D" w:rsidRPr="0092295B" w:rsidRDefault="00E6189D" w:rsidP="00C42D44">
      <w:pPr>
        <w:pStyle w:val="Prrafodelista"/>
        <w:numPr>
          <w:ilvl w:val="0"/>
          <w:numId w:val="8"/>
        </w:numPr>
        <w:spacing w:before="0" w:after="0"/>
        <w:ind w:left="806" w:firstLine="0"/>
        <w:rPr>
          <w:rFonts w:cs="Arial"/>
          <w:color w:val="000000" w:themeColor="text1"/>
          <w:szCs w:val="20"/>
        </w:rPr>
      </w:pPr>
      <w:r w:rsidRPr="0092295B">
        <w:rPr>
          <w:rFonts w:cs="Arial"/>
          <w:color w:val="000000" w:themeColor="text1"/>
          <w:szCs w:val="20"/>
        </w:rPr>
        <w:t>Respecto a Mario Rom</w:t>
      </w:r>
      <w:r w:rsidR="008D3258" w:rsidRPr="0092295B">
        <w:rPr>
          <w:rFonts w:cs="Arial"/>
          <w:color w:val="000000" w:themeColor="text1"/>
          <w:szCs w:val="20"/>
        </w:rPr>
        <w:t>el Cevallos Moreno</w:t>
      </w:r>
      <w:r w:rsidRPr="0092295B">
        <w:rPr>
          <w:rFonts w:cs="Arial"/>
          <w:color w:val="000000" w:themeColor="text1"/>
          <w:szCs w:val="20"/>
        </w:rPr>
        <w:t xml:space="preserve">, consideró que la representación no especificó en qué consistió concretamente el daño emergente del señor Cevallos. Se arguye de manera general que en los procesos judiciales tuvo que pagar su defensa; así como también costear las atenciones médicas relacionadas con trastornos </w:t>
      </w:r>
      <w:r w:rsidR="006817BA">
        <w:rPr>
          <w:rFonts w:cs="Arial"/>
          <w:color w:val="000000" w:themeColor="text1"/>
          <w:szCs w:val="20"/>
        </w:rPr>
        <w:t xml:space="preserve">psíquicos suyos y de su esposa. </w:t>
      </w:r>
      <w:r w:rsidRPr="0092295B">
        <w:rPr>
          <w:rFonts w:cs="Arial"/>
          <w:color w:val="000000" w:themeColor="text1"/>
          <w:szCs w:val="20"/>
        </w:rPr>
        <w:t xml:space="preserve">Agregó que no se puede, en esta etapa del procedimiento, agregar nuevas víctimas a las ya señaladas en el Informe de Fondo. Por otra parte, el Estado reiteró que el señor Cevallos tampoco presentó prueba oportuna que acredite lo alegado. </w:t>
      </w:r>
    </w:p>
    <w:p w14:paraId="43F1C60F" w14:textId="77777777" w:rsidR="004A71B5" w:rsidRPr="0092295B" w:rsidRDefault="004A71B5" w:rsidP="00C42D44">
      <w:pPr>
        <w:pStyle w:val="Prrafodelista"/>
        <w:spacing w:before="0" w:after="0"/>
        <w:ind w:left="806"/>
        <w:rPr>
          <w:rFonts w:cs="Arial"/>
          <w:b/>
          <w:color w:val="000000" w:themeColor="text1"/>
          <w:szCs w:val="20"/>
        </w:rPr>
      </w:pPr>
    </w:p>
    <w:p w14:paraId="2D480FFB" w14:textId="265FAB6F" w:rsidR="004A71B5" w:rsidRPr="0092295B" w:rsidRDefault="004A71B5" w:rsidP="00C42D44">
      <w:pPr>
        <w:pStyle w:val="Prrafodelista"/>
        <w:numPr>
          <w:ilvl w:val="0"/>
          <w:numId w:val="8"/>
        </w:numPr>
        <w:spacing w:before="0" w:after="0"/>
        <w:ind w:left="806" w:firstLine="0"/>
        <w:rPr>
          <w:rFonts w:cs="Arial"/>
          <w:color w:val="000000" w:themeColor="text1"/>
          <w:szCs w:val="20"/>
          <w:u w:val="single"/>
        </w:rPr>
      </w:pPr>
      <w:r w:rsidRPr="0092295B">
        <w:rPr>
          <w:rFonts w:cs="Arial"/>
          <w:color w:val="000000" w:themeColor="text1"/>
          <w:szCs w:val="20"/>
        </w:rPr>
        <w:t>Respecto a Leoncio Amilcar Ascázubi Albán al igual que en los casos anteriores, consid</w:t>
      </w:r>
      <w:r w:rsidR="00D27326" w:rsidRPr="0092295B">
        <w:rPr>
          <w:rFonts w:cs="Arial"/>
          <w:color w:val="000000" w:themeColor="text1"/>
          <w:szCs w:val="20"/>
        </w:rPr>
        <w:t xml:space="preserve">eró que el señor Ascázubi no </w:t>
      </w:r>
      <w:r w:rsidRPr="0092295B">
        <w:rPr>
          <w:rFonts w:cs="Arial"/>
          <w:color w:val="000000" w:themeColor="text1"/>
          <w:szCs w:val="20"/>
        </w:rPr>
        <w:t xml:space="preserve">aportó prueba </w:t>
      </w:r>
      <w:r w:rsidRPr="0092295B">
        <w:rPr>
          <w:rFonts w:cs="Times New Roman"/>
          <w:szCs w:val="20"/>
          <w:lang w:val="es-ES"/>
        </w:rPr>
        <w:t>que acredite el supuesto daño emergente generado en su contra</w:t>
      </w:r>
      <w:r w:rsidR="00D27326" w:rsidRPr="0092295B">
        <w:rPr>
          <w:rFonts w:eastAsia="Times New Roman" w:cs="Arial"/>
          <w:b/>
          <w:szCs w:val="20"/>
        </w:rPr>
        <w:t xml:space="preserve"> </w:t>
      </w:r>
      <w:r w:rsidRPr="0092295B">
        <w:rPr>
          <w:rFonts w:cs="Arial"/>
          <w:color w:val="000000" w:themeColor="text1"/>
          <w:szCs w:val="20"/>
        </w:rPr>
        <w:t xml:space="preserve">como consecuencia de los gastos en que incurrió derivados del pago de honorarios a defensores, peritos, viajes y costas relacionados con su defensa, tanto en el proceso penal, como en una denuncia presentada en uno de los juzgados del país contra el Estado; y una demanda seguida en contra del entonces presidente de la Corte Nacional de Justicia Policial, así como los gastos que debió sufragar de traslado de su esposa e hijos a su lugar de detención. </w:t>
      </w:r>
    </w:p>
    <w:p w14:paraId="4099E48E" w14:textId="77777777" w:rsidR="004A71B5" w:rsidRPr="0092295B" w:rsidRDefault="004A71B5" w:rsidP="00C42D44">
      <w:pPr>
        <w:pStyle w:val="Prrafodelista"/>
        <w:spacing w:before="0" w:after="0"/>
        <w:ind w:left="806"/>
        <w:rPr>
          <w:rFonts w:cs="Arial"/>
          <w:b/>
          <w:color w:val="000000" w:themeColor="text1"/>
          <w:szCs w:val="20"/>
        </w:rPr>
      </w:pPr>
    </w:p>
    <w:p w14:paraId="6AE1E34A" w14:textId="283ABDB9" w:rsidR="004A71B5" w:rsidRPr="0092295B" w:rsidRDefault="004A71B5" w:rsidP="00C42D44">
      <w:pPr>
        <w:pStyle w:val="Prrafodelista"/>
        <w:numPr>
          <w:ilvl w:val="0"/>
          <w:numId w:val="8"/>
        </w:numPr>
        <w:spacing w:before="0" w:after="0"/>
        <w:ind w:left="806" w:firstLine="0"/>
        <w:rPr>
          <w:rFonts w:cs="Arial"/>
          <w:color w:val="000000" w:themeColor="text1"/>
          <w:szCs w:val="20"/>
        </w:rPr>
      </w:pPr>
      <w:r w:rsidRPr="0092295B">
        <w:rPr>
          <w:rFonts w:cs="Arial"/>
          <w:color w:val="000000" w:themeColor="text1"/>
          <w:szCs w:val="20"/>
        </w:rPr>
        <w:t>Respecto</w:t>
      </w:r>
      <w:r w:rsidR="00E6189D" w:rsidRPr="0092295B">
        <w:rPr>
          <w:rFonts w:cs="Arial"/>
          <w:color w:val="000000" w:themeColor="text1"/>
          <w:szCs w:val="20"/>
        </w:rPr>
        <w:t xml:space="preserve"> a Fernando Marcelo López Ortiz, </w:t>
      </w:r>
      <w:r w:rsidRPr="0092295B">
        <w:rPr>
          <w:rFonts w:cs="Arial"/>
          <w:color w:val="000000" w:themeColor="text1"/>
          <w:szCs w:val="20"/>
        </w:rPr>
        <w:t>señaló que exigió reparaciones pecuniarias por los gastos incurridos en su defensa legal durante tres años, razón por la cual tuvo que vender algunos bienes muebles e inmuebles. Nuevamente, el Estado consideró que éste no entregó la prueba pertinente</w:t>
      </w:r>
      <w:r w:rsidR="00FB3BA4" w:rsidRPr="0092295B">
        <w:rPr>
          <w:rFonts w:cs="Arial"/>
          <w:color w:val="000000" w:themeColor="text1"/>
          <w:szCs w:val="20"/>
        </w:rPr>
        <w:t>.</w:t>
      </w:r>
      <w:r w:rsidRPr="0092295B">
        <w:rPr>
          <w:rFonts w:cs="Arial"/>
          <w:color w:val="000000" w:themeColor="text1"/>
          <w:szCs w:val="20"/>
        </w:rPr>
        <w:t xml:space="preserve"> </w:t>
      </w:r>
    </w:p>
    <w:p w14:paraId="76D98790" w14:textId="77777777" w:rsidR="004A71B5" w:rsidRPr="0092295B" w:rsidRDefault="004A71B5" w:rsidP="004A71B5">
      <w:pPr>
        <w:pStyle w:val="Prrafodelista"/>
        <w:ind w:left="810"/>
        <w:rPr>
          <w:rFonts w:cs="Arial"/>
          <w:color w:val="000000" w:themeColor="text1"/>
          <w:szCs w:val="20"/>
        </w:rPr>
      </w:pPr>
    </w:p>
    <w:p w14:paraId="12329EEB" w14:textId="0D7265B5" w:rsidR="004A71B5" w:rsidRPr="0092295B" w:rsidRDefault="008D3258" w:rsidP="00C42D44">
      <w:pPr>
        <w:pStyle w:val="Prrafodelista"/>
        <w:numPr>
          <w:ilvl w:val="0"/>
          <w:numId w:val="8"/>
        </w:numPr>
        <w:spacing w:before="0" w:after="0"/>
        <w:ind w:left="806" w:firstLine="0"/>
        <w:rPr>
          <w:rFonts w:cs="Arial"/>
          <w:color w:val="000000" w:themeColor="text1"/>
          <w:szCs w:val="20"/>
        </w:rPr>
      </w:pPr>
      <w:r w:rsidRPr="0092295B">
        <w:rPr>
          <w:rFonts w:cs="Arial"/>
          <w:color w:val="000000" w:themeColor="text1"/>
          <w:szCs w:val="20"/>
        </w:rPr>
        <w:t xml:space="preserve">Respecto a </w:t>
      </w:r>
      <w:r w:rsidR="00D27326" w:rsidRPr="0092295B">
        <w:rPr>
          <w:rFonts w:cs="Arial"/>
          <w:color w:val="000000" w:themeColor="text1"/>
          <w:szCs w:val="20"/>
        </w:rPr>
        <w:t>Jorge Enrique Coloma Gai</w:t>
      </w:r>
      <w:r w:rsidR="004A71B5" w:rsidRPr="0092295B">
        <w:rPr>
          <w:rFonts w:cs="Arial"/>
          <w:color w:val="000000" w:themeColor="text1"/>
          <w:szCs w:val="20"/>
        </w:rPr>
        <w:t>bor</w:t>
      </w:r>
      <w:r w:rsidRPr="0092295B">
        <w:rPr>
          <w:rFonts w:cs="Arial"/>
          <w:color w:val="000000" w:themeColor="text1"/>
          <w:szCs w:val="20"/>
        </w:rPr>
        <w:t>,</w:t>
      </w:r>
      <w:r w:rsidR="004A71B5" w:rsidRPr="0092295B">
        <w:rPr>
          <w:rFonts w:cs="Arial"/>
          <w:color w:val="000000" w:themeColor="text1"/>
          <w:szCs w:val="20"/>
        </w:rPr>
        <w:t xml:space="preserve"> alegó que el señor Coloma no especificó qué daño emergente sufrió y tampoco presentó prueba al respecto</w:t>
      </w:r>
      <w:r w:rsidR="00FB3BA4" w:rsidRPr="0092295B">
        <w:rPr>
          <w:rFonts w:cs="Arial"/>
          <w:color w:val="000000" w:themeColor="text1"/>
          <w:szCs w:val="20"/>
        </w:rPr>
        <w:t>.</w:t>
      </w:r>
      <w:r w:rsidR="004A71B5" w:rsidRPr="0092295B">
        <w:rPr>
          <w:rFonts w:cs="Arial"/>
          <w:color w:val="000000" w:themeColor="text1"/>
          <w:szCs w:val="20"/>
        </w:rPr>
        <w:t xml:space="preserve"> </w:t>
      </w:r>
    </w:p>
    <w:p w14:paraId="3B075DBC" w14:textId="77777777" w:rsidR="004A71B5" w:rsidRPr="0092295B" w:rsidRDefault="004A71B5" w:rsidP="00C42D44">
      <w:pPr>
        <w:spacing w:before="0" w:after="0"/>
        <w:ind w:left="806"/>
        <w:rPr>
          <w:rFonts w:cs="Arial"/>
          <w:b/>
          <w:color w:val="000000" w:themeColor="text1"/>
          <w:szCs w:val="20"/>
        </w:rPr>
      </w:pPr>
    </w:p>
    <w:p w14:paraId="24A3D043" w14:textId="34105DA8" w:rsidR="004A71B5" w:rsidRPr="0092295B" w:rsidRDefault="008D3258" w:rsidP="00C42D44">
      <w:pPr>
        <w:pStyle w:val="Prrafodelista"/>
        <w:numPr>
          <w:ilvl w:val="0"/>
          <w:numId w:val="8"/>
        </w:numPr>
        <w:spacing w:before="0" w:after="0"/>
        <w:ind w:left="806" w:firstLine="0"/>
        <w:rPr>
          <w:rFonts w:cs="Arial"/>
          <w:color w:val="000000" w:themeColor="text1"/>
          <w:szCs w:val="20"/>
          <w:u w:val="single"/>
        </w:rPr>
      </w:pPr>
      <w:r w:rsidRPr="0092295B">
        <w:rPr>
          <w:rFonts w:cs="Arial"/>
          <w:color w:val="000000" w:themeColor="text1"/>
          <w:szCs w:val="20"/>
        </w:rPr>
        <w:t xml:space="preserve">Respecto a </w:t>
      </w:r>
      <w:r w:rsidR="004A71B5" w:rsidRPr="0092295B">
        <w:rPr>
          <w:rFonts w:cs="Arial"/>
          <w:color w:val="000000" w:themeColor="text1"/>
          <w:szCs w:val="20"/>
        </w:rPr>
        <w:t>Alfonso Patricio Vinueza Pánchez</w:t>
      </w:r>
      <w:r w:rsidRPr="0092295B">
        <w:rPr>
          <w:rFonts w:cs="Arial"/>
          <w:color w:val="000000" w:themeColor="text1"/>
          <w:szCs w:val="20"/>
        </w:rPr>
        <w:t>,</w:t>
      </w:r>
      <w:r w:rsidR="004A71B5" w:rsidRPr="0092295B">
        <w:rPr>
          <w:rFonts w:cs="Arial"/>
          <w:color w:val="000000" w:themeColor="text1"/>
          <w:szCs w:val="20"/>
        </w:rPr>
        <w:t xml:space="preserve"> señaló que incurrió en gastos para su defensa dentro del proceso, la cual le costó más de lo que esperaba puesto que en determinado punto tuvo que sustituirla por</w:t>
      </w:r>
      <w:r w:rsidR="00EB2A21">
        <w:rPr>
          <w:rFonts w:cs="Arial"/>
          <w:color w:val="000000" w:themeColor="text1"/>
          <w:szCs w:val="20"/>
        </w:rPr>
        <w:t xml:space="preserve"> no obtener una defensa adecuada</w:t>
      </w:r>
      <w:r w:rsidR="004A71B5" w:rsidRPr="0092295B">
        <w:rPr>
          <w:rFonts w:cs="Arial"/>
          <w:color w:val="000000" w:themeColor="text1"/>
          <w:szCs w:val="20"/>
        </w:rPr>
        <w:t>. Asimismo, tuvo que hacerse cargo de su</w:t>
      </w:r>
      <w:r w:rsidR="00D27326" w:rsidRPr="0092295B">
        <w:rPr>
          <w:rFonts w:cs="Arial"/>
          <w:color w:val="000000" w:themeColor="text1"/>
          <w:szCs w:val="20"/>
        </w:rPr>
        <w:t>s gastos de traslado y superviv</w:t>
      </w:r>
      <w:r w:rsidR="004A71B5" w:rsidRPr="0092295B">
        <w:rPr>
          <w:rFonts w:cs="Arial"/>
          <w:color w:val="000000" w:themeColor="text1"/>
          <w:szCs w:val="20"/>
        </w:rPr>
        <w:t xml:space="preserve">encia </w:t>
      </w:r>
      <w:r w:rsidR="004A71B5" w:rsidRPr="0092295B">
        <w:rPr>
          <w:rFonts w:cs="Times New Roman"/>
          <w:szCs w:val="20"/>
          <w:lang w:val="es-ES"/>
        </w:rPr>
        <w:t>durante su detención</w:t>
      </w:r>
      <w:r w:rsidR="004A71B5" w:rsidRPr="0092295B">
        <w:rPr>
          <w:rFonts w:cs="Arial"/>
          <w:color w:val="000000" w:themeColor="text1"/>
          <w:szCs w:val="20"/>
        </w:rPr>
        <w:t xml:space="preserve">. El Estado consideró que no se aportaron pruebas suficientes </w:t>
      </w:r>
      <w:r w:rsidR="004A71B5" w:rsidRPr="0092295B">
        <w:rPr>
          <w:rFonts w:cs="Times New Roman"/>
          <w:szCs w:val="20"/>
          <w:lang w:val="es-ES"/>
        </w:rPr>
        <w:t>respecto a daño emergente; no aportó facturas ni recibos acreditando los gastos alegados</w:t>
      </w:r>
      <w:r w:rsidR="00FB3BA4" w:rsidRPr="0092295B">
        <w:rPr>
          <w:rFonts w:cs="Times New Roman"/>
          <w:szCs w:val="20"/>
          <w:lang w:val="es-ES"/>
        </w:rPr>
        <w:t>.</w:t>
      </w:r>
      <w:r w:rsidR="004A71B5" w:rsidRPr="0092295B">
        <w:rPr>
          <w:rFonts w:cs="Times New Roman"/>
          <w:szCs w:val="20"/>
          <w:lang w:val="es-ES"/>
        </w:rPr>
        <w:t xml:space="preserve"> </w:t>
      </w:r>
    </w:p>
    <w:p w14:paraId="3B796173" w14:textId="77777777" w:rsidR="004A71B5" w:rsidRPr="0092295B" w:rsidRDefault="004A71B5" w:rsidP="004A71B5">
      <w:pPr>
        <w:pStyle w:val="Prrafodelista"/>
        <w:autoSpaceDE w:val="0"/>
        <w:autoSpaceDN w:val="0"/>
        <w:adjustRightInd w:val="0"/>
        <w:spacing w:before="0" w:after="0"/>
        <w:ind w:left="0"/>
        <w:rPr>
          <w:szCs w:val="20"/>
        </w:rPr>
      </w:pPr>
    </w:p>
    <w:p w14:paraId="5BA7A02F" w14:textId="168F65AC" w:rsidR="0092295B" w:rsidRPr="001A466E" w:rsidRDefault="004A71B5" w:rsidP="00EB0871">
      <w:pPr>
        <w:pStyle w:val="Prrafodelista"/>
        <w:numPr>
          <w:ilvl w:val="0"/>
          <w:numId w:val="29"/>
        </w:numPr>
        <w:ind w:left="0" w:firstLine="0"/>
        <w:rPr>
          <w:rFonts w:cs="Arial"/>
          <w:b/>
          <w:color w:val="000000" w:themeColor="text1"/>
          <w:szCs w:val="20"/>
          <w:u w:val="single"/>
        </w:rPr>
      </w:pPr>
      <w:r w:rsidRPr="0092295B">
        <w:rPr>
          <w:rFonts w:cs="Arial"/>
          <w:color w:val="000000" w:themeColor="text1"/>
          <w:szCs w:val="20"/>
        </w:rPr>
        <w:t>En lo que se refiere al lucro cesante</w:t>
      </w:r>
      <w:r w:rsidR="001C3C82" w:rsidRPr="0092295B">
        <w:rPr>
          <w:rFonts w:cs="Arial"/>
          <w:color w:val="000000" w:themeColor="text1"/>
          <w:szCs w:val="20"/>
        </w:rPr>
        <w:t>,</w:t>
      </w:r>
      <w:r w:rsidR="008D3258" w:rsidRPr="0092295B">
        <w:rPr>
          <w:rFonts w:cs="Arial"/>
          <w:color w:val="000000" w:themeColor="text1"/>
          <w:szCs w:val="20"/>
        </w:rPr>
        <w:t xml:space="preserve"> en el caso de todas las </w:t>
      </w:r>
      <w:r w:rsidRPr="0092295B">
        <w:rPr>
          <w:rFonts w:cs="Arial"/>
          <w:color w:val="000000" w:themeColor="text1"/>
          <w:szCs w:val="20"/>
        </w:rPr>
        <w:t xml:space="preserve">víctimas, el Estado alegó la imposibilidad de valorar la indemnización de manera objetiva, pues los rubros se basaban </w:t>
      </w:r>
      <w:r w:rsidR="004B66F8">
        <w:rPr>
          <w:rFonts w:cs="Arial"/>
          <w:color w:val="000000" w:themeColor="text1"/>
          <w:szCs w:val="20"/>
        </w:rPr>
        <w:t xml:space="preserve">en situaciones </w:t>
      </w:r>
      <w:r w:rsidRPr="0092295B">
        <w:rPr>
          <w:rFonts w:cs="Arial"/>
          <w:color w:val="000000" w:themeColor="text1"/>
          <w:szCs w:val="20"/>
        </w:rPr>
        <w:t>hipotéticas o eventuales. En todos los casos, el Estado hizo constancia de los pagos percibidos por las víctimas debido a la pensión vitalicia por retiro, la que incluye cobertura por enfermedad y maternidad, y un seguro de vida potestativo</w:t>
      </w:r>
      <w:r w:rsidR="00177BCB" w:rsidRPr="0092295B">
        <w:rPr>
          <w:rStyle w:val="Refdenotaalpie"/>
          <w:color w:val="000000" w:themeColor="text1"/>
        </w:rPr>
        <w:footnoteReference w:id="162"/>
      </w:r>
      <w:r w:rsidRPr="0092295B">
        <w:rPr>
          <w:rFonts w:cs="Arial"/>
          <w:color w:val="000000" w:themeColor="text1"/>
          <w:szCs w:val="20"/>
        </w:rPr>
        <w:t>. Estos pagos superan el salario mínimo vital ge</w:t>
      </w:r>
      <w:r w:rsidR="00D27326" w:rsidRPr="0092295B">
        <w:rPr>
          <w:rFonts w:cs="Arial"/>
          <w:color w:val="000000" w:themeColor="text1"/>
          <w:szCs w:val="20"/>
        </w:rPr>
        <w:t xml:space="preserve">neral actual del país </w:t>
      </w:r>
      <w:r w:rsidR="002A4782">
        <w:rPr>
          <w:rFonts w:cs="Arial"/>
          <w:color w:val="000000" w:themeColor="text1"/>
          <w:szCs w:val="20"/>
        </w:rPr>
        <w:t xml:space="preserve">que </w:t>
      </w:r>
      <w:r w:rsidR="003978AF">
        <w:rPr>
          <w:rFonts w:cs="Arial"/>
          <w:color w:val="000000" w:themeColor="text1"/>
          <w:szCs w:val="20"/>
        </w:rPr>
        <w:t xml:space="preserve">es </w:t>
      </w:r>
      <w:r w:rsidR="00D27326" w:rsidRPr="0092295B">
        <w:rPr>
          <w:rFonts w:cs="Arial"/>
          <w:color w:val="000000" w:themeColor="text1"/>
          <w:szCs w:val="20"/>
        </w:rPr>
        <w:t>de USD</w:t>
      </w:r>
      <w:r w:rsidRPr="0092295B">
        <w:rPr>
          <w:rFonts w:cs="Arial"/>
          <w:color w:val="000000" w:themeColor="text1"/>
          <w:szCs w:val="20"/>
        </w:rPr>
        <w:t>$400</w:t>
      </w:r>
      <w:r w:rsidR="00770E8E">
        <w:rPr>
          <w:rFonts w:cs="Arial"/>
          <w:color w:val="000000" w:themeColor="text1"/>
          <w:szCs w:val="20"/>
        </w:rPr>
        <w:t>.</w:t>
      </w:r>
      <w:r w:rsidRPr="0092295B">
        <w:rPr>
          <w:rFonts w:cs="Arial"/>
          <w:color w:val="000000" w:themeColor="text1"/>
          <w:szCs w:val="20"/>
        </w:rPr>
        <w:t>00</w:t>
      </w:r>
      <w:r w:rsidR="008D3258" w:rsidRPr="0092295B">
        <w:rPr>
          <w:rFonts w:cs="Arial"/>
          <w:color w:val="000000" w:themeColor="text1"/>
          <w:szCs w:val="20"/>
        </w:rPr>
        <w:t xml:space="preserve"> (cuatrocientos dólares de los Estados Unidos de América)</w:t>
      </w:r>
      <w:r w:rsidR="00FB3BA4" w:rsidRPr="0092295B">
        <w:rPr>
          <w:rFonts w:cs="Arial"/>
          <w:color w:val="000000" w:themeColor="text1"/>
          <w:szCs w:val="20"/>
        </w:rPr>
        <w:t>.</w:t>
      </w:r>
    </w:p>
    <w:p w14:paraId="7E7CA4CA" w14:textId="330D721B" w:rsidR="00204C95" w:rsidRPr="00CF60EF" w:rsidRDefault="00870EAA" w:rsidP="00CF60EF">
      <w:pPr>
        <w:pStyle w:val="Ttulo3"/>
        <w:rPr>
          <w:i/>
          <w:lang w:val="es-MX"/>
        </w:rPr>
      </w:pPr>
      <w:bookmarkStart w:id="150" w:name="_Toc87339043"/>
      <w:r>
        <w:rPr>
          <w:i/>
          <w:lang w:val="es-MX"/>
        </w:rPr>
        <w:t>D.1</w:t>
      </w:r>
      <w:r w:rsidR="00204C95" w:rsidRPr="00CF60EF">
        <w:rPr>
          <w:i/>
          <w:lang w:val="es-MX"/>
        </w:rPr>
        <w:t xml:space="preserve"> Daño material</w:t>
      </w:r>
      <w:bookmarkEnd w:id="150"/>
    </w:p>
    <w:p w14:paraId="792EDA25" w14:textId="77777777" w:rsidR="00204C95" w:rsidRPr="0092295B" w:rsidRDefault="00535DAF" w:rsidP="00276ECB">
      <w:pPr>
        <w:pStyle w:val="Prrafodelista"/>
        <w:numPr>
          <w:ilvl w:val="0"/>
          <w:numId w:val="29"/>
        </w:numPr>
        <w:spacing w:before="0" w:after="0"/>
        <w:ind w:left="0" w:firstLine="0"/>
        <w:rPr>
          <w:szCs w:val="20"/>
          <w:u w:val="single"/>
          <w:lang w:val="es-ES"/>
        </w:rPr>
      </w:pPr>
      <w:r w:rsidRPr="0092295B">
        <w:rPr>
          <w:szCs w:val="20"/>
          <w:lang w:val="es-ES"/>
        </w:rPr>
        <w:t xml:space="preserve">La </w:t>
      </w:r>
      <w:r w:rsidRPr="0092295B">
        <w:rPr>
          <w:b/>
          <w:i/>
          <w:szCs w:val="20"/>
          <w:lang w:val="es-ES"/>
        </w:rPr>
        <w:t>Corte</w:t>
      </w:r>
      <w:r w:rsidRPr="0092295B">
        <w:rPr>
          <w:szCs w:val="20"/>
          <w:lang w:val="es-ES"/>
        </w:rPr>
        <w:t xml:space="preserve"> ha desarrollado en su jurisprudencia que el daño material </w:t>
      </w:r>
      <w:r w:rsidRPr="0092295B">
        <w:t>supone la pérdida o detrimento de los ingresos de las víctimas, los gastos efectuados con motivo de los hechos y las consecuencias de carácter pecuniario que tengan un nexo causal con los hechos del caso</w:t>
      </w:r>
      <w:r w:rsidRPr="0092295B">
        <w:rPr>
          <w:rStyle w:val="Refdenotaalpie"/>
        </w:rPr>
        <w:footnoteReference w:id="163"/>
      </w:r>
      <w:r w:rsidRPr="0092295B">
        <w:t xml:space="preserve">. </w:t>
      </w:r>
    </w:p>
    <w:p w14:paraId="75126050" w14:textId="64DC74DD" w:rsidR="00E87112" w:rsidRPr="0092295B" w:rsidRDefault="00E87112" w:rsidP="00276ECB">
      <w:pPr>
        <w:pStyle w:val="Prrafodelista"/>
        <w:ind w:left="0"/>
        <w:rPr>
          <w:rFonts w:cs="Arial"/>
          <w:b/>
          <w:strike/>
          <w:color w:val="000000" w:themeColor="text1"/>
          <w:szCs w:val="20"/>
          <w:u w:val="single"/>
        </w:rPr>
      </w:pPr>
    </w:p>
    <w:p w14:paraId="57B52A88" w14:textId="540BBC1F" w:rsidR="00E87112" w:rsidRPr="0092295B" w:rsidRDefault="00535DAF" w:rsidP="00276ECB">
      <w:pPr>
        <w:pStyle w:val="Prrafodelista"/>
        <w:numPr>
          <w:ilvl w:val="0"/>
          <w:numId w:val="29"/>
        </w:numPr>
        <w:ind w:left="0" w:firstLine="0"/>
        <w:rPr>
          <w:rFonts w:cs="Arial"/>
          <w:b/>
          <w:strike/>
          <w:color w:val="000000" w:themeColor="text1"/>
          <w:szCs w:val="20"/>
          <w:u w:val="single"/>
        </w:rPr>
      </w:pPr>
      <w:r w:rsidRPr="0092295B">
        <w:rPr>
          <w:rFonts w:cs="Arial"/>
          <w:color w:val="000000" w:themeColor="text1"/>
          <w:szCs w:val="20"/>
        </w:rPr>
        <w:t xml:space="preserve">En relación con el daño material el representante no presentó los comprobantes relacionados con los gastos </w:t>
      </w:r>
      <w:r w:rsidR="008D5C5F" w:rsidRPr="0092295B">
        <w:rPr>
          <w:rFonts w:cs="Arial"/>
          <w:color w:val="000000" w:themeColor="text1"/>
          <w:szCs w:val="20"/>
        </w:rPr>
        <w:t>en que incurrieron las víctimas</w:t>
      </w:r>
      <w:r w:rsidRPr="0092295B">
        <w:rPr>
          <w:rFonts w:cs="Arial"/>
          <w:b/>
          <w:color w:val="000000" w:themeColor="text1"/>
          <w:szCs w:val="20"/>
        </w:rPr>
        <w:t xml:space="preserve"> </w:t>
      </w:r>
      <w:r w:rsidRPr="0092295B">
        <w:rPr>
          <w:rFonts w:cs="Arial"/>
          <w:color w:val="000000" w:themeColor="text1"/>
          <w:szCs w:val="20"/>
        </w:rPr>
        <w:t xml:space="preserve">por daño emergente. Igualmente, </w:t>
      </w:r>
      <w:r w:rsidR="00E87112" w:rsidRPr="0092295B">
        <w:rPr>
          <w:rFonts w:cs="Arial"/>
          <w:color w:val="000000" w:themeColor="text1"/>
          <w:szCs w:val="20"/>
        </w:rPr>
        <w:t>en cuanto al lucro cesante no</w:t>
      </w:r>
      <w:r w:rsidRPr="0092295B">
        <w:rPr>
          <w:rFonts w:cs="Arial"/>
          <w:color w:val="000000" w:themeColor="text1"/>
          <w:szCs w:val="20"/>
        </w:rPr>
        <w:t xml:space="preserve"> presentaron documentación fehaciente que permita a la Corte evaluar concretamente la situación de cada una de las víctimas. </w:t>
      </w:r>
    </w:p>
    <w:p w14:paraId="3A0206D7" w14:textId="77777777" w:rsidR="00E87112" w:rsidRPr="0092295B" w:rsidRDefault="00E87112" w:rsidP="00276ECB">
      <w:pPr>
        <w:pStyle w:val="Prrafodelista"/>
        <w:ind w:left="0"/>
        <w:rPr>
          <w:rFonts w:cs="Arial"/>
          <w:b/>
          <w:strike/>
          <w:color w:val="000000" w:themeColor="text1"/>
          <w:szCs w:val="20"/>
          <w:u w:val="single"/>
        </w:rPr>
      </w:pPr>
    </w:p>
    <w:p w14:paraId="5878E275" w14:textId="108E900D" w:rsidR="00E87112" w:rsidRPr="0092295B" w:rsidRDefault="00E87112" w:rsidP="00276ECB">
      <w:pPr>
        <w:pStyle w:val="Prrafodelista"/>
        <w:numPr>
          <w:ilvl w:val="0"/>
          <w:numId w:val="29"/>
        </w:numPr>
        <w:ind w:left="0" w:firstLine="0"/>
        <w:rPr>
          <w:rFonts w:cs="Arial"/>
          <w:b/>
          <w:color w:val="000000" w:themeColor="text1"/>
          <w:szCs w:val="20"/>
        </w:rPr>
      </w:pPr>
      <w:r w:rsidRPr="0092295B">
        <w:rPr>
          <w:rFonts w:cs="Arial"/>
          <w:color w:val="000000" w:themeColor="text1"/>
          <w:szCs w:val="20"/>
        </w:rPr>
        <w:t>El Estado y el representante informar</w:t>
      </w:r>
      <w:r w:rsidR="006B1FC4" w:rsidRPr="0092295B">
        <w:rPr>
          <w:rFonts w:cs="Arial"/>
          <w:color w:val="000000" w:themeColor="text1"/>
          <w:szCs w:val="20"/>
        </w:rPr>
        <w:t xml:space="preserve">on </w:t>
      </w:r>
      <w:r w:rsidRPr="0092295B">
        <w:rPr>
          <w:rFonts w:cs="Arial"/>
          <w:color w:val="000000" w:themeColor="text1"/>
          <w:szCs w:val="20"/>
        </w:rPr>
        <w:t xml:space="preserve">que </w:t>
      </w:r>
      <w:r w:rsidRPr="0092295B">
        <w:t>l</w:t>
      </w:r>
      <w:r w:rsidRPr="0092295B">
        <w:rPr>
          <w:lang w:val="es-CR"/>
        </w:rPr>
        <w:t>os señores Villarroel Merino y Cevallos Moreno durante el período de detención y proceso se encontraban en servicio pasivo. Al respec</w:t>
      </w:r>
      <w:r w:rsidR="006F7930" w:rsidRPr="0092295B">
        <w:rPr>
          <w:lang w:val="es-CR"/>
        </w:rPr>
        <w:t>to, el representante indicó que</w:t>
      </w:r>
      <w:r w:rsidR="002A4782">
        <w:rPr>
          <w:lang w:val="es-CR"/>
        </w:rPr>
        <w:t>,</w:t>
      </w:r>
      <w:r w:rsidRPr="0092295B">
        <w:rPr>
          <w:lang w:val="es-CR"/>
        </w:rPr>
        <w:t xml:space="preserve"> de acuerdo a la Ley de Personal de Policía </w:t>
      </w:r>
      <w:r w:rsidR="006F7930" w:rsidRPr="0092295B">
        <w:rPr>
          <w:szCs w:val="20"/>
          <w:lang w:val="es-CR"/>
        </w:rPr>
        <w:t xml:space="preserve">Nacional, “ya </w:t>
      </w:r>
      <w:r w:rsidRPr="0092295B">
        <w:rPr>
          <w:szCs w:val="20"/>
          <w:lang w:val="es-CR"/>
        </w:rPr>
        <w:t>habían cumplido con el grado y los tiempos dentro de la institución y eran beneficiarios del derecho previsto en la Ley de Seguridad Social de la Policía Nacional”.</w:t>
      </w:r>
      <w:r w:rsidRPr="0092295B">
        <w:rPr>
          <w:b/>
          <w:szCs w:val="20"/>
          <w:lang w:val="es-CR"/>
        </w:rPr>
        <w:t xml:space="preserve"> </w:t>
      </w:r>
    </w:p>
    <w:p w14:paraId="082EBA83" w14:textId="7623C555" w:rsidR="008D3258" w:rsidRPr="0092295B" w:rsidRDefault="008D3258" w:rsidP="00276ECB">
      <w:pPr>
        <w:pStyle w:val="Prrafodelista"/>
        <w:ind w:left="0"/>
        <w:rPr>
          <w:rFonts w:cs="Arial"/>
          <w:b/>
          <w:color w:val="000000" w:themeColor="text1"/>
          <w:szCs w:val="20"/>
        </w:rPr>
      </w:pPr>
    </w:p>
    <w:p w14:paraId="55FA825F" w14:textId="666B0EA2" w:rsidR="006F7930" w:rsidRPr="0092295B" w:rsidRDefault="006F7930" w:rsidP="00276ECB">
      <w:pPr>
        <w:pStyle w:val="Prrafodelista"/>
        <w:numPr>
          <w:ilvl w:val="0"/>
          <w:numId w:val="29"/>
        </w:numPr>
        <w:ind w:left="0" w:firstLine="0"/>
        <w:rPr>
          <w:rFonts w:cs="Arial"/>
          <w:strike/>
          <w:color w:val="000000" w:themeColor="text1"/>
          <w:szCs w:val="20"/>
          <w:u w:val="single"/>
        </w:rPr>
      </w:pPr>
      <w:r w:rsidRPr="0092295B">
        <w:rPr>
          <w:szCs w:val="20"/>
        </w:rPr>
        <w:t>Igualmente</w:t>
      </w:r>
      <w:r w:rsidR="002A4782">
        <w:rPr>
          <w:szCs w:val="20"/>
        </w:rPr>
        <w:t>,</w:t>
      </w:r>
      <w:r w:rsidRPr="0092295B">
        <w:rPr>
          <w:szCs w:val="20"/>
        </w:rPr>
        <w:t xml:space="preserve"> el Estado y el representante informaron que en</w:t>
      </w:r>
      <w:r w:rsidR="00E87112" w:rsidRPr="0092295B">
        <w:rPr>
          <w:szCs w:val="20"/>
        </w:rPr>
        <w:t xml:space="preserve"> el caso de </w:t>
      </w:r>
      <w:r w:rsidR="00E87112" w:rsidRPr="0092295B">
        <w:rPr>
          <w:szCs w:val="20"/>
          <w:lang w:val="es-CR"/>
        </w:rPr>
        <w:t>los señores López Ortiz, Coloma Gaibor, A</w:t>
      </w:r>
      <w:r w:rsidR="00660BC9">
        <w:rPr>
          <w:szCs w:val="20"/>
          <w:lang w:val="es-CR"/>
        </w:rPr>
        <w:t>s</w:t>
      </w:r>
      <w:r w:rsidR="00E87112" w:rsidRPr="0092295B">
        <w:rPr>
          <w:szCs w:val="20"/>
          <w:lang w:val="es-CR"/>
        </w:rPr>
        <w:t>cázubi Albán y Vinueza Pánchez</w:t>
      </w:r>
      <w:r w:rsidR="00E87112" w:rsidRPr="0092295B">
        <w:rPr>
          <w:szCs w:val="20"/>
        </w:rPr>
        <w:t xml:space="preserve"> se encontraban en servicio activo al momento de los </w:t>
      </w:r>
      <w:r w:rsidR="00E87112" w:rsidRPr="00036404">
        <w:rPr>
          <w:szCs w:val="20"/>
        </w:rPr>
        <w:t>hechos</w:t>
      </w:r>
      <w:r w:rsidR="00AD31FD" w:rsidRPr="00036404">
        <w:rPr>
          <w:szCs w:val="20"/>
        </w:rPr>
        <w:t xml:space="preserve"> y continuaron recibiendo sus remuneraciones</w:t>
      </w:r>
      <w:r w:rsidR="00E87112" w:rsidRPr="00036404">
        <w:rPr>
          <w:szCs w:val="20"/>
        </w:rPr>
        <w:t>, luego</w:t>
      </w:r>
      <w:r w:rsidR="00303E56" w:rsidRPr="00036404">
        <w:rPr>
          <w:szCs w:val="20"/>
        </w:rPr>
        <w:t xml:space="preserve"> de haber sido absueltos, se reincorporaron al servicio activo</w:t>
      </w:r>
      <w:r w:rsidR="00E87112" w:rsidRPr="0092295B">
        <w:rPr>
          <w:szCs w:val="20"/>
        </w:rPr>
        <w:t xml:space="preserve">. </w:t>
      </w:r>
      <w:r w:rsidR="00EA6283">
        <w:rPr>
          <w:szCs w:val="20"/>
        </w:rPr>
        <w:t>E</w:t>
      </w:r>
      <w:r w:rsidR="00EA6283" w:rsidRPr="0092295B">
        <w:rPr>
          <w:szCs w:val="20"/>
          <w:lang w:val="es-CR"/>
        </w:rPr>
        <w:t xml:space="preserve">l representante </w:t>
      </w:r>
      <w:r w:rsidR="00EA6283">
        <w:rPr>
          <w:szCs w:val="20"/>
          <w:lang w:val="es-CR"/>
        </w:rPr>
        <w:t>a</w:t>
      </w:r>
      <w:r w:rsidR="00E87112" w:rsidRPr="0092295B">
        <w:rPr>
          <w:szCs w:val="20"/>
          <w:lang w:val="es-CR"/>
        </w:rPr>
        <w:t>gregó</w:t>
      </w:r>
      <w:r w:rsidR="00EA6283">
        <w:rPr>
          <w:szCs w:val="20"/>
          <w:lang w:val="es-CR"/>
        </w:rPr>
        <w:t xml:space="preserve"> que</w:t>
      </w:r>
      <w:r w:rsidRPr="0092295B">
        <w:rPr>
          <w:szCs w:val="20"/>
          <w:lang w:val="es-CR"/>
        </w:rPr>
        <w:t>,</w:t>
      </w:r>
      <w:r w:rsidR="00E87112" w:rsidRPr="0092295B">
        <w:rPr>
          <w:szCs w:val="20"/>
          <w:lang w:val="es-CR"/>
        </w:rPr>
        <w:t xml:space="preserve"> </w:t>
      </w:r>
      <w:r w:rsidR="00E87112" w:rsidRPr="0092295B">
        <w:rPr>
          <w:szCs w:val="20"/>
          <w:lang w:val="es-MX"/>
        </w:rPr>
        <w:t xml:space="preserve">de acuerdo “al art[ículo] 60 de la Ley de Personal de la Policía vigente al momento del proceso penal, los miembros policiales, que eran colocados en situación transitoria, no perdían los derechos establecidos para los miembros activos de la institución gozando en consecuencia de los beneficios de remuneración y estabilidad mientras el [proceso] no sea resuelto en contra del procesado”. Por último, </w:t>
      </w:r>
      <w:r w:rsidR="00AD31FD">
        <w:rPr>
          <w:szCs w:val="20"/>
          <w:lang w:val="es-MX"/>
        </w:rPr>
        <w:t xml:space="preserve">el representante </w:t>
      </w:r>
      <w:r w:rsidR="00E87112" w:rsidRPr="0092295B">
        <w:rPr>
          <w:szCs w:val="20"/>
          <w:lang w:val="es-MX"/>
        </w:rPr>
        <w:t xml:space="preserve">señaló que </w:t>
      </w:r>
      <w:r w:rsidR="00CE0405" w:rsidRPr="0092295B">
        <w:rPr>
          <w:szCs w:val="20"/>
          <w:lang w:val="es-MX"/>
        </w:rPr>
        <w:t xml:space="preserve">ninguna de </w:t>
      </w:r>
      <w:r w:rsidR="00E87112" w:rsidRPr="0092295B">
        <w:rPr>
          <w:szCs w:val="20"/>
          <w:lang w:val="es-MX"/>
        </w:rPr>
        <w:t>las víctimas</w:t>
      </w:r>
      <w:r w:rsidR="00CE0405" w:rsidRPr="0092295B">
        <w:rPr>
          <w:szCs w:val="20"/>
          <w:lang w:val="es-CR"/>
        </w:rPr>
        <w:t xml:space="preserve"> ha</w:t>
      </w:r>
      <w:r w:rsidR="00AD31FD">
        <w:rPr>
          <w:szCs w:val="20"/>
          <w:lang w:val="es-CR"/>
        </w:rPr>
        <w:t>bía</w:t>
      </w:r>
      <w:r w:rsidR="00E87112" w:rsidRPr="0092295B">
        <w:rPr>
          <w:szCs w:val="20"/>
          <w:lang w:val="es-CR"/>
        </w:rPr>
        <w:t xml:space="preserve"> recibido rubro alguno, indemnización, proporcionales u otras prestaciones que no sea aquella prevista en la ley invocada respecto a la pensión de retiro. </w:t>
      </w:r>
      <w:r w:rsidR="00E87112" w:rsidRPr="0092295B">
        <w:rPr>
          <w:rFonts w:eastAsia="Times New Roman" w:cs="Arial"/>
          <w:sz w:val="16"/>
          <w:szCs w:val="16"/>
        </w:rPr>
        <w:t xml:space="preserve"> </w:t>
      </w:r>
    </w:p>
    <w:p w14:paraId="3991A607" w14:textId="77777777" w:rsidR="006F7930" w:rsidRPr="0092295B" w:rsidRDefault="006F7930" w:rsidP="00276ECB">
      <w:pPr>
        <w:pStyle w:val="Prrafodelista"/>
        <w:ind w:left="0"/>
        <w:rPr>
          <w:rFonts w:cs="Arial"/>
          <w:strike/>
          <w:color w:val="000000" w:themeColor="text1"/>
          <w:szCs w:val="20"/>
          <w:u w:val="single"/>
        </w:rPr>
      </w:pPr>
    </w:p>
    <w:p w14:paraId="685D95AA" w14:textId="4B1594EA" w:rsidR="00E87112" w:rsidRPr="0092295B" w:rsidRDefault="00E87112" w:rsidP="00276ECB">
      <w:pPr>
        <w:pStyle w:val="Prrafodelista"/>
        <w:numPr>
          <w:ilvl w:val="0"/>
          <w:numId w:val="29"/>
        </w:numPr>
        <w:ind w:left="0" w:firstLine="0"/>
        <w:rPr>
          <w:rFonts w:cs="Arial"/>
          <w:strike/>
          <w:color w:val="000000" w:themeColor="text1"/>
          <w:szCs w:val="20"/>
          <w:u w:val="single"/>
        </w:rPr>
      </w:pPr>
      <w:r w:rsidRPr="0092295B">
        <w:rPr>
          <w:rFonts w:eastAsia="Times New Roman" w:cs="Arial"/>
          <w:sz w:val="16"/>
          <w:szCs w:val="16"/>
        </w:rPr>
        <w:t xml:space="preserve"> </w:t>
      </w:r>
      <w:r w:rsidRPr="0092295B">
        <w:rPr>
          <w:szCs w:val="20"/>
        </w:rPr>
        <w:t>A</w:t>
      </w:r>
      <w:r w:rsidR="0098306F" w:rsidRPr="0092295B">
        <w:rPr>
          <w:szCs w:val="20"/>
        </w:rPr>
        <w:t>simismo, señalaron que actualmente</w:t>
      </w:r>
      <w:r w:rsidRPr="0092295B">
        <w:rPr>
          <w:szCs w:val="20"/>
        </w:rPr>
        <w:t xml:space="preserve"> todas las víctimas </w:t>
      </w:r>
      <w:r w:rsidRPr="0092295B">
        <w:rPr>
          <w:szCs w:val="20"/>
          <w:lang w:val="es-CR"/>
        </w:rPr>
        <w:t>son pensionistas del Instituto de Seguridad Social de la Policía Nacional,</w:t>
      </w:r>
      <w:r w:rsidRPr="0092295B">
        <w:rPr>
          <w:szCs w:val="20"/>
        </w:rPr>
        <w:t xml:space="preserve"> reciben una pensión y sus derechos derivados</w:t>
      </w:r>
      <w:r w:rsidRPr="0092295B">
        <w:rPr>
          <w:lang w:val="es-CR"/>
        </w:rPr>
        <w:t>.</w:t>
      </w:r>
    </w:p>
    <w:p w14:paraId="6605A914" w14:textId="77777777" w:rsidR="006F7930" w:rsidRPr="0092295B" w:rsidRDefault="006F7930" w:rsidP="00276ECB">
      <w:pPr>
        <w:pStyle w:val="Prrafodelista"/>
        <w:ind w:left="0"/>
        <w:rPr>
          <w:rFonts w:cs="Arial"/>
          <w:color w:val="000000" w:themeColor="text1"/>
          <w:szCs w:val="20"/>
          <w:u w:val="single"/>
        </w:rPr>
      </w:pPr>
    </w:p>
    <w:p w14:paraId="3FAC8F5D" w14:textId="6045CBA4" w:rsidR="006B1FC4" w:rsidRPr="0092295B" w:rsidRDefault="006B1FC4" w:rsidP="00276ECB">
      <w:pPr>
        <w:pStyle w:val="Prrafodelista"/>
        <w:numPr>
          <w:ilvl w:val="0"/>
          <w:numId w:val="29"/>
        </w:numPr>
        <w:spacing w:before="0" w:after="0"/>
        <w:ind w:left="0" w:firstLine="0"/>
        <w:rPr>
          <w:strike/>
          <w:szCs w:val="20"/>
          <w:u w:val="single"/>
          <w:lang w:val="es-MX"/>
        </w:rPr>
      </w:pPr>
      <w:r w:rsidRPr="0092295B">
        <w:rPr>
          <w:szCs w:val="20"/>
        </w:rPr>
        <w:t>En el presente caso, este Tri</w:t>
      </w:r>
      <w:r w:rsidR="008D3258" w:rsidRPr="0092295B">
        <w:rPr>
          <w:szCs w:val="20"/>
        </w:rPr>
        <w:t>bunal nota que el representante</w:t>
      </w:r>
      <w:r w:rsidR="008D3258" w:rsidRPr="0092295B">
        <w:t xml:space="preserve"> solicitó</w:t>
      </w:r>
      <w:r w:rsidRPr="0092295B">
        <w:t xml:space="preserve"> montos específicos para cada una de las víctimas, pero que no aportó </w:t>
      </w:r>
      <w:r w:rsidR="008D3258" w:rsidRPr="0092295B">
        <w:t xml:space="preserve">comprobantes </w:t>
      </w:r>
      <w:r w:rsidRPr="0092295B">
        <w:t xml:space="preserve">para evaluar los daños materiales </w:t>
      </w:r>
      <w:r w:rsidR="008D3258" w:rsidRPr="0092295B">
        <w:rPr>
          <w:szCs w:val="20"/>
        </w:rPr>
        <w:t>relacionados con</w:t>
      </w:r>
      <w:r w:rsidRPr="0092295B">
        <w:rPr>
          <w:szCs w:val="20"/>
        </w:rPr>
        <w:t xml:space="preserve"> los gastos por daño emergente</w:t>
      </w:r>
      <w:r w:rsidR="008D3258" w:rsidRPr="0092295B">
        <w:rPr>
          <w:szCs w:val="20"/>
        </w:rPr>
        <w:t>, ni</w:t>
      </w:r>
      <w:r w:rsidRPr="0092295B">
        <w:rPr>
          <w:szCs w:val="20"/>
        </w:rPr>
        <w:t xml:space="preserve"> </w:t>
      </w:r>
      <w:r w:rsidR="002755A9" w:rsidRPr="0092295B">
        <w:rPr>
          <w:szCs w:val="20"/>
        </w:rPr>
        <w:t>justificación</w:t>
      </w:r>
      <w:r w:rsidRPr="0092295B">
        <w:rPr>
          <w:szCs w:val="20"/>
        </w:rPr>
        <w:t xml:space="preserve"> del lucro cesante.</w:t>
      </w:r>
      <w:r w:rsidRPr="0092295B">
        <w:rPr>
          <w:szCs w:val="20"/>
          <w:u w:val="single"/>
        </w:rPr>
        <w:t xml:space="preserve"> </w:t>
      </w:r>
    </w:p>
    <w:p w14:paraId="41629711" w14:textId="77777777" w:rsidR="006B1FC4" w:rsidRPr="0092295B" w:rsidRDefault="006B1FC4" w:rsidP="00276ECB">
      <w:pPr>
        <w:pStyle w:val="Prrafodelista"/>
        <w:ind w:left="0"/>
        <w:rPr>
          <w:rFonts w:cs="Arial"/>
          <w:b/>
          <w:strike/>
          <w:color w:val="000000" w:themeColor="text1"/>
          <w:szCs w:val="20"/>
          <w:u w:val="single"/>
        </w:rPr>
      </w:pPr>
    </w:p>
    <w:p w14:paraId="6FBAEEAE" w14:textId="085EFD7E" w:rsidR="00204C95" w:rsidRPr="00CF60EF" w:rsidRDefault="006F7930" w:rsidP="00CF60EF">
      <w:pPr>
        <w:pStyle w:val="Prrafodelista"/>
        <w:numPr>
          <w:ilvl w:val="0"/>
          <w:numId w:val="29"/>
        </w:numPr>
        <w:ind w:left="0" w:firstLine="0"/>
        <w:rPr>
          <w:rFonts w:cs="Arial"/>
          <w:strike/>
          <w:color w:val="000000" w:themeColor="text1"/>
          <w:szCs w:val="20"/>
          <w:u w:val="single"/>
        </w:rPr>
      </w:pPr>
      <w:r w:rsidRPr="0092295B">
        <w:rPr>
          <w:rFonts w:eastAsia="Times New Roman" w:cs="Arial"/>
          <w:szCs w:val="20"/>
        </w:rPr>
        <w:t xml:space="preserve">De lo anterior, la </w:t>
      </w:r>
      <w:r w:rsidR="00DA4251" w:rsidRPr="0092295B">
        <w:rPr>
          <w:rFonts w:eastAsia="Times New Roman" w:cs="Arial"/>
          <w:szCs w:val="20"/>
        </w:rPr>
        <w:t xml:space="preserve">Corte constata que las </w:t>
      </w:r>
      <w:r w:rsidRPr="0092295B">
        <w:rPr>
          <w:rFonts w:eastAsia="Times New Roman" w:cs="Arial"/>
          <w:szCs w:val="20"/>
        </w:rPr>
        <w:t>víctimas siguie</w:t>
      </w:r>
      <w:r w:rsidR="00DA4251" w:rsidRPr="0092295B">
        <w:rPr>
          <w:rFonts w:eastAsia="Times New Roman" w:cs="Arial"/>
          <w:szCs w:val="20"/>
        </w:rPr>
        <w:t>ron recibiendo</w:t>
      </w:r>
      <w:r w:rsidRPr="0092295B">
        <w:rPr>
          <w:rFonts w:eastAsia="Times New Roman" w:cs="Arial"/>
          <w:szCs w:val="20"/>
        </w:rPr>
        <w:t>, según el caso</w:t>
      </w:r>
      <w:r w:rsidR="00EA53E4">
        <w:rPr>
          <w:rFonts w:eastAsia="Times New Roman" w:cs="Arial"/>
          <w:szCs w:val="20"/>
        </w:rPr>
        <w:t>,</w:t>
      </w:r>
      <w:r w:rsidRPr="0092295B">
        <w:rPr>
          <w:rFonts w:eastAsia="Times New Roman" w:cs="Arial"/>
          <w:szCs w:val="20"/>
        </w:rPr>
        <w:t xml:space="preserve"> las </w:t>
      </w:r>
      <w:r w:rsidR="00DA4251" w:rsidRPr="0092295B">
        <w:rPr>
          <w:rFonts w:eastAsia="Times New Roman" w:cs="Arial"/>
          <w:szCs w:val="20"/>
        </w:rPr>
        <w:t xml:space="preserve">pensiones </w:t>
      </w:r>
      <w:r w:rsidRPr="0092295B">
        <w:rPr>
          <w:rFonts w:eastAsia="Times New Roman" w:cs="Arial"/>
          <w:szCs w:val="20"/>
        </w:rPr>
        <w:t xml:space="preserve">y las remuneraciones </w:t>
      </w:r>
      <w:r w:rsidR="00DA4251" w:rsidRPr="0092295B">
        <w:rPr>
          <w:rFonts w:eastAsia="Times New Roman" w:cs="Arial"/>
          <w:szCs w:val="20"/>
        </w:rPr>
        <w:t xml:space="preserve">mientras </w:t>
      </w:r>
      <w:r w:rsidRPr="0092295B">
        <w:rPr>
          <w:rFonts w:eastAsia="Times New Roman" w:cs="Arial"/>
          <w:szCs w:val="20"/>
        </w:rPr>
        <w:t xml:space="preserve">permanecieron </w:t>
      </w:r>
      <w:r w:rsidR="00DA4251" w:rsidRPr="0092295B">
        <w:rPr>
          <w:rFonts w:eastAsia="Times New Roman" w:cs="Arial"/>
          <w:szCs w:val="20"/>
        </w:rPr>
        <w:t xml:space="preserve">detenidas </w:t>
      </w:r>
      <w:r w:rsidR="006B1FC4" w:rsidRPr="0092295B">
        <w:rPr>
          <w:rFonts w:eastAsia="Times New Roman" w:cs="Arial"/>
          <w:szCs w:val="20"/>
        </w:rPr>
        <w:t xml:space="preserve">y </w:t>
      </w:r>
      <w:r w:rsidRPr="0092295B">
        <w:rPr>
          <w:rFonts w:eastAsia="Times New Roman" w:cs="Arial"/>
          <w:szCs w:val="20"/>
        </w:rPr>
        <w:t xml:space="preserve">durante el proceso penal </w:t>
      </w:r>
      <w:r w:rsidR="008D3258" w:rsidRPr="0092295B">
        <w:rPr>
          <w:rFonts w:eastAsia="Times New Roman" w:cs="Arial"/>
          <w:szCs w:val="20"/>
        </w:rPr>
        <w:t>policial.  Respecto a las</w:t>
      </w:r>
      <w:r w:rsidR="00AD31FD">
        <w:rPr>
          <w:rFonts w:eastAsia="Times New Roman" w:cs="Arial"/>
          <w:b/>
          <w:szCs w:val="20"/>
        </w:rPr>
        <w:t xml:space="preserve"> </w:t>
      </w:r>
      <w:r w:rsidR="00AD31FD" w:rsidRPr="00036404">
        <w:rPr>
          <w:rFonts w:eastAsia="Times New Roman" w:cs="Arial"/>
          <w:szCs w:val="20"/>
        </w:rPr>
        <w:t>cuatro</w:t>
      </w:r>
      <w:r w:rsidRPr="00036404">
        <w:rPr>
          <w:rFonts w:eastAsia="Times New Roman" w:cs="Arial"/>
          <w:szCs w:val="20"/>
        </w:rPr>
        <w:t xml:space="preserve"> víctimas que se encontraban en servicio activo</w:t>
      </w:r>
      <w:r w:rsidRPr="00303E56">
        <w:rPr>
          <w:rFonts w:eastAsia="Times New Roman" w:cs="Arial"/>
          <w:szCs w:val="20"/>
        </w:rPr>
        <w:t xml:space="preserve">, </w:t>
      </w:r>
      <w:r w:rsidR="00303E56" w:rsidRPr="00303E56">
        <w:rPr>
          <w:rFonts w:eastAsia="Times New Roman" w:cs="Arial"/>
          <w:szCs w:val="20"/>
        </w:rPr>
        <w:t>posteriormente se r</w:t>
      </w:r>
      <w:r w:rsidR="00A511C3">
        <w:rPr>
          <w:rFonts w:eastAsia="Times New Roman" w:cs="Arial"/>
          <w:szCs w:val="20"/>
        </w:rPr>
        <w:t>eincorporaron</w:t>
      </w:r>
      <w:r w:rsidR="00DA4251" w:rsidRPr="00303E56">
        <w:rPr>
          <w:rFonts w:eastAsia="Times New Roman" w:cs="Arial"/>
          <w:szCs w:val="20"/>
        </w:rPr>
        <w:t xml:space="preserve">. </w:t>
      </w:r>
      <w:r w:rsidRPr="00303E56">
        <w:rPr>
          <w:rFonts w:eastAsia="Times New Roman" w:cs="Arial"/>
          <w:szCs w:val="20"/>
        </w:rPr>
        <w:t>E</w:t>
      </w:r>
      <w:r w:rsidR="0098306F" w:rsidRPr="00303E56">
        <w:rPr>
          <w:rFonts w:eastAsia="Times New Roman" w:cs="Arial"/>
          <w:szCs w:val="20"/>
        </w:rPr>
        <w:t xml:space="preserve">n consecuencia, la Corte fija, </w:t>
      </w:r>
      <w:r w:rsidRPr="00303E56">
        <w:rPr>
          <w:rFonts w:eastAsia="Times New Roman" w:cs="Arial"/>
          <w:szCs w:val="20"/>
        </w:rPr>
        <w:t>en equidad</w:t>
      </w:r>
      <w:r w:rsidR="0098306F" w:rsidRPr="00303E56">
        <w:rPr>
          <w:rFonts w:eastAsia="Times New Roman" w:cs="Arial"/>
          <w:szCs w:val="20"/>
        </w:rPr>
        <w:t>,</w:t>
      </w:r>
      <w:r w:rsidRPr="00303E56">
        <w:rPr>
          <w:rFonts w:eastAsia="Times New Roman" w:cs="Arial"/>
          <w:szCs w:val="20"/>
        </w:rPr>
        <w:t xml:space="preserve"> la suma de USD</w:t>
      </w:r>
      <w:r w:rsidR="0098306F" w:rsidRPr="00303E56">
        <w:rPr>
          <w:rFonts w:eastAsia="Times New Roman" w:cs="Arial"/>
          <w:szCs w:val="20"/>
        </w:rPr>
        <w:t>$10,</w:t>
      </w:r>
      <w:r w:rsidRPr="00303E56">
        <w:rPr>
          <w:rFonts w:eastAsia="Times New Roman" w:cs="Arial"/>
          <w:szCs w:val="20"/>
        </w:rPr>
        <w:t>000</w:t>
      </w:r>
      <w:r w:rsidR="00770E8E" w:rsidRPr="00303E56">
        <w:rPr>
          <w:rFonts w:eastAsia="Times New Roman" w:cs="Arial"/>
          <w:szCs w:val="20"/>
        </w:rPr>
        <w:t>.</w:t>
      </w:r>
      <w:r w:rsidR="0098306F" w:rsidRPr="00303E56">
        <w:rPr>
          <w:rFonts w:eastAsia="Times New Roman" w:cs="Arial"/>
          <w:szCs w:val="20"/>
        </w:rPr>
        <w:t>00</w:t>
      </w:r>
      <w:r w:rsidRPr="00303E56">
        <w:rPr>
          <w:rFonts w:eastAsia="Times New Roman" w:cs="Arial"/>
          <w:szCs w:val="20"/>
        </w:rPr>
        <w:t xml:space="preserve"> (diez mil dólares de los Estados Unidos de América) por concepto de daño material</w:t>
      </w:r>
      <w:r w:rsidR="006B1FC4" w:rsidRPr="00303E56">
        <w:rPr>
          <w:rFonts w:eastAsia="Times New Roman" w:cs="Arial"/>
          <w:szCs w:val="20"/>
        </w:rPr>
        <w:t xml:space="preserve"> para cada una de las víctimas</w:t>
      </w:r>
      <w:r w:rsidRPr="00303E56">
        <w:rPr>
          <w:rFonts w:eastAsia="Times New Roman" w:cs="Arial"/>
          <w:szCs w:val="20"/>
        </w:rPr>
        <w:t>.</w:t>
      </w:r>
      <w:r w:rsidR="0098306F" w:rsidRPr="00303E56">
        <w:rPr>
          <w:rFonts w:eastAsia="Times New Roman" w:cs="Arial"/>
          <w:szCs w:val="20"/>
        </w:rPr>
        <w:t xml:space="preserve"> </w:t>
      </w:r>
      <w:r w:rsidR="0098306F" w:rsidRPr="00303E56">
        <w:rPr>
          <w:szCs w:val="20"/>
        </w:rPr>
        <w:t>La cantidad fijada deberá ser entr</w:t>
      </w:r>
      <w:r w:rsidR="0098306F" w:rsidRPr="0092295B">
        <w:rPr>
          <w:szCs w:val="20"/>
        </w:rPr>
        <w:t xml:space="preserve">egada a cada una de las víctimas, </w:t>
      </w:r>
      <w:r w:rsidR="0098306F" w:rsidRPr="0092295B">
        <w:rPr>
          <w:iCs/>
          <w:szCs w:val="20"/>
          <w:lang w:val="es-ES"/>
        </w:rPr>
        <w:t>Jorge Humberto Villarroel Merino, Mario Romel Cevallos Moreno, Jorge Enrique Coloma Gaibor, Fernando</w:t>
      </w:r>
      <w:r w:rsidR="002D700A">
        <w:rPr>
          <w:iCs/>
          <w:szCs w:val="20"/>
          <w:lang w:val="es-ES"/>
        </w:rPr>
        <w:t xml:space="preserve"> Marcelo López Ortiz, Leoncio A</w:t>
      </w:r>
      <w:r w:rsidR="0098306F" w:rsidRPr="0092295B">
        <w:rPr>
          <w:iCs/>
          <w:szCs w:val="20"/>
          <w:lang w:val="es-ES"/>
        </w:rPr>
        <w:t>mí</w:t>
      </w:r>
      <w:r w:rsidR="002D700A">
        <w:rPr>
          <w:iCs/>
          <w:szCs w:val="20"/>
          <w:lang w:val="es-ES"/>
        </w:rPr>
        <w:t>l</w:t>
      </w:r>
      <w:r w:rsidR="0098306F" w:rsidRPr="0092295B">
        <w:rPr>
          <w:iCs/>
          <w:szCs w:val="20"/>
          <w:lang w:val="es-ES"/>
        </w:rPr>
        <w:t>car Ascázubi Albán y Alfonso Patricio Vinueza Pánchez</w:t>
      </w:r>
      <w:r w:rsidR="00055A0E">
        <w:rPr>
          <w:iCs/>
          <w:szCs w:val="20"/>
          <w:lang w:val="es-ES"/>
        </w:rPr>
        <w:t>.</w:t>
      </w:r>
    </w:p>
    <w:p w14:paraId="17DC95E6" w14:textId="4B8DD50F" w:rsidR="006B1FC4" w:rsidRPr="00CF60EF" w:rsidRDefault="00870EAA" w:rsidP="00CF60EF">
      <w:pPr>
        <w:pStyle w:val="Ttulo3"/>
        <w:rPr>
          <w:i/>
          <w:lang w:val="es-MX"/>
        </w:rPr>
      </w:pPr>
      <w:bookmarkStart w:id="151" w:name="_Toc87339044"/>
      <w:r>
        <w:rPr>
          <w:i/>
          <w:lang w:val="es-MX"/>
        </w:rPr>
        <w:t>D.2</w:t>
      </w:r>
      <w:r w:rsidR="00204C95" w:rsidRPr="00CF60EF">
        <w:rPr>
          <w:i/>
          <w:lang w:val="es-MX"/>
        </w:rPr>
        <w:t xml:space="preserve"> Daño inmaterial</w:t>
      </w:r>
      <w:bookmarkEnd w:id="151"/>
    </w:p>
    <w:p w14:paraId="0141D1BD" w14:textId="6E26B67F" w:rsidR="00204C95" w:rsidRPr="0092295B" w:rsidRDefault="00204C95" w:rsidP="00276ECB">
      <w:pPr>
        <w:pStyle w:val="Prrafodelista"/>
        <w:numPr>
          <w:ilvl w:val="0"/>
          <w:numId w:val="29"/>
        </w:numPr>
        <w:spacing w:before="0" w:after="0"/>
        <w:ind w:left="0" w:firstLine="0"/>
        <w:rPr>
          <w:szCs w:val="20"/>
          <w:u w:val="single"/>
          <w:lang w:val="es-ES"/>
        </w:rPr>
      </w:pPr>
      <w:r w:rsidRPr="0092295B">
        <w:t>Asimismo,</w:t>
      </w:r>
      <w:r w:rsidR="00EA53E4">
        <w:t xml:space="preserve"> la Corte</w:t>
      </w:r>
      <w:r w:rsidRPr="0092295B">
        <w:t xml:space="preserve"> ha desarrollado en su jurisprudencia el concepto de daño inmaterial, y ha establecido que este puede comprender tanto los sufrimientos y las aflicciones causados a la víctima directa y a sus allegados, como el menoscabo de valores muy significativos para las personas, así como las alteraciones, de carácter no pecuniario, en las condiciones de existencia de la víctima o su familia</w:t>
      </w:r>
      <w:r w:rsidRPr="0092295B">
        <w:rPr>
          <w:rStyle w:val="Refdenotaalpie"/>
        </w:rPr>
        <w:footnoteReference w:id="164"/>
      </w:r>
      <w:r w:rsidRPr="0092295B">
        <w:t>.</w:t>
      </w:r>
    </w:p>
    <w:p w14:paraId="1C4EFAC4" w14:textId="77777777" w:rsidR="0098306F" w:rsidRPr="0092295B" w:rsidRDefault="0098306F" w:rsidP="00276ECB">
      <w:pPr>
        <w:pStyle w:val="Prrafodelista"/>
        <w:spacing w:before="0" w:after="0"/>
        <w:ind w:left="0"/>
        <w:rPr>
          <w:szCs w:val="20"/>
          <w:u w:val="single"/>
          <w:lang w:val="es-ES"/>
        </w:rPr>
      </w:pPr>
    </w:p>
    <w:p w14:paraId="5913AAEC" w14:textId="087E817B" w:rsidR="006B1FC4" w:rsidRPr="0092295B" w:rsidRDefault="0098306F" w:rsidP="00276ECB">
      <w:pPr>
        <w:pStyle w:val="Prrafodelista"/>
        <w:numPr>
          <w:ilvl w:val="0"/>
          <w:numId w:val="29"/>
        </w:numPr>
        <w:ind w:left="0" w:firstLine="0"/>
        <w:rPr>
          <w:rFonts w:cs="Arial"/>
          <w:b/>
          <w:strike/>
          <w:color w:val="000000" w:themeColor="text1"/>
          <w:szCs w:val="20"/>
          <w:u w:val="single"/>
        </w:rPr>
      </w:pPr>
      <w:r w:rsidRPr="0092295B">
        <w:rPr>
          <w:rFonts w:cs="Arial"/>
          <w:color w:val="000000" w:themeColor="text1"/>
          <w:szCs w:val="20"/>
        </w:rPr>
        <w:t>Para la fijación de la indemnización la Corte tomará en cuenta las violaciones declaradas y el daño ocasionado.</w:t>
      </w:r>
    </w:p>
    <w:p w14:paraId="51622A59" w14:textId="77777777" w:rsidR="00CE0405" w:rsidRPr="0092295B" w:rsidRDefault="00CE0405" w:rsidP="00276ECB">
      <w:pPr>
        <w:pStyle w:val="Prrafodelista"/>
        <w:ind w:left="0"/>
        <w:rPr>
          <w:rFonts w:cs="Arial"/>
          <w:b/>
          <w:strike/>
          <w:color w:val="000000" w:themeColor="text1"/>
          <w:szCs w:val="20"/>
          <w:u w:val="single"/>
        </w:rPr>
      </w:pPr>
    </w:p>
    <w:p w14:paraId="557BE181" w14:textId="55F2DCA4" w:rsidR="006B1FC4" w:rsidRPr="0092295B" w:rsidRDefault="006B1FC4" w:rsidP="00276ECB">
      <w:pPr>
        <w:pStyle w:val="Prrafodelista"/>
        <w:numPr>
          <w:ilvl w:val="0"/>
          <w:numId w:val="29"/>
        </w:numPr>
        <w:ind w:left="0" w:firstLine="0"/>
        <w:rPr>
          <w:rFonts w:cs="Arial"/>
          <w:b/>
          <w:color w:val="000000" w:themeColor="text1"/>
          <w:szCs w:val="20"/>
          <w:u w:val="single"/>
        </w:rPr>
      </w:pPr>
      <w:r w:rsidRPr="0092295B">
        <w:rPr>
          <w:rFonts w:cs="Arial"/>
          <w:color w:val="000000" w:themeColor="text1"/>
          <w:szCs w:val="20"/>
        </w:rPr>
        <w:t>El Estado observó que las víctimas no fundamentaron sus reclamaciones con base a los parámetros fijados por la jurisprudencia interamericana. Tampoco sustentaron las presuntas afectaciones inmateriales específicas que afirmaron haber sufrido. Incluso, el Estado hizo</w:t>
      </w:r>
      <w:r w:rsidR="00CF7D42">
        <w:rPr>
          <w:rFonts w:cs="Arial"/>
          <w:color w:val="000000" w:themeColor="text1"/>
          <w:szCs w:val="20"/>
        </w:rPr>
        <w:t xml:space="preserve"> notar</w:t>
      </w:r>
      <w:r w:rsidRPr="0092295B">
        <w:rPr>
          <w:rFonts w:cs="Arial"/>
          <w:color w:val="000000" w:themeColor="text1"/>
          <w:szCs w:val="20"/>
        </w:rPr>
        <w:t xml:space="preserve"> </w:t>
      </w:r>
      <w:r w:rsidR="003978AF">
        <w:rPr>
          <w:rFonts w:cs="Arial"/>
          <w:color w:val="000000" w:themeColor="text1"/>
          <w:szCs w:val="20"/>
        </w:rPr>
        <w:t>algunas</w:t>
      </w:r>
      <w:r w:rsidRPr="0092295B">
        <w:rPr>
          <w:rFonts w:cs="Arial"/>
          <w:color w:val="000000" w:themeColor="text1"/>
          <w:szCs w:val="20"/>
        </w:rPr>
        <w:t xml:space="preserve"> alegaciones contradictorias. </w:t>
      </w:r>
    </w:p>
    <w:p w14:paraId="4624A3F7" w14:textId="77777777" w:rsidR="00CE0405" w:rsidRPr="0092295B" w:rsidRDefault="00CE0405" w:rsidP="00276ECB">
      <w:pPr>
        <w:pStyle w:val="Prrafodelista"/>
        <w:ind w:left="0"/>
        <w:rPr>
          <w:rFonts w:cs="Arial"/>
          <w:b/>
          <w:color w:val="000000" w:themeColor="text1"/>
          <w:szCs w:val="20"/>
          <w:u w:val="single"/>
        </w:rPr>
      </w:pPr>
    </w:p>
    <w:p w14:paraId="6B8EAA6C" w14:textId="414E2D76" w:rsidR="00535DAF" w:rsidRPr="0092295B" w:rsidRDefault="0098306F" w:rsidP="00276ECB">
      <w:pPr>
        <w:pStyle w:val="Prrafodelista"/>
        <w:numPr>
          <w:ilvl w:val="0"/>
          <w:numId w:val="29"/>
        </w:numPr>
        <w:spacing w:before="0" w:after="0"/>
        <w:ind w:left="0" w:firstLine="0"/>
        <w:rPr>
          <w:b/>
          <w:strike/>
          <w:szCs w:val="20"/>
          <w:u w:val="single"/>
          <w:lang w:val="es-MX"/>
        </w:rPr>
      </w:pPr>
      <w:r w:rsidRPr="0092295B">
        <w:rPr>
          <w:szCs w:val="20"/>
        </w:rPr>
        <w:t xml:space="preserve">La </w:t>
      </w:r>
      <w:r w:rsidRPr="0092295B">
        <w:rPr>
          <w:b/>
          <w:i/>
          <w:szCs w:val="20"/>
        </w:rPr>
        <w:t xml:space="preserve">Corte </w:t>
      </w:r>
      <w:r w:rsidRPr="0092295B">
        <w:rPr>
          <w:szCs w:val="20"/>
        </w:rPr>
        <w:t xml:space="preserve">en el presente caso declaró la violación de la libertad personal en relación con </w:t>
      </w:r>
      <w:r w:rsidR="00EA53E4">
        <w:rPr>
          <w:szCs w:val="20"/>
        </w:rPr>
        <w:t xml:space="preserve">la </w:t>
      </w:r>
      <w:r w:rsidRPr="0092295B">
        <w:rPr>
          <w:szCs w:val="20"/>
        </w:rPr>
        <w:t xml:space="preserve">detención ilegal y arbitraria de los señores </w:t>
      </w:r>
      <w:r w:rsidRPr="0092295B">
        <w:rPr>
          <w:rFonts w:eastAsia="Times New Roman" w:cs="Times New Roman"/>
          <w:szCs w:val="20"/>
          <w:lang w:val="es-CR" w:eastAsia="en-GB"/>
        </w:rPr>
        <w:t xml:space="preserve">Jorge Humberto Villarroel Merino, </w:t>
      </w:r>
      <w:r w:rsidRPr="0092295B">
        <w:rPr>
          <w:szCs w:val="20"/>
        </w:rPr>
        <w:t>Jorge Coloma Gaibor, Fernando López Ortiz, Amílcar Ascázubi Albán y Patricio Vinueza Pánchez por el período de un año y el señor Mario Cevallos Moreno por el período de cinco meses y diecisiete días</w:t>
      </w:r>
      <w:r w:rsidRPr="0092295B">
        <w:rPr>
          <w:rStyle w:val="Refdenotaalpie"/>
        </w:rPr>
        <w:footnoteReference w:id="165"/>
      </w:r>
      <w:r w:rsidRPr="0092295B">
        <w:rPr>
          <w:szCs w:val="20"/>
        </w:rPr>
        <w:t xml:space="preserve">, quienes no contaron con un recurso idóneo y efectivo </w:t>
      </w:r>
      <w:r w:rsidRPr="0092295B">
        <w:rPr>
          <w:szCs w:val="20"/>
          <w:lang w:val="es-CR"/>
        </w:rPr>
        <w:t xml:space="preserve">para controlar su </w:t>
      </w:r>
      <w:r w:rsidR="00B7210C">
        <w:rPr>
          <w:szCs w:val="20"/>
          <w:lang w:val="es-CR"/>
        </w:rPr>
        <w:t xml:space="preserve">privación de </w:t>
      </w:r>
      <w:r w:rsidRPr="0092295B">
        <w:rPr>
          <w:szCs w:val="20"/>
          <w:lang w:val="es-CR"/>
        </w:rPr>
        <w:t>libertad, ni con las garantías judiciales por no contar con un juez independiente e imparcial</w:t>
      </w:r>
      <w:r w:rsidRPr="0045729D">
        <w:rPr>
          <w:szCs w:val="20"/>
          <w:lang w:val="es-CR"/>
        </w:rPr>
        <w:t>.</w:t>
      </w:r>
      <w:r w:rsidRPr="0092295B">
        <w:rPr>
          <w:szCs w:val="20"/>
          <w:lang w:val="es-CR"/>
        </w:rPr>
        <w:t xml:space="preserve"> </w:t>
      </w:r>
      <w:r w:rsidR="00CE0405" w:rsidRPr="0092295B">
        <w:rPr>
          <w:szCs w:val="20"/>
          <w:lang w:val="es-CR"/>
        </w:rPr>
        <w:t xml:space="preserve">Por lo que, </w:t>
      </w:r>
      <w:r w:rsidR="00535DAF" w:rsidRPr="0092295B">
        <w:t>este Tribunal entiende que, dada la naturaleza de los hechos y violaciones determinados en la presente Sentencia, las víc</w:t>
      </w:r>
      <w:r w:rsidRPr="0092295B">
        <w:t>timas han sufrido daños</w:t>
      </w:r>
      <w:r w:rsidR="00535DAF" w:rsidRPr="0092295B">
        <w:t xml:space="preserve"> inmateriales que deben ser compensados. Por ello, determina, en equidad, </w:t>
      </w:r>
      <w:r w:rsidR="00177BCB">
        <w:t>par</w:t>
      </w:r>
      <w:r w:rsidR="00535DAF" w:rsidRPr="0092295B">
        <w:t xml:space="preserve">a </w:t>
      </w:r>
      <w:r w:rsidRPr="0092295B">
        <w:t xml:space="preserve">cada </w:t>
      </w:r>
      <w:r w:rsidR="00535DAF" w:rsidRPr="0092295B">
        <w:t xml:space="preserve">una de las víctimas, </w:t>
      </w:r>
      <w:r w:rsidR="00CE0405" w:rsidRPr="0092295B">
        <w:t xml:space="preserve">el monto que </w:t>
      </w:r>
      <w:r w:rsidR="00535DAF" w:rsidRPr="0092295B">
        <w:t>a continuación</w:t>
      </w:r>
      <w:r w:rsidR="00CE0405" w:rsidRPr="0092295B">
        <w:t xml:space="preserve"> se detalla</w:t>
      </w:r>
      <w:r w:rsidR="00535DAF" w:rsidRPr="0092295B">
        <w:t>:</w:t>
      </w:r>
      <w:r w:rsidR="00535DAF" w:rsidRPr="0092295B">
        <w:rPr>
          <w:szCs w:val="20"/>
          <w:u w:val="single"/>
        </w:rPr>
        <w:t xml:space="preserve"> </w:t>
      </w:r>
    </w:p>
    <w:p w14:paraId="5B2CD14B" w14:textId="77777777" w:rsidR="00535DAF" w:rsidRPr="0092295B" w:rsidRDefault="00535DAF" w:rsidP="00535DAF">
      <w:pPr>
        <w:pStyle w:val="Prrafodelista"/>
        <w:rPr>
          <w:szCs w:val="20"/>
          <w:u w:val="single"/>
        </w:rPr>
      </w:pPr>
    </w:p>
    <w:p w14:paraId="6165FEFD" w14:textId="7F08A953" w:rsidR="00535DAF" w:rsidRPr="0092295B" w:rsidRDefault="00535DAF" w:rsidP="00161155">
      <w:pPr>
        <w:pStyle w:val="Prrafodelista"/>
        <w:numPr>
          <w:ilvl w:val="0"/>
          <w:numId w:val="14"/>
        </w:numPr>
        <w:spacing w:before="0" w:after="0"/>
        <w:ind w:firstLine="0"/>
        <w:rPr>
          <w:b/>
          <w:strike/>
          <w:szCs w:val="20"/>
          <w:lang w:val="es-MX"/>
        </w:rPr>
      </w:pPr>
      <w:r w:rsidRPr="0092295B">
        <w:rPr>
          <w:iCs/>
          <w:szCs w:val="20"/>
          <w:lang w:val="es-ES"/>
        </w:rPr>
        <w:t xml:space="preserve">Jorge Humberto Villarroel Merino: </w:t>
      </w:r>
      <w:r w:rsidR="00F85817" w:rsidRPr="0092295B">
        <w:t>US$</w:t>
      </w:r>
      <w:r w:rsidR="006B1FC4" w:rsidRPr="0092295B">
        <w:t>3</w:t>
      </w:r>
      <w:r w:rsidR="0098306F" w:rsidRPr="0092295B">
        <w:t>0,000</w:t>
      </w:r>
      <w:r w:rsidR="00770E8E">
        <w:t>.</w:t>
      </w:r>
      <w:r w:rsidRPr="0092295B">
        <w:t>00 (</w:t>
      </w:r>
      <w:r w:rsidR="003978AF">
        <w:t xml:space="preserve">treinta mil </w:t>
      </w:r>
      <w:r w:rsidRPr="0092295B">
        <w:t>dólares de los Estados Unidos de América);</w:t>
      </w:r>
    </w:p>
    <w:p w14:paraId="20F41A76" w14:textId="702E5C65" w:rsidR="00535DAF" w:rsidRPr="0092295B" w:rsidRDefault="00535DAF" w:rsidP="00161155">
      <w:pPr>
        <w:pStyle w:val="Prrafodelista"/>
        <w:numPr>
          <w:ilvl w:val="0"/>
          <w:numId w:val="14"/>
        </w:numPr>
        <w:spacing w:before="0" w:after="0"/>
        <w:ind w:firstLine="0"/>
        <w:rPr>
          <w:b/>
          <w:strike/>
          <w:szCs w:val="20"/>
          <w:lang w:val="es-MX"/>
        </w:rPr>
      </w:pPr>
      <w:r w:rsidRPr="0092295B">
        <w:rPr>
          <w:iCs/>
          <w:szCs w:val="20"/>
          <w:lang w:val="es-ES"/>
        </w:rPr>
        <w:t xml:space="preserve">Mario Romel Cevallos Moreno: </w:t>
      </w:r>
      <w:r w:rsidR="00F85817" w:rsidRPr="0092295B">
        <w:t>US$</w:t>
      </w:r>
      <w:r w:rsidR="0098306F" w:rsidRPr="0092295B">
        <w:t>20,000</w:t>
      </w:r>
      <w:r w:rsidR="00770E8E">
        <w:t>.</w:t>
      </w:r>
      <w:r w:rsidRPr="0092295B">
        <w:t>00 (</w:t>
      </w:r>
      <w:r w:rsidR="003978AF">
        <w:t>veinte mil</w:t>
      </w:r>
      <w:r w:rsidRPr="0092295B">
        <w:t xml:space="preserve"> dólares de los Estados Unidos de América);</w:t>
      </w:r>
    </w:p>
    <w:p w14:paraId="4FA7DF95" w14:textId="1463D1E7" w:rsidR="00535DAF" w:rsidRPr="0092295B" w:rsidRDefault="00535DAF" w:rsidP="00161155">
      <w:pPr>
        <w:pStyle w:val="Prrafodelista"/>
        <w:numPr>
          <w:ilvl w:val="0"/>
          <w:numId w:val="14"/>
        </w:numPr>
        <w:spacing w:before="0" w:after="0"/>
        <w:ind w:firstLine="0"/>
        <w:rPr>
          <w:b/>
          <w:strike/>
          <w:szCs w:val="20"/>
          <w:lang w:val="es-MX"/>
        </w:rPr>
      </w:pPr>
      <w:r w:rsidRPr="0092295B">
        <w:rPr>
          <w:iCs/>
          <w:szCs w:val="20"/>
          <w:lang w:val="es-ES"/>
        </w:rPr>
        <w:t xml:space="preserve">Jorge Enrique Coloma Gaibor: </w:t>
      </w:r>
      <w:r w:rsidR="00F85817" w:rsidRPr="0092295B">
        <w:t>US$3</w:t>
      </w:r>
      <w:r w:rsidR="0098306F" w:rsidRPr="0092295B">
        <w:t>0,000</w:t>
      </w:r>
      <w:r w:rsidR="00770E8E">
        <w:t>.</w:t>
      </w:r>
      <w:r w:rsidR="0098306F" w:rsidRPr="0092295B">
        <w:t xml:space="preserve">00 </w:t>
      </w:r>
      <w:r w:rsidR="003978AF">
        <w:t>(treinta mil</w:t>
      </w:r>
      <w:r w:rsidRPr="0092295B">
        <w:t xml:space="preserve"> dólares de los Estados Unidos de América);</w:t>
      </w:r>
    </w:p>
    <w:p w14:paraId="7639323D" w14:textId="268AFD02" w:rsidR="00535DAF" w:rsidRPr="0092295B" w:rsidRDefault="00535DAF" w:rsidP="00161155">
      <w:pPr>
        <w:pStyle w:val="Prrafodelista"/>
        <w:numPr>
          <w:ilvl w:val="0"/>
          <w:numId w:val="14"/>
        </w:numPr>
        <w:spacing w:before="0" w:after="0"/>
        <w:ind w:firstLine="0"/>
        <w:rPr>
          <w:b/>
          <w:strike/>
          <w:szCs w:val="20"/>
          <w:lang w:val="es-MX"/>
        </w:rPr>
      </w:pPr>
      <w:r w:rsidRPr="0092295B">
        <w:rPr>
          <w:iCs/>
          <w:szCs w:val="20"/>
          <w:lang w:val="es-ES"/>
        </w:rPr>
        <w:t xml:space="preserve">Fernando Marcelo López Ortiz: </w:t>
      </w:r>
      <w:r w:rsidR="00F85817" w:rsidRPr="0092295B">
        <w:t>US$</w:t>
      </w:r>
      <w:r w:rsidR="0098306F" w:rsidRPr="0092295B">
        <w:t>30,000</w:t>
      </w:r>
      <w:r w:rsidR="00770E8E">
        <w:t>.</w:t>
      </w:r>
      <w:r w:rsidR="0098306F" w:rsidRPr="0092295B">
        <w:t xml:space="preserve">00 </w:t>
      </w:r>
      <w:r w:rsidR="003978AF">
        <w:t>(treinta mil</w:t>
      </w:r>
      <w:r w:rsidRPr="0092295B">
        <w:t xml:space="preserve"> dólares de los Estados Unidos de América);</w:t>
      </w:r>
    </w:p>
    <w:p w14:paraId="0B494992" w14:textId="032F799B" w:rsidR="00535DAF" w:rsidRPr="0092295B" w:rsidRDefault="003723B8" w:rsidP="00161155">
      <w:pPr>
        <w:pStyle w:val="Prrafodelista"/>
        <w:numPr>
          <w:ilvl w:val="0"/>
          <w:numId w:val="14"/>
        </w:numPr>
        <w:spacing w:before="0" w:after="0"/>
        <w:ind w:firstLine="0"/>
        <w:rPr>
          <w:b/>
          <w:strike/>
          <w:szCs w:val="20"/>
          <w:lang w:val="es-MX"/>
        </w:rPr>
      </w:pPr>
      <w:r>
        <w:rPr>
          <w:iCs/>
          <w:szCs w:val="20"/>
          <w:lang w:val="es-ES"/>
        </w:rPr>
        <w:t>Leoncio A</w:t>
      </w:r>
      <w:r w:rsidR="00535DAF" w:rsidRPr="0092295B">
        <w:rPr>
          <w:iCs/>
          <w:szCs w:val="20"/>
          <w:lang w:val="es-ES"/>
        </w:rPr>
        <w:t>mí</w:t>
      </w:r>
      <w:r>
        <w:rPr>
          <w:iCs/>
          <w:szCs w:val="20"/>
          <w:lang w:val="es-ES"/>
        </w:rPr>
        <w:t>l</w:t>
      </w:r>
      <w:r w:rsidR="00535DAF" w:rsidRPr="0092295B">
        <w:rPr>
          <w:iCs/>
          <w:szCs w:val="20"/>
          <w:lang w:val="es-ES"/>
        </w:rPr>
        <w:t xml:space="preserve">car Ascázubi Albán: </w:t>
      </w:r>
      <w:r w:rsidR="00F85817" w:rsidRPr="0092295B">
        <w:t>US$</w:t>
      </w:r>
      <w:r w:rsidR="0098306F" w:rsidRPr="0092295B">
        <w:t>30,000</w:t>
      </w:r>
      <w:r w:rsidR="00770E8E">
        <w:t>.</w:t>
      </w:r>
      <w:r w:rsidR="0098306F" w:rsidRPr="0092295B">
        <w:t xml:space="preserve">00 </w:t>
      </w:r>
      <w:r w:rsidR="00535DAF" w:rsidRPr="0092295B">
        <w:t>(</w:t>
      </w:r>
      <w:r w:rsidR="003978AF">
        <w:t>treinta mil</w:t>
      </w:r>
      <w:r w:rsidR="00535DAF" w:rsidRPr="0092295B">
        <w:t xml:space="preserve"> dólares de los Estados Unidos de América), y</w:t>
      </w:r>
    </w:p>
    <w:p w14:paraId="15981FD0" w14:textId="02905819" w:rsidR="00535DAF" w:rsidRPr="0092295B" w:rsidRDefault="00535DAF" w:rsidP="00161155">
      <w:pPr>
        <w:pStyle w:val="Prrafodelista"/>
        <w:numPr>
          <w:ilvl w:val="0"/>
          <w:numId w:val="14"/>
        </w:numPr>
        <w:spacing w:before="0" w:after="0"/>
        <w:ind w:firstLine="0"/>
        <w:rPr>
          <w:b/>
          <w:strike/>
          <w:szCs w:val="20"/>
          <w:lang w:val="es-MX"/>
        </w:rPr>
      </w:pPr>
      <w:r w:rsidRPr="0092295B">
        <w:rPr>
          <w:iCs/>
          <w:szCs w:val="20"/>
          <w:lang w:val="es-ES"/>
        </w:rPr>
        <w:t>Alfonso Patricio Vinueza Pánchez</w:t>
      </w:r>
      <w:r w:rsidRPr="0092295B">
        <w:rPr>
          <w:szCs w:val="20"/>
        </w:rPr>
        <w:t xml:space="preserve">: </w:t>
      </w:r>
      <w:r w:rsidR="00036404">
        <w:t>US$</w:t>
      </w:r>
      <w:r w:rsidR="0098306F" w:rsidRPr="0092295B">
        <w:t>30,000</w:t>
      </w:r>
      <w:r w:rsidR="00770E8E">
        <w:t>.</w:t>
      </w:r>
      <w:r w:rsidR="0098306F" w:rsidRPr="0092295B">
        <w:t xml:space="preserve">00 </w:t>
      </w:r>
      <w:r w:rsidRPr="0092295B">
        <w:t>(</w:t>
      </w:r>
      <w:r w:rsidR="003978AF">
        <w:t>treinta mil</w:t>
      </w:r>
      <w:r w:rsidRPr="0092295B">
        <w:t xml:space="preserve"> dólares de los Estados Unidos de América). </w:t>
      </w:r>
    </w:p>
    <w:p w14:paraId="080923C4" w14:textId="77777777" w:rsidR="00535DAF" w:rsidRPr="0092295B" w:rsidRDefault="00535DAF" w:rsidP="00535DAF">
      <w:pPr>
        <w:pStyle w:val="Prrafodelista"/>
        <w:rPr>
          <w:szCs w:val="20"/>
          <w:u w:val="single"/>
          <w:lang w:val="es-ES"/>
        </w:rPr>
      </w:pPr>
    </w:p>
    <w:p w14:paraId="57E7B12A" w14:textId="09D1A36F" w:rsidR="00B55F67" w:rsidRPr="00CF60EF" w:rsidRDefault="00535DAF" w:rsidP="00CF60EF">
      <w:pPr>
        <w:pStyle w:val="Prrafodelista"/>
        <w:numPr>
          <w:ilvl w:val="0"/>
          <w:numId w:val="29"/>
        </w:numPr>
        <w:spacing w:before="0" w:after="0"/>
        <w:ind w:left="0" w:firstLine="0"/>
        <w:rPr>
          <w:szCs w:val="20"/>
          <w:u w:val="single"/>
          <w:lang w:val="es-ES"/>
        </w:rPr>
      </w:pPr>
      <w:r w:rsidRPr="0092295B">
        <w:rPr>
          <w:szCs w:val="20"/>
        </w:rPr>
        <w:t xml:space="preserve">La cantidad fijada deberá ser entregada a cada una de las víctimas, </w:t>
      </w:r>
      <w:r w:rsidRPr="0092295B">
        <w:rPr>
          <w:iCs/>
          <w:szCs w:val="20"/>
          <w:lang w:val="es-ES"/>
        </w:rPr>
        <w:t>Jorge Humberto Villarroel Merino, Mario Romel Cevallos Moreno, Jorge Enrique Coloma Gaibor, Fernando</w:t>
      </w:r>
      <w:r w:rsidR="003723B8">
        <w:rPr>
          <w:iCs/>
          <w:szCs w:val="20"/>
          <w:lang w:val="es-ES"/>
        </w:rPr>
        <w:t xml:space="preserve"> Marcelo López Ortiz, Leoncio A</w:t>
      </w:r>
      <w:r w:rsidRPr="0092295B">
        <w:rPr>
          <w:iCs/>
          <w:szCs w:val="20"/>
          <w:lang w:val="es-ES"/>
        </w:rPr>
        <w:t>mí</w:t>
      </w:r>
      <w:r w:rsidR="003723B8">
        <w:rPr>
          <w:iCs/>
          <w:szCs w:val="20"/>
          <w:lang w:val="es-ES"/>
        </w:rPr>
        <w:t>l</w:t>
      </w:r>
      <w:r w:rsidRPr="0092295B">
        <w:rPr>
          <w:iCs/>
          <w:szCs w:val="20"/>
          <w:lang w:val="es-ES"/>
        </w:rPr>
        <w:t>car Ascázubi Albán y Alfonso Patricio Vinueza Pánchez</w:t>
      </w:r>
      <w:r w:rsidRPr="0092295B">
        <w:rPr>
          <w:szCs w:val="20"/>
        </w:rPr>
        <w:t xml:space="preserve">. </w:t>
      </w:r>
    </w:p>
    <w:p w14:paraId="6D5B953F" w14:textId="366AC72C" w:rsidR="00607D54" w:rsidRPr="00F911DC" w:rsidRDefault="00870EAA" w:rsidP="00F911DC">
      <w:pPr>
        <w:pStyle w:val="Ttulo2"/>
        <w:ind w:left="426"/>
        <w:rPr>
          <w:i w:val="0"/>
          <w:lang w:val="es-MX"/>
        </w:rPr>
      </w:pPr>
      <w:bookmarkStart w:id="152" w:name="_Toc87339045"/>
      <w:r w:rsidRPr="00F911DC">
        <w:rPr>
          <w:i w:val="0"/>
          <w:lang w:val="es-MX"/>
        </w:rPr>
        <w:t>E</w:t>
      </w:r>
      <w:r w:rsidR="00582139" w:rsidRPr="00F911DC">
        <w:rPr>
          <w:i w:val="0"/>
          <w:lang w:val="es-MX"/>
        </w:rPr>
        <w:t xml:space="preserve">. </w:t>
      </w:r>
      <w:r w:rsidR="000D3067" w:rsidRPr="00F911DC">
        <w:rPr>
          <w:i w:val="0"/>
          <w:lang w:val="es-MX"/>
        </w:rPr>
        <w:t>Costas y Gastos</w:t>
      </w:r>
      <w:bookmarkEnd w:id="152"/>
    </w:p>
    <w:p w14:paraId="6D798BCB" w14:textId="3EE2DB54" w:rsidR="00B55F67" w:rsidRPr="0092295B" w:rsidRDefault="00B46F29" w:rsidP="00C2153C">
      <w:pPr>
        <w:pStyle w:val="Prrafodelista"/>
        <w:numPr>
          <w:ilvl w:val="0"/>
          <w:numId w:val="29"/>
        </w:numPr>
        <w:spacing w:before="0" w:after="0"/>
        <w:ind w:left="0" w:firstLine="0"/>
        <w:rPr>
          <w:szCs w:val="20"/>
        </w:rPr>
      </w:pPr>
      <w:r w:rsidRPr="0092295B">
        <w:rPr>
          <w:szCs w:val="20"/>
          <w:lang w:val="es-MX"/>
        </w:rPr>
        <w:t>El</w:t>
      </w:r>
      <w:r w:rsidR="000D3067" w:rsidRPr="0092295B">
        <w:rPr>
          <w:szCs w:val="20"/>
          <w:lang w:val="es-MX"/>
        </w:rPr>
        <w:t xml:space="preserve"> </w:t>
      </w:r>
      <w:r w:rsidR="000D3067" w:rsidRPr="0092295B">
        <w:rPr>
          <w:b/>
          <w:i/>
          <w:szCs w:val="20"/>
          <w:lang w:val="es-MX"/>
        </w:rPr>
        <w:t>representant</w:t>
      </w:r>
      <w:r w:rsidRPr="0092295B">
        <w:rPr>
          <w:b/>
          <w:i/>
          <w:szCs w:val="20"/>
          <w:lang w:val="es-MX"/>
        </w:rPr>
        <w:t xml:space="preserve">e </w:t>
      </w:r>
      <w:r w:rsidR="00D3621F" w:rsidRPr="0092295B">
        <w:rPr>
          <w:szCs w:val="20"/>
          <w:lang w:val="es-MX"/>
        </w:rPr>
        <w:t xml:space="preserve">sólo hizo referencia a los gastos que en forma individual incurrieron las víctimas. En concreto, </w:t>
      </w:r>
      <w:r w:rsidR="00DB367C" w:rsidRPr="0092295B">
        <w:rPr>
          <w:szCs w:val="20"/>
          <w:lang w:val="es-MX"/>
        </w:rPr>
        <w:t>e</w:t>
      </w:r>
      <w:r w:rsidR="00826849" w:rsidRPr="0092295B">
        <w:rPr>
          <w:szCs w:val="20"/>
          <w:lang w:val="es-MX"/>
        </w:rPr>
        <w:t xml:space="preserve">l </w:t>
      </w:r>
      <w:r w:rsidR="00826849" w:rsidRPr="0092295B">
        <w:rPr>
          <w:szCs w:val="20"/>
          <w:lang w:val="es-ES"/>
        </w:rPr>
        <w:t>señor Villarroel Merino solicitó la suma de USD$70</w:t>
      </w:r>
      <w:r w:rsidR="00770E8E">
        <w:rPr>
          <w:szCs w:val="20"/>
          <w:lang w:val="es-ES"/>
        </w:rPr>
        <w:t>,</w:t>
      </w:r>
      <w:r w:rsidR="00826849" w:rsidRPr="0092295B">
        <w:rPr>
          <w:szCs w:val="20"/>
          <w:lang w:val="es-ES"/>
        </w:rPr>
        <w:t>000</w:t>
      </w:r>
      <w:r w:rsidR="00770E8E">
        <w:rPr>
          <w:szCs w:val="20"/>
          <w:lang w:val="es-ES"/>
        </w:rPr>
        <w:t>.00</w:t>
      </w:r>
      <w:r w:rsidR="00826849" w:rsidRPr="0092295B">
        <w:rPr>
          <w:szCs w:val="20"/>
          <w:lang w:val="es-ES"/>
        </w:rPr>
        <w:t xml:space="preserve"> (setenta mil dólares de los Estados Unidos de América)</w:t>
      </w:r>
      <w:r w:rsidR="00825088">
        <w:rPr>
          <w:szCs w:val="20"/>
          <w:lang w:val="es-ES"/>
        </w:rPr>
        <w:t>.</w:t>
      </w:r>
      <w:r w:rsidR="00826849" w:rsidRPr="0092295B">
        <w:rPr>
          <w:szCs w:val="20"/>
          <w:lang w:val="es-ES"/>
        </w:rPr>
        <w:t xml:space="preserve"> </w:t>
      </w:r>
      <w:r w:rsidR="00825088">
        <w:rPr>
          <w:szCs w:val="20"/>
          <w:lang w:val="es-ES"/>
        </w:rPr>
        <w:t>E</w:t>
      </w:r>
      <w:r w:rsidR="00077967" w:rsidRPr="00825088">
        <w:rPr>
          <w:szCs w:val="20"/>
          <w:lang w:val="es-MX"/>
        </w:rPr>
        <w:t>l señor Ascá</w:t>
      </w:r>
      <w:r w:rsidR="007F67C5" w:rsidRPr="00825088">
        <w:rPr>
          <w:szCs w:val="20"/>
          <w:lang w:val="es-MX"/>
        </w:rPr>
        <w:t xml:space="preserve">zubi Albán indicó que </w:t>
      </w:r>
      <w:r w:rsidR="00A82A13" w:rsidRPr="00825088">
        <w:rPr>
          <w:szCs w:val="20"/>
          <w:lang w:val="es-MX"/>
        </w:rPr>
        <w:t xml:space="preserve">para el establecimiento de costas y gastos </w:t>
      </w:r>
      <w:r w:rsidR="007F67C5" w:rsidRPr="00825088">
        <w:rPr>
          <w:szCs w:val="20"/>
          <w:lang w:val="es-MX"/>
        </w:rPr>
        <w:t>“que aceptará el buen criterio de la Corte”</w:t>
      </w:r>
      <w:r w:rsidR="00240640" w:rsidRPr="00CF7D42">
        <w:rPr>
          <w:bCs/>
          <w:sz w:val="16"/>
          <w:szCs w:val="16"/>
          <w:lang w:val="es-ES"/>
        </w:rPr>
        <w:t>.</w:t>
      </w:r>
      <w:r w:rsidR="008864DA" w:rsidRPr="0092295B">
        <w:rPr>
          <w:szCs w:val="20"/>
          <w:lang w:val="es-ES"/>
        </w:rPr>
        <w:t xml:space="preserve"> </w:t>
      </w:r>
      <w:r w:rsidR="00825088">
        <w:rPr>
          <w:szCs w:val="20"/>
          <w:lang w:val="es-ES"/>
        </w:rPr>
        <w:t>Además</w:t>
      </w:r>
      <w:r w:rsidR="00177BCB">
        <w:rPr>
          <w:szCs w:val="20"/>
          <w:lang w:val="es-ES"/>
        </w:rPr>
        <w:t>,</w:t>
      </w:r>
      <w:r w:rsidR="00825088">
        <w:rPr>
          <w:szCs w:val="20"/>
          <w:lang w:val="es-ES"/>
        </w:rPr>
        <w:t xml:space="preserve"> </w:t>
      </w:r>
      <w:r w:rsidR="008864DA" w:rsidRPr="0092295B">
        <w:rPr>
          <w:szCs w:val="20"/>
          <w:lang w:val="es-ES"/>
        </w:rPr>
        <w:t>solicitó los gastos en pago: a) de honorarios a profesionales de derecho para su defensa; b) de honorarios a defensores, peritos, viajes y costas, etc. relacionados con su defensa; c) a profesionales de derecho para la defensa sobre la denuncia presentada en uno de los juzgados del país contra el Estado</w:t>
      </w:r>
      <w:r w:rsidR="003B2442" w:rsidRPr="0092295B">
        <w:rPr>
          <w:szCs w:val="20"/>
          <w:lang w:val="es-ES"/>
        </w:rPr>
        <w:t>; d</w:t>
      </w:r>
      <w:r w:rsidR="008864DA" w:rsidRPr="0092295B">
        <w:rPr>
          <w:szCs w:val="20"/>
          <w:lang w:val="es-ES"/>
        </w:rPr>
        <w:t>) pago de honorarios profesionales por la defensa de la demanda seguida en contra del Presidente de la Corte Nacional de Justicia Policial en la Corte Suprema de Justicia de Ecuador</w:t>
      </w:r>
      <w:r w:rsidR="005D2D72">
        <w:rPr>
          <w:szCs w:val="20"/>
          <w:lang w:val="es-ES"/>
        </w:rPr>
        <w:t>.</w:t>
      </w:r>
      <w:r w:rsidR="001031F5">
        <w:rPr>
          <w:szCs w:val="20"/>
          <w:lang w:val="es-ES"/>
        </w:rPr>
        <w:t xml:space="preserve"> </w:t>
      </w:r>
      <w:r w:rsidR="00FA46F1" w:rsidRPr="0092295B">
        <w:rPr>
          <w:szCs w:val="20"/>
          <w:lang w:val="es-ES"/>
        </w:rPr>
        <w:t>El señor Cev</w:t>
      </w:r>
      <w:r w:rsidR="00D32D3B" w:rsidRPr="0092295B">
        <w:rPr>
          <w:szCs w:val="20"/>
          <w:lang w:val="es-ES"/>
        </w:rPr>
        <w:t xml:space="preserve">allos Moreno indicó que para la defensa del caso tuvo que pagar a profesionales del derecho. </w:t>
      </w:r>
      <w:r w:rsidR="00D3621F" w:rsidRPr="0092295B">
        <w:rPr>
          <w:szCs w:val="20"/>
          <w:lang w:val="es-MX"/>
        </w:rPr>
        <w:t>Por otra parte,</w:t>
      </w:r>
      <w:r w:rsidR="00DB367C" w:rsidRPr="0092295B">
        <w:rPr>
          <w:szCs w:val="20"/>
          <w:lang w:val="es-MX"/>
        </w:rPr>
        <w:t xml:space="preserve"> el representante</w:t>
      </w:r>
      <w:r w:rsidR="00D3621F" w:rsidRPr="0092295B">
        <w:rPr>
          <w:szCs w:val="20"/>
          <w:lang w:val="es-MX"/>
        </w:rPr>
        <w:t xml:space="preserve"> no se refirió a los gastos incurridos por las víctimas en</w:t>
      </w:r>
      <w:r w:rsidR="000D3067" w:rsidRPr="0092295B">
        <w:rPr>
          <w:szCs w:val="20"/>
          <w:lang w:val="es-MX"/>
        </w:rPr>
        <w:t xml:space="preserve"> </w:t>
      </w:r>
      <w:r w:rsidR="00D3621F" w:rsidRPr="0092295B">
        <w:rPr>
          <w:szCs w:val="20"/>
          <w:lang w:val="es-MX"/>
        </w:rPr>
        <w:t xml:space="preserve">los </w:t>
      </w:r>
      <w:r w:rsidR="000D3067" w:rsidRPr="0092295B">
        <w:rPr>
          <w:szCs w:val="20"/>
          <w:lang w:val="es-MX"/>
        </w:rPr>
        <w:t>procedimiento</w:t>
      </w:r>
      <w:r w:rsidR="00D32D3B" w:rsidRPr="0092295B">
        <w:rPr>
          <w:szCs w:val="20"/>
          <w:lang w:val="es-MX"/>
        </w:rPr>
        <w:t>s</w:t>
      </w:r>
      <w:r w:rsidR="000D3067" w:rsidRPr="0092295B">
        <w:rPr>
          <w:szCs w:val="20"/>
          <w:lang w:val="es-MX"/>
        </w:rPr>
        <w:t xml:space="preserve"> ante la Comisión</w:t>
      </w:r>
      <w:r w:rsidR="00B55F67" w:rsidRPr="0092295B">
        <w:rPr>
          <w:szCs w:val="20"/>
          <w:lang w:val="es-MX"/>
        </w:rPr>
        <w:t xml:space="preserve"> </w:t>
      </w:r>
      <w:r w:rsidR="00D3621F" w:rsidRPr="0092295B">
        <w:rPr>
          <w:szCs w:val="20"/>
          <w:lang w:val="es-MX"/>
        </w:rPr>
        <w:t xml:space="preserve">y </w:t>
      </w:r>
      <w:r w:rsidR="00B55F67" w:rsidRPr="0092295B">
        <w:rPr>
          <w:szCs w:val="20"/>
          <w:lang w:val="es-MX"/>
        </w:rPr>
        <w:t>la Corte Interamericana</w:t>
      </w:r>
      <w:r w:rsidR="00D3621F" w:rsidRPr="0092295B">
        <w:rPr>
          <w:szCs w:val="20"/>
          <w:lang w:val="es-MX"/>
        </w:rPr>
        <w:t xml:space="preserve">. La </w:t>
      </w:r>
      <w:r w:rsidR="00D3621F" w:rsidRPr="0092295B">
        <w:rPr>
          <w:b/>
          <w:bCs/>
          <w:i/>
          <w:iCs/>
          <w:szCs w:val="20"/>
          <w:lang w:val="es-MX"/>
        </w:rPr>
        <w:t>Comisión</w:t>
      </w:r>
      <w:r w:rsidR="00D3621F" w:rsidRPr="0092295B">
        <w:rPr>
          <w:szCs w:val="20"/>
          <w:lang w:val="es-MX"/>
        </w:rPr>
        <w:t xml:space="preserve"> no refirió a las costas y gastos.</w:t>
      </w:r>
    </w:p>
    <w:p w14:paraId="698B83DA" w14:textId="77777777" w:rsidR="006A2D1A" w:rsidRPr="0092295B" w:rsidRDefault="006A2D1A" w:rsidP="006A2D1A">
      <w:pPr>
        <w:pStyle w:val="Prrafodelista"/>
        <w:spacing w:before="0" w:after="0"/>
        <w:ind w:left="0"/>
        <w:rPr>
          <w:szCs w:val="20"/>
        </w:rPr>
      </w:pPr>
    </w:p>
    <w:p w14:paraId="2AD88346" w14:textId="691289E8" w:rsidR="001517C4" w:rsidRPr="0092295B" w:rsidRDefault="00607D54" w:rsidP="00C2153C">
      <w:pPr>
        <w:pStyle w:val="Prrafodelista"/>
        <w:numPr>
          <w:ilvl w:val="0"/>
          <w:numId w:val="29"/>
        </w:numPr>
        <w:spacing w:before="0" w:after="0"/>
        <w:ind w:left="0" w:firstLine="0"/>
        <w:rPr>
          <w:szCs w:val="20"/>
        </w:rPr>
      </w:pPr>
      <w:r w:rsidRPr="0092295B">
        <w:rPr>
          <w:szCs w:val="20"/>
          <w:lang w:val="es-MX"/>
        </w:rPr>
        <w:t xml:space="preserve"> </w:t>
      </w:r>
      <w:r w:rsidR="001517C4" w:rsidRPr="0092295B">
        <w:rPr>
          <w:szCs w:val="20"/>
          <w:lang w:val="es-MX"/>
        </w:rPr>
        <w:t xml:space="preserve">El </w:t>
      </w:r>
      <w:r w:rsidR="001517C4" w:rsidRPr="0092295B">
        <w:rPr>
          <w:b/>
          <w:i/>
          <w:szCs w:val="20"/>
          <w:lang w:val="es-MX"/>
        </w:rPr>
        <w:t>Estado</w:t>
      </w:r>
      <w:r w:rsidR="001517C4" w:rsidRPr="0092295B">
        <w:rPr>
          <w:szCs w:val="20"/>
          <w:lang w:val="es-MX"/>
        </w:rPr>
        <w:t xml:space="preserve"> alegó </w:t>
      </w:r>
      <w:r w:rsidR="001517C4" w:rsidRPr="0092295B">
        <w:rPr>
          <w:rFonts w:cs="Arial"/>
          <w:color w:val="000000" w:themeColor="text1"/>
          <w:szCs w:val="20"/>
        </w:rPr>
        <w:t>que</w:t>
      </w:r>
      <w:r w:rsidR="001517C4" w:rsidRPr="0092295B">
        <w:rPr>
          <w:rFonts w:cs="Times New Roman"/>
          <w:szCs w:val="20"/>
          <w:lang w:val="es-ES"/>
        </w:rPr>
        <w:t xml:space="preserve"> no se ha producido vulneración y por tanto, no es procedente otorgar costas y gastos. Sin perjuicio de lo anterior, </w:t>
      </w:r>
      <w:r w:rsidR="001517C4" w:rsidRPr="0092295B">
        <w:rPr>
          <w:rFonts w:cs="Arial"/>
          <w:color w:val="000000" w:themeColor="text1"/>
          <w:szCs w:val="20"/>
        </w:rPr>
        <w:t>de condenársele en costas y gastos, éstos deben ser razonables. El Estado reiteró que, al tratarse de desembolsos pecuniarios alegados por gestiones realizadas en el curso de los procesos judiciales en jurisdicción nacional e internacional, las víctimas tenían que exponerlo en su argumentación acreditarlo con comprobantes y demás recibos o documentos pertinentes, lo cual no ocurrió. Es así que, por costas, únicamente el señor Villarroel Merino solicita específicamente USD$70</w:t>
      </w:r>
      <w:r w:rsidR="00770E8E">
        <w:rPr>
          <w:rFonts w:cs="Arial"/>
          <w:color w:val="000000" w:themeColor="text1"/>
          <w:szCs w:val="20"/>
        </w:rPr>
        <w:t>,</w:t>
      </w:r>
      <w:r w:rsidR="001517C4" w:rsidRPr="0092295B">
        <w:rPr>
          <w:rFonts w:cs="Arial"/>
          <w:color w:val="000000" w:themeColor="text1"/>
          <w:szCs w:val="20"/>
        </w:rPr>
        <w:t>000</w:t>
      </w:r>
      <w:r w:rsidR="00770E8E">
        <w:rPr>
          <w:rFonts w:cs="Arial"/>
          <w:color w:val="000000" w:themeColor="text1"/>
          <w:szCs w:val="20"/>
        </w:rPr>
        <w:t>.00</w:t>
      </w:r>
      <w:r w:rsidR="001517C4" w:rsidRPr="0092295B">
        <w:rPr>
          <w:rFonts w:cs="Arial"/>
          <w:color w:val="000000" w:themeColor="text1"/>
          <w:szCs w:val="20"/>
        </w:rPr>
        <w:t xml:space="preserve"> </w:t>
      </w:r>
      <w:r w:rsidR="001517C4" w:rsidRPr="0092295B">
        <w:rPr>
          <w:szCs w:val="20"/>
          <w:lang w:val="es-ES"/>
        </w:rPr>
        <w:t>(setenta mil dólares de los Estados Unidos de América)</w:t>
      </w:r>
      <w:r w:rsidR="001517C4" w:rsidRPr="0092295B">
        <w:rPr>
          <w:rFonts w:cs="Arial"/>
          <w:color w:val="000000" w:themeColor="text1"/>
          <w:szCs w:val="20"/>
        </w:rPr>
        <w:t xml:space="preserve">, mientras que los señores Cevallos Moreno, López Ortiz, Ascázubi Albán, Coloma Gaibor y Vinueza Pánchez no especificaron el monto exigido por este rubro. En tal virtud, al no contar con la documentación ni fundamento necesario, el Estado solicita que se lo fije según el criterio de equidad y en conformidad con su jurisprudencia previa. </w:t>
      </w:r>
    </w:p>
    <w:p w14:paraId="5778B59E" w14:textId="77777777" w:rsidR="003C1750" w:rsidRPr="0092295B" w:rsidRDefault="003C1750" w:rsidP="00C2153C">
      <w:pPr>
        <w:pStyle w:val="Prrafodelista"/>
        <w:spacing w:before="0" w:after="0"/>
        <w:ind w:left="0"/>
        <w:rPr>
          <w:szCs w:val="20"/>
        </w:rPr>
      </w:pPr>
    </w:p>
    <w:p w14:paraId="4CDC59FF" w14:textId="78B4880C" w:rsidR="000D3067" w:rsidRPr="0092295B" w:rsidRDefault="000D3067" w:rsidP="00C2153C">
      <w:pPr>
        <w:pStyle w:val="Prrafodelista"/>
        <w:numPr>
          <w:ilvl w:val="0"/>
          <w:numId w:val="29"/>
        </w:numPr>
        <w:spacing w:before="0" w:after="0"/>
        <w:ind w:left="0" w:firstLine="0"/>
        <w:rPr>
          <w:szCs w:val="20"/>
        </w:rPr>
      </w:pPr>
      <w:r w:rsidRPr="0092295B">
        <w:rPr>
          <w:szCs w:val="20"/>
          <w:lang w:val="es-MX"/>
        </w:rPr>
        <w:t xml:space="preserve">La </w:t>
      </w:r>
      <w:r w:rsidRPr="0092295B">
        <w:rPr>
          <w:b/>
          <w:i/>
          <w:szCs w:val="20"/>
          <w:lang w:val="es-MX"/>
        </w:rPr>
        <w:t>Corte</w:t>
      </w:r>
      <w:r w:rsidRPr="0092295B">
        <w:rPr>
          <w:szCs w:val="20"/>
          <w:lang w:val="es-MX"/>
        </w:rPr>
        <w:t xml:space="preserve"> reitera que, conforme a su jurisprudencia, las costas y gastos hacen parte del concepto de reparación, toda vez que la actividad desplegada por las víctimas con el fin de obtener justicia, tanto a nivel nacional como internacional, implica erogaciones que deben ser compensadas cuando la responsabilidad internacional del Estado es declarada mediante una sentencia condenatoria. En cuanto al reembolso de las costas y gastos, corresponde al Tribunal apreciar prudentemente su alcance, el cual comprende los gastos generados ante las autoridades de la jurisdicción interna, así como los generados en el curso del proceso ante el Sistema Interamericano, teniendo en cuenta las circunstancias del caso concreto y la naturaleza de la jurisdicción internacional de protección de los derechos humanos. Esta apreciación puede ser realizada con base en el principio de equidad y tomando en cuenta los gastos señalados por las partes, siempre que su </w:t>
      </w:r>
      <w:r w:rsidRPr="00CF7D42">
        <w:rPr>
          <w:i/>
          <w:szCs w:val="20"/>
          <w:lang w:val="es-MX"/>
        </w:rPr>
        <w:t>quantum</w:t>
      </w:r>
      <w:r w:rsidRPr="0092295B">
        <w:rPr>
          <w:szCs w:val="20"/>
          <w:lang w:val="es-MX"/>
        </w:rPr>
        <w:t xml:space="preserve"> sea razonable</w:t>
      </w:r>
      <w:r w:rsidRPr="0092295B">
        <w:rPr>
          <w:rStyle w:val="Refdenotaalpie"/>
          <w:lang w:val="es-MX"/>
        </w:rPr>
        <w:footnoteReference w:id="166"/>
      </w:r>
      <w:r w:rsidRPr="0092295B">
        <w:rPr>
          <w:szCs w:val="20"/>
          <w:lang w:val="es-MX"/>
        </w:rPr>
        <w:t>.</w:t>
      </w:r>
    </w:p>
    <w:p w14:paraId="3460A444" w14:textId="77777777" w:rsidR="001517C4" w:rsidRPr="0092295B" w:rsidRDefault="001517C4" w:rsidP="00C2153C">
      <w:pPr>
        <w:pStyle w:val="Prrafodelista"/>
        <w:spacing w:before="0" w:after="0"/>
        <w:ind w:left="0"/>
        <w:rPr>
          <w:szCs w:val="20"/>
        </w:rPr>
      </w:pPr>
    </w:p>
    <w:p w14:paraId="02433608" w14:textId="7B52CF79" w:rsidR="000D3067" w:rsidRPr="00303E56" w:rsidRDefault="00431DF9" w:rsidP="00C2153C">
      <w:pPr>
        <w:pStyle w:val="Prrafodelista"/>
        <w:numPr>
          <w:ilvl w:val="0"/>
          <w:numId w:val="29"/>
        </w:numPr>
        <w:spacing w:before="0" w:after="0"/>
        <w:ind w:left="0" w:firstLine="0"/>
        <w:rPr>
          <w:szCs w:val="20"/>
        </w:rPr>
      </w:pPr>
      <w:r w:rsidRPr="0092295B">
        <w:rPr>
          <w:szCs w:val="20"/>
          <w:lang w:val="es-CR"/>
        </w:rPr>
        <w:t>La Corte</w:t>
      </w:r>
      <w:r w:rsidRPr="0092295B">
        <w:rPr>
          <w:b/>
          <w:i/>
          <w:szCs w:val="20"/>
          <w:lang w:val="es-CR"/>
        </w:rPr>
        <w:t xml:space="preserve"> </w:t>
      </w:r>
      <w:r w:rsidRPr="0092295B">
        <w:rPr>
          <w:szCs w:val="20"/>
          <w:lang w:val="es-CR"/>
        </w:rPr>
        <w:t xml:space="preserve">ha señalado que las pretensiones de las víctimas o sus representantes en materia de costas y gastos, y las pruebas que las sustentan, deben presentarse a la Corte en el primer </w:t>
      </w:r>
      <w:r w:rsidRPr="00303E56">
        <w:rPr>
          <w:szCs w:val="20"/>
          <w:lang w:val="es-CR"/>
        </w:rPr>
        <w:t>momento procesal que se les concede, esto es, en el escrito de solicitudes, argumentos y pruebas, sin perjuicio de que tales pretensiones se actualicen en un momento posterior, conforme a las nuevas costas y gastos en que se haya incurrido con ocasión del procedimiento ante esta Corte</w:t>
      </w:r>
      <w:r w:rsidRPr="00303E56">
        <w:rPr>
          <w:szCs w:val="20"/>
          <w:vertAlign w:val="superscript"/>
        </w:rPr>
        <w:footnoteReference w:id="167"/>
      </w:r>
      <w:r w:rsidRPr="00303E56">
        <w:rPr>
          <w:szCs w:val="20"/>
          <w:lang w:val="es-CR"/>
        </w:rPr>
        <w:t xml:space="preserve">. </w:t>
      </w:r>
      <w:r w:rsidRPr="00303E56">
        <w:rPr>
          <w:szCs w:val="20"/>
          <w:lang w:val="es-MX"/>
        </w:rPr>
        <w:t xml:space="preserve"> </w:t>
      </w:r>
      <w:r w:rsidR="000D3067" w:rsidRPr="00303E56">
        <w:rPr>
          <w:szCs w:val="20"/>
          <w:lang w:val="es-MX"/>
        </w:rPr>
        <w:t xml:space="preserve">En el presente caso, </w:t>
      </w:r>
      <w:r w:rsidR="00D3621F" w:rsidRPr="00303E56">
        <w:rPr>
          <w:szCs w:val="20"/>
          <w:lang w:val="es-MX"/>
        </w:rPr>
        <w:t>el</w:t>
      </w:r>
      <w:r w:rsidR="000D3067" w:rsidRPr="00303E56">
        <w:rPr>
          <w:szCs w:val="20"/>
          <w:lang w:val="es-MX"/>
        </w:rPr>
        <w:t xml:space="preserve"> representant</w:t>
      </w:r>
      <w:r w:rsidR="00D3621F" w:rsidRPr="00303E56">
        <w:rPr>
          <w:szCs w:val="20"/>
          <w:lang w:val="es-MX"/>
        </w:rPr>
        <w:t>e</w:t>
      </w:r>
      <w:r w:rsidR="000D3067" w:rsidRPr="00303E56">
        <w:rPr>
          <w:szCs w:val="20"/>
          <w:lang w:val="es-MX"/>
        </w:rPr>
        <w:t xml:space="preserve"> no present</w:t>
      </w:r>
      <w:r w:rsidR="00D3621F" w:rsidRPr="00303E56">
        <w:rPr>
          <w:szCs w:val="20"/>
          <w:lang w:val="es-MX"/>
        </w:rPr>
        <w:t>ó</w:t>
      </w:r>
      <w:r w:rsidR="000D3067" w:rsidRPr="00303E56">
        <w:rPr>
          <w:szCs w:val="20"/>
          <w:lang w:val="es-MX"/>
        </w:rPr>
        <w:t xml:space="preserve"> soporte probatorio alguno sobre las erogaciones que han tenido incurrir </w:t>
      </w:r>
      <w:r w:rsidR="00D3621F" w:rsidRPr="00303E56">
        <w:rPr>
          <w:szCs w:val="20"/>
          <w:lang w:val="es-MX"/>
        </w:rPr>
        <w:t xml:space="preserve">las víctimas </w:t>
      </w:r>
      <w:r w:rsidR="000D3067" w:rsidRPr="00303E56">
        <w:rPr>
          <w:szCs w:val="20"/>
          <w:lang w:val="es-MX"/>
        </w:rPr>
        <w:t>en las etap</w:t>
      </w:r>
      <w:r w:rsidRPr="00303E56">
        <w:rPr>
          <w:szCs w:val="20"/>
          <w:lang w:val="es-MX"/>
        </w:rPr>
        <w:t xml:space="preserve">as de los respectivos procesos, </w:t>
      </w:r>
      <w:r w:rsidR="000D3067" w:rsidRPr="00303E56">
        <w:rPr>
          <w:szCs w:val="20"/>
          <w:lang w:val="es-MX"/>
        </w:rPr>
        <w:t>tan solo hi</w:t>
      </w:r>
      <w:r w:rsidR="00D3621F" w:rsidRPr="00303E56">
        <w:rPr>
          <w:szCs w:val="20"/>
          <w:lang w:val="es-MX"/>
        </w:rPr>
        <w:t>zo</w:t>
      </w:r>
      <w:r w:rsidR="000D3067" w:rsidRPr="00303E56">
        <w:rPr>
          <w:szCs w:val="20"/>
          <w:lang w:val="es-MX"/>
        </w:rPr>
        <w:t xml:space="preserve"> </w:t>
      </w:r>
      <w:r w:rsidRPr="00303E56">
        <w:rPr>
          <w:szCs w:val="20"/>
          <w:lang w:val="es-MX"/>
        </w:rPr>
        <w:t xml:space="preserve">una alusión </w:t>
      </w:r>
      <w:r w:rsidR="000D3067" w:rsidRPr="00303E56">
        <w:rPr>
          <w:szCs w:val="20"/>
          <w:lang w:val="es-MX"/>
        </w:rPr>
        <w:t>genérica</w:t>
      </w:r>
      <w:r w:rsidRPr="00303E56">
        <w:rPr>
          <w:szCs w:val="20"/>
          <w:lang w:val="es-MX"/>
        </w:rPr>
        <w:t xml:space="preserve"> respecto a las solicitudes de cada víctima</w:t>
      </w:r>
      <w:r w:rsidR="000D3067" w:rsidRPr="00303E56">
        <w:rPr>
          <w:szCs w:val="20"/>
          <w:lang w:val="es-MX"/>
        </w:rPr>
        <w:t xml:space="preserve">, sin acompañar </w:t>
      </w:r>
      <w:r w:rsidRPr="00303E56">
        <w:rPr>
          <w:szCs w:val="20"/>
          <w:lang w:val="es-MX"/>
        </w:rPr>
        <w:t xml:space="preserve">los </w:t>
      </w:r>
      <w:r w:rsidR="000D3067" w:rsidRPr="00303E56">
        <w:rPr>
          <w:szCs w:val="20"/>
          <w:lang w:val="es-MX"/>
        </w:rPr>
        <w:t xml:space="preserve">comprobantes respectivos, </w:t>
      </w:r>
      <w:r w:rsidRPr="00303E56">
        <w:rPr>
          <w:szCs w:val="20"/>
          <w:lang w:val="es-MX"/>
        </w:rPr>
        <w:t xml:space="preserve">en los cuales </w:t>
      </w:r>
      <w:r w:rsidR="00C50D59" w:rsidRPr="00303E56">
        <w:rPr>
          <w:szCs w:val="20"/>
          <w:lang w:val="es-MX"/>
        </w:rPr>
        <w:t xml:space="preserve">funde </w:t>
      </w:r>
      <w:r w:rsidR="000D3067" w:rsidRPr="00303E56">
        <w:rPr>
          <w:szCs w:val="20"/>
          <w:lang w:val="es-MX"/>
        </w:rPr>
        <w:t>el reintegro de costas y gastos en los que</w:t>
      </w:r>
      <w:r w:rsidRPr="00303E56">
        <w:rPr>
          <w:szCs w:val="20"/>
          <w:lang w:val="es-MX"/>
        </w:rPr>
        <w:t xml:space="preserve"> las víctimas han incurrido</w:t>
      </w:r>
      <w:r w:rsidR="000D3067" w:rsidRPr="00303E56">
        <w:rPr>
          <w:szCs w:val="20"/>
          <w:lang w:val="es-MX"/>
        </w:rPr>
        <w:t>.</w:t>
      </w:r>
      <w:r w:rsidR="000D3067" w:rsidRPr="00303E56">
        <w:rPr>
          <w:sz w:val="16"/>
          <w:szCs w:val="16"/>
          <w:u w:val="single"/>
          <w:lang w:val="es-MX"/>
        </w:rPr>
        <w:t xml:space="preserve"> </w:t>
      </w:r>
    </w:p>
    <w:p w14:paraId="677C722C" w14:textId="77777777" w:rsidR="00607D54" w:rsidRPr="0092295B" w:rsidRDefault="00607D54" w:rsidP="00607D54">
      <w:pPr>
        <w:pStyle w:val="Prrafodelista"/>
        <w:ind w:left="0"/>
        <w:rPr>
          <w:strike/>
          <w:szCs w:val="20"/>
        </w:rPr>
      </w:pPr>
    </w:p>
    <w:p w14:paraId="0F9F3553" w14:textId="7E7B2E95" w:rsidR="006A2D1A" w:rsidRPr="0092295B" w:rsidRDefault="00F85817" w:rsidP="00C2153C">
      <w:pPr>
        <w:pStyle w:val="Prrafodelista"/>
        <w:numPr>
          <w:ilvl w:val="0"/>
          <w:numId w:val="29"/>
        </w:numPr>
        <w:spacing w:before="0" w:after="0"/>
        <w:ind w:left="0" w:firstLine="0"/>
        <w:rPr>
          <w:color w:val="00B050"/>
          <w:szCs w:val="20"/>
        </w:rPr>
      </w:pPr>
      <w:r w:rsidRPr="0092295B">
        <w:rPr>
          <w:szCs w:val="20"/>
        </w:rPr>
        <w:t>En consecuencia,</w:t>
      </w:r>
      <w:r w:rsidRPr="0092295B">
        <w:rPr>
          <w:b/>
          <w:szCs w:val="20"/>
        </w:rPr>
        <w:t xml:space="preserve"> </w:t>
      </w:r>
      <w:r w:rsidR="00C50D59" w:rsidRPr="0092295B">
        <w:rPr>
          <w:szCs w:val="20"/>
        </w:rPr>
        <w:t xml:space="preserve">partiendo </w:t>
      </w:r>
      <w:r w:rsidR="007A670B">
        <w:rPr>
          <w:szCs w:val="20"/>
        </w:rPr>
        <w:t xml:space="preserve">de la base </w:t>
      </w:r>
      <w:r w:rsidR="00C50D59" w:rsidRPr="0092295B">
        <w:rPr>
          <w:szCs w:val="20"/>
        </w:rPr>
        <w:t xml:space="preserve">que </w:t>
      </w:r>
      <w:r w:rsidRPr="0092295B">
        <w:rPr>
          <w:szCs w:val="20"/>
        </w:rPr>
        <w:t>la</w:t>
      </w:r>
      <w:r w:rsidR="00470377" w:rsidRPr="0092295B">
        <w:rPr>
          <w:szCs w:val="20"/>
        </w:rPr>
        <w:t>s</w:t>
      </w:r>
      <w:r w:rsidRPr="0092295B">
        <w:rPr>
          <w:szCs w:val="20"/>
        </w:rPr>
        <w:t xml:space="preserve"> víctimas </w:t>
      </w:r>
      <w:r w:rsidR="00C50D59" w:rsidRPr="0092295B">
        <w:rPr>
          <w:szCs w:val="20"/>
        </w:rPr>
        <w:t xml:space="preserve">tuvieron </w:t>
      </w:r>
      <w:r w:rsidR="00240640">
        <w:rPr>
          <w:szCs w:val="20"/>
        </w:rPr>
        <w:t xml:space="preserve">erogaciones </w:t>
      </w:r>
      <w:r w:rsidRPr="0092295B">
        <w:rPr>
          <w:szCs w:val="20"/>
        </w:rPr>
        <w:t>relacionad</w:t>
      </w:r>
      <w:r w:rsidR="00770E8E">
        <w:rPr>
          <w:szCs w:val="20"/>
        </w:rPr>
        <w:t>a</w:t>
      </w:r>
      <w:r w:rsidRPr="0092295B">
        <w:rPr>
          <w:szCs w:val="20"/>
        </w:rPr>
        <w:t>s con los trámites tanto ante la jurisdicción interna como ante el sistema interamericano, la Corte fija, en equidad</w:t>
      </w:r>
      <w:r w:rsidR="00C50D59" w:rsidRPr="0092295B">
        <w:rPr>
          <w:szCs w:val="20"/>
        </w:rPr>
        <w:t xml:space="preserve">, </w:t>
      </w:r>
      <w:r w:rsidR="006A666F" w:rsidRPr="002D700A">
        <w:rPr>
          <w:szCs w:val="20"/>
        </w:rPr>
        <w:t xml:space="preserve">la suma de </w:t>
      </w:r>
      <w:r w:rsidR="007A2716" w:rsidRPr="002D700A">
        <w:rPr>
          <w:szCs w:val="20"/>
        </w:rPr>
        <w:t>US$30</w:t>
      </w:r>
      <w:r w:rsidR="00770E8E">
        <w:rPr>
          <w:szCs w:val="20"/>
        </w:rPr>
        <w:t>,</w:t>
      </w:r>
      <w:r w:rsidR="00470377" w:rsidRPr="002D700A">
        <w:rPr>
          <w:szCs w:val="20"/>
        </w:rPr>
        <w:t>000</w:t>
      </w:r>
      <w:r w:rsidR="00770E8E">
        <w:rPr>
          <w:szCs w:val="20"/>
        </w:rPr>
        <w:t>.00</w:t>
      </w:r>
      <w:r w:rsidR="00470377" w:rsidRPr="002D700A">
        <w:rPr>
          <w:szCs w:val="20"/>
        </w:rPr>
        <w:t xml:space="preserve"> </w:t>
      </w:r>
      <w:r w:rsidR="007A2716" w:rsidRPr="002D700A">
        <w:rPr>
          <w:szCs w:val="20"/>
        </w:rPr>
        <w:t xml:space="preserve">(treinta </w:t>
      </w:r>
      <w:r w:rsidR="00470377" w:rsidRPr="002D700A">
        <w:rPr>
          <w:szCs w:val="20"/>
        </w:rPr>
        <w:t>mil</w:t>
      </w:r>
      <w:r w:rsidR="007A670B">
        <w:rPr>
          <w:szCs w:val="20"/>
        </w:rPr>
        <w:t xml:space="preserve"> dólares</w:t>
      </w:r>
      <w:r w:rsidRPr="002D700A">
        <w:rPr>
          <w:szCs w:val="20"/>
        </w:rPr>
        <w:t xml:space="preserve"> de</w:t>
      </w:r>
      <w:r w:rsidR="00470377" w:rsidRPr="002D700A">
        <w:rPr>
          <w:szCs w:val="20"/>
        </w:rPr>
        <w:t xml:space="preserve"> los Esta</w:t>
      </w:r>
      <w:r w:rsidR="007A2716" w:rsidRPr="002D700A">
        <w:rPr>
          <w:szCs w:val="20"/>
        </w:rPr>
        <w:t xml:space="preserve">dos Unidos de América), por concepto costas y gastos </w:t>
      </w:r>
      <w:r w:rsidR="00770E8E">
        <w:rPr>
          <w:szCs w:val="20"/>
        </w:rPr>
        <w:t xml:space="preserve">sobre </w:t>
      </w:r>
      <w:r w:rsidR="007A2716" w:rsidRPr="002D700A">
        <w:rPr>
          <w:szCs w:val="20"/>
        </w:rPr>
        <w:t>los trámites ante la jurisdicción interna. Dicha cantidad deberá distribuirse en partes iguales entre la</w:t>
      </w:r>
      <w:r w:rsidR="00AD0711" w:rsidRPr="002D700A">
        <w:rPr>
          <w:szCs w:val="20"/>
        </w:rPr>
        <w:t>s</w:t>
      </w:r>
      <w:r w:rsidR="007A2716" w:rsidRPr="002D700A">
        <w:rPr>
          <w:szCs w:val="20"/>
        </w:rPr>
        <w:t xml:space="preserve"> víctimas: </w:t>
      </w:r>
      <w:r w:rsidR="007A2716" w:rsidRPr="002D700A">
        <w:rPr>
          <w:iCs/>
          <w:szCs w:val="20"/>
          <w:lang w:val="es-ES"/>
        </w:rPr>
        <w:t>Jorge Humberto Villarroel Merino, Mario Romel Cevallos Moreno, Jorge Enrique Coloma Gaibor, Fernando</w:t>
      </w:r>
      <w:r w:rsidR="002D700A">
        <w:rPr>
          <w:iCs/>
          <w:szCs w:val="20"/>
          <w:lang w:val="es-ES"/>
        </w:rPr>
        <w:t xml:space="preserve"> Marcelo López Ortiz, Leoncio A</w:t>
      </w:r>
      <w:r w:rsidR="007A2716" w:rsidRPr="002D700A">
        <w:rPr>
          <w:iCs/>
          <w:szCs w:val="20"/>
          <w:lang w:val="es-ES"/>
        </w:rPr>
        <w:t>mí</w:t>
      </w:r>
      <w:r w:rsidR="002D700A">
        <w:rPr>
          <w:iCs/>
          <w:szCs w:val="20"/>
          <w:lang w:val="es-ES"/>
        </w:rPr>
        <w:t>l</w:t>
      </w:r>
      <w:r w:rsidR="007A2716" w:rsidRPr="002D700A">
        <w:rPr>
          <w:iCs/>
          <w:szCs w:val="20"/>
          <w:lang w:val="es-ES"/>
        </w:rPr>
        <w:t>car Ascázubi Albán y Alfonso Patricio Vinueza Pánchez</w:t>
      </w:r>
      <w:r w:rsidR="006A666F" w:rsidRPr="002D700A">
        <w:rPr>
          <w:szCs w:val="20"/>
        </w:rPr>
        <w:t>, y la cantidad de US$10</w:t>
      </w:r>
      <w:r w:rsidR="00770E8E">
        <w:rPr>
          <w:szCs w:val="20"/>
        </w:rPr>
        <w:t>,</w:t>
      </w:r>
      <w:r w:rsidR="006A666F" w:rsidRPr="002D700A">
        <w:rPr>
          <w:szCs w:val="20"/>
        </w:rPr>
        <w:t>000</w:t>
      </w:r>
      <w:r w:rsidR="00770E8E">
        <w:rPr>
          <w:szCs w:val="20"/>
        </w:rPr>
        <w:t>.00</w:t>
      </w:r>
      <w:r w:rsidR="006A666F" w:rsidRPr="002D700A">
        <w:rPr>
          <w:szCs w:val="20"/>
        </w:rPr>
        <w:t xml:space="preserve"> (diez mil de los Estados Unidos de América),</w:t>
      </w:r>
      <w:r w:rsidR="008140C4" w:rsidRPr="002D700A">
        <w:rPr>
          <w:szCs w:val="20"/>
        </w:rPr>
        <w:t xml:space="preserve"> por concepto de </w:t>
      </w:r>
      <w:r w:rsidR="007A2716" w:rsidRPr="002D700A">
        <w:rPr>
          <w:szCs w:val="20"/>
        </w:rPr>
        <w:t xml:space="preserve">gastos y costas </w:t>
      </w:r>
      <w:r w:rsidR="00470377" w:rsidRPr="002D700A">
        <w:rPr>
          <w:szCs w:val="20"/>
        </w:rPr>
        <w:t>ante el sistema interamericano</w:t>
      </w:r>
      <w:r w:rsidR="00AD0711" w:rsidRPr="002D700A">
        <w:rPr>
          <w:szCs w:val="20"/>
        </w:rPr>
        <w:t xml:space="preserve"> </w:t>
      </w:r>
      <w:r w:rsidR="00AD0711" w:rsidRPr="002D700A">
        <w:rPr>
          <w:szCs w:val="20"/>
          <w:lang w:val="es-ES"/>
        </w:rPr>
        <w:t>a favor del representante legal de las víctimas, señor Marcelo Dueñas Veloz.</w:t>
      </w:r>
    </w:p>
    <w:p w14:paraId="443CE46B" w14:textId="77777777" w:rsidR="00C50D59" w:rsidRPr="0092295B" w:rsidRDefault="00C50D59" w:rsidP="00C2153C">
      <w:pPr>
        <w:pStyle w:val="Prrafodelista"/>
        <w:ind w:left="0"/>
        <w:rPr>
          <w:szCs w:val="20"/>
        </w:rPr>
      </w:pPr>
    </w:p>
    <w:p w14:paraId="17445E7A" w14:textId="49D1F3B7" w:rsidR="000D3067" w:rsidRPr="00870EAA" w:rsidRDefault="000D3067" w:rsidP="00870EAA">
      <w:pPr>
        <w:pStyle w:val="Prrafodelista"/>
        <w:numPr>
          <w:ilvl w:val="0"/>
          <w:numId w:val="29"/>
        </w:numPr>
        <w:spacing w:before="0" w:after="0"/>
        <w:ind w:left="0" w:firstLine="0"/>
        <w:rPr>
          <w:szCs w:val="20"/>
        </w:rPr>
      </w:pPr>
      <w:r w:rsidRPr="0092295B">
        <w:rPr>
          <w:szCs w:val="20"/>
          <w:lang w:val="es-MX"/>
        </w:rPr>
        <w:t>La Corte considera que, en el procedimiento de supervisión del cumplimiento de la presente Sentencia, podrá disponer que el Estado reembolse a las víctimas o sus representantes los gastos razonables en que incurran en dicha etapa procesal.</w:t>
      </w:r>
    </w:p>
    <w:p w14:paraId="6FA57690" w14:textId="7B81D018" w:rsidR="000D3067" w:rsidRPr="00F911DC" w:rsidRDefault="00870EAA" w:rsidP="00F911DC">
      <w:pPr>
        <w:pStyle w:val="Ttulo2"/>
        <w:ind w:left="426"/>
        <w:rPr>
          <w:i w:val="0"/>
          <w:lang w:val="es-MX"/>
        </w:rPr>
      </w:pPr>
      <w:bookmarkStart w:id="153" w:name="_Toc87339046"/>
      <w:r w:rsidRPr="00F911DC">
        <w:rPr>
          <w:i w:val="0"/>
          <w:lang w:val="es-MX"/>
        </w:rPr>
        <w:t>F</w:t>
      </w:r>
      <w:r w:rsidR="00582139" w:rsidRPr="00F911DC">
        <w:rPr>
          <w:i w:val="0"/>
          <w:lang w:val="es-MX"/>
        </w:rPr>
        <w:t xml:space="preserve">. </w:t>
      </w:r>
      <w:r w:rsidR="000D3067" w:rsidRPr="00F911DC">
        <w:rPr>
          <w:i w:val="0"/>
          <w:lang w:val="es-MX"/>
        </w:rPr>
        <w:t>Modalidad de cumplimiento de los pagos ordenados</w:t>
      </w:r>
      <w:bookmarkEnd w:id="153"/>
    </w:p>
    <w:p w14:paraId="39C25F69" w14:textId="78F18B6C" w:rsidR="000D3067" w:rsidRPr="0092295B" w:rsidRDefault="000D3067" w:rsidP="00C2153C">
      <w:pPr>
        <w:pStyle w:val="Prrafodelista"/>
        <w:numPr>
          <w:ilvl w:val="0"/>
          <w:numId w:val="29"/>
        </w:numPr>
        <w:spacing w:before="0" w:after="0"/>
        <w:ind w:left="0" w:firstLine="0"/>
        <w:rPr>
          <w:rFonts w:eastAsia="MS Mincho" w:cs="Times New Roman"/>
          <w:szCs w:val="20"/>
          <w:lang w:val="es-ES" w:bidi="en-US"/>
        </w:rPr>
      </w:pPr>
      <w:bookmarkStart w:id="154" w:name="_Ref512872975"/>
      <w:r w:rsidRPr="0092295B">
        <w:rPr>
          <w:rFonts w:eastAsia="SimSun" w:cs="Times New Roman"/>
          <w:szCs w:val="20"/>
        </w:rPr>
        <w:t>El Estado deberá efectuar el pago de las indemnizaciones por concepto de daño material e inmaterial y el reintegro de costas y gastos establecidos en la present</w:t>
      </w:r>
      <w:r w:rsidR="007B27E1" w:rsidRPr="0092295B">
        <w:rPr>
          <w:rFonts w:eastAsia="SimSun" w:cs="Times New Roman"/>
          <w:szCs w:val="20"/>
        </w:rPr>
        <w:t>e Sentencia directamente a las personas</w:t>
      </w:r>
      <w:r w:rsidRPr="0092295B">
        <w:rPr>
          <w:rFonts w:eastAsia="SimSun" w:cs="Times New Roman"/>
          <w:szCs w:val="20"/>
        </w:rPr>
        <w:t xml:space="preserve"> indicad</w:t>
      </w:r>
      <w:r w:rsidR="007B27E1" w:rsidRPr="0092295B">
        <w:rPr>
          <w:rFonts w:eastAsia="SimSun" w:cs="Times New Roman"/>
          <w:szCs w:val="20"/>
        </w:rPr>
        <w:t>as</w:t>
      </w:r>
      <w:r w:rsidRPr="0092295B">
        <w:rPr>
          <w:rFonts w:eastAsia="SimSun" w:cs="Times New Roman"/>
          <w:szCs w:val="20"/>
        </w:rPr>
        <w:t xml:space="preserve"> en la misma, dentro del plazo de un año contado a partir de la notificación de la presente Sentencia</w:t>
      </w:r>
      <w:bookmarkEnd w:id="154"/>
      <w:r w:rsidRPr="0092295B">
        <w:rPr>
          <w:rFonts w:eastAsia="SimSun" w:cs="Times New Roman"/>
          <w:szCs w:val="20"/>
        </w:rPr>
        <w:t xml:space="preserve">, sin perjuicio de que pueda adelantar el pago completo en un plazo menor, </w:t>
      </w:r>
      <w:r w:rsidRPr="0092295B">
        <w:rPr>
          <w:rFonts w:eastAsia="SimSun" w:cs="Times New Roman"/>
          <w:szCs w:val="20"/>
          <w:lang w:val="es-ES"/>
        </w:rPr>
        <w:t>en los términos de los siguientes párrafos</w:t>
      </w:r>
      <w:r w:rsidRPr="0092295B">
        <w:rPr>
          <w:rFonts w:eastAsia="MS Mincho" w:cs="Times New Roman"/>
          <w:szCs w:val="20"/>
          <w:lang w:val="es-ES" w:bidi="en-US"/>
        </w:rPr>
        <w:t>.</w:t>
      </w:r>
    </w:p>
    <w:p w14:paraId="70D3049A" w14:textId="77777777" w:rsidR="00607D54" w:rsidRPr="0092295B" w:rsidRDefault="00607D54" w:rsidP="00C2153C">
      <w:pPr>
        <w:pStyle w:val="Prrafodelista"/>
        <w:widowControl w:val="0"/>
        <w:adjustRightInd w:val="0"/>
        <w:spacing w:before="0" w:after="0"/>
        <w:ind w:left="0"/>
        <w:rPr>
          <w:rFonts w:eastAsia="MS Mincho" w:cs="Times New Roman"/>
          <w:szCs w:val="20"/>
          <w:lang w:val="es-ES" w:bidi="en-US"/>
        </w:rPr>
      </w:pPr>
    </w:p>
    <w:p w14:paraId="51C089E1" w14:textId="70B538B0" w:rsidR="00973CC8" w:rsidRPr="0092295B" w:rsidRDefault="000D3067" w:rsidP="00C2153C">
      <w:pPr>
        <w:pStyle w:val="Prrafodelista"/>
        <w:numPr>
          <w:ilvl w:val="0"/>
          <w:numId w:val="29"/>
        </w:numPr>
        <w:spacing w:before="0" w:after="0"/>
        <w:ind w:left="0" w:firstLine="0"/>
        <w:rPr>
          <w:rFonts w:eastAsia="MS Mincho" w:cs="Times New Roman"/>
          <w:szCs w:val="20"/>
          <w:lang w:val="es-ES" w:bidi="en-US"/>
        </w:rPr>
      </w:pPr>
      <w:r w:rsidRPr="0092295B">
        <w:rPr>
          <w:rFonts w:eastAsia="SimSun" w:cs="Times New Roman"/>
          <w:szCs w:val="20"/>
        </w:rPr>
        <w:t>En caso de que el benefic</w:t>
      </w:r>
      <w:r w:rsidR="007B27E1" w:rsidRPr="0092295B">
        <w:rPr>
          <w:rFonts w:eastAsia="SimSun" w:cs="Times New Roman"/>
          <w:szCs w:val="20"/>
        </w:rPr>
        <w:t>iario haya fallecido o fallezca antes de que le</w:t>
      </w:r>
      <w:r w:rsidRPr="0092295B">
        <w:rPr>
          <w:rFonts w:eastAsia="SimSun" w:cs="Times New Roman"/>
          <w:szCs w:val="20"/>
        </w:rPr>
        <w:t xml:space="preserve"> sea entregada la cantidad respectiva, esta se entregará directamente a sus derechohabientes, conforme al derecho interno aplicable.</w:t>
      </w:r>
    </w:p>
    <w:p w14:paraId="40A66C65" w14:textId="48CA705D" w:rsidR="00A849C7" w:rsidRPr="0092295B" w:rsidRDefault="00A849C7" w:rsidP="00C2153C">
      <w:pPr>
        <w:pStyle w:val="Prrafodelista"/>
        <w:spacing w:before="0" w:after="0"/>
        <w:ind w:left="0"/>
        <w:rPr>
          <w:rFonts w:eastAsia="MS Mincho" w:cs="Times New Roman"/>
          <w:szCs w:val="20"/>
          <w:lang w:val="es-ES" w:bidi="en-US"/>
        </w:rPr>
      </w:pPr>
    </w:p>
    <w:p w14:paraId="3AE117D9" w14:textId="5A0830EA" w:rsidR="00607D54" w:rsidRPr="0092295B" w:rsidRDefault="00973CC8" w:rsidP="00C2153C">
      <w:pPr>
        <w:pStyle w:val="Prrafodelista"/>
        <w:numPr>
          <w:ilvl w:val="0"/>
          <w:numId w:val="29"/>
        </w:numPr>
        <w:spacing w:before="0" w:after="0"/>
        <w:ind w:left="0" w:firstLine="0"/>
        <w:rPr>
          <w:rFonts w:eastAsia="MS Mincho" w:cs="Times New Roman"/>
          <w:szCs w:val="20"/>
          <w:lang w:val="es-ES" w:bidi="en-US"/>
        </w:rPr>
      </w:pPr>
      <w:r w:rsidRPr="0092295B">
        <w:rPr>
          <w:rFonts w:eastAsia="SimSun"/>
          <w:szCs w:val="20"/>
          <w:lang w:val="es-CR"/>
        </w:rPr>
        <w:t>El Estado deberá cumplir con las obligaciones monetarias mediante el pago en dólares de los Estados Unidos de América</w:t>
      </w:r>
      <w:r w:rsidR="006B1FC4" w:rsidRPr="0092295B">
        <w:rPr>
          <w:rFonts w:eastAsia="SimSun"/>
          <w:szCs w:val="20"/>
          <w:lang w:val="es-CR"/>
        </w:rPr>
        <w:t>.</w:t>
      </w:r>
    </w:p>
    <w:p w14:paraId="5DC90B20" w14:textId="77777777" w:rsidR="00973CC8" w:rsidRPr="0092295B" w:rsidRDefault="00973CC8" w:rsidP="00C2153C">
      <w:pPr>
        <w:pStyle w:val="Prrafodelista"/>
        <w:ind w:left="0"/>
        <w:rPr>
          <w:rFonts w:eastAsia="MS Mincho" w:cs="Times New Roman"/>
          <w:szCs w:val="20"/>
          <w:lang w:val="es-ES" w:bidi="en-US"/>
        </w:rPr>
      </w:pPr>
    </w:p>
    <w:p w14:paraId="685CB027" w14:textId="77777777" w:rsidR="000D3067" w:rsidRPr="0092295B" w:rsidRDefault="000D3067" w:rsidP="00C2153C">
      <w:pPr>
        <w:pStyle w:val="Prrafodelista"/>
        <w:numPr>
          <w:ilvl w:val="0"/>
          <w:numId w:val="29"/>
        </w:numPr>
        <w:spacing w:before="0" w:after="0"/>
        <w:ind w:left="0" w:firstLine="0"/>
        <w:rPr>
          <w:rFonts w:eastAsia="MS Mincho" w:cs="Times New Roman"/>
          <w:szCs w:val="20"/>
          <w:lang w:val="es-ES" w:bidi="en-US"/>
        </w:rPr>
      </w:pPr>
      <w:r w:rsidRPr="0092295B">
        <w:rPr>
          <w:rFonts w:eastAsia="SimSun" w:cs="Times New Roman"/>
          <w:szCs w:val="20"/>
        </w:rPr>
        <w:t>Si por causas atribuibles al (los) beneficiario(s) de las indemnizaciones o a sus derechohabientes no fuese posible el pago de las cantidades determinadas dentro del plazo indicado, el Estado consignará dichos montos a su favor en una cuenta o certificado de depósito en una institución financiera ecuatoriana solvente, en dólares de los Estados Unidos de América, y en las condiciones financieras más favorables que permitan la legislación y la práctica bancaria. Si no se reclama la indemnización correspondiente una vez transcurridos diez años, las cantidades serán devueltas al Estado con los intereses devengados.</w:t>
      </w:r>
    </w:p>
    <w:p w14:paraId="46DEBD95" w14:textId="77777777" w:rsidR="00607D54" w:rsidRPr="0092295B" w:rsidRDefault="00607D54" w:rsidP="00C2153C">
      <w:pPr>
        <w:pStyle w:val="Prrafodelista"/>
        <w:ind w:left="0"/>
        <w:rPr>
          <w:rFonts w:eastAsia="MS Mincho" w:cs="Times New Roman"/>
          <w:szCs w:val="20"/>
          <w:lang w:val="es-ES" w:bidi="en-US"/>
        </w:rPr>
      </w:pPr>
    </w:p>
    <w:p w14:paraId="6A1BC8CE" w14:textId="2528248E" w:rsidR="000D3067" w:rsidRPr="0092295B" w:rsidRDefault="000D3067" w:rsidP="00C2153C">
      <w:pPr>
        <w:pStyle w:val="Prrafodelista"/>
        <w:numPr>
          <w:ilvl w:val="0"/>
          <w:numId w:val="29"/>
        </w:numPr>
        <w:spacing w:before="0" w:after="0"/>
        <w:ind w:left="0" w:firstLine="0"/>
        <w:rPr>
          <w:rFonts w:eastAsia="MS Mincho" w:cs="Times New Roman"/>
          <w:szCs w:val="20"/>
          <w:lang w:val="es-ES" w:bidi="en-US"/>
        </w:rPr>
      </w:pPr>
      <w:r w:rsidRPr="0092295B">
        <w:rPr>
          <w:rFonts w:eastAsia="SimSun" w:cs="Times New Roman"/>
          <w:szCs w:val="20"/>
        </w:rPr>
        <w:t>Las cantidades asignadas en la presente Sentencia como indemnización por daños materiales e inmateriales, y como reintegro de costas y gastos, deberán ser entregadas a las personas indicada</w:t>
      </w:r>
      <w:r w:rsidR="00E3412E">
        <w:rPr>
          <w:rFonts w:eastAsia="SimSun" w:cs="Times New Roman"/>
          <w:szCs w:val="20"/>
        </w:rPr>
        <w:t>s</w:t>
      </w:r>
      <w:r w:rsidRPr="0092295B">
        <w:rPr>
          <w:rFonts w:eastAsia="SimSun" w:cs="Times New Roman"/>
          <w:szCs w:val="20"/>
        </w:rPr>
        <w:t xml:space="preserve"> en forma íntegra, conforme a lo establecido en esta Sentencia, sin reducciones derivadas de eventuales cargas fiscales.</w:t>
      </w:r>
      <w:bookmarkStart w:id="155" w:name="_Ref469940442"/>
    </w:p>
    <w:p w14:paraId="46F37235" w14:textId="77777777" w:rsidR="00607D54" w:rsidRPr="0092295B" w:rsidRDefault="00607D54" w:rsidP="00C2153C">
      <w:pPr>
        <w:pStyle w:val="Prrafodelista"/>
        <w:ind w:left="0"/>
        <w:rPr>
          <w:rFonts w:eastAsia="MS Mincho" w:cs="Times New Roman"/>
          <w:szCs w:val="20"/>
          <w:lang w:val="es-ES" w:bidi="en-US"/>
        </w:rPr>
      </w:pPr>
    </w:p>
    <w:p w14:paraId="47710A98" w14:textId="2A696C89" w:rsidR="00C26D66" w:rsidRPr="00D44B5C" w:rsidRDefault="000D3067" w:rsidP="00D43695">
      <w:pPr>
        <w:pStyle w:val="Prrafodelista"/>
        <w:numPr>
          <w:ilvl w:val="0"/>
          <w:numId w:val="29"/>
        </w:numPr>
        <w:spacing w:before="0" w:after="0"/>
        <w:ind w:left="0" w:firstLine="0"/>
        <w:rPr>
          <w:lang w:val="es-ES" w:bidi="en-US"/>
        </w:rPr>
      </w:pPr>
      <w:r w:rsidRPr="0092295B">
        <w:rPr>
          <w:noProof/>
          <w:szCs w:val="20"/>
        </w:rPr>
        <w:t>En caso de que el Estado incurriera en mora, deberá pagar un interés sobre la cantidad adeudada correspondiente al interés bancario moratorio en la República</w:t>
      </w:r>
      <w:r w:rsidR="00D3621F" w:rsidRPr="0092295B">
        <w:rPr>
          <w:noProof/>
          <w:szCs w:val="20"/>
        </w:rPr>
        <w:t xml:space="preserve"> de</w:t>
      </w:r>
      <w:r w:rsidR="001B5467">
        <w:rPr>
          <w:noProof/>
          <w:szCs w:val="20"/>
        </w:rPr>
        <w:t>l</w:t>
      </w:r>
      <w:r w:rsidR="00D3621F" w:rsidRPr="0092295B">
        <w:rPr>
          <w:noProof/>
          <w:szCs w:val="20"/>
        </w:rPr>
        <w:t xml:space="preserve"> Ecuador</w:t>
      </w:r>
      <w:r w:rsidRPr="0092295B">
        <w:rPr>
          <w:noProof/>
          <w:szCs w:val="20"/>
        </w:rPr>
        <w:t>.</w:t>
      </w:r>
      <w:bookmarkEnd w:id="155"/>
    </w:p>
    <w:p w14:paraId="027A8875" w14:textId="77777777" w:rsidR="00D44B5C" w:rsidRPr="00D44B5C" w:rsidRDefault="00D44B5C" w:rsidP="00D44B5C">
      <w:pPr>
        <w:pStyle w:val="Prrafodelista"/>
        <w:rPr>
          <w:lang w:val="es-ES" w:bidi="en-US"/>
        </w:rPr>
      </w:pPr>
    </w:p>
    <w:p w14:paraId="07BAF820" w14:textId="72DAD1C0" w:rsidR="00A721AE" w:rsidRPr="0092295B" w:rsidRDefault="001A62CA">
      <w:pPr>
        <w:pStyle w:val="Ttulo1"/>
        <w:spacing w:before="360" w:after="360"/>
      </w:pPr>
      <w:bookmarkStart w:id="156" w:name="_Toc470105133"/>
      <w:bookmarkStart w:id="157" w:name="_Toc87339047"/>
      <w:r>
        <w:t>I</w:t>
      </w:r>
      <w:r w:rsidR="00F0482A" w:rsidRPr="0092295B">
        <w:t>X</w:t>
      </w:r>
      <w:r w:rsidR="00F0482A" w:rsidRPr="0092295B">
        <w:rPr>
          <w:color w:val="FFFFFF" w:themeColor="background1"/>
        </w:rPr>
        <w:t>.</w:t>
      </w:r>
      <w:r w:rsidR="00F0482A" w:rsidRPr="0092295B">
        <w:br/>
      </w:r>
      <w:r w:rsidR="00A721AE" w:rsidRPr="0092295B">
        <w:t>PUNTOS RESOLUTIVOS</w:t>
      </w:r>
      <w:bookmarkEnd w:id="87"/>
      <w:bookmarkEnd w:id="88"/>
      <w:bookmarkEnd w:id="89"/>
      <w:bookmarkEnd w:id="156"/>
      <w:bookmarkEnd w:id="157"/>
    </w:p>
    <w:p w14:paraId="2ACD966E" w14:textId="77777777" w:rsidR="00CA2AEE" w:rsidRPr="0092295B" w:rsidRDefault="00CA2AEE" w:rsidP="00C2153C">
      <w:pPr>
        <w:pStyle w:val="Prrafodelista"/>
        <w:numPr>
          <w:ilvl w:val="0"/>
          <w:numId w:val="29"/>
        </w:numPr>
        <w:spacing w:before="0" w:after="0"/>
        <w:ind w:left="0" w:firstLine="0"/>
        <w:rPr>
          <w:rFonts w:eastAsia="MS Mincho" w:cs="Times New Roman"/>
          <w:szCs w:val="20"/>
          <w:lang w:bidi="en-US"/>
        </w:rPr>
      </w:pPr>
      <w:r w:rsidRPr="0092295B">
        <w:rPr>
          <w:rFonts w:eastAsia="MS Mincho" w:cs="Times New Roman"/>
          <w:szCs w:val="20"/>
          <w:lang w:bidi="en-US"/>
        </w:rPr>
        <w:t>Por tanto,</w:t>
      </w:r>
    </w:p>
    <w:p w14:paraId="2C10B348" w14:textId="77777777" w:rsidR="00CA2AEE" w:rsidRPr="0092295B" w:rsidRDefault="00CA2AEE" w:rsidP="00285024">
      <w:pPr>
        <w:tabs>
          <w:tab w:val="left" w:pos="720"/>
        </w:tabs>
        <w:spacing w:before="120" w:after="120"/>
        <w:ind w:left="720" w:right="-91"/>
        <w:contextualSpacing/>
        <w:jc w:val="left"/>
        <w:rPr>
          <w:rFonts w:eastAsia="MS Mincho" w:cs="Times New Roman"/>
          <w:szCs w:val="20"/>
          <w:lang w:bidi="en-US"/>
        </w:rPr>
      </w:pPr>
    </w:p>
    <w:p w14:paraId="17BAA946" w14:textId="77777777" w:rsidR="00CA2AEE" w:rsidRPr="0092295B" w:rsidRDefault="00285024" w:rsidP="00285024">
      <w:pPr>
        <w:tabs>
          <w:tab w:val="left" w:pos="720"/>
        </w:tabs>
        <w:spacing w:before="120" w:after="120"/>
        <w:ind w:right="-91"/>
        <w:contextualSpacing/>
        <w:jc w:val="left"/>
        <w:rPr>
          <w:rFonts w:eastAsia="MS Mincho" w:cs="Times New Roman"/>
          <w:b/>
          <w:bCs/>
          <w:szCs w:val="20"/>
          <w:lang w:bidi="en-US"/>
        </w:rPr>
      </w:pPr>
      <w:r w:rsidRPr="0092295B">
        <w:rPr>
          <w:rFonts w:eastAsia="MS Mincho" w:cs="Times New Roman"/>
          <w:b/>
          <w:bCs/>
          <w:szCs w:val="20"/>
          <w:lang w:bidi="en-US"/>
        </w:rPr>
        <w:t>LA CORTE</w:t>
      </w:r>
    </w:p>
    <w:p w14:paraId="7E811A86" w14:textId="5C656011" w:rsidR="008977F5" w:rsidRPr="0092295B" w:rsidRDefault="008977F5" w:rsidP="002E0937">
      <w:pPr>
        <w:spacing w:before="120" w:after="120"/>
        <w:ind w:right="-90"/>
        <w:contextualSpacing/>
        <w:jc w:val="left"/>
        <w:rPr>
          <w:rFonts w:eastAsia="Times New Roman" w:cs="Times New Roman"/>
          <w:szCs w:val="20"/>
          <w:lang w:val="es-CR" w:eastAsia="es-CR"/>
        </w:rPr>
      </w:pPr>
    </w:p>
    <w:p w14:paraId="1CA9D188" w14:textId="77777777" w:rsidR="008977F5" w:rsidRPr="0092295B" w:rsidRDefault="008977F5" w:rsidP="008977F5">
      <w:pPr>
        <w:tabs>
          <w:tab w:val="left" w:pos="720"/>
        </w:tabs>
        <w:spacing w:before="120" w:after="120"/>
        <w:ind w:right="-90"/>
        <w:contextualSpacing/>
        <w:jc w:val="left"/>
        <w:rPr>
          <w:rFonts w:eastAsia="MS Mincho" w:cs="Times New Roman"/>
          <w:szCs w:val="20"/>
          <w:lang w:bidi="en-US"/>
        </w:rPr>
      </w:pPr>
      <w:r w:rsidRPr="0092295B">
        <w:rPr>
          <w:rFonts w:eastAsia="MS Mincho" w:cs="Times New Roman"/>
          <w:b/>
          <w:bCs/>
          <w:szCs w:val="20"/>
          <w:lang w:bidi="en-US"/>
        </w:rPr>
        <w:t xml:space="preserve">DECIDE: </w:t>
      </w:r>
    </w:p>
    <w:p w14:paraId="39D80E52" w14:textId="77777777" w:rsidR="008977F5" w:rsidRPr="0092295B" w:rsidRDefault="008977F5" w:rsidP="008977F5">
      <w:pPr>
        <w:tabs>
          <w:tab w:val="left" w:pos="720"/>
        </w:tabs>
        <w:spacing w:before="120" w:after="120"/>
        <w:ind w:right="-90"/>
        <w:contextualSpacing/>
        <w:jc w:val="left"/>
        <w:rPr>
          <w:rFonts w:eastAsia="MS Mincho" w:cs="Times New Roman"/>
          <w:szCs w:val="20"/>
          <w:lang w:bidi="en-US"/>
        </w:rPr>
      </w:pPr>
    </w:p>
    <w:p w14:paraId="30AA374E" w14:textId="45D2A819" w:rsidR="008977F5" w:rsidRPr="0092295B" w:rsidRDefault="004771C0" w:rsidP="008977F5">
      <w:pPr>
        <w:spacing w:before="0" w:after="0"/>
        <w:ind w:right="-90"/>
        <w:contextualSpacing/>
        <w:jc w:val="left"/>
      </w:pPr>
      <w:r w:rsidRPr="0092295B">
        <w:rPr>
          <w:rFonts w:eastAsia="MS Mincho" w:cs="Times New Roman"/>
          <w:szCs w:val="20"/>
          <w:lang w:bidi="en-US"/>
        </w:rPr>
        <w:t>Por unanimidad</w:t>
      </w:r>
      <w:r w:rsidR="008977F5" w:rsidRPr="0092295B">
        <w:rPr>
          <w:rFonts w:eastAsia="MS Mincho" w:cs="Times New Roman"/>
          <w:szCs w:val="20"/>
          <w:lang w:bidi="en-US"/>
        </w:rPr>
        <w:t>,</w:t>
      </w:r>
    </w:p>
    <w:p w14:paraId="0D188B2C" w14:textId="77777777" w:rsidR="008977F5" w:rsidRPr="0092295B" w:rsidRDefault="008977F5" w:rsidP="008977F5">
      <w:pPr>
        <w:spacing w:before="0" w:after="0"/>
        <w:ind w:right="-90"/>
        <w:contextualSpacing/>
        <w:jc w:val="left"/>
      </w:pPr>
    </w:p>
    <w:p w14:paraId="019FD6AD" w14:textId="60580E80" w:rsidR="008977F5" w:rsidRPr="0092295B" w:rsidRDefault="008977F5" w:rsidP="00303E56">
      <w:pPr>
        <w:pStyle w:val="Prrafodelista"/>
        <w:numPr>
          <w:ilvl w:val="0"/>
          <w:numId w:val="10"/>
        </w:numPr>
        <w:spacing w:before="0" w:after="0"/>
        <w:ind w:left="0" w:right="-90" w:firstLine="0"/>
      </w:pPr>
      <w:r w:rsidRPr="0092295B">
        <w:t>Desestimar la excepción preliminar de “cuarta instancia”, de</w:t>
      </w:r>
      <w:r w:rsidR="008C31F6">
        <w:t xml:space="preserve"> conformidad con los párrafos 16 a 17</w:t>
      </w:r>
      <w:r w:rsidRPr="0092295B">
        <w:t xml:space="preserve"> de esta Sentencia.</w:t>
      </w:r>
    </w:p>
    <w:p w14:paraId="35517C7F" w14:textId="77777777" w:rsidR="008977F5" w:rsidRPr="0092295B" w:rsidRDefault="008977F5" w:rsidP="008977F5">
      <w:pPr>
        <w:pStyle w:val="Prrafodelista"/>
        <w:spacing w:before="0" w:after="0"/>
        <w:ind w:left="0" w:right="-90"/>
        <w:jc w:val="left"/>
      </w:pPr>
    </w:p>
    <w:p w14:paraId="1221E044" w14:textId="002410ED" w:rsidR="008977F5" w:rsidRPr="0092295B" w:rsidRDefault="008977F5" w:rsidP="0021109A">
      <w:pPr>
        <w:pStyle w:val="Prrafodelista"/>
        <w:numPr>
          <w:ilvl w:val="0"/>
          <w:numId w:val="10"/>
        </w:numPr>
        <w:spacing w:before="0" w:after="0"/>
        <w:ind w:left="0" w:right="-90" w:firstLine="0"/>
      </w:pPr>
      <w:r w:rsidRPr="0092295B">
        <w:t xml:space="preserve">Desestimar la excepción preliminar referente a la alegada vulneración al derecho de defensa del Estado, de conformidad </w:t>
      </w:r>
      <w:r w:rsidR="008C31F6">
        <w:t>con los párrafos 21 a 24</w:t>
      </w:r>
      <w:r w:rsidRPr="0092295B">
        <w:t xml:space="preserve"> de esta Sentencia.</w:t>
      </w:r>
      <w:r w:rsidRPr="0092295B">
        <w:rPr>
          <w:bCs/>
          <w:lang w:val="es-CR"/>
        </w:rPr>
        <w:t xml:space="preserve"> </w:t>
      </w:r>
    </w:p>
    <w:p w14:paraId="38A55929" w14:textId="77777777" w:rsidR="008977F5" w:rsidRPr="0092295B" w:rsidRDefault="008977F5" w:rsidP="008977F5">
      <w:pPr>
        <w:pStyle w:val="Prrafodelista"/>
        <w:spacing w:before="0" w:after="0"/>
        <w:ind w:left="0" w:right="-90"/>
        <w:jc w:val="left"/>
      </w:pPr>
    </w:p>
    <w:p w14:paraId="3A5A462C" w14:textId="77777777" w:rsidR="008977F5" w:rsidRPr="0092295B" w:rsidRDefault="008977F5" w:rsidP="008977F5">
      <w:pPr>
        <w:pStyle w:val="Prrafodelista"/>
        <w:spacing w:before="0" w:after="0"/>
        <w:ind w:left="0" w:right="-90"/>
        <w:jc w:val="left"/>
        <w:rPr>
          <w:b/>
        </w:rPr>
      </w:pPr>
      <w:r w:rsidRPr="0092295B">
        <w:rPr>
          <w:b/>
        </w:rPr>
        <w:t xml:space="preserve">DECLARA, </w:t>
      </w:r>
    </w:p>
    <w:p w14:paraId="3442DC61" w14:textId="77777777" w:rsidR="008977F5" w:rsidRPr="0092295B" w:rsidRDefault="008977F5" w:rsidP="008977F5">
      <w:pPr>
        <w:pStyle w:val="Prrafodelista"/>
        <w:spacing w:before="0" w:after="0"/>
        <w:ind w:left="0" w:right="-90"/>
        <w:jc w:val="left"/>
      </w:pPr>
    </w:p>
    <w:p w14:paraId="040D3947" w14:textId="14C236AB" w:rsidR="008977F5" w:rsidRPr="0092295B" w:rsidRDefault="00087548" w:rsidP="008977F5">
      <w:pPr>
        <w:pStyle w:val="Prrafodelista"/>
        <w:spacing w:before="0" w:after="0"/>
        <w:ind w:left="0" w:right="-90"/>
        <w:jc w:val="left"/>
      </w:pPr>
      <w:r w:rsidRPr="0092295B">
        <w:t>Por unanimidad</w:t>
      </w:r>
      <w:r w:rsidR="008977F5" w:rsidRPr="0092295B">
        <w:t>, que:</w:t>
      </w:r>
    </w:p>
    <w:p w14:paraId="0A5B0993" w14:textId="77777777" w:rsidR="008977F5" w:rsidRPr="0092295B" w:rsidRDefault="008977F5" w:rsidP="008977F5">
      <w:pPr>
        <w:pStyle w:val="Prrafodelista"/>
        <w:spacing w:before="0" w:after="0"/>
        <w:ind w:left="0" w:right="-90"/>
        <w:jc w:val="left"/>
      </w:pPr>
    </w:p>
    <w:p w14:paraId="7688E23A" w14:textId="6EE9618C" w:rsidR="003A05E8" w:rsidRDefault="003A05E8" w:rsidP="00D43695">
      <w:pPr>
        <w:pStyle w:val="Prrafodelista"/>
        <w:numPr>
          <w:ilvl w:val="0"/>
          <w:numId w:val="10"/>
        </w:numPr>
        <w:spacing w:before="120" w:after="120"/>
        <w:ind w:left="0" w:right="-90" w:firstLine="0"/>
      </w:pPr>
      <w:r>
        <w:t xml:space="preserve">El Estado es responsable por la violación </w:t>
      </w:r>
      <w:r w:rsidR="007A670B">
        <w:t>de</w:t>
      </w:r>
      <w:r>
        <w:t xml:space="preserve">l derecho a la libertad personal, </w:t>
      </w:r>
      <w:r w:rsidR="00331D55">
        <w:t>la presunción de inocencia y a la</w:t>
      </w:r>
      <w:r w:rsidR="00AA7476">
        <w:t xml:space="preserve"> </w:t>
      </w:r>
      <w:r>
        <w:t>i</w:t>
      </w:r>
      <w:r w:rsidR="00AA7476">
        <w:t>gual</w:t>
      </w:r>
      <w:r w:rsidR="002A2012">
        <w:t xml:space="preserve">dad ante la </w:t>
      </w:r>
      <w:r w:rsidR="00AA7476">
        <w:t>ley</w:t>
      </w:r>
      <w:r>
        <w:t xml:space="preserve">, reconocidos en los artículos </w:t>
      </w:r>
      <w:r>
        <w:rPr>
          <w:bCs/>
          <w:lang w:val="es-CR"/>
        </w:rPr>
        <w:t xml:space="preserve">7.1, 7.2, 7.3. 7.5, 7.6, 8.2 y </w:t>
      </w:r>
      <w:r w:rsidRPr="00D43695">
        <w:rPr>
          <w:bCs/>
          <w:lang w:val="es-CR"/>
        </w:rPr>
        <w:t>24</w:t>
      </w:r>
      <w:r>
        <w:rPr>
          <w:bCs/>
          <w:lang w:val="es-CR"/>
        </w:rPr>
        <w:t xml:space="preserve"> de la Convención Americana</w:t>
      </w:r>
      <w:r w:rsidR="00396A48">
        <w:rPr>
          <w:bCs/>
          <w:lang w:val="es-CR"/>
        </w:rPr>
        <w:t xml:space="preserve"> sobre Derechos Humanos</w:t>
      </w:r>
      <w:r>
        <w:rPr>
          <w:bCs/>
          <w:lang w:val="es-CR"/>
        </w:rPr>
        <w:t xml:space="preserve">, en relación con los artículos 1.1 y 2 del mismo instrumento, en perjuicio de </w:t>
      </w:r>
      <w:r>
        <w:rPr>
          <w:iCs/>
          <w:szCs w:val="20"/>
          <w:lang w:val="es-ES"/>
        </w:rPr>
        <w:t>Jorge Humberto Villarroel Merino, Mario Romel Cevallos Moreno, Jorge Enrique Coloma Gaibor, Fernando Marcelo López Ortiz, Leoncio Amílcar Ascázubi Albán y Alfonso Patricio Vinueza Pánchez</w:t>
      </w:r>
      <w:r w:rsidR="00C070A4">
        <w:t xml:space="preserve">, </w:t>
      </w:r>
      <w:r>
        <w:t>de conformidad con los párrafos 79 a 117</w:t>
      </w:r>
      <w:r w:rsidRPr="0092295B">
        <w:t xml:space="preserve"> </w:t>
      </w:r>
      <w:r>
        <w:t>de esta Sentencia.</w:t>
      </w:r>
    </w:p>
    <w:p w14:paraId="26995EE6" w14:textId="76470FDF" w:rsidR="00161155" w:rsidRPr="0092295B" w:rsidRDefault="00161155" w:rsidP="00161155">
      <w:pPr>
        <w:pStyle w:val="Prrafodelista"/>
        <w:spacing w:before="120" w:after="120"/>
        <w:ind w:left="0" w:right="-90"/>
      </w:pPr>
    </w:p>
    <w:p w14:paraId="55E87310" w14:textId="2EAB25E5" w:rsidR="00161155" w:rsidRPr="0092295B" w:rsidRDefault="00161155" w:rsidP="00161155">
      <w:pPr>
        <w:pStyle w:val="Prrafodelista"/>
        <w:numPr>
          <w:ilvl w:val="0"/>
          <w:numId w:val="10"/>
        </w:numPr>
        <w:spacing w:before="120" w:after="120"/>
        <w:ind w:left="0" w:right="-90" w:firstLine="0"/>
      </w:pPr>
      <w:r w:rsidRPr="0092295B">
        <w:t xml:space="preserve">El Estado es responsable por la violación </w:t>
      </w:r>
      <w:r w:rsidR="00396A48">
        <w:t>de</w:t>
      </w:r>
      <w:r w:rsidRPr="0092295B">
        <w:t xml:space="preserve"> los derechos a las garantías judiciales rec</w:t>
      </w:r>
      <w:r w:rsidR="004367E6" w:rsidRPr="0092295B">
        <w:t xml:space="preserve">onocidas en </w:t>
      </w:r>
      <w:r w:rsidR="00396A48">
        <w:t>el</w:t>
      </w:r>
      <w:r w:rsidR="00396A48" w:rsidRPr="0092295B">
        <w:t xml:space="preserve"> </w:t>
      </w:r>
      <w:r w:rsidR="004367E6" w:rsidRPr="0092295B">
        <w:t>artículo 8.1</w:t>
      </w:r>
      <w:r w:rsidRPr="0092295B">
        <w:rPr>
          <w:bCs/>
          <w:lang w:val="es-CR"/>
        </w:rPr>
        <w:t xml:space="preserve"> </w:t>
      </w:r>
      <w:r w:rsidRPr="0092295B">
        <w:t>de la Convención Americana</w:t>
      </w:r>
      <w:r w:rsidR="00396A48">
        <w:t xml:space="preserve"> </w:t>
      </w:r>
      <w:r w:rsidR="00396A48">
        <w:rPr>
          <w:bCs/>
          <w:lang w:val="es-CR"/>
        </w:rPr>
        <w:t>sobre Derechos Humanos</w:t>
      </w:r>
      <w:r w:rsidRPr="0092295B">
        <w:t>, en relación con l</w:t>
      </w:r>
      <w:r w:rsidR="00396A48">
        <w:t>os</w:t>
      </w:r>
      <w:r w:rsidRPr="0092295B">
        <w:t xml:space="preserve"> artículo</w:t>
      </w:r>
      <w:r w:rsidR="00396A48">
        <w:t>s</w:t>
      </w:r>
      <w:r w:rsidRPr="0092295B">
        <w:t xml:space="preserve"> 1.1 y 2 del mismo instrumento</w:t>
      </w:r>
      <w:r w:rsidRPr="0092295B">
        <w:rPr>
          <w:bCs/>
          <w:lang w:val="es-CR"/>
        </w:rPr>
        <w:t xml:space="preserve">, en perjuicio de </w:t>
      </w:r>
      <w:r w:rsidRPr="0092295B">
        <w:rPr>
          <w:iCs/>
          <w:szCs w:val="20"/>
          <w:lang w:val="es-ES"/>
        </w:rPr>
        <w:t xml:space="preserve">Jorge Humberto Villarroel Merino, </w:t>
      </w:r>
      <w:r w:rsidRPr="00226010">
        <w:rPr>
          <w:iCs/>
          <w:szCs w:val="20"/>
          <w:lang w:val="es-ES"/>
        </w:rPr>
        <w:t>Mario Romel Cevallos Moreno</w:t>
      </w:r>
      <w:r w:rsidRPr="0092295B">
        <w:rPr>
          <w:iCs/>
          <w:szCs w:val="20"/>
          <w:lang w:val="es-ES"/>
        </w:rPr>
        <w:t>, Jorge Enrique Coloma Gaibor, Fernando</w:t>
      </w:r>
      <w:r w:rsidR="003723B8">
        <w:rPr>
          <w:iCs/>
          <w:szCs w:val="20"/>
          <w:lang w:val="es-ES"/>
        </w:rPr>
        <w:t xml:space="preserve"> Marcelo López Ortiz, Leoncio A</w:t>
      </w:r>
      <w:r w:rsidRPr="0092295B">
        <w:rPr>
          <w:iCs/>
          <w:szCs w:val="20"/>
          <w:lang w:val="es-ES"/>
        </w:rPr>
        <w:t>mí</w:t>
      </w:r>
      <w:r w:rsidR="003723B8">
        <w:rPr>
          <w:iCs/>
          <w:szCs w:val="20"/>
          <w:lang w:val="es-ES"/>
        </w:rPr>
        <w:t>l</w:t>
      </w:r>
      <w:r w:rsidRPr="0092295B">
        <w:rPr>
          <w:iCs/>
          <w:szCs w:val="20"/>
          <w:lang w:val="es-ES"/>
        </w:rPr>
        <w:t>car Ascázubi Albán y Alfonso Patricio Vinueza Pánchez</w:t>
      </w:r>
      <w:r w:rsidRPr="0092295B">
        <w:rPr>
          <w:szCs w:val="20"/>
        </w:rPr>
        <w:t xml:space="preserve">, </w:t>
      </w:r>
      <w:r w:rsidRPr="0092295B">
        <w:t>de</w:t>
      </w:r>
      <w:r w:rsidR="00A43449">
        <w:t xml:space="preserve"> conformidad con los párrafos 131 a 145</w:t>
      </w:r>
      <w:r w:rsidRPr="0092295B">
        <w:t xml:space="preserve"> de esta Sentencia.</w:t>
      </w:r>
    </w:p>
    <w:p w14:paraId="31F40C99" w14:textId="385DC938" w:rsidR="008977F5" w:rsidRPr="0092295B" w:rsidRDefault="008977F5" w:rsidP="008977F5">
      <w:pPr>
        <w:pStyle w:val="Prrafodelista"/>
        <w:spacing w:before="120" w:after="120"/>
        <w:ind w:left="0" w:right="-90"/>
      </w:pPr>
    </w:p>
    <w:p w14:paraId="7A9429DD" w14:textId="77777777" w:rsidR="008977F5" w:rsidRPr="0092295B" w:rsidRDefault="008977F5" w:rsidP="008977F5">
      <w:pPr>
        <w:pStyle w:val="Prrafodelista"/>
        <w:spacing w:before="120" w:after="120"/>
        <w:ind w:left="0" w:right="-90"/>
        <w:rPr>
          <w:b/>
        </w:rPr>
      </w:pPr>
      <w:r w:rsidRPr="0092295B">
        <w:rPr>
          <w:b/>
        </w:rPr>
        <w:t xml:space="preserve">Y DISPONE: </w:t>
      </w:r>
    </w:p>
    <w:p w14:paraId="2116ECC9" w14:textId="77777777" w:rsidR="008977F5" w:rsidRPr="0092295B" w:rsidRDefault="008977F5" w:rsidP="008977F5">
      <w:pPr>
        <w:pStyle w:val="Prrafodelista"/>
        <w:spacing w:before="120" w:after="120"/>
        <w:ind w:left="0" w:right="-90"/>
      </w:pPr>
    </w:p>
    <w:p w14:paraId="0786AB46" w14:textId="32426F4B" w:rsidR="008977F5" w:rsidRPr="0092295B" w:rsidRDefault="00087548" w:rsidP="008977F5">
      <w:pPr>
        <w:pStyle w:val="Prrafodelista"/>
        <w:spacing w:before="120" w:after="120"/>
        <w:ind w:left="0" w:right="-90"/>
      </w:pPr>
      <w:r w:rsidRPr="0092295B">
        <w:t>Por unanimidad</w:t>
      </w:r>
      <w:r w:rsidR="008977F5" w:rsidRPr="0092295B">
        <w:t xml:space="preserve">, que: </w:t>
      </w:r>
    </w:p>
    <w:p w14:paraId="54653E26" w14:textId="77777777" w:rsidR="008977F5" w:rsidRPr="0092295B" w:rsidRDefault="008977F5" w:rsidP="008977F5">
      <w:pPr>
        <w:pStyle w:val="Prrafodelista"/>
        <w:spacing w:before="120" w:after="120"/>
        <w:ind w:left="0" w:right="-90"/>
      </w:pPr>
    </w:p>
    <w:p w14:paraId="4B0E079A" w14:textId="77777777" w:rsidR="008977F5" w:rsidRPr="0092295B" w:rsidRDefault="008977F5" w:rsidP="0021109A">
      <w:pPr>
        <w:pStyle w:val="Prrafodelista"/>
        <w:numPr>
          <w:ilvl w:val="0"/>
          <w:numId w:val="10"/>
        </w:numPr>
        <w:spacing w:before="120" w:after="120"/>
        <w:ind w:left="0" w:right="-90" w:firstLine="0"/>
      </w:pPr>
      <w:r w:rsidRPr="0092295B">
        <w:t>Esta Sentencia constituye, por sí misma, una forma de reparación</w:t>
      </w:r>
    </w:p>
    <w:p w14:paraId="584980BA" w14:textId="62BB950E" w:rsidR="008977F5" w:rsidRPr="0092295B" w:rsidRDefault="008977F5" w:rsidP="008977F5">
      <w:pPr>
        <w:pStyle w:val="Prrafodelista"/>
        <w:spacing w:before="120" w:after="120"/>
        <w:ind w:left="0" w:right="-90"/>
      </w:pPr>
    </w:p>
    <w:p w14:paraId="16DC3DD5" w14:textId="2DA8C26D" w:rsidR="008977F5" w:rsidRPr="0092295B" w:rsidRDefault="008977F5" w:rsidP="0021109A">
      <w:pPr>
        <w:pStyle w:val="Prrafodelista"/>
        <w:numPr>
          <w:ilvl w:val="0"/>
          <w:numId w:val="10"/>
        </w:numPr>
        <w:spacing w:before="0" w:after="0"/>
        <w:ind w:left="0" w:right="-86" w:firstLine="0"/>
      </w:pPr>
      <w:r w:rsidRPr="0092295B">
        <w:t>El Estado realizará las publicac</w:t>
      </w:r>
      <w:r w:rsidR="008C31F6">
        <w:t>iones indicadas en el párrafo 1</w:t>
      </w:r>
      <w:r w:rsidR="002F0691">
        <w:t>60</w:t>
      </w:r>
      <w:r w:rsidRPr="0092295B">
        <w:t xml:space="preserve"> de la presente Sentencia.</w:t>
      </w:r>
    </w:p>
    <w:p w14:paraId="1A3CDB30" w14:textId="77777777" w:rsidR="008977F5" w:rsidRPr="0092295B" w:rsidRDefault="008977F5" w:rsidP="00973CC8">
      <w:pPr>
        <w:spacing w:before="0" w:after="0"/>
        <w:ind w:right="-86"/>
      </w:pPr>
    </w:p>
    <w:p w14:paraId="5575DE9D" w14:textId="1614FEA0" w:rsidR="008977F5" w:rsidRPr="0092295B" w:rsidRDefault="008977F5" w:rsidP="0021109A">
      <w:pPr>
        <w:pStyle w:val="Prrafodelista"/>
        <w:numPr>
          <w:ilvl w:val="0"/>
          <w:numId w:val="10"/>
        </w:numPr>
        <w:spacing w:before="0" w:after="0"/>
        <w:ind w:left="0" w:right="-86" w:firstLine="0"/>
      </w:pPr>
      <w:r w:rsidRPr="0092295B">
        <w:t>El Estado pagará las cantid</w:t>
      </w:r>
      <w:r w:rsidR="008C31F6">
        <w:t>ades f</w:t>
      </w:r>
      <w:r w:rsidR="00A43449">
        <w:t>ijadas en los párrafos 18</w:t>
      </w:r>
      <w:r w:rsidR="002F0691">
        <w:t>2</w:t>
      </w:r>
      <w:r w:rsidR="00A43449">
        <w:t xml:space="preserve">, </w:t>
      </w:r>
      <w:r w:rsidR="008C31F6">
        <w:t>18</w:t>
      </w:r>
      <w:r w:rsidR="002F0691">
        <w:t>6</w:t>
      </w:r>
      <w:r w:rsidRPr="0092295B">
        <w:t xml:space="preserve"> </w:t>
      </w:r>
      <w:r w:rsidR="00A43449">
        <w:t>y 19</w:t>
      </w:r>
      <w:r w:rsidR="002F0691">
        <w:t>2</w:t>
      </w:r>
      <w:r w:rsidR="00A43449">
        <w:t xml:space="preserve"> </w:t>
      </w:r>
      <w:r w:rsidRPr="0092295B">
        <w:t>de la presente Sentencia por concepto de daño material</w:t>
      </w:r>
      <w:r w:rsidR="00CF1253" w:rsidRPr="0092295B">
        <w:t xml:space="preserve"> e inmaterial, </w:t>
      </w:r>
      <w:r w:rsidR="00973CC8" w:rsidRPr="0092295B">
        <w:t xml:space="preserve">y </w:t>
      </w:r>
      <w:r w:rsidR="00CF1253" w:rsidRPr="0092295B">
        <w:t>costas y gastos,</w:t>
      </w:r>
      <w:r w:rsidRPr="0092295B">
        <w:t xml:space="preserve"> </w:t>
      </w:r>
      <w:r w:rsidR="00CF1253" w:rsidRPr="0092295B">
        <w:rPr>
          <w:szCs w:val="20"/>
          <w:lang w:val="es-AR"/>
        </w:rPr>
        <w:t xml:space="preserve">en </w:t>
      </w:r>
      <w:r w:rsidR="00A43449">
        <w:rPr>
          <w:szCs w:val="20"/>
          <w:lang w:val="es-AR"/>
        </w:rPr>
        <w:t>los términos de los párrafos 17</w:t>
      </w:r>
      <w:r w:rsidR="002F0691">
        <w:rPr>
          <w:szCs w:val="20"/>
          <w:lang w:val="es-AR"/>
        </w:rPr>
        <w:t>7</w:t>
      </w:r>
      <w:r w:rsidR="00A43449">
        <w:rPr>
          <w:szCs w:val="20"/>
          <w:lang w:val="es-AR"/>
        </w:rPr>
        <w:t xml:space="preserve"> a 18</w:t>
      </w:r>
      <w:r w:rsidR="008466D2">
        <w:rPr>
          <w:szCs w:val="20"/>
          <w:lang w:val="es-AR"/>
        </w:rPr>
        <w:t>1</w:t>
      </w:r>
      <w:r w:rsidR="00A43449">
        <w:rPr>
          <w:szCs w:val="20"/>
          <w:lang w:val="es-AR"/>
        </w:rPr>
        <w:t>, 18</w:t>
      </w:r>
      <w:r w:rsidR="002F0691">
        <w:rPr>
          <w:szCs w:val="20"/>
          <w:lang w:val="es-AR"/>
        </w:rPr>
        <w:t>4</w:t>
      </w:r>
      <w:r w:rsidR="008466D2">
        <w:rPr>
          <w:szCs w:val="20"/>
          <w:lang w:val="es-AR"/>
        </w:rPr>
        <w:t>, 185 y</w:t>
      </w:r>
      <w:r w:rsidR="00A43449">
        <w:rPr>
          <w:szCs w:val="20"/>
          <w:lang w:val="es-AR"/>
        </w:rPr>
        <w:t xml:space="preserve"> 18</w:t>
      </w:r>
      <w:r w:rsidR="002F0691">
        <w:rPr>
          <w:szCs w:val="20"/>
          <w:lang w:val="es-AR"/>
        </w:rPr>
        <w:t>7</w:t>
      </w:r>
      <w:r w:rsidR="008466D2">
        <w:rPr>
          <w:szCs w:val="20"/>
          <w:lang w:val="es-AR"/>
        </w:rPr>
        <w:t xml:space="preserve">, </w:t>
      </w:r>
      <w:r w:rsidR="00A43449">
        <w:rPr>
          <w:szCs w:val="20"/>
          <w:lang w:val="es-AR"/>
        </w:rPr>
        <w:t>1</w:t>
      </w:r>
      <w:r w:rsidR="002F0691">
        <w:rPr>
          <w:szCs w:val="20"/>
          <w:lang w:val="es-AR"/>
        </w:rPr>
        <w:t>90</w:t>
      </w:r>
      <w:r w:rsidR="008466D2">
        <w:rPr>
          <w:szCs w:val="20"/>
          <w:lang w:val="es-AR"/>
        </w:rPr>
        <w:t>, 191 y 193, y 194</w:t>
      </w:r>
      <w:r w:rsidR="0012527A">
        <w:rPr>
          <w:szCs w:val="20"/>
          <w:lang w:val="es-AR"/>
        </w:rPr>
        <w:t xml:space="preserve"> a 199</w:t>
      </w:r>
      <w:r w:rsidR="00CF1253" w:rsidRPr="0092295B">
        <w:rPr>
          <w:szCs w:val="20"/>
          <w:lang w:val="es-AR"/>
        </w:rPr>
        <w:t xml:space="preserve"> del presente Fallo</w:t>
      </w:r>
      <w:r w:rsidR="00973CC8" w:rsidRPr="0092295B">
        <w:rPr>
          <w:szCs w:val="20"/>
          <w:lang w:val="es-AR"/>
        </w:rPr>
        <w:t>.</w:t>
      </w:r>
    </w:p>
    <w:p w14:paraId="0FF4C2D5" w14:textId="77777777" w:rsidR="00CF1253" w:rsidRPr="0092295B" w:rsidRDefault="00CF1253" w:rsidP="00CF1253">
      <w:pPr>
        <w:pStyle w:val="Prrafodelista"/>
        <w:spacing w:before="120" w:after="120"/>
        <w:ind w:left="0" w:right="-90"/>
      </w:pPr>
    </w:p>
    <w:p w14:paraId="5390261A" w14:textId="25B2569C" w:rsidR="00CF1253" w:rsidRPr="0092295B" w:rsidRDefault="00CF1253" w:rsidP="0021109A">
      <w:pPr>
        <w:pStyle w:val="Prrafodelista"/>
        <w:numPr>
          <w:ilvl w:val="0"/>
          <w:numId w:val="10"/>
        </w:numPr>
        <w:spacing w:before="120" w:after="120"/>
        <w:ind w:left="0" w:right="-90" w:firstLine="0"/>
      </w:pPr>
      <w:bookmarkStart w:id="158" w:name="_Ref35854880"/>
      <w:r w:rsidRPr="0092295B">
        <w:rPr>
          <w:bCs/>
          <w:szCs w:val="20"/>
        </w:rPr>
        <w:t>El Estado, dentro del plazo de un año contado a partir de la notificación de esta Sentencia, rendirá al Tribunal un informe sobre las medidas adoptadas para cumplir con la misma</w:t>
      </w:r>
      <w:bookmarkEnd w:id="158"/>
      <w:r w:rsidRPr="0092295B">
        <w:rPr>
          <w:szCs w:val="20"/>
          <w:lang w:val="es-AR"/>
        </w:rPr>
        <w:t xml:space="preserve">, sin perjuicio de </w:t>
      </w:r>
      <w:r w:rsidR="00A43449">
        <w:rPr>
          <w:szCs w:val="20"/>
          <w:lang w:val="es-AR"/>
        </w:rPr>
        <w:t>lo establecido en el párrafo 1</w:t>
      </w:r>
      <w:r w:rsidR="002F0691">
        <w:rPr>
          <w:szCs w:val="20"/>
          <w:lang w:val="es-AR"/>
        </w:rPr>
        <w:t>60</w:t>
      </w:r>
      <w:r w:rsidRPr="0092295B">
        <w:rPr>
          <w:szCs w:val="20"/>
          <w:lang w:val="es-AR"/>
        </w:rPr>
        <w:t xml:space="preserve"> de la presente Sentencia</w:t>
      </w:r>
      <w:r w:rsidRPr="0092295B">
        <w:rPr>
          <w:bCs/>
          <w:szCs w:val="20"/>
        </w:rPr>
        <w:t>.</w:t>
      </w:r>
    </w:p>
    <w:p w14:paraId="374067F2" w14:textId="77777777" w:rsidR="00CF1253" w:rsidRPr="0092295B" w:rsidRDefault="00CF1253" w:rsidP="00CF1253">
      <w:pPr>
        <w:pStyle w:val="Prrafodelista"/>
      </w:pPr>
    </w:p>
    <w:p w14:paraId="44374F06" w14:textId="57C03012" w:rsidR="00CF1253" w:rsidRPr="0092295B" w:rsidRDefault="00CF1253" w:rsidP="0021109A">
      <w:pPr>
        <w:pStyle w:val="Prrafodelista"/>
        <w:numPr>
          <w:ilvl w:val="0"/>
          <w:numId w:val="10"/>
        </w:numPr>
        <w:spacing w:before="120" w:after="120"/>
        <w:ind w:left="0" w:right="-90" w:firstLine="0"/>
      </w:pPr>
      <w:r w:rsidRPr="0092295B">
        <w:rPr>
          <w:bCs/>
          <w:szCs w:val="20"/>
        </w:rPr>
        <w:t>La Corte supervisará el cumplimiento íntegro de esta Sentencia, en ejercicio de sus atribuciones y en cumplimiento de sus deberes conforme a la Convención Americana sobre Derechos Humanos, y dará por concluido el presente caso una vez que el Estado haya dado cabal cumplimiento a lo dispuesto en la misma.</w:t>
      </w:r>
    </w:p>
    <w:p w14:paraId="18DF7126" w14:textId="77777777" w:rsidR="00CF1253" w:rsidRPr="0092295B" w:rsidRDefault="00CF1253" w:rsidP="00CF1253">
      <w:pPr>
        <w:tabs>
          <w:tab w:val="left" w:pos="720"/>
        </w:tabs>
        <w:ind w:right="-93"/>
        <w:contextualSpacing/>
        <w:rPr>
          <w:rFonts w:cs="Verdana"/>
          <w:szCs w:val="20"/>
          <w:lang w:val="es-CR"/>
        </w:rPr>
      </w:pPr>
    </w:p>
    <w:p w14:paraId="4F047BB9" w14:textId="72D7EDE8" w:rsidR="00CF1253" w:rsidRPr="0092295B" w:rsidRDefault="00CF1253" w:rsidP="00CF1253">
      <w:pPr>
        <w:pStyle w:val="Prrafodelista"/>
        <w:ind w:left="0"/>
        <w:rPr>
          <w:rFonts w:cs="Verdana"/>
          <w:szCs w:val="20"/>
          <w:lang w:val="es-CR"/>
        </w:rPr>
      </w:pPr>
      <w:r w:rsidRPr="0092295B">
        <w:rPr>
          <w:rFonts w:cs="Verdana"/>
          <w:szCs w:val="20"/>
          <w:lang w:val="es-CR"/>
        </w:rPr>
        <w:t>Redactada en españo</w:t>
      </w:r>
      <w:r w:rsidR="00127F87">
        <w:rPr>
          <w:rFonts w:cs="Verdana"/>
          <w:szCs w:val="20"/>
          <w:lang w:val="es-CR"/>
        </w:rPr>
        <w:t>l en San José, Costa Rica, el 24 de agosto</w:t>
      </w:r>
      <w:r w:rsidRPr="0092295B">
        <w:rPr>
          <w:rFonts w:cs="Verdana"/>
          <w:szCs w:val="20"/>
          <w:lang w:val="es-CR"/>
        </w:rPr>
        <w:t xml:space="preserve"> de 2021</w:t>
      </w:r>
      <w:r w:rsidR="007B27E1" w:rsidRPr="0092295B">
        <w:rPr>
          <w:rFonts w:cs="Verdana"/>
          <w:szCs w:val="20"/>
          <w:lang w:val="es-CR"/>
        </w:rPr>
        <w:t>.</w:t>
      </w:r>
    </w:p>
    <w:p w14:paraId="7A0B3588" w14:textId="77777777" w:rsidR="00CF1253" w:rsidRPr="0092295B" w:rsidRDefault="00CF1253" w:rsidP="00CF1253">
      <w:pPr>
        <w:pStyle w:val="Prrafodelista"/>
        <w:ind w:left="0"/>
        <w:rPr>
          <w:rFonts w:cs="Verdana"/>
          <w:szCs w:val="20"/>
          <w:lang w:val="es-CR"/>
        </w:rPr>
      </w:pPr>
    </w:p>
    <w:p w14:paraId="1B118DA2" w14:textId="77777777" w:rsidR="00CF1253" w:rsidRPr="0092295B" w:rsidRDefault="00CF1253" w:rsidP="00CF1253">
      <w:pPr>
        <w:pStyle w:val="Prrafodelista"/>
        <w:ind w:left="0"/>
        <w:rPr>
          <w:rFonts w:cs="Verdana"/>
          <w:szCs w:val="20"/>
          <w:lang w:val="es-CR"/>
        </w:rPr>
      </w:pPr>
    </w:p>
    <w:p w14:paraId="1879B1E5" w14:textId="4586C340" w:rsidR="00E01576" w:rsidRDefault="00E01576" w:rsidP="00285024">
      <w:pPr>
        <w:spacing w:before="120" w:after="120"/>
        <w:ind w:right="-90"/>
        <w:contextualSpacing/>
      </w:pPr>
    </w:p>
    <w:p w14:paraId="5DFD4C82" w14:textId="56EDA418" w:rsidR="00F57FC2" w:rsidRDefault="00F57FC2" w:rsidP="00285024">
      <w:pPr>
        <w:spacing w:before="120" w:after="120"/>
        <w:ind w:right="-90"/>
        <w:contextualSpacing/>
      </w:pPr>
    </w:p>
    <w:p w14:paraId="75BD18EA" w14:textId="143D8619" w:rsidR="00795660" w:rsidRDefault="00795660" w:rsidP="00285024">
      <w:pPr>
        <w:spacing w:before="120" w:after="120"/>
        <w:ind w:right="-90"/>
        <w:contextualSpacing/>
      </w:pPr>
    </w:p>
    <w:p w14:paraId="174E2B5A" w14:textId="38EDB398" w:rsidR="00795660" w:rsidRDefault="00795660" w:rsidP="00285024">
      <w:pPr>
        <w:spacing w:before="120" w:after="120"/>
        <w:ind w:right="-90"/>
        <w:contextualSpacing/>
      </w:pPr>
    </w:p>
    <w:p w14:paraId="120F9195" w14:textId="46B63F23" w:rsidR="00795660" w:rsidRDefault="00795660" w:rsidP="00285024">
      <w:pPr>
        <w:spacing w:before="120" w:after="120"/>
        <w:ind w:right="-90"/>
        <w:contextualSpacing/>
      </w:pPr>
    </w:p>
    <w:p w14:paraId="58A1091D" w14:textId="28D7CA13" w:rsidR="00795660" w:rsidRDefault="00795660" w:rsidP="00285024">
      <w:pPr>
        <w:spacing w:before="120" w:after="120"/>
        <w:ind w:right="-90"/>
        <w:contextualSpacing/>
      </w:pPr>
    </w:p>
    <w:p w14:paraId="7970156A" w14:textId="63DDC501" w:rsidR="00795660" w:rsidRDefault="00795660" w:rsidP="00285024">
      <w:pPr>
        <w:spacing w:before="120" w:after="120"/>
        <w:ind w:right="-90"/>
        <w:contextualSpacing/>
      </w:pPr>
    </w:p>
    <w:p w14:paraId="4DDBAC2D" w14:textId="26147AB0" w:rsidR="00795660" w:rsidRDefault="00795660" w:rsidP="00285024">
      <w:pPr>
        <w:spacing w:before="120" w:after="120"/>
        <w:ind w:right="-90"/>
        <w:contextualSpacing/>
      </w:pPr>
    </w:p>
    <w:p w14:paraId="7AB382EF" w14:textId="04BA7690" w:rsidR="00795660" w:rsidRDefault="00795660" w:rsidP="00285024">
      <w:pPr>
        <w:spacing w:before="120" w:after="120"/>
        <w:ind w:right="-90"/>
        <w:contextualSpacing/>
      </w:pPr>
    </w:p>
    <w:p w14:paraId="006337A0" w14:textId="7C136743" w:rsidR="00795660" w:rsidRDefault="00795660" w:rsidP="00285024">
      <w:pPr>
        <w:spacing w:before="120" w:after="120"/>
        <w:ind w:right="-90"/>
        <w:contextualSpacing/>
      </w:pPr>
    </w:p>
    <w:p w14:paraId="0F6D6F8D" w14:textId="73237922" w:rsidR="00795660" w:rsidRDefault="00795660" w:rsidP="00285024">
      <w:pPr>
        <w:spacing w:before="120" w:after="120"/>
        <w:ind w:right="-90"/>
        <w:contextualSpacing/>
      </w:pPr>
    </w:p>
    <w:p w14:paraId="32EAF49B" w14:textId="5DADEFC8" w:rsidR="00795660" w:rsidRDefault="00795660" w:rsidP="00285024">
      <w:pPr>
        <w:spacing w:before="120" w:after="120"/>
        <w:ind w:right="-90"/>
        <w:contextualSpacing/>
      </w:pPr>
    </w:p>
    <w:p w14:paraId="74D4BBE5" w14:textId="75713B93" w:rsidR="00795660" w:rsidRDefault="00795660" w:rsidP="00285024">
      <w:pPr>
        <w:spacing w:before="120" w:after="120"/>
        <w:ind w:right="-90"/>
        <w:contextualSpacing/>
      </w:pPr>
    </w:p>
    <w:p w14:paraId="1407799B" w14:textId="06EF96C8" w:rsidR="00795660" w:rsidRDefault="00795660" w:rsidP="00285024">
      <w:pPr>
        <w:spacing w:before="120" w:after="120"/>
        <w:ind w:right="-90"/>
        <w:contextualSpacing/>
      </w:pPr>
    </w:p>
    <w:p w14:paraId="307836F2" w14:textId="2F7030F0" w:rsidR="00795660" w:rsidRDefault="00795660" w:rsidP="00285024">
      <w:pPr>
        <w:spacing w:before="120" w:after="120"/>
        <w:ind w:right="-90"/>
        <w:contextualSpacing/>
      </w:pPr>
    </w:p>
    <w:p w14:paraId="7E123E8D" w14:textId="0F4781EB" w:rsidR="00795660" w:rsidRDefault="00795660" w:rsidP="00285024">
      <w:pPr>
        <w:spacing w:before="120" w:after="120"/>
        <w:ind w:right="-90"/>
        <w:contextualSpacing/>
      </w:pPr>
    </w:p>
    <w:p w14:paraId="454FDD20" w14:textId="1161A46D" w:rsidR="00795660" w:rsidRDefault="00795660" w:rsidP="00285024">
      <w:pPr>
        <w:spacing w:before="120" w:after="120"/>
        <w:ind w:right="-90"/>
        <w:contextualSpacing/>
      </w:pPr>
    </w:p>
    <w:p w14:paraId="69EDB2A7" w14:textId="1B0B5F5F" w:rsidR="00795660" w:rsidRDefault="00795660" w:rsidP="00285024">
      <w:pPr>
        <w:spacing w:before="120" w:after="120"/>
        <w:ind w:right="-90"/>
        <w:contextualSpacing/>
      </w:pPr>
    </w:p>
    <w:p w14:paraId="1E567A7C" w14:textId="640976E4" w:rsidR="00795660" w:rsidRDefault="00795660" w:rsidP="00285024">
      <w:pPr>
        <w:spacing w:before="120" w:after="120"/>
        <w:ind w:right="-90"/>
        <w:contextualSpacing/>
      </w:pPr>
    </w:p>
    <w:p w14:paraId="5A22FB04" w14:textId="60C412D6" w:rsidR="00795660" w:rsidRDefault="00795660" w:rsidP="00285024">
      <w:pPr>
        <w:spacing w:before="120" w:after="120"/>
        <w:ind w:right="-90"/>
        <w:contextualSpacing/>
      </w:pPr>
    </w:p>
    <w:p w14:paraId="5D13943A" w14:textId="06261272" w:rsidR="00795660" w:rsidRDefault="00795660" w:rsidP="00285024">
      <w:pPr>
        <w:spacing w:before="120" w:after="120"/>
        <w:ind w:right="-90"/>
        <w:contextualSpacing/>
      </w:pPr>
    </w:p>
    <w:p w14:paraId="7D9E5642" w14:textId="115FF30D" w:rsidR="00795660" w:rsidRDefault="00795660" w:rsidP="00285024">
      <w:pPr>
        <w:spacing w:before="120" w:after="120"/>
        <w:ind w:right="-90"/>
        <w:contextualSpacing/>
      </w:pPr>
    </w:p>
    <w:p w14:paraId="28FBFC56" w14:textId="73A8FE8D" w:rsidR="00795660" w:rsidRDefault="00795660" w:rsidP="00285024">
      <w:pPr>
        <w:spacing w:before="120" w:after="120"/>
        <w:ind w:right="-90"/>
        <w:contextualSpacing/>
      </w:pPr>
    </w:p>
    <w:p w14:paraId="353A6B06" w14:textId="688ADC5A" w:rsidR="00795660" w:rsidRDefault="00795660" w:rsidP="00285024">
      <w:pPr>
        <w:spacing w:before="120" w:after="120"/>
        <w:ind w:right="-90"/>
        <w:contextualSpacing/>
      </w:pPr>
    </w:p>
    <w:p w14:paraId="32344B9A" w14:textId="730DC983" w:rsidR="00795660" w:rsidRDefault="00795660" w:rsidP="00285024">
      <w:pPr>
        <w:spacing w:before="120" w:after="120"/>
        <w:ind w:right="-90"/>
        <w:contextualSpacing/>
      </w:pPr>
    </w:p>
    <w:p w14:paraId="72F8AA50" w14:textId="4C3A82BF" w:rsidR="00795660" w:rsidRDefault="00795660" w:rsidP="00285024">
      <w:pPr>
        <w:spacing w:before="120" w:after="120"/>
        <w:ind w:right="-90"/>
        <w:contextualSpacing/>
      </w:pPr>
    </w:p>
    <w:p w14:paraId="7BB6BC10" w14:textId="72BF03A8" w:rsidR="00795660" w:rsidRDefault="00795660" w:rsidP="00285024">
      <w:pPr>
        <w:spacing w:before="120" w:after="120"/>
        <w:ind w:right="-90"/>
        <w:contextualSpacing/>
      </w:pPr>
    </w:p>
    <w:p w14:paraId="24FC3C98" w14:textId="4FBBE5FB" w:rsidR="00795660" w:rsidRDefault="00795660" w:rsidP="00285024">
      <w:pPr>
        <w:spacing w:before="120" w:after="120"/>
        <w:ind w:right="-90"/>
        <w:contextualSpacing/>
      </w:pPr>
    </w:p>
    <w:p w14:paraId="7672A83F" w14:textId="08890433" w:rsidR="00795660" w:rsidRDefault="00795660" w:rsidP="00285024">
      <w:pPr>
        <w:spacing w:before="120" w:after="120"/>
        <w:ind w:right="-90"/>
        <w:contextualSpacing/>
      </w:pPr>
    </w:p>
    <w:p w14:paraId="0B72D599" w14:textId="15C71994" w:rsidR="00795660" w:rsidRDefault="00795660" w:rsidP="00285024">
      <w:pPr>
        <w:spacing w:before="120" w:after="120"/>
        <w:ind w:right="-90"/>
        <w:contextualSpacing/>
      </w:pPr>
    </w:p>
    <w:p w14:paraId="122CF1C0" w14:textId="68A5AEA5" w:rsidR="00795660" w:rsidRDefault="00795660" w:rsidP="00285024">
      <w:pPr>
        <w:spacing w:before="120" w:after="120"/>
        <w:ind w:right="-90"/>
        <w:contextualSpacing/>
      </w:pPr>
    </w:p>
    <w:p w14:paraId="3729CF2D" w14:textId="2CF0FB1B" w:rsidR="00795660" w:rsidRDefault="00795660" w:rsidP="00285024">
      <w:pPr>
        <w:spacing w:before="120" w:after="120"/>
        <w:ind w:right="-90"/>
        <w:contextualSpacing/>
      </w:pPr>
    </w:p>
    <w:p w14:paraId="33DE158C" w14:textId="4E0B1546" w:rsidR="00795660" w:rsidRDefault="00795660" w:rsidP="00285024">
      <w:pPr>
        <w:spacing w:before="120" w:after="120"/>
        <w:ind w:right="-90"/>
        <w:contextualSpacing/>
      </w:pPr>
    </w:p>
    <w:p w14:paraId="1A3C0CA7" w14:textId="1143341A" w:rsidR="00795660" w:rsidRDefault="00795660" w:rsidP="00285024">
      <w:pPr>
        <w:spacing w:before="120" w:after="120"/>
        <w:ind w:right="-90"/>
        <w:contextualSpacing/>
      </w:pPr>
    </w:p>
    <w:p w14:paraId="5A329665" w14:textId="72A09126" w:rsidR="00795660" w:rsidRDefault="00795660" w:rsidP="00285024">
      <w:pPr>
        <w:spacing w:before="120" w:after="120"/>
        <w:ind w:right="-90"/>
        <w:contextualSpacing/>
      </w:pPr>
    </w:p>
    <w:p w14:paraId="14ED48D5" w14:textId="35B954A9" w:rsidR="00795660" w:rsidRDefault="00795660" w:rsidP="00285024">
      <w:pPr>
        <w:spacing w:before="120" w:after="120"/>
        <w:ind w:right="-90"/>
        <w:contextualSpacing/>
      </w:pPr>
    </w:p>
    <w:p w14:paraId="21F1B821" w14:textId="1EFB8A6F" w:rsidR="00795660" w:rsidRDefault="00795660" w:rsidP="00285024">
      <w:pPr>
        <w:spacing w:before="120" w:after="120"/>
        <w:ind w:right="-90"/>
        <w:contextualSpacing/>
      </w:pPr>
    </w:p>
    <w:p w14:paraId="3FFC7F06" w14:textId="50CFD9C9" w:rsidR="00795660" w:rsidRPr="002D12F9" w:rsidRDefault="00A26CB1" w:rsidP="00795660">
      <w:pPr>
        <w:rPr>
          <w:lang w:val="es-ES"/>
        </w:rPr>
      </w:pPr>
      <w:r>
        <w:rPr>
          <w:lang w:val="es-CR"/>
        </w:rPr>
        <w:t>C</w:t>
      </w:r>
      <w:r w:rsidR="00795660" w:rsidRPr="00795660">
        <w:rPr>
          <w:lang w:val="es-CR"/>
        </w:rPr>
        <w:t xml:space="preserve">orte IDH. </w:t>
      </w:r>
      <w:r w:rsidR="00795660" w:rsidRPr="00A36945">
        <w:rPr>
          <w:i/>
          <w:lang w:val="es-CR"/>
        </w:rPr>
        <w:t xml:space="preserve">Caso </w:t>
      </w:r>
      <w:r w:rsidR="00795660" w:rsidRPr="00A36945">
        <w:rPr>
          <w:i/>
          <w:iCs/>
          <w:lang w:val="es-CR"/>
        </w:rPr>
        <w:t>Villarroel Merino y otros Vs. Ecuador</w:t>
      </w:r>
      <w:r w:rsidR="00795660" w:rsidRPr="00A36945">
        <w:rPr>
          <w:iCs/>
          <w:lang w:val="es-CR"/>
        </w:rPr>
        <w:t xml:space="preserve">. Excepciones Preliminares, </w:t>
      </w:r>
      <w:r w:rsidR="00795660" w:rsidRPr="00A36945">
        <w:rPr>
          <w:lang w:val="es-ES"/>
        </w:rPr>
        <w:t>Fondo, Reparaciones y Costas. Sentencia de 24 de agosto de 2021.</w:t>
      </w:r>
    </w:p>
    <w:p w14:paraId="68938ABD" w14:textId="77777777" w:rsidR="00795660" w:rsidRPr="00A36945" w:rsidRDefault="00795660" w:rsidP="00795660">
      <w:pPr>
        <w:spacing w:after="0"/>
        <w:jc w:val="center"/>
        <w:rPr>
          <w:lang w:val="es-CR"/>
        </w:rPr>
      </w:pPr>
    </w:p>
    <w:p w14:paraId="7F3E6559" w14:textId="77777777" w:rsidR="00795660" w:rsidRPr="00A36945" w:rsidRDefault="00795660" w:rsidP="00795660">
      <w:pPr>
        <w:spacing w:after="0"/>
        <w:jc w:val="center"/>
        <w:rPr>
          <w:lang w:val="es-CR"/>
        </w:rPr>
      </w:pPr>
    </w:p>
    <w:p w14:paraId="17C30EBB" w14:textId="77777777" w:rsidR="00795660" w:rsidRPr="00A36945" w:rsidRDefault="00795660" w:rsidP="00795660">
      <w:pPr>
        <w:spacing w:after="0"/>
        <w:jc w:val="center"/>
        <w:rPr>
          <w:lang w:val="es-CR"/>
        </w:rPr>
      </w:pPr>
    </w:p>
    <w:p w14:paraId="3118D81A" w14:textId="77777777" w:rsidR="00795660" w:rsidRPr="00A36945" w:rsidRDefault="00795660" w:rsidP="00795660">
      <w:pPr>
        <w:tabs>
          <w:tab w:val="left" w:pos="2027"/>
        </w:tabs>
        <w:spacing w:after="0"/>
        <w:rPr>
          <w:lang w:val="es-CR"/>
        </w:rPr>
      </w:pPr>
      <w:r w:rsidRPr="00A36945">
        <w:rPr>
          <w:lang w:val="es-CR"/>
        </w:rPr>
        <w:tab/>
      </w:r>
    </w:p>
    <w:p w14:paraId="212731D1" w14:textId="17836369" w:rsidR="00795660" w:rsidRPr="00795660" w:rsidRDefault="00795660" w:rsidP="00795660">
      <w:pPr>
        <w:spacing w:after="0"/>
        <w:jc w:val="center"/>
        <w:rPr>
          <w:lang w:val="es-ES"/>
        </w:rPr>
      </w:pPr>
      <w:r w:rsidRPr="00795660">
        <w:rPr>
          <w:lang w:val="es-ES"/>
        </w:rPr>
        <w:t>Elizabeth Odio Benito</w:t>
      </w:r>
    </w:p>
    <w:p w14:paraId="77AEE6A1" w14:textId="446C0366" w:rsidR="00795660" w:rsidRPr="00795660" w:rsidRDefault="00795660" w:rsidP="00795660">
      <w:pPr>
        <w:spacing w:after="0"/>
        <w:jc w:val="center"/>
        <w:rPr>
          <w:lang w:val="es-ES"/>
        </w:rPr>
      </w:pPr>
      <w:r w:rsidRPr="00795660">
        <w:rPr>
          <w:lang w:val="es-ES"/>
        </w:rPr>
        <w:t>Presidenta</w:t>
      </w:r>
    </w:p>
    <w:p w14:paraId="0BD2A82D" w14:textId="77777777" w:rsidR="00795660" w:rsidRPr="00795660" w:rsidRDefault="00795660" w:rsidP="00795660">
      <w:pPr>
        <w:spacing w:after="0"/>
        <w:jc w:val="center"/>
        <w:rPr>
          <w:lang w:val="es-ES"/>
        </w:rPr>
      </w:pPr>
    </w:p>
    <w:p w14:paraId="7A59665B" w14:textId="77777777" w:rsidR="00795660" w:rsidRPr="00795660" w:rsidRDefault="00795660" w:rsidP="00795660">
      <w:pPr>
        <w:spacing w:after="0"/>
        <w:ind w:firstLine="720"/>
        <w:rPr>
          <w:lang w:val="es-ES"/>
        </w:rPr>
      </w:pPr>
    </w:p>
    <w:p w14:paraId="52B8AB6A" w14:textId="77777777" w:rsidR="00795660" w:rsidRPr="00795660" w:rsidRDefault="00795660" w:rsidP="00795660">
      <w:pPr>
        <w:spacing w:after="0"/>
        <w:rPr>
          <w:lang w:val="es-ES"/>
        </w:rPr>
      </w:pPr>
      <w:r w:rsidRPr="00795660">
        <w:rPr>
          <w:noProof/>
          <w:lang w:val="es-ES" w:eastAsia="es-CR"/>
        </w:rPr>
        <w:t xml:space="preserve">  </w:t>
      </w:r>
    </w:p>
    <w:p w14:paraId="1A41CDE2" w14:textId="5CBA0402" w:rsidR="00795660" w:rsidRPr="00795660" w:rsidRDefault="00795660" w:rsidP="00795660">
      <w:pPr>
        <w:spacing w:after="0"/>
        <w:rPr>
          <w:lang w:val="pt-BR"/>
        </w:rPr>
      </w:pPr>
      <w:r w:rsidRPr="00795660">
        <w:rPr>
          <w:noProof/>
          <w:lang w:val="pt-BR" w:eastAsia="es-CR"/>
        </w:rPr>
        <w:t xml:space="preserve"> </w:t>
      </w:r>
      <w:r w:rsidRPr="00795660">
        <w:rPr>
          <w:lang w:val="pt-BR"/>
        </w:rPr>
        <w:t>Eduardo Vio Grossi</w:t>
      </w:r>
      <w:r w:rsidRPr="00795660">
        <w:rPr>
          <w:lang w:val="pt-BR"/>
        </w:rPr>
        <w:tab/>
      </w:r>
      <w:r w:rsidRPr="00795660">
        <w:rPr>
          <w:lang w:val="pt-BR"/>
        </w:rPr>
        <w:tab/>
      </w:r>
      <w:r w:rsidRPr="00795660">
        <w:rPr>
          <w:lang w:val="pt-BR"/>
        </w:rPr>
        <w:tab/>
      </w:r>
      <w:r w:rsidRPr="00795660">
        <w:rPr>
          <w:lang w:val="pt-BR"/>
        </w:rPr>
        <w:tab/>
      </w:r>
      <w:r w:rsidRPr="00795660">
        <w:rPr>
          <w:lang w:val="pt-BR"/>
        </w:rPr>
        <w:tab/>
      </w:r>
      <w:r w:rsidRPr="00795660">
        <w:rPr>
          <w:lang w:val="pt-BR"/>
        </w:rPr>
        <w:tab/>
      </w:r>
      <w:r w:rsidRPr="00795660">
        <w:rPr>
          <w:lang w:val="pt-BR"/>
        </w:rPr>
        <w:tab/>
      </w:r>
      <w:r w:rsidR="00A26CB1">
        <w:rPr>
          <w:lang w:val="pt-BR"/>
        </w:rPr>
        <w:t xml:space="preserve">    </w:t>
      </w:r>
      <w:r w:rsidRPr="00795660">
        <w:rPr>
          <w:lang w:val="pt-BR"/>
        </w:rPr>
        <w:t>Humberto Antonio Sierra Porto</w:t>
      </w:r>
    </w:p>
    <w:p w14:paraId="698403FB" w14:textId="77777777" w:rsidR="00795660" w:rsidRPr="00795660" w:rsidRDefault="00795660" w:rsidP="00795660">
      <w:pPr>
        <w:spacing w:after="0"/>
        <w:rPr>
          <w:lang w:val="pt-BR"/>
        </w:rPr>
      </w:pPr>
    </w:p>
    <w:p w14:paraId="0899ACD2" w14:textId="77777777" w:rsidR="00795660" w:rsidRPr="00795660" w:rsidRDefault="00795660" w:rsidP="00795660">
      <w:pPr>
        <w:spacing w:after="0"/>
        <w:rPr>
          <w:lang w:val="pt-BR"/>
        </w:rPr>
      </w:pPr>
    </w:p>
    <w:p w14:paraId="0A87B8B4" w14:textId="77777777" w:rsidR="00795660" w:rsidRPr="00795660" w:rsidRDefault="00795660" w:rsidP="00795660">
      <w:pPr>
        <w:spacing w:after="0"/>
        <w:rPr>
          <w:lang w:val="pt-BR"/>
        </w:rPr>
      </w:pPr>
    </w:p>
    <w:p w14:paraId="13C57EA6" w14:textId="77777777" w:rsidR="00795660" w:rsidRPr="00795660" w:rsidRDefault="00795660" w:rsidP="00795660">
      <w:pPr>
        <w:spacing w:after="0"/>
        <w:rPr>
          <w:lang w:val="pt-BR"/>
        </w:rPr>
      </w:pPr>
    </w:p>
    <w:p w14:paraId="1A98750F" w14:textId="4BEAB57F" w:rsidR="00795660" w:rsidRPr="00795660" w:rsidRDefault="00795660" w:rsidP="00795660">
      <w:pPr>
        <w:spacing w:after="0"/>
        <w:rPr>
          <w:lang w:val="pt-BR"/>
        </w:rPr>
      </w:pPr>
      <w:r w:rsidRPr="00795660">
        <w:rPr>
          <w:lang w:val="pt-BR"/>
        </w:rPr>
        <w:t>Eduardo Ferrer Mac-Gregor Poisot</w:t>
      </w:r>
      <w:r w:rsidRPr="00795660">
        <w:rPr>
          <w:lang w:val="pt-BR"/>
        </w:rPr>
        <w:tab/>
        <w:t xml:space="preserve">             </w:t>
      </w:r>
      <w:r w:rsidRPr="00795660">
        <w:rPr>
          <w:lang w:val="pt-BR"/>
        </w:rPr>
        <w:tab/>
      </w:r>
      <w:r w:rsidRPr="00795660">
        <w:rPr>
          <w:lang w:val="pt-BR"/>
        </w:rPr>
        <w:tab/>
      </w:r>
      <w:r w:rsidRPr="00795660">
        <w:rPr>
          <w:lang w:val="pt-BR"/>
        </w:rPr>
        <w:tab/>
      </w:r>
      <w:r>
        <w:rPr>
          <w:lang w:val="pt-BR"/>
        </w:rPr>
        <w:t xml:space="preserve">               </w:t>
      </w:r>
      <w:r w:rsidRPr="00795660">
        <w:rPr>
          <w:lang w:val="pt-BR"/>
        </w:rPr>
        <w:t xml:space="preserve">Eugenio Raúl Zaffaroni                                      </w:t>
      </w:r>
    </w:p>
    <w:p w14:paraId="6212431B" w14:textId="11277DB6" w:rsidR="00795660" w:rsidRPr="00795660" w:rsidRDefault="00A26CB1" w:rsidP="00795660">
      <w:pPr>
        <w:spacing w:after="0"/>
        <w:rPr>
          <w:lang w:val="pt-BR"/>
        </w:rPr>
      </w:pPr>
      <w:r>
        <w:rPr>
          <w:lang w:val="pt-BR"/>
        </w:rPr>
        <w:t xml:space="preserve">  </w:t>
      </w:r>
    </w:p>
    <w:p w14:paraId="71A54650" w14:textId="77777777" w:rsidR="00795660" w:rsidRPr="00795660" w:rsidRDefault="00795660" w:rsidP="00795660">
      <w:pPr>
        <w:spacing w:after="0"/>
        <w:rPr>
          <w:lang w:val="pt-BR"/>
        </w:rPr>
      </w:pPr>
    </w:p>
    <w:p w14:paraId="6C874D4B" w14:textId="77777777" w:rsidR="00795660" w:rsidRPr="00795660" w:rsidRDefault="00795660" w:rsidP="00795660">
      <w:pPr>
        <w:spacing w:after="0"/>
        <w:rPr>
          <w:lang w:val="pt-BR"/>
        </w:rPr>
      </w:pPr>
    </w:p>
    <w:p w14:paraId="1DAD152F" w14:textId="5601C826" w:rsidR="00795660" w:rsidRPr="00795660" w:rsidRDefault="00795660" w:rsidP="00795660">
      <w:pPr>
        <w:spacing w:after="0"/>
        <w:rPr>
          <w:lang w:val="pt-BR"/>
        </w:rPr>
      </w:pPr>
    </w:p>
    <w:p w14:paraId="141264F3" w14:textId="77777777" w:rsidR="00795660" w:rsidRPr="0019261A" w:rsidRDefault="00795660" w:rsidP="00795660">
      <w:pPr>
        <w:spacing w:after="0"/>
        <w:jc w:val="center"/>
        <w:rPr>
          <w:lang w:val="pt-BR"/>
        </w:rPr>
      </w:pPr>
      <w:r>
        <w:rPr>
          <w:lang w:val="pt-BR"/>
        </w:rPr>
        <w:t>Ricardo C. Pérez Manrique</w:t>
      </w:r>
    </w:p>
    <w:p w14:paraId="20B76C96" w14:textId="77777777" w:rsidR="00795660" w:rsidRDefault="00795660" w:rsidP="00795660">
      <w:pPr>
        <w:spacing w:after="0"/>
        <w:rPr>
          <w:lang w:val="pt-BR"/>
        </w:rPr>
      </w:pPr>
    </w:p>
    <w:p w14:paraId="5FDCCFF4" w14:textId="41CE00B9" w:rsidR="00795660" w:rsidRDefault="00A26CB1" w:rsidP="00795660">
      <w:pPr>
        <w:spacing w:after="0"/>
        <w:rPr>
          <w:lang w:val="pt-BR"/>
        </w:rPr>
      </w:pPr>
      <w:r>
        <w:rPr>
          <w:lang w:val="pt-BR"/>
        </w:rPr>
        <w:t xml:space="preserve"> </w:t>
      </w:r>
    </w:p>
    <w:p w14:paraId="35229E61" w14:textId="77777777" w:rsidR="00795660" w:rsidRPr="0019261A" w:rsidRDefault="00795660" w:rsidP="00795660">
      <w:pPr>
        <w:spacing w:after="0"/>
        <w:rPr>
          <w:lang w:val="pt-BR"/>
        </w:rPr>
      </w:pPr>
    </w:p>
    <w:p w14:paraId="0C22C7CF" w14:textId="77777777" w:rsidR="00795660" w:rsidRPr="0019261A" w:rsidRDefault="00795660" w:rsidP="00795660">
      <w:pPr>
        <w:spacing w:after="0"/>
        <w:rPr>
          <w:lang w:val="pt-BR"/>
        </w:rPr>
      </w:pPr>
    </w:p>
    <w:p w14:paraId="2D57F823" w14:textId="77777777" w:rsidR="00795660" w:rsidRPr="00FC4051" w:rsidRDefault="00795660" w:rsidP="00795660">
      <w:pPr>
        <w:spacing w:after="0"/>
        <w:jc w:val="center"/>
        <w:rPr>
          <w:lang w:val="pt-BR"/>
        </w:rPr>
      </w:pPr>
      <w:r w:rsidRPr="00FC4051">
        <w:rPr>
          <w:lang w:val="pt-BR"/>
        </w:rPr>
        <w:t>Pablo Saavedra Alessandri</w:t>
      </w:r>
    </w:p>
    <w:p w14:paraId="22D72970" w14:textId="77777777" w:rsidR="00795660" w:rsidRPr="00795660" w:rsidRDefault="00795660" w:rsidP="00795660">
      <w:pPr>
        <w:spacing w:after="0"/>
        <w:jc w:val="center"/>
        <w:rPr>
          <w:lang w:val="es-CR"/>
        </w:rPr>
      </w:pPr>
      <w:r w:rsidRPr="00795660">
        <w:rPr>
          <w:lang w:val="es-CR"/>
        </w:rPr>
        <w:t>Secretario</w:t>
      </w:r>
    </w:p>
    <w:p w14:paraId="335D758B" w14:textId="51C31830" w:rsidR="00795660" w:rsidRPr="00795660" w:rsidRDefault="00795660" w:rsidP="00795660">
      <w:pPr>
        <w:pStyle w:val="Textonotapie"/>
        <w:rPr>
          <w:lang w:val="es-CR"/>
        </w:rPr>
      </w:pPr>
    </w:p>
    <w:p w14:paraId="237336C1" w14:textId="77777777" w:rsidR="00795660" w:rsidRPr="00795660" w:rsidRDefault="00795660" w:rsidP="00795660">
      <w:pPr>
        <w:spacing w:after="0"/>
        <w:rPr>
          <w:lang w:val="es-CR"/>
        </w:rPr>
      </w:pPr>
      <w:r w:rsidRPr="00795660">
        <w:rPr>
          <w:lang w:val="es-CR"/>
        </w:rPr>
        <w:t>Comuníquese y ejecútese,</w:t>
      </w:r>
    </w:p>
    <w:p w14:paraId="16085B1D" w14:textId="77777777" w:rsidR="00795660" w:rsidRPr="00795660" w:rsidRDefault="00795660" w:rsidP="00795660">
      <w:pPr>
        <w:spacing w:after="0"/>
        <w:rPr>
          <w:lang w:val="es-CR"/>
        </w:rPr>
      </w:pPr>
    </w:p>
    <w:p w14:paraId="599C2892" w14:textId="19833706" w:rsidR="00795660" w:rsidRPr="00795660" w:rsidRDefault="00795660" w:rsidP="00795660">
      <w:pPr>
        <w:spacing w:after="0"/>
        <w:jc w:val="center"/>
        <w:rPr>
          <w:lang w:val="es-CR"/>
        </w:rPr>
      </w:pPr>
    </w:p>
    <w:p w14:paraId="56CD5C5A" w14:textId="77777777" w:rsidR="00795660" w:rsidRPr="00795660" w:rsidRDefault="00795660" w:rsidP="00795660">
      <w:pPr>
        <w:spacing w:after="0"/>
        <w:jc w:val="right"/>
        <w:rPr>
          <w:lang w:val="es-CR"/>
        </w:rPr>
      </w:pPr>
    </w:p>
    <w:p w14:paraId="1F5CD771" w14:textId="77777777" w:rsidR="00795660" w:rsidRPr="00795660" w:rsidRDefault="00795660" w:rsidP="00795660">
      <w:pPr>
        <w:spacing w:after="0"/>
        <w:jc w:val="center"/>
        <w:rPr>
          <w:lang w:val="es-CR"/>
        </w:rPr>
      </w:pPr>
      <w:r w:rsidRPr="00795660">
        <w:rPr>
          <w:lang w:val="es-CR"/>
        </w:rPr>
        <w:t xml:space="preserve">                                                                                                Elizabeth Odio Benito</w:t>
      </w:r>
    </w:p>
    <w:p w14:paraId="47C1CF5C" w14:textId="79B27355" w:rsidR="00795660" w:rsidRDefault="00795660" w:rsidP="00795660">
      <w:pPr>
        <w:spacing w:after="0"/>
        <w:ind w:firstLine="720"/>
        <w:rPr>
          <w:lang w:val="pt-BR"/>
        </w:rPr>
      </w:pPr>
      <w:r w:rsidRPr="00795660">
        <w:rPr>
          <w:lang w:val="es-CR"/>
        </w:rPr>
        <w:t xml:space="preserve">     </w:t>
      </w:r>
      <w:r w:rsidRPr="00795660">
        <w:rPr>
          <w:lang w:val="es-CR"/>
        </w:rPr>
        <w:tab/>
      </w:r>
      <w:r w:rsidRPr="00795660">
        <w:rPr>
          <w:lang w:val="es-CR"/>
        </w:rPr>
        <w:tab/>
      </w:r>
      <w:r w:rsidRPr="00795660">
        <w:rPr>
          <w:lang w:val="es-CR"/>
        </w:rPr>
        <w:tab/>
      </w:r>
      <w:r w:rsidRPr="00795660">
        <w:rPr>
          <w:lang w:val="es-CR"/>
        </w:rPr>
        <w:tab/>
      </w:r>
      <w:r w:rsidRPr="00795660">
        <w:rPr>
          <w:lang w:val="es-CR"/>
        </w:rPr>
        <w:tab/>
      </w:r>
      <w:r w:rsidRPr="00795660">
        <w:rPr>
          <w:lang w:val="es-CR"/>
        </w:rPr>
        <w:tab/>
      </w:r>
      <w:r w:rsidRPr="00795660">
        <w:rPr>
          <w:lang w:val="es-CR"/>
        </w:rPr>
        <w:tab/>
      </w:r>
      <w:r w:rsidRPr="00795660">
        <w:rPr>
          <w:lang w:val="es-CR"/>
        </w:rPr>
        <w:tab/>
      </w:r>
      <w:r w:rsidRPr="00795660">
        <w:rPr>
          <w:lang w:val="es-CR"/>
        </w:rPr>
        <w:tab/>
        <w:t xml:space="preserve">   </w:t>
      </w:r>
      <w:r w:rsidR="00A26CB1">
        <w:rPr>
          <w:lang w:val="es-CR"/>
        </w:rPr>
        <w:t xml:space="preserve">       </w:t>
      </w:r>
      <w:r>
        <w:rPr>
          <w:lang w:val="pt-BR"/>
        </w:rPr>
        <w:t>Presidenta</w:t>
      </w:r>
    </w:p>
    <w:p w14:paraId="713CD6EF" w14:textId="77777777" w:rsidR="00795660" w:rsidRPr="00FC4051" w:rsidRDefault="00795660" w:rsidP="00795660">
      <w:pPr>
        <w:spacing w:after="0"/>
        <w:rPr>
          <w:lang w:val="pt-BR"/>
        </w:rPr>
      </w:pPr>
    </w:p>
    <w:p w14:paraId="460E78D9" w14:textId="77777777" w:rsidR="00795660" w:rsidRDefault="00795660" w:rsidP="00795660">
      <w:pPr>
        <w:spacing w:after="0"/>
        <w:rPr>
          <w:lang w:val="pt-BR"/>
        </w:rPr>
      </w:pPr>
    </w:p>
    <w:p w14:paraId="343EF792" w14:textId="77777777" w:rsidR="00795660" w:rsidRDefault="00795660" w:rsidP="00795660">
      <w:pPr>
        <w:spacing w:after="0"/>
        <w:rPr>
          <w:lang w:val="pt-BR"/>
        </w:rPr>
      </w:pPr>
    </w:p>
    <w:p w14:paraId="6EAC749A" w14:textId="77777777" w:rsidR="00795660" w:rsidRPr="00FC4051" w:rsidRDefault="00795660" w:rsidP="00795660">
      <w:pPr>
        <w:spacing w:after="0"/>
        <w:rPr>
          <w:lang w:val="pt-BR"/>
        </w:rPr>
      </w:pPr>
    </w:p>
    <w:p w14:paraId="69022C9B" w14:textId="77777777" w:rsidR="00795660" w:rsidRPr="00FC4051" w:rsidRDefault="00795660" w:rsidP="00795660">
      <w:pPr>
        <w:spacing w:after="0"/>
        <w:rPr>
          <w:lang w:val="pt-BR"/>
        </w:rPr>
      </w:pPr>
      <w:r w:rsidRPr="00FC4051">
        <w:rPr>
          <w:lang w:val="pt-BR"/>
        </w:rPr>
        <w:t>Pablo Saavedra Alessandri</w:t>
      </w:r>
    </w:p>
    <w:p w14:paraId="13762F78" w14:textId="77777777" w:rsidR="00795660" w:rsidRPr="0041649C" w:rsidRDefault="00795660" w:rsidP="00795660">
      <w:pPr>
        <w:spacing w:after="0"/>
        <w:rPr>
          <w:szCs w:val="20"/>
          <w:lang w:val="es-ES"/>
        </w:rPr>
      </w:pPr>
      <w:r>
        <w:rPr>
          <w:lang w:val="pt-BR"/>
        </w:rPr>
        <w:t xml:space="preserve">          </w:t>
      </w:r>
      <w:r w:rsidRPr="0019261A">
        <w:rPr>
          <w:lang w:val="es-ES"/>
        </w:rPr>
        <w:t>Secret</w:t>
      </w:r>
      <w:r>
        <w:rPr>
          <w:lang w:val="es-ES"/>
        </w:rPr>
        <w:t>ario</w:t>
      </w:r>
    </w:p>
    <w:p w14:paraId="32FA9459" w14:textId="77777777" w:rsidR="00795660" w:rsidRDefault="00795660" w:rsidP="00285024">
      <w:pPr>
        <w:spacing w:before="120" w:after="120"/>
        <w:ind w:right="-90"/>
        <w:contextualSpacing/>
      </w:pPr>
    </w:p>
    <w:sectPr w:rsidR="00795660" w:rsidSect="00D14092">
      <w:footerReference w:type="default" r:id="rId8"/>
      <w:headerReference w:type="first" r:id="rId9"/>
      <w:footnotePr>
        <w:numRestart w:val="eachSect"/>
      </w:footnotePr>
      <w:pgSz w:w="12240" w:h="15840"/>
      <w:pgMar w:top="1440" w:right="1080" w:bottom="1440" w:left="117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F5265" w14:textId="77777777" w:rsidR="00112C35" w:rsidRDefault="00112C35" w:rsidP="00C10DAE">
      <w:pPr>
        <w:spacing w:before="0" w:after="0"/>
      </w:pPr>
      <w:r>
        <w:separator/>
      </w:r>
    </w:p>
  </w:endnote>
  <w:endnote w:type="continuationSeparator" w:id="0">
    <w:p w14:paraId="2A5E6EBB" w14:textId="77777777" w:rsidR="00112C35" w:rsidRDefault="00112C35" w:rsidP="00C10DA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Palatino-Italic">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Bold">
    <w:altName w:val="Times New Roman"/>
    <w:charset w:val="00"/>
    <w:family w:val="auto"/>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Bookman Old Style,Italic">
    <w:panose1 w:val="00000000000000000000"/>
    <w:charset w:val="00"/>
    <w:family w:val="auto"/>
    <w:notTrueType/>
    <w:pitch w:val="default"/>
    <w:sig w:usb0="00000003" w:usb1="00000000" w:usb2="00000000" w:usb3="00000000" w:csb0="00000001" w:csb1="00000000"/>
  </w:font>
  <w:font w:name="Bookman Old Style,BoldItalic">
    <w:panose1 w:val="00000000000000000000"/>
    <w:charset w:val="00"/>
    <w:family w:val="swiss"/>
    <w:notTrueType/>
    <w:pitch w:val="default"/>
    <w:sig w:usb0="00000003" w:usb1="00000000" w:usb2="00000000" w:usb3="00000000" w:csb0="00000001" w:csb1="00000000"/>
  </w:font>
  <w:font w:name="Bookman Old Style,Bold">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9119357"/>
      <w:docPartObj>
        <w:docPartGallery w:val="Page Numbers (Bottom of Page)"/>
        <w:docPartUnique/>
      </w:docPartObj>
    </w:sdtPr>
    <w:sdtEndPr>
      <w:rPr>
        <w:noProof/>
      </w:rPr>
    </w:sdtEndPr>
    <w:sdtContent>
      <w:p w14:paraId="5D297D00" w14:textId="6D74898A" w:rsidR="00795660" w:rsidRDefault="00795660">
        <w:pPr>
          <w:pStyle w:val="Piedepgina"/>
          <w:jc w:val="center"/>
        </w:pPr>
        <w:r>
          <w:fldChar w:fldCharType="begin"/>
        </w:r>
        <w:r>
          <w:instrText xml:space="preserve"> PAGE   \* MERGEFORMAT </w:instrText>
        </w:r>
        <w:r>
          <w:fldChar w:fldCharType="separate"/>
        </w:r>
        <w:r w:rsidR="005B6696">
          <w:rPr>
            <w:noProof/>
          </w:rPr>
          <w:t>2</w:t>
        </w:r>
        <w:r>
          <w:rPr>
            <w:noProof/>
          </w:rPr>
          <w:fldChar w:fldCharType="end"/>
        </w:r>
      </w:p>
    </w:sdtContent>
  </w:sdt>
  <w:p w14:paraId="1BAD5C04" w14:textId="77777777" w:rsidR="00795660" w:rsidRDefault="0079566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7F06E" w14:textId="77777777" w:rsidR="00112C35" w:rsidRDefault="00112C35" w:rsidP="00C10DAE">
      <w:pPr>
        <w:spacing w:before="0" w:after="0"/>
      </w:pPr>
      <w:r>
        <w:separator/>
      </w:r>
    </w:p>
  </w:footnote>
  <w:footnote w:type="continuationSeparator" w:id="0">
    <w:p w14:paraId="05708E6B" w14:textId="77777777" w:rsidR="00112C35" w:rsidRDefault="00112C35" w:rsidP="00C10DAE">
      <w:pPr>
        <w:spacing w:before="0" w:after="0"/>
      </w:pPr>
      <w:r>
        <w:continuationSeparator/>
      </w:r>
    </w:p>
  </w:footnote>
  <w:footnote w:id="1">
    <w:p w14:paraId="6854BFFA" w14:textId="77777777" w:rsidR="00795660" w:rsidRPr="00F70CFF" w:rsidRDefault="00795660" w:rsidP="00F70CFF">
      <w:pPr>
        <w:pStyle w:val="Textonotapie"/>
        <w:spacing w:before="0" w:after="0"/>
        <w:rPr>
          <w:szCs w:val="16"/>
        </w:rPr>
      </w:pPr>
      <w:r w:rsidRPr="00F70CFF">
        <w:rPr>
          <w:rStyle w:val="Refdenotaalpie"/>
          <w:szCs w:val="16"/>
        </w:rPr>
        <w:t>*</w:t>
      </w:r>
      <w:r w:rsidRPr="00F70CFF">
        <w:rPr>
          <w:rFonts w:eastAsia="Times New Roman"/>
          <w:szCs w:val="16"/>
        </w:rPr>
        <w:tab/>
        <w:t>El Juez L. Patricio Pazmiño Freire, Vicepresidente de la Corte, de nacionalidad ecuatoriana, no participó en la deliberación y firma de la presente Sentencia, de conformidad con lo dispuesto en los artículos 19.2 del Estatuto y 19.1 del Reglamento de la Corte.</w:t>
      </w:r>
    </w:p>
  </w:footnote>
  <w:footnote w:id="2">
    <w:p w14:paraId="43746ED4" w14:textId="0350BB52" w:rsidR="00795660" w:rsidRPr="009A3EC4" w:rsidRDefault="00795660" w:rsidP="00A47502">
      <w:pPr>
        <w:pStyle w:val="Textonotapie"/>
        <w:spacing w:before="0" w:after="0"/>
      </w:pPr>
      <w:r>
        <w:rPr>
          <w:rStyle w:val="Refdenotaalpie"/>
        </w:rPr>
        <w:footnoteRef/>
      </w:r>
      <w:r>
        <w:t xml:space="preserve"> </w:t>
      </w:r>
      <w:r>
        <w:tab/>
      </w:r>
      <w:r w:rsidRPr="00F70CFF">
        <w:rPr>
          <w:szCs w:val="16"/>
        </w:rPr>
        <w:t>En los diversos documentos presentados</w:t>
      </w:r>
      <w:r>
        <w:rPr>
          <w:szCs w:val="16"/>
        </w:rPr>
        <w:t>,</w:t>
      </w:r>
      <w:r w:rsidRPr="00F70CFF">
        <w:rPr>
          <w:szCs w:val="16"/>
        </w:rPr>
        <w:t xml:space="preserve"> indi</w:t>
      </w:r>
      <w:r>
        <w:rPr>
          <w:szCs w:val="16"/>
        </w:rPr>
        <w:t xml:space="preserve">stintamente, el segundo nombre </w:t>
      </w:r>
      <w:r w:rsidRPr="00F70CFF">
        <w:rPr>
          <w:szCs w:val="16"/>
        </w:rPr>
        <w:t xml:space="preserve">del señor </w:t>
      </w:r>
      <w:r>
        <w:rPr>
          <w:szCs w:val="16"/>
          <w:lang w:val="es-ES"/>
        </w:rPr>
        <w:t>Mario Cevallos Moreno aparece escrito como “Rommel” o “Romel</w:t>
      </w:r>
      <w:r w:rsidRPr="00F70CFF">
        <w:rPr>
          <w:szCs w:val="16"/>
          <w:lang w:val="es-ES"/>
        </w:rPr>
        <w:t>”</w:t>
      </w:r>
      <w:r w:rsidRPr="00F70CFF">
        <w:rPr>
          <w:szCs w:val="16"/>
        </w:rPr>
        <w:t>. Para efectos de la pre</w:t>
      </w:r>
      <w:r>
        <w:rPr>
          <w:szCs w:val="16"/>
        </w:rPr>
        <w:t>sente sentencia se utilizará el nombre escrito como “Romel</w:t>
      </w:r>
      <w:r w:rsidRPr="00F70CFF">
        <w:rPr>
          <w:szCs w:val="16"/>
        </w:rPr>
        <w:t>”.</w:t>
      </w:r>
    </w:p>
  </w:footnote>
  <w:footnote w:id="3">
    <w:p w14:paraId="3C25C5EE" w14:textId="660F5ADA" w:rsidR="00795660" w:rsidRPr="00F70CFF" w:rsidRDefault="00795660" w:rsidP="00A47502">
      <w:pPr>
        <w:pStyle w:val="Textonotapie"/>
        <w:spacing w:before="0" w:after="0"/>
        <w:rPr>
          <w:szCs w:val="16"/>
        </w:rPr>
      </w:pPr>
      <w:r w:rsidRPr="00F70CFF">
        <w:rPr>
          <w:rStyle w:val="Refdenotaalpie"/>
          <w:szCs w:val="16"/>
        </w:rPr>
        <w:footnoteRef/>
      </w:r>
      <w:r w:rsidRPr="00F70CFF">
        <w:rPr>
          <w:szCs w:val="16"/>
        </w:rPr>
        <w:t xml:space="preserve"> </w:t>
      </w:r>
      <w:r w:rsidRPr="00F70CFF">
        <w:rPr>
          <w:szCs w:val="16"/>
        </w:rPr>
        <w:tab/>
        <w:t>En los diversos documentos presentados</w:t>
      </w:r>
      <w:r>
        <w:rPr>
          <w:szCs w:val="16"/>
        </w:rPr>
        <w:t>,</w:t>
      </w:r>
      <w:r w:rsidRPr="00F70CFF">
        <w:rPr>
          <w:szCs w:val="16"/>
        </w:rPr>
        <w:t xml:space="preserve"> indistintamente</w:t>
      </w:r>
      <w:r>
        <w:rPr>
          <w:szCs w:val="16"/>
        </w:rPr>
        <w:t>,</w:t>
      </w:r>
      <w:r w:rsidRPr="00F70CFF">
        <w:rPr>
          <w:szCs w:val="16"/>
        </w:rPr>
        <w:t xml:space="preserve"> el segundo apellido del señor </w:t>
      </w:r>
      <w:r w:rsidRPr="00F70CFF">
        <w:rPr>
          <w:szCs w:val="16"/>
          <w:lang w:val="es-ES"/>
        </w:rPr>
        <w:t>Jorge Coloma aparece escrito como “Gaibor” o “Gaybor”</w:t>
      </w:r>
      <w:r w:rsidRPr="00F70CFF">
        <w:rPr>
          <w:szCs w:val="16"/>
        </w:rPr>
        <w:t>. Para efectos de la presente sentencia se utilizará el apellido escrito como “Gaibor”.</w:t>
      </w:r>
    </w:p>
  </w:footnote>
  <w:footnote w:id="4">
    <w:p w14:paraId="1F2F7766" w14:textId="3E372B60" w:rsidR="00795660" w:rsidRPr="0098148B" w:rsidRDefault="00795660" w:rsidP="00A47502">
      <w:pPr>
        <w:pStyle w:val="Textonotapie"/>
        <w:spacing w:before="0" w:after="0"/>
        <w:rPr>
          <w:szCs w:val="16"/>
        </w:rPr>
      </w:pPr>
      <w:r>
        <w:rPr>
          <w:rStyle w:val="Refdenotaalpie"/>
        </w:rPr>
        <w:footnoteRef/>
      </w:r>
      <w:r>
        <w:t xml:space="preserve"> </w:t>
      </w:r>
      <w:r>
        <w:tab/>
      </w:r>
      <w:r w:rsidRPr="00F70CFF">
        <w:rPr>
          <w:szCs w:val="16"/>
        </w:rPr>
        <w:t>En los diversos documentos presentados</w:t>
      </w:r>
      <w:r>
        <w:rPr>
          <w:szCs w:val="16"/>
        </w:rPr>
        <w:t>,</w:t>
      </w:r>
      <w:r w:rsidRPr="00F70CFF">
        <w:rPr>
          <w:szCs w:val="16"/>
        </w:rPr>
        <w:t xml:space="preserve"> indistintamente</w:t>
      </w:r>
      <w:r>
        <w:rPr>
          <w:szCs w:val="16"/>
        </w:rPr>
        <w:t>,</w:t>
      </w:r>
      <w:r w:rsidRPr="00F70CFF">
        <w:rPr>
          <w:szCs w:val="16"/>
        </w:rPr>
        <w:t xml:space="preserve"> el </w:t>
      </w:r>
      <w:r>
        <w:rPr>
          <w:szCs w:val="16"/>
        </w:rPr>
        <w:t xml:space="preserve">primer </w:t>
      </w:r>
      <w:r w:rsidRPr="00F70CFF">
        <w:rPr>
          <w:szCs w:val="16"/>
        </w:rPr>
        <w:t xml:space="preserve">apellido del señor </w:t>
      </w:r>
      <w:r>
        <w:rPr>
          <w:szCs w:val="16"/>
        </w:rPr>
        <w:t xml:space="preserve">Alfonso Patricio </w:t>
      </w:r>
      <w:r>
        <w:rPr>
          <w:szCs w:val="16"/>
          <w:lang w:val="es-ES"/>
        </w:rPr>
        <w:t>aparece escrito como “Vinueza” o “Vinuesa</w:t>
      </w:r>
      <w:r w:rsidRPr="00F70CFF">
        <w:rPr>
          <w:szCs w:val="16"/>
          <w:lang w:val="es-ES"/>
        </w:rPr>
        <w:t>”</w:t>
      </w:r>
      <w:r w:rsidRPr="00F70CFF">
        <w:rPr>
          <w:szCs w:val="16"/>
        </w:rPr>
        <w:t xml:space="preserve">. Para efectos de la presente sentencia se utilizará el </w:t>
      </w:r>
      <w:r>
        <w:rPr>
          <w:szCs w:val="16"/>
        </w:rPr>
        <w:t>apellido escrito como “Vinueza”.</w:t>
      </w:r>
    </w:p>
  </w:footnote>
  <w:footnote w:id="5">
    <w:p w14:paraId="10270D36" w14:textId="46CE885A" w:rsidR="00795660" w:rsidRPr="006D047E" w:rsidRDefault="00795660" w:rsidP="00265D53">
      <w:pPr>
        <w:pStyle w:val="Textonotapie"/>
        <w:spacing w:before="0" w:after="0"/>
        <w:rPr>
          <w:szCs w:val="16"/>
        </w:rPr>
      </w:pPr>
      <w:r w:rsidRPr="006D047E">
        <w:rPr>
          <w:rStyle w:val="Refdenotaalpie"/>
          <w:szCs w:val="16"/>
        </w:rPr>
        <w:footnoteRef/>
      </w:r>
      <w:r w:rsidRPr="006D047E">
        <w:rPr>
          <w:szCs w:val="16"/>
        </w:rPr>
        <w:t xml:space="preserve"> </w:t>
      </w:r>
      <w:r w:rsidRPr="006D047E">
        <w:rPr>
          <w:szCs w:val="16"/>
        </w:rPr>
        <w:tab/>
      </w:r>
      <w:r w:rsidRPr="006D047E">
        <w:rPr>
          <w:spacing w:val="-4"/>
          <w:szCs w:val="16"/>
        </w:rPr>
        <w:t xml:space="preserve">Informe de Fondo N°. 113/18, </w:t>
      </w:r>
      <w:r w:rsidRPr="006D047E">
        <w:rPr>
          <w:i/>
          <w:spacing w:val="-4"/>
          <w:szCs w:val="16"/>
        </w:rPr>
        <w:t>Jorge Villarroel y otros Vs. Ecuador,</w:t>
      </w:r>
      <w:r w:rsidRPr="006D047E">
        <w:rPr>
          <w:spacing w:val="-4"/>
          <w:szCs w:val="16"/>
        </w:rPr>
        <w:t xml:space="preserve"> de 5 de octubre de 2</w:t>
      </w:r>
      <w:r>
        <w:rPr>
          <w:spacing w:val="-4"/>
          <w:szCs w:val="16"/>
        </w:rPr>
        <w:t xml:space="preserve">018 (expediente de fondo, fs. 5 a </w:t>
      </w:r>
      <w:r w:rsidRPr="006D047E">
        <w:rPr>
          <w:spacing w:val="-4"/>
          <w:szCs w:val="16"/>
        </w:rPr>
        <w:t>30).</w:t>
      </w:r>
    </w:p>
  </w:footnote>
  <w:footnote w:id="6">
    <w:p w14:paraId="440A0D11" w14:textId="24978D2F" w:rsidR="00795660" w:rsidRPr="006D047E" w:rsidRDefault="00795660" w:rsidP="00265D53">
      <w:pPr>
        <w:spacing w:before="0" w:after="0"/>
        <w:rPr>
          <w:sz w:val="16"/>
          <w:szCs w:val="16"/>
          <w:lang w:val="es-CR"/>
        </w:rPr>
      </w:pPr>
      <w:r w:rsidRPr="006D047E">
        <w:rPr>
          <w:rStyle w:val="Refdenotaalpie"/>
          <w:sz w:val="16"/>
          <w:szCs w:val="16"/>
        </w:rPr>
        <w:footnoteRef/>
      </w:r>
      <w:r w:rsidRPr="006D047E">
        <w:rPr>
          <w:sz w:val="16"/>
          <w:szCs w:val="16"/>
        </w:rPr>
        <w:t xml:space="preserve"> </w:t>
      </w:r>
      <w:r w:rsidRPr="006D047E">
        <w:rPr>
          <w:sz w:val="16"/>
          <w:szCs w:val="16"/>
        </w:rPr>
        <w:tab/>
      </w:r>
      <w:r w:rsidRPr="006D047E">
        <w:rPr>
          <w:sz w:val="16"/>
          <w:szCs w:val="16"/>
          <w:lang w:val="es-CR"/>
        </w:rPr>
        <w:t>La Comisión concluyó que el Estado de</w:t>
      </w:r>
      <w:r>
        <w:rPr>
          <w:sz w:val="16"/>
          <w:szCs w:val="16"/>
          <w:lang w:val="es-CR"/>
        </w:rPr>
        <w:t>l</w:t>
      </w:r>
      <w:r w:rsidRPr="006D047E">
        <w:rPr>
          <w:sz w:val="16"/>
          <w:szCs w:val="16"/>
          <w:lang w:val="es-CR"/>
        </w:rPr>
        <w:t xml:space="preserve"> Ecuador es responsable por la violación de los derechos establecidos en los artículos 7.1, 7.2, 7.3, 7.5, 7.6 (libertad personal)</w:t>
      </w:r>
      <w:r>
        <w:rPr>
          <w:sz w:val="16"/>
          <w:szCs w:val="16"/>
          <w:lang w:val="es-CR"/>
        </w:rPr>
        <w:t>, 8.1, 8.2, 8.2 b), 8.2 c), 8.2.</w:t>
      </w:r>
      <w:r w:rsidRPr="006D047E">
        <w:rPr>
          <w:sz w:val="16"/>
          <w:szCs w:val="16"/>
          <w:lang w:val="es-CR"/>
        </w:rPr>
        <w:t xml:space="preserve">h) (garantías judiciales), 24 (principio de igualdad y no discriminación) y 25.1 (protección judicial) de la Convención Americana sobre Derechos Humanos, en relación con los artículos 1.1 y 2 del mismo instrumento, en perjuicio </w:t>
      </w:r>
      <w:r w:rsidRPr="006D047E">
        <w:rPr>
          <w:rFonts w:cs="Cambria"/>
          <w:sz w:val="16"/>
          <w:szCs w:val="16"/>
          <w:lang w:val="es-CR"/>
        </w:rPr>
        <w:t xml:space="preserve">de Jorge </w:t>
      </w:r>
      <w:r>
        <w:rPr>
          <w:rFonts w:cs="Cambria"/>
          <w:sz w:val="16"/>
          <w:szCs w:val="16"/>
          <w:lang w:val="es-CR"/>
        </w:rPr>
        <w:t xml:space="preserve">Humberto </w:t>
      </w:r>
      <w:r w:rsidRPr="006D047E">
        <w:rPr>
          <w:rFonts w:cs="Cambria"/>
          <w:sz w:val="16"/>
          <w:szCs w:val="16"/>
          <w:lang w:val="es-CR"/>
        </w:rPr>
        <w:t>Villarroel Merino, Mario Romel Cevallos Moreno, Jorge Coloma Gaibor, Fernando López Ortiz, Amílcar Ascázubi Albán y Patricio Vinue</w:t>
      </w:r>
      <w:r>
        <w:rPr>
          <w:rFonts w:cs="Cambria"/>
          <w:sz w:val="16"/>
          <w:szCs w:val="16"/>
          <w:lang w:val="es-CR"/>
        </w:rPr>
        <w:t>z</w:t>
      </w:r>
      <w:r w:rsidRPr="006D047E">
        <w:rPr>
          <w:rFonts w:cs="Cambria"/>
          <w:sz w:val="16"/>
          <w:szCs w:val="16"/>
          <w:lang w:val="es-CR"/>
        </w:rPr>
        <w:t>a Pánchez</w:t>
      </w:r>
      <w:r w:rsidRPr="006D047E">
        <w:rPr>
          <w:sz w:val="16"/>
          <w:szCs w:val="16"/>
          <w:lang w:val="es-CR"/>
        </w:rPr>
        <w:t>. Asimismo, la Comisión concluy[ó] que el Estado no es responsable por la violación del artículo 9 de la Convención Americana.</w:t>
      </w:r>
    </w:p>
  </w:footnote>
  <w:footnote w:id="7">
    <w:p w14:paraId="0E4753CD" w14:textId="4103540F" w:rsidR="00795660" w:rsidRPr="006D047E" w:rsidRDefault="00795660" w:rsidP="00265D53">
      <w:pPr>
        <w:pStyle w:val="Textonotapie"/>
        <w:spacing w:before="0" w:after="0"/>
      </w:pPr>
      <w:r w:rsidRPr="006D047E">
        <w:rPr>
          <w:rStyle w:val="Refdenotaalpie"/>
        </w:rPr>
        <w:footnoteRef/>
      </w:r>
      <w:r w:rsidRPr="006D047E">
        <w:t xml:space="preserve"> </w:t>
      </w:r>
      <w:r w:rsidRPr="006D047E">
        <w:tab/>
        <w:t>La Comisión designó a la Presidenta Esmeralda Arosemena de Troitiño y al entonces Secretario Ejecutivo Paulo</w:t>
      </w:r>
      <w:r w:rsidRPr="009A1356">
        <w:t xml:space="preserve"> Abrão</w:t>
      </w:r>
      <w:r w:rsidRPr="006D047E">
        <w:t xml:space="preserve"> como su Delegada y Delegado</w:t>
      </w:r>
      <w:r>
        <w:t>, respectivamente</w:t>
      </w:r>
      <w:r w:rsidRPr="006D047E">
        <w:t>. Asimismo</w:t>
      </w:r>
      <w:r>
        <w:t>,</w:t>
      </w:r>
      <w:r w:rsidRPr="006D047E">
        <w:t xml:space="preserve"> Marisol Blanchard Vera, Secretaria Ejecutiva Adjunta, Jorge Meza Flores y Erick Acuña Pereda, abogados de la Secretaría de Ejecutiva de la Comisión, actuaron como asesora y asesores legales. </w:t>
      </w:r>
    </w:p>
  </w:footnote>
  <w:footnote w:id="8">
    <w:p w14:paraId="45328A9D" w14:textId="786BB4AE" w:rsidR="00795660" w:rsidRPr="00A71C5D" w:rsidRDefault="00795660" w:rsidP="00265D53">
      <w:pPr>
        <w:pStyle w:val="Textonotapie"/>
        <w:spacing w:before="0" w:after="0"/>
        <w:rPr>
          <w:spacing w:val="-4"/>
          <w:szCs w:val="16"/>
        </w:rPr>
      </w:pPr>
      <w:r w:rsidRPr="006D047E">
        <w:rPr>
          <w:rStyle w:val="Refdenotaalpie"/>
          <w:szCs w:val="16"/>
        </w:rPr>
        <w:footnoteRef/>
      </w:r>
      <w:r w:rsidRPr="006D047E">
        <w:rPr>
          <w:szCs w:val="16"/>
        </w:rPr>
        <w:t xml:space="preserve"> </w:t>
      </w:r>
      <w:r w:rsidRPr="006D047E">
        <w:rPr>
          <w:szCs w:val="16"/>
        </w:rPr>
        <w:tab/>
      </w:r>
      <w:r>
        <w:rPr>
          <w:spacing w:val="-4"/>
          <w:szCs w:val="16"/>
        </w:rPr>
        <w:t xml:space="preserve"> Las presuntas víctimas designaron al s</w:t>
      </w:r>
      <w:r w:rsidRPr="006D047E">
        <w:rPr>
          <w:spacing w:val="-4"/>
          <w:szCs w:val="16"/>
        </w:rPr>
        <w:t>eñor Marcelo Dueñas Veloz</w:t>
      </w:r>
      <w:r>
        <w:rPr>
          <w:spacing w:val="-4"/>
          <w:szCs w:val="16"/>
        </w:rPr>
        <w:t xml:space="preserve"> como su representante</w:t>
      </w:r>
      <w:r w:rsidRPr="006D047E">
        <w:rPr>
          <w:spacing w:val="-4"/>
          <w:szCs w:val="16"/>
        </w:rPr>
        <w:t>.</w:t>
      </w:r>
    </w:p>
  </w:footnote>
  <w:footnote w:id="9">
    <w:p w14:paraId="3EFC7324" w14:textId="491EEF85" w:rsidR="00795660" w:rsidRPr="00F70CFF" w:rsidRDefault="00795660" w:rsidP="00F70CFF">
      <w:pPr>
        <w:pStyle w:val="Textonotapie"/>
        <w:spacing w:before="0" w:after="0"/>
        <w:rPr>
          <w:szCs w:val="16"/>
          <w:lang w:val="es-CR"/>
        </w:rPr>
      </w:pPr>
      <w:r w:rsidRPr="006D047E">
        <w:rPr>
          <w:rStyle w:val="Refdenotaalpie"/>
          <w:szCs w:val="16"/>
        </w:rPr>
        <w:footnoteRef/>
      </w:r>
      <w:r w:rsidRPr="006D047E">
        <w:rPr>
          <w:szCs w:val="16"/>
        </w:rPr>
        <w:t xml:space="preserve"> </w:t>
      </w:r>
      <w:r w:rsidRPr="006D047E">
        <w:rPr>
          <w:szCs w:val="16"/>
        </w:rPr>
        <w:tab/>
      </w:r>
      <w:r w:rsidRPr="006D047E">
        <w:rPr>
          <w:rFonts w:eastAsia="Calibri" w:cs="Verdana"/>
          <w:spacing w:val="-2"/>
          <w:szCs w:val="16"/>
          <w:lang w:eastAsia="es-ES"/>
        </w:rPr>
        <w:t>El Estado designó a la señora María Fernanda Álvarez Alc</w:t>
      </w:r>
      <w:r>
        <w:rPr>
          <w:rFonts w:eastAsia="Calibri" w:cs="Verdana"/>
          <w:spacing w:val="-2"/>
          <w:szCs w:val="16"/>
          <w:lang w:eastAsia="es-ES"/>
        </w:rPr>
        <w:t>í</w:t>
      </w:r>
      <w:r w:rsidRPr="006D047E">
        <w:rPr>
          <w:rFonts w:eastAsia="Calibri" w:cs="Verdana"/>
          <w:spacing w:val="-2"/>
          <w:szCs w:val="16"/>
          <w:lang w:eastAsia="es-ES"/>
        </w:rPr>
        <w:t>var, como agente principal y a los señores Carlos Alfonso Esp</w:t>
      </w:r>
      <w:r>
        <w:rPr>
          <w:rFonts w:eastAsia="Calibri" w:cs="Verdana"/>
          <w:spacing w:val="-2"/>
          <w:szCs w:val="16"/>
          <w:lang w:eastAsia="es-ES"/>
        </w:rPr>
        <w:t>í</w:t>
      </w:r>
      <w:r w:rsidRPr="006D047E">
        <w:rPr>
          <w:rFonts w:eastAsia="Calibri" w:cs="Verdana"/>
          <w:spacing w:val="-2"/>
          <w:szCs w:val="16"/>
          <w:lang w:eastAsia="es-ES"/>
        </w:rPr>
        <w:t xml:space="preserve">n Arias y Jorge Palacios Salcedo, como agentes alternos. </w:t>
      </w:r>
    </w:p>
  </w:footnote>
  <w:footnote w:id="10">
    <w:p w14:paraId="7E505AD4" w14:textId="0E1E7741" w:rsidR="00795660" w:rsidRPr="00F70CFF" w:rsidRDefault="00795660" w:rsidP="00F70CFF">
      <w:pPr>
        <w:pStyle w:val="Textonotapie"/>
        <w:spacing w:before="0" w:after="0"/>
        <w:rPr>
          <w:i/>
          <w:szCs w:val="16"/>
          <w:lang w:val="es-PE"/>
        </w:rPr>
      </w:pPr>
      <w:r w:rsidRPr="00F70CFF">
        <w:rPr>
          <w:rStyle w:val="Refdenotaalpie"/>
          <w:szCs w:val="16"/>
        </w:rPr>
        <w:footnoteRef/>
      </w:r>
      <w:r w:rsidRPr="00F70CFF">
        <w:rPr>
          <w:szCs w:val="16"/>
          <w:lang w:val="es-PE"/>
        </w:rPr>
        <w:t xml:space="preserve"> </w:t>
      </w:r>
      <w:r w:rsidRPr="00F70CFF">
        <w:rPr>
          <w:szCs w:val="16"/>
          <w:lang w:val="es-PE"/>
        </w:rPr>
        <w:tab/>
      </w:r>
      <w:r w:rsidRPr="00F70CFF">
        <w:rPr>
          <w:i/>
          <w:szCs w:val="16"/>
          <w:lang w:val="es-PE"/>
        </w:rPr>
        <w:t xml:space="preserve">Cfr. Caso Villarroel </w:t>
      </w:r>
      <w:r w:rsidRPr="00F70CFF">
        <w:rPr>
          <w:i/>
          <w:szCs w:val="16"/>
          <w:lang w:val="es-ES"/>
        </w:rPr>
        <w:t>Merino</w:t>
      </w:r>
      <w:r w:rsidRPr="00F70CFF">
        <w:rPr>
          <w:i/>
          <w:szCs w:val="16"/>
          <w:lang w:val="es-PE"/>
        </w:rPr>
        <w:t xml:space="preserve"> y otros Vs. Ecuador. Resolución de la Presidenta de la Corte</w:t>
      </w:r>
      <w:r w:rsidRPr="00F70CFF">
        <w:rPr>
          <w:szCs w:val="16"/>
          <w:lang w:val="es-PE"/>
        </w:rPr>
        <w:t xml:space="preserve"> de </w:t>
      </w:r>
      <w:r>
        <w:rPr>
          <w:szCs w:val="16"/>
          <w:lang w:val="es-PE"/>
        </w:rPr>
        <w:t>8</w:t>
      </w:r>
      <w:r w:rsidRPr="00F70CFF">
        <w:rPr>
          <w:szCs w:val="16"/>
          <w:lang w:val="es-PE"/>
        </w:rPr>
        <w:t xml:space="preserve"> de </w:t>
      </w:r>
      <w:r>
        <w:rPr>
          <w:szCs w:val="16"/>
          <w:lang w:val="es-PE"/>
        </w:rPr>
        <w:t>diciembre</w:t>
      </w:r>
      <w:r w:rsidRPr="00F70CFF">
        <w:rPr>
          <w:szCs w:val="16"/>
          <w:lang w:val="es-PE"/>
        </w:rPr>
        <w:t xml:space="preserve"> de 202</w:t>
      </w:r>
      <w:r>
        <w:rPr>
          <w:szCs w:val="16"/>
          <w:lang w:val="es-PE"/>
        </w:rPr>
        <w:t>0</w:t>
      </w:r>
      <w:r w:rsidRPr="00F70CFF">
        <w:rPr>
          <w:szCs w:val="16"/>
          <w:lang w:val="es-PE"/>
        </w:rPr>
        <w:t>. Disponible en:</w:t>
      </w:r>
      <w:r w:rsidRPr="00F70CFF">
        <w:rPr>
          <w:szCs w:val="16"/>
          <w:lang w:val="es-CR"/>
        </w:rPr>
        <w:t xml:space="preserve"> </w:t>
      </w:r>
      <w:hyperlink r:id="rId1" w:history="1">
        <w:r w:rsidRPr="004B1BE2">
          <w:rPr>
            <w:rStyle w:val="Hipervnculo"/>
            <w:szCs w:val="16"/>
            <w:lang w:val="es-CR"/>
          </w:rPr>
          <w:t>http://www.corteidh.or.cr/docs/asuntos/villarroel_y_otros_08_12_20.pdf</w:t>
        </w:r>
      </w:hyperlink>
      <w:r>
        <w:rPr>
          <w:szCs w:val="16"/>
          <w:lang w:val="es-CR"/>
        </w:rPr>
        <w:t xml:space="preserve">. </w:t>
      </w:r>
      <w:r w:rsidRPr="00F70CFF">
        <w:rPr>
          <w:szCs w:val="16"/>
          <w:lang w:val="es-PE"/>
        </w:rPr>
        <w:t xml:space="preserve"> </w:t>
      </w:r>
    </w:p>
  </w:footnote>
  <w:footnote w:id="11">
    <w:p w14:paraId="745F4773" w14:textId="5824E4A7" w:rsidR="00795660" w:rsidRPr="00F70CFF" w:rsidRDefault="00795660" w:rsidP="00F70CFF">
      <w:pPr>
        <w:pStyle w:val="Textonotapie"/>
        <w:tabs>
          <w:tab w:val="left" w:pos="709"/>
        </w:tabs>
        <w:spacing w:before="0" w:after="0"/>
        <w:rPr>
          <w:rFonts w:eastAsia="Times New Roman"/>
          <w:szCs w:val="16"/>
        </w:rPr>
      </w:pPr>
      <w:r w:rsidRPr="00F70CFF">
        <w:rPr>
          <w:rStyle w:val="Refdenotaalpie"/>
          <w:szCs w:val="16"/>
        </w:rPr>
        <w:footnoteRef/>
      </w:r>
      <w:r w:rsidRPr="00F70CFF">
        <w:rPr>
          <w:szCs w:val="16"/>
        </w:rPr>
        <w:t xml:space="preserve"> </w:t>
      </w:r>
      <w:r w:rsidRPr="00F70CFF">
        <w:rPr>
          <w:szCs w:val="16"/>
        </w:rPr>
        <w:tab/>
      </w:r>
      <w:r w:rsidRPr="00F70CFF">
        <w:rPr>
          <w:color w:val="000000" w:themeColor="text1"/>
          <w:szCs w:val="16"/>
        </w:rPr>
        <w:t>De</w:t>
      </w:r>
      <w:r w:rsidRPr="00F70CFF">
        <w:rPr>
          <w:szCs w:val="16"/>
        </w:rPr>
        <w:t>bido a la</w:t>
      </w:r>
      <w:r w:rsidRPr="00F70CFF">
        <w:rPr>
          <w:color w:val="000000" w:themeColor="text1"/>
          <w:szCs w:val="16"/>
        </w:rPr>
        <w:t>s circunstancias excepcionales ocasionadas por la</w:t>
      </w:r>
      <w:r w:rsidRPr="00F70CFF">
        <w:rPr>
          <w:szCs w:val="16"/>
        </w:rPr>
        <w:t xml:space="preserve"> pandemia COVID-19</w:t>
      </w:r>
      <w:r w:rsidRPr="00F70CFF">
        <w:rPr>
          <w:color w:val="000000" w:themeColor="text1"/>
          <w:szCs w:val="16"/>
        </w:rPr>
        <w:t xml:space="preserve">, esta Sentencia fue deliberada y aprobada durante el </w:t>
      </w:r>
      <w:r>
        <w:rPr>
          <w:szCs w:val="16"/>
        </w:rPr>
        <w:t>143</w:t>
      </w:r>
      <w:r w:rsidRPr="00F70CFF">
        <w:rPr>
          <w:szCs w:val="16"/>
        </w:rPr>
        <w:t xml:space="preserve"> Período Ordinario de Sesiones, el cual se llev</w:t>
      </w:r>
      <w:r w:rsidRPr="00F70CFF">
        <w:rPr>
          <w:color w:val="000000" w:themeColor="text1"/>
          <w:szCs w:val="16"/>
        </w:rPr>
        <w:t xml:space="preserve">ó a cabo utilizando medios tecnológicos, de conformidad con lo establecido en el Reglamento de la Corte. Ver comunicado de Prensa No. 39/2020, de 25 de mayo de 2020, disponible aquí: </w:t>
      </w:r>
      <w:hyperlink r:id="rId2" w:history="1">
        <w:r w:rsidRPr="00F70CFF">
          <w:rPr>
            <w:rStyle w:val="Hipervnculo"/>
            <w:szCs w:val="16"/>
          </w:rPr>
          <w:t>http://www.corteidh.or.cr/docs/comunicados/cp_39_2020.pdf</w:t>
        </w:r>
      </w:hyperlink>
    </w:p>
  </w:footnote>
  <w:footnote w:id="12">
    <w:p w14:paraId="39DE1D0D" w14:textId="157667AE" w:rsidR="00795660" w:rsidRPr="00723A27" w:rsidRDefault="00795660" w:rsidP="00C03BB0">
      <w:pPr>
        <w:pStyle w:val="Textonotapie"/>
        <w:spacing w:before="0" w:after="0"/>
      </w:pPr>
      <w:r w:rsidRPr="004C6091">
        <w:rPr>
          <w:rStyle w:val="Refdenotaalpie"/>
        </w:rPr>
        <w:footnoteRef/>
      </w:r>
      <w:r w:rsidRPr="004C6091">
        <w:t xml:space="preserve"> </w:t>
      </w:r>
      <w:r w:rsidRPr="004C6091">
        <w:tab/>
      </w:r>
      <w:r w:rsidRPr="004C6091">
        <w:rPr>
          <w:i/>
        </w:rPr>
        <w:t xml:space="preserve">Cfr. </w:t>
      </w:r>
      <w:r>
        <w:rPr>
          <w:i/>
        </w:rPr>
        <w:t xml:space="preserve">Caso de los “Niños de la Calle” (Villagrán Morales y otros) Vs. Guatemala. Fondo. </w:t>
      </w:r>
      <w:r>
        <w:t xml:space="preserve">Sentencia de 19 de noviembre de 1999. Serie C No. 63. párr. 222, </w:t>
      </w:r>
      <w:r w:rsidRPr="00D14092">
        <w:t>y</w:t>
      </w:r>
      <w:r w:rsidRPr="00D14092">
        <w:rPr>
          <w:i/>
        </w:rPr>
        <w:t xml:space="preserve"> </w:t>
      </w:r>
      <w:r>
        <w:rPr>
          <w:i/>
        </w:rPr>
        <w:t xml:space="preserve">Caso </w:t>
      </w:r>
      <w:r w:rsidRPr="004C6091">
        <w:rPr>
          <w:i/>
        </w:rPr>
        <w:t>Grijalva Bueno</w:t>
      </w:r>
      <w:r>
        <w:rPr>
          <w:i/>
        </w:rPr>
        <w:t xml:space="preserve"> Vs. Ecuador.</w:t>
      </w:r>
      <w:r w:rsidRPr="0078340E">
        <w:rPr>
          <w:i/>
          <w:iCs/>
          <w:szCs w:val="16"/>
        </w:rPr>
        <w:t xml:space="preserve"> </w:t>
      </w:r>
      <w:r>
        <w:rPr>
          <w:i/>
          <w:iCs/>
          <w:szCs w:val="16"/>
        </w:rPr>
        <w:t xml:space="preserve">Excepción Preliminar, </w:t>
      </w:r>
      <w:r w:rsidRPr="00F70CFF">
        <w:rPr>
          <w:i/>
          <w:iCs/>
          <w:szCs w:val="16"/>
        </w:rPr>
        <w:t>Fondo</w:t>
      </w:r>
      <w:r>
        <w:rPr>
          <w:i/>
          <w:iCs/>
          <w:szCs w:val="16"/>
        </w:rPr>
        <w:t>, Reparaciones y Costas</w:t>
      </w:r>
      <w:r w:rsidRPr="00F70CFF">
        <w:rPr>
          <w:i/>
          <w:iCs/>
          <w:szCs w:val="16"/>
        </w:rPr>
        <w:t xml:space="preserve">. </w:t>
      </w:r>
      <w:r>
        <w:rPr>
          <w:szCs w:val="16"/>
        </w:rPr>
        <w:t>Sentencia de 3</w:t>
      </w:r>
      <w:r w:rsidRPr="00F70CFF">
        <w:rPr>
          <w:szCs w:val="16"/>
        </w:rPr>
        <w:t xml:space="preserve"> de </w:t>
      </w:r>
      <w:r>
        <w:rPr>
          <w:szCs w:val="16"/>
        </w:rPr>
        <w:t>junio de 2021. Serie C No. 426,</w:t>
      </w:r>
      <w:r w:rsidRPr="004C6091">
        <w:rPr>
          <w:i/>
        </w:rPr>
        <w:t xml:space="preserve"> </w:t>
      </w:r>
      <w:r w:rsidRPr="004C6091">
        <w:t>párr. 22</w:t>
      </w:r>
      <w:r w:rsidRPr="004C6091">
        <w:rPr>
          <w:i/>
        </w:rPr>
        <w:t>.</w:t>
      </w:r>
      <w:r>
        <w:rPr>
          <w:i/>
        </w:rPr>
        <w:t xml:space="preserve"> </w:t>
      </w:r>
    </w:p>
  </w:footnote>
  <w:footnote w:id="13">
    <w:p w14:paraId="2BBDE32B" w14:textId="6A215FB6" w:rsidR="00795660" w:rsidRPr="00BB723F" w:rsidRDefault="00795660" w:rsidP="009C7816">
      <w:pPr>
        <w:pStyle w:val="Textonotapie"/>
        <w:spacing w:before="0" w:after="0"/>
        <w:rPr>
          <w:lang w:val="es-MX"/>
        </w:rPr>
      </w:pPr>
      <w:r>
        <w:rPr>
          <w:rStyle w:val="Refdenotaalpie"/>
        </w:rPr>
        <w:footnoteRef/>
      </w:r>
      <w:r>
        <w:t xml:space="preserve"> </w:t>
      </w:r>
      <w:r>
        <w:tab/>
      </w:r>
      <w:r w:rsidRPr="00BB723F">
        <w:rPr>
          <w:i/>
        </w:rPr>
        <w:t>Cfr.</w:t>
      </w:r>
      <w:r>
        <w:t xml:space="preserve"> </w:t>
      </w:r>
      <w:r w:rsidRPr="00BB723F">
        <w:rPr>
          <w:i/>
        </w:rPr>
        <w:t>Caso Trabajadores Cesados del Congreso (Aguado Alfaro y otros) Vs. Perú. Excepciones Preliminares, Fondo, Reparaciones y Costas</w:t>
      </w:r>
      <w:r>
        <w:t xml:space="preserve">. Sentencia de 24 de noviembre de 2006. Serie C No. 158, párr. 66, y </w:t>
      </w:r>
      <w:r w:rsidRPr="004C6091">
        <w:rPr>
          <w:i/>
        </w:rPr>
        <w:t>Caso Montesinos Mejía Vs. Ecuador. Excepciones preliminares, Fondo, Reparaciones y Costas</w:t>
      </w:r>
      <w:r w:rsidRPr="004C6091">
        <w:t>. Sentencia de 27 de enero de 2020. Serie C No. 398, párr. 38.</w:t>
      </w:r>
      <w:r>
        <w:t xml:space="preserve"> </w:t>
      </w:r>
    </w:p>
  </w:footnote>
  <w:footnote w:id="14">
    <w:p w14:paraId="2C5B5EB6" w14:textId="552F4B5E" w:rsidR="00795660" w:rsidRPr="009C7816" w:rsidRDefault="00795660" w:rsidP="009C7816">
      <w:pPr>
        <w:pStyle w:val="Textonotapie"/>
        <w:spacing w:before="0" w:after="0"/>
      </w:pPr>
      <w:r>
        <w:rPr>
          <w:rStyle w:val="Refdenotaalpie"/>
        </w:rPr>
        <w:footnoteRef/>
      </w:r>
      <w:r>
        <w:t xml:space="preserve"> </w:t>
      </w:r>
      <w:r>
        <w:tab/>
      </w:r>
      <w:r w:rsidRPr="0092295B">
        <w:rPr>
          <w:i/>
        </w:rPr>
        <w:t>Cfr. Caso Montesinos Mejía Vs. Ecuador</w:t>
      </w:r>
      <w:r w:rsidRPr="0092295B">
        <w:t xml:space="preserve">, </w:t>
      </w:r>
      <w:r w:rsidRPr="00D14092">
        <w:rPr>
          <w:i/>
        </w:rPr>
        <w:t>supra</w:t>
      </w:r>
      <w:r>
        <w:t xml:space="preserve">, </w:t>
      </w:r>
      <w:r w:rsidRPr="0092295B">
        <w:t>párr. 39.</w:t>
      </w:r>
    </w:p>
  </w:footnote>
  <w:footnote w:id="15">
    <w:p w14:paraId="4DEE357D" w14:textId="66C66D5E" w:rsidR="00795660" w:rsidRPr="00D14092" w:rsidRDefault="00795660" w:rsidP="00B33ECE">
      <w:pPr>
        <w:pStyle w:val="Textonotapie"/>
        <w:spacing w:before="0" w:after="0"/>
        <w:rPr>
          <w:lang w:val="es-ES"/>
        </w:rPr>
      </w:pPr>
      <w:r>
        <w:rPr>
          <w:rStyle w:val="Refdenotaalpie"/>
        </w:rPr>
        <w:footnoteRef/>
      </w:r>
      <w:r>
        <w:t xml:space="preserve"> </w:t>
      </w:r>
      <w:r>
        <w:tab/>
      </w:r>
      <w:r w:rsidRPr="0092295B">
        <w:rPr>
          <w:i/>
        </w:rPr>
        <w:t>Cfr. Caso Montesinos Mejía Vs. Ecuador</w:t>
      </w:r>
      <w:r w:rsidRPr="0092295B">
        <w:t>,</w:t>
      </w:r>
      <w:r>
        <w:t xml:space="preserve"> </w:t>
      </w:r>
      <w:r w:rsidRPr="00D14092">
        <w:rPr>
          <w:i/>
        </w:rPr>
        <w:t>supra</w:t>
      </w:r>
      <w:r>
        <w:t>, párr. 40.</w:t>
      </w:r>
    </w:p>
  </w:footnote>
  <w:footnote w:id="16">
    <w:p w14:paraId="6DBB3330" w14:textId="11104B4C" w:rsidR="00795660" w:rsidRPr="00FB775F" w:rsidRDefault="00795660" w:rsidP="00765663">
      <w:pPr>
        <w:pStyle w:val="xmsolistparagraph"/>
        <w:shd w:val="clear" w:color="auto" w:fill="FFFFFF"/>
        <w:spacing w:before="0" w:beforeAutospacing="0" w:after="0" w:afterAutospacing="0"/>
        <w:jc w:val="both"/>
        <w:rPr>
          <w:rFonts w:ascii="Verdana" w:hAnsi="Verdana"/>
          <w:color w:val="212121"/>
          <w:sz w:val="16"/>
          <w:szCs w:val="16"/>
        </w:rPr>
      </w:pPr>
      <w:r w:rsidRPr="00F30537">
        <w:rPr>
          <w:rStyle w:val="Refdenotaalpie"/>
          <w:rFonts w:ascii="Verdana" w:hAnsi="Verdana"/>
          <w:sz w:val="16"/>
          <w:szCs w:val="16"/>
        </w:rPr>
        <w:footnoteRef/>
      </w:r>
      <w:r w:rsidRPr="00F30537">
        <w:rPr>
          <w:rFonts w:ascii="Verdana" w:hAnsi="Verdana"/>
          <w:sz w:val="16"/>
          <w:szCs w:val="16"/>
        </w:rPr>
        <w:t xml:space="preserve"> </w:t>
      </w:r>
      <w:r w:rsidRPr="00F70CFF">
        <w:rPr>
          <w:sz w:val="16"/>
          <w:szCs w:val="16"/>
        </w:rPr>
        <w:tab/>
      </w:r>
      <w:r w:rsidRPr="00DC6663">
        <w:rPr>
          <w:rFonts w:ascii="Verdana" w:hAnsi="Verdana"/>
          <w:sz w:val="16"/>
          <w:szCs w:val="16"/>
        </w:rPr>
        <w:t>En cuanto a la normativa presentada por el Estado como prueba para mejor resolver, se encuentra la siguiente:</w:t>
      </w:r>
      <w:r w:rsidRPr="00DC6663">
        <w:rPr>
          <w:sz w:val="16"/>
          <w:szCs w:val="16"/>
        </w:rPr>
        <w:t xml:space="preserve"> </w:t>
      </w:r>
      <w:r w:rsidRPr="00DC6663">
        <w:rPr>
          <w:rFonts w:ascii="Verdana" w:hAnsi="Verdana"/>
          <w:sz w:val="16"/>
          <w:szCs w:val="16"/>
        </w:rPr>
        <w:t>1) Constitución Política de la República del</w:t>
      </w:r>
      <w:r w:rsidRPr="00B33ECE">
        <w:rPr>
          <w:rFonts w:ascii="Verdana" w:hAnsi="Verdana"/>
          <w:sz w:val="16"/>
          <w:szCs w:val="16"/>
        </w:rPr>
        <w:t xml:space="preserve"> Ecuador; 2) Código de Procedimiento Penal común de 1983 vigente entre 1 de enero de 1998 y 30 de junio de 2000; 3) </w:t>
      </w:r>
      <w:r w:rsidRPr="00B33ECE">
        <w:rPr>
          <w:rFonts w:ascii="Verdana" w:hAnsi="Verdana"/>
          <w:sz w:val="16"/>
          <w:szCs w:val="16"/>
          <w:lang w:val="es-ES_tradnl"/>
        </w:rPr>
        <w:t xml:space="preserve">Ley de la Función Judicial de la Policía Nacional de 1960; 4) </w:t>
      </w:r>
      <w:r w:rsidRPr="00B33ECE">
        <w:rPr>
          <w:rFonts w:ascii="Verdana" w:hAnsi="Verdana"/>
          <w:sz w:val="16"/>
          <w:szCs w:val="16"/>
        </w:rPr>
        <w:t>Ley Orgánica de la Policía Nacional, y 5) </w:t>
      </w:r>
      <w:r w:rsidRPr="00B33ECE">
        <w:rPr>
          <w:rFonts w:ascii="Verdana" w:hAnsi="Verdana"/>
          <w:sz w:val="16"/>
          <w:szCs w:val="16"/>
          <w:lang w:val="es-ES_tradnl"/>
        </w:rPr>
        <w:t xml:space="preserve">Ley de Personal de la Policía Nacional, publicada en el Suplemento de Registro Oficial 378, de 07 de agosto de 1998. Asimismo, </w:t>
      </w:r>
      <w:r>
        <w:rPr>
          <w:rFonts w:ascii="Verdana" w:hAnsi="Verdana"/>
          <w:sz w:val="16"/>
          <w:szCs w:val="16"/>
          <w:lang w:val="es-ES_tradnl"/>
        </w:rPr>
        <w:t xml:space="preserve">el Estado </w:t>
      </w:r>
      <w:r w:rsidRPr="00B33ECE">
        <w:rPr>
          <w:rFonts w:ascii="Verdana" w:hAnsi="Verdana"/>
          <w:sz w:val="16"/>
          <w:szCs w:val="16"/>
          <w:lang w:val="es-ES_tradnl"/>
        </w:rPr>
        <w:t xml:space="preserve">aclaró que el Informe de la Auditoría N0. 32-DA1-2001-466 forma parte del </w:t>
      </w:r>
      <w:r w:rsidRPr="00B33ECE">
        <w:rPr>
          <w:rFonts w:ascii="Verdana" w:hAnsi="Verdana"/>
          <w:sz w:val="16"/>
          <w:szCs w:val="16"/>
        </w:rPr>
        <w:t xml:space="preserve">Informe de Auditoría No. DA1-93-01 del Examen especial de las operaciones administrativas y financieras de la Comandancia General de </w:t>
      </w:r>
      <w:r>
        <w:rPr>
          <w:rFonts w:ascii="Verdana" w:hAnsi="Verdana"/>
          <w:sz w:val="16"/>
          <w:szCs w:val="16"/>
        </w:rPr>
        <w:t>la Policía Nacional, por el perí</w:t>
      </w:r>
      <w:r w:rsidRPr="00B33ECE">
        <w:rPr>
          <w:rFonts w:ascii="Verdana" w:hAnsi="Verdana"/>
          <w:sz w:val="16"/>
          <w:szCs w:val="16"/>
        </w:rPr>
        <w:t xml:space="preserve">odo comprendido entre el 1 de enero de 1998 y el 30 de junio de 2000, el cual había sido remitido en junto con la contestación en el anexo 1. Por último, el Estado </w:t>
      </w:r>
      <w:r w:rsidRPr="0076111C">
        <w:rPr>
          <w:rFonts w:ascii="Verdana" w:hAnsi="Verdana"/>
          <w:sz w:val="16"/>
          <w:szCs w:val="16"/>
          <w:lang w:val="es-MX"/>
        </w:rPr>
        <w:t xml:space="preserve">se refirió a si </w:t>
      </w:r>
      <w:r w:rsidRPr="00B33ECE">
        <w:rPr>
          <w:rFonts w:ascii="Verdana" w:hAnsi="Verdana"/>
          <w:sz w:val="16"/>
          <w:szCs w:val="16"/>
        </w:rPr>
        <w:t xml:space="preserve">las presuntas víctimas durante el proceso penal policial tramitado en los años 2003, 2004 y 2005, recibieron algún tipo de remuneración o salario total o parcial. </w:t>
      </w:r>
    </w:p>
  </w:footnote>
  <w:footnote w:id="17">
    <w:p w14:paraId="41A7B80A" w14:textId="77777777" w:rsidR="00795660" w:rsidRPr="00F70CFF" w:rsidRDefault="00795660" w:rsidP="00F70CFF">
      <w:pPr>
        <w:pStyle w:val="Textonotapie"/>
        <w:spacing w:before="0" w:after="0"/>
        <w:rPr>
          <w:rFonts w:eastAsia="Calibri"/>
          <w:szCs w:val="16"/>
          <w:lang w:val="es-CR"/>
        </w:rPr>
      </w:pPr>
      <w:r w:rsidRPr="00F70CFF">
        <w:rPr>
          <w:rStyle w:val="Refdenotaalpie"/>
          <w:szCs w:val="16"/>
        </w:rPr>
        <w:footnoteRef/>
      </w:r>
      <w:r w:rsidRPr="00F70CFF">
        <w:rPr>
          <w:szCs w:val="16"/>
        </w:rPr>
        <w:t xml:space="preserve"> </w:t>
      </w:r>
      <w:r w:rsidRPr="00F70CFF">
        <w:rPr>
          <w:szCs w:val="16"/>
        </w:rPr>
        <w:tab/>
      </w:r>
      <w:r w:rsidRPr="00F70CFF">
        <w:rPr>
          <w:rFonts w:eastAsia="Calibri"/>
          <w:i/>
          <w:szCs w:val="16"/>
          <w:lang w:val="es-CR"/>
        </w:rPr>
        <w:t>Cfr. Caso Velásquez Rodríguez Vs. Honduras</w:t>
      </w:r>
      <w:r w:rsidRPr="00F70CFF">
        <w:rPr>
          <w:rFonts w:eastAsia="Calibri"/>
          <w:szCs w:val="16"/>
          <w:lang w:val="es-CR"/>
        </w:rPr>
        <w:t xml:space="preserve">. </w:t>
      </w:r>
      <w:r w:rsidRPr="00F70CFF">
        <w:rPr>
          <w:rFonts w:eastAsia="Calibri"/>
          <w:i/>
          <w:szCs w:val="16"/>
          <w:lang w:val="es-CR"/>
        </w:rPr>
        <w:t>Fondo</w:t>
      </w:r>
      <w:r w:rsidRPr="00F70CFF">
        <w:rPr>
          <w:rFonts w:eastAsia="Calibri"/>
          <w:szCs w:val="16"/>
          <w:lang w:val="es-CR"/>
        </w:rPr>
        <w:t xml:space="preserve">. Sentencia de 29 de julio de 1988. Serie C No. 4, párr. 140, y </w:t>
      </w:r>
      <w:r w:rsidRPr="00F70CFF">
        <w:rPr>
          <w:rFonts w:eastAsia="Calibri"/>
          <w:i/>
          <w:szCs w:val="16"/>
          <w:lang w:val="es-CR"/>
        </w:rPr>
        <w:t>Caso Azul Rojas Marín y otra Vs. Perú. Excepciones Preliminares, Fondo, Reparaciones y Costas</w:t>
      </w:r>
      <w:r w:rsidRPr="00F70CFF">
        <w:rPr>
          <w:rFonts w:eastAsia="Calibri"/>
          <w:szCs w:val="16"/>
          <w:lang w:val="es-CR"/>
        </w:rPr>
        <w:t>. Sentencia de 12 de marzo de 2020. Serie C No. 402, párr. 34.</w:t>
      </w:r>
    </w:p>
  </w:footnote>
  <w:footnote w:id="18">
    <w:p w14:paraId="5A4C3E5C" w14:textId="0259B8F8" w:rsidR="00795660" w:rsidRPr="00D14092" w:rsidRDefault="00795660" w:rsidP="002E7EDB">
      <w:pPr>
        <w:pStyle w:val="xmsolistparagraph"/>
        <w:shd w:val="clear" w:color="auto" w:fill="FFFFFF"/>
        <w:spacing w:before="0" w:beforeAutospacing="0" w:after="0" w:afterAutospacing="0"/>
        <w:jc w:val="both"/>
        <w:rPr>
          <w:rFonts w:ascii="Verdana" w:hAnsi="Verdana"/>
          <w:color w:val="212121"/>
          <w:sz w:val="16"/>
          <w:szCs w:val="16"/>
        </w:rPr>
      </w:pPr>
      <w:r w:rsidRPr="00765663">
        <w:rPr>
          <w:rStyle w:val="Refdenotaalpie"/>
          <w:rFonts w:ascii="Verdana" w:hAnsi="Verdana"/>
          <w:sz w:val="16"/>
          <w:szCs w:val="16"/>
        </w:rPr>
        <w:footnoteRef/>
      </w:r>
      <w:r w:rsidRPr="00765663">
        <w:rPr>
          <w:rFonts w:ascii="Verdana" w:hAnsi="Verdana"/>
          <w:sz w:val="16"/>
          <w:szCs w:val="16"/>
        </w:rPr>
        <w:t xml:space="preserve"> </w:t>
      </w:r>
      <w:r w:rsidRPr="00765663">
        <w:rPr>
          <w:rFonts w:ascii="Verdana" w:hAnsi="Verdana"/>
          <w:sz w:val="16"/>
          <w:szCs w:val="16"/>
        </w:rPr>
        <w:tab/>
      </w:r>
      <w:r w:rsidRPr="00B33ECE">
        <w:rPr>
          <w:rFonts w:ascii="Verdana" w:hAnsi="Verdana"/>
          <w:sz w:val="16"/>
          <w:szCs w:val="16"/>
        </w:rPr>
        <w:t xml:space="preserve">Se incorporó de oficio: </w:t>
      </w:r>
      <w:r w:rsidRPr="00B33ECE">
        <w:rPr>
          <w:rFonts w:ascii="Verdana" w:hAnsi="Verdana"/>
          <w:sz w:val="16"/>
          <w:szCs w:val="16"/>
          <w:lang w:val="es-MX"/>
        </w:rPr>
        <w:t>Ley Orgánica de la Función Judicial publicada en el Registro Oficial No. 636 de 11 de septiembre de 1974</w:t>
      </w:r>
      <w:r>
        <w:rPr>
          <w:rFonts w:ascii="Verdana" w:hAnsi="Verdana"/>
          <w:sz w:val="16"/>
          <w:szCs w:val="16"/>
          <w:lang w:val="es-MX"/>
        </w:rPr>
        <w:t xml:space="preserve">; </w:t>
      </w:r>
      <w:r w:rsidRPr="00B33ECE">
        <w:rPr>
          <w:rFonts w:ascii="Verdana" w:hAnsi="Verdana"/>
          <w:sz w:val="16"/>
          <w:szCs w:val="16"/>
          <w:lang w:val="es-MX"/>
        </w:rPr>
        <w:t xml:space="preserve">Ley </w:t>
      </w:r>
      <w:r w:rsidRPr="00EF4BDB">
        <w:rPr>
          <w:rFonts w:ascii="Verdana" w:hAnsi="Verdana"/>
          <w:sz w:val="16"/>
          <w:szCs w:val="16"/>
          <w:lang w:val="es-MX"/>
        </w:rPr>
        <w:t xml:space="preserve">Reformatoria del Código de Procedimiento Penal común, Ley No. 2003-101, que modificó el Código de Procedimiento Penal común y el </w:t>
      </w:r>
      <w:r w:rsidRPr="00EF4BDB">
        <w:rPr>
          <w:rFonts w:ascii="Verdana" w:hAnsi="Verdana"/>
          <w:sz w:val="16"/>
          <w:szCs w:val="16"/>
        </w:rPr>
        <w:t>Código de Procedimiento Penal común del 2000, publicado en el Registro Oficial Suplemento 360 de 13 de enero de 2000.</w:t>
      </w:r>
    </w:p>
  </w:footnote>
  <w:footnote w:id="19">
    <w:p w14:paraId="55CD282A" w14:textId="62649B15" w:rsidR="00795660" w:rsidRPr="00332DCF" w:rsidRDefault="00795660" w:rsidP="00332DCF">
      <w:pPr>
        <w:pStyle w:val="xmsolistparagraph"/>
        <w:shd w:val="clear" w:color="auto" w:fill="FFFFFF"/>
        <w:spacing w:before="0" w:beforeAutospacing="0" w:after="0" w:afterAutospacing="0"/>
        <w:jc w:val="both"/>
        <w:rPr>
          <w:rFonts w:ascii="Verdana" w:hAnsi="Verdana"/>
          <w:b/>
          <w:color w:val="212121"/>
          <w:sz w:val="16"/>
          <w:szCs w:val="16"/>
        </w:rPr>
      </w:pPr>
      <w:r w:rsidRPr="00D14092">
        <w:rPr>
          <w:rStyle w:val="Refdenotaalpie"/>
          <w:rFonts w:ascii="Verdana" w:hAnsi="Verdana"/>
          <w:sz w:val="16"/>
          <w:szCs w:val="16"/>
        </w:rPr>
        <w:footnoteRef/>
      </w:r>
      <w:r w:rsidRPr="00D14092">
        <w:rPr>
          <w:rFonts w:ascii="Verdana" w:hAnsi="Verdana"/>
          <w:sz w:val="16"/>
          <w:szCs w:val="16"/>
        </w:rPr>
        <w:t xml:space="preserve"> </w:t>
      </w:r>
      <w:r w:rsidRPr="00D14092">
        <w:rPr>
          <w:rFonts w:ascii="Verdana" w:hAnsi="Verdana"/>
          <w:color w:val="212121"/>
          <w:sz w:val="16"/>
          <w:szCs w:val="16"/>
        </w:rPr>
        <w:tab/>
      </w:r>
      <w:r w:rsidRPr="00B33ECE">
        <w:rPr>
          <w:rFonts w:ascii="Verdana" w:hAnsi="Verdana"/>
          <w:sz w:val="16"/>
          <w:szCs w:val="16"/>
        </w:rPr>
        <w:t xml:space="preserve">El representante se refirió </w:t>
      </w:r>
      <w:r w:rsidRPr="00696C2A">
        <w:rPr>
          <w:rFonts w:ascii="Verdana" w:hAnsi="Verdana"/>
          <w:sz w:val="16"/>
          <w:szCs w:val="16"/>
          <w:lang w:val="es-MX"/>
        </w:rPr>
        <w:t xml:space="preserve">a si </w:t>
      </w:r>
      <w:r w:rsidRPr="00B33ECE">
        <w:rPr>
          <w:rFonts w:ascii="Verdana" w:hAnsi="Verdana"/>
          <w:sz w:val="16"/>
          <w:szCs w:val="16"/>
        </w:rPr>
        <w:t xml:space="preserve">las presuntas víctimas durante el proceso penal policial tramitado en los años 2003, 2004 y 2005, recibieron algún tipo de remuneración o salario total o parcial y si con motivo de su sentencia absolutoria se </w:t>
      </w:r>
      <w:r w:rsidRPr="00EF4BDB">
        <w:rPr>
          <w:rFonts w:ascii="Verdana" w:hAnsi="Verdana"/>
          <w:sz w:val="16"/>
          <w:szCs w:val="16"/>
        </w:rPr>
        <w:t>le pagaron salarios dejados de percibir proporcionales y demás prestaciones. Asimismo, presentó de acuerdo al requerimiento de la Corte, entre otros, los siguientes documentos</w:t>
      </w:r>
      <w:r w:rsidRPr="00EF4BDB">
        <w:rPr>
          <w:rFonts w:ascii="Verdana" w:hAnsi="Verdana"/>
          <w:color w:val="212121"/>
          <w:sz w:val="16"/>
          <w:szCs w:val="16"/>
        </w:rPr>
        <w:t>:</w:t>
      </w:r>
      <w:r w:rsidRPr="00EF4BDB">
        <w:rPr>
          <w:rFonts w:ascii="Verdana" w:hAnsi="Verdana"/>
          <w:sz w:val="16"/>
          <w:szCs w:val="16"/>
        </w:rPr>
        <w:t xml:space="preserve"> a) Demanda de indemnización por daños, perjuicios y daños morales</w:t>
      </w:r>
      <w:r w:rsidRPr="00EF4BDB" w:rsidDel="00CD5811">
        <w:rPr>
          <w:rFonts w:ascii="Verdana" w:hAnsi="Verdana"/>
          <w:sz w:val="16"/>
          <w:szCs w:val="16"/>
        </w:rPr>
        <w:t xml:space="preserve"> </w:t>
      </w:r>
      <w:r w:rsidRPr="00EF4BDB">
        <w:rPr>
          <w:rFonts w:ascii="Verdana" w:hAnsi="Verdana"/>
          <w:sz w:val="16"/>
          <w:szCs w:val="16"/>
        </w:rPr>
        <w:t>ante la Corte de Justicia de la Policía Nacional</w:t>
      </w:r>
      <w:r w:rsidRPr="00EF4BDB" w:rsidDel="00CD5811">
        <w:rPr>
          <w:rFonts w:ascii="Verdana" w:hAnsi="Verdana"/>
          <w:sz w:val="16"/>
          <w:szCs w:val="16"/>
        </w:rPr>
        <w:t xml:space="preserve"> </w:t>
      </w:r>
      <w:r w:rsidRPr="00EF4BDB">
        <w:rPr>
          <w:rFonts w:ascii="Verdana" w:hAnsi="Verdana"/>
          <w:sz w:val="16"/>
          <w:szCs w:val="16"/>
        </w:rPr>
        <w:t xml:space="preserve">presentada el 24 de marzo de 2005; b) “Reclamación administrativa” contra el Estado en la persona del Presidente Constitucional y su representante judicial, el Procurador General del Estado, sin fecha; c) Oficio de la Presidencia de la República de 12 de octubre de 2006; d) Resolución de la Presidencia Subrogante de la Corte Suprema de Justicia de 8 de febrero de 2007; e) Resolución de la Presidencia de la Corte Suprema de Justicia de 10 de abril de 2007; f) Demanda de indemnización por daños y perjuicios y daño moral contra el Estado Ecuatoriano en la persona del Procurador del Estado y la Institución Policial en la persona del Comandante General de la Policía, presentado 21 de julio de 2008; g) Providencia del </w:t>
      </w:r>
      <w:r w:rsidRPr="00EF4BDB">
        <w:rPr>
          <w:rFonts w:ascii="Verdana" w:hAnsi="Verdana" w:cstheme="minorBidi"/>
          <w:sz w:val="16"/>
          <w:szCs w:val="16"/>
        </w:rPr>
        <w:t>Juzgado Vigésimo de lo Civil de Pichincha, Quito, de 25 de septiembre de 2008; h)</w:t>
      </w:r>
      <w:r w:rsidRPr="00EF4BDB">
        <w:rPr>
          <w:rFonts w:ascii="Verdana" w:hAnsi="Verdana"/>
          <w:sz w:val="16"/>
          <w:szCs w:val="16"/>
        </w:rPr>
        <w:t xml:space="preserve"> Providencia del </w:t>
      </w:r>
      <w:r w:rsidRPr="00EF4BDB">
        <w:rPr>
          <w:rFonts w:ascii="Verdana" w:hAnsi="Verdana" w:cstheme="minorBidi"/>
          <w:sz w:val="16"/>
          <w:szCs w:val="16"/>
        </w:rPr>
        <w:t xml:space="preserve">Juzgado Vigésimo de lo Civil de Pichincha, Quito de 29 de septiembre de 2008; i) </w:t>
      </w:r>
      <w:r w:rsidRPr="00EF4BDB">
        <w:rPr>
          <w:rFonts w:ascii="Verdana" w:hAnsi="Verdana"/>
          <w:sz w:val="16"/>
          <w:szCs w:val="16"/>
        </w:rPr>
        <w:t xml:space="preserve">Providencia del Tribunal </w:t>
      </w:r>
      <w:r w:rsidRPr="00EF4BDB">
        <w:rPr>
          <w:rFonts w:ascii="Verdana" w:hAnsi="Verdana" w:cstheme="minorBidi"/>
          <w:sz w:val="16"/>
          <w:szCs w:val="16"/>
        </w:rPr>
        <w:t xml:space="preserve">el Tribunal Distrital de lo Contencioso Administrativo con sede en el Distrito Metropolitano de Quito, Provincia de Pichincha, Quito de 8 de noviembre de 2018; j)  </w:t>
      </w:r>
      <w:r w:rsidRPr="00EF4BDB">
        <w:rPr>
          <w:rFonts w:ascii="Verdana" w:hAnsi="Verdana"/>
          <w:sz w:val="16"/>
          <w:szCs w:val="16"/>
        </w:rPr>
        <w:t xml:space="preserve">Recurso de Amparo presentado por Mario Romel Cevallos Moreno ante la Corte Nacional de Justicia, sin fecha, y k) </w:t>
      </w:r>
      <w:r w:rsidRPr="00EF4BDB">
        <w:rPr>
          <w:rFonts w:ascii="Verdana" w:hAnsi="Verdana" w:cstheme="minorBidi"/>
          <w:sz w:val="16"/>
          <w:szCs w:val="16"/>
        </w:rPr>
        <w:t xml:space="preserve"> </w:t>
      </w:r>
      <w:r w:rsidRPr="00EF4BDB">
        <w:rPr>
          <w:rFonts w:ascii="Verdana" w:hAnsi="Verdana"/>
          <w:sz w:val="16"/>
          <w:szCs w:val="16"/>
        </w:rPr>
        <w:t>Escrito sobre la solicitud de aclaración y ampliación del recurso del proceso del Ministro Fiscal del 27 de noviembre de 2003.</w:t>
      </w:r>
      <w:r w:rsidRPr="008C31F6">
        <w:rPr>
          <w:rFonts w:ascii="Verdana" w:hAnsi="Verdana"/>
          <w:b/>
          <w:sz w:val="16"/>
          <w:szCs w:val="16"/>
        </w:rPr>
        <w:t xml:space="preserve"> </w:t>
      </w:r>
    </w:p>
  </w:footnote>
  <w:footnote w:id="20">
    <w:p w14:paraId="78A1F8E2" w14:textId="0BB8EA6C" w:rsidR="00795660" w:rsidRPr="0017012D" w:rsidRDefault="00795660" w:rsidP="00332DCF">
      <w:pPr>
        <w:pStyle w:val="Prrafodelista"/>
        <w:spacing w:before="0" w:after="160" w:line="259" w:lineRule="auto"/>
        <w:ind w:left="0"/>
        <w:rPr>
          <w:sz w:val="16"/>
          <w:szCs w:val="16"/>
        </w:rPr>
      </w:pPr>
      <w:r w:rsidRPr="00332DCF">
        <w:rPr>
          <w:rStyle w:val="Refdenotaalpie"/>
          <w:sz w:val="16"/>
          <w:szCs w:val="16"/>
        </w:rPr>
        <w:footnoteRef/>
      </w:r>
      <w:r w:rsidRPr="00332DCF">
        <w:rPr>
          <w:sz w:val="16"/>
          <w:szCs w:val="16"/>
        </w:rPr>
        <w:t xml:space="preserve">  </w:t>
      </w:r>
      <w:r>
        <w:rPr>
          <w:sz w:val="16"/>
          <w:szCs w:val="16"/>
        </w:rPr>
        <w:tab/>
        <w:t xml:space="preserve">A saber: 1) </w:t>
      </w:r>
      <w:r w:rsidRPr="00332DCF">
        <w:rPr>
          <w:sz w:val="16"/>
          <w:szCs w:val="16"/>
        </w:rPr>
        <w:t>Nueve Oficios de Corte Suprema de Justicia, Presidencia Subrogante dentro del Juicio Verbal Sumario (daños y perjuicios) de 5, 7 y 8 de febrero de 2007; de 10, 19 y 22 de abril de 2007; de 29 de junio de 2007, de 24 de julio de 2007 y de 16 de noviembre de 2007; 2) Siete escritos de  Jorge Villarroel Merino dentro del Juicio Verbal Sumario (daños y perjuicios) presentado</w:t>
      </w:r>
      <w:r>
        <w:rPr>
          <w:sz w:val="16"/>
          <w:szCs w:val="16"/>
        </w:rPr>
        <w:t xml:space="preserve">s el 5 de abril, 18 de mayo; </w:t>
      </w:r>
      <w:r w:rsidRPr="00332DCF">
        <w:rPr>
          <w:sz w:val="16"/>
          <w:szCs w:val="16"/>
        </w:rPr>
        <w:t>22</w:t>
      </w:r>
      <w:r>
        <w:rPr>
          <w:sz w:val="16"/>
          <w:szCs w:val="16"/>
        </w:rPr>
        <w:t xml:space="preserve"> de junio; </w:t>
      </w:r>
      <w:r w:rsidRPr="0017012D">
        <w:rPr>
          <w:sz w:val="16"/>
          <w:szCs w:val="16"/>
        </w:rPr>
        <w:t xml:space="preserve">20 de julio </w:t>
      </w:r>
      <w:r>
        <w:rPr>
          <w:sz w:val="16"/>
          <w:szCs w:val="16"/>
        </w:rPr>
        <w:t xml:space="preserve">y </w:t>
      </w:r>
      <w:r w:rsidRPr="0017012D">
        <w:rPr>
          <w:sz w:val="16"/>
          <w:szCs w:val="16"/>
        </w:rPr>
        <w:t>25 de octu</w:t>
      </w:r>
      <w:r>
        <w:rPr>
          <w:sz w:val="16"/>
          <w:szCs w:val="16"/>
        </w:rPr>
        <w:t>bre de 2007,</w:t>
      </w:r>
      <w:r w:rsidRPr="0017012D">
        <w:rPr>
          <w:sz w:val="16"/>
          <w:szCs w:val="16"/>
        </w:rPr>
        <w:t xml:space="preserve"> y dos de ellos sin fecha; 3) Recurso de amparo interpuesto por Jorge Villarroel Merino; Jorge Coloma Gaibor, Fernando López Ortiz; Patricio Vinueza Pánchez presentado el 2 de julio de 2003; 4) Oficio de excusa dirigida al señor Presidente Subrogante presentado el 2 de julio de 2003; 5) </w:t>
      </w:r>
      <w:r>
        <w:rPr>
          <w:sz w:val="16"/>
          <w:szCs w:val="16"/>
        </w:rPr>
        <w:t xml:space="preserve">Dos  </w:t>
      </w:r>
      <w:r w:rsidRPr="0017012D">
        <w:rPr>
          <w:sz w:val="16"/>
          <w:szCs w:val="16"/>
        </w:rPr>
        <w:t>Providencia</w:t>
      </w:r>
      <w:r>
        <w:rPr>
          <w:sz w:val="16"/>
          <w:szCs w:val="16"/>
        </w:rPr>
        <w:t>s</w:t>
      </w:r>
      <w:r w:rsidRPr="0017012D">
        <w:rPr>
          <w:sz w:val="16"/>
          <w:szCs w:val="16"/>
        </w:rPr>
        <w:t xml:space="preserve"> </w:t>
      </w:r>
      <w:r>
        <w:rPr>
          <w:sz w:val="16"/>
          <w:szCs w:val="16"/>
        </w:rPr>
        <w:t xml:space="preserve">de la </w:t>
      </w:r>
      <w:r w:rsidRPr="0017012D">
        <w:rPr>
          <w:sz w:val="16"/>
          <w:szCs w:val="16"/>
        </w:rPr>
        <w:t xml:space="preserve">Corte Nacional de Justicia Policial de 3 </w:t>
      </w:r>
      <w:r>
        <w:rPr>
          <w:sz w:val="16"/>
          <w:szCs w:val="16"/>
        </w:rPr>
        <w:t xml:space="preserve">y </w:t>
      </w:r>
      <w:r w:rsidRPr="0017012D">
        <w:rPr>
          <w:sz w:val="16"/>
          <w:szCs w:val="16"/>
        </w:rPr>
        <w:t>9 de julio de 2003</w:t>
      </w:r>
      <w:r>
        <w:rPr>
          <w:sz w:val="16"/>
          <w:szCs w:val="16"/>
        </w:rPr>
        <w:t>; 6</w:t>
      </w:r>
      <w:r w:rsidRPr="0017012D">
        <w:rPr>
          <w:sz w:val="16"/>
          <w:szCs w:val="16"/>
        </w:rPr>
        <w:t>) Recurso de revocatoria de la Providencia de 3 de julio de 2003 int</w:t>
      </w:r>
      <w:r>
        <w:rPr>
          <w:sz w:val="16"/>
          <w:szCs w:val="16"/>
        </w:rPr>
        <w:t>erpuesto por la defensa de los señores Villarroel,</w:t>
      </w:r>
      <w:r w:rsidRPr="0017012D">
        <w:rPr>
          <w:sz w:val="16"/>
          <w:szCs w:val="16"/>
        </w:rPr>
        <w:t xml:space="preserve"> Coloma</w:t>
      </w:r>
      <w:r>
        <w:rPr>
          <w:sz w:val="16"/>
          <w:szCs w:val="16"/>
        </w:rPr>
        <w:t>, López y</w:t>
      </w:r>
      <w:r w:rsidRPr="0017012D">
        <w:rPr>
          <w:sz w:val="16"/>
          <w:szCs w:val="16"/>
        </w:rPr>
        <w:t xml:space="preserve"> Vinueza presentado el 7 de j</w:t>
      </w:r>
      <w:r>
        <w:rPr>
          <w:sz w:val="16"/>
          <w:szCs w:val="16"/>
        </w:rPr>
        <w:t>ulio de 2003; 7</w:t>
      </w:r>
      <w:r w:rsidRPr="0017012D">
        <w:rPr>
          <w:sz w:val="16"/>
          <w:szCs w:val="16"/>
        </w:rPr>
        <w:t>) Votos Salvados de Fausto Aquiles Vasconez Naranjo y Alejandro Carrión</w:t>
      </w:r>
      <w:r>
        <w:rPr>
          <w:sz w:val="16"/>
          <w:szCs w:val="16"/>
        </w:rPr>
        <w:t xml:space="preserve"> Pérez de 9 de julio de 2003; 8</w:t>
      </w:r>
      <w:r w:rsidRPr="0017012D">
        <w:rPr>
          <w:sz w:val="16"/>
          <w:szCs w:val="16"/>
        </w:rPr>
        <w:t>)  Reclamación administr</w:t>
      </w:r>
      <w:r>
        <w:rPr>
          <w:sz w:val="16"/>
          <w:szCs w:val="16"/>
        </w:rPr>
        <w:t xml:space="preserve">ativa de daños y perjuicios de </w:t>
      </w:r>
      <w:r w:rsidRPr="0017012D">
        <w:rPr>
          <w:sz w:val="16"/>
          <w:szCs w:val="16"/>
        </w:rPr>
        <w:t xml:space="preserve">Jorge Villarroel Merino dirigida al Presidente Constitucional de la República del Ecuador, presentada </w:t>
      </w:r>
      <w:r>
        <w:rPr>
          <w:sz w:val="16"/>
          <w:szCs w:val="16"/>
        </w:rPr>
        <w:t>el 4 de octubre de 2006; 9</w:t>
      </w:r>
      <w:r w:rsidRPr="0017012D">
        <w:rPr>
          <w:sz w:val="16"/>
          <w:szCs w:val="16"/>
        </w:rPr>
        <w:t>) Oficio del Secretario General Jurídico de la Repúbl</w:t>
      </w:r>
      <w:r>
        <w:rPr>
          <w:sz w:val="16"/>
          <w:szCs w:val="16"/>
        </w:rPr>
        <w:t>ica de 12 de octubre de 2006; 10</w:t>
      </w:r>
      <w:r w:rsidRPr="0017012D">
        <w:rPr>
          <w:sz w:val="16"/>
          <w:szCs w:val="16"/>
        </w:rPr>
        <w:t>) escrito de escrito de  Jorge Villarroel Merino dirigido al Presidente Constitucional de la República del Ecuador present</w:t>
      </w:r>
      <w:r>
        <w:rPr>
          <w:sz w:val="16"/>
          <w:szCs w:val="16"/>
        </w:rPr>
        <w:t>ado el 16 de octubre de 2006; 11</w:t>
      </w:r>
      <w:r w:rsidRPr="0017012D">
        <w:rPr>
          <w:sz w:val="16"/>
          <w:szCs w:val="16"/>
        </w:rPr>
        <w:t>) escrito de Jorge Villarroel Merino dirigido al Jefe de Recursos Humanos del Consejo Nacional de la Judicatura, sin fecha.</w:t>
      </w:r>
    </w:p>
    <w:p w14:paraId="449E37CA" w14:textId="64BDE3B9" w:rsidR="00795660" w:rsidRPr="00332DCF" w:rsidRDefault="00795660">
      <w:pPr>
        <w:pStyle w:val="Textonotapie"/>
        <w:rPr>
          <w:lang w:val="es-CR"/>
        </w:rPr>
      </w:pPr>
    </w:p>
  </w:footnote>
  <w:footnote w:id="21">
    <w:p w14:paraId="37CC1F97" w14:textId="570B3AB2" w:rsidR="00795660" w:rsidRPr="00F70CFF" w:rsidRDefault="00795660" w:rsidP="00B33ECE">
      <w:pPr>
        <w:autoSpaceDE w:val="0"/>
        <w:autoSpaceDN w:val="0"/>
        <w:adjustRightInd w:val="0"/>
        <w:spacing w:before="0" w:after="0"/>
        <w:rPr>
          <w:rFonts w:cs="Bookman Old Style"/>
          <w:i/>
          <w:color w:val="00B050"/>
          <w:sz w:val="16"/>
          <w:szCs w:val="16"/>
        </w:rPr>
      </w:pPr>
      <w:r w:rsidRPr="00F70CFF">
        <w:rPr>
          <w:rStyle w:val="Refdenotaalpie"/>
          <w:sz w:val="16"/>
          <w:szCs w:val="16"/>
        </w:rPr>
        <w:footnoteRef/>
      </w:r>
      <w:r w:rsidRPr="00F70CFF">
        <w:rPr>
          <w:sz w:val="16"/>
          <w:szCs w:val="16"/>
        </w:rPr>
        <w:t xml:space="preserve"> </w:t>
      </w:r>
      <w:r w:rsidRPr="00F70CFF">
        <w:rPr>
          <w:sz w:val="16"/>
          <w:szCs w:val="16"/>
        </w:rPr>
        <w:tab/>
      </w:r>
      <w:r w:rsidRPr="00F7182B">
        <w:rPr>
          <w:rFonts w:cs="Bookman Old Style"/>
          <w:sz w:val="16"/>
          <w:szCs w:val="16"/>
        </w:rPr>
        <w:t>Constitución Política de la República del Ecuador</w:t>
      </w:r>
      <w:r>
        <w:rPr>
          <w:rFonts w:cs="Bookman Old Style"/>
          <w:sz w:val="16"/>
          <w:szCs w:val="16"/>
        </w:rPr>
        <w:t xml:space="preserve"> de 1998</w:t>
      </w:r>
      <w:r w:rsidRPr="00C545B9">
        <w:rPr>
          <w:rFonts w:cs="Bookman Old Style"/>
          <w:sz w:val="16"/>
          <w:szCs w:val="16"/>
        </w:rPr>
        <w:t>,</w:t>
      </w:r>
      <w:r w:rsidRPr="00F7182B">
        <w:rPr>
          <w:rFonts w:cs="Bookman Old Style"/>
          <w:sz w:val="16"/>
          <w:szCs w:val="16"/>
        </w:rPr>
        <w:t xml:space="preserve"> Registro Oficial 1 de 11 de agosto de 1998, artículo</w:t>
      </w:r>
      <w:r>
        <w:rPr>
          <w:rFonts w:cs="Bookman Old Style"/>
          <w:sz w:val="16"/>
          <w:szCs w:val="16"/>
        </w:rPr>
        <w:t>s</w:t>
      </w:r>
      <w:r w:rsidRPr="00F7182B">
        <w:rPr>
          <w:rFonts w:cs="Bookman Old Style"/>
          <w:sz w:val="16"/>
          <w:szCs w:val="16"/>
        </w:rPr>
        <w:t xml:space="preserve"> 183</w:t>
      </w:r>
      <w:r>
        <w:rPr>
          <w:rFonts w:cs="Bookman Old Style"/>
          <w:sz w:val="16"/>
          <w:szCs w:val="16"/>
        </w:rPr>
        <w:t xml:space="preserve"> y 187</w:t>
      </w:r>
      <w:r w:rsidRPr="00010192">
        <w:rPr>
          <w:sz w:val="16"/>
          <w:szCs w:val="16"/>
        </w:rPr>
        <w:t xml:space="preserve"> </w:t>
      </w:r>
      <w:r w:rsidRPr="00D13488">
        <w:rPr>
          <w:sz w:val="16"/>
          <w:szCs w:val="16"/>
        </w:rPr>
        <w:t>(ex</w:t>
      </w:r>
      <w:r>
        <w:rPr>
          <w:sz w:val="16"/>
          <w:szCs w:val="16"/>
        </w:rPr>
        <w:t>pediente de prueba, fs. 4102 a 4174</w:t>
      </w:r>
      <w:r w:rsidRPr="00D13488">
        <w:rPr>
          <w:sz w:val="16"/>
          <w:szCs w:val="16"/>
        </w:rPr>
        <w:t>)</w:t>
      </w:r>
      <w:r>
        <w:rPr>
          <w:sz w:val="16"/>
          <w:szCs w:val="16"/>
        </w:rPr>
        <w:t>.</w:t>
      </w:r>
      <w:r w:rsidRPr="00F7182B">
        <w:rPr>
          <w:rFonts w:cs="Bookman Old Style"/>
          <w:sz w:val="16"/>
          <w:szCs w:val="16"/>
        </w:rPr>
        <w:t xml:space="preserve"> </w:t>
      </w:r>
      <w:r w:rsidRPr="00F70CFF">
        <w:rPr>
          <w:rFonts w:cs="Bookman Old Style"/>
          <w:i/>
          <w:sz w:val="16"/>
          <w:szCs w:val="16"/>
        </w:rPr>
        <w:t xml:space="preserve"> </w:t>
      </w:r>
    </w:p>
  </w:footnote>
  <w:footnote w:id="22">
    <w:p w14:paraId="736EF7AB" w14:textId="0974DD5E" w:rsidR="00795660" w:rsidRPr="00D13488" w:rsidRDefault="00795660" w:rsidP="00A57075">
      <w:pPr>
        <w:pStyle w:val="Textonotapie"/>
        <w:spacing w:before="0" w:after="0"/>
      </w:pPr>
      <w:r>
        <w:rPr>
          <w:rStyle w:val="Refdenotaalpie"/>
        </w:rPr>
        <w:footnoteRef/>
      </w:r>
      <w:r>
        <w:t xml:space="preserve"> </w:t>
      </w:r>
      <w:r>
        <w:tab/>
      </w:r>
      <w:r w:rsidRPr="00F7182B">
        <w:rPr>
          <w:rFonts w:cs="Bookman Old Style"/>
          <w:szCs w:val="16"/>
        </w:rPr>
        <w:t>Constitución Política de la República del Ecuador</w:t>
      </w:r>
      <w:r>
        <w:rPr>
          <w:rFonts w:cs="Bookman Old Style"/>
          <w:szCs w:val="16"/>
        </w:rPr>
        <w:t xml:space="preserve"> de 1998, artículo 24, inciso 8,</w:t>
      </w:r>
      <w:r w:rsidRPr="00C8310D">
        <w:rPr>
          <w:rFonts w:cs="Bookman Old Style"/>
          <w:i/>
          <w:szCs w:val="16"/>
        </w:rPr>
        <w:t xml:space="preserve"> supra</w:t>
      </w:r>
      <w:r>
        <w:rPr>
          <w:rFonts w:cs="Bookman Old Style"/>
          <w:szCs w:val="16"/>
        </w:rPr>
        <w:t xml:space="preserve">. </w:t>
      </w:r>
      <w:r w:rsidRPr="00F7182B">
        <w:rPr>
          <w:rFonts w:cs="Bookman Old Style"/>
          <w:szCs w:val="16"/>
        </w:rPr>
        <w:t xml:space="preserve"> </w:t>
      </w:r>
    </w:p>
  </w:footnote>
  <w:footnote w:id="23">
    <w:p w14:paraId="36228C35" w14:textId="4CB5411E" w:rsidR="00795660" w:rsidRPr="004F37C7" w:rsidRDefault="00795660" w:rsidP="00F70CFF">
      <w:pPr>
        <w:pStyle w:val="Textonotapie"/>
        <w:spacing w:before="0" w:after="0"/>
        <w:rPr>
          <w:szCs w:val="16"/>
        </w:rPr>
      </w:pPr>
      <w:r w:rsidRPr="00BE66D7">
        <w:rPr>
          <w:rStyle w:val="Refdenotaalpie"/>
          <w:szCs w:val="16"/>
        </w:rPr>
        <w:footnoteRef/>
      </w:r>
      <w:r w:rsidRPr="00F70CFF">
        <w:rPr>
          <w:i/>
          <w:szCs w:val="16"/>
        </w:rPr>
        <w:t xml:space="preserve"> </w:t>
      </w:r>
      <w:r w:rsidRPr="00F70CFF">
        <w:rPr>
          <w:i/>
          <w:szCs w:val="16"/>
        </w:rPr>
        <w:tab/>
      </w:r>
      <w:r w:rsidRPr="00D43695">
        <w:rPr>
          <w:szCs w:val="16"/>
        </w:rPr>
        <w:t>Código Penal de la Policía Civil Nacional,</w:t>
      </w:r>
      <w:r>
        <w:rPr>
          <w:szCs w:val="16"/>
        </w:rPr>
        <w:t xml:space="preserve"> publicado en el Suplemento Oficial No. 1202 de 20 de agosto de 1960, </w:t>
      </w:r>
      <w:r w:rsidRPr="00D43695">
        <w:rPr>
          <w:szCs w:val="16"/>
        </w:rPr>
        <w:t>artículo 4 (expediente de prueba, fs. 3117 a 3191).</w:t>
      </w:r>
      <w:r w:rsidRPr="004F37C7">
        <w:rPr>
          <w:szCs w:val="16"/>
        </w:rPr>
        <w:t xml:space="preserve"> </w:t>
      </w:r>
    </w:p>
  </w:footnote>
  <w:footnote w:id="24">
    <w:p w14:paraId="32B47DB0" w14:textId="1838E6EB" w:rsidR="00795660" w:rsidRPr="00F70CFF" w:rsidRDefault="00795660" w:rsidP="00447BBA">
      <w:pPr>
        <w:autoSpaceDE w:val="0"/>
        <w:autoSpaceDN w:val="0"/>
        <w:adjustRightInd w:val="0"/>
        <w:spacing w:before="0" w:after="0"/>
        <w:rPr>
          <w:rFonts w:cs="Bookman Old Style"/>
          <w:i/>
          <w:sz w:val="16"/>
          <w:szCs w:val="16"/>
        </w:rPr>
      </w:pPr>
      <w:r w:rsidRPr="004F37C7">
        <w:rPr>
          <w:rStyle w:val="Refdenotaalpie"/>
          <w:sz w:val="16"/>
          <w:szCs w:val="16"/>
        </w:rPr>
        <w:footnoteRef/>
      </w:r>
      <w:r w:rsidRPr="004F37C7">
        <w:rPr>
          <w:i/>
          <w:sz w:val="16"/>
          <w:szCs w:val="16"/>
        </w:rPr>
        <w:tab/>
      </w:r>
      <w:r w:rsidRPr="00D43695">
        <w:rPr>
          <w:sz w:val="16"/>
          <w:szCs w:val="16"/>
        </w:rPr>
        <w:t xml:space="preserve">Código de Procedimiento Penal de la Policía Civil Nacional, </w:t>
      </w:r>
      <w:r>
        <w:rPr>
          <w:sz w:val="16"/>
          <w:szCs w:val="16"/>
        </w:rPr>
        <w:t>publicado en el Suplemento del Registro Oficial No. 1202 de 20 de agosto de 1960,</w:t>
      </w:r>
      <w:r w:rsidRPr="00D43695">
        <w:rPr>
          <w:szCs w:val="16"/>
        </w:rPr>
        <w:t xml:space="preserve"> </w:t>
      </w:r>
      <w:r w:rsidRPr="00D43695">
        <w:rPr>
          <w:sz w:val="16"/>
          <w:szCs w:val="16"/>
        </w:rPr>
        <w:t>artículos 4, 5 y 7</w:t>
      </w:r>
      <w:r w:rsidRPr="00D43695">
        <w:rPr>
          <w:i/>
          <w:sz w:val="16"/>
          <w:szCs w:val="16"/>
        </w:rPr>
        <w:t xml:space="preserve"> </w:t>
      </w:r>
      <w:r w:rsidRPr="00D43695">
        <w:rPr>
          <w:sz w:val="16"/>
          <w:szCs w:val="16"/>
        </w:rPr>
        <w:t>(expediente de prueba, fs. 3192 a 3233).</w:t>
      </w:r>
    </w:p>
  </w:footnote>
  <w:footnote w:id="25">
    <w:p w14:paraId="465B2C26" w14:textId="1D32F8EB" w:rsidR="00795660" w:rsidRPr="00C619C9" w:rsidRDefault="00795660" w:rsidP="007A56A1">
      <w:pPr>
        <w:pStyle w:val="Textonotapie"/>
        <w:spacing w:before="0" w:after="0"/>
        <w:rPr>
          <w:lang w:val="es-ES"/>
        </w:rPr>
      </w:pPr>
      <w:r>
        <w:rPr>
          <w:rStyle w:val="Refdenotaalpie"/>
        </w:rPr>
        <w:footnoteRef/>
      </w:r>
      <w:r>
        <w:t xml:space="preserve"> </w:t>
      </w:r>
      <w:r>
        <w:tab/>
        <w:t xml:space="preserve">Código de Procedimiento Penal de la Policía Civil Nacional, artículo 91, </w:t>
      </w:r>
      <w:r w:rsidRPr="00447BBA">
        <w:rPr>
          <w:i/>
        </w:rPr>
        <w:t>supra</w:t>
      </w:r>
      <w:r>
        <w:t>.</w:t>
      </w:r>
    </w:p>
  </w:footnote>
  <w:footnote w:id="26">
    <w:p w14:paraId="14634268" w14:textId="47841102" w:rsidR="00795660" w:rsidRPr="00C619C9" w:rsidRDefault="00795660" w:rsidP="001642B9">
      <w:pPr>
        <w:pStyle w:val="Textonotapie"/>
        <w:spacing w:before="0" w:after="0"/>
        <w:rPr>
          <w:lang w:val="es-ES"/>
        </w:rPr>
      </w:pPr>
      <w:r>
        <w:rPr>
          <w:rStyle w:val="Refdenotaalpie"/>
        </w:rPr>
        <w:footnoteRef/>
      </w:r>
      <w:r>
        <w:t xml:space="preserve"> </w:t>
      </w:r>
      <w:r>
        <w:rPr>
          <w:lang w:val="es-ES"/>
        </w:rPr>
        <w:tab/>
      </w:r>
      <w:r>
        <w:t xml:space="preserve">Código de Procedimiento Penal de la Policía Civil Nacional, artículo 167, </w:t>
      </w:r>
      <w:r w:rsidRPr="00447BBA">
        <w:rPr>
          <w:i/>
        </w:rPr>
        <w:t>supra</w:t>
      </w:r>
      <w:r>
        <w:t xml:space="preserve">. </w:t>
      </w:r>
    </w:p>
  </w:footnote>
  <w:footnote w:id="27">
    <w:p w14:paraId="6496B1F5" w14:textId="6B1E8DEE" w:rsidR="00795660" w:rsidRPr="00C619C9" w:rsidRDefault="00795660" w:rsidP="001642B9">
      <w:pPr>
        <w:pStyle w:val="Textonotapie"/>
        <w:spacing w:before="0" w:after="0"/>
        <w:rPr>
          <w:lang w:val="es-ES"/>
        </w:rPr>
      </w:pPr>
      <w:r>
        <w:rPr>
          <w:rStyle w:val="Refdenotaalpie"/>
        </w:rPr>
        <w:footnoteRef/>
      </w:r>
      <w:r>
        <w:t xml:space="preserve"> </w:t>
      </w:r>
      <w:r>
        <w:rPr>
          <w:lang w:val="es-ES"/>
        </w:rPr>
        <w:tab/>
      </w:r>
      <w:r>
        <w:t xml:space="preserve">Código Penal de la Policía Civil Nacional, artículos 197, 198 y 222 incisos 3, 4 y 10, </w:t>
      </w:r>
      <w:r w:rsidRPr="00447BBA">
        <w:rPr>
          <w:i/>
        </w:rPr>
        <w:t>supra</w:t>
      </w:r>
      <w:r>
        <w:t xml:space="preserve">. </w:t>
      </w:r>
    </w:p>
  </w:footnote>
  <w:footnote w:id="28">
    <w:p w14:paraId="14F38943" w14:textId="4AA335F6" w:rsidR="00795660" w:rsidRPr="005D44D0" w:rsidRDefault="00795660" w:rsidP="0095781D">
      <w:pPr>
        <w:pStyle w:val="Textonotapie"/>
        <w:spacing w:before="0" w:after="0"/>
        <w:rPr>
          <w:lang w:val="es-ES"/>
        </w:rPr>
      </w:pPr>
      <w:r>
        <w:rPr>
          <w:rStyle w:val="Refdenotaalpie"/>
        </w:rPr>
        <w:footnoteRef/>
      </w:r>
      <w:r>
        <w:t xml:space="preserve"> </w:t>
      </w:r>
      <w:r>
        <w:rPr>
          <w:lang w:val="es-ES"/>
        </w:rPr>
        <w:tab/>
      </w:r>
      <w:r w:rsidRPr="00265B64">
        <w:rPr>
          <w:lang w:val="es-ES"/>
        </w:rPr>
        <w:t>Ley Reformatoria al Código de Procedimiento Penal, Ley 2003-101,</w:t>
      </w:r>
      <w:r>
        <w:rPr>
          <w:lang w:val="es-ES"/>
        </w:rPr>
        <w:t xml:space="preserve"> artículo </w:t>
      </w:r>
      <w:r w:rsidRPr="00D43695">
        <w:rPr>
          <w:lang w:val="es-ES"/>
        </w:rPr>
        <w:t>10</w:t>
      </w:r>
      <w:r>
        <w:rPr>
          <w:lang w:val="es-ES"/>
        </w:rPr>
        <w:t xml:space="preserve"> que reformó el artículo 160 del CPP </w:t>
      </w:r>
      <w:hyperlink r:id="rId3" w:anchor="anchor480794" w:history="1">
        <w:r w:rsidRPr="006920D5">
          <w:rPr>
            <w:rStyle w:val="Hipervnculo"/>
            <w:szCs w:val="16"/>
            <w:lang w:val="es-CR"/>
          </w:rPr>
          <w:t>https://www.derechoecuador.com/registro-oficial/2003/01/registro-oficial-13-de-enero-del-2003#anchor480794</w:t>
        </w:r>
      </w:hyperlink>
      <w:r w:rsidRPr="006920D5">
        <w:rPr>
          <w:lang w:val="es-CR"/>
        </w:rPr>
        <w:t xml:space="preserve"> Consultado el 23 de septiembre de 2021. </w:t>
      </w:r>
    </w:p>
  </w:footnote>
  <w:footnote w:id="29">
    <w:p w14:paraId="7D6488DC" w14:textId="0CCC849C" w:rsidR="00795660" w:rsidRPr="006920D5" w:rsidRDefault="00795660" w:rsidP="004C68EE">
      <w:pPr>
        <w:pStyle w:val="Textonotapie"/>
        <w:spacing w:before="0" w:after="0"/>
        <w:rPr>
          <w:color w:val="FF0000"/>
          <w:szCs w:val="16"/>
          <w:lang w:val="es-CR"/>
        </w:rPr>
      </w:pPr>
      <w:r w:rsidRPr="005D44D0">
        <w:rPr>
          <w:rStyle w:val="Refdenotaalpie"/>
          <w:szCs w:val="16"/>
        </w:rPr>
        <w:footnoteRef/>
      </w:r>
      <w:r w:rsidRPr="006920D5">
        <w:rPr>
          <w:szCs w:val="16"/>
          <w:lang w:val="es-CR"/>
        </w:rPr>
        <w:t xml:space="preserve"> </w:t>
      </w:r>
      <w:r w:rsidRPr="006920D5">
        <w:rPr>
          <w:szCs w:val="16"/>
          <w:lang w:val="es-CR"/>
        </w:rPr>
        <w:tab/>
      </w:r>
      <w:r w:rsidRPr="00447BBA">
        <w:rPr>
          <w:szCs w:val="16"/>
          <w:lang w:val="es-CR"/>
        </w:rPr>
        <w:t>Ley Reformatoria al Código de Procedimiento Penal, Ley</w:t>
      </w:r>
      <w:r w:rsidRPr="006920D5">
        <w:rPr>
          <w:szCs w:val="16"/>
          <w:lang w:val="es-CR"/>
        </w:rPr>
        <w:t xml:space="preserve"> 2003-101, artículo 16, que agregó el artículo 173 – A, </w:t>
      </w:r>
      <w:r w:rsidRPr="006920D5">
        <w:rPr>
          <w:i/>
          <w:szCs w:val="16"/>
          <w:lang w:val="es-CR"/>
        </w:rPr>
        <w:t>supra</w:t>
      </w:r>
      <w:r w:rsidRPr="006920D5">
        <w:rPr>
          <w:szCs w:val="16"/>
          <w:lang w:val="es-CR"/>
        </w:rPr>
        <w:t xml:space="preserve">. </w:t>
      </w:r>
    </w:p>
  </w:footnote>
  <w:footnote w:id="30">
    <w:p w14:paraId="671DB85D" w14:textId="0CB39725" w:rsidR="00795660" w:rsidRPr="00447BBA" w:rsidRDefault="00795660" w:rsidP="00447BBA">
      <w:pPr>
        <w:pStyle w:val="Textonotapie"/>
        <w:spacing w:before="0" w:after="0"/>
        <w:rPr>
          <w:lang w:val="es-ES"/>
        </w:rPr>
      </w:pPr>
      <w:r>
        <w:rPr>
          <w:rStyle w:val="Refdenotaalpie"/>
        </w:rPr>
        <w:footnoteRef/>
      </w:r>
      <w:r>
        <w:t xml:space="preserve"> </w:t>
      </w:r>
      <w:r>
        <w:tab/>
      </w:r>
      <w:r w:rsidRPr="006920D5">
        <w:rPr>
          <w:szCs w:val="16"/>
          <w:lang w:val="es-CR"/>
        </w:rPr>
        <w:t xml:space="preserve">Ley Reformatoria al Código de Procedimiento Penal, Ley 2003-101, artículo 16, que agregó el artículo 173 – B al Código de Procedimiento Penal común, </w:t>
      </w:r>
      <w:r w:rsidRPr="006920D5">
        <w:rPr>
          <w:i/>
          <w:szCs w:val="16"/>
          <w:lang w:val="es-CR"/>
        </w:rPr>
        <w:t>supra</w:t>
      </w:r>
      <w:r w:rsidRPr="006920D5">
        <w:rPr>
          <w:szCs w:val="16"/>
          <w:lang w:val="es-CR"/>
        </w:rPr>
        <w:t xml:space="preserve">. </w:t>
      </w:r>
    </w:p>
  </w:footnote>
  <w:footnote w:id="31">
    <w:p w14:paraId="22D750C7" w14:textId="24A97A3E" w:rsidR="00795660" w:rsidRPr="00447BBA" w:rsidRDefault="00795660" w:rsidP="001241D7">
      <w:pPr>
        <w:pStyle w:val="Textonotapie"/>
        <w:spacing w:before="0" w:after="0"/>
        <w:rPr>
          <w:lang w:val="es-ES"/>
        </w:rPr>
      </w:pPr>
      <w:r>
        <w:rPr>
          <w:rStyle w:val="Refdenotaalpie"/>
        </w:rPr>
        <w:footnoteRef/>
      </w:r>
      <w:r>
        <w:t xml:space="preserve"> </w:t>
      </w:r>
      <w:r>
        <w:rPr>
          <w:lang w:val="es-ES"/>
        </w:rPr>
        <w:tab/>
        <w:t xml:space="preserve">Ley Reformatoria a los Códigos de Ejecución de Penas y Rehabilitación Social; y de Procedimiento Penal, Ley 2006-30, </w:t>
      </w:r>
      <w:r w:rsidRPr="00624AF8">
        <w:rPr>
          <w:lang w:val="es-ES"/>
        </w:rPr>
        <w:t xml:space="preserve">artículo </w:t>
      </w:r>
      <w:r w:rsidRPr="00D43695">
        <w:rPr>
          <w:lang w:val="es-ES"/>
        </w:rPr>
        <w:t>9</w:t>
      </w:r>
      <w:r>
        <w:rPr>
          <w:lang w:val="es-ES"/>
        </w:rPr>
        <w:t xml:space="preserve">, </w:t>
      </w:r>
      <w:hyperlink r:id="rId4" w:anchor="anchor881031" w:history="1">
        <w:r w:rsidRPr="006137C1">
          <w:rPr>
            <w:rStyle w:val="Hipervnculo"/>
            <w:lang w:val="es-ES"/>
          </w:rPr>
          <w:t>https://www.derechoecuador.com/registro-oficial/2006/03/registro-oficial-13-de-marzo-del-2006#anchor881031</w:t>
        </w:r>
      </w:hyperlink>
      <w:r>
        <w:rPr>
          <w:lang w:val="es-ES"/>
        </w:rPr>
        <w:t xml:space="preserve"> </w:t>
      </w:r>
      <w:r w:rsidRPr="006920D5">
        <w:rPr>
          <w:lang w:val="es-CR"/>
        </w:rPr>
        <w:t>Consultado el 23 de septiembre de 2021.</w:t>
      </w:r>
    </w:p>
  </w:footnote>
  <w:footnote w:id="32">
    <w:p w14:paraId="508E0DAA" w14:textId="7276A02D" w:rsidR="00795660" w:rsidRPr="00B33ECE" w:rsidRDefault="00795660" w:rsidP="00EC16B9">
      <w:pPr>
        <w:pStyle w:val="Textonotapie"/>
        <w:spacing w:before="0" w:after="0"/>
        <w:rPr>
          <w:szCs w:val="16"/>
        </w:rPr>
      </w:pPr>
      <w:r w:rsidRPr="00E25EB2">
        <w:rPr>
          <w:rStyle w:val="Refdenotaalpie"/>
          <w:szCs w:val="16"/>
        </w:rPr>
        <w:footnoteRef/>
      </w:r>
      <w:r w:rsidRPr="00E25EB2">
        <w:rPr>
          <w:szCs w:val="16"/>
        </w:rPr>
        <w:t xml:space="preserve"> </w:t>
      </w:r>
      <w:r w:rsidRPr="00E25EB2">
        <w:rPr>
          <w:szCs w:val="16"/>
        </w:rPr>
        <w:tab/>
      </w:r>
      <w:r w:rsidRPr="00EF4BDB">
        <w:rPr>
          <w:szCs w:val="16"/>
        </w:rPr>
        <w:t xml:space="preserve">En el Código de Procedimiento Penal del 2000, publicado en el Registro Oficial Suplemento 360 de 13 de enero de 2000 se hace referencia a la Resolución del Tribunal Constitucional No. 0002-2005-TC, publicada en Registro Oficial Suplemento 382 de 23 de Octubre del 2006 en el, Disponible en: </w:t>
      </w:r>
      <w:hyperlink r:id="rId5" w:history="1">
        <w:r w:rsidRPr="00EF4BDB">
          <w:rPr>
            <w:rStyle w:val="Hipervnculo"/>
            <w:szCs w:val="16"/>
          </w:rPr>
          <w:t>http://www.oas.org/juridico/PDFs/mesicic4_ecu_codigo_pp.pdf</w:t>
        </w:r>
      </w:hyperlink>
      <w:r>
        <w:rPr>
          <w:szCs w:val="16"/>
        </w:rPr>
        <w:t xml:space="preserve"> </w:t>
      </w:r>
    </w:p>
  </w:footnote>
  <w:footnote w:id="33">
    <w:p w14:paraId="5692838E" w14:textId="2CB49A96" w:rsidR="00795660" w:rsidRPr="00447BBA" w:rsidRDefault="00795660" w:rsidP="00447BBA">
      <w:pPr>
        <w:pStyle w:val="Textonotapie"/>
        <w:spacing w:before="0" w:after="0"/>
        <w:rPr>
          <w:lang w:val="es-ES"/>
        </w:rPr>
      </w:pPr>
      <w:r>
        <w:rPr>
          <w:rStyle w:val="Refdenotaalpie"/>
        </w:rPr>
        <w:footnoteRef/>
      </w:r>
      <w:r>
        <w:t xml:space="preserve"> </w:t>
      </w:r>
      <w:r>
        <w:rPr>
          <w:lang w:val="es-ES"/>
        </w:rPr>
        <w:tab/>
      </w:r>
      <w:r w:rsidRPr="00447BBA">
        <w:rPr>
          <w:i/>
          <w:lang w:val="es-ES"/>
        </w:rPr>
        <w:t>Cfr</w:t>
      </w:r>
      <w:r>
        <w:rPr>
          <w:lang w:val="es-ES"/>
        </w:rPr>
        <w:t xml:space="preserve">. Declaración de </w:t>
      </w:r>
      <w:r w:rsidRPr="004C68EE">
        <w:rPr>
          <w:lang w:val="es-CR"/>
        </w:rPr>
        <w:t>Jorge Humberto</w:t>
      </w:r>
      <w:r w:rsidRPr="0092295B">
        <w:rPr>
          <w:i/>
          <w:lang w:val="es-CR"/>
        </w:rPr>
        <w:t xml:space="preserve"> </w:t>
      </w:r>
      <w:r>
        <w:rPr>
          <w:lang w:val="es-ES"/>
        </w:rPr>
        <w:t>Villarroel Merino rendida mediante affidávit de 9 de febrero de 2021 (expediente de prueba, fs. 3931 a 3949).</w:t>
      </w:r>
    </w:p>
  </w:footnote>
  <w:footnote w:id="34">
    <w:p w14:paraId="390FBD37" w14:textId="1F12E74A" w:rsidR="00795660" w:rsidRPr="00312CF6" w:rsidRDefault="00795660" w:rsidP="00447BBA">
      <w:pPr>
        <w:pStyle w:val="Textonotapie"/>
        <w:spacing w:before="0" w:after="0"/>
        <w:rPr>
          <w:lang w:val="es-ES"/>
        </w:rPr>
      </w:pPr>
      <w:r>
        <w:rPr>
          <w:rStyle w:val="Refdenotaalpie"/>
        </w:rPr>
        <w:footnoteRef/>
      </w:r>
      <w:r>
        <w:t xml:space="preserve"> </w:t>
      </w:r>
      <w:r>
        <w:rPr>
          <w:lang w:val="es-ES"/>
        </w:rPr>
        <w:tab/>
      </w:r>
      <w:r w:rsidRPr="00312CF6">
        <w:rPr>
          <w:i/>
          <w:lang w:val="es-ES"/>
        </w:rPr>
        <w:t>Cfr</w:t>
      </w:r>
      <w:r>
        <w:rPr>
          <w:lang w:val="es-ES"/>
        </w:rPr>
        <w:t xml:space="preserve">. Hoja de vida de </w:t>
      </w:r>
      <w:r w:rsidRPr="004C68EE">
        <w:rPr>
          <w:lang w:val="es-CR"/>
        </w:rPr>
        <w:t>Mario Romel</w:t>
      </w:r>
      <w:r w:rsidRPr="0092295B">
        <w:rPr>
          <w:i/>
          <w:lang w:val="es-CR"/>
        </w:rPr>
        <w:t xml:space="preserve"> </w:t>
      </w:r>
      <w:r>
        <w:rPr>
          <w:lang w:val="es-ES"/>
        </w:rPr>
        <w:t>Cevallos Moreno, expedida por el Departamento de Afiliación e Información de la Dirección de Servicios Sociales en Ecuador (expediente de prueba, fs. 3884 y 3885).</w:t>
      </w:r>
    </w:p>
  </w:footnote>
  <w:footnote w:id="35">
    <w:p w14:paraId="26649881" w14:textId="109B3A30" w:rsidR="00795660" w:rsidRPr="00447BBA" w:rsidRDefault="00795660" w:rsidP="00447BBA">
      <w:pPr>
        <w:pStyle w:val="Textonotapie"/>
        <w:spacing w:before="0" w:after="0"/>
        <w:rPr>
          <w:lang w:val="es-ES"/>
        </w:rPr>
      </w:pPr>
      <w:r>
        <w:rPr>
          <w:rStyle w:val="Refdenotaalpie"/>
        </w:rPr>
        <w:footnoteRef/>
      </w:r>
      <w:r>
        <w:t xml:space="preserve"> </w:t>
      </w:r>
      <w:r>
        <w:tab/>
      </w:r>
      <w:r w:rsidRPr="00E905E7">
        <w:rPr>
          <w:i/>
          <w:lang w:val="es-ES"/>
        </w:rPr>
        <w:t>Cfr</w:t>
      </w:r>
      <w:r>
        <w:rPr>
          <w:lang w:val="es-ES"/>
        </w:rPr>
        <w:t xml:space="preserve">. Declaración de </w:t>
      </w:r>
      <w:r w:rsidRPr="004C68EE">
        <w:rPr>
          <w:lang w:val="es-CR"/>
        </w:rPr>
        <w:t>Mario Romel</w:t>
      </w:r>
      <w:r w:rsidRPr="0092295B">
        <w:rPr>
          <w:i/>
          <w:lang w:val="es-CR"/>
        </w:rPr>
        <w:t xml:space="preserve"> </w:t>
      </w:r>
      <w:r>
        <w:rPr>
          <w:lang w:val="es-ES"/>
        </w:rPr>
        <w:t>Cevallos Moreno rendida mediante affidávit de 9 de febrero de 2021 (expediente de prueba, fs. 3950 a 3974).</w:t>
      </w:r>
    </w:p>
  </w:footnote>
  <w:footnote w:id="36">
    <w:p w14:paraId="5461B397" w14:textId="69D8027F" w:rsidR="00795660" w:rsidRPr="00A7329F" w:rsidRDefault="00795660" w:rsidP="00447BBA">
      <w:pPr>
        <w:pStyle w:val="Textonotapie"/>
        <w:spacing w:before="0" w:after="0"/>
        <w:rPr>
          <w:lang w:val="es-ES"/>
        </w:rPr>
      </w:pPr>
      <w:r>
        <w:rPr>
          <w:rStyle w:val="Refdenotaalpie"/>
        </w:rPr>
        <w:footnoteRef/>
      </w:r>
      <w:r>
        <w:t xml:space="preserve"> </w:t>
      </w:r>
      <w:r>
        <w:rPr>
          <w:lang w:val="es-ES"/>
        </w:rPr>
        <w:tab/>
      </w:r>
      <w:r w:rsidRPr="006D33D6">
        <w:rPr>
          <w:i/>
          <w:lang w:val="es-ES"/>
        </w:rPr>
        <w:t>Cfr</w:t>
      </w:r>
      <w:r>
        <w:rPr>
          <w:lang w:val="es-ES"/>
        </w:rPr>
        <w:t xml:space="preserve">. Declaración de </w:t>
      </w:r>
      <w:r w:rsidRPr="004C68EE">
        <w:rPr>
          <w:rFonts w:eastAsia="Times New Roman" w:cs="Times New Roman"/>
          <w:lang w:val="es-CR" w:eastAsia="en-GB"/>
        </w:rPr>
        <w:t>Jorge Enrique</w:t>
      </w:r>
      <w:r w:rsidRPr="0092295B">
        <w:rPr>
          <w:rFonts w:eastAsia="Times New Roman" w:cs="Times New Roman"/>
          <w:i/>
          <w:lang w:val="es-CR" w:eastAsia="en-GB"/>
        </w:rPr>
        <w:t xml:space="preserve"> </w:t>
      </w:r>
      <w:r>
        <w:rPr>
          <w:lang w:val="es-ES"/>
        </w:rPr>
        <w:t>Coloma Gaibor</w:t>
      </w:r>
      <w:r w:rsidRPr="004C68EE">
        <w:rPr>
          <w:lang w:val="es-ES"/>
        </w:rPr>
        <w:t xml:space="preserve"> </w:t>
      </w:r>
      <w:r>
        <w:rPr>
          <w:lang w:val="es-ES"/>
        </w:rPr>
        <w:t>rendida mediante affidávit de 9 de febrero de 2021 (expediente de prueba, fs. 4017 a 4040).</w:t>
      </w:r>
    </w:p>
  </w:footnote>
  <w:footnote w:id="37">
    <w:p w14:paraId="0BDF114D" w14:textId="39ED24DA" w:rsidR="00795660" w:rsidRPr="006C743D" w:rsidRDefault="00795660" w:rsidP="006C743D">
      <w:pPr>
        <w:pStyle w:val="Textonotapie"/>
        <w:spacing w:before="0" w:after="0"/>
        <w:rPr>
          <w:lang w:val="es-ES"/>
        </w:rPr>
      </w:pPr>
      <w:r>
        <w:rPr>
          <w:rStyle w:val="Refdenotaalpie"/>
        </w:rPr>
        <w:footnoteRef/>
      </w:r>
      <w:r>
        <w:t xml:space="preserve"> </w:t>
      </w:r>
      <w:r>
        <w:rPr>
          <w:lang w:val="es-ES"/>
        </w:rPr>
        <w:tab/>
      </w:r>
      <w:r w:rsidRPr="006C743D">
        <w:rPr>
          <w:i/>
          <w:lang w:val="es-ES"/>
        </w:rPr>
        <w:t>Cfr</w:t>
      </w:r>
      <w:r>
        <w:rPr>
          <w:lang w:val="es-ES"/>
        </w:rPr>
        <w:t xml:space="preserve">. Declaración de </w:t>
      </w:r>
      <w:r w:rsidRPr="004C68EE">
        <w:rPr>
          <w:lang w:val="es-ES"/>
        </w:rPr>
        <w:t>Fernando Marcelo</w:t>
      </w:r>
      <w:r w:rsidRPr="0092295B">
        <w:rPr>
          <w:i/>
          <w:lang w:val="es-ES"/>
        </w:rPr>
        <w:t xml:space="preserve"> </w:t>
      </w:r>
      <w:r>
        <w:rPr>
          <w:lang w:val="es-ES"/>
        </w:rPr>
        <w:t>López Ortiz rendida mediante affidávit de 9 de febrero de 2021 (expediente de prueba, fs. 3975 a 3999).</w:t>
      </w:r>
    </w:p>
  </w:footnote>
  <w:footnote w:id="38">
    <w:p w14:paraId="799A80C1" w14:textId="1DD743C0" w:rsidR="00795660" w:rsidRPr="006C743D" w:rsidRDefault="00795660" w:rsidP="006C743D">
      <w:pPr>
        <w:pStyle w:val="Textonotapie"/>
        <w:spacing w:before="0" w:after="0"/>
        <w:rPr>
          <w:lang w:val="es-ES"/>
        </w:rPr>
      </w:pPr>
      <w:r>
        <w:rPr>
          <w:rStyle w:val="Refdenotaalpie"/>
        </w:rPr>
        <w:footnoteRef/>
      </w:r>
      <w:r>
        <w:t xml:space="preserve"> </w:t>
      </w:r>
      <w:r>
        <w:rPr>
          <w:lang w:val="es-ES"/>
        </w:rPr>
        <w:tab/>
      </w:r>
      <w:r w:rsidRPr="006C743D">
        <w:rPr>
          <w:i/>
          <w:lang w:val="es-ES"/>
        </w:rPr>
        <w:t>Cfr</w:t>
      </w:r>
      <w:r>
        <w:rPr>
          <w:lang w:val="es-ES"/>
        </w:rPr>
        <w:t xml:space="preserve">. Declaración de </w:t>
      </w:r>
      <w:r w:rsidRPr="004C68EE">
        <w:rPr>
          <w:lang w:val="es-ES"/>
        </w:rPr>
        <w:t>Leoncio Amílcar</w:t>
      </w:r>
      <w:r>
        <w:rPr>
          <w:lang w:val="es-ES"/>
        </w:rPr>
        <w:t xml:space="preserve"> Ascázubi Albán rendida mediante affidávit de 9 de febrero de 2021 (expediente de prueba, fs. 4000 a 4016).</w:t>
      </w:r>
    </w:p>
  </w:footnote>
  <w:footnote w:id="39">
    <w:p w14:paraId="7874F52F" w14:textId="29BCA34C" w:rsidR="00795660" w:rsidRPr="006C743D" w:rsidRDefault="00795660" w:rsidP="006C743D">
      <w:pPr>
        <w:pStyle w:val="Textonotapie"/>
        <w:spacing w:before="0" w:after="0"/>
        <w:rPr>
          <w:lang w:val="es-ES"/>
        </w:rPr>
      </w:pPr>
      <w:r>
        <w:rPr>
          <w:rStyle w:val="Refdenotaalpie"/>
        </w:rPr>
        <w:footnoteRef/>
      </w:r>
      <w:r>
        <w:t xml:space="preserve"> </w:t>
      </w:r>
      <w:r>
        <w:rPr>
          <w:lang w:val="es-ES"/>
        </w:rPr>
        <w:tab/>
      </w:r>
      <w:r w:rsidRPr="006C743D">
        <w:rPr>
          <w:i/>
          <w:lang w:val="es-ES"/>
        </w:rPr>
        <w:t>Cfr</w:t>
      </w:r>
      <w:r>
        <w:rPr>
          <w:lang w:val="es-ES"/>
        </w:rPr>
        <w:t xml:space="preserve">. Declaración de </w:t>
      </w:r>
      <w:r w:rsidRPr="004C68EE">
        <w:rPr>
          <w:lang w:val="es-ES"/>
        </w:rPr>
        <w:t>Alfonso Patricio</w:t>
      </w:r>
      <w:r w:rsidRPr="0092295B">
        <w:rPr>
          <w:i/>
          <w:lang w:val="es-ES"/>
        </w:rPr>
        <w:t xml:space="preserve"> </w:t>
      </w:r>
      <w:r>
        <w:rPr>
          <w:lang w:val="es-ES"/>
        </w:rPr>
        <w:t>Vinueza Pánchez rendida mediante affidávit de 9 de febrero de 2021 (expediente de prueba, fs. 4041 a 4067).</w:t>
      </w:r>
    </w:p>
  </w:footnote>
  <w:footnote w:id="40">
    <w:p w14:paraId="0CB65ABA" w14:textId="32C4EE83" w:rsidR="00795660" w:rsidRPr="00E95230" w:rsidRDefault="00795660" w:rsidP="00AC2DA2">
      <w:pPr>
        <w:pStyle w:val="Textonotapie"/>
        <w:spacing w:before="0" w:after="0"/>
        <w:rPr>
          <w:b/>
          <w:szCs w:val="16"/>
        </w:rPr>
      </w:pPr>
      <w:r w:rsidRPr="00F70CFF">
        <w:rPr>
          <w:rStyle w:val="Refdenotaalpie"/>
          <w:szCs w:val="16"/>
        </w:rPr>
        <w:footnoteRef/>
      </w:r>
      <w:r w:rsidRPr="00F70CFF">
        <w:rPr>
          <w:szCs w:val="16"/>
        </w:rPr>
        <w:tab/>
      </w:r>
      <w:r w:rsidRPr="00E95230">
        <w:rPr>
          <w:i/>
          <w:szCs w:val="16"/>
        </w:rPr>
        <w:t>Cfr</w:t>
      </w:r>
      <w:r w:rsidRPr="00E95230">
        <w:rPr>
          <w:szCs w:val="16"/>
        </w:rPr>
        <w:t>. I</w:t>
      </w:r>
      <w:r w:rsidRPr="00E95230">
        <w:rPr>
          <w:rFonts w:cs="Times New Roman"/>
          <w:szCs w:val="16"/>
        </w:rPr>
        <w:t>nforme parcial de indicios de responsabilidad penal del examen especial a las operaciones administrativas y financieras de la Comandancia General de la Policía Nacional, No. 32-DA.1-2001-466 de la Contraloría General del Estado de 13 de julio de 2001 (expediente de prueba, fs. 42 a 62).</w:t>
      </w:r>
      <w:r w:rsidRPr="00E95230">
        <w:rPr>
          <w:rFonts w:cs="Times New Roman"/>
          <w:b/>
          <w:szCs w:val="16"/>
        </w:rPr>
        <w:t xml:space="preserve"> </w:t>
      </w:r>
    </w:p>
  </w:footnote>
  <w:footnote w:id="41">
    <w:p w14:paraId="3DDDAFA3" w14:textId="65B61DB5" w:rsidR="00795660" w:rsidRPr="00E95230" w:rsidRDefault="00795660" w:rsidP="00B37B0C">
      <w:pPr>
        <w:pStyle w:val="Prrafodelista"/>
        <w:autoSpaceDE w:val="0"/>
        <w:autoSpaceDN w:val="0"/>
        <w:adjustRightInd w:val="0"/>
        <w:spacing w:before="0" w:after="0"/>
        <w:ind w:left="0"/>
        <w:rPr>
          <w:sz w:val="16"/>
          <w:szCs w:val="16"/>
          <w:u w:val="single"/>
        </w:rPr>
      </w:pPr>
      <w:r w:rsidRPr="00E95230">
        <w:rPr>
          <w:rStyle w:val="Refdenotaalpie"/>
          <w:sz w:val="16"/>
          <w:szCs w:val="16"/>
        </w:rPr>
        <w:footnoteRef/>
      </w:r>
      <w:r w:rsidRPr="00E95230">
        <w:rPr>
          <w:sz w:val="16"/>
          <w:szCs w:val="16"/>
        </w:rPr>
        <w:t xml:space="preserve"> </w:t>
      </w:r>
      <w:r w:rsidRPr="00E95230">
        <w:rPr>
          <w:sz w:val="16"/>
          <w:szCs w:val="16"/>
          <w:lang w:val="es-CR"/>
        </w:rPr>
        <w:tab/>
      </w:r>
      <w:r>
        <w:rPr>
          <w:rFonts w:cs="Bookman Old Style"/>
          <w:sz w:val="16"/>
          <w:szCs w:val="16"/>
        </w:rPr>
        <w:t>A</w:t>
      </w:r>
      <w:r w:rsidRPr="00E95230">
        <w:rPr>
          <w:rFonts w:cs="Bookman Old Style"/>
          <w:sz w:val="16"/>
          <w:szCs w:val="16"/>
        </w:rPr>
        <w:t>rtículo 257: “</w:t>
      </w:r>
      <w:r w:rsidRPr="00E95230">
        <w:rPr>
          <w:rFonts w:cs="Bookman Old Style,Italic"/>
          <w:iCs/>
          <w:sz w:val="16"/>
          <w:szCs w:val="16"/>
        </w:rPr>
        <w:t>Serán reprimidos con reclusión mayor</w:t>
      </w:r>
      <w:r w:rsidRPr="00E95230">
        <w:rPr>
          <w:rFonts w:cs="Bookman Old Style"/>
          <w:sz w:val="16"/>
          <w:szCs w:val="16"/>
        </w:rPr>
        <w:t xml:space="preserve"> </w:t>
      </w:r>
      <w:r w:rsidRPr="00E95230">
        <w:rPr>
          <w:rFonts w:cs="Bookman Old Style,Italic"/>
          <w:iCs/>
          <w:sz w:val="16"/>
          <w:szCs w:val="16"/>
        </w:rPr>
        <w:t>ordinaria de cuatro a ocho años los empleados públicos y toda persona encargada de un servicio público que hubiesen abusado de dineros públicos o privados, de efectos que los representen, piezas, títulos, documentos o efectos mobiliarios que estuvieren en su poder en virtud o razón de su cargo; ya consista el abuso en desfalco, malversación de fondos, disposición arbitraria o cualquier otra forma semejante […]”</w:t>
      </w:r>
      <w:r>
        <w:rPr>
          <w:rFonts w:cs="Bookman Old Style,Italic"/>
          <w:iCs/>
          <w:sz w:val="16"/>
          <w:szCs w:val="16"/>
        </w:rPr>
        <w:t>.</w:t>
      </w:r>
      <w:r w:rsidRPr="00E95230">
        <w:rPr>
          <w:rFonts w:cs="Bookman Old Style,Italic"/>
          <w:iCs/>
          <w:sz w:val="16"/>
          <w:szCs w:val="16"/>
        </w:rPr>
        <w:t xml:space="preserve"> </w:t>
      </w:r>
      <w:r w:rsidRPr="00E95230">
        <w:rPr>
          <w:rFonts w:cs="Bookman Old Style"/>
          <w:sz w:val="16"/>
          <w:szCs w:val="16"/>
        </w:rPr>
        <w:t xml:space="preserve">Código Penal de 1971, publicado en el Suplemento de Registro Oficial No. 147, de 22 de enero de 1971 </w:t>
      </w:r>
      <w:r w:rsidRPr="00E95230">
        <w:rPr>
          <w:rFonts w:cs="Bookman Old Style,Italic"/>
          <w:iCs/>
          <w:sz w:val="16"/>
          <w:szCs w:val="16"/>
        </w:rPr>
        <w:t>(</w:t>
      </w:r>
      <w:r w:rsidRPr="0047727B">
        <w:rPr>
          <w:rFonts w:cs="Bookman Old Style,Italic"/>
          <w:iCs/>
          <w:sz w:val="16"/>
          <w:szCs w:val="16"/>
        </w:rPr>
        <w:t>expediente de prueba,</w:t>
      </w:r>
      <w:r w:rsidRPr="00E95230">
        <w:rPr>
          <w:rFonts w:cs="Bookman Old Style,Italic"/>
          <w:iCs/>
          <w:sz w:val="16"/>
          <w:szCs w:val="16"/>
        </w:rPr>
        <w:t xml:space="preserve"> fs. 3236 a 3397). </w:t>
      </w:r>
      <w:r w:rsidRPr="00E95230">
        <w:rPr>
          <w:sz w:val="16"/>
          <w:szCs w:val="16"/>
        </w:rPr>
        <w:t>La información de la cita se extrae del Código Penal de referencia presentado por el representante como prueba.</w:t>
      </w:r>
    </w:p>
  </w:footnote>
  <w:footnote w:id="42">
    <w:p w14:paraId="366E5ED6" w14:textId="4ACC4979" w:rsidR="00795660" w:rsidRPr="00E95230" w:rsidRDefault="00795660" w:rsidP="00B37B0C">
      <w:pPr>
        <w:pStyle w:val="Textonotapie"/>
        <w:spacing w:before="0" w:after="0"/>
        <w:rPr>
          <w:i/>
          <w:szCs w:val="16"/>
        </w:rPr>
      </w:pPr>
      <w:r w:rsidRPr="00E95230">
        <w:rPr>
          <w:rStyle w:val="Refdenotaalpie"/>
          <w:szCs w:val="16"/>
        </w:rPr>
        <w:footnoteRef/>
      </w:r>
      <w:r w:rsidRPr="00E95230">
        <w:rPr>
          <w:szCs w:val="16"/>
        </w:rPr>
        <w:t xml:space="preserve"> </w:t>
      </w:r>
      <w:r w:rsidRPr="00E95230">
        <w:rPr>
          <w:i/>
          <w:szCs w:val="16"/>
        </w:rPr>
        <w:tab/>
      </w:r>
      <w:r>
        <w:rPr>
          <w:rFonts w:cs="Bookman Old Style"/>
          <w:szCs w:val="16"/>
        </w:rPr>
        <w:t>A</w:t>
      </w:r>
      <w:r w:rsidRPr="00E95230">
        <w:rPr>
          <w:rFonts w:cs="Bookman Old Style"/>
          <w:szCs w:val="16"/>
        </w:rPr>
        <w:t xml:space="preserve">rtículo 340: “El que [...] cometiere falsedad en instrumentos privados, a excepción de los cheques, será reprimido </w:t>
      </w:r>
      <w:r>
        <w:rPr>
          <w:rFonts w:cs="Bookman Old Style"/>
          <w:szCs w:val="16"/>
        </w:rPr>
        <w:t>con dos a cinco años de prisión</w:t>
      </w:r>
      <w:r w:rsidRPr="00E95230">
        <w:rPr>
          <w:rFonts w:cs="Bookman Old Style"/>
          <w:szCs w:val="16"/>
        </w:rPr>
        <w:t>”.</w:t>
      </w:r>
      <w:r w:rsidRPr="00E95230">
        <w:rPr>
          <w:szCs w:val="16"/>
        </w:rPr>
        <w:t xml:space="preserve"> </w:t>
      </w:r>
      <w:r w:rsidRPr="00E95230">
        <w:rPr>
          <w:rFonts w:cs="Bookman Old Style"/>
          <w:szCs w:val="16"/>
        </w:rPr>
        <w:t>Código Penal de 1971,</w:t>
      </w:r>
      <w:r w:rsidRPr="00E95230">
        <w:rPr>
          <w:rFonts w:cs="Bookman Old Style"/>
          <w:i/>
          <w:szCs w:val="16"/>
        </w:rPr>
        <w:t xml:space="preserve"> supra</w:t>
      </w:r>
      <w:r>
        <w:rPr>
          <w:rFonts w:cs="Bookman Old Style"/>
          <w:szCs w:val="16"/>
        </w:rPr>
        <w:t>.</w:t>
      </w:r>
    </w:p>
  </w:footnote>
  <w:footnote w:id="43">
    <w:p w14:paraId="21670866" w14:textId="0758C73D" w:rsidR="00795660" w:rsidRPr="00E95230" w:rsidRDefault="00795660" w:rsidP="002A1610">
      <w:pPr>
        <w:pStyle w:val="Textonotapie"/>
        <w:spacing w:before="0" w:after="0"/>
        <w:rPr>
          <w:b/>
          <w:szCs w:val="16"/>
        </w:rPr>
      </w:pPr>
      <w:r w:rsidRPr="00E95230">
        <w:rPr>
          <w:rStyle w:val="Refdenotaalpie"/>
          <w:szCs w:val="16"/>
        </w:rPr>
        <w:footnoteRef/>
      </w:r>
      <w:r w:rsidRPr="00E95230">
        <w:rPr>
          <w:szCs w:val="16"/>
        </w:rPr>
        <w:t xml:space="preserve"> </w:t>
      </w:r>
      <w:r w:rsidRPr="00E95230">
        <w:rPr>
          <w:szCs w:val="16"/>
        </w:rPr>
        <w:tab/>
        <w:t>I</w:t>
      </w:r>
      <w:r w:rsidRPr="00E95230">
        <w:rPr>
          <w:rFonts w:cs="Times New Roman"/>
          <w:szCs w:val="16"/>
        </w:rPr>
        <w:t xml:space="preserve">nforme parcial de indicios de responsabilidad penal del examen especial a las operaciones administrativas y financieras de la Comandancia General de la Policía Nacional, No. 32-DA.1-2001-466, </w:t>
      </w:r>
      <w:r w:rsidRPr="00E95230">
        <w:rPr>
          <w:rFonts w:cs="Times New Roman"/>
          <w:i/>
          <w:szCs w:val="16"/>
        </w:rPr>
        <w:t>supra</w:t>
      </w:r>
      <w:r w:rsidRPr="00E95230">
        <w:rPr>
          <w:rFonts w:cs="Times New Roman"/>
          <w:szCs w:val="16"/>
        </w:rPr>
        <w:t>.</w:t>
      </w:r>
      <w:r w:rsidRPr="00E95230">
        <w:rPr>
          <w:szCs w:val="16"/>
        </w:rPr>
        <w:t xml:space="preserve"> </w:t>
      </w:r>
    </w:p>
  </w:footnote>
  <w:footnote w:id="44">
    <w:p w14:paraId="36C0F9E6" w14:textId="73E03298" w:rsidR="00795660" w:rsidRPr="00E95230" w:rsidRDefault="00795660" w:rsidP="00F70CFF">
      <w:pPr>
        <w:pStyle w:val="Textonotapie"/>
        <w:spacing w:before="0" w:after="0"/>
        <w:rPr>
          <w:szCs w:val="16"/>
        </w:rPr>
      </w:pPr>
      <w:r w:rsidRPr="00E95230">
        <w:rPr>
          <w:rStyle w:val="Refdenotaalpie"/>
          <w:szCs w:val="16"/>
        </w:rPr>
        <w:footnoteRef/>
      </w:r>
      <w:r w:rsidRPr="00E95230">
        <w:rPr>
          <w:szCs w:val="16"/>
        </w:rPr>
        <w:t xml:space="preserve"> </w:t>
      </w:r>
      <w:r w:rsidRPr="00E95230">
        <w:rPr>
          <w:szCs w:val="16"/>
        </w:rPr>
        <w:tab/>
        <w:t xml:space="preserve">Tanto el Estado como el representante señalaron que el 28 de enero de 2002 el Informe </w:t>
      </w:r>
      <w:r w:rsidRPr="00E95230">
        <w:rPr>
          <w:rFonts w:cs="Times New Roman"/>
          <w:szCs w:val="16"/>
        </w:rPr>
        <w:t>No. 32-DA.1-2001-466 fue puesto en conocimiento del Ministerio Fiscal</w:t>
      </w:r>
      <w:r w:rsidRPr="00E95230">
        <w:rPr>
          <w:szCs w:val="16"/>
        </w:rPr>
        <w:t xml:space="preserve"> </w:t>
      </w:r>
      <w:r w:rsidRPr="00E95230">
        <w:rPr>
          <w:rFonts w:cs="Times New Roman"/>
          <w:szCs w:val="16"/>
        </w:rPr>
        <w:t xml:space="preserve">de la Corte de Justicia de la Policía Nacional. </w:t>
      </w:r>
      <w:r w:rsidRPr="00E95230">
        <w:rPr>
          <w:i/>
          <w:szCs w:val="16"/>
        </w:rPr>
        <w:t>Cfr</w:t>
      </w:r>
      <w:r w:rsidRPr="00E95230">
        <w:rPr>
          <w:szCs w:val="16"/>
        </w:rPr>
        <w:t xml:space="preserve">. Oficio No. 05802 de la Procuraduría General del Estado de Ecuador de 3 de mayo de 2016 </w:t>
      </w:r>
      <w:r w:rsidRPr="00E95230">
        <w:rPr>
          <w:rFonts w:cs="Times New Roman"/>
          <w:szCs w:val="16"/>
        </w:rPr>
        <w:t xml:space="preserve">(expediente de prueba, fs. 176 a 218), </w:t>
      </w:r>
      <w:r w:rsidRPr="00183DD8">
        <w:rPr>
          <w:rFonts w:cs="Times New Roman"/>
          <w:szCs w:val="16"/>
        </w:rPr>
        <w:t xml:space="preserve">y Petición </w:t>
      </w:r>
      <w:r w:rsidRPr="00C41AA6">
        <w:rPr>
          <w:rFonts w:cs="Times New Roman"/>
          <w:szCs w:val="16"/>
        </w:rPr>
        <w:t>de las presuntas víctimas ante la Comisión Interamericana de 15 de julio de 2003 (expediente de prueba, fs. 135 a 141).</w:t>
      </w:r>
    </w:p>
  </w:footnote>
  <w:footnote w:id="45">
    <w:p w14:paraId="3F7410EB" w14:textId="5B3ADAFE" w:rsidR="00795660" w:rsidRPr="00E95230" w:rsidRDefault="00795660" w:rsidP="00502FA7">
      <w:pPr>
        <w:autoSpaceDE w:val="0"/>
        <w:autoSpaceDN w:val="0"/>
        <w:adjustRightInd w:val="0"/>
        <w:spacing w:before="0" w:after="0"/>
        <w:rPr>
          <w:rFonts w:cs="Bookman Old Style"/>
          <w:i/>
          <w:sz w:val="16"/>
          <w:szCs w:val="16"/>
        </w:rPr>
      </w:pPr>
      <w:r w:rsidRPr="00E95230">
        <w:rPr>
          <w:rStyle w:val="Refdenotaalpie"/>
          <w:sz w:val="16"/>
          <w:szCs w:val="16"/>
        </w:rPr>
        <w:footnoteRef/>
      </w:r>
      <w:r w:rsidRPr="00E95230">
        <w:rPr>
          <w:sz w:val="16"/>
          <w:szCs w:val="16"/>
        </w:rPr>
        <w:t xml:space="preserve"> </w:t>
      </w:r>
      <w:r w:rsidRPr="002721EB">
        <w:rPr>
          <w:sz w:val="16"/>
          <w:szCs w:val="16"/>
        </w:rPr>
        <w:tab/>
      </w:r>
      <w:r w:rsidRPr="00E95230">
        <w:rPr>
          <w:rFonts w:cs="Bookman Old Style,Italic"/>
          <w:iCs/>
          <w:sz w:val="16"/>
          <w:szCs w:val="16"/>
        </w:rPr>
        <w:t>Art</w:t>
      </w:r>
      <w:r>
        <w:rPr>
          <w:rFonts w:cs="Bookman Old Style,Italic"/>
          <w:iCs/>
          <w:sz w:val="16"/>
          <w:szCs w:val="16"/>
        </w:rPr>
        <w:t>ículo</w:t>
      </w:r>
      <w:r w:rsidRPr="00E95230">
        <w:rPr>
          <w:rFonts w:cs="Bookman Old Style,Italic"/>
          <w:iCs/>
          <w:sz w:val="16"/>
          <w:szCs w:val="16"/>
        </w:rPr>
        <w:t xml:space="preserve"> 58.- </w:t>
      </w:r>
      <w:r>
        <w:rPr>
          <w:rFonts w:cs="Bookman Old Style,Italic"/>
          <w:iCs/>
          <w:sz w:val="16"/>
          <w:szCs w:val="16"/>
        </w:rPr>
        <w:t>“</w:t>
      </w:r>
      <w:r w:rsidRPr="00E95230">
        <w:rPr>
          <w:rFonts w:cs="Bookman Old Style,Italic"/>
          <w:iCs/>
          <w:sz w:val="16"/>
          <w:szCs w:val="16"/>
        </w:rPr>
        <w:t>Son atribuciones y deberes del Fiscal General [...] 1.- Emitir informe previo a las providencias de derecho que expidan los tribunales [...] 2.- Emitir informe previo a la resolución en los expedientes que se tramiten en la Junta Calificadora de Servicios [...] 3.- Tener voz y voto en las deliberaciones de esta Junta [...] y, 4.- Exigir que cumplan con sus deberes a los jueces y demás Funcionarios y empleados de justicia [...]”</w:t>
      </w:r>
      <w:r>
        <w:rPr>
          <w:rFonts w:cs="Bookman Old Style,Italic"/>
          <w:iCs/>
          <w:sz w:val="16"/>
          <w:szCs w:val="16"/>
        </w:rPr>
        <w:t xml:space="preserve">. </w:t>
      </w:r>
      <w:r w:rsidRPr="00E95230">
        <w:rPr>
          <w:rFonts w:cs="Bookman Old Style"/>
          <w:sz w:val="16"/>
          <w:szCs w:val="16"/>
        </w:rPr>
        <w:t>Ley de la Función Judicial de la Policía Nacional de 1960 (expediente de prueba, fs. 4297 a 4307).</w:t>
      </w:r>
    </w:p>
  </w:footnote>
  <w:footnote w:id="46">
    <w:p w14:paraId="2C0BE426" w14:textId="5D87AFF3" w:rsidR="00795660" w:rsidRPr="00112DB5" w:rsidRDefault="00795660" w:rsidP="00BF32AD">
      <w:pPr>
        <w:pStyle w:val="Textonotapie"/>
        <w:spacing w:before="0" w:after="0"/>
        <w:rPr>
          <w:szCs w:val="16"/>
        </w:rPr>
      </w:pPr>
      <w:r w:rsidRPr="00E95230">
        <w:rPr>
          <w:rStyle w:val="Refdenotaalpie"/>
          <w:szCs w:val="16"/>
        </w:rPr>
        <w:footnoteRef/>
      </w:r>
      <w:r>
        <w:rPr>
          <w:szCs w:val="16"/>
        </w:rPr>
        <w:t xml:space="preserve"> </w:t>
      </w:r>
      <w:r>
        <w:rPr>
          <w:szCs w:val="16"/>
        </w:rPr>
        <w:tab/>
        <w:t xml:space="preserve">Excitativa Fiscal de </w:t>
      </w:r>
      <w:r w:rsidRPr="00E95230">
        <w:rPr>
          <w:szCs w:val="16"/>
        </w:rPr>
        <w:t xml:space="preserve">7 de marzo de 2002, suscrita por el Ministro Fiscal de la Corte Nacional de Justicia de la Policía Nacional, dirigida al Presidente de la Corte de Justicia Policial </w:t>
      </w:r>
      <w:r w:rsidRPr="00E95230">
        <w:rPr>
          <w:rFonts w:cs="Times New Roman"/>
          <w:szCs w:val="16"/>
        </w:rPr>
        <w:t xml:space="preserve">(expediente de prueba, fs. 2319 a 2324). </w:t>
      </w:r>
    </w:p>
  </w:footnote>
  <w:footnote w:id="47">
    <w:p w14:paraId="3A3E29CF" w14:textId="0AD78E11" w:rsidR="00795660" w:rsidRPr="00112DB5" w:rsidRDefault="00795660" w:rsidP="00F70CFF">
      <w:pPr>
        <w:pStyle w:val="Textonotapie"/>
        <w:spacing w:before="0" w:after="0"/>
        <w:rPr>
          <w:szCs w:val="16"/>
        </w:rPr>
      </w:pPr>
      <w:r w:rsidRPr="00112DB5">
        <w:rPr>
          <w:rStyle w:val="Refdenotaalpie"/>
          <w:szCs w:val="16"/>
        </w:rPr>
        <w:footnoteRef/>
      </w:r>
      <w:r w:rsidRPr="00112DB5">
        <w:rPr>
          <w:szCs w:val="16"/>
        </w:rPr>
        <w:t xml:space="preserve"> </w:t>
      </w:r>
      <w:r w:rsidRPr="00112DB5">
        <w:rPr>
          <w:szCs w:val="16"/>
        </w:rPr>
        <w:tab/>
      </w:r>
      <w:r w:rsidRPr="006C743D">
        <w:rPr>
          <w:i/>
          <w:szCs w:val="16"/>
        </w:rPr>
        <w:t>Cfr</w:t>
      </w:r>
      <w:r>
        <w:rPr>
          <w:szCs w:val="16"/>
        </w:rPr>
        <w:t xml:space="preserve">. Excitativa Fiscal de </w:t>
      </w:r>
      <w:r w:rsidRPr="00112DB5">
        <w:rPr>
          <w:szCs w:val="16"/>
        </w:rPr>
        <w:t>7 de marzo de 2002</w:t>
      </w:r>
      <w:r>
        <w:rPr>
          <w:szCs w:val="16"/>
        </w:rPr>
        <w:t xml:space="preserve">, </w:t>
      </w:r>
      <w:r w:rsidRPr="00E95230">
        <w:rPr>
          <w:i/>
          <w:szCs w:val="16"/>
        </w:rPr>
        <w:t>supra</w:t>
      </w:r>
      <w:r>
        <w:rPr>
          <w:szCs w:val="16"/>
        </w:rPr>
        <w:t>.</w:t>
      </w:r>
    </w:p>
  </w:footnote>
  <w:footnote w:id="48">
    <w:p w14:paraId="1DCD79CE" w14:textId="0DFBB3A0" w:rsidR="00795660" w:rsidRPr="009E065E" w:rsidRDefault="00795660" w:rsidP="00EA4010">
      <w:pPr>
        <w:pStyle w:val="Textonotapie"/>
        <w:spacing w:before="0" w:after="0"/>
      </w:pPr>
      <w:r>
        <w:rPr>
          <w:rStyle w:val="Refdenotaalpie"/>
        </w:rPr>
        <w:footnoteRef/>
      </w:r>
      <w:r>
        <w:t xml:space="preserve"> </w:t>
      </w:r>
      <w:r>
        <w:tab/>
      </w:r>
      <w:r w:rsidRPr="002B4A83">
        <w:rPr>
          <w:i/>
          <w:szCs w:val="16"/>
        </w:rPr>
        <w:t xml:space="preserve">Cfr. </w:t>
      </w:r>
      <w:r w:rsidRPr="009A4F5A">
        <w:rPr>
          <w:rFonts w:eastAsiaTheme="minorHAnsi" w:cs="Bookman Old Style"/>
          <w:szCs w:val="16"/>
          <w:lang w:val="es-CR"/>
        </w:rPr>
        <w:t xml:space="preserve">Corte Nacional de Justicia de la Policía Nacional, Causa 36-PCJP-2002, Auto Cabeza de Proceso, de 19 de marzo de 2002 (expediente de prueba, fs. 3442 a 3447). </w:t>
      </w:r>
    </w:p>
  </w:footnote>
  <w:footnote w:id="49">
    <w:p w14:paraId="1A2B84A1" w14:textId="3247D024" w:rsidR="00795660" w:rsidRDefault="00795660" w:rsidP="00EA4010">
      <w:pPr>
        <w:pStyle w:val="Textonotapie"/>
        <w:spacing w:before="0" w:after="0"/>
      </w:pPr>
      <w:r w:rsidRPr="00112DB5">
        <w:rPr>
          <w:rStyle w:val="Refdenotaalpie"/>
          <w:szCs w:val="16"/>
        </w:rPr>
        <w:footnoteRef/>
      </w:r>
      <w:r w:rsidRPr="00112DB5">
        <w:rPr>
          <w:szCs w:val="16"/>
        </w:rPr>
        <w:t xml:space="preserve"> </w:t>
      </w:r>
      <w:r w:rsidRPr="00112DB5">
        <w:rPr>
          <w:szCs w:val="16"/>
        </w:rPr>
        <w:tab/>
      </w:r>
      <w:r w:rsidRPr="00112DB5">
        <w:rPr>
          <w:i/>
          <w:szCs w:val="16"/>
        </w:rPr>
        <w:t>Cfr</w:t>
      </w:r>
      <w:r w:rsidRPr="00112DB5">
        <w:rPr>
          <w:szCs w:val="16"/>
        </w:rPr>
        <w:t xml:space="preserve">. </w:t>
      </w:r>
      <w:r>
        <w:rPr>
          <w:szCs w:val="16"/>
        </w:rPr>
        <w:t xml:space="preserve">Oficio No. 14148 de la Procuraduría General del Estado de Ecuador de 1 de agosto de 2013 (expediente de prueba, fs. 143 a 163). </w:t>
      </w:r>
      <w:r w:rsidRPr="00B33ECE">
        <w:rPr>
          <w:szCs w:val="16"/>
        </w:rPr>
        <w:t xml:space="preserve">El auto </w:t>
      </w:r>
      <w:r w:rsidRPr="00E95230">
        <w:rPr>
          <w:rFonts w:cs="Times New Roman"/>
          <w:lang w:val="es-CR"/>
        </w:rPr>
        <w:t xml:space="preserve">de 26 de noviembre de 2002 del Presidente de la CNJP no consta en la prueba, sin embargo, dicha información no fue controvertida por el representante ni la Comisión. </w:t>
      </w:r>
    </w:p>
  </w:footnote>
  <w:footnote w:id="50">
    <w:p w14:paraId="128BDC59" w14:textId="7B1F04CE" w:rsidR="00795660" w:rsidRPr="008B699B" w:rsidRDefault="00795660" w:rsidP="00EA4010">
      <w:pPr>
        <w:pStyle w:val="Textonotapie"/>
        <w:spacing w:before="0" w:after="0"/>
        <w:rPr>
          <w:szCs w:val="16"/>
        </w:rPr>
      </w:pPr>
      <w:r w:rsidRPr="008B699B">
        <w:rPr>
          <w:rStyle w:val="Refdenotaalpie"/>
          <w:szCs w:val="16"/>
        </w:rPr>
        <w:footnoteRef/>
      </w:r>
      <w:r w:rsidRPr="008B699B">
        <w:rPr>
          <w:szCs w:val="16"/>
        </w:rPr>
        <w:t xml:space="preserve"> </w:t>
      </w:r>
      <w:r w:rsidRPr="008B699B">
        <w:rPr>
          <w:szCs w:val="16"/>
        </w:rPr>
        <w:tab/>
      </w:r>
      <w:r w:rsidRPr="008B699B">
        <w:rPr>
          <w:i/>
          <w:szCs w:val="16"/>
        </w:rPr>
        <w:t>Cfr</w:t>
      </w:r>
      <w:r w:rsidRPr="008B699B">
        <w:rPr>
          <w:szCs w:val="16"/>
        </w:rPr>
        <w:t xml:space="preserve">. Dictamen definitivo del Ministro Fiscal de la Corte Nacional de Justicia Policial de 9 de abril de 2003 (expediente de prueba, fs. </w:t>
      </w:r>
      <w:r>
        <w:rPr>
          <w:szCs w:val="16"/>
        </w:rPr>
        <w:t>76</w:t>
      </w:r>
      <w:r w:rsidRPr="008B699B">
        <w:rPr>
          <w:szCs w:val="16"/>
        </w:rPr>
        <w:t xml:space="preserve"> a </w:t>
      </w:r>
      <w:r>
        <w:rPr>
          <w:szCs w:val="16"/>
        </w:rPr>
        <w:t>116</w:t>
      </w:r>
      <w:r w:rsidRPr="008B699B">
        <w:rPr>
          <w:szCs w:val="16"/>
        </w:rPr>
        <w:t>)</w:t>
      </w:r>
      <w:r>
        <w:rPr>
          <w:szCs w:val="16"/>
        </w:rPr>
        <w:t>.</w:t>
      </w:r>
      <w:r w:rsidRPr="008B699B">
        <w:rPr>
          <w:szCs w:val="16"/>
        </w:rPr>
        <w:t xml:space="preserve"> </w:t>
      </w:r>
      <w:r w:rsidRPr="008B699B">
        <w:rPr>
          <w:b/>
          <w:szCs w:val="16"/>
        </w:rPr>
        <w:t xml:space="preserve"> </w:t>
      </w:r>
    </w:p>
  </w:footnote>
  <w:footnote w:id="51">
    <w:p w14:paraId="1A90FD3A" w14:textId="505F50EB" w:rsidR="00795660" w:rsidRPr="0055090E" w:rsidRDefault="00795660" w:rsidP="00A76607">
      <w:pPr>
        <w:pStyle w:val="Textonotapie"/>
        <w:spacing w:before="0" w:after="0"/>
        <w:rPr>
          <w:szCs w:val="16"/>
        </w:rPr>
      </w:pPr>
      <w:r w:rsidRPr="0055090E">
        <w:rPr>
          <w:rStyle w:val="Refdenotaalpie"/>
          <w:szCs w:val="16"/>
        </w:rPr>
        <w:footnoteRef/>
      </w:r>
      <w:r w:rsidRPr="0055090E">
        <w:rPr>
          <w:szCs w:val="16"/>
        </w:rPr>
        <w:t xml:space="preserve"> </w:t>
      </w:r>
      <w:r w:rsidRPr="0055090E">
        <w:rPr>
          <w:szCs w:val="16"/>
        </w:rPr>
        <w:tab/>
      </w:r>
      <w:r>
        <w:rPr>
          <w:szCs w:val="16"/>
        </w:rPr>
        <w:t>A</w:t>
      </w:r>
      <w:r w:rsidRPr="0055090E">
        <w:rPr>
          <w:szCs w:val="16"/>
        </w:rPr>
        <w:t>rtículo 69: “La Corte Nacional de Justicia Policial estará integrada por cinco ministros jueces, tres serán oficiales generales en servicio pasivo, de los cuales uno por lo menos deberá ser doctor en jurisprudencia; y, dos doctores en Jurisprudencia que hayan ejercido con notoria probidad la profesión de abogado o, pertenecido a la Función Judicial o, ejercido la cátedra universitaria por el lapso mínimo de quince años; serán nombrados por el Presidente de la República, quienes durarán en sus Funciones dos años pudiendo ser reelegidos. Para el cumplimiento de esta disposición el Comandante General de la Policía remitirá al Presidente de la República la lista de oficiales gen</w:t>
      </w:r>
      <w:r>
        <w:rPr>
          <w:szCs w:val="16"/>
        </w:rPr>
        <w:t xml:space="preserve">erales en servicio pasivo. […]” . </w:t>
      </w:r>
      <w:r w:rsidRPr="0055090E">
        <w:rPr>
          <w:szCs w:val="16"/>
        </w:rPr>
        <w:t>Ley Orgánica de la Policía Nacional,</w:t>
      </w:r>
      <w:r>
        <w:rPr>
          <w:szCs w:val="16"/>
        </w:rPr>
        <w:t xml:space="preserve"> publicada en el Registro Oficial No. 368, de 24 de julio de 1998</w:t>
      </w:r>
      <w:r w:rsidRPr="0055090E">
        <w:rPr>
          <w:szCs w:val="16"/>
        </w:rPr>
        <w:t xml:space="preserve"> </w:t>
      </w:r>
      <w:r w:rsidRPr="008B699B">
        <w:rPr>
          <w:szCs w:val="16"/>
        </w:rPr>
        <w:t xml:space="preserve">(expediente de prueba, fs. </w:t>
      </w:r>
      <w:r>
        <w:rPr>
          <w:szCs w:val="16"/>
        </w:rPr>
        <w:t>4309 a 4330).</w:t>
      </w:r>
    </w:p>
  </w:footnote>
  <w:footnote w:id="52">
    <w:p w14:paraId="474F6B11" w14:textId="387419E6" w:rsidR="00795660" w:rsidRDefault="00795660" w:rsidP="00A76607">
      <w:pPr>
        <w:pStyle w:val="Textonotapie"/>
        <w:spacing w:before="0" w:after="0"/>
      </w:pPr>
      <w:r w:rsidRPr="0055090E">
        <w:rPr>
          <w:rStyle w:val="Refdenotaalpie"/>
          <w:szCs w:val="16"/>
        </w:rPr>
        <w:footnoteRef/>
      </w:r>
      <w:r w:rsidRPr="0055090E">
        <w:rPr>
          <w:szCs w:val="16"/>
        </w:rPr>
        <w:t xml:space="preserve"> </w:t>
      </w:r>
      <w:r w:rsidRPr="0055090E">
        <w:rPr>
          <w:szCs w:val="16"/>
        </w:rPr>
        <w:tab/>
      </w:r>
      <w:r>
        <w:rPr>
          <w:szCs w:val="16"/>
        </w:rPr>
        <w:t>Artículo 79: “</w:t>
      </w:r>
      <w:r w:rsidRPr="0055090E">
        <w:rPr>
          <w:szCs w:val="16"/>
        </w:rPr>
        <w:t>El Ministerio Público como parte de la Administración de Justicia Policial se ejercerá a través del Ministro Fiscal, ministros fiscales de Distrito y los agentes fiscales. El Ministro Fiscal de Policía reunirá los mismos requisitos que el Ministro Fiscal General del Estado, será nombrado por el Presidente de la República de una terna enviada por el Comandante General, durará dos años en sus Funciones, pudiendo ser reelegidos”</w:t>
      </w:r>
      <w:r>
        <w:rPr>
          <w:szCs w:val="16"/>
        </w:rPr>
        <w:t xml:space="preserve">. </w:t>
      </w:r>
      <w:r w:rsidRPr="0055090E">
        <w:rPr>
          <w:szCs w:val="16"/>
        </w:rPr>
        <w:t xml:space="preserve">Ley </w:t>
      </w:r>
      <w:r>
        <w:rPr>
          <w:szCs w:val="16"/>
        </w:rPr>
        <w:t>Orgánica de la Policía Nacional,</w:t>
      </w:r>
      <w:r w:rsidRPr="008F6CB5">
        <w:t xml:space="preserve"> </w:t>
      </w:r>
      <w:r w:rsidRPr="008F6CB5">
        <w:rPr>
          <w:szCs w:val="16"/>
        </w:rPr>
        <w:t>publicada en el Registro Oficial No. 368, de 24 de julio de 1998,</w:t>
      </w:r>
      <w:r>
        <w:rPr>
          <w:szCs w:val="16"/>
        </w:rPr>
        <w:t xml:space="preserve"> </w:t>
      </w:r>
      <w:r w:rsidRPr="00BF0ED2">
        <w:rPr>
          <w:i/>
          <w:szCs w:val="16"/>
        </w:rPr>
        <w:t>supra</w:t>
      </w:r>
      <w:r>
        <w:rPr>
          <w:szCs w:val="16"/>
        </w:rPr>
        <w:t xml:space="preserve">. </w:t>
      </w:r>
    </w:p>
  </w:footnote>
  <w:footnote w:id="53">
    <w:p w14:paraId="4CCB5294" w14:textId="59125DA0" w:rsidR="00795660" w:rsidRPr="00FB6AA2" w:rsidRDefault="00795660" w:rsidP="00FB6AA2">
      <w:pPr>
        <w:pStyle w:val="Prrafodelista"/>
        <w:autoSpaceDE w:val="0"/>
        <w:autoSpaceDN w:val="0"/>
        <w:adjustRightInd w:val="0"/>
        <w:spacing w:before="0" w:after="0"/>
        <w:ind w:left="0"/>
        <w:rPr>
          <w:rFonts w:eastAsia="Times New Roman" w:cs="Times New Roman"/>
          <w:color w:val="00B050"/>
          <w:sz w:val="16"/>
          <w:szCs w:val="16"/>
          <w:lang w:val="es-MX" w:eastAsia="es-CR"/>
        </w:rPr>
      </w:pPr>
      <w:r w:rsidRPr="009A4F5A">
        <w:rPr>
          <w:rStyle w:val="Refdenotaalpie"/>
          <w:sz w:val="16"/>
          <w:szCs w:val="16"/>
        </w:rPr>
        <w:footnoteRef/>
      </w:r>
      <w:r w:rsidRPr="009A4F5A">
        <w:rPr>
          <w:sz w:val="16"/>
          <w:szCs w:val="16"/>
        </w:rPr>
        <w:t xml:space="preserve"> </w:t>
      </w:r>
      <w:r w:rsidRPr="009A4F5A">
        <w:rPr>
          <w:sz w:val="16"/>
          <w:szCs w:val="16"/>
        </w:rPr>
        <w:tab/>
      </w:r>
      <w:r w:rsidRPr="009A4F5A">
        <w:rPr>
          <w:i/>
          <w:sz w:val="16"/>
          <w:szCs w:val="16"/>
        </w:rPr>
        <w:t>Cfr</w:t>
      </w:r>
      <w:r w:rsidRPr="009A4F5A">
        <w:rPr>
          <w:sz w:val="16"/>
          <w:szCs w:val="16"/>
        </w:rPr>
        <w:t xml:space="preserve">. </w:t>
      </w:r>
      <w:r w:rsidRPr="009A4F5A">
        <w:rPr>
          <w:rFonts w:cs="Arial"/>
          <w:sz w:val="16"/>
          <w:szCs w:val="16"/>
        </w:rPr>
        <w:t xml:space="preserve">Decreto Ejecutivo No. 357 de 29 de abril de 2003 </w:t>
      </w:r>
      <w:r w:rsidRPr="009A4F5A">
        <w:rPr>
          <w:sz w:val="16"/>
          <w:szCs w:val="16"/>
        </w:rPr>
        <w:t xml:space="preserve">(expediente de prueba, fs. 2275 a </w:t>
      </w:r>
      <w:r>
        <w:rPr>
          <w:sz w:val="16"/>
          <w:szCs w:val="16"/>
        </w:rPr>
        <w:t>2278</w:t>
      </w:r>
      <w:r w:rsidRPr="009A4F5A">
        <w:rPr>
          <w:sz w:val="16"/>
          <w:szCs w:val="16"/>
        </w:rPr>
        <w:t>)</w:t>
      </w:r>
      <w:r>
        <w:rPr>
          <w:sz w:val="16"/>
          <w:szCs w:val="16"/>
        </w:rPr>
        <w:t>.</w:t>
      </w:r>
      <w:r w:rsidRPr="009A4F5A">
        <w:rPr>
          <w:sz w:val="16"/>
          <w:szCs w:val="16"/>
        </w:rPr>
        <w:t xml:space="preserve"> </w:t>
      </w:r>
      <w:r w:rsidRPr="009A4F5A">
        <w:rPr>
          <w:b/>
          <w:sz w:val="16"/>
          <w:szCs w:val="16"/>
        </w:rPr>
        <w:t xml:space="preserve"> </w:t>
      </w:r>
    </w:p>
  </w:footnote>
  <w:footnote w:id="54">
    <w:p w14:paraId="2F2BC4B8" w14:textId="5149626C" w:rsidR="00795660" w:rsidRPr="00ED646A" w:rsidRDefault="00795660" w:rsidP="00A76607">
      <w:pPr>
        <w:pStyle w:val="Textonotapie"/>
        <w:spacing w:before="0" w:after="0"/>
      </w:pPr>
      <w:r w:rsidRPr="006257CB">
        <w:rPr>
          <w:rStyle w:val="Refdenotaalpie"/>
          <w:szCs w:val="16"/>
        </w:rPr>
        <w:footnoteRef/>
      </w:r>
      <w:r w:rsidRPr="006257CB">
        <w:rPr>
          <w:szCs w:val="16"/>
        </w:rPr>
        <w:t xml:space="preserve"> </w:t>
      </w:r>
      <w:r w:rsidRPr="00ED646A">
        <w:rPr>
          <w:szCs w:val="16"/>
        </w:rPr>
        <w:tab/>
      </w:r>
      <w:r>
        <w:rPr>
          <w:szCs w:val="16"/>
        </w:rPr>
        <w:t>A</w:t>
      </w:r>
      <w:r w:rsidRPr="00ED646A">
        <w:rPr>
          <w:szCs w:val="16"/>
        </w:rPr>
        <w:t>rtículo 70: “El Presidente de la Corte Nacional de Justicia Policial, será el Oficial de mayor jerarquía y antigüedad; en caso de ausencia o impedimento, le subrogará el Oficial que le siga en antigüedad”.</w:t>
      </w:r>
      <w:r w:rsidRPr="00F669DB">
        <w:rPr>
          <w:szCs w:val="16"/>
        </w:rPr>
        <w:t xml:space="preserve"> </w:t>
      </w:r>
      <w:r w:rsidRPr="00ED646A">
        <w:rPr>
          <w:szCs w:val="16"/>
        </w:rPr>
        <w:t xml:space="preserve">Ley Orgánica de la Policía Nacional, </w:t>
      </w:r>
      <w:r w:rsidRPr="00ED646A">
        <w:rPr>
          <w:i/>
          <w:szCs w:val="16"/>
        </w:rPr>
        <w:t>supra</w:t>
      </w:r>
      <w:r>
        <w:rPr>
          <w:szCs w:val="16"/>
        </w:rPr>
        <w:t>.</w:t>
      </w:r>
    </w:p>
  </w:footnote>
  <w:footnote w:id="55">
    <w:p w14:paraId="3D268F3A" w14:textId="698F35CE" w:rsidR="00795660" w:rsidRPr="00ED646A" w:rsidRDefault="00795660" w:rsidP="00A76607">
      <w:pPr>
        <w:autoSpaceDE w:val="0"/>
        <w:autoSpaceDN w:val="0"/>
        <w:adjustRightInd w:val="0"/>
        <w:spacing w:before="0" w:after="0"/>
        <w:rPr>
          <w:sz w:val="16"/>
          <w:szCs w:val="16"/>
        </w:rPr>
      </w:pPr>
      <w:r w:rsidRPr="00ED646A">
        <w:rPr>
          <w:rStyle w:val="Refdenotaalpie"/>
          <w:sz w:val="16"/>
          <w:szCs w:val="16"/>
        </w:rPr>
        <w:footnoteRef/>
      </w:r>
      <w:r w:rsidRPr="00ED646A">
        <w:rPr>
          <w:sz w:val="16"/>
          <w:szCs w:val="16"/>
        </w:rPr>
        <w:t xml:space="preserve"> </w:t>
      </w:r>
      <w:r w:rsidRPr="00ED646A">
        <w:rPr>
          <w:sz w:val="16"/>
          <w:szCs w:val="16"/>
        </w:rPr>
        <w:tab/>
      </w:r>
      <w:r w:rsidRPr="00ED646A">
        <w:rPr>
          <w:i/>
          <w:sz w:val="16"/>
          <w:szCs w:val="16"/>
        </w:rPr>
        <w:t>Cfr</w:t>
      </w:r>
      <w:r w:rsidRPr="00ED646A">
        <w:rPr>
          <w:sz w:val="16"/>
          <w:szCs w:val="16"/>
        </w:rPr>
        <w:t xml:space="preserve">. Dictamen acusatorio de la Corte Nacional de Justicia, de 8 de marzo de 2006, en la causa 91-2003 (expediente de prueba, fs. 3726 a 3744) y Sentencia Condenatoria de 10 de enero de 2005, adoptada por la Corte Nacional de Justicia Policial y suscrita por su presidente, General Byron Pinto Muñoz (expediente de prueba, fs. 2566 a </w:t>
      </w:r>
      <w:r w:rsidRPr="00ED646A">
        <w:rPr>
          <w:rFonts w:eastAsia="Times New Roman" w:cs="Times New Roman"/>
          <w:sz w:val="16"/>
          <w:szCs w:val="16"/>
          <w:lang w:val="es-MX" w:eastAsia="es-CR"/>
        </w:rPr>
        <w:t>2600</w:t>
      </w:r>
      <w:r w:rsidRPr="00ED646A">
        <w:rPr>
          <w:sz w:val="16"/>
          <w:szCs w:val="16"/>
        </w:rPr>
        <w:t>).</w:t>
      </w:r>
      <w:r w:rsidRPr="00ED646A">
        <w:rPr>
          <w:b/>
          <w:sz w:val="16"/>
          <w:szCs w:val="16"/>
        </w:rPr>
        <w:t xml:space="preserve"> </w:t>
      </w:r>
    </w:p>
  </w:footnote>
  <w:footnote w:id="56">
    <w:p w14:paraId="2D21D735" w14:textId="5E781620" w:rsidR="00795660" w:rsidRPr="00ED646A" w:rsidRDefault="00795660" w:rsidP="006B4A46">
      <w:pPr>
        <w:pStyle w:val="Prrafodelista"/>
        <w:autoSpaceDE w:val="0"/>
        <w:autoSpaceDN w:val="0"/>
        <w:adjustRightInd w:val="0"/>
        <w:spacing w:before="0" w:after="0"/>
        <w:ind w:left="0"/>
        <w:rPr>
          <w:rFonts w:cs="Bookman Old Style"/>
          <w:i/>
          <w:sz w:val="16"/>
          <w:szCs w:val="16"/>
          <w:highlight w:val="green"/>
        </w:rPr>
      </w:pPr>
      <w:r w:rsidRPr="00ED646A">
        <w:rPr>
          <w:rStyle w:val="Refdenotaalpie"/>
          <w:sz w:val="16"/>
          <w:szCs w:val="16"/>
        </w:rPr>
        <w:footnoteRef/>
      </w:r>
      <w:r w:rsidRPr="00ED646A">
        <w:rPr>
          <w:sz w:val="16"/>
          <w:szCs w:val="16"/>
        </w:rPr>
        <w:t xml:space="preserve"> </w:t>
      </w:r>
      <w:r w:rsidRPr="00ED646A">
        <w:rPr>
          <w:sz w:val="16"/>
          <w:szCs w:val="16"/>
        </w:rPr>
        <w:tab/>
        <w:t>El Estado sostuvo, en la contestación, que s</w:t>
      </w:r>
      <w:r w:rsidRPr="00ED646A">
        <w:rPr>
          <w:rFonts w:cs="Bookman Old Style"/>
          <w:sz w:val="16"/>
          <w:szCs w:val="16"/>
        </w:rPr>
        <w:t xml:space="preserve">egún la jurisprudencia de la Corte Suprema de Justicia, vigente a la época de los hechos del presente caso, el informe emitido por la Contraloría General del Estado </w:t>
      </w:r>
      <w:r w:rsidRPr="00ED646A">
        <w:rPr>
          <w:rFonts w:cs="Bookman Old Style,Italic"/>
          <w:iCs/>
          <w:sz w:val="16"/>
          <w:szCs w:val="16"/>
        </w:rPr>
        <w:t>“[...] aun en el</w:t>
      </w:r>
      <w:r w:rsidRPr="00ED646A">
        <w:rPr>
          <w:rFonts w:cs="Bookman Old Style"/>
          <w:sz w:val="16"/>
          <w:szCs w:val="16"/>
        </w:rPr>
        <w:t xml:space="preserve"> </w:t>
      </w:r>
      <w:r w:rsidRPr="00ED646A">
        <w:rPr>
          <w:rFonts w:cs="Bookman Old Style,Italic"/>
          <w:iCs/>
          <w:sz w:val="16"/>
          <w:szCs w:val="16"/>
        </w:rPr>
        <w:t xml:space="preserve">caso de que hubiere indicios de responsabilidad declarados […], </w:t>
      </w:r>
      <w:r w:rsidRPr="00ED646A">
        <w:rPr>
          <w:rFonts w:cs="Bookman Old Style,BoldItalic"/>
          <w:bCs/>
          <w:iCs/>
          <w:sz w:val="16"/>
          <w:szCs w:val="16"/>
        </w:rPr>
        <w:t>no constituye prueba incontrastable de la existencia de la infracción, porque la misma debe establecerse con argumentos directos”</w:t>
      </w:r>
      <w:r w:rsidRPr="00ED646A">
        <w:rPr>
          <w:i/>
          <w:sz w:val="16"/>
          <w:szCs w:val="16"/>
        </w:rPr>
        <w:t xml:space="preserve">, </w:t>
      </w:r>
      <w:r w:rsidRPr="00ED646A">
        <w:rPr>
          <w:sz w:val="16"/>
          <w:szCs w:val="16"/>
        </w:rPr>
        <w:t xml:space="preserve">de acuerdo a la </w:t>
      </w:r>
      <w:r w:rsidRPr="00ED646A">
        <w:rPr>
          <w:rFonts w:eastAsiaTheme="minorHAnsi" w:cs="Bookman Old Style"/>
          <w:sz w:val="16"/>
          <w:szCs w:val="16"/>
          <w:lang w:val="es-CR"/>
        </w:rPr>
        <w:t>Sentencia de Casación, de 22 de abril de 2008 L</w:t>
      </w:r>
      <w:r w:rsidRPr="00ED646A">
        <w:rPr>
          <w:sz w:val="16"/>
          <w:szCs w:val="16"/>
        </w:rPr>
        <w:t xml:space="preserve">a </w:t>
      </w:r>
      <w:r w:rsidRPr="00ED646A">
        <w:rPr>
          <w:rFonts w:eastAsiaTheme="minorHAnsi" w:cs="Bookman Old Style"/>
          <w:sz w:val="16"/>
          <w:szCs w:val="16"/>
          <w:lang w:val="es-CR"/>
        </w:rPr>
        <w:t>Corte Suprema de Justicia, Tercera Sala de lo Penal, publicada en el Suplemento de Registro Oficial 132 de 19 de febrero de 2010</w:t>
      </w:r>
      <w:r w:rsidRPr="00ED646A">
        <w:rPr>
          <w:rFonts w:eastAsiaTheme="minorHAnsi" w:cs="Bookman Old Style"/>
          <w:i/>
          <w:sz w:val="16"/>
          <w:szCs w:val="16"/>
          <w:lang w:val="es-CR"/>
        </w:rPr>
        <w:t xml:space="preserve">. </w:t>
      </w:r>
      <w:r w:rsidRPr="00ED646A">
        <w:rPr>
          <w:rFonts w:eastAsiaTheme="minorHAnsi" w:cs="Bookman Old Style"/>
          <w:b/>
          <w:i/>
          <w:sz w:val="16"/>
          <w:szCs w:val="16"/>
          <w:lang w:val="es-CR"/>
        </w:rPr>
        <w:t xml:space="preserve"> </w:t>
      </w:r>
    </w:p>
  </w:footnote>
  <w:footnote w:id="57">
    <w:p w14:paraId="5D73B712" w14:textId="63BCE121" w:rsidR="00795660" w:rsidRPr="00ED646A" w:rsidRDefault="00795660" w:rsidP="00A76607">
      <w:pPr>
        <w:autoSpaceDE w:val="0"/>
        <w:autoSpaceDN w:val="0"/>
        <w:adjustRightInd w:val="0"/>
        <w:spacing w:before="0" w:after="0"/>
        <w:rPr>
          <w:sz w:val="16"/>
          <w:szCs w:val="16"/>
        </w:rPr>
      </w:pPr>
      <w:r w:rsidRPr="00ED646A">
        <w:rPr>
          <w:rStyle w:val="Refdenotaalpie"/>
          <w:sz w:val="16"/>
          <w:szCs w:val="16"/>
        </w:rPr>
        <w:footnoteRef/>
      </w:r>
      <w:r w:rsidRPr="00ED646A">
        <w:rPr>
          <w:sz w:val="16"/>
          <w:szCs w:val="16"/>
        </w:rPr>
        <w:t xml:space="preserve"> </w:t>
      </w:r>
      <w:r w:rsidRPr="00ED646A">
        <w:rPr>
          <w:sz w:val="16"/>
          <w:szCs w:val="16"/>
        </w:rPr>
        <w:tab/>
      </w:r>
      <w:r w:rsidRPr="00ED646A">
        <w:rPr>
          <w:i/>
          <w:sz w:val="16"/>
          <w:szCs w:val="16"/>
        </w:rPr>
        <w:t>Cfr</w:t>
      </w:r>
      <w:r w:rsidRPr="00ED646A">
        <w:rPr>
          <w:sz w:val="16"/>
          <w:szCs w:val="16"/>
        </w:rPr>
        <w:t>. Auto Motivado del Presidente de la Corte Nacional de Justicia Policial de 26 de mayo de 2003 (expediente de prueba, fs. 2379 a 2396).</w:t>
      </w:r>
      <w:r w:rsidRPr="00ED646A">
        <w:rPr>
          <w:b/>
          <w:sz w:val="16"/>
          <w:szCs w:val="16"/>
        </w:rPr>
        <w:t xml:space="preserve"> </w:t>
      </w:r>
      <w:r w:rsidRPr="00ED646A">
        <w:rPr>
          <w:rFonts w:eastAsia="Times New Roman" w:cs="Times New Roman"/>
          <w:b/>
          <w:sz w:val="16"/>
          <w:szCs w:val="16"/>
          <w:lang w:val="es-MX" w:eastAsia="es-CR"/>
        </w:rPr>
        <w:t xml:space="preserve"> </w:t>
      </w:r>
    </w:p>
  </w:footnote>
  <w:footnote w:id="58">
    <w:p w14:paraId="47D2AC8C" w14:textId="5D41EA1B" w:rsidR="00795660" w:rsidRPr="00ED646A" w:rsidRDefault="00795660" w:rsidP="00A76607">
      <w:pPr>
        <w:autoSpaceDE w:val="0"/>
        <w:autoSpaceDN w:val="0"/>
        <w:adjustRightInd w:val="0"/>
        <w:spacing w:before="0" w:after="0"/>
        <w:rPr>
          <w:rFonts w:cs="Bookman Old Style"/>
          <w:i/>
          <w:szCs w:val="16"/>
        </w:rPr>
      </w:pPr>
      <w:r w:rsidRPr="00ED646A">
        <w:rPr>
          <w:rStyle w:val="Refdenotaalpie"/>
          <w:sz w:val="16"/>
          <w:szCs w:val="16"/>
        </w:rPr>
        <w:footnoteRef/>
      </w:r>
      <w:r w:rsidRPr="00ED646A">
        <w:rPr>
          <w:sz w:val="16"/>
          <w:szCs w:val="16"/>
        </w:rPr>
        <w:t xml:space="preserve"> </w:t>
      </w:r>
      <w:r w:rsidRPr="00ED646A">
        <w:rPr>
          <w:i/>
          <w:sz w:val="16"/>
          <w:szCs w:val="16"/>
        </w:rPr>
        <w:tab/>
      </w:r>
      <w:r>
        <w:rPr>
          <w:rFonts w:cs="Bookman Old Style,Italic"/>
          <w:iCs/>
          <w:sz w:val="16"/>
          <w:szCs w:val="16"/>
        </w:rPr>
        <w:t>A</w:t>
      </w:r>
      <w:r w:rsidRPr="00ED646A">
        <w:rPr>
          <w:rFonts w:cs="Bookman Old Style,Italic"/>
          <w:iCs/>
          <w:sz w:val="16"/>
          <w:szCs w:val="16"/>
        </w:rPr>
        <w:t xml:space="preserve">rtículo 112: “Las </w:t>
      </w:r>
      <w:r w:rsidRPr="00ED646A">
        <w:rPr>
          <w:rFonts w:cs="Bookman Old Style,BoldItalic"/>
          <w:bCs/>
          <w:iCs/>
          <w:sz w:val="16"/>
          <w:szCs w:val="16"/>
        </w:rPr>
        <w:t xml:space="preserve">órdenes de detención </w:t>
      </w:r>
      <w:r w:rsidRPr="00ED646A">
        <w:rPr>
          <w:rFonts w:cs="Bookman Old Style,Italic"/>
          <w:iCs/>
          <w:sz w:val="16"/>
          <w:szCs w:val="16"/>
        </w:rPr>
        <w:t xml:space="preserve">y el </w:t>
      </w:r>
      <w:r w:rsidRPr="00ED646A">
        <w:rPr>
          <w:rFonts w:cs="Bookman Old Style,BoldItalic"/>
          <w:bCs/>
          <w:iCs/>
          <w:sz w:val="16"/>
          <w:szCs w:val="16"/>
        </w:rPr>
        <w:t xml:space="preserve">auto de detención preventiva </w:t>
      </w:r>
      <w:r w:rsidRPr="00ED646A">
        <w:rPr>
          <w:rFonts w:cs="Bookman Old Style,Italic"/>
          <w:iCs/>
          <w:sz w:val="16"/>
          <w:szCs w:val="16"/>
        </w:rPr>
        <w:t xml:space="preserve">dictadas por Juez competente en contra de </w:t>
      </w:r>
      <w:r w:rsidRPr="00ED646A">
        <w:rPr>
          <w:rFonts w:cs="Bookman Old Style,BoldItalic"/>
          <w:bCs/>
          <w:iCs/>
          <w:sz w:val="16"/>
          <w:szCs w:val="16"/>
        </w:rPr>
        <w:t xml:space="preserve">miembros de la Policía Nacional </w:t>
      </w:r>
      <w:r w:rsidRPr="00ED646A">
        <w:rPr>
          <w:rFonts w:cs="Bookman Old Style,Italic"/>
          <w:iCs/>
          <w:sz w:val="16"/>
          <w:szCs w:val="16"/>
        </w:rPr>
        <w:t xml:space="preserve">en servicio activo serán cumplidas </w:t>
      </w:r>
      <w:r w:rsidRPr="00ED646A">
        <w:rPr>
          <w:rFonts w:cs="Bookman Old Style,BoldItalic"/>
          <w:bCs/>
          <w:iCs/>
          <w:sz w:val="16"/>
          <w:szCs w:val="16"/>
        </w:rPr>
        <w:t>en las Unidades de la respectiva jurisdicción del Juez o Tribunal que las dictó</w:t>
      </w:r>
      <w:r w:rsidRPr="00ED646A">
        <w:rPr>
          <w:rFonts w:cs="Bookman Old Style,Italic"/>
          <w:iCs/>
          <w:sz w:val="16"/>
          <w:szCs w:val="16"/>
        </w:rPr>
        <w:t>, hasta cuando se dicte la sentencia correspondiente […]”</w:t>
      </w:r>
      <w:r>
        <w:rPr>
          <w:i/>
          <w:sz w:val="16"/>
          <w:szCs w:val="16"/>
        </w:rPr>
        <w:t xml:space="preserve">. </w:t>
      </w:r>
      <w:r w:rsidRPr="00ED646A">
        <w:rPr>
          <w:rFonts w:cs="Bookman Old Style"/>
          <w:sz w:val="16"/>
          <w:szCs w:val="16"/>
        </w:rPr>
        <w:t xml:space="preserve">Ley de Personal de la Policía Nacional, publicada en el Suplemento de Registro Oficial 378, de 07 de agosto de 1998, </w:t>
      </w:r>
      <w:r w:rsidRPr="00ED646A">
        <w:rPr>
          <w:sz w:val="16"/>
          <w:szCs w:val="16"/>
        </w:rPr>
        <w:t xml:space="preserve">(expediente de prueba, fs. 4365 a 4386). </w:t>
      </w:r>
    </w:p>
  </w:footnote>
  <w:footnote w:id="59">
    <w:p w14:paraId="1E37E8C4" w14:textId="1EC6D2F1" w:rsidR="00795660" w:rsidRPr="00ED646A" w:rsidRDefault="00795660" w:rsidP="00557CA5">
      <w:pPr>
        <w:pStyle w:val="Textonotapie"/>
        <w:spacing w:before="0" w:after="0"/>
        <w:rPr>
          <w:szCs w:val="16"/>
        </w:rPr>
      </w:pPr>
      <w:r w:rsidRPr="00ED646A">
        <w:rPr>
          <w:rStyle w:val="Refdenotaalpie"/>
          <w:szCs w:val="16"/>
        </w:rPr>
        <w:footnoteRef/>
      </w:r>
      <w:r w:rsidRPr="00ED646A">
        <w:rPr>
          <w:szCs w:val="16"/>
        </w:rPr>
        <w:t xml:space="preserve"> </w:t>
      </w:r>
      <w:r w:rsidRPr="00ED646A">
        <w:rPr>
          <w:szCs w:val="16"/>
        </w:rPr>
        <w:tab/>
      </w:r>
      <w:r w:rsidRPr="00ED646A">
        <w:rPr>
          <w:i/>
          <w:szCs w:val="16"/>
        </w:rPr>
        <w:t>Cfr</w:t>
      </w:r>
      <w:r w:rsidRPr="00ED646A">
        <w:rPr>
          <w:szCs w:val="16"/>
        </w:rPr>
        <w:t xml:space="preserve">. Recurso de Nulidad y Apelación contra el auto motivado de </w:t>
      </w:r>
      <w:r w:rsidRPr="00ED646A">
        <w:rPr>
          <w:rFonts w:cs="Times New Roman"/>
          <w:szCs w:val="16"/>
        </w:rPr>
        <w:t>26 de mayo de 2003,</w:t>
      </w:r>
      <w:r w:rsidRPr="00ED646A">
        <w:rPr>
          <w:szCs w:val="16"/>
        </w:rPr>
        <w:t xml:space="preserve"> presentado el 13 de junio de 2003 (expediente de prueba, fs. 2607 a 2611).</w:t>
      </w:r>
    </w:p>
  </w:footnote>
  <w:footnote w:id="60">
    <w:p w14:paraId="7CA0CB13" w14:textId="38CD21E1" w:rsidR="00795660" w:rsidRPr="00BF0ED2" w:rsidRDefault="00795660" w:rsidP="00BF0ED2">
      <w:pPr>
        <w:pStyle w:val="Textonotapie"/>
        <w:spacing w:before="0" w:after="0"/>
        <w:rPr>
          <w:lang w:val="es-ES"/>
        </w:rPr>
      </w:pPr>
      <w:r w:rsidRPr="00ED646A">
        <w:rPr>
          <w:rStyle w:val="Refdenotaalpie"/>
        </w:rPr>
        <w:footnoteRef/>
      </w:r>
      <w:r w:rsidRPr="00ED646A">
        <w:t xml:space="preserve"> </w:t>
      </w:r>
      <w:r w:rsidRPr="00ED646A">
        <w:tab/>
      </w:r>
      <w:r w:rsidRPr="00ED646A">
        <w:rPr>
          <w:i/>
        </w:rPr>
        <w:t>Cfr.</w:t>
      </w:r>
      <w:r w:rsidRPr="00ED646A">
        <w:t xml:space="preserve"> Recurso de Nulidad y Apelación contra el auto motivado de 26 de mayo de 2003, </w:t>
      </w:r>
      <w:r w:rsidRPr="00ED646A">
        <w:rPr>
          <w:i/>
        </w:rPr>
        <w:t>supra</w:t>
      </w:r>
      <w:r w:rsidRPr="00ED646A">
        <w:t xml:space="preserve">. </w:t>
      </w:r>
    </w:p>
  </w:footnote>
  <w:footnote w:id="61">
    <w:p w14:paraId="5CFCFC0C" w14:textId="2F7E4C46" w:rsidR="00795660" w:rsidRPr="00F66533" w:rsidRDefault="00795660" w:rsidP="00B437CA">
      <w:pPr>
        <w:pStyle w:val="Textonotapie"/>
        <w:spacing w:before="0" w:after="0"/>
        <w:rPr>
          <w:szCs w:val="16"/>
        </w:rPr>
      </w:pPr>
      <w:r w:rsidRPr="00FC222F">
        <w:rPr>
          <w:rStyle w:val="Refdenotaalpie"/>
          <w:szCs w:val="16"/>
        </w:rPr>
        <w:footnoteRef/>
      </w:r>
      <w:r w:rsidRPr="00F66533">
        <w:rPr>
          <w:szCs w:val="16"/>
        </w:rPr>
        <w:t xml:space="preserve"> </w:t>
      </w:r>
      <w:r w:rsidRPr="00F66533">
        <w:rPr>
          <w:szCs w:val="16"/>
        </w:rPr>
        <w:tab/>
      </w:r>
      <w:r w:rsidRPr="00F66533">
        <w:rPr>
          <w:i/>
          <w:szCs w:val="16"/>
        </w:rPr>
        <w:t>Cfr</w:t>
      </w:r>
      <w:r w:rsidRPr="00F66533">
        <w:rPr>
          <w:szCs w:val="16"/>
        </w:rPr>
        <w:t xml:space="preserve">. </w:t>
      </w:r>
      <w:r>
        <w:rPr>
          <w:szCs w:val="16"/>
        </w:rPr>
        <w:t>El señor Mario Romel Cevallos Moreno fue excluido de dicha resolución, ya que en ella se indica que “</w:t>
      </w:r>
      <w:r w:rsidRPr="00BD7E96">
        <w:rPr>
          <w:szCs w:val="16"/>
        </w:rPr>
        <w:t xml:space="preserve">luego, de que los recurrentes han fundamentado el recurso interpuesto en esta instancia, a excepción del General </w:t>
      </w:r>
      <w:r>
        <w:rPr>
          <w:szCs w:val="16"/>
        </w:rPr>
        <w:t xml:space="preserve">Inspector (sp) Mario </w:t>
      </w:r>
      <w:r w:rsidRPr="00F66533">
        <w:rPr>
          <w:szCs w:val="16"/>
        </w:rPr>
        <w:t xml:space="preserve">Romel Cevallos Moreno, quien al no hacerlo se lo declaró como no interpuesto”. </w:t>
      </w:r>
      <w:r w:rsidRPr="003717BB">
        <w:rPr>
          <w:i/>
        </w:rPr>
        <w:t>Cfr</w:t>
      </w:r>
      <w:r w:rsidRPr="004051D0">
        <w:t>. Providencia de la Corte Nacional de Justicia Policial de 31 de julio de 2003, donde se rechaza recurso de nulidad al auto motivado de 26 de mayo de 2003 (expediente de prueba, fs. 2617 a 2619).</w:t>
      </w:r>
      <w:r w:rsidRPr="00BF0ED2" w:rsidDel="004051D0">
        <w:rPr>
          <w:rFonts w:cs="Calibri"/>
          <w:szCs w:val="16"/>
        </w:rPr>
        <w:t xml:space="preserve"> </w:t>
      </w:r>
    </w:p>
  </w:footnote>
  <w:footnote w:id="62">
    <w:p w14:paraId="337F00DF" w14:textId="48AC6DE3" w:rsidR="00795660" w:rsidRPr="005B0DE5" w:rsidRDefault="00795660" w:rsidP="00BF0ED2">
      <w:pPr>
        <w:pStyle w:val="Textonotapie"/>
        <w:spacing w:before="0" w:after="0"/>
      </w:pPr>
      <w:r>
        <w:rPr>
          <w:rStyle w:val="Refdenotaalpie"/>
        </w:rPr>
        <w:footnoteRef/>
      </w:r>
      <w:r>
        <w:t xml:space="preserve"> </w:t>
      </w:r>
      <w:r>
        <w:tab/>
      </w:r>
      <w:r w:rsidRPr="00BF0ED2">
        <w:rPr>
          <w:i/>
        </w:rPr>
        <w:t>Cfr</w:t>
      </w:r>
      <w:r w:rsidRPr="005B0DE5">
        <w:t xml:space="preserve">. </w:t>
      </w:r>
      <w:r w:rsidRPr="00B07549">
        <w:t>Providencia de la Corte Nacional de Justicia Policial, de 11 de noviembre de 2003, donde se niegan los pedidos de ampliación y aclaración del auto motivado y el Recurso de Nulidad y ratificación del Auto Motivado</w:t>
      </w:r>
      <w:r w:rsidRPr="005B0DE5">
        <w:t xml:space="preserve"> (expediente de prueba, fs. 2622 a 2669).</w:t>
      </w:r>
    </w:p>
  </w:footnote>
  <w:footnote w:id="63">
    <w:p w14:paraId="69722E19" w14:textId="1B40F24C" w:rsidR="00795660" w:rsidRPr="00F66533" w:rsidRDefault="00795660" w:rsidP="00A76607">
      <w:pPr>
        <w:pStyle w:val="Textonotapie"/>
        <w:spacing w:before="0" w:after="0"/>
        <w:rPr>
          <w:szCs w:val="16"/>
        </w:rPr>
      </w:pPr>
      <w:r w:rsidRPr="0038124C">
        <w:rPr>
          <w:rStyle w:val="Refdenotaalpie"/>
          <w:szCs w:val="16"/>
        </w:rPr>
        <w:footnoteRef/>
      </w:r>
      <w:r w:rsidRPr="0038124C">
        <w:rPr>
          <w:szCs w:val="16"/>
        </w:rPr>
        <w:t xml:space="preserve"> </w:t>
      </w:r>
      <w:r w:rsidRPr="0038124C">
        <w:rPr>
          <w:szCs w:val="16"/>
        </w:rPr>
        <w:tab/>
      </w:r>
      <w:r w:rsidRPr="007337A0">
        <w:rPr>
          <w:szCs w:val="16"/>
        </w:rPr>
        <w:t>Escrito sobre la solicitud de aclaración y ampliación del recurso del proceso del Ministro Fiscal del 27 de noviembre de 2003 (f</w:t>
      </w:r>
      <w:r>
        <w:rPr>
          <w:szCs w:val="16"/>
        </w:rPr>
        <w:t>s</w:t>
      </w:r>
      <w:r w:rsidRPr="007337A0">
        <w:rPr>
          <w:szCs w:val="16"/>
        </w:rPr>
        <w:t>.</w:t>
      </w:r>
      <w:r>
        <w:rPr>
          <w:szCs w:val="16"/>
        </w:rPr>
        <w:t xml:space="preserve"> 4483 y 4484</w:t>
      </w:r>
      <w:r w:rsidRPr="007337A0">
        <w:rPr>
          <w:szCs w:val="16"/>
        </w:rPr>
        <w:t>).</w:t>
      </w:r>
    </w:p>
  </w:footnote>
  <w:footnote w:id="64">
    <w:p w14:paraId="5ED712AA" w14:textId="0456F559" w:rsidR="00795660" w:rsidRPr="00040A54" w:rsidRDefault="00795660" w:rsidP="009A3EC4">
      <w:pPr>
        <w:autoSpaceDE w:val="0"/>
        <w:autoSpaceDN w:val="0"/>
        <w:adjustRightInd w:val="0"/>
        <w:spacing w:before="0" w:after="0"/>
        <w:rPr>
          <w:rFonts w:cs="Arial"/>
          <w:color w:val="00B050"/>
          <w:sz w:val="16"/>
          <w:szCs w:val="16"/>
        </w:rPr>
      </w:pPr>
      <w:r w:rsidRPr="00F66533">
        <w:rPr>
          <w:rStyle w:val="Refdenotaalpie"/>
          <w:sz w:val="16"/>
          <w:szCs w:val="16"/>
        </w:rPr>
        <w:footnoteRef/>
      </w:r>
      <w:r w:rsidRPr="00F66533">
        <w:rPr>
          <w:sz w:val="16"/>
          <w:szCs w:val="16"/>
        </w:rPr>
        <w:t xml:space="preserve"> </w:t>
      </w:r>
      <w:r w:rsidRPr="00F66533">
        <w:rPr>
          <w:sz w:val="16"/>
          <w:szCs w:val="16"/>
        </w:rPr>
        <w:tab/>
      </w:r>
      <w:r w:rsidRPr="00F66533">
        <w:rPr>
          <w:i/>
          <w:sz w:val="16"/>
          <w:szCs w:val="16"/>
        </w:rPr>
        <w:t>Cfr</w:t>
      </w:r>
      <w:r w:rsidRPr="00F66533">
        <w:rPr>
          <w:sz w:val="16"/>
          <w:szCs w:val="16"/>
        </w:rPr>
        <w:t xml:space="preserve">. </w:t>
      </w:r>
      <w:r w:rsidRPr="00B07549">
        <w:rPr>
          <w:sz w:val="16"/>
          <w:szCs w:val="16"/>
        </w:rPr>
        <w:t>Providencia de la Corte Nacional de Justicia Policial, de 11 de noviembre de 2003, donde se niegan los pedidos de ampliación y aclaración del auto motivado y el Recurso de Nulidad y ratificación del Auto Motivado</w:t>
      </w:r>
      <w:r>
        <w:rPr>
          <w:sz w:val="16"/>
          <w:szCs w:val="16"/>
        </w:rPr>
        <w:t xml:space="preserve">, </w:t>
      </w:r>
      <w:r w:rsidRPr="00BF0ED2">
        <w:rPr>
          <w:rFonts w:cs="Arial"/>
          <w:i/>
          <w:sz w:val="16"/>
          <w:szCs w:val="16"/>
        </w:rPr>
        <w:t>supra</w:t>
      </w:r>
      <w:r>
        <w:rPr>
          <w:rFonts w:cs="Arial"/>
          <w:sz w:val="16"/>
          <w:szCs w:val="16"/>
        </w:rPr>
        <w:t>.</w:t>
      </w:r>
      <w:r w:rsidRPr="00F66533">
        <w:rPr>
          <w:rFonts w:cs="Arial"/>
          <w:sz w:val="16"/>
          <w:szCs w:val="16"/>
        </w:rPr>
        <w:t xml:space="preserve"> </w:t>
      </w:r>
    </w:p>
  </w:footnote>
  <w:footnote w:id="65">
    <w:p w14:paraId="34C6A808" w14:textId="5932AD57" w:rsidR="00795660" w:rsidRPr="00632F27" w:rsidRDefault="00795660" w:rsidP="00985B6E">
      <w:pPr>
        <w:pStyle w:val="Textonotapie"/>
        <w:spacing w:before="0" w:after="0"/>
        <w:rPr>
          <w:szCs w:val="16"/>
        </w:rPr>
      </w:pPr>
      <w:r w:rsidRPr="00146890">
        <w:rPr>
          <w:rStyle w:val="Refdenotaalpie"/>
          <w:szCs w:val="16"/>
        </w:rPr>
        <w:footnoteRef/>
      </w:r>
      <w:r w:rsidRPr="00146890">
        <w:rPr>
          <w:szCs w:val="16"/>
        </w:rPr>
        <w:t xml:space="preserve"> </w:t>
      </w:r>
      <w:r w:rsidRPr="00146890">
        <w:rPr>
          <w:szCs w:val="16"/>
        </w:rPr>
        <w:tab/>
      </w:r>
      <w:r w:rsidRPr="00BF0ED2">
        <w:rPr>
          <w:i/>
          <w:szCs w:val="16"/>
        </w:rPr>
        <w:t>Cfr</w:t>
      </w:r>
      <w:r>
        <w:rPr>
          <w:szCs w:val="16"/>
        </w:rPr>
        <w:t xml:space="preserve">. Resolución dictada por la Corte Nacional de Justicia Policial el 3 de julio de 2003, donde se resuelve negar el Recurso de Amparo de la Libertad presentado por Jorge Villarroel Merino </w:t>
      </w:r>
      <w:r w:rsidRPr="00334204">
        <w:rPr>
          <w:szCs w:val="16"/>
        </w:rPr>
        <w:t>(expediente de prueba, fs.</w:t>
      </w:r>
      <w:r w:rsidRPr="007B3EF2">
        <w:rPr>
          <w:rFonts w:cs="Times New Roman"/>
          <w:color w:val="0B0B0B"/>
          <w:szCs w:val="16"/>
        </w:rPr>
        <w:t xml:space="preserve"> 2682 a 2684). </w:t>
      </w:r>
      <w:r w:rsidRPr="00632F27">
        <w:rPr>
          <w:b/>
          <w:i/>
          <w:szCs w:val="16"/>
        </w:rPr>
        <w:t xml:space="preserve">  </w:t>
      </w:r>
    </w:p>
  </w:footnote>
  <w:footnote w:id="66">
    <w:p w14:paraId="4FDF1FD8" w14:textId="5A9E2942" w:rsidR="00795660" w:rsidRPr="00A53126" w:rsidRDefault="00795660" w:rsidP="00A76607">
      <w:pPr>
        <w:autoSpaceDE w:val="0"/>
        <w:autoSpaceDN w:val="0"/>
        <w:adjustRightInd w:val="0"/>
        <w:spacing w:before="0" w:after="0"/>
        <w:rPr>
          <w:sz w:val="16"/>
          <w:szCs w:val="16"/>
        </w:rPr>
      </w:pPr>
      <w:r w:rsidRPr="00F66533">
        <w:rPr>
          <w:rStyle w:val="Refdenotaalpie"/>
          <w:sz w:val="16"/>
          <w:szCs w:val="16"/>
        </w:rPr>
        <w:footnoteRef/>
      </w:r>
      <w:r>
        <w:rPr>
          <w:sz w:val="16"/>
          <w:szCs w:val="16"/>
        </w:rPr>
        <w:t xml:space="preserve"> </w:t>
      </w:r>
      <w:r>
        <w:rPr>
          <w:sz w:val="16"/>
          <w:szCs w:val="16"/>
        </w:rPr>
        <w:tab/>
      </w:r>
      <w:r w:rsidRPr="00F66533">
        <w:rPr>
          <w:i/>
          <w:sz w:val="16"/>
          <w:szCs w:val="16"/>
        </w:rPr>
        <w:t>Cfr</w:t>
      </w:r>
      <w:r w:rsidRPr="00F66533">
        <w:rPr>
          <w:sz w:val="16"/>
          <w:szCs w:val="16"/>
        </w:rPr>
        <w:t>.</w:t>
      </w:r>
      <w:r>
        <w:rPr>
          <w:sz w:val="16"/>
          <w:szCs w:val="16"/>
        </w:rPr>
        <w:t xml:space="preserve"> </w:t>
      </w:r>
      <w:r w:rsidRPr="00B33ECE">
        <w:rPr>
          <w:sz w:val="16"/>
          <w:szCs w:val="16"/>
        </w:rPr>
        <w:t>Recurso de Amparo presentado por Mario Romel Cevallos Moreno ante la Corte Nacional de Justicia, sin fecha (expediente de prueba, fs. 4393 a 4396)</w:t>
      </w:r>
      <w:r w:rsidRPr="007337A0">
        <w:rPr>
          <w:sz w:val="16"/>
          <w:szCs w:val="16"/>
        </w:rPr>
        <w:t xml:space="preserve"> y </w:t>
      </w:r>
      <w:r w:rsidRPr="000D28B9">
        <w:rPr>
          <w:sz w:val="16"/>
          <w:szCs w:val="16"/>
        </w:rPr>
        <w:t xml:space="preserve">Resolución dictada por la Corte Nacional de Justicia Policial el 3 de julio de 2003, donde se resuelve negar el Recurso de Amparo de la Libertad presentado por Mario Romel Cevallos Moreno </w:t>
      </w:r>
      <w:r w:rsidRPr="00F66533">
        <w:rPr>
          <w:sz w:val="16"/>
          <w:szCs w:val="16"/>
        </w:rPr>
        <w:t>(expediente de prueba, fs.</w:t>
      </w:r>
      <w:r w:rsidRPr="00F66533">
        <w:rPr>
          <w:rFonts w:cs="Times New Roman"/>
          <w:color w:val="0B0B0B"/>
          <w:sz w:val="16"/>
          <w:szCs w:val="16"/>
        </w:rPr>
        <w:t xml:space="preserve"> 2672 a 268</w:t>
      </w:r>
      <w:r>
        <w:rPr>
          <w:rFonts w:cs="Times New Roman"/>
          <w:color w:val="0B0B0B"/>
          <w:sz w:val="16"/>
          <w:szCs w:val="16"/>
        </w:rPr>
        <w:t>1</w:t>
      </w:r>
      <w:r w:rsidRPr="00F66533">
        <w:rPr>
          <w:rFonts w:cs="Times New Roman"/>
          <w:color w:val="0B0B0B"/>
          <w:sz w:val="16"/>
          <w:szCs w:val="16"/>
        </w:rPr>
        <w:t xml:space="preserve">). </w:t>
      </w:r>
      <w:r w:rsidRPr="00F66533">
        <w:rPr>
          <w:b/>
          <w:i/>
          <w:sz w:val="16"/>
          <w:szCs w:val="16"/>
        </w:rPr>
        <w:t xml:space="preserve"> </w:t>
      </w:r>
    </w:p>
  </w:footnote>
  <w:footnote w:id="67">
    <w:p w14:paraId="7368DE3C" w14:textId="64794D8F" w:rsidR="00795660" w:rsidRPr="00441F73" w:rsidRDefault="00795660" w:rsidP="00A76607">
      <w:pPr>
        <w:pStyle w:val="Textonotapie"/>
        <w:spacing w:before="0" w:after="0"/>
        <w:rPr>
          <w:szCs w:val="16"/>
        </w:rPr>
      </w:pPr>
      <w:r w:rsidRPr="00441F73">
        <w:rPr>
          <w:rStyle w:val="Refdenotaalpie"/>
          <w:szCs w:val="16"/>
        </w:rPr>
        <w:footnoteRef/>
      </w:r>
      <w:r w:rsidRPr="00441F73">
        <w:rPr>
          <w:szCs w:val="16"/>
        </w:rPr>
        <w:t xml:space="preserve"> </w:t>
      </w:r>
      <w:r w:rsidRPr="00441F73">
        <w:rPr>
          <w:szCs w:val="16"/>
        </w:rPr>
        <w:tab/>
      </w:r>
      <w:r w:rsidRPr="00BF0ED2">
        <w:rPr>
          <w:i/>
          <w:szCs w:val="16"/>
        </w:rPr>
        <w:t>Cfr</w:t>
      </w:r>
      <w:r>
        <w:rPr>
          <w:szCs w:val="16"/>
        </w:rPr>
        <w:t>.</w:t>
      </w:r>
      <w:r w:rsidRPr="00C26395">
        <w:t xml:space="preserve"> </w:t>
      </w:r>
      <w:r w:rsidRPr="00C26395">
        <w:rPr>
          <w:szCs w:val="16"/>
        </w:rPr>
        <w:t>Resolución dictada por la Corte Nacional de Justicia Policial el 3 de julio de 2003, donde se resuelve negar el Recurso de Amparo de la Libertad presentado por Mario Romel Cevallos Moreno</w:t>
      </w:r>
      <w:r>
        <w:rPr>
          <w:szCs w:val="16"/>
        </w:rPr>
        <w:t>,</w:t>
      </w:r>
      <w:r w:rsidRPr="00C26395">
        <w:rPr>
          <w:szCs w:val="16"/>
        </w:rPr>
        <w:t xml:space="preserve"> </w:t>
      </w:r>
      <w:r w:rsidRPr="00BF0ED2">
        <w:rPr>
          <w:i/>
          <w:szCs w:val="16"/>
        </w:rPr>
        <w:t>supra</w:t>
      </w:r>
      <w:r w:rsidRPr="00C26395">
        <w:rPr>
          <w:szCs w:val="16"/>
        </w:rPr>
        <w:t xml:space="preserve">. </w:t>
      </w:r>
      <w:r w:rsidRPr="00C26395">
        <w:rPr>
          <w:rFonts w:cs="Times New Roman"/>
          <w:color w:val="0B0B0B"/>
          <w:szCs w:val="16"/>
        </w:rPr>
        <w:t xml:space="preserve"> </w:t>
      </w:r>
    </w:p>
  </w:footnote>
  <w:footnote w:id="68">
    <w:p w14:paraId="08D4260E" w14:textId="709415E8" w:rsidR="00795660" w:rsidRPr="00441F73" w:rsidRDefault="00795660" w:rsidP="00BF0ED2">
      <w:pPr>
        <w:autoSpaceDE w:val="0"/>
        <w:autoSpaceDN w:val="0"/>
        <w:adjustRightInd w:val="0"/>
        <w:spacing w:before="0" w:after="0"/>
        <w:rPr>
          <w:color w:val="00B050"/>
          <w:szCs w:val="16"/>
        </w:rPr>
      </w:pPr>
      <w:r w:rsidRPr="00441F73">
        <w:rPr>
          <w:rStyle w:val="Refdenotaalpie"/>
          <w:sz w:val="16"/>
          <w:szCs w:val="16"/>
        </w:rPr>
        <w:footnoteRef/>
      </w:r>
      <w:r w:rsidRPr="00441F73">
        <w:rPr>
          <w:sz w:val="16"/>
          <w:szCs w:val="16"/>
        </w:rPr>
        <w:t xml:space="preserve"> </w:t>
      </w:r>
      <w:r w:rsidRPr="00441F73">
        <w:rPr>
          <w:sz w:val="16"/>
          <w:szCs w:val="16"/>
        </w:rPr>
        <w:tab/>
      </w:r>
      <w:r w:rsidRPr="00441F73">
        <w:rPr>
          <w:i/>
          <w:sz w:val="16"/>
          <w:szCs w:val="16"/>
        </w:rPr>
        <w:t>Cfr.</w:t>
      </w:r>
      <w:r w:rsidRPr="00441F73">
        <w:rPr>
          <w:sz w:val="16"/>
          <w:szCs w:val="16"/>
        </w:rPr>
        <w:t xml:space="preserve"> Resolución de la </w:t>
      </w:r>
      <w:r w:rsidRPr="00441F73">
        <w:rPr>
          <w:rFonts w:eastAsiaTheme="minorHAnsi" w:cs="Bookman Old Style"/>
          <w:sz w:val="16"/>
          <w:szCs w:val="16"/>
          <w:lang w:val="es-CR"/>
        </w:rPr>
        <w:t>Corte Nacional de Justicia de la Policía Nacional de 1</w:t>
      </w:r>
      <w:r>
        <w:rPr>
          <w:rFonts w:eastAsiaTheme="minorHAnsi" w:cs="Bookman Old Style"/>
          <w:sz w:val="16"/>
          <w:szCs w:val="16"/>
          <w:lang w:val="es-CR"/>
        </w:rPr>
        <w:t>3</w:t>
      </w:r>
      <w:r w:rsidRPr="00441F73">
        <w:rPr>
          <w:rFonts w:eastAsiaTheme="minorHAnsi" w:cs="Bookman Old Style"/>
          <w:sz w:val="16"/>
          <w:szCs w:val="16"/>
          <w:lang w:val="es-CR"/>
        </w:rPr>
        <w:t xml:space="preserve"> de noviembre de 2003 (expediente de prueba, fs. 2</w:t>
      </w:r>
      <w:r>
        <w:rPr>
          <w:rFonts w:eastAsiaTheme="minorHAnsi" w:cs="Bookman Old Style"/>
          <w:sz w:val="16"/>
          <w:szCs w:val="16"/>
          <w:lang w:val="es-CR"/>
        </w:rPr>
        <w:t>648 a 2669), y</w:t>
      </w:r>
      <w:r w:rsidRPr="00441F73">
        <w:rPr>
          <w:rFonts w:eastAsiaTheme="minorHAnsi" w:cs="Bookman Old Style"/>
          <w:sz w:val="16"/>
          <w:szCs w:val="16"/>
          <w:lang w:val="es-CR"/>
        </w:rPr>
        <w:t xml:space="preserve"> Corte Nacional de Justicia de la Policí</w:t>
      </w:r>
      <w:r>
        <w:rPr>
          <w:rFonts w:eastAsiaTheme="minorHAnsi" w:cs="Bookman Old Style"/>
          <w:sz w:val="16"/>
          <w:szCs w:val="16"/>
          <w:lang w:val="es-CR"/>
        </w:rPr>
        <w:t xml:space="preserve">a Nacional, </w:t>
      </w:r>
      <w:r w:rsidRPr="00441F73">
        <w:rPr>
          <w:rFonts w:eastAsiaTheme="minorHAnsi" w:cs="Bookman Old Style"/>
          <w:sz w:val="16"/>
          <w:szCs w:val="16"/>
          <w:lang w:val="es-CR"/>
        </w:rPr>
        <w:t>boleta constitucional de excarcela</w:t>
      </w:r>
      <w:r>
        <w:rPr>
          <w:rFonts w:eastAsiaTheme="minorHAnsi" w:cs="Bookman Old Style"/>
          <w:sz w:val="16"/>
          <w:szCs w:val="16"/>
          <w:lang w:val="es-CR"/>
        </w:rPr>
        <w:t>miento</w:t>
      </w:r>
      <w:r w:rsidRPr="00441F73">
        <w:rPr>
          <w:rFonts w:eastAsiaTheme="minorHAnsi" w:cs="Bookman Old Style"/>
          <w:sz w:val="16"/>
          <w:szCs w:val="16"/>
          <w:lang w:val="es-CR"/>
        </w:rPr>
        <w:t xml:space="preserve"> del señor Cevallos Moreno, de 13 de noviembre de 2003 (expediente de prueba, f. 2687).  </w:t>
      </w:r>
    </w:p>
  </w:footnote>
  <w:footnote w:id="69">
    <w:p w14:paraId="01BB19E4" w14:textId="7587F584" w:rsidR="00795660" w:rsidRPr="001661DB" w:rsidRDefault="00795660" w:rsidP="00AC69AA">
      <w:pPr>
        <w:pStyle w:val="Textonotapie"/>
        <w:spacing w:before="0" w:after="0"/>
        <w:rPr>
          <w:i/>
        </w:rPr>
      </w:pPr>
      <w:r w:rsidRPr="00441F73">
        <w:rPr>
          <w:rStyle w:val="Refdenotaalpie"/>
        </w:rPr>
        <w:footnoteRef/>
      </w:r>
      <w:r w:rsidRPr="001661DB">
        <w:rPr>
          <w:i/>
        </w:rPr>
        <w:t xml:space="preserve"> </w:t>
      </w:r>
      <w:r w:rsidRPr="001661DB">
        <w:rPr>
          <w:i/>
        </w:rPr>
        <w:tab/>
        <w:t xml:space="preserve">Cfr. </w:t>
      </w:r>
      <w:r w:rsidRPr="00BF0ED2">
        <w:t>Auto</w:t>
      </w:r>
      <w:r>
        <w:rPr>
          <w:i/>
        </w:rPr>
        <w:t xml:space="preserve"> </w:t>
      </w:r>
      <w:r w:rsidRPr="00BF0ED2">
        <w:t>de la</w:t>
      </w:r>
      <w:r>
        <w:rPr>
          <w:i/>
        </w:rPr>
        <w:t xml:space="preserve"> </w:t>
      </w:r>
      <w:r w:rsidRPr="00B90EC7">
        <w:t xml:space="preserve">Corte Nacional de Justicia de la Policía Nacional, Causa 36-PCJP-2002, de 2 de diciembre de 2003 </w:t>
      </w:r>
      <w:r w:rsidRPr="00B90EC7">
        <w:rPr>
          <w:szCs w:val="16"/>
        </w:rPr>
        <w:t>(expediente de prueba, fs.</w:t>
      </w:r>
      <w:r w:rsidRPr="00B90EC7">
        <w:rPr>
          <w:rFonts w:cs="Times New Roman"/>
          <w:color w:val="0B0B0B"/>
          <w:szCs w:val="16"/>
        </w:rPr>
        <w:t xml:space="preserve"> 3514 a 3515).</w:t>
      </w:r>
    </w:p>
  </w:footnote>
  <w:footnote w:id="70">
    <w:p w14:paraId="339B5655" w14:textId="73EF3FF7" w:rsidR="00795660" w:rsidRPr="006D047E" w:rsidRDefault="00795660" w:rsidP="00AC69AA">
      <w:pPr>
        <w:pStyle w:val="Textonotapie"/>
        <w:spacing w:before="0" w:after="0"/>
      </w:pPr>
      <w:r>
        <w:rPr>
          <w:rStyle w:val="Refdenotaalpie"/>
        </w:rPr>
        <w:footnoteRef/>
      </w:r>
      <w:r>
        <w:t xml:space="preserve"> </w:t>
      </w:r>
      <w:r>
        <w:tab/>
      </w:r>
      <w:r w:rsidRPr="00632F27">
        <w:rPr>
          <w:rFonts w:cs="Times New Roman"/>
          <w:i/>
          <w:color w:val="1B1B1B"/>
          <w:szCs w:val="16"/>
        </w:rPr>
        <w:t>Cfr</w:t>
      </w:r>
      <w:r w:rsidRPr="00632F27">
        <w:rPr>
          <w:rFonts w:cs="Times New Roman"/>
          <w:color w:val="1B1B1B"/>
          <w:szCs w:val="16"/>
        </w:rPr>
        <w:t xml:space="preserve">. Resolución dictada por la Corte </w:t>
      </w:r>
      <w:r w:rsidRPr="00632F27">
        <w:rPr>
          <w:rFonts w:cs="Times New Roman"/>
          <w:color w:val="2F2F2F"/>
          <w:szCs w:val="16"/>
        </w:rPr>
        <w:t xml:space="preserve">Suprema </w:t>
      </w:r>
      <w:r w:rsidRPr="00632F27">
        <w:rPr>
          <w:rFonts w:cs="Times New Roman"/>
          <w:color w:val="1B1B1B"/>
          <w:szCs w:val="16"/>
        </w:rPr>
        <w:t xml:space="preserve">de Justicia </w:t>
      </w:r>
      <w:r>
        <w:rPr>
          <w:rFonts w:cs="Times New Roman"/>
          <w:color w:val="2F2F2F"/>
          <w:szCs w:val="16"/>
        </w:rPr>
        <w:t xml:space="preserve">el </w:t>
      </w:r>
      <w:r>
        <w:rPr>
          <w:rFonts w:cs="Times New Roman"/>
          <w:color w:val="1B1B1B"/>
          <w:szCs w:val="16"/>
        </w:rPr>
        <w:t>14</w:t>
      </w:r>
      <w:r w:rsidRPr="00632F27">
        <w:rPr>
          <w:rFonts w:cs="Times New Roman"/>
          <w:color w:val="1B1B1B"/>
          <w:szCs w:val="16"/>
        </w:rPr>
        <w:t xml:space="preserve"> </w:t>
      </w:r>
      <w:r w:rsidRPr="00632F27">
        <w:rPr>
          <w:rFonts w:cs="Times New Roman"/>
          <w:color w:val="2F2F2F"/>
          <w:szCs w:val="16"/>
        </w:rPr>
        <w:t xml:space="preserve">de enero </w:t>
      </w:r>
      <w:r w:rsidRPr="00632F27">
        <w:rPr>
          <w:rFonts w:cs="Times New Roman"/>
          <w:color w:val="1B1B1B"/>
          <w:szCs w:val="16"/>
        </w:rPr>
        <w:t xml:space="preserve">del 2004 </w:t>
      </w:r>
      <w:r w:rsidRPr="00632F27">
        <w:rPr>
          <w:szCs w:val="16"/>
        </w:rPr>
        <w:t xml:space="preserve">(expediente de prueba, fs. </w:t>
      </w:r>
      <w:r>
        <w:rPr>
          <w:rFonts w:cs="Times New Roman"/>
          <w:color w:val="1B1B1B"/>
          <w:szCs w:val="16"/>
        </w:rPr>
        <w:t>2526</w:t>
      </w:r>
      <w:r w:rsidRPr="00632F27">
        <w:rPr>
          <w:rFonts w:cs="Times New Roman"/>
          <w:color w:val="1B1B1B"/>
          <w:szCs w:val="16"/>
        </w:rPr>
        <w:t xml:space="preserve"> a </w:t>
      </w:r>
      <w:r w:rsidRPr="006D047E">
        <w:rPr>
          <w:rFonts w:cs="Times New Roman"/>
          <w:color w:val="1B1B1B"/>
          <w:szCs w:val="16"/>
        </w:rPr>
        <w:t>2527).</w:t>
      </w:r>
    </w:p>
  </w:footnote>
  <w:footnote w:id="71">
    <w:p w14:paraId="7A7F8A0A" w14:textId="2AC0E05D" w:rsidR="00795660" w:rsidRPr="006D047E" w:rsidRDefault="00795660" w:rsidP="00AC69AA">
      <w:pPr>
        <w:autoSpaceDE w:val="0"/>
        <w:autoSpaceDN w:val="0"/>
        <w:adjustRightInd w:val="0"/>
        <w:spacing w:before="0" w:after="0"/>
        <w:rPr>
          <w:b/>
          <w:sz w:val="16"/>
          <w:szCs w:val="16"/>
        </w:rPr>
      </w:pPr>
      <w:r w:rsidRPr="006D047E">
        <w:rPr>
          <w:rStyle w:val="Refdenotaalpie"/>
          <w:sz w:val="16"/>
          <w:szCs w:val="16"/>
        </w:rPr>
        <w:footnoteRef/>
      </w:r>
      <w:r w:rsidRPr="006D047E">
        <w:rPr>
          <w:rFonts w:cs="Times New Roman"/>
          <w:color w:val="1B1B1B"/>
          <w:sz w:val="16"/>
          <w:szCs w:val="16"/>
        </w:rPr>
        <w:t xml:space="preserve"> </w:t>
      </w:r>
      <w:r w:rsidRPr="006D047E">
        <w:rPr>
          <w:rFonts w:cs="Times New Roman"/>
          <w:color w:val="1B1B1B"/>
          <w:sz w:val="16"/>
          <w:szCs w:val="16"/>
        </w:rPr>
        <w:tab/>
      </w:r>
      <w:r w:rsidRPr="006D047E">
        <w:rPr>
          <w:rFonts w:cs="Times New Roman"/>
          <w:i/>
          <w:color w:val="1B1B1B"/>
          <w:sz w:val="16"/>
          <w:szCs w:val="16"/>
        </w:rPr>
        <w:t>Cfr</w:t>
      </w:r>
      <w:r w:rsidRPr="006D047E">
        <w:rPr>
          <w:rFonts w:cs="Times New Roman"/>
          <w:color w:val="1B1B1B"/>
          <w:sz w:val="16"/>
          <w:szCs w:val="16"/>
        </w:rPr>
        <w:t xml:space="preserve">. Resolución dictada por la Corte </w:t>
      </w:r>
      <w:r w:rsidRPr="006D047E">
        <w:rPr>
          <w:rFonts w:cs="Times New Roman"/>
          <w:color w:val="2F2F2F"/>
          <w:sz w:val="16"/>
          <w:szCs w:val="16"/>
        </w:rPr>
        <w:t xml:space="preserve">Suprema </w:t>
      </w:r>
      <w:r w:rsidRPr="006D047E">
        <w:rPr>
          <w:rFonts w:cs="Times New Roman"/>
          <w:color w:val="1B1B1B"/>
          <w:sz w:val="16"/>
          <w:szCs w:val="16"/>
        </w:rPr>
        <w:t>de Justicia</w:t>
      </w:r>
      <w:r>
        <w:rPr>
          <w:rFonts w:cs="Times New Roman"/>
          <w:color w:val="1B1B1B"/>
          <w:sz w:val="16"/>
          <w:szCs w:val="16"/>
        </w:rPr>
        <w:t xml:space="preserve"> el 9 de enero de 2004</w:t>
      </w:r>
      <w:r w:rsidRPr="006D047E">
        <w:rPr>
          <w:rFonts w:cs="Times New Roman"/>
          <w:color w:val="1B1B1B"/>
          <w:sz w:val="16"/>
          <w:szCs w:val="16"/>
        </w:rPr>
        <w:t xml:space="preserve"> </w:t>
      </w:r>
      <w:r w:rsidRPr="006D047E">
        <w:rPr>
          <w:rFonts w:cs="Times New Roman"/>
          <w:color w:val="2F2F2F"/>
          <w:sz w:val="16"/>
          <w:szCs w:val="16"/>
        </w:rPr>
        <w:t xml:space="preserve">y </w:t>
      </w:r>
      <w:r w:rsidRPr="006D047E">
        <w:rPr>
          <w:rFonts w:cs="Times New Roman"/>
          <w:color w:val="1B1B1B"/>
          <w:sz w:val="16"/>
          <w:szCs w:val="16"/>
        </w:rPr>
        <w:t xml:space="preserve">publicada en </w:t>
      </w:r>
      <w:r w:rsidRPr="006D047E">
        <w:rPr>
          <w:rFonts w:cs="Times New Roman"/>
          <w:color w:val="2F2F2F"/>
          <w:sz w:val="16"/>
          <w:szCs w:val="16"/>
        </w:rPr>
        <w:t xml:space="preserve">el </w:t>
      </w:r>
      <w:r w:rsidRPr="006D047E">
        <w:rPr>
          <w:rFonts w:cs="Times New Roman"/>
          <w:color w:val="1B1B1B"/>
          <w:sz w:val="16"/>
          <w:szCs w:val="16"/>
        </w:rPr>
        <w:t xml:space="preserve">Registro </w:t>
      </w:r>
      <w:r w:rsidRPr="006D047E">
        <w:rPr>
          <w:rFonts w:cs="Times New Roman"/>
          <w:color w:val="2F2F2F"/>
          <w:sz w:val="16"/>
          <w:szCs w:val="16"/>
        </w:rPr>
        <w:t xml:space="preserve">Oficial </w:t>
      </w:r>
      <w:r w:rsidRPr="006D047E">
        <w:rPr>
          <w:rFonts w:cs="Times New Roman"/>
          <w:color w:val="1B1B1B"/>
          <w:sz w:val="16"/>
          <w:szCs w:val="16"/>
        </w:rPr>
        <w:t xml:space="preserve">No. </w:t>
      </w:r>
      <w:r w:rsidRPr="006D047E">
        <w:rPr>
          <w:rFonts w:cs="Times New Roman"/>
          <w:color w:val="2F2F2F"/>
          <w:sz w:val="16"/>
          <w:szCs w:val="16"/>
        </w:rPr>
        <w:t xml:space="preserve">258 </w:t>
      </w:r>
      <w:r w:rsidRPr="006D047E">
        <w:rPr>
          <w:rFonts w:cs="Times New Roman"/>
          <w:color w:val="1B1B1B"/>
          <w:sz w:val="16"/>
          <w:szCs w:val="16"/>
        </w:rPr>
        <w:t xml:space="preserve">de 23 </w:t>
      </w:r>
      <w:r w:rsidRPr="006D047E">
        <w:rPr>
          <w:rFonts w:cs="Times New Roman"/>
          <w:color w:val="2F2F2F"/>
          <w:sz w:val="16"/>
          <w:szCs w:val="16"/>
        </w:rPr>
        <w:t xml:space="preserve">de enero </w:t>
      </w:r>
      <w:r w:rsidRPr="006D047E">
        <w:rPr>
          <w:rFonts w:cs="Times New Roman"/>
          <w:color w:val="1B1B1B"/>
          <w:sz w:val="16"/>
          <w:szCs w:val="16"/>
        </w:rPr>
        <w:t xml:space="preserve">del 2004 </w:t>
      </w:r>
      <w:r w:rsidRPr="006D047E">
        <w:rPr>
          <w:sz w:val="16"/>
          <w:szCs w:val="16"/>
        </w:rPr>
        <w:t xml:space="preserve">(expediente de prueba, fs. </w:t>
      </w:r>
      <w:r w:rsidRPr="006D047E">
        <w:rPr>
          <w:rFonts w:cs="Times New Roman"/>
          <w:color w:val="1B1B1B"/>
          <w:sz w:val="16"/>
          <w:szCs w:val="16"/>
        </w:rPr>
        <w:t xml:space="preserve">2518 a 2525). </w:t>
      </w:r>
      <w:r w:rsidRPr="006D047E">
        <w:rPr>
          <w:rFonts w:cs="Arial"/>
          <w:sz w:val="16"/>
          <w:szCs w:val="16"/>
        </w:rPr>
        <w:t xml:space="preserve"> Agregó que “la prisión preventiva como medida cautelar d</w:t>
      </w:r>
      <w:r>
        <w:rPr>
          <w:rFonts w:cs="Arial"/>
          <w:sz w:val="16"/>
          <w:szCs w:val="16"/>
        </w:rPr>
        <w:t>e</w:t>
      </w:r>
      <w:r w:rsidRPr="006D047E">
        <w:rPr>
          <w:rFonts w:cs="Arial"/>
          <w:sz w:val="16"/>
          <w:szCs w:val="16"/>
        </w:rPr>
        <w:t xml:space="preserve"> orden personal inserta en el Código de Procedimiento Penal es una norma de carácter procesal, la misma que al sustituirse con la “detención en firme”, cuando se dicta el auto de llamamiento a juicio, crea graves problemas porque siendo esta última una institución desfavorable a los reos, no puede aplicarse con efecto retroactivo, sino en juicios que iniciaren a partir del 13 de enero de 2003, rigiendo para los anteriores la prisión preventiva a dictarse o confirmarse en el auto de llamamiento a juicio de conformidad con el Art. 232 numeral 4 del Código de Procedimiento Penal”</w:t>
      </w:r>
      <w:r>
        <w:rPr>
          <w:rFonts w:cs="Arial"/>
          <w:sz w:val="16"/>
          <w:szCs w:val="16"/>
        </w:rPr>
        <w:t>.</w:t>
      </w:r>
      <w:r w:rsidRPr="006D047E">
        <w:rPr>
          <w:rFonts w:cs="Arial"/>
          <w:sz w:val="16"/>
          <w:szCs w:val="16"/>
        </w:rPr>
        <w:t xml:space="preserve"> </w:t>
      </w:r>
    </w:p>
  </w:footnote>
  <w:footnote w:id="72">
    <w:p w14:paraId="25BA4A98" w14:textId="3AED3521" w:rsidR="00795660" w:rsidRPr="003717BB" w:rsidRDefault="00795660" w:rsidP="008508D5">
      <w:pPr>
        <w:pStyle w:val="Textonotapie"/>
        <w:spacing w:before="0" w:after="0"/>
        <w:rPr>
          <w:lang w:val="es-ES"/>
        </w:rPr>
      </w:pPr>
      <w:r>
        <w:rPr>
          <w:rStyle w:val="Refdenotaalpie"/>
        </w:rPr>
        <w:footnoteRef/>
      </w:r>
      <w:r>
        <w:t xml:space="preserve"> </w:t>
      </w:r>
      <w:r>
        <w:rPr>
          <w:lang w:val="es-ES"/>
        </w:rPr>
        <w:tab/>
        <w:t xml:space="preserve">Auto de la Corte Nacional de Justicia de la Policía Nacional, Causa 36-PCJP-2002, de </w:t>
      </w:r>
      <w:r w:rsidRPr="00F45643">
        <w:rPr>
          <w:lang w:val="es-ES"/>
        </w:rPr>
        <w:t>27 de enero de 2004</w:t>
      </w:r>
      <w:r>
        <w:rPr>
          <w:lang w:val="es-ES"/>
        </w:rPr>
        <w:t xml:space="preserve"> (expediente de prueba, f. 3517).</w:t>
      </w:r>
    </w:p>
  </w:footnote>
  <w:footnote w:id="73">
    <w:p w14:paraId="35135FB4" w14:textId="06A85B15" w:rsidR="00795660" w:rsidRPr="0091361D" w:rsidRDefault="00795660" w:rsidP="00A76607">
      <w:pPr>
        <w:pStyle w:val="Textonotapie"/>
        <w:spacing w:before="0" w:after="0"/>
        <w:rPr>
          <w:i/>
        </w:rPr>
      </w:pPr>
      <w:r w:rsidRPr="00362E93">
        <w:rPr>
          <w:rStyle w:val="Refdenotaalpie"/>
        </w:rPr>
        <w:footnoteRef/>
      </w:r>
      <w:r w:rsidRPr="00362E93">
        <w:t xml:space="preserve"> </w:t>
      </w:r>
      <w:r w:rsidRPr="0091361D">
        <w:rPr>
          <w:i/>
        </w:rPr>
        <w:tab/>
      </w:r>
      <w:r w:rsidRPr="00FB6AA2">
        <w:t>Auto</w:t>
      </w:r>
      <w:r>
        <w:t xml:space="preserve"> de la</w:t>
      </w:r>
      <w:r w:rsidRPr="00FB6AA2">
        <w:t xml:space="preserve"> Corte Nacional de Justicia de la Policía</w:t>
      </w:r>
      <w:r>
        <w:t xml:space="preserve"> Nacional, Causa 36-PCJP-2002, </w:t>
      </w:r>
      <w:r w:rsidRPr="00FB6AA2">
        <w:t xml:space="preserve">de 25 de mayo de 2004 </w:t>
      </w:r>
      <w:r w:rsidRPr="00FB6AA2">
        <w:rPr>
          <w:szCs w:val="16"/>
        </w:rPr>
        <w:t>(expediente de prueba, f. 3520).</w:t>
      </w:r>
    </w:p>
  </w:footnote>
  <w:footnote w:id="74">
    <w:p w14:paraId="397A86A9" w14:textId="09A73182" w:rsidR="00795660" w:rsidRPr="00834CA8" w:rsidRDefault="00795660" w:rsidP="00A76607">
      <w:pPr>
        <w:pStyle w:val="Textonotapie"/>
        <w:spacing w:before="0" w:after="0"/>
        <w:rPr>
          <w:i/>
        </w:rPr>
      </w:pPr>
      <w:r w:rsidRPr="00362E93">
        <w:rPr>
          <w:rStyle w:val="Refdenotaalpie"/>
        </w:rPr>
        <w:footnoteRef/>
      </w:r>
      <w:r w:rsidRPr="00362E93">
        <w:t xml:space="preserve"> </w:t>
      </w:r>
      <w:r w:rsidRPr="00834CA8">
        <w:rPr>
          <w:i/>
        </w:rPr>
        <w:tab/>
        <w:t xml:space="preserve">Cfr. </w:t>
      </w:r>
      <w:r w:rsidRPr="00FB6AA2">
        <w:rPr>
          <w:rFonts w:eastAsiaTheme="minorHAnsi" w:cs="Bookman Old Style"/>
          <w:lang w:val="es-CR"/>
        </w:rPr>
        <w:t>Corte Nacional de Justicia de la Policía Nacional, Causa 36-PCJP-2002, Boletas constitucionales de excarcela</w:t>
      </w:r>
      <w:r>
        <w:rPr>
          <w:rFonts w:eastAsiaTheme="minorHAnsi" w:cs="Bookman Old Style"/>
          <w:lang w:val="es-CR"/>
        </w:rPr>
        <w:t>miento</w:t>
      </w:r>
      <w:r w:rsidRPr="00FB6AA2">
        <w:rPr>
          <w:rFonts w:eastAsiaTheme="minorHAnsi" w:cs="Bookman Old Style"/>
          <w:lang w:val="es-CR"/>
        </w:rPr>
        <w:t xml:space="preserve"> de los se</w:t>
      </w:r>
      <w:r>
        <w:rPr>
          <w:rFonts w:eastAsiaTheme="minorHAnsi" w:cs="Bookman Old Style"/>
          <w:lang w:val="es-CR"/>
        </w:rPr>
        <w:t>ñores Ascázubi Albán, López Orti</w:t>
      </w:r>
      <w:r w:rsidRPr="00FB6AA2">
        <w:rPr>
          <w:rFonts w:eastAsiaTheme="minorHAnsi" w:cs="Bookman Old Style"/>
          <w:lang w:val="es-CR"/>
        </w:rPr>
        <w:t xml:space="preserve">z, Coloma Gaibor y Vinueza Pánchez, de 25 de mayo de 2004 </w:t>
      </w:r>
      <w:r w:rsidRPr="00FB6AA2">
        <w:rPr>
          <w:szCs w:val="16"/>
        </w:rPr>
        <w:t>(expediente de prueba, f</w:t>
      </w:r>
      <w:r>
        <w:rPr>
          <w:szCs w:val="16"/>
        </w:rPr>
        <w:t>s</w:t>
      </w:r>
      <w:r w:rsidRPr="00FB6AA2">
        <w:rPr>
          <w:szCs w:val="16"/>
        </w:rPr>
        <w:t>. 3522 a 3525).</w:t>
      </w:r>
    </w:p>
  </w:footnote>
  <w:footnote w:id="75">
    <w:p w14:paraId="06B0B70D" w14:textId="7CDF279D" w:rsidR="00795660" w:rsidRPr="001661DB" w:rsidRDefault="00795660" w:rsidP="00D255DC">
      <w:pPr>
        <w:pStyle w:val="Textonotapie"/>
        <w:spacing w:before="0" w:after="0"/>
        <w:rPr>
          <w:szCs w:val="16"/>
        </w:rPr>
      </w:pPr>
      <w:r w:rsidRPr="00362E93">
        <w:rPr>
          <w:rStyle w:val="Refdenotaalpie"/>
        </w:rPr>
        <w:footnoteRef/>
      </w:r>
      <w:r w:rsidRPr="001661DB">
        <w:rPr>
          <w:i/>
        </w:rPr>
        <w:t xml:space="preserve"> </w:t>
      </w:r>
      <w:r w:rsidRPr="001661DB">
        <w:rPr>
          <w:i/>
        </w:rPr>
        <w:tab/>
        <w:t>Cfr.</w:t>
      </w:r>
      <w:r>
        <w:rPr>
          <w:i/>
        </w:rPr>
        <w:t xml:space="preserve"> </w:t>
      </w:r>
      <w:r w:rsidRPr="000464AF">
        <w:t xml:space="preserve">Solicitud de excarcelación del señor Villarroel Merino dirigida a la </w:t>
      </w:r>
      <w:r w:rsidRPr="000464AF">
        <w:rPr>
          <w:rFonts w:eastAsiaTheme="minorHAnsi" w:cs="Bookman Old Style"/>
          <w:lang w:val="es-CR"/>
        </w:rPr>
        <w:t xml:space="preserve">Corte Nacional de Justicia de la Policía Nacional, Causa 36-PCJP-2002, el 3 de junio de 2004 </w:t>
      </w:r>
      <w:r w:rsidRPr="000464AF">
        <w:rPr>
          <w:szCs w:val="16"/>
        </w:rPr>
        <w:t>(expediente de prueba, f. 3527</w:t>
      </w:r>
      <w:r w:rsidRPr="00D255DC">
        <w:rPr>
          <w:szCs w:val="16"/>
        </w:rPr>
        <w:t>)</w:t>
      </w:r>
      <w:r>
        <w:rPr>
          <w:szCs w:val="16"/>
        </w:rPr>
        <w:t xml:space="preserve">, y Boleta constitucional de excarcelamiento del señor Villarroel Merino, de </w:t>
      </w:r>
      <w:r w:rsidRPr="00196466">
        <w:rPr>
          <w:szCs w:val="16"/>
        </w:rPr>
        <w:t>4</w:t>
      </w:r>
      <w:r>
        <w:rPr>
          <w:szCs w:val="16"/>
        </w:rPr>
        <w:t xml:space="preserve"> de junio de 2004 (expediente de prueba, f. 3529)</w:t>
      </w:r>
      <w:r w:rsidRPr="00D255DC">
        <w:rPr>
          <w:szCs w:val="16"/>
        </w:rPr>
        <w:t>.</w:t>
      </w:r>
    </w:p>
  </w:footnote>
  <w:footnote w:id="76">
    <w:p w14:paraId="4C3E8C93" w14:textId="7BA7C65E" w:rsidR="00795660" w:rsidRPr="00AD7487" w:rsidRDefault="00795660" w:rsidP="00A76607">
      <w:pPr>
        <w:pStyle w:val="Textonotapie"/>
        <w:spacing w:before="0" w:after="0"/>
        <w:rPr>
          <w:szCs w:val="16"/>
        </w:rPr>
      </w:pPr>
      <w:r w:rsidRPr="00AD7487">
        <w:rPr>
          <w:rStyle w:val="Refdenotaalpie"/>
          <w:szCs w:val="16"/>
        </w:rPr>
        <w:footnoteRef/>
      </w:r>
      <w:r w:rsidRPr="00AD7487">
        <w:rPr>
          <w:szCs w:val="16"/>
        </w:rPr>
        <w:t xml:space="preserve">  </w:t>
      </w:r>
      <w:r w:rsidRPr="00AD7487">
        <w:rPr>
          <w:szCs w:val="16"/>
        </w:rPr>
        <w:tab/>
      </w:r>
      <w:r w:rsidRPr="00AD7487">
        <w:rPr>
          <w:rFonts w:cs="Calibri"/>
          <w:szCs w:val="16"/>
        </w:rPr>
        <w:t xml:space="preserve">Dictamen del Ministro Fiscal de la Corte Nacional de Justicia Policial de 8 de octubre de 2004 </w:t>
      </w:r>
      <w:r w:rsidRPr="00AD7487">
        <w:rPr>
          <w:szCs w:val="16"/>
        </w:rPr>
        <w:t>(expediente de prueba, fs. 6 a 40)</w:t>
      </w:r>
    </w:p>
  </w:footnote>
  <w:footnote w:id="77">
    <w:p w14:paraId="23775B7F" w14:textId="7C1FF79C" w:rsidR="00795660" w:rsidRPr="00E6680A" w:rsidRDefault="00795660" w:rsidP="0008216B">
      <w:pPr>
        <w:pStyle w:val="Textonotapie"/>
        <w:spacing w:before="0" w:after="0"/>
        <w:rPr>
          <w:szCs w:val="16"/>
        </w:rPr>
      </w:pPr>
      <w:r w:rsidRPr="00AD7487">
        <w:rPr>
          <w:rStyle w:val="Refdenotaalpie"/>
          <w:szCs w:val="16"/>
        </w:rPr>
        <w:footnoteRef/>
      </w:r>
      <w:r w:rsidRPr="00AD7487">
        <w:rPr>
          <w:szCs w:val="16"/>
        </w:rPr>
        <w:t xml:space="preserve"> </w:t>
      </w:r>
      <w:r w:rsidRPr="00AD7487">
        <w:rPr>
          <w:szCs w:val="16"/>
        </w:rPr>
        <w:tab/>
      </w:r>
      <w:r w:rsidRPr="00AD7487">
        <w:rPr>
          <w:i/>
          <w:szCs w:val="16"/>
        </w:rPr>
        <w:t>Cfr</w:t>
      </w:r>
      <w:r w:rsidRPr="00AD7487">
        <w:rPr>
          <w:szCs w:val="16"/>
        </w:rPr>
        <w:t>. S</w:t>
      </w:r>
      <w:r>
        <w:rPr>
          <w:szCs w:val="16"/>
        </w:rPr>
        <w:t xml:space="preserve">entencia de </w:t>
      </w:r>
      <w:r w:rsidRPr="00AD7487">
        <w:rPr>
          <w:szCs w:val="16"/>
        </w:rPr>
        <w:t xml:space="preserve">la Corte Nacional de Justicia Policial </w:t>
      </w:r>
      <w:r>
        <w:rPr>
          <w:szCs w:val="16"/>
        </w:rPr>
        <w:t xml:space="preserve">de </w:t>
      </w:r>
      <w:r w:rsidRPr="00AD7487">
        <w:rPr>
          <w:szCs w:val="16"/>
        </w:rPr>
        <w:t>10</w:t>
      </w:r>
      <w:r w:rsidRPr="00E6680A">
        <w:rPr>
          <w:szCs w:val="16"/>
        </w:rPr>
        <w:t xml:space="preserve"> de enero de 2005 (expediente de prueba, fs. 2567 a 2600)</w:t>
      </w:r>
      <w:r>
        <w:rPr>
          <w:szCs w:val="16"/>
        </w:rPr>
        <w:t>.</w:t>
      </w:r>
    </w:p>
  </w:footnote>
  <w:footnote w:id="78">
    <w:p w14:paraId="0C69BFF4" w14:textId="6A7F4ECD" w:rsidR="00795660" w:rsidRPr="0008216B" w:rsidRDefault="00795660" w:rsidP="0008216B">
      <w:pPr>
        <w:pStyle w:val="Textonotapie"/>
        <w:spacing w:before="0" w:after="0"/>
        <w:rPr>
          <w:color w:val="00B050"/>
          <w:lang w:val="es-CR"/>
        </w:rPr>
      </w:pPr>
      <w:r>
        <w:rPr>
          <w:rStyle w:val="Refdenotaalpie"/>
        </w:rPr>
        <w:footnoteRef/>
      </w:r>
      <w:r>
        <w:t xml:space="preserve"> </w:t>
      </w:r>
      <w:r>
        <w:tab/>
      </w:r>
      <w:r w:rsidRPr="00B33ECE">
        <w:rPr>
          <w:rFonts w:cs="Times New Roman"/>
          <w:lang w:val="es-CR"/>
        </w:rPr>
        <w:t>Decreto Ejecutivo No. 227 de 10 de junio de 2005</w:t>
      </w:r>
      <w:r w:rsidRPr="00B33ECE">
        <w:t xml:space="preserve"> </w:t>
      </w:r>
      <w:r w:rsidRPr="00AD7487">
        <w:rPr>
          <w:szCs w:val="16"/>
        </w:rPr>
        <w:t>(</w:t>
      </w:r>
      <w:r>
        <w:rPr>
          <w:szCs w:val="16"/>
        </w:rPr>
        <w:t>expediente de prueba</w:t>
      </w:r>
      <w:r w:rsidRPr="00AD7487">
        <w:rPr>
          <w:szCs w:val="16"/>
        </w:rPr>
        <w:t>,</w:t>
      </w:r>
      <w:r>
        <w:rPr>
          <w:szCs w:val="16"/>
        </w:rPr>
        <w:t xml:space="preserve"> fs</w:t>
      </w:r>
      <w:r w:rsidRPr="00AD7487">
        <w:rPr>
          <w:szCs w:val="16"/>
        </w:rPr>
        <w:t xml:space="preserve">. </w:t>
      </w:r>
      <w:r>
        <w:rPr>
          <w:szCs w:val="16"/>
        </w:rPr>
        <w:t>2695 y 2696</w:t>
      </w:r>
      <w:r w:rsidRPr="00AD7487">
        <w:rPr>
          <w:szCs w:val="16"/>
        </w:rPr>
        <w:t>)</w:t>
      </w:r>
      <w:r>
        <w:rPr>
          <w:szCs w:val="16"/>
        </w:rPr>
        <w:t>.</w:t>
      </w:r>
    </w:p>
  </w:footnote>
  <w:footnote w:id="79">
    <w:p w14:paraId="0CADDD06" w14:textId="449AD813" w:rsidR="00795660" w:rsidRPr="009C6B29" w:rsidRDefault="00795660" w:rsidP="0008216B">
      <w:pPr>
        <w:autoSpaceDE w:val="0"/>
        <w:autoSpaceDN w:val="0"/>
        <w:adjustRightInd w:val="0"/>
        <w:spacing w:before="0" w:after="0"/>
        <w:rPr>
          <w:sz w:val="16"/>
          <w:szCs w:val="16"/>
        </w:rPr>
      </w:pPr>
      <w:r w:rsidRPr="009C6B29">
        <w:rPr>
          <w:rStyle w:val="Refdenotaalpie"/>
          <w:sz w:val="16"/>
          <w:szCs w:val="16"/>
        </w:rPr>
        <w:footnoteRef/>
      </w:r>
      <w:r w:rsidRPr="009C6B29">
        <w:rPr>
          <w:sz w:val="16"/>
          <w:szCs w:val="16"/>
        </w:rPr>
        <w:t xml:space="preserve"> </w:t>
      </w:r>
      <w:r w:rsidRPr="009C6B29">
        <w:rPr>
          <w:sz w:val="16"/>
          <w:szCs w:val="16"/>
        </w:rPr>
        <w:tab/>
      </w:r>
      <w:r w:rsidRPr="00B33ECE">
        <w:rPr>
          <w:sz w:val="16"/>
          <w:szCs w:val="16"/>
        </w:rPr>
        <w:t>Se deja aclarado que en la presente Sentencia se señala con iniciales, o mediante referencias a cargos que ocupaban, a personas respecto de las que no consta que hayan tenido intervención en el trámite del caso en el ámbito internacional, ante la Comisión Interamericana o la Corte Interamericana.</w:t>
      </w:r>
    </w:p>
  </w:footnote>
  <w:footnote w:id="80">
    <w:p w14:paraId="0504D8FE" w14:textId="23BD25BF" w:rsidR="00795660" w:rsidRPr="009C6B29" w:rsidRDefault="00795660" w:rsidP="00362E93">
      <w:pPr>
        <w:pStyle w:val="Textonotapie"/>
        <w:spacing w:before="0" w:after="0"/>
        <w:rPr>
          <w:szCs w:val="16"/>
        </w:rPr>
      </w:pPr>
      <w:r w:rsidRPr="009C6B29">
        <w:rPr>
          <w:rStyle w:val="Refdenotaalpie"/>
          <w:szCs w:val="16"/>
        </w:rPr>
        <w:footnoteRef/>
      </w:r>
      <w:r w:rsidRPr="009C6B29">
        <w:rPr>
          <w:szCs w:val="16"/>
        </w:rPr>
        <w:t xml:space="preserve"> </w:t>
      </w:r>
      <w:r w:rsidRPr="009C6B29">
        <w:rPr>
          <w:szCs w:val="16"/>
        </w:rPr>
        <w:tab/>
      </w:r>
      <w:r w:rsidRPr="009C6B29">
        <w:rPr>
          <w:i/>
          <w:szCs w:val="16"/>
        </w:rPr>
        <w:t>Cfr</w:t>
      </w:r>
      <w:r w:rsidRPr="009C6B29">
        <w:rPr>
          <w:szCs w:val="16"/>
        </w:rPr>
        <w:t xml:space="preserve">. </w:t>
      </w:r>
      <w:r>
        <w:rPr>
          <w:szCs w:val="16"/>
        </w:rPr>
        <w:t xml:space="preserve">Sentencia de </w:t>
      </w:r>
      <w:r w:rsidRPr="006C0C75">
        <w:rPr>
          <w:szCs w:val="16"/>
        </w:rPr>
        <w:t>la Corte Nacional de Justicia Policial</w:t>
      </w:r>
      <w:r>
        <w:rPr>
          <w:szCs w:val="16"/>
        </w:rPr>
        <w:t>,</w:t>
      </w:r>
      <w:r w:rsidRPr="006C0C75">
        <w:rPr>
          <w:szCs w:val="16"/>
        </w:rPr>
        <w:t xml:space="preserve"> </w:t>
      </w:r>
      <w:r w:rsidRPr="009C6B29">
        <w:rPr>
          <w:szCs w:val="16"/>
        </w:rPr>
        <w:t xml:space="preserve">de 19 de septiembre de 2005 </w:t>
      </w:r>
      <w:r w:rsidRPr="009C6B29">
        <w:rPr>
          <w:rFonts w:cs="Calibri"/>
          <w:szCs w:val="16"/>
        </w:rPr>
        <w:t>(expediente de prueba, fs. 2700 a 2767).</w:t>
      </w:r>
    </w:p>
  </w:footnote>
  <w:footnote w:id="81">
    <w:p w14:paraId="425B8041" w14:textId="4E90F09F" w:rsidR="00795660" w:rsidRPr="00B33ECE" w:rsidRDefault="00795660" w:rsidP="0003393F">
      <w:pPr>
        <w:pStyle w:val="Textonotapie"/>
        <w:spacing w:before="0" w:after="0"/>
        <w:rPr>
          <w:szCs w:val="16"/>
        </w:rPr>
      </w:pPr>
      <w:r w:rsidRPr="00084B44">
        <w:rPr>
          <w:rStyle w:val="Refdenotaalpie"/>
          <w:szCs w:val="16"/>
        </w:rPr>
        <w:footnoteRef/>
      </w:r>
      <w:r w:rsidRPr="00084B44">
        <w:rPr>
          <w:szCs w:val="16"/>
        </w:rPr>
        <w:t xml:space="preserve"> </w:t>
      </w:r>
      <w:r w:rsidRPr="00084B44">
        <w:rPr>
          <w:szCs w:val="16"/>
        </w:rPr>
        <w:tab/>
      </w:r>
      <w:r w:rsidRPr="00B33ECE">
        <w:rPr>
          <w:i/>
          <w:szCs w:val="16"/>
        </w:rPr>
        <w:t>Cfr</w:t>
      </w:r>
      <w:r w:rsidRPr="00B33ECE">
        <w:rPr>
          <w:szCs w:val="16"/>
        </w:rPr>
        <w:t xml:space="preserve">. Demanda de indemnización </w:t>
      </w:r>
      <w:r w:rsidRPr="00B33ECE">
        <w:rPr>
          <w:lang w:val="es-CR"/>
        </w:rPr>
        <w:t>por daños, perjuicios y daños morales</w:t>
      </w:r>
      <w:r w:rsidRPr="00B33ECE" w:rsidDel="00CD5811">
        <w:rPr>
          <w:szCs w:val="16"/>
        </w:rPr>
        <w:t xml:space="preserve"> </w:t>
      </w:r>
      <w:r w:rsidRPr="00B33ECE">
        <w:rPr>
          <w:szCs w:val="16"/>
        </w:rPr>
        <w:t xml:space="preserve">ante </w:t>
      </w:r>
      <w:r w:rsidRPr="00B33ECE">
        <w:rPr>
          <w:lang w:val="es-CR"/>
        </w:rPr>
        <w:t>la Corte de Justicia de la Policía Nacional</w:t>
      </w:r>
      <w:r w:rsidRPr="00B33ECE" w:rsidDel="00CD5811">
        <w:rPr>
          <w:szCs w:val="16"/>
        </w:rPr>
        <w:t xml:space="preserve"> </w:t>
      </w:r>
      <w:r w:rsidRPr="00B33ECE">
        <w:rPr>
          <w:lang w:val="es-CR"/>
        </w:rPr>
        <w:t>presentada el 24 de marzo de 2005 (expediente de prueba, fs. 4543 a 4547)</w:t>
      </w:r>
      <w:r w:rsidRPr="00B33ECE">
        <w:rPr>
          <w:szCs w:val="16"/>
        </w:rPr>
        <w:t>.</w:t>
      </w:r>
      <w:r w:rsidRPr="003F2B97">
        <w:rPr>
          <w:szCs w:val="16"/>
        </w:rPr>
        <w:t xml:space="preserve"> </w:t>
      </w:r>
    </w:p>
  </w:footnote>
  <w:footnote w:id="82">
    <w:p w14:paraId="5DDFAFE7" w14:textId="4BD6AAB8" w:rsidR="00795660" w:rsidRPr="00EF4BDB" w:rsidRDefault="00795660" w:rsidP="00B33ECE">
      <w:pPr>
        <w:pStyle w:val="Textonotapie"/>
        <w:spacing w:before="0" w:after="0"/>
      </w:pPr>
      <w:r w:rsidRPr="00EF4BDB">
        <w:rPr>
          <w:rStyle w:val="Refdenotaalpie"/>
        </w:rPr>
        <w:footnoteRef/>
      </w:r>
      <w:r w:rsidRPr="00EF4BDB">
        <w:t xml:space="preserve"> </w:t>
      </w:r>
      <w:r w:rsidRPr="00EF4BDB">
        <w:tab/>
        <w:t>Esta Corte hace notar que en el expediente de prueba no consta el escrito de la demanda de indemnización ante el Juzgado Décimo Tercero de lo Civil de Pichincha; sin embargo, consta en el expediente diferentes autos del Juzgado Décimo Tercero de lo Civil de Pichincha relativos a la misma y otros escritos presentados por el señor Ascázubi Albán en el proceso, por lo que se constata su existencia (expediente de prueba, fs. 4534 a 4542).</w:t>
      </w:r>
    </w:p>
  </w:footnote>
  <w:footnote w:id="83">
    <w:p w14:paraId="4B5408FE" w14:textId="7834E3BF" w:rsidR="00795660" w:rsidRPr="007337A0" w:rsidRDefault="00795660" w:rsidP="0003393F">
      <w:pPr>
        <w:pStyle w:val="Textonotapie"/>
        <w:spacing w:before="0" w:after="0"/>
        <w:rPr>
          <w:szCs w:val="16"/>
        </w:rPr>
      </w:pPr>
      <w:r w:rsidRPr="007337A0">
        <w:rPr>
          <w:rStyle w:val="Refdenotaalpie"/>
          <w:szCs w:val="16"/>
        </w:rPr>
        <w:footnoteRef/>
      </w:r>
      <w:r w:rsidRPr="007337A0">
        <w:rPr>
          <w:szCs w:val="16"/>
        </w:rPr>
        <w:t xml:space="preserve"> </w:t>
      </w:r>
      <w:r w:rsidRPr="007337A0">
        <w:rPr>
          <w:szCs w:val="16"/>
        </w:rPr>
        <w:tab/>
      </w:r>
      <w:r w:rsidRPr="007337A0">
        <w:rPr>
          <w:i/>
          <w:szCs w:val="16"/>
        </w:rPr>
        <w:t>Cfr</w:t>
      </w:r>
      <w:r>
        <w:rPr>
          <w:szCs w:val="16"/>
        </w:rPr>
        <w:t>. Auto del Juez D</w:t>
      </w:r>
      <w:r w:rsidRPr="007337A0">
        <w:rPr>
          <w:szCs w:val="16"/>
        </w:rPr>
        <w:t>ecimotercero de Pichincha dentro del juicio civil seguido por solicitud del señor Leoncio Amílcar A</w:t>
      </w:r>
      <w:r>
        <w:rPr>
          <w:szCs w:val="16"/>
        </w:rPr>
        <w:t>s</w:t>
      </w:r>
      <w:r w:rsidRPr="007337A0">
        <w:rPr>
          <w:szCs w:val="16"/>
        </w:rPr>
        <w:t>cázubi Albán dictado el 1 de septiembre de 2010 (expediente de prueba, f. 459).</w:t>
      </w:r>
    </w:p>
  </w:footnote>
  <w:footnote w:id="84">
    <w:p w14:paraId="14D9B3A7" w14:textId="03FAB18F" w:rsidR="00795660" w:rsidRPr="007337A0" w:rsidRDefault="00795660" w:rsidP="00894DA3">
      <w:pPr>
        <w:pStyle w:val="Textonotapie"/>
        <w:spacing w:before="0" w:after="0"/>
      </w:pPr>
      <w:r w:rsidRPr="007337A0">
        <w:rPr>
          <w:rStyle w:val="Refdenotaalpie"/>
        </w:rPr>
        <w:footnoteRef/>
      </w:r>
      <w:r w:rsidRPr="007337A0">
        <w:t xml:space="preserve"> </w:t>
      </w:r>
      <w:r w:rsidRPr="007337A0">
        <w:tab/>
      </w:r>
      <w:r w:rsidRPr="00B33ECE">
        <w:rPr>
          <w:i/>
        </w:rPr>
        <w:t>Cfr.</w:t>
      </w:r>
      <w:r w:rsidRPr="00B33ECE">
        <w:t xml:space="preserve"> </w:t>
      </w:r>
      <w:r w:rsidRPr="00B33ECE">
        <w:rPr>
          <w:lang w:val="es-CR"/>
        </w:rPr>
        <w:t>“Reclamación administrativa” contra el Estado en la persona del Presidente Constitucional y su representante judicial, el Procurador General del Estado, sin fecha (expediente de prueba, fs. 4548 a 4556).</w:t>
      </w:r>
      <w:r>
        <w:rPr>
          <w:lang w:val="es-CR"/>
        </w:rPr>
        <w:t xml:space="preserve"> Sin embargo, se hace notar que tiene fecha de recibido por el Departamento de Correspondencia de la Presidencia de la República el 4 de octubre de 2006. </w:t>
      </w:r>
      <w:r w:rsidRPr="007337A0">
        <w:rPr>
          <w:lang w:val="es-CR"/>
        </w:rPr>
        <w:t xml:space="preserve"> </w:t>
      </w:r>
    </w:p>
  </w:footnote>
  <w:footnote w:id="85">
    <w:p w14:paraId="02BB0330" w14:textId="67E71AE3" w:rsidR="00795660" w:rsidRPr="00CB1DFA" w:rsidRDefault="00795660" w:rsidP="00894DA3">
      <w:pPr>
        <w:pStyle w:val="Textonotapie"/>
        <w:spacing w:before="0" w:after="0"/>
      </w:pPr>
      <w:r w:rsidRPr="007337A0">
        <w:rPr>
          <w:rStyle w:val="Refdenotaalpie"/>
        </w:rPr>
        <w:footnoteRef/>
      </w:r>
      <w:r w:rsidRPr="007337A0">
        <w:t xml:space="preserve"> </w:t>
      </w:r>
      <w:r w:rsidRPr="007337A0">
        <w:tab/>
      </w:r>
      <w:r w:rsidRPr="00B33ECE">
        <w:rPr>
          <w:i/>
        </w:rPr>
        <w:t>Cfr.</w:t>
      </w:r>
      <w:r w:rsidRPr="00B33ECE">
        <w:t xml:space="preserve"> Oficio de </w:t>
      </w:r>
      <w:r w:rsidRPr="00B33ECE">
        <w:rPr>
          <w:lang w:val="es-CR"/>
        </w:rPr>
        <w:t>la Presidencia de la República de 12 de octubre de 2006 (expediente de prueba, f. 4559).</w:t>
      </w:r>
    </w:p>
  </w:footnote>
  <w:footnote w:id="86">
    <w:p w14:paraId="4703CF97" w14:textId="77777777" w:rsidR="00795660" w:rsidRPr="00CB1DFA" w:rsidRDefault="00795660" w:rsidP="00FF7C58">
      <w:pPr>
        <w:pStyle w:val="Textonotapie"/>
        <w:spacing w:before="0" w:after="0"/>
      </w:pPr>
      <w:r w:rsidRPr="00CB1DFA">
        <w:rPr>
          <w:rStyle w:val="Refdenotaalpie"/>
        </w:rPr>
        <w:footnoteRef/>
      </w:r>
      <w:r w:rsidRPr="00CB1DFA">
        <w:t xml:space="preserve"> </w:t>
      </w:r>
      <w:r w:rsidRPr="00CB1DFA">
        <w:tab/>
      </w:r>
      <w:r w:rsidRPr="00B33ECE">
        <w:rPr>
          <w:i/>
        </w:rPr>
        <w:t>Cfr.</w:t>
      </w:r>
      <w:r w:rsidRPr="00B33ECE">
        <w:t xml:space="preserve"> </w:t>
      </w:r>
      <w:r w:rsidRPr="00B33ECE">
        <w:rPr>
          <w:lang w:val="es-CR"/>
        </w:rPr>
        <w:t>Resolución de la Presidencia Subrogante de la Corte Suprema de Justicia de 8 de febrero de 2007 (expediente de prueba, f. 4561).</w:t>
      </w:r>
    </w:p>
  </w:footnote>
  <w:footnote w:id="87">
    <w:p w14:paraId="4AD9C1CD" w14:textId="27FF7386" w:rsidR="00795660" w:rsidRPr="00CB1DFA" w:rsidRDefault="00795660" w:rsidP="00894DA3">
      <w:pPr>
        <w:pStyle w:val="Textonotapie"/>
        <w:spacing w:before="0" w:after="0"/>
      </w:pPr>
      <w:r w:rsidRPr="00CB1DFA">
        <w:rPr>
          <w:rStyle w:val="Refdenotaalpie"/>
        </w:rPr>
        <w:footnoteRef/>
      </w:r>
      <w:r w:rsidRPr="00CB1DFA">
        <w:t xml:space="preserve"> </w:t>
      </w:r>
      <w:r w:rsidRPr="00CB1DFA">
        <w:tab/>
      </w:r>
      <w:r w:rsidRPr="00B33ECE">
        <w:rPr>
          <w:i/>
        </w:rPr>
        <w:t>Cfr.</w:t>
      </w:r>
      <w:r w:rsidRPr="00B33ECE">
        <w:t xml:space="preserve"> </w:t>
      </w:r>
      <w:r w:rsidRPr="00B33ECE">
        <w:rPr>
          <w:lang w:val="es-CR"/>
        </w:rPr>
        <w:t>Resolución de la Presidencia de la Corte Suprema de Justicia de 10 de abril de 2007 (expediente de prueba, f. 4560).</w:t>
      </w:r>
    </w:p>
  </w:footnote>
  <w:footnote w:id="88">
    <w:p w14:paraId="71E9C7C5" w14:textId="7B4BFC6C" w:rsidR="00795660" w:rsidRPr="00CB1DFA" w:rsidRDefault="00795660" w:rsidP="00894DA3">
      <w:pPr>
        <w:pStyle w:val="Textonotapie"/>
        <w:spacing w:before="0" w:after="0"/>
        <w:rPr>
          <w:szCs w:val="16"/>
        </w:rPr>
      </w:pPr>
      <w:r w:rsidRPr="00CB1DFA">
        <w:rPr>
          <w:rStyle w:val="Refdenotaalpie"/>
          <w:szCs w:val="16"/>
        </w:rPr>
        <w:footnoteRef/>
      </w:r>
      <w:r w:rsidRPr="00CB1DFA">
        <w:rPr>
          <w:szCs w:val="16"/>
        </w:rPr>
        <w:t xml:space="preserve">  </w:t>
      </w:r>
      <w:r w:rsidRPr="00CB1DFA">
        <w:rPr>
          <w:szCs w:val="16"/>
        </w:rPr>
        <w:tab/>
      </w:r>
      <w:r w:rsidRPr="00B33ECE">
        <w:rPr>
          <w:i/>
          <w:szCs w:val="16"/>
        </w:rPr>
        <w:t>Cfr</w:t>
      </w:r>
      <w:r w:rsidRPr="00B33ECE">
        <w:rPr>
          <w:szCs w:val="16"/>
        </w:rPr>
        <w:t>. Demanda de indemnización por daños y perjuicios y daño moral contra el Estado Ecuatoriano en la persona del Procurador del Estado y la Institución Policial en la persona del Comandante General de la Policía, presentado 21 de julio de 2008 (expediente de prueba, fs. 4507 a 4521).</w:t>
      </w:r>
      <w:r w:rsidRPr="00CB1DFA">
        <w:rPr>
          <w:szCs w:val="16"/>
        </w:rPr>
        <w:t xml:space="preserve"> </w:t>
      </w:r>
    </w:p>
  </w:footnote>
  <w:footnote w:id="89">
    <w:p w14:paraId="5AF6967D" w14:textId="1D7B4548" w:rsidR="00795660" w:rsidRPr="00B33ECE" w:rsidRDefault="00795660" w:rsidP="00894DA3">
      <w:pPr>
        <w:pStyle w:val="Textonotapie"/>
        <w:spacing w:before="0" w:after="0"/>
      </w:pPr>
      <w:r w:rsidRPr="00CB1DFA">
        <w:rPr>
          <w:rStyle w:val="Refdenotaalpie"/>
        </w:rPr>
        <w:footnoteRef/>
      </w:r>
      <w:r w:rsidRPr="00CB1DFA">
        <w:t xml:space="preserve"> </w:t>
      </w:r>
      <w:r w:rsidRPr="00CB1DFA">
        <w:tab/>
      </w:r>
      <w:r w:rsidRPr="00B33ECE">
        <w:rPr>
          <w:i/>
        </w:rPr>
        <w:t>Cfr.</w:t>
      </w:r>
      <w:r w:rsidRPr="00B33ECE">
        <w:t xml:space="preserve"> Providencia del </w:t>
      </w:r>
      <w:r w:rsidRPr="00B33ECE">
        <w:rPr>
          <w:rFonts w:cstheme="minorBidi"/>
          <w:lang w:val="es-CR"/>
        </w:rPr>
        <w:t>Juzgado Vigésimo de lo Civil de Pichincha, Quito</w:t>
      </w:r>
      <w:r>
        <w:rPr>
          <w:rFonts w:cstheme="minorBidi"/>
          <w:lang w:val="es-CR"/>
        </w:rPr>
        <w:t>,</w:t>
      </w:r>
      <w:r w:rsidRPr="00B33ECE">
        <w:rPr>
          <w:rFonts w:cstheme="minorBidi"/>
          <w:lang w:val="es-CR"/>
        </w:rPr>
        <w:t xml:space="preserve"> de 25 de septiembre de 2008 (expediente</w:t>
      </w:r>
      <w:r>
        <w:rPr>
          <w:rFonts w:cstheme="minorBidi"/>
          <w:lang w:val="es-CR"/>
        </w:rPr>
        <w:t xml:space="preserve"> de prueba, fs. 4524 y 4525</w:t>
      </w:r>
      <w:r w:rsidRPr="00B33ECE">
        <w:rPr>
          <w:rFonts w:cstheme="minorBidi"/>
          <w:lang w:val="es-CR"/>
        </w:rPr>
        <w:t>).</w:t>
      </w:r>
    </w:p>
  </w:footnote>
  <w:footnote w:id="90">
    <w:p w14:paraId="64CBD6F9" w14:textId="242D030A" w:rsidR="00795660" w:rsidRPr="00CB1DFA" w:rsidRDefault="00795660" w:rsidP="00084B44">
      <w:pPr>
        <w:pStyle w:val="Textonotapie"/>
        <w:spacing w:before="0" w:after="0"/>
      </w:pPr>
      <w:r w:rsidRPr="00B33ECE">
        <w:rPr>
          <w:rStyle w:val="Refdenotaalpie"/>
        </w:rPr>
        <w:footnoteRef/>
      </w:r>
      <w:r w:rsidRPr="00B33ECE">
        <w:t xml:space="preserve"> </w:t>
      </w:r>
      <w:r w:rsidRPr="00B33ECE">
        <w:tab/>
      </w:r>
      <w:r w:rsidRPr="00B33ECE">
        <w:rPr>
          <w:i/>
        </w:rPr>
        <w:t>Cfr.</w:t>
      </w:r>
      <w:r w:rsidRPr="00B33ECE">
        <w:t xml:space="preserve"> Providencia del </w:t>
      </w:r>
      <w:r w:rsidRPr="00B33ECE">
        <w:rPr>
          <w:rFonts w:cstheme="minorBidi"/>
          <w:lang w:val="es-CR"/>
        </w:rPr>
        <w:t>Juzgado Vigésimo de lo Civil de Pichincha, Quito</w:t>
      </w:r>
      <w:r>
        <w:rPr>
          <w:rFonts w:cstheme="minorBidi"/>
          <w:lang w:val="es-CR"/>
        </w:rPr>
        <w:t>,</w:t>
      </w:r>
      <w:r w:rsidRPr="00B33ECE">
        <w:rPr>
          <w:rFonts w:cstheme="minorBidi"/>
          <w:lang w:val="es-CR"/>
        </w:rPr>
        <w:t xml:space="preserve"> de 29 de septiembre de 2008 (expediente de prueba, f. 4527).</w:t>
      </w:r>
      <w:r w:rsidRPr="00CB1DFA">
        <w:rPr>
          <w:rFonts w:cstheme="minorBidi"/>
          <w:b/>
          <w:u w:val="single"/>
          <w:lang w:val="es-CR"/>
        </w:rPr>
        <w:t xml:space="preserve">        </w:t>
      </w:r>
    </w:p>
  </w:footnote>
  <w:footnote w:id="91">
    <w:p w14:paraId="4937D9BB" w14:textId="26AB36CF" w:rsidR="00795660" w:rsidRPr="00CB1DFA" w:rsidRDefault="00795660" w:rsidP="002E7EDB">
      <w:pPr>
        <w:autoSpaceDE w:val="0"/>
        <w:autoSpaceDN w:val="0"/>
        <w:adjustRightInd w:val="0"/>
        <w:spacing w:before="0" w:after="0"/>
        <w:rPr>
          <w:rFonts w:cs="Times New Roman"/>
          <w:color w:val="282828"/>
          <w:sz w:val="16"/>
          <w:szCs w:val="16"/>
        </w:rPr>
      </w:pPr>
      <w:r w:rsidRPr="00CB1DFA">
        <w:rPr>
          <w:rStyle w:val="Refdenotaalpie"/>
          <w:sz w:val="16"/>
          <w:szCs w:val="16"/>
        </w:rPr>
        <w:footnoteRef/>
      </w:r>
      <w:r w:rsidRPr="00CB1DFA">
        <w:rPr>
          <w:sz w:val="16"/>
          <w:szCs w:val="16"/>
        </w:rPr>
        <w:t xml:space="preserve"> </w:t>
      </w:r>
      <w:r w:rsidRPr="00CB1DFA">
        <w:rPr>
          <w:sz w:val="16"/>
          <w:szCs w:val="16"/>
        </w:rPr>
        <w:tab/>
      </w:r>
      <w:r w:rsidRPr="00CB1DFA">
        <w:rPr>
          <w:i/>
          <w:sz w:val="16"/>
          <w:szCs w:val="16"/>
        </w:rPr>
        <w:t>Cfr.</w:t>
      </w:r>
      <w:r w:rsidRPr="00CB1DFA">
        <w:rPr>
          <w:sz w:val="16"/>
          <w:szCs w:val="16"/>
        </w:rPr>
        <w:t xml:space="preserve"> </w:t>
      </w:r>
      <w:r w:rsidRPr="00CB1DFA">
        <w:rPr>
          <w:rFonts w:cs="Times New Roman"/>
          <w:color w:val="141414"/>
          <w:sz w:val="16"/>
          <w:szCs w:val="16"/>
        </w:rPr>
        <w:t xml:space="preserve">Auto </w:t>
      </w:r>
      <w:r w:rsidRPr="00CB1DFA">
        <w:rPr>
          <w:rFonts w:cs="Times New Roman"/>
          <w:color w:val="282828"/>
          <w:sz w:val="16"/>
          <w:szCs w:val="16"/>
        </w:rPr>
        <w:t xml:space="preserve">de </w:t>
      </w:r>
      <w:r w:rsidRPr="00CB1DFA">
        <w:rPr>
          <w:rFonts w:cs="Times New Roman"/>
          <w:color w:val="141414"/>
          <w:sz w:val="16"/>
          <w:szCs w:val="16"/>
        </w:rPr>
        <w:t xml:space="preserve">inhibición </w:t>
      </w:r>
      <w:r w:rsidRPr="00CB1DFA">
        <w:rPr>
          <w:rFonts w:cs="Times New Roman"/>
          <w:color w:val="282828"/>
          <w:sz w:val="16"/>
          <w:szCs w:val="16"/>
        </w:rPr>
        <w:t xml:space="preserve">del </w:t>
      </w:r>
      <w:r w:rsidRPr="00CB1DFA">
        <w:rPr>
          <w:rFonts w:cs="Times New Roman"/>
          <w:color w:val="141414"/>
          <w:sz w:val="16"/>
          <w:szCs w:val="16"/>
        </w:rPr>
        <w:t>Ju</w:t>
      </w:r>
      <w:r w:rsidRPr="00CB1DFA">
        <w:rPr>
          <w:rFonts w:cs="Times New Roman"/>
          <w:color w:val="3D3D3D"/>
          <w:sz w:val="16"/>
          <w:szCs w:val="16"/>
        </w:rPr>
        <w:t xml:space="preserve">ez </w:t>
      </w:r>
      <w:r w:rsidRPr="00CB1DFA">
        <w:rPr>
          <w:rFonts w:cs="Times New Roman"/>
          <w:color w:val="282828"/>
          <w:sz w:val="16"/>
          <w:szCs w:val="16"/>
        </w:rPr>
        <w:t xml:space="preserve">de </w:t>
      </w:r>
      <w:r w:rsidRPr="00CB1DFA">
        <w:rPr>
          <w:rFonts w:cs="Times New Roman"/>
          <w:color w:val="141414"/>
          <w:sz w:val="16"/>
          <w:szCs w:val="16"/>
        </w:rPr>
        <w:t>l</w:t>
      </w:r>
      <w:r w:rsidRPr="00CB1DFA">
        <w:rPr>
          <w:rFonts w:cs="Times New Roman"/>
          <w:color w:val="3D3D3D"/>
          <w:sz w:val="16"/>
          <w:szCs w:val="16"/>
        </w:rPr>
        <w:t xml:space="preserve">a </w:t>
      </w:r>
      <w:r w:rsidRPr="00CB1DFA">
        <w:rPr>
          <w:rFonts w:cs="Times New Roman"/>
          <w:color w:val="282828"/>
          <w:sz w:val="16"/>
          <w:szCs w:val="16"/>
        </w:rPr>
        <w:t xml:space="preserve">Unidad Judicial Civil con </w:t>
      </w:r>
      <w:r w:rsidRPr="00CB1DFA">
        <w:rPr>
          <w:rFonts w:cs="Times New Roman"/>
          <w:color w:val="3D3D3D"/>
          <w:sz w:val="16"/>
          <w:szCs w:val="16"/>
        </w:rPr>
        <w:t xml:space="preserve">sede </w:t>
      </w:r>
      <w:r w:rsidRPr="00CB1DFA">
        <w:rPr>
          <w:rFonts w:cs="Times New Roman"/>
          <w:color w:val="282828"/>
          <w:sz w:val="16"/>
          <w:szCs w:val="16"/>
        </w:rPr>
        <w:t xml:space="preserve">en el </w:t>
      </w:r>
      <w:r w:rsidRPr="00CB1DFA">
        <w:rPr>
          <w:rFonts w:cs="Times New Roman"/>
          <w:color w:val="141414"/>
          <w:sz w:val="16"/>
          <w:szCs w:val="16"/>
        </w:rPr>
        <w:t>Distri</w:t>
      </w:r>
      <w:r w:rsidRPr="00CB1DFA">
        <w:rPr>
          <w:rFonts w:cs="Times New Roman"/>
          <w:color w:val="3D3D3D"/>
          <w:sz w:val="16"/>
          <w:szCs w:val="16"/>
        </w:rPr>
        <w:t xml:space="preserve">to </w:t>
      </w:r>
      <w:r w:rsidRPr="00CB1DFA">
        <w:rPr>
          <w:rFonts w:cs="Times New Roman"/>
          <w:color w:val="282828"/>
          <w:sz w:val="16"/>
          <w:szCs w:val="16"/>
        </w:rPr>
        <w:t xml:space="preserve">Metropolitano de Quito </w:t>
      </w:r>
      <w:r w:rsidRPr="00CB1DFA">
        <w:rPr>
          <w:rFonts w:cs="Times New Roman"/>
          <w:color w:val="141414"/>
          <w:sz w:val="16"/>
          <w:szCs w:val="16"/>
        </w:rPr>
        <w:t xml:space="preserve">respecto </w:t>
      </w:r>
      <w:r w:rsidRPr="00CB1DFA">
        <w:rPr>
          <w:rFonts w:cs="Times New Roman"/>
          <w:color w:val="282828"/>
          <w:sz w:val="16"/>
          <w:szCs w:val="16"/>
        </w:rPr>
        <w:t xml:space="preserve">de la demanda indemnizatoria presentada </w:t>
      </w:r>
      <w:r w:rsidRPr="00CB1DFA">
        <w:rPr>
          <w:rFonts w:cs="Times New Roman"/>
          <w:color w:val="141414"/>
          <w:sz w:val="16"/>
          <w:szCs w:val="16"/>
        </w:rPr>
        <w:t>p</w:t>
      </w:r>
      <w:r w:rsidRPr="00CB1DFA">
        <w:rPr>
          <w:rFonts w:cs="Times New Roman"/>
          <w:color w:val="3D3D3D"/>
          <w:sz w:val="16"/>
          <w:szCs w:val="16"/>
        </w:rPr>
        <w:t>o</w:t>
      </w:r>
      <w:r w:rsidRPr="00CB1DFA">
        <w:rPr>
          <w:rFonts w:cs="Times New Roman"/>
          <w:color w:val="141414"/>
          <w:sz w:val="16"/>
          <w:szCs w:val="16"/>
        </w:rPr>
        <w:t xml:space="preserve">r </w:t>
      </w:r>
      <w:r w:rsidRPr="00CB1DFA">
        <w:rPr>
          <w:rFonts w:cs="Times New Roman"/>
          <w:color w:val="282828"/>
          <w:sz w:val="16"/>
          <w:szCs w:val="16"/>
        </w:rPr>
        <w:t xml:space="preserve">el </w:t>
      </w:r>
      <w:r w:rsidRPr="00CB1DFA">
        <w:rPr>
          <w:rFonts w:cs="Times New Roman"/>
          <w:color w:val="3D3D3D"/>
          <w:sz w:val="16"/>
          <w:szCs w:val="16"/>
        </w:rPr>
        <w:t xml:space="preserve">señor </w:t>
      </w:r>
      <w:r w:rsidRPr="00CB1DFA">
        <w:rPr>
          <w:rFonts w:cs="Times New Roman"/>
          <w:color w:val="282828"/>
          <w:sz w:val="16"/>
          <w:szCs w:val="16"/>
        </w:rPr>
        <w:t>Fernando Marcelo López Ortiz</w:t>
      </w:r>
      <w:r w:rsidRPr="00CB1DFA">
        <w:rPr>
          <w:rFonts w:cs="Times New Roman"/>
          <w:color w:val="535353"/>
          <w:sz w:val="16"/>
          <w:szCs w:val="16"/>
        </w:rPr>
        <w:t xml:space="preserve">, </w:t>
      </w:r>
      <w:r>
        <w:rPr>
          <w:rFonts w:cs="Times New Roman"/>
          <w:color w:val="282828"/>
          <w:sz w:val="16"/>
          <w:szCs w:val="16"/>
        </w:rPr>
        <w:t>de</w:t>
      </w:r>
      <w:r w:rsidRPr="00CB1DFA">
        <w:rPr>
          <w:rFonts w:cs="Times New Roman"/>
          <w:color w:val="282828"/>
          <w:sz w:val="16"/>
          <w:szCs w:val="16"/>
        </w:rPr>
        <w:t xml:space="preserve"> 30 de </w:t>
      </w:r>
      <w:r w:rsidRPr="00CB1DFA">
        <w:rPr>
          <w:rFonts w:cs="Times New Roman"/>
          <w:color w:val="3D3D3D"/>
          <w:sz w:val="16"/>
          <w:szCs w:val="16"/>
        </w:rPr>
        <w:t xml:space="preserve">abril </w:t>
      </w:r>
      <w:r w:rsidRPr="00CB1DFA">
        <w:rPr>
          <w:rFonts w:cs="Times New Roman"/>
          <w:color w:val="282828"/>
          <w:sz w:val="16"/>
          <w:szCs w:val="16"/>
        </w:rPr>
        <w:t xml:space="preserve">de 2015 </w:t>
      </w:r>
      <w:r w:rsidRPr="00CB1DFA">
        <w:rPr>
          <w:sz w:val="16"/>
          <w:szCs w:val="16"/>
        </w:rPr>
        <w:t>(expediente de prueba, f. 461 a 462).</w:t>
      </w:r>
    </w:p>
  </w:footnote>
  <w:footnote w:id="92">
    <w:p w14:paraId="555AD94F" w14:textId="1CB06571" w:rsidR="00795660" w:rsidRPr="00CB1DFA" w:rsidRDefault="00795660" w:rsidP="002E7EDB">
      <w:pPr>
        <w:pStyle w:val="Textonotapie"/>
        <w:spacing w:before="0" w:after="0"/>
      </w:pPr>
      <w:r w:rsidRPr="00CB1DFA">
        <w:rPr>
          <w:rStyle w:val="Refdenotaalpie"/>
        </w:rPr>
        <w:footnoteRef/>
      </w:r>
      <w:r w:rsidRPr="00CB1DFA">
        <w:t xml:space="preserve"> </w:t>
      </w:r>
      <w:r w:rsidRPr="00CB1DFA">
        <w:tab/>
      </w:r>
      <w:r w:rsidRPr="00CB1DFA">
        <w:rPr>
          <w:i/>
          <w:szCs w:val="16"/>
        </w:rPr>
        <w:t>Cfr.</w:t>
      </w:r>
      <w:r w:rsidRPr="00CB1DFA">
        <w:rPr>
          <w:szCs w:val="16"/>
        </w:rPr>
        <w:t xml:space="preserve"> </w:t>
      </w:r>
      <w:r w:rsidRPr="00CB1DFA">
        <w:rPr>
          <w:rFonts w:cs="Times New Roman"/>
          <w:color w:val="141414"/>
          <w:szCs w:val="16"/>
        </w:rPr>
        <w:t xml:space="preserve">Auto </w:t>
      </w:r>
      <w:r w:rsidRPr="00CB1DFA">
        <w:rPr>
          <w:rFonts w:cs="Times New Roman"/>
          <w:color w:val="282828"/>
          <w:szCs w:val="16"/>
        </w:rPr>
        <w:t xml:space="preserve">Tribunal Distrital de lo Contencioso Administrativo No. 1 </w:t>
      </w:r>
      <w:r w:rsidRPr="00CB1DFA">
        <w:rPr>
          <w:rFonts w:cs="Times New Roman"/>
          <w:color w:val="141414"/>
          <w:szCs w:val="16"/>
        </w:rPr>
        <w:t xml:space="preserve">respecto </w:t>
      </w:r>
      <w:r w:rsidRPr="00CB1DFA">
        <w:rPr>
          <w:rFonts w:cs="Times New Roman"/>
          <w:color w:val="282828"/>
          <w:szCs w:val="16"/>
        </w:rPr>
        <w:t xml:space="preserve">de la demanda indemnizatoria presentada </w:t>
      </w:r>
      <w:r w:rsidRPr="00CB1DFA">
        <w:rPr>
          <w:rFonts w:cs="Times New Roman"/>
          <w:color w:val="141414"/>
          <w:szCs w:val="16"/>
        </w:rPr>
        <w:t>p</w:t>
      </w:r>
      <w:r w:rsidRPr="00CB1DFA">
        <w:rPr>
          <w:rFonts w:cs="Times New Roman"/>
          <w:color w:val="3D3D3D"/>
          <w:szCs w:val="16"/>
        </w:rPr>
        <w:t>o</w:t>
      </w:r>
      <w:r w:rsidRPr="00CB1DFA">
        <w:rPr>
          <w:rFonts w:cs="Times New Roman"/>
          <w:color w:val="141414"/>
          <w:szCs w:val="16"/>
        </w:rPr>
        <w:t xml:space="preserve">r </w:t>
      </w:r>
      <w:r w:rsidRPr="00CB1DFA">
        <w:rPr>
          <w:rFonts w:cs="Times New Roman"/>
          <w:color w:val="282828"/>
          <w:szCs w:val="16"/>
        </w:rPr>
        <w:t xml:space="preserve">el </w:t>
      </w:r>
      <w:r w:rsidRPr="00CB1DFA">
        <w:rPr>
          <w:rFonts w:cs="Times New Roman"/>
          <w:color w:val="3D3D3D"/>
          <w:szCs w:val="16"/>
        </w:rPr>
        <w:t xml:space="preserve">señor </w:t>
      </w:r>
      <w:r w:rsidRPr="00CB1DFA">
        <w:rPr>
          <w:rFonts w:cs="Times New Roman"/>
          <w:color w:val="282828"/>
          <w:szCs w:val="16"/>
        </w:rPr>
        <w:t>Fernando Marcelo López Ortiz</w:t>
      </w:r>
      <w:r w:rsidRPr="00CB1DFA">
        <w:rPr>
          <w:rFonts w:cs="Times New Roman"/>
          <w:color w:val="535353"/>
          <w:szCs w:val="16"/>
        </w:rPr>
        <w:t xml:space="preserve">, </w:t>
      </w:r>
      <w:r>
        <w:rPr>
          <w:rFonts w:cs="Times New Roman"/>
          <w:color w:val="282828"/>
          <w:szCs w:val="16"/>
        </w:rPr>
        <w:t>de</w:t>
      </w:r>
      <w:r w:rsidRPr="00CB1DFA">
        <w:rPr>
          <w:rFonts w:cs="Times New Roman"/>
          <w:color w:val="282828"/>
          <w:szCs w:val="16"/>
        </w:rPr>
        <w:t xml:space="preserve"> 19 de </w:t>
      </w:r>
      <w:r w:rsidRPr="00CB1DFA">
        <w:rPr>
          <w:rFonts w:cs="Times New Roman"/>
          <w:color w:val="3D3D3D"/>
          <w:szCs w:val="16"/>
        </w:rPr>
        <w:t xml:space="preserve">mayo </w:t>
      </w:r>
      <w:r w:rsidRPr="00CB1DFA">
        <w:rPr>
          <w:rFonts w:cs="Times New Roman"/>
          <w:color w:val="282828"/>
          <w:szCs w:val="16"/>
        </w:rPr>
        <w:t xml:space="preserve">de 2015 </w:t>
      </w:r>
      <w:r w:rsidRPr="00CB1DFA">
        <w:rPr>
          <w:szCs w:val="16"/>
        </w:rPr>
        <w:t>(expediente de prueba, f. 464).</w:t>
      </w:r>
    </w:p>
  </w:footnote>
  <w:footnote w:id="93">
    <w:p w14:paraId="46FCD2BE" w14:textId="77600952" w:rsidR="00795660" w:rsidRPr="00911365" w:rsidRDefault="00795660" w:rsidP="002E7EDB">
      <w:pPr>
        <w:pStyle w:val="Textonotapie"/>
        <w:spacing w:before="0" w:after="0"/>
      </w:pPr>
      <w:r w:rsidRPr="00CB1DFA">
        <w:rPr>
          <w:rStyle w:val="Refdenotaalpie"/>
        </w:rPr>
        <w:footnoteRef/>
      </w:r>
      <w:r w:rsidRPr="00CB1DFA">
        <w:t xml:space="preserve"> </w:t>
      </w:r>
      <w:r w:rsidRPr="00CB1DFA">
        <w:tab/>
      </w:r>
      <w:r w:rsidRPr="00B33ECE">
        <w:rPr>
          <w:i/>
        </w:rPr>
        <w:t>Cfr.</w:t>
      </w:r>
      <w:r w:rsidRPr="00B33ECE">
        <w:t xml:space="preserve"> Providencia del Tribunal </w:t>
      </w:r>
      <w:r w:rsidRPr="00B33ECE">
        <w:rPr>
          <w:rFonts w:cstheme="minorBidi"/>
          <w:lang w:val="es-CR"/>
        </w:rPr>
        <w:t>el Tribunal Distrital de lo Contencioso Administrativo con sede en el Distrito Metropolitano de Quito, Provincia de Pichincha, Quito de 8 de noviembre de 2018 (expediente de prueba, f. 4533</w:t>
      </w:r>
      <w:r w:rsidRPr="00CB1DFA">
        <w:rPr>
          <w:rFonts w:cstheme="minorBidi"/>
          <w:lang w:val="es-CR"/>
        </w:rPr>
        <w:t>).</w:t>
      </w:r>
      <w:r w:rsidRPr="00911365">
        <w:rPr>
          <w:rFonts w:cstheme="minorBidi"/>
          <w:b/>
          <w:lang w:val="es-CR"/>
        </w:rPr>
        <w:t xml:space="preserve">        </w:t>
      </w:r>
    </w:p>
  </w:footnote>
  <w:footnote w:id="94">
    <w:p w14:paraId="4742BDE7" w14:textId="592F9F9B" w:rsidR="00795660" w:rsidRPr="008D7E78" w:rsidRDefault="00795660" w:rsidP="001031F5">
      <w:pPr>
        <w:pStyle w:val="Textonotapie"/>
        <w:spacing w:before="0" w:after="0"/>
      </w:pPr>
      <w:r w:rsidRPr="0048506E">
        <w:rPr>
          <w:rStyle w:val="Refdenotaalpie"/>
        </w:rPr>
        <w:footnoteRef/>
      </w:r>
      <w:r w:rsidRPr="0048506E">
        <w:t xml:space="preserve">  </w:t>
      </w:r>
      <w:r w:rsidRPr="0048506E">
        <w:tab/>
      </w:r>
      <w:r w:rsidRPr="0048506E">
        <w:rPr>
          <w:bCs/>
          <w:lang w:val="es-CR"/>
        </w:rPr>
        <w:t>Los artículos</w:t>
      </w:r>
      <w:r>
        <w:rPr>
          <w:bCs/>
          <w:lang w:val="es-CR"/>
        </w:rPr>
        <w:t xml:space="preserve"> 1.1, 2, </w:t>
      </w:r>
      <w:r w:rsidRPr="0048506E">
        <w:rPr>
          <w:bCs/>
          <w:lang w:val="es-CR"/>
        </w:rPr>
        <w:t>7.1, 7.2, 7.3. 7.5, 7.6</w:t>
      </w:r>
      <w:r>
        <w:rPr>
          <w:bCs/>
          <w:lang w:val="es-CR"/>
        </w:rPr>
        <w:t xml:space="preserve">, 8.2 y 24 </w:t>
      </w:r>
      <w:r w:rsidRPr="0048506E">
        <w:rPr>
          <w:bCs/>
          <w:lang w:val="es-CR"/>
        </w:rPr>
        <w:t>de la Convención Americana.</w:t>
      </w:r>
    </w:p>
  </w:footnote>
  <w:footnote w:id="95">
    <w:p w14:paraId="5220F013" w14:textId="2299B881" w:rsidR="00795660" w:rsidRPr="00F402EF" w:rsidRDefault="00795660" w:rsidP="00461C9D">
      <w:pPr>
        <w:pStyle w:val="Textonotapie"/>
        <w:spacing w:before="0" w:after="0"/>
        <w:rPr>
          <w:lang w:val="es-CR"/>
        </w:rPr>
      </w:pPr>
      <w:r>
        <w:rPr>
          <w:rStyle w:val="Refdenotaalpie"/>
        </w:rPr>
        <w:footnoteRef/>
      </w:r>
      <w:r>
        <w:t xml:space="preserve"> </w:t>
      </w:r>
      <w:r>
        <w:rPr>
          <w:lang w:val="es-CR"/>
        </w:rPr>
        <w:t xml:space="preserve"> </w:t>
      </w:r>
      <w:r>
        <w:rPr>
          <w:lang w:val="es-CR"/>
        </w:rPr>
        <w:tab/>
      </w:r>
      <w:r w:rsidRPr="00B33ECE">
        <w:rPr>
          <w:lang w:val="es-CR"/>
        </w:rPr>
        <w:t xml:space="preserve">El Estado alegó </w:t>
      </w:r>
      <w:r w:rsidRPr="00B33ECE">
        <w:t>que dicha</w:t>
      </w:r>
      <w:r w:rsidRPr="00B64324">
        <w:t xml:space="preserve"> decisión se fundamentó el artículo 167 del Código de Procedimiento Penal de la Policía Civil </w:t>
      </w:r>
      <w:r>
        <w:t xml:space="preserve">Nacional </w:t>
      </w:r>
      <w:r w:rsidRPr="00B33ECE">
        <w:t>y</w:t>
      </w:r>
      <w:r>
        <w:t>,</w:t>
      </w:r>
      <w:r w:rsidRPr="00B33ECE">
        <w:t xml:space="preserve"> que</w:t>
      </w:r>
      <w:r>
        <w:t>,</w:t>
      </w:r>
      <w:r w:rsidRPr="00B33ECE">
        <w:t xml:space="preserve"> en</w:t>
      </w:r>
      <w:r w:rsidRPr="00B64324">
        <w:t xml:space="preserve"> </w:t>
      </w:r>
      <w:r w:rsidRPr="00B33ECE">
        <w:t>el artículo 253 del Código de Procedimiento Penal común, se hace referencia a la figura de prisión preventiva por lo que no existió una privación ilegal de la libertad.</w:t>
      </w:r>
      <w:r w:rsidRPr="0094139A">
        <w:t xml:space="preserve"> </w:t>
      </w:r>
    </w:p>
  </w:footnote>
  <w:footnote w:id="96">
    <w:p w14:paraId="4B511C75" w14:textId="783D034D" w:rsidR="00795660" w:rsidRPr="001661DB" w:rsidRDefault="00795660" w:rsidP="00461C9D">
      <w:pPr>
        <w:autoSpaceDE w:val="0"/>
        <w:autoSpaceDN w:val="0"/>
        <w:adjustRightInd w:val="0"/>
        <w:spacing w:before="0" w:after="0"/>
        <w:rPr>
          <w:rFonts w:eastAsiaTheme="minorHAnsi" w:cs="Arial"/>
          <w:color w:val="121212"/>
          <w:szCs w:val="16"/>
          <w:lang w:val="es-CR"/>
        </w:rPr>
      </w:pPr>
      <w:r w:rsidRPr="001661DB">
        <w:rPr>
          <w:rStyle w:val="Refdenotaalpie"/>
          <w:sz w:val="16"/>
          <w:szCs w:val="16"/>
        </w:rPr>
        <w:footnoteRef/>
      </w:r>
      <w:r w:rsidRPr="001661DB">
        <w:rPr>
          <w:sz w:val="16"/>
          <w:szCs w:val="16"/>
        </w:rPr>
        <w:t xml:space="preserve"> </w:t>
      </w:r>
      <w:r w:rsidRPr="001661DB">
        <w:rPr>
          <w:sz w:val="16"/>
          <w:szCs w:val="16"/>
        </w:rPr>
        <w:tab/>
      </w:r>
      <w:r w:rsidRPr="001661DB">
        <w:rPr>
          <w:i/>
          <w:sz w:val="16"/>
          <w:szCs w:val="16"/>
        </w:rPr>
        <w:t>Cfr</w:t>
      </w:r>
      <w:r w:rsidRPr="001661DB">
        <w:rPr>
          <w:sz w:val="16"/>
          <w:szCs w:val="16"/>
        </w:rPr>
        <w:t xml:space="preserve">. </w:t>
      </w:r>
      <w:r w:rsidRPr="001661DB">
        <w:rPr>
          <w:rFonts w:eastAsiaTheme="minorHAnsi" w:cs="Arial"/>
          <w:color w:val="121212"/>
          <w:sz w:val="16"/>
          <w:szCs w:val="16"/>
          <w:lang w:val="es-CR"/>
        </w:rPr>
        <w:t xml:space="preserve">Auto </w:t>
      </w:r>
      <w:r>
        <w:rPr>
          <w:rFonts w:eastAsiaTheme="minorHAnsi" w:cs="Arial"/>
          <w:color w:val="121212"/>
          <w:sz w:val="16"/>
          <w:szCs w:val="16"/>
          <w:lang w:val="es-CR"/>
        </w:rPr>
        <w:t>M</w:t>
      </w:r>
      <w:r w:rsidRPr="001661DB">
        <w:rPr>
          <w:rFonts w:eastAsiaTheme="minorHAnsi" w:cs="Arial"/>
          <w:color w:val="121212"/>
          <w:sz w:val="16"/>
          <w:szCs w:val="16"/>
          <w:lang w:val="es-CR"/>
        </w:rPr>
        <w:t>otivado</w:t>
      </w:r>
      <w:r>
        <w:rPr>
          <w:rFonts w:eastAsiaTheme="minorHAnsi" w:cs="Arial"/>
          <w:color w:val="121212"/>
          <w:sz w:val="16"/>
          <w:szCs w:val="16"/>
          <w:lang w:val="es-CR"/>
        </w:rPr>
        <w:t xml:space="preserve"> del </w:t>
      </w:r>
      <w:r w:rsidRPr="001661DB">
        <w:rPr>
          <w:rFonts w:eastAsiaTheme="minorHAnsi" w:cs="Arial"/>
          <w:color w:val="121212"/>
          <w:sz w:val="16"/>
          <w:szCs w:val="16"/>
          <w:lang w:val="es-CR"/>
        </w:rPr>
        <w:t>Presidente de la Corte Nacional de Justicia Policial</w:t>
      </w:r>
      <w:r>
        <w:rPr>
          <w:rFonts w:eastAsiaTheme="minorHAnsi" w:cs="Arial"/>
          <w:color w:val="121212"/>
          <w:sz w:val="16"/>
          <w:szCs w:val="16"/>
          <w:lang w:val="es-CR"/>
        </w:rPr>
        <w:t xml:space="preserve"> de </w:t>
      </w:r>
      <w:r w:rsidRPr="001661DB">
        <w:rPr>
          <w:rFonts w:eastAsiaTheme="minorHAnsi" w:cs="Arial"/>
          <w:color w:val="121212"/>
          <w:sz w:val="16"/>
          <w:szCs w:val="16"/>
          <w:lang w:val="es-CR"/>
        </w:rPr>
        <w:t>26 de m</w:t>
      </w:r>
      <w:r w:rsidRPr="0001218B">
        <w:rPr>
          <w:rFonts w:eastAsiaTheme="minorHAnsi" w:cs="Arial"/>
          <w:color w:val="121212"/>
          <w:sz w:val="16"/>
          <w:szCs w:val="16"/>
          <w:lang w:val="es-CR"/>
        </w:rPr>
        <w:t>ayo de 2003</w:t>
      </w:r>
      <w:r>
        <w:rPr>
          <w:rFonts w:eastAsiaTheme="minorHAnsi" w:cs="Arial"/>
          <w:color w:val="121212"/>
          <w:sz w:val="16"/>
          <w:szCs w:val="16"/>
          <w:lang w:val="es-CR"/>
        </w:rPr>
        <w:t xml:space="preserve">, </w:t>
      </w:r>
      <w:r w:rsidRPr="00461C9D">
        <w:rPr>
          <w:rFonts w:eastAsiaTheme="minorHAnsi" w:cs="Arial"/>
          <w:i/>
          <w:color w:val="121212"/>
          <w:sz w:val="16"/>
          <w:szCs w:val="16"/>
          <w:lang w:val="es-CR"/>
        </w:rPr>
        <w:t>supra</w:t>
      </w:r>
      <w:r>
        <w:rPr>
          <w:rFonts w:eastAsiaTheme="minorHAnsi" w:cs="Arial"/>
          <w:color w:val="121212"/>
          <w:sz w:val="16"/>
          <w:szCs w:val="16"/>
          <w:lang w:val="es-CR"/>
        </w:rPr>
        <w:t>.</w:t>
      </w:r>
    </w:p>
  </w:footnote>
  <w:footnote w:id="97">
    <w:p w14:paraId="01BD90BF" w14:textId="14DE1819" w:rsidR="00795660" w:rsidRPr="00BE41BE" w:rsidRDefault="00795660" w:rsidP="0094139A">
      <w:pPr>
        <w:pStyle w:val="Textonotapie"/>
        <w:spacing w:before="0" w:after="0"/>
      </w:pPr>
      <w:r>
        <w:rPr>
          <w:rStyle w:val="Refdenotaalpie"/>
        </w:rPr>
        <w:footnoteRef/>
      </w:r>
      <w:r>
        <w:t xml:space="preserve"> </w:t>
      </w:r>
      <w:r>
        <w:tab/>
      </w:r>
      <w:r w:rsidRPr="006F534F">
        <w:t xml:space="preserve">Por ejemplo, </w:t>
      </w:r>
      <w:r w:rsidRPr="006F534F">
        <w:rPr>
          <w:rFonts w:eastAsia="Times New Roman" w:cs="Times New Roman"/>
          <w:szCs w:val="16"/>
          <w:lang w:val="es-CR" w:eastAsia="en-GB"/>
        </w:rPr>
        <w:t>llama la atención que en el voto de uno de los magistrados de la decisión de la Corte Nacional de Justicia Policial de 3 de julio de 2003 que rechazó el recurso de amparo interpuesto el señor Cevallos Moreno, consideró la improcedencia de la detención en firme al resolver que “por considerar legalmente interpuesto el recurso de amparo de libertad y por ser improcedente la detención en firme establecida en el Art. 160 del Código de Procedimiento Penal constante en la Ley No. 2003-101 Reformatoria al Código de Procedimiento Penal publicada en el Registro Oficial No. 743 de 13 de enero del 2003, con la cual se ha privado de libertad del señor General Inspector (sp) Dr. Mario Cevallos Moreno, se acepta el recurso y se dispone la libertad inmediata del recurrente”</w:t>
      </w:r>
      <w:r>
        <w:rPr>
          <w:rFonts w:eastAsia="Times New Roman" w:cs="Times New Roman"/>
          <w:szCs w:val="16"/>
          <w:lang w:val="es-CR" w:eastAsia="en-GB"/>
        </w:rPr>
        <w:t xml:space="preserve">, </w:t>
      </w:r>
      <w:r w:rsidRPr="00461C9D">
        <w:rPr>
          <w:rFonts w:eastAsia="Times New Roman" w:cs="Times New Roman"/>
          <w:i/>
          <w:szCs w:val="16"/>
          <w:lang w:val="es-CR" w:eastAsia="en-GB"/>
        </w:rPr>
        <w:t>Cfr</w:t>
      </w:r>
      <w:r>
        <w:rPr>
          <w:rFonts w:eastAsia="Times New Roman" w:cs="Times New Roman"/>
          <w:szCs w:val="16"/>
          <w:lang w:val="es-CR" w:eastAsia="en-GB"/>
        </w:rPr>
        <w:t xml:space="preserve">. Sentencia de la Corte Nacional de Justicia Policial de 3 de julio de 2003 </w:t>
      </w:r>
      <w:r w:rsidRPr="006F534F">
        <w:rPr>
          <w:rFonts w:eastAsia="Times New Roman" w:cs="Times New Roman"/>
          <w:szCs w:val="16"/>
          <w:lang w:val="es-CR" w:eastAsia="en-GB"/>
        </w:rPr>
        <w:t>(expediente de prueba, fs. 2672 a 2681).</w:t>
      </w:r>
      <w:r>
        <w:rPr>
          <w:rFonts w:eastAsia="Times New Roman" w:cs="Times New Roman"/>
          <w:szCs w:val="16"/>
          <w:lang w:val="es-CR" w:eastAsia="en-GB"/>
        </w:rPr>
        <w:t xml:space="preserve"> </w:t>
      </w:r>
      <w:r w:rsidRPr="004051D0">
        <w:rPr>
          <w:rFonts w:eastAsia="Times New Roman" w:cs="Times New Roman"/>
          <w:lang w:eastAsia="en-GB"/>
        </w:rPr>
        <w:t>Asimismo, en la</w:t>
      </w:r>
      <w:r w:rsidRPr="004051D0">
        <w:t xml:space="preserve"> decisión de la Corte Nacional de Justicia Policial de 31 de julio de 2003 que concluye que “carece de fundamento el recurso de nulidad interpuesto por lo sindicados”,  en la cual tiene como visto el auto motivado de </w:t>
      </w:r>
      <w:r w:rsidRPr="001E5B95">
        <w:t>26 de mayo de</w:t>
      </w:r>
      <w:r w:rsidRPr="004051D0">
        <w:t xml:space="preserve"> 2003, y señala en los puntos “b) Auto motivado ordenando la detención firme violando el art. 16 Ley Reformatoria al Código de Procedimiento Penal común (art. 17. A)” y “e) Que la detención en firme dictada en el auto motivado ha sido puesta en conocimiento de los sindicados 24 horas más tarde”, sin pronunciarse al efecto. </w:t>
      </w:r>
      <w:r w:rsidRPr="00461C9D">
        <w:rPr>
          <w:i/>
        </w:rPr>
        <w:t>Cfr</w:t>
      </w:r>
      <w:r w:rsidRPr="004051D0">
        <w:t xml:space="preserve">. Providencia de la Corte Nacional de Justicia Policial de 31 de julio de 2003, donde se rechaza recurso de nulidad al auto motivado de 26 de mayo de </w:t>
      </w:r>
      <w:r>
        <w:t xml:space="preserve">2003, </w:t>
      </w:r>
      <w:r w:rsidRPr="00461C9D">
        <w:rPr>
          <w:i/>
        </w:rPr>
        <w:t>supra</w:t>
      </w:r>
      <w:r>
        <w:t>.</w:t>
      </w:r>
      <w:r w:rsidRPr="004051D0">
        <w:t xml:space="preserve"> </w:t>
      </w:r>
      <w:r w:rsidRPr="00B07549">
        <w:t xml:space="preserve">Igualmente, en la providencia de la Corte Nacional de Justicia Policial de 11 de noviembre de 2003, refiriéndose al auto motivado en contra de las presuntas víctimas se indica “ordenando la detención en firme de los imputados como presuntos autores y cómplices, medida cautelar que cumplirán en la Unidad de Equitación y Remonta de la Policía Nacional”, </w:t>
      </w:r>
      <w:r w:rsidRPr="00461C9D">
        <w:rPr>
          <w:i/>
        </w:rPr>
        <w:t>Cfr</w:t>
      </w:r>
      <w:r w:rsidRPr="00B07549">
        <w:t xml:space="preserve">. Providencia de la Corte Nacional de Justicia Policial, de 11 de noviembre de 2003, donde se niegan los pedidos de ampliación y aclaración del auto motivado y el Recurso de Nulidad y ratificación del Auto Motivado, </w:t>
      </w:r>
      <w:r w:rsidRPr="00461C9D">
        <w:rPr>
          <w:i/>
        </w:rPr>
        <w:t>supra</w:t>
      </w:r>
      <w:r w:rsidRPr="00B07549">
        <w:t xml:space="preserve">. </w:t>
      </w:r>
      <w:r>
        <w:t xml:space="preserve">Además, </w:t>
      </w:r>
      <w:r w:rsidRPr="006F534F">
        <w:t xml:space="preserve">en el Auto de llamamiento a juicio por </w:t>
      </w:r>
      <w:r w:rsidRPr="00FF2C9F">
        <w:t>el delito de prevaricato</w:t>
      </w:r>
      <w:r w:rsidRPr="006F534F">
        <w:t xml:space="preserve"> dictado por la Presidencia de la Corte Suprema de Justicia de 13 de octubre de 2006, en el cual en el punto sexto señaló “[…] con estos antecede</w:t>
      </w:r>
      <w:r w:rsidRPr="004051D0">
        <w:t xml:space="preserve">ntes se establece en forma clara y terminante que el General (sp) Byron Pinto Muñoz al dictar el auto motivado aplicó ilegalmente e indebidamente las disposiciones que se refieren a la detención en firme </w:t>
      </w:r>
      <w:r w:rsidRPr="00A7329F">
        <w:t>lo que</w:t>
      </w:r>
      <w:r w:rsidRPr="006F534F">
        <w:t xml:space="preserve"> constituye una violación expresa, que no admite dudas ni interpretaciones”</w:t>
      </w:r>
      <w:r>
        <w:t xml:space="preserve">, </w:t>
      </w:r>
      <w:r w:rsidRPr="00A7329F">
        <w:rPr>
          <w:i/>
        </w:rPr>
        <w:t>Cfr</w:t>
      </w:r>
      <w:r>
        <w:t>. Auto de llamamiento a juicio de la Corte Suprema de Justicia de 13 de octubre de 2006</w:t>
      </w:r>
      <w:r w:rsidRPr="006F534F">
        <w:t xml:space="preserve"> (expediente de pr</w:t>
      </w:r>
      <w:r>
        <w:t>ueba, fs. 2801 a 2825).</w:t>
      </w:r>
    </w:p>
  </w:footnote>
  <w:footnote w:id="98">
    <w:p w14:paraId="771EE389" w14:textId="64DD9C59" w:rsidR="00795660" w:rsidRPr="00E1550B" w:rsidRDefault="00795660" w:rsidP="00483648">
      <w:pPr>
        <w:pStyle w:val="Textonotapie"/>
        <w:spacing w:before="0" w:after="0"/>
        <w:rPr>
          <w:lang w:val="es-CR"/>
        </w:rPr>
      </w:pPr>
      <w:r>
        <w:rPr>
          <w:rStyle w:val="Refdenotaalpie"/>
        </w:rPr>
        <w:footnoteRef/>
      </w:r>
      <w:r>
        <w:t xml:space="preserve"> </w:t>
      </w:r>
      <w:r>
        <w:rPr>
          <w:lang w:val="es-CR"/>
        </w:rPr>
        <w:tab/>
        <w:t>El señor Villarroel en su escrito de solicitud de excarcelación explicó que “el día 13 de junio de 2003, [se] presentó para acatar el mandamiento de prisión preventiva, desde la fecha hasta el día viernes 4 de junio, son 358 días, es decir, el año completo de que habla el Art. 23.8 [(</w:t>
      </w:r>
      <w:r w:rsidRPr="00E1550B">
        <w:rPr>
          <w:i/>
          <w:lang w:val="es-CR"/>
        </w:rPr>
        <w:t>sic</w:t>
      </w:r>
      <w:r>
        <w:rPr>
          <w:lang w:val="es-CR"/>
        </w:rPr>
        <w:t>)] de la Constitución Política. […] [P]ido se sirva ordenar que el Señor Jefe de la Unidad de Equitación y Remonta, el día de mañana 04 de junio de 2004, a las 24h00 (media noche en punto) en que se cumplen los indicados 358 días, el señor Comandante de Equitación y Remonta, se sirva autorizar mi excarcelación (</w:t>
      </w:r>
      <w:r w:rsidRPr="00356779">
        <w:rPr>
          <w:i/>
          <w:lang w:val="es-CR"/>
        </w:rPr>
        <w:t>supra</w:t>
      </w:r>
      <w:r>
        <w:rPr>
          <w:lang w:val="es-CR"/>
        </w:rPr>
        <w:t xml:space="preserve"> párr. 61).</w:t>
      </w:r>
    </w:p>
  </w:footnote>
  <w:footnote w:id="99">
    <w:p w14:paraId="35271065" w14:textId="35CFF65E" w:rsidR="00795660" w:rsidRPr="00F02CCA" w:rsidRDefault="00795660" w:rsidP="00483648">
      <w:pPr>
        <w:pStyle w:val="Textonotapie"/>
        <w:spacing w:before="0" w:after="0"/>
        <w:rPr>
          <w:szCs w:val="16"/>
          <w:lang w:val="nl-BE"/>
        </w:rPr>
      </w:pPr>
      <w:r w:rsidRPr="00F02CCA">
        <w:rPr>
          <w:rStyle w:val="Refdenotaalpie"/>
          <w:szCs w:val="16"/>
        </w:rPr>
        <w:footnoteRef/>
      </w:r>
      <w:r w:rsidRPr="00F02CCA">
        <w:rPr>
          <w:szCs w:val="16"/>
        </w:rPr>
        <w:t xml:space="preserve"> </w:t>
      </w:r>
      <w:r>
        <w:rPr>
          <w:szCs w:val="16"/>
        </w:rPr>
        <w:tab/>
      </w:r>
      <w:r w:rsidRPr="001661DB">
        <w:rPr>
          <w:rFonts w:eastAsia="Times New Roman"/>
          <w:i/>
          <w:szCs w:val="16"/>
        </w:rPr>
        <w:t>Cfr. Caso “Instituto de Reedu</w:t>
      </w:r>
      <w:r>
        <w:rPr>
          <w:rFonts w:eastAsia="Times New Roman"/>
          <w:i/>
          <w:szCs w:val="16"/>
        </w:rPr>
        <w:t>cación del Menor” Vs. Paraguay.</w:t>
      </w:r>
      <w:r w:rsidRPr="001661DB">
        <w:rPr>
          <w:rFonts w:eastAsia="Times New Roman"/>
          <w:i/>
          <w:szCs w:val="16"/>
        </w:rPr>
        <w:t xml:space="preserve"> Excepciones Preliminares, Fondo, Reparaciones y Costas</w:t>
      </w:r>
      <w:r w:rsidRPr="00F02CCA">
        <w:rPr>
          <w:rFonts w:eastAsia="Times New Roman"/>
          <w:szCs w:val="16"/>
        </w:rPr>
        <w:t>. Sentencia de 2 de septiembre de 2004. Serie C No. 112, párr</w:t>
      </w:r>
      <w:r w:rsidRPr="004B459D">
        <w:rPr>
          <w:rFonts w:eastAsia="Times New Roman" w:cs="Times New Roman"/>
          <w:szCs w:val="16"/>
          <w:lang w:val="es-CR" w:eastAsia="en-GB"/>
        </w:rPr>
        <w:t>. 228</w:t>
      </w:r>
      <w:r>
        <w:rPr>
          <w:rFonts w:eastAsia="Times New Roman" w:cs="Times New Roman"/>
          <w:szCs w:val="16"/>
          <w:lang w:val="es-CR" w:eastAsia="en-GB"/>
        </w:rPr>
        <w:t xml:space="preserve">, y </w:t>
      </w:r>
      <w:r w:rsidRPr="00B824D5">
        <w:rPr>
          <w:rFonts w:eastAsia="Times New Roman" w:cs="Times New Roman"/>
          <w:i/>
          <w:szCs w:val="16"/>
          <w:lang w:val="es-CR" w:eastAsia="en-GB"/>
        </w:rPr>
        <w:t>Caso Carranza Alarcón Vs. Ecuador. Excepciones Preliminares, Fondo, Reparaciones y Costas</w:t>
      </w:r>
      <w:r>
        <w:rPr>
          <w:rFonts w:eastAsia="Times New Roman" w:cs="Times New Roman"/>
          <w:szCs w:val="16"/>
          <w:lang w:val="es-CR" w:eastAsia="en-GB"/>
        </w:rPr>
        <w:t xml:space="preserve">. Sentencia de 3 de febrero de 2020. Serie C No. 399, párr. 65. </w:t>
      </w:r>
    </w:p>
  </w:footnote>
  <w:footnote w:id="100">
    <w:p w14:paraId="36ACB634" w14:textId="2B004371" w:rsidR="00795660" w:rsidRPr="00F02CCA" w:rsidRDefault="00795660" w:rsidP="006A792A">
      <w:pPr>
        <w:pStyle w:val="Textonotapie"/>
        <w:spacing w:before="0" w:after="0"/>
        <w:rPr>
          <w:szCs w:val="16"/>
          <w:lang w:val="nl-BE"/>
        </w:rPr>
      </w:pPr>
      <w:r w:rsidRPr="00F02CCA">
        <w:rPr>
          <w:rStyle w:val="Refdenotaalpie"/>
          <w:szCs w:val="16"/>
        </w:rPr>
        <w:footnoteRef/>
      </w:r>
      <w:r w:rsidRPr="00F02CCA">
        <w:rPr>
          <w:szCs w:val="16"/>
        </w:rPr>
        <w:t xml:space="preserve"> </w:t>
      </w:r>
      <w:r>
        <w:rPr>
          <w:szCs w:val="16"/>
        </w:rPr>
        <w:tab/>
      </w:r>
      <w:r w:rsidRPr="001661DB">
        <w:rPr>
          <w:rFonts w:eastAsia="Times New Roman"/>
          <w:i/>
          <w:szCs w:val="16"/>
        </w:rPr>
        <w:t>Cfr. Caso Chaparro Álvarez y Lapo Íñiguez Vs. Ecuador. Excepciones Preliminares, Fondo, Reparaciones y Costas.</w:t>
      </w:r>
      <w:r w:rsidRPr="00F02CCA">
        <w:rPr>
          <w:rFonts w:eastAsia="Times New Roman"/>
          <w:szCs w:val="16"/>
        </w:rPr>
        <w:t xml:space="preserve"> Sentencia de 21 de noviembre de 2007. Serie C No. 170, párr. 103</w:t>
      </w:r>
      <w:r>
        <w:rPr>
          <w:rFonts w:eastAsia="Times New Roman"/>
          <w:szCs w:val="16"/>
        </w:rPr>
        <w:t xml:space="preserve">, y </w:t>
      </w:r>
      <w:r w:rsidRPr="00461C9D">
        <w:rPr>
          <w:rFonts w:eastAsia="Times New Roman"/>
          <w:i/>
          <w:szCs w:val="16"/>
        </w:rPr>
        <w:t>Caso Hernández Vs. Argentina. Excepción Preliminar, Fondo, Reparaciones y Costas.</w:t>
      </w:r>
      <w:r>
        <w:rPr>
          <w:rFonts w:eastAsia="Times New Roman"/>
          <w:szCs w:val="16"/>
        </w:rPr>
        <w:t xml:space="preserve"> Sentencia de 22 de noviembre de 2019. Serie C No. 395, párr. 106.</w:t>
      </w:r>
    </w:p>
  </w:footnote>
  <w:footnote w:id="101">
    <w:p w14:paraId="1AD6B59F" w14:textId="061E6293" w:rsidR="00795660" w:rsidRPr="00F02CCA" w:rsidRDefault="00795660" w:rsidP="006A792A">
      <w:pPr>
        <w:spacing w:before="0" w:after="0"/>
        <w:rPr>
          <w:sz w:val="16"/>
          <w:szCs w:val="16"/>
          <w:lang w:val="nl-BE"/>
        </w:rPr>
      </w:pPr>
      <w:r w:rsidRPr="00F02CCA">
        <w:rPr>
          <w:rStyle w:val="Refdenotaalpie"/>
          <w:sz w:val="16"/>
          <w:szCs w:val="16"/>
        </w:rPr>
        <w:footnoteRef/>
      </w:r>
      <w:r w:rsidRPr="00F02CCA">
        <w:rPr>
          <w:sz w:val="16"/>
          <w:szCs w:val="16"/>
        </w:rPr>
        <w:t xml:space="preserve"> </w:t>
      </w:r>
      <w:r>
        <w:rPr>
          <w:sz w:val="16"/>
          <w:szCs w:val="16"/>
        </w:rPr>
        <w:tab/>
      </w:r>
      <w:r w:rsidRPr="001661DB">
        <w:rPr>
          <w:rFonts w:eastAsia="Times New Roman"/>
          <w:i/>
          <w:sz w:val="16"/>
          <w:szCs w:val="16"/>
        </w:rPr>
        <w:t>Cfr. Caso López Álvarez Vs. Honduras. Fondo, Reparaciones y Costas.</w:t>
      </w:r>
      <w:r w:rsidRPr="00F02CCA">
        <w:rPr>
          <w:rFonts w:eastAsia="Times New Roman"/>
          <w:sz w:val="16"/>
          <w:szCs w:val="16"/>
        </w:rPr>
        <w:t xml:space="preserve"> Sentencia de 1 de febrero de 2006. Serie C No. 141</w:t>
      </w:r>
      <w:r w:rsidRPr="004B459D">
        <w:rPr>
          <w:rFonts w:eastAsia="Times New Roman" w:cs="Times New Roman"/>
          <w:sz w:val="16"/>
          <w:szCs w:val="16"/>
          <w:lang w:val="es-CR" w:eastAsia="en-GB"/>
        </w:rPr>
        <w:t>, párr. 67</w:t>
      </w:r>
      <w:r>
        <w:rPr>
          <w:rFonts w:eastAsia="Times New Roman" w:cs="Times New Roman"/>
          <w:sz w:val="16"/>
          <w:szCs w:val="16"/>
          <w:lang w:val="es-CR" w:eastAsia="en-GB"/>
        </w:rPr>
        <w:t xml:space="preserve">, y </w:t>
      </w:r>
      <w:r w:rsidRPr="00461C9D">
        <w:rPr>
          <w:rFonts w:eastAsia="Times New Roman" w:cs="Times New Roman"/>
          <w:i/>
          <w:sz w:val="16"/>
          <w:szCs w:val="16"/>
          <w:lang w:val="es-CR" w:eastAsia="en-GB"/>
        </w:rPr>
        <w:t>Caso Carranza Alarcón Vs. Ecuador,</w:t>
      </w:r>
      <w:r>
        <w:rPr>
          <w:rFonts w:eastAsia="Times New Roman" w:cs="Times New Roman"/>
          <w:sz w:val="16"/>
          <w:szCs w:val="16"/>
          <w:lang w:val="es-CR" w:eastAsia="en-GB"/>
        </w:rPr>
        <w:t xml:space="preserve"> </w:t>
      </w:r>
      <w:r w:rsidRPr="00461C9D">
        <w:rPr>
          <w:rFonts w:eastAsia="Times New Roman" w:cs="Times New Roman"/>
          <w:i/>
          <w:sz w:val="16"/>
          <w:szCs w:val="16"/>
          <w:lang w:val="es-CR" w:eastAsia="en-GB"/>
        </w:rPr>
        <w:t>supra</w:t>
      </w:r>
      <w:r>
        <w:rPr>
          <w:rFonts w:eastAsia="Times New Roman" w:cs="Times New Roman"/>
          <w:sz w:val="16"/>
          <w:szCs w:val="16"/>
          <w:lang w:val="es-CR" w:eastAsia="en-GB"/>
        </w:rPr>
        <w:t>, párr. 65.</w:t>
      </w:r>
    </w:p>
  </w:footnote>
  <w:footnote w:id="102">
    <w:p w14:paraId="0FD09B37" w14:textId="670D7B58" w:rsidR="00795660" w:rsidRDefault="00795660" w:rsidP="003B442E">
      <w:pPr>
        <w:pStyle w:val="Textonotapie"/>
        <w:spacing w:before="0" w:after="0"/>
        <w:rPr>
          <w:szCs w:val="16"/>
          <w:lang w:val="es-CR"/>
        </w:rPr>
      </w:pPr>
      <w:r>
        <w:rPr>
          <w:rStyle w:val="Refdenotaalpie"/>
          <w:szCs w:val="16"/>
        </w:rPr>
        <w:footnoteRef/>
      </w:r>
      <w:r>
        <w:rPr>
          <w:szCs w:val="16"/>
          <w:lang w:val="es-CR"/>
        </w:rPr>
        <w:t xml:space="preserve"> </w:t>
      </w:r>
      <w:r>
        <w:rPr>
          <w:szCs w:val="16"/>
          <w:lang w:val="es-CR"/>
        </w:rPr>
        <w:tab/>
      </w:r>
      <w:r>
        <w:rPr>
          <w:i/>
          <w:szCs w:val="16"/>
        </w:rPr>
        <w:t>Cfr. Caso "Instituto de Reeducación del Menor" Vs. Paraguay, supra</w:t>
      </w:r>
      <w:r>
        <w:rPr>
          <w:szCs w:val="16"/>
        </w:rPr>
        <w:t>, párr. 223</w:t>
      </w:r>
      <w:r>
        <w:rPr>
          <w:szCs w:val="16"/>
          <w:lang w:val="es-PE"/>
        </w:rPr>
        <w:t xml:space="preserve">, y </w:t>
      </w:r>
      <w:r w:rsidRPr="00E336F1">
        <w:rPr>
          <w:i/>
          <w:szCs w:val="16"/>
          <w:lang w:val="es-PE"/>
        </w:rPr>
        <w:t xml:space="preserve">Caso </w:t>
      </w:r>
      <w:r w:rsidRPr="003717BB">
        <w:rPr>
          <w:rFonts w:eastAsia="Times New Roman" w:cs="Times New Roman"/>
          <w:i/>
          <w:szCs w:val="16"/>
          <w:lang w:val="es-CR" w:eastAsia="en-GB"/>
        </w:rPr>
        <w:t>Carranza Alarcón Vs. Ecuador,</w:t>
      </w:r>
      <w:r>
        <w:rPr>
          <w:rFonts w:eastAsia="Times New Roman" w:cs="Times New Roman"/>
          <w:szCs w:val="16"/>
          <w:lang w:val="es-CR" w:eastAsia="en-GB"/>
        </w:rPr>
        <w:t xml:space="preserve"> </w:t>
      </w:r>
      <w:r w:rsidRPr="003717BB">
        <w:rPr>
          <w:rFonts w:eastAsia="Times New Roman" w:cs="Times New Roman"/>
          <w:i/>
          <w:szCs w:val="16"/>
          <w:lang w:val="es-CR" w:eastAsia="en-GB"/>
        </w:rPr>
        <w:t>supra</w:t>
      </w:r>
      <w:r>
        <w:rPr>
          <w:rFonts w:eastAsia="Times New Roman" w:cs="Times New Roman"/>
          <w:szCs w:val="16"/>
          <w:lang w:val="es-CR" w:eastAsia="en-GB"/>
        </w:rPr>
        <w:t xml:space="preserve">, párr. 60. </w:t>
      </w:r>
    </w:p>
  </w:footnote>
  <w:footnote w:id="103">
    <w:p w14:paraId="50DF4A0C" w14:textId="3993A798" w:rsidR="00795660" w:rsidRDefault="00795660" w:rsidP="003B442E">
      <w:pPr>
        <w:pStyle w:val="Textonotapie"/>
        <w:spacing w:before="0" w:after="0"/>
        <w:rPr>
          <w:szCs w:val="16"/>
          <w:lang w:val="es-CR"/>
        </w:rPr>
      </w:pPr>
      <w:r>
        <w:rPr>
          <w:rStyle w:val="Refdenotaalpie"/>
          <w:rFonts w:eastAsia="Verdana" w:cs="Verdana"/>
          <w:szCs w:val="16"/>
        </w:rPr>
        <w:footnoteRef/>
      </w:r>
      <w:r>
        <w:rPr>
          <w:szCs w:val="16"/>
        </w:rPr>
        <w:t xml:space="preserve"> </w:t>
      </w:r>
      <w:r>
        <w:rPr>
          <w:rFonts w:eastAsia="Verdana" w:cs="Verdana"/>
          <w:szCs w:val="16"/>
        </w:rPr>
        <w:tab/>
      </w:r>
      <w:r>
        <w:rPr>
          <w:i/>
          <w:iCs/>
          <w:szCs w:val="16"/>
        </w:rPr>
        <w:t>Cfr. Caso Chaparro Álvarez y Lapo Iñiguez Vs. Ecuador</w:t>
      </w:r>
      <w:r>
        <w:rPr>
          <w:i/>
          <w:iCs/>
          <w:szCs w:val="16"/>
          <w:lang w:val="es-CR"/>
        </w:rPr>
        <w:t>, supra</w:t>
      </w:r>
      <w:r>
        <w:rPr>
          <w:szCs w:val="16"/>
        </w:rPr>
        <w:t xml:space="preserve">, párrs. 51 y 54, y </w:t>
      </w:r>
      <w:r w:rsidRPr="00E336F1">
        <w:rPr>
          <w:i/>
          <w:szCs w:val="16"/>
          <w:lang w:val="es-PE"/>
        </w:rPr>
        <w:t xml:space="preserve">Caso </w:t>
      </w:r>
      <w:r w:rsidRPr="003717BB">
        <w:rPr>
          <w:rFonts w:eastAsia="Times New Roman" w:cs="Times New Roman"/>
          <w:i/>
          <w:szCs w:val="16"/>
          <w:lang w:val="es-CR" w:eastAsia="en-GB"/>
        </w:rPr>
        <w:t>Carranza Alarcón Vs. Ecuador,</w:t>
      </w:r>
      <w:r>
        <w:rPr>
          <w:rFonts w:eastAsia="Times New Roman" w:cs="Times New Roman"/>
          <w:szCs w:val="16"/>
          <w:lang w:val="es-CR" w:eastAsia="en-GB"/>
        </w:rPr>
        <w:t xml:space="preserve"> </w:t>
      </w:r>
      <w:r w:rsidRPr="003717BB">
        <w:rPr>
          <w:rFonts w:eastAsia="Times New Roman" w:cs="Times New Roman"/>
          <w:i/>
          <w:szCs w:val="16"/>
          <w:lang w:val="es-CR" w:eastAsia="en-GB"/>
        </w:rPr>
        <w:t>supra</w:t>
      </w:r>
      <w:r>
        <w:rPr>
          <w:rFonts w:eastAsia="Times New Roman" w:cs="Times New Roman"/>
          <w:szCs w:val="16"/>
          <w:lang w:val="es-CR" w:eastAsia="en-GB"/>
        </w:rPr>
        <w:t xml:space="preserve">, párr. 60. </w:t>
      </w:r>
    </w:p>
  </w:footnote>
  <w:footnote w:id="104">
    <w:p w14:paraId="38990C5E" w14:textId="6668FD04" w:rsidR="00795660" w:rsidRPr="002F3029" w:rsidRDefault="00795660" w:rsidP="00792BA6">
      <w:pPr>
        <w:pStyle w:val="Textonotapie"/>
        <w:spacing w:before="0" w:after="0"/>
        <w:rPr>
          <w:lang w:val="es-CR"/>
        </w:rPr>
      </w:pPr>
      <w:r w:rsidRPr="002161F5">
        <w:rPr>
          <w:rStyle w:val="Refdenotaalpie"/>
          <w:spacing w:val="-4"/>
        </w:rPr>
        <w:footnoteRef/>
      </w:r>
      <w:r w:rsidRPr="002161F5">
        <w:t xml:space="preserve"> </w:t>
      </w:r>
      <w:r w:rsidRPr="002161F5">
        <w:tab/>
      </w:r>
      <w:r w:rsidRPr="009B4BA1">
        <w:rPr>
          <w:i/>
          <w:lang w:val="es-PR"/>
        </w:rPr>
        <w:t>Cfr.</w:t>
      </w:r>
      <w:r w:rsidRPr="00D202BE">
        <w:rPr>
          <w:i/>
          <w:lang w:val="es-PR"/>
        </w:rPr>
        <w:t xml:space="preserve"> </w:t>
      </w:r>
      <w:r w:rsidRPr="005D57DB">
        <w:rPr>
          <w:i/>
          <w:lang w:val="es-PR"/>
        </w:rPr>
        <w:t>Caso Chaparro Álvarez y Lapo Íñiguez Vs. Ecuador</w:t>
      </w:r>
      <w:r w:rsidRPr="002161F5">
        <w:rPr>
          <w:lang w:val="es-PR"/>
        </w:rPr>
        <w:t>,</w:t>
      </w:r>
      <w:r w:rsidRPr="002161F5">
        <w:rPr>
          <w:lang w:val="es-CR"/>
        </w:rPr>
        <w:t xml:space="preserve"> </w:t>
      </w:r>
      <w:r w:rsidRPr="00461C9D">
        <w:rPr>
          <w:i/>
          <w:lang w:val="es-CR"/>
        </w:rPr>
        <w:t>supra</w:t>
      </w:r>
      <w:r>
        <w:rPr>
          <w:lang w:val="es-CR"/>
        </w:rPr>
        <w:t xml:space="preserve">, </w:t>
      </w:r>
      <w:r w:rsidRPr="002161F5">
        <w:t>párr. 57</w:t>
      </w:r>
      <w:r>
        <w:t xml:space="preserve">, y </w:t>
      </w:r>
      <w:r w:rsidRPr="00E336F1">
        <w:rPr>
          <w:i/>
          <w:szCs w:val="16"/>
          <w:lang w:val="es-PE"/>
        </w:rPr>
        <w:t xml:space="preserve">Caso </w:t>
      </w:r>
      <w:r w:rsidRPr="003717BB">
        <w:rPr>
          <w:rFonts w:eastAsia="Times New Roman" w:cs="Times New Roman"/>
          <w:i/>
          <w:szCs w:val="16"/>
          <w:lang w:val="es-CR" w:eastAsia="en-GB"/>
        </w:rPr>
        <w:t>Carranza Alarcón Vs. Ecuador,</w:t>
      </w:r>
      <w:r>
        <w:rPr>
          <w:rFonts w:eastAsia="Times New Roman" w:cs="Times New Roman"/>
          <w:szCs w:val="16"/>
          <w:lang w:val="es-CR" w:eastAsia="en-GB"/>
        </w:rPr>
        <w:t xml:space="preserve"> </w:t>
      </w:r>
      <w:r w:rsidRPr="003717BB">
        <w:rPr>
          <w:rFonts w:eastAsia="Times New Roman" w:cs="Times New Roman"/>
          <w:i/>
          <w:szCs w:val="16"/>
          <w:lang w:val="es-CR" w:eastAsia="en-GB"/>
        </w:rPr>
        <w:t>supra</w:t>
      </w:r>
      <w:r>
        <w:rPr>
          <w:rFonts w:eastAsia="Times New Roman" w:cs="Times New Roman"/>
          <w:szCs w:val="16"/>
          <w:lang w:val="es-CR" w:eastAsia="en-GB"/>
        </w:rPr>
        <w:t xml:space="preserve">, párr. 61. </w:t>
      </w:r>
    </w:p>
  </w:footnote>
  <w:footnote w:id="105">
    <w:p w14:paraId="627C35F5" w14:textId="6C35CCE6" w:rsidR="00795660" w:rsidRPr="00055454" w:rsidRDefault="00795660" w:rsidP="00792BA6">
      <w:pPr>
        <w:pStyle w:val="Textonotapie"/>
        <w:spacing w:before="0" w:after="0"/>
        <w:rPr>
          <w:lang w:val="pt-BR"/>
        </w:rPr>
      </w:pPr>
      <w:r>
        <w:rPr>
          <w:rStyle w:val="Refdenotaalpie"/>
        </w:rPr>
        <w:footnoteRef/>
      </w:r>
      <w:r>
        <w:t xml:space="preserve">  </w:t>
      </w:r>
      <w:r>
        <w:tab/>
      </w:r>
      <w:r w:rsidRPr="002411E4">
        <w:rPr>
          <w:rFonts w:eastAsia="Times New Roman" w:cs="Times New Roman"/>
          <w:i/>
          <w:szCs w:val="16"/>
          <w:lang w:val="es-CR" w:eastAsia="en-GB"/>
        </w:rPr>
        <w:t>Cfr. Caso Argüelles y otros Vs. Argentina. Excepciones Preliminares, Fondo, Reparaciones y Costas</w:t>
      </w:r>
      <w:r w:rsidRPr="004B459D">
        <w:rPr>
          <w:rFonts w:eastAsia="Times New Roman" w:cs="Times New Roman"/>
          <w:szCs w:val="16"/>
          <w:lang w:val="es-CR" w:eastAsia="en-GB"/>
        </w:rPr>
        <w:t xml:space="preserve">. Sentencia de 20 de noviembre de 2014. </w:t>
      </w:r>
      <w:r>
        <w:rPr>
          <w:rFonts w:eastAsia="Times New Roman"/>
          <w:szCs w:val="16"/>
        </w:rPr>
        <w:t xml:space="preserve">Serie C No.288, </w:t>
      </w:r>
      <w:r>
        <w:t xml:space="preserve">párr. 116, y </w:t>
      </w:r>
      <w:r w:rsidRPr="00461C9D">
        <w:rPr>
          <w:i/>
        </w:rPr>
        <w:t>Caso Mujeres Víctimas de Tortura Sexual en Atenco Vs. México. Excepción Preliminar, Fondo, Reparaciones y Costas.</w:t>
      </w:r>
      <w:r>
        <w:t xml:space="preserve"> Sentencia de 28 de noviembre de 2018. </w:t>
      </w:r>
      <w:r w:rsidRPr="00055454">
        <w:rPr>
          <w:lang w:val="pt-BR"/>
        </w:rPr>
        <w:t>Serie C No. 371, párr. 230.</w:t>
      </w:r>
    </w:p>
  </w:footnote>
  <w:footnote w:id="106">
    <w:p w14:paraId="07A421CA" w14:textId="458A3E6A" w:rsidR="00795660" w:rsidRPr="000310D9" w:rsidRDefault="00795660" w:rsidP="003B442E">
      <w:pPr>
        <w:pStyle w:val="Textonotapie"/>
        <w:spacing w:before="0" w:after="0"/>
      </w:pPr>
      <w:r>
        <w:rPr>
          <w:rStyle w:val="Refdenotaalpie"/>
        </w:rPr>
        <w:footnoteRef/>
      </w:r>
      <w:r w:rsidRPr="00055454">
        <w:rPr>
          <w:lang w:val="pt-BR"/>
        </w:rPr>
        <w:t xml:space="preserve"> </w:t>
      </w:r>
      <w:r w:rsidRPr="00055454">
        <w:rPr>
          <w:lang w:val="pt-BR"/>
        </w:rPr>
        <w:tab/>
      </w:r>
      <w:r w:rsidRPr="00055454">
        <w:rPr>
          <w:i/>
          <w:szCs w:val="16"/>
          <w:lang w:val="pt-BR"/>
        </w:rPr>
        <w:t xml:space="preserve">Cfr. Caso Gangaram Panday Vs. Surinam. </w:t>
      </w:r>
      <w:r w:rsidRPr="001D0829">
        <w:rPr>
          <w:i/>
          <w:szCs w:val="16"/>
        </w:rPr>
        <w:t>Fondo, Reparaciones y Costas</w:t>
      </w:r>
      <w:r w:rsidRPr="001D0829">
        <w:rPr>
          <w:szCs w:val="16"/>
        </w:rPr>
        <w:t xml:space="preserve">. Sentencia de 21 de enero de 1994. Serie C No. 16, párr. 47, y </w:t>
      </w:r>
      <w:r w:rsidRPr="001D0829">
        <w:rPr>
          <w:i/>
          <w:szCs w:val="16"/>
        </w:rPr>
        <w:t>Caso</w:t>
      </w:r>
      <w:r>
        <w:rPr>
          <w:szCs w:val="16"/>
        </w:rPr>
        <w:t xml:space="preserve"> </w:t>
      </w:r>
      <w:r w:rsidRPr="00461C9D">
        <w:rPr>
          <w:i/>
          <w:szCs w:val="16"/>
        </w:rPr>
        <w:t>Carranza Alarcón Vs. Ecuador, supra</w:t>
      </w:r>
      <w:r w:rsidRPr="003B570C">
        <w:rPr>
          <w:szCs w:val="16"/>
        </w:rPr>
        <w:t>,</w:t>
      </w:r>
      <w:r>
        <w:rPr>
          <w:szCs w:val="16"/>
        </w:rPr>
        <w:t xml:space="preserve"> párr. 62. </w:t>
      </w:r>
    </w:p>
  </w:footnote>
  <w:footnote w:id="107">
    <w:p w14:paraId="686EE5C9" w14:textId="1EF67302" w:rsidR="00795660" w:rsidRPr="000310D9" w:rsidRDefault="00795660" w:rsidP="003B442E">
      <w:pPr>
        <w:pStyle w:val="Textonotapie"/>
        <w:spacing w:before="0" w:after="0"/>
      </w:pPr>
      <w:r>
        <w:rPr>
          <w:rStyle w:val="Refdenotaalpie"/>
        </w:rPr>
        <w:footnoteRef/>
      </w:r>
      <w:r>
        <w:t xml:space="preserve"> </w:t>
      </w:r>
      <w:r>
        <w:tab/>
      </w:r>
      <w:r w:rsidRPr="001D0829">
        <w:rPr>
          <w:i/>
          <w:szCs w:val="16"/>
        </w:rPr>
        <w:t>Cfr. Caso Chaparro Álvarez y Lapo Íñiguez Vs. Ecuador</w:t>
      </w:r>
      <w:r w:rsidRPr="001D0829">
        <w:rPr>
          <w:szCs w:val="16"/>
        </w:rPr>
        <w:t xml:space="preserve">, </w:t>
      </w:r>
      <w:r w:rsidRPr="00461C9D">
        <w:rPr>
          <w:i/>
          <w:szCs w:val="16"/>
        </w:rPr>
        <w:t>supra</w:t>
      </w:r>
      <w:r>
        <w:rPr>
          <w:szCs w:val="16"/>
        </w:rPr>
        <w:t xml:space="preserve">, </w:t>
      </w:r>
      <w:r w:rsidRPr="001D0829">
        <w:rPr>
          <w:szCs w:val="16"/>
        </w:rPr>
        <w:t xml:space="preserve">párr. 92, y </w:t>
      </w:r>
      <w:r w:rsidRPr="001D0829">
        <w:rPr>
          <w:i/>
          <w:szCs w:val="16"/>
        </w:rPr>
        <w:t xml:space="preserve">Caso </w:t>
      </w:r>
      <w:r>
        <w:rPr>
          <w:i/>
          <w:szCs w:val="16"/>
        </w:rPr>
        <w:t xml:space="preserve">Carranza Alarcón Vs. Ecuador, supra, </w:t>
      </w:r>
      <w:r w:rsidRPr="00461C9D">
        <w:rPr>
          <w:szCs w:val="16"/>
        </w:rPr>
        <w:t>párr. 62</w:t>
      </w:r>
      <w:r>
        <w:rPr>
          <w:i/>
          <w:szCs w:val="16"/>
        </w:rPr>
        <w:t xml:space="preserve">. </w:t>
      </w:r>
    </w:p>
  </w:footnote>
  <w:footnote w:id="108">
    <w:p w14:paraId="4664028E" w14:textId="1841EF78" w:rsidR="00795660" w:rsidRPr="00055454" w:rsidRDefault="00795660" w:rsidP="003B442E">
      <w:pPr>
        <w:pStyle w:val="Textonotapie"/>
        <w:spacing w:before="0" w:after="0"/>
        <w:rPr>
          <w:lang w:val="es-CR"/>
        </w:rPr>
      </w:pPr>
      <w:r>
        <w:rPr>
          <w:rStyle w:val="Refdenotaalpie"/>
        </w:rPr>
        <w:footnoteRef/>
      </w:r>
      <w:r>
        <w:t xml:space="preserve"> </w:t>
      </w:r>
      <w:r>
        <w:tab/>
      </w:r>
      <w:r w:rsidRPr="001D0829">
        <w:rPr>
          <w:i/>
          <w:szCs w:val="16"/>
        </w:rPr>
        <w:t>Cfr. Caso Servellón García y otros Vs. Honduras. Excepción Preliminar, Fondo, Reparaciones y Costas.</w:t>
      </w:r>
      <w:r w:rsidRPr="001D0829">
        <w:rPr>
          <w:szCs w:val="16"/>
        </w:rPr>
        <w:t xml:space="preserve"> Sentencia de 21 de septiembre de 2006. Serie C No. 152, párr. 89, y </w:t>
      </w:r>
      <w:r w:rsidRPr="00461C9D">
        <w:rPr>
          <w:i/>
          <w:szCs w:val="16"/>
        </w:rPr>
        <w:t>Caso Romero Feris Vs. Argentina. Fondo, Reparaciones y Costas.</w:t>
      </w:r>
      <w:r>
        <w:rPr>
          <w:szCs w:val="16"/>
        </w:rPr>
        <w:t xml:space="preserve"> Sentencia de 15 de octubre de 2019. Serie C No. 391, párr. 92. </w:t>
      </w:r>
    </w:p>
  </w:footnote>
  <w:footnote w:id="109">
    <w:p w14:paraId="1BE29ECA" w14:textId="3F767333" w:rsidR="00795660" w:rsidRPr="0092295B" w:rsidRDefault="00795660" w:rsidP="003B442E">
      <w:pPr>
        <w:pStyle w:val="Textonotapie"/>
        <w:spacing w:before="0" w:after="0"/>
      </w:pPr>
      <w:r w:rsidRPr="0092295B">
        <w:rPr>
          <w:rStyle w:val="Refdenotaalpie"/>
        </w:rPr>
        <w:footnoteRef/>
      </w:r>
      <w:r w:rsidRPr="00055454">
        <w:rPr>
          <w:lang w:val="es-CR"/>
        </w:rPr>
        <w:t xml:space="preserve"> </w:t>
      </w:r>
      <w:r w:rsidRPr="00055454">
        <w:rPr>
          <w:lang w:val="es-CR"/>
        </w:rPr>
        <w:tab/>
      </w:r>
      <w:r w:rsidRPr="00055454">
        <w:rPr>
          <w:i/>
          <w:szCs w:val="16"/>
          <w:lang w:val="es-CR"/>
        </w:rPr>
        <w:t xml:space="preserve">Cfr. Caso Palamara Iribarne Vs. </w:t>
      </w:r>
      <w:r w:rsidRPr="0092295B">
        <w:rPr>
          <w:i/>
          <w:szCs w:val="16"/>
        </w:rPr>
        <w:t>Chile. Fondo, Reparaciones y Costas</w:t>
      </w:r>
      <w:r w:rsidRPr="0092295B">
        <w:rPr>
          <w:szCs w:val="16"/>
        </w:rPr>
        <w:t>. Sentencia de 22 de noviembre de 2005. Serie C No. 135, párr. 197, y</w:t>
      </w:r>
      <w:r>
        <w:rPr>
          <w:szCs w:val="16"/>
        </w:rPr>
        <w:t xml:space="preserve"> </w:t>
      </w:r>
      <w:r w:rsidRPr="00461C9D">
        <w:rPr>
          <w:i/>
          <w:szCs w:val="16"/>
        </w:rPr>
        <w:t>Caso Romero Feris Vs. Argentina</w:t>
      </w:r>
      <w:r w:rsidRPr="004036AC">
        <w:rPr>
          <w:i/>
          <w:szCs w:val="16"/>
        </w:rPr>
        <w:t xml:space="preserve">, supra, </w:t>
      </w:r>
      <w:r w:rsidRPr="00461C9D">
        <w:rPr>
          <w:szCs w:val="16"/>
        </w:rPr>
        <w:t>párr. 92.</w:t>
      </w:r>
      <w:r>
        <w:rPr>
          <w:i/>
          <w:szCs w:val="16"/>
        </w:rPr>
        <w:t xml:space="preserve"> </w:t>
      </w:r>
    </w:p>
  </w:footnote>
  <w:footnote w:id="110">
    <w:p w14:paraId="585EB93F" w14:textId="1466ABAD" w:rsidR="00795660" w:rsidRPr="0092295B" w:rsidRDefault="00795660" w:rsidP="003B442E">
      <w:pPr>
        <w:pStyle w:val="Textonotapie"/>
        <w:spacing w:before="0" w:after="0"/>
      </w:pPr>
      <w:r w:rsidRPr="0092295B">
        <w:rPr>
          <w:rStyle w:val="Refdenotaalpie"/>
        </w:rPr>
        <w:footnoteRef/>
      </w:r>
      <w:r w:rsidRPr="0092295B">
        <w:t xml:space="preserve"> </w:t>
      </w:r>
      <w:r w:rsidRPr="0092295B">
        <w:tab/>
      </w:r>
      <w:r w:rsidRPr="0092295B">
        <w:rPr>
          <w:i/>
          <w:szCs w:val="16"/>
        </w:rPr>
        <w:t>Cfr. Caso García Asto y Ramírez Rojas Vs. Perú. Excepción Preliminar, Fondo, Reparaciones y Costas.</w:t>
      </w:r>
      <w:r w:rsidRPr="0092295B">
        <w:rPr>
          <w:szCs w:val="16"/>
        </w:rPr>
        <w:t xml:space="preserve"> Sentencia de 25 de noviembre de 2005. Serie C No. 137, párr. 128, y </w:t>
      </w:r>
      <w:r w:rsidRPr="00461C9D">
        <w:rPr>
          <w:i/>
          <w:szCs w:val="16"/>
        </w:rPr>
        <w:t>Caso Romero Feris Vs. Argentina</w:t>
      </w:r>
      <w:r w:rsidRPr="004036AC">
        <w:rPr>
          <w:i/>
          <w:szCs w:val="16"/>
        </w:rPr>
        <w:t xml:space="preserve">, supra, </w:t>
      </w:r>
      <w:r w:rsidRPr="00461C9D">
        <w:rPr>
          <w:szCs w:val="16"/>
        </w:rPr>
        <w:t>párr. 92.</w:t>
      </w:r>
      <w:r>
        <w:rPr>
          <w:szCs w:val="16"/>
        </w:rPr>
        <w:t xml:space="preserve"> </w:t>
      </w:r>
    </w:p>
  </w:footnote>
  <w:footnote w:id="111">
    <w:p w14:paraId="4BA44F3D" w14:textId="440EB644" w:rsidR="00795660" w:rsidRPr="003B442E" w:rsidRDefault="00795660" w:rsidP="001A7D9B">
      <w:pPr>
        <w:pStyle w:val="Textonotapie"/>
        <w:spacing w:before="0" w:after="0"/>
      </w:pPr>
      <w:r w:rsidRPr="0092295B">
        <w:rPr>
          <w:rStyle w:val="Refdenotaalpie"/>
        </w:rPr>
        <w:footnoteRef/>
      </w:r>
      <w:r w:rsidRPr="0092295B">
        <w:t xml:space="preserve"> </w:t>
      </w:r>
      <w:r w:rsidRPr="0092295B">
        <w:tab/>
      </w:r>
      <w:r w:rsidRPr="0092295B">
        <w:rPr>
          <w:i/>
          <w:szCs w:val="16"/>
        </w:rPr>
        <w:t>Cfr.</w:t>
      </w:r>
      <w:r w:rsidRPr="0092295B">
        <w:rPr>
          <w:szCs w:val="16"/>
        </w:rPr>
        <w:t xml:space="preserve"> </w:t>
      </w:r>
      <w:r w:rsidRPr="0092295B">
        <w:rPr>
          <w:i/>
          <w:szCs w:val="16"/>
        </w:rPr>
        <w:t>Caso Suárez Rosero Vs. Ecuador. Fondo</w:t>
      </w:r>
      <w:r w:rsidRPr="0092295B">
        <w:rPr>
          <w:szCs w:val="16"/>
        </w:rPr>
        <w:t xml:space="preserve">. Sentencia de 12 de noviembre de 1997. Serie C No. 35, párr. 77, y </w:t>
      </w:r>
      <w:r w:rsidRPr="00461C9D">
        <w:rPr>
          <w:i/>
          <w:szCs w:val="16"/>
        </w:rPr>
        <w:t>Caso Romero Feris Vs. Argentina</w:t>
      </w:r>
      <w:r w:rsidRPr="004036AC">
        <w:rPr>
          <w:i/>
          <w:szCs w:val="16"/>
        </w:rPr>
        <w:t xml:space="preserve">, supra, </w:t>
      </w:r>
      <w:r w:rsidRPr="00461C9D">
        <w:rPr>
          <w:szCs w:val="16"/>
        </w:rPr>
        <w:t xml:space="preserve">párr. </w:t>
      </w:r>
      <w:r w:rsidRPr="007E641B">
        <w:rPr>
          <w:szCs w:val="16"/>
        </w:rPr>
        <w:t>99</w:t>
      </w:r>
      <w:r w:rsidRPr="00461C9D">
        <w:rPr>
          <w:szCs w:val="16"/>
        </w:rPr>
        <w:t>.</w:t>
      </w:r>
      <w:r>
        <w:rPr>
          <w:szCs w:val="16"/>
        </w:rPr>
        <w:t xml:space="preserve"> </w:t>
      </w:r>
    </w:p>
  </w:footnote>
  <w:footnote w:id="112">
    <w:p w14:paraId="7980BC3C" w14:textId="14AFC631" w:rsidR="00795660" w:rsidRPr="003B442E" w:rsidRDefault="00795660" w:rsidP="001A7D9B">
      <w:pPr>
        <w:pStyle w:val="Textonotapie"/>
        <w:spacing w:before="0" w:after="0"/>
        <w:rPr>
          <w:lang w:val="es-CR"/>
        </w:rPr>
      </w:pPr>
      <w:r>
        <w:rPr>
          <w:rStyle w:val="Refdenotaalpie"/>
        </w:rPr>
        <w:footnoteRef/>
      </w:r>
      <w:r>
        <w:t xml:space="preserve"> </w:t>
      </w:r>
      <w:r>
        <w:tab/>
      </w:r>
      <w:r w:rsidRPr="001D0829">
        <w:rPr>
          <w:i/>
          <w:szCs w:val="16"/>
        </w:rPr>
        <w:t>Cfr. Caso Amrhein y otros Vs. Costa Rica</w:t>
      </w:r>
      <w:r w:rsidRPr="001D0829">
        <w:rPr>
          <w:szCs w:val="16"/>
        </w:rPr>
        <w:t xml:space="preserve">, </w:t>
      </w:r>
      <w:r w:rsidRPr="00461C9D">
        <w:rPr>
          <w:i/>
          <w:szCs w:val="16"/>
        </w:rPr>
        <w:t>Excepciones Preliminares, Fondo, Reparaciones y Costas.</w:t>
      </w:r>
      <w:r>
        <w:rPr>
          <w:szCs w:val="16"/>
        </w:rPr>
        <w:t xml:space="preserve"> Sentencia de 25 de abril de 2018. Serie C No. 354, </w:t>
      </w:r>
      <w:r w:rsidRPr="001D0829">
        <w:rPr>
          <w:szCs w:val="16"/>
        </w:rPr>
        <w:t xml:space="preserve">párr. 357, y </w:t>
      </w:r>
      <w:r w:rsidRPr="00461C9D">
        <w:rPr>
          <w:i/>
          <w:szCs w:val="16"/>
        </w:rPr>
        <w:t>Caso Romero Feris Vs. Argentina</w:t>
      </w:r>
      <w:r w:rsidRPr="004036AC">
        <w:rPr>
          <w:i/>
          <w:szCs w:val="16"/>
        </w:rPr>
        <w:t xml:space="preserve">, supra, </w:t>
      </w:r>
      <w:r w:rsidRPr="00461C9D">
        <w:rPr>
          <w:szCs w:val="16"/>
        </w:rPr>
        <w:t xml:space="preserve">párr. </w:t>
      </w:r>
      <w:r w:rsidRPr="007E641B">
        <w:rPr>
          <w:szCs w:val="16"/>
        </w:rPr>
        <w:t>99</w:t>
      </w:r>
      <w:r w:rsidRPr="00461C9D">
        <w:rPr>
          <w:szCs w:val="16"/>
        </w:rPr>
        <w:t>.</w:t>
      </w:r>
      <w:r>
        <w:rPr>
          <w:szCs w:val="16"/>
        </w:rPr>
        <w:t xml:space="preserve"> </w:t>
      </w:r>
    </w:p>
  </w:footnote>
  <w:footnote w:id="113">
    <w:p w14:paraId="58F467BA" w14:textId="43D041D1" w:rsidR="00795660" w:rsidRPr="003B442E" w:rsidRDefault="00795660" w:rsidP="003B442E">
      <w:pPr>
        <w:pStyle w:val="Textonotapie"/>
        <w:spacing w:before="0" w:after="0"/>
        <w:rPr>
          <w:lang w:val="es-CR"/>
        </w:rPr>
      </w:pPr>
      <w:r>
        <w:rPr>
          <w:rStyle w:val="Refdenotaalpie"/>
        </w:rPr>
        <w:footnoteRef/>
      </w:r>
      <w:r>
        <w:t xml:space="preserve"> </w:t>
      </w:r>
      <w:r>
        <w:tab/>
      </w:r>
      <w:r w:rsidRPr="001D0829">
        <w:rPr>
          <w:i/>
          <w:szCs w:val="16"/>
        </w:rPr>
        <w:t>Cfr. Caso Pollo Rivera y otros Vs. Perú</w:t>
      </w:r>
      <w:r>
        <w:rPr>
          <w:szCs w:val="16"/>
        </w:rPr>
        <w:t xml:space="preserve">. </w:t>
      </w:r>
      <w:r w:rsidRPr="00461C9D">
        <w:rPr>
          <w:i/>
          <w:szCs w:val="16"/>
        </w:rPr>
        <w:t>Fondo, Reparaciones, y Costas.</w:t>
      </w:r>
      <w:r>
        <w:rPr>
          <w:szCs w:val="16"/>
        </w:rPr>
        <w:t xml:space="preserve"> Sentencia de 21 de octubre de 2016. Serie C No. 319</w:t>
      </w:r>
      <w:r w:rsidRPr="001D0829">
        <w:rPr>
          <w:szCs w:val="16"/>
        </w:rPr>
        <w:t xml:space="preserve">párr. 122, y </w:t>
      </w:r>
      <w:r w:rsidRPr="001D0829">
        <w:rPr>
          <w:i/>
          <w:szCs w:val="16"/>
        </w:rPr>
        <w:t xml:space="preserve">Caso </w:t>
      </w:r>
      <w:r>
        <w:rPr>
          <w:i/>
          <w:szCs w:val="16"/>
        </w:rPr>
        <w:t xml:space="preserve">Carranza Alarcón Vs. Ecuador, supra, </w:t>
      </w:r>
      <w:r w:rsidRPr="002A3859">
        <w:rPr>
          <w:szCs w:val="16"/>
        </w:rPr>
        <w:t>párr.</w:t>
      </w:r>
      <w:r>
        <w:rPr>
          <w:szCs w:val="16"/>
        </w:rPr>
        <w:t xml:space="preserve"> 67. </w:t>
      </w:r>
    </w:p>
  </w:footnote>
  <w:footnote w:id="114">
    <w:p w14:paraId="7DE3BA7D" w14:textId="2E73CEF5" w:rsidR="00795660" w:rsidRPr="003B442E" w:rsidRDefault="00795660" w:rsidP="003B442E">
      <w:pPr>
        <w:pStyle w:val="Textonotapie"/>
        <w:spacing w:before="0" w:after="0"/>
      </w:pPr>
      <w:r>
        <w:rPr>
          <w:rStyle w:val="Refdenotaalpie"/>
        </w:rPr>
        <w:footnoteRef/>
      </w:r>
      <w:r>
        <w:t xml:space="preserve"> </w:t>
      </w:r>
      <w:r>
        <w:tab/>
      </w:r>
      <w:r w:rsidRPr="001D0829">
        <w:rPr>
          <w:i/>
          <w:szCs w:val="16"/>
        </w:rPr>
        <w:t>Cfr. Caso Chaparro Álvarez y Lapo Íñiguez Vs. Ecuador</w:t>
      </w:r>
      <w:r w:rsidRPr="001D0829">
        <w:rPr>
          <w:szCs w:val="16"/>
        </w:rPr>
        <w:t xml:space="preserve">, </w:t>
      </w:r>
      <w:r w:rsidRPr="00461C9D">
        <w:rPr>
          <w:i/>
          <w:szCs w:val="16"/>
        </w:rPr>
        <w:t>supra</w:t>
      </w:r>
      <w:r>
        <w:rPr>
          <w:szCs w:val="16"/>
        </w:rPr>
        <w:t xml:space="preserve">, </w:t>
      </w:r>
      <w:r w:rsidRPr="001D0829">
        <w:rPr>
          <w:szCs w:val="16"/>
        </w:rPr>
        <w:t xml:space="preserve">párr. 92, y </w:t>
      </w:r>
      <w:r w:rsidRPr="001D0829">
        <w:rPr>
          <w:i/>
          <w:szCs w:val="16"/>
        </w:rPr>
        <w:t>Caso Romero Feris Vs. Argentina</w:t>
      </w:r>
      <w:r w:rsidRPr="001D0829">
        <w:rPr>
          <w:szCs w:val="16"/>
        </w:rPr>
        <w:t>,</w:t>
      </w:r>
      <w:r>
        <w:rPr>
          <w:szCs w:val="16"/>
        </w:rPr>
        <w:t xml:space="preserve"> </w:t>
      </w:r>
      <w:r w:rsidRPr="00461C9D">
        <w:rPr>
          <w:i/>
          <w:szCs w:val="16"/>
        </w:rPr>
        <w:t>supra</w:t>
      </w:r>
      <w:r>
        <w:rPr>
          <w:szCs w:val="16"/>
        </w:rPr>
        <w:t>,</w:t>
      </w:r>
      <w:r w:rsidRPr="001D0829">
        <w:rPr>
          <w:szCs w:val="16"/>
        </w:rPr>
        <w:t xml:space="preserve"> párr. 98.</w:t>
      </w:r>
    </w:p>
  </w:footnote>
  <w:footnote w:id="115">
    <w:p w14:paraId="6C01144C" w14:textId="6B5AB860" w:rsidR="00795660" w:rsidRPr="006E5CD2" w:rsidRDefault="00795660" w:rsidP="00461C9D">
      <w:pPr>
        <w:pStyle w:val="Textonotapie"/>
        <w:spacing w:before="0" w:after="0"/>
      </w:pPr>
      <w:r>
        <w:rPr>
          <w:rStyle w:val="Refdenotaalpie"/>
        </w:rPr>
        <w:footnoteRef/>
      </w:r>
      <w:r>
        <w:t xml:space="preserve"> </w:t>
      </w:r>
      <w:r>
        <w:tab/>
      </w:r>
      <w:r w:rsidRPr="00461C9D">
        <w:rPr>
          <w:i/>
        </w:rPr>
        <w:t>Cfr. Caso García Asto y Ramírez Rojas Vs. Perú, supra,</w:t>
      </w:r>
      <w:r>
        <w:t xml:space="preserve"> párr. 128, y Caso </w:t>
      </w:r>
      <w:r>
        <w:rPr>
          <w:i/>
          <w:szCs w:val="16"/>
        </w:rPr>
        <w:t xml:space="preserve">Carranza Alarcón Vs. Ecuador, supra, </w:t>
      </w:r>
      <w:r w:rsidRPr="002A3859">
        <w:rPr>
          <w:szCs w:val="16"/>
        </w:rPr>
        <w:t>párr.</w:t>
      </w:r>
      <w:r>
        <w:rPr>
          <w:szCs w:val="16"/>
        </w:rPr>
        <w:t xml:space="preserve"> 75.</w:t>
      </w:r>
    </w:p>
  </w:footnote>
  <w:footnote w:id="116">
    <w:p w14:paraId="5615E7E2" w14:textId="7834C7B9" w:rsidR="00795660" w:rsidRPr="004B459D" w:rsidRDefault="00795660" w:rsidP="001A7D9B">
      <w:pPr>
        <w:spacing w:before="0" w:after="0"/>
        <w:rPr>
          <w:rFonts w:eastAsia="Times New Roman" w:cs="Times New Roman"/>
          <w:sz w:val="16"/>
          <w:szCs w:val="16"/>
          <w:lang w:val="es-CR" w:eastAsia="en-GB"/>
        </w:rPr>
      </w:pPr>
      <w:r w:rsidRPr="00836A26">
        <w:rPr>
          <w:rStyle w:val="Refdenotaalpie"/>
          <w:sz w:val="16"/>
          <w:szCs w:val="16"/>
        </w:rPr>
        <w:footnoteRef/>
      </w:r>
      <w:r w:rsidRPr="00836A26">
        <w:rPr>
          <w:sz w:val="16"/>
          <w:szCs w:val="16"/>
        </w:rPr>
        <w:t xml:space="preserve"> </w:t>
      </w:r>
      <w:r>
        <w:rPr>
          <w:sz w:val="16"/>
          <w:szCs w:val="16"/>
        </w:rPr>
        <w:tab/>
      </w:r>
      <w:r w:rsidRPr="00791B6E">
        <w:rPr>
          <w:i/>
          <w:sz w:val="16"/>
          <w:szCs w:val="16"/>
        </w:rPr>
        <w:t xml:space="preserve">Cfr. </w:t>
      </w:r>
      <w:r w:rsidRPr="00791B6E">
        <w:rPr>
          <w:rFonts w:eastAsia="Times New Roman" w:cs="Times New Roman"/>
          <w:i/>
          <w:sz w:val="16"/>
          <w:szCs w:val="16"/>
          <w:lang w:val="es-CR" w:eastAsia="en-GB"/>
        </w:rPr>
        <w:t>Caso Herrera Espinoza y otros Vs. Ecuador. Excepciones Preliminares, Fondo, Reparaciones y Costas</w:t>
      </w:r>
      <w:r w:rsidRPr="004B459D">
        <w:rPr>
          <w:rFonts w:eastAsia="Times New Roman" w:cs="Times New Roman"/>
          <w:sz w:val="16"/>
          <w:szCs w:val="16"/>
          <w:lang w:val="es-CR" w:eastAsia="en-GB"/>
        </w:rPr>
        <w:t>. Sentencia de 1 de septiembre de 2016. Serie C No. 316, párr. 143</w:t>
      </w:r>
      <w:r>
        <w:rPr>
          <w:rFonts w:eastAsia="Times New Roman" w:cs="Times New Roman"/>
          <w:sz w:val="16"/>
          <w:szCs w:val="16"/>
          <w:lang w:val="es-CR" w:eastAsia="en-GB"/>
        </w:rPr>
        <w:t>, y</w:t>
      </w:r>
      <w:r w:rsidRPr="00994B7F">
        <w:t xml:space="preserve"> </w:t>
      </w:r>
      <w:r w:rsidRPr="00461C9D">
        <w:rPr>
          <w:rFonts w:eastAsia="Times New Roman" w:cs="Times New Roman"/>
          <w:i/>
          <w:sz w:val="16"/>
          <w:szCs w:val="16"/>
          <w:lang w:val="es-CR" w:eastAsia="en-GB"/>
        </w:rPr>
        <w:t>Caso Romero Feris Vs. Argentina, supra,</w:t>
      </w:r>
      <w:r w:rsidRPr="00994B7F">
        <w:rPr>
          <w:rFonts w:eastAsia="Times New Roman" w:cs="Times New Roman"/>
          <w:sz w:val="16"/>
          <w:szCs w:val="16"/>
          <w:lang w:val="es-CR" w:eastAsia="en-GB"/>
        </w:rPr>
        <w:t xml:space="preserve"> párr. </w:t>
      </w:r>
      <w:r>
        <w:rPr>
          <w:rFonts w:eastAsia="Times New Roman" w:cs="Times New Roman"/>
          <w:sz w:val="16"/>
          <w:szCs w:val="16"/>
          <w:lang w:val="es-CR" w:eastAsia="en-GB"/>
        </w:rPr>
        <w:t xml:space="preserve">110.  </w:t>
      </w:r>
    </w:p>
  </w:footnote>
  <w:footnote w:id="117">
    <w:p w14:paraId="216DB886" w14:textId="461B0C7A" w:rsidR="00795660" w:rsidRPr="00836A26" w:rsidRDefault="00795660" w:rsidP="001A7D9B">
      <w:pPr>
        <w:pStyle w:val="Textonotapie"/>
        <w:spacing w:before="0" w:after="0"/>
        <w:rPr>
          <w:szCs w:val="16"/>
          <w:lang w:val="nl-BE"/>
        </w:rPr>
      </w:pPr>
      <w:r w:rsidRPr="00836A26">
        <w:rPr>
          <w:rStyle w:val="Refdenotaalpie"/>
          <w:szCs w:val="16"/>
        </w:rPr>
        <w:footnoteRef/>
      </w:r>
      <w:r w:rsidRPr="00836A26">
        <w:rPr>
          <w:szCs w:val="16"/>
        </w:rPr>
        <w:t xml:space="preserve"> </w:t>
      </w:r>
      <w:r>
        <w:rPr>
          <w:szCs w:val="16"/>
        </w:rPr>
        <w:tab/>
      </w:r>
      <w:r w:rsidRPr="00791B6E">
        <w:rPr>
          <w:i/>
          <w:szCs w:val="16"/>
        </w:rPr>
        <w:t xml:space="preserve">Cfr. </w:t>
      </w:r>
      <w:r w:rsidRPr="00791B6E">
        <w:rPr>
          <w:rFonts w:eastAsia="Times New Roman" w:cs="Times New Roman"/>
          <w:i/>
          <w:szCs w:val="16"/>
          <w:lang w:val="es-CR" w:eastAsia="en-GB"/>
        </w:rPr>
        <w:t>Caso Usón Ramírez Vs. Venezuela. Excepción Preliminar, Fondo, Reparaciones y Costas</w:t>
      </w:r>
      <w:r w:rsidRPr="004B459D">
        <w:rPr>
          <w:rFonts w:eastAsia="Times New Roman" w:cs="Times New Roman"/>
          <w:szCs w:val="16"/>
          <w:lang w:val="es-CR" w:eastAsia="en-GB"/>
        </w:rPr>
        <w:t xml:space="preserve">. </w:t>
      </w:r>
      <w:r w:rsidRPr="002268A5">
        <w:rPr>
          <w:rFonts w:eastAsia="Times New Roman" w:cs="Times New Roman"/>
          <w:szCs w:val="16"/>
          <w:lang w:val="es-CR" w:eastAsia="en-GB"/>
        </w:rPr>
        <w:t>Sentencia de 20 de noviembre de 2009.</w:t>
      </w:r>
      <w:r w:rsidRPr="002268A5">
        <w:rPr>
          <w:rFonts w:cs="AppleSystemUIFont"/>
          <w:szCs w:val="16"/>
          <w:lang w:val="es-CR"/>
        </w:rPr>
        <w:t xml:space="preserve"> Serie C No. 207,</w:t>
      </w:r>
      <w:r w:rsidRPr="002268A5">
        <w:rPr>
          <w:rFonts w:eastAsia="Times New Roman" w:cs="Times New Roman"/>
          <w:szCs w:val="16"/>
          <w:lang w:val="es-CR" w:eastAsia="en-GB"/>
        </w:rPr>
        <w:t xml:space="preserve"> párr. 144</w:t>
      </w:r>
      <w:r>
        <w:rPr>
          <w:rFonts w:eastAsia="Times New Roman" w:cs="Times New Roman"/>
          <w:szCs w:val="16"/>
          <w:lang w:val="es-CR" w:eastAsia="en-GB"/>
        </w:rPr>
        <w:t>, y</w:t>
      </w:r>
      <w:r w:rsidRPr="00994B7F">
        <w:t xml:space="preserve"> </w:t>
      </w:r>
      <w:r w:rsidRPr="002A3859">
        <w:rPr>
          <w:rFonts w:eastAsia="Times New Roman" w:cs="Times New Roman"/>
          <w:i/>
          <w:szCs w:val="16"/>
          <w:lang w:val="es-CR" w:eastAsia="en-GB"/>
        </w:rPr>
        <w:t>Caso Romero Feris Vs. Argentina, supra,</w:t>
      </w:r>
      <w:r w:rsidRPr="00994B7F">
        <w:rPr>
          <w:rFonts w:eastAsia="Times New Roman" w:cs="Times New Roman"/>
          <w:szCs w:val="16"/>
          <w:lang w:val="es-CR" w:eastAsia="en-GB"/>
        </w:rPr>
        <w:t xml:space="preserve"> párr. </w:t>
      </w:r>
      <w:r>
        <w:rPr>
          <w:rFonts w:eastAsia="Times New Roman" w:cs="Times New Roman"/>
          <w:szCs w:val="16"/>
          <w:lang w:val="es-CR" w:eastAsia="en-GB"/>
        </w:rPr>
        <w:t xml:space="preserve">110.  </w:t>
      </w:r>
    </w:p>
  </w:footnote>
  <w:footnote w:id="118">
    <w:p w14:paraId="094CA3FB" w14:textId="314D431C" w:rsidR="00795660" w:rsidRPr="00461C9D" w:rsidRDefault="00795660" w:rsidP="005F186B">
      <w:pPr>
        <w:spacing w:before="0" w:after="0"/>
        <w:rPr>
          <w:sz w:val="16"/>
          <w:szCs w:val="16"/>
        </w:rPr>
      </w:pPr>
      <w:r w:rsidRPr="00836A26">
        <w:rPr>
          <w:rStyle w:val="Refdenotaalpie"/>
          <w:sz w:val="16"/>
          <w:szCs w:val="16"/>
        </w:rPr>
        <w:footnoteRef/>
      </w:r>
      <w:r w:rsidRPr="00836A26">
        <w:rPr>
          <w:sz w:val="16"/>
          <w:szCs w:val="16"/>
        </w:rPr>
        <w:t xml:space="preserve"> </w:t>
      </w:r>
      <w:r>
        <w:rPr>
          <w:sz w:val="16"/>
          <w:szCs w:val="16"/>
        </w:rPr>
        <w:tab/>
      </w:r>
      <w:r w:rsidRPr="00461C9D">
        <w:rPr>
          <w:i/>
          <w:sz w:val="16"/>
          <w:szCs w:val="16"/>
        </w:rPr>
        <w:t>Cfr. Caso Bayarri Vs. Argentina. Excepción Preliminar, Fondo, Reparaciones y Costas</w:t>
      </w:r>
      <w:r>
        <w:rPr>
          <w:sz w:val="16"/>
          <w:szCs w:val="16"/>
        </w:rPr>
        <w:t xml:space="preserve">. Sentencia de </w:t>
      </w:r>
      <w:r w:rsidRPr="005F186B">
        <w:rPr>
          <w:sz w:val="16"/>
          <w:szCs w:val="16"/>
        </w:rPr>
        <w:t>30 de octubre de 2008. Serie C No. 187, párr. 74</w:t>
      </w:r>
      <w:r>
        <w:rPr>
          <w:sz w:val="16"/>
          <w:szCs w:val="16"/>
        </w:rPr>
        <w:t xml:space="preserve">, y </w:t>
      </w:r>
      <w:r w:rsidRPr="00461C9D">
        <w:rPr>
          <w:i/>
          <w:sz w:val="16"/>
          <w:szCs w:val="16"/>
        </w:rPr>
        <w:t>Caso Carranza Alarcón Vs. Ecuador, supra</w:t>
      </w:r>
      <w:r w:rsidRPr="005F186B">
        <w:rPr>
          <w:sz w:val="16"/>
          <w:szCs w:val="16"/>
        </w:rPr>
        <w:t xml:space="preserve">, párr. </w:t>
      </w:r>
      <w:r>
        <w:rPr>
          <w:sz w:val="16"/>
          <w:szCs w:val="16"/>
        </w:rPr>
        <w:t xml:space="preserve">65. </w:t>
      </w:r>
    </w:p>
  </w:footnote>
  <w:footnote w:id="119">
    <w:p w14:paraId="0839586B" w14:textId="4486AE4C" w:rsidR="00795660" w:rsidRPr="00836A26" w:rsidRDefault="00795660" w:rsidP="00A37EC9">
      <w:pPr>
        <w:pStyle w:val="Textonotapie"/>
        <w:spacing w:before="0" w:after="0"/>
        <w:rPr>
          <w:szCs w:val="16"/>
          <w:lang w:val="nl-BE"/>
        </w:rPr>
      </w:pPr>
      <w:r w:rsidRPr="00836A26">
        <w:rPr>
          <w:rStyle w:val="Refdenotaalpie"/>
          <w:szCs w:val="16"/>
        </w:rPr>
        <w:footnoteRef/>
      </w:r>
      <w:r w:rsidRPr="00836A26">
        <w:rPr>
          <w:szCs w:val="16"/>
        </w:rPr>
        <w:t xml:space="preserve"> </w:t>
      </w:r>
      <w:r>
        <w:rPr>
          <w:szCs w:val="16"/>
        </w:rPr>
        <w:tab/>
      </w:r>
      <w:r w:rsidRPr="00EE078D">
        <w:rPr>
          <w:rFonts w:eastAsia="Times New Roman" w:cs="Times New Roman"/>
          <w:i/>
          <w:szCs w:val="16"/>
          <w:lang w:val="es-CR" w:eastAsia="en-GB"/>
        </w:rPr>
        <w:t>Cfr</w:t>
      </w:r>
      <w:r w:rsidRPr="004B459D">
        <w:rPr>
          <w:rFonts w:eastAsia="Times New Roman" w:cs="Times New Roman"/>
          <w:szCs w:val="16"/>
          <w:lang w:val="es-CR" w:eastAsia="en-GB"/>
        </w:rPr>
        <w:t xml:space="preserve">. </w:t>
      </w:r>
      <w:r>
        <w:rPr>
          <w:rFonts w:eastAsia="Times New Roman" w:cs="Times New Roman"/>
          <w:szCs w:val="16"/>
          <w:lang w:val="es-CR" w:eastAsia="en-GB"/>
        </w:rPr>
        <w:t xml:space="preserve">Caso </w:t>
      </w:r>
      <w:r w:rsidRPr="001D0829">
        <w:rPr>
          <w:i/>
          <w:szCs w:val="16"/>
        </w:rPr>
        <w:t>Chaparro Álvarez y Lapo Íñiguez Vs. Ecuador</w:t>
      </w:r>
      <w:r w:rsidRPr="001D0829">
        <w:rPr>
          <w:szCs w:val="16"/>
        </w:rPr>
        <w:t xml:space="preserve">, </w:t>
      </w:r>
      <w:r w:rsidRPr="002A3859">
        <w:rPr>
          <w:i/>
          <w:szCs w:val="16"/>
        </w:rPr>
        <w:t>supra</w:t>
      </w:r>
      <w:r>
        <w:rPr>
          <w:szCs w:val="16"/>
        </w:rPr>
        <w:t xml:space="preserve">, </w:t>
      </w:r>
      <w:r w:rsidRPr="001D0829">
        <w:rPr>
          <w:szCs w:val="16"/>
        </w:rPr>
        <w:t>párr.</w:t>
      </w:r>
      <w:r>
        <w:rPr>
          <w:szCs w:val="16"/>
        </w:rPr>
        <w:t xml:space="preserve"> 117, y </w:t>
      </w:r>
      <w:r>
        <w:t xml:space="preserve">Caso </w:t>
      </w:r>
      <w:r>
        <w:rPr>
          <w:i/>
          <w:szCs w:val="16"/>
        </w:rPr>
        <w:t xml:space="preserve">Carranza Alarcón Vs. Ecuador, supra, </w:t>
      </w:r>
      <w:r w:rsidRPr="002A3859">
        <w:rPr>
          <w:szCs w:val="16"/>
        </w:rPr>
        <w:t>párr.</w:t>
      </w:r>
      <w:r>
        <w:rPr>
          <w:szCs w:val="16"/>
        </w:rPr>
        <w:t xml:space="preserve"> 83.  </w:t>
      </w:r>
    </w:p>
  </w:footnote>
  <w:footnote w:id="120">
    <w:p w14:paraId="5C3B899B" w14:textId="68A3BDCD" w:rsidR="00795660" w:rsidRPr="00E07388" w:rsidRDefault="00795660" w:rsidP="001A7D9B">
      <w:pPr>
        <w:pStyle w:val="Textonotapie"/>
        <w:spacing w:before="0" w:after="0"/>
        <w:rPr>
          <w:szCs w:val="16"/>
        </w:rPr>
      </w:pPr>
      <w:r w:rsidRPr="00E07388">
        <w:rPr>
          <w:rStyle w:val="Refdenotaalpie"/>
          <w:szCs w:val="16"/>
        </w:rPr>
        <w:footnoteRef/>
      </w:r>
      <w:r w:rsidRPr="00E07388">
        <w:rPr>
          <w:szCs w:val="16"/>
        </w:rPr>
        <w:t xml:space="preserve"> </w:t>
      </w:r>
      <w:r w:rsidRPr="00E07388">
        <w:rPr>
          <w:szCs w:val="16"/>
        </w:rPr>
        <w:tab/>
      </w:r>
      <w:r w:rsidRPr="00E07388">
        <w:rPr>
          <w:i/>
          <w:szCs w:val="16"/>
        </w:rPr>
        <w:t>Cfr</w:t>
      </w:r>
      <w:r w:rsidRPr="00E07388">
        <w:rPr>
          <w:szCs w:val="16"/>
        </w:rPr>
        <w:t xml:space="preserve">. </w:t>
      </w:r>
      <w:r w:rsidRPr="003873AE">
        <w:rPr>
          <w:rStyle w:val="Textoennegrita"/>
          <w:b w:val="0"/>
          <w:i/>
          <w:color w:val="000000"/>
          <w:szCs w:val="16"/>
          <w:shd w:val="clear" w:color="auto" w:fill="FFFFFF"/>
        </w:rPr>
        <w:t>Caso Amrhein y otros Vs. Costa Rica</w:t>
      </w:r>
      <w:r>
        <w:rPr>
          <w:rStyle w:val="Textoennegrita"/>
          <w:b w:val="0"/>
          <w:i/>
          <w:color w:val="000000"/>
          <w:szCs w:val="16"/>
          <w:shd w:val="clear" w:color="auto" w:fill="FFFFFF"/>
        </w:rPr>
        <w:t xml:space="preserve">, supra, </w:t>
      </w:r>
      <w:r w:rsidRPr="00461C9D">
        <w:rPr>
          <w:rStyle w:val="Textoennegrita"/>
          <w:b w:val="0"/>
          <w:color w:val="000000"/>
          <w:szCs w:val="16"/>
          <w:shd w:val="clear" w:color="auto" w:fill="FFFFFF"/>
        </w:rPr>
        <w:t>párr. 101</w:t>
      </w:r>
      <w:r>
        <w:rPr>
          <w:rStyle w:val="Textoennegrita"/>
          <w:b w:val="0"/>
          <w:color w:val="000000"/>
          <w:szCs w:val="16"/>
          <w:shd w:val="clear" w:color="auto" w:fill="FFFFFF"/>
        </w:rPr>
        <w:t>,</w:t>
      </w:r>
      <w:r>
        <w:rPr>
          <w:rStyle w:val="Textoennegrita"/>
          <w:b w:val="0"/>
          <w:i/>
          <w:color w:val="000000"/>
          <w:szCs w:val="16"/>
          <w:shd w:val="clear" w:color="auto" w:fill="FFFFFF"/>
        </w:rPr>
        <w:t xml:space="preserve"> </w:t>
      </w:r>
      <w:r w:rsidRPr="008E02AE">
        <w:rPr>
          <w:rStyle w:val="Textoennegrita"/>
          <w:b w:val="0"/>
          <w:color w:val="000000"/>
          <w:szCs w:val="16"/>
          <w:shd w:val="clear" w:color="auto" w:fill="FFFFFF"/>
        </w:rPr>
        <w:t>y</w:t>
      </w:r>
      <w:r>
        <w:rPr>
          <w:rStyle w:val="Textoennegrita"/>
          <w:b w:val="0"/>
          <w:i/>
          <w:color w:val="000000"/>
          <w:szCs w:val="16"/>
          <w:shd w:val="clear" w:color="auto" w:fill="FFFFFF"/>
        </w:rPr>
        <w:t xml:space="preserve"> </w:t>
      </w:r>
      <w:r w:rsidRPr="008D6C78">
        <w:rPr>
          <w:rStyle w:val="Textoennegrita"/>
          <w:b w:val="0"/>
          <w:i/>
          <w:color w:val="000000"/>
          <w:szCs w:val="16"/>
          <w:shd w:val="clear" w:color="auto" w:fill="FFFFFF"/>
        </w:rPr>
        <w:t>Caso Carranza Alarcón Vs. Ecuador, supra,</w:t>
      </w:r>
      <w:r w:rsidRPr="00461C9D">
        <w:rPr>
          <w:rStyle w:val="Textoennegrita"/>
          <w:b w:val="0"/>
          <w:color w:val="000000"/>
          <w:szCs w:val="16"/>
          <w:shd w:val="clear" w:color="auto" w:fill="FFFFFF"/>
        </w:rPr>
        <w:t xml:space="preserve"> párr. 65.</w:t>
      </w:r>
    </w:p>
  </w:footnote>
  <w:footnote w:id="121">
    <w:p w14:paraId="381CF3DD" w14:textId="3D914DF6" w:rsidR="00795660" w:rsidRPr="0050791E" w:rsidRDefault="00795660" w:rsidP="00AC0F07">
      <w:pPr>
        <w:autoSpaceDE w:val="0"/>
        <w:autoSpaceDN w:val="0"/>
        <w:adjustRightInd w:val="0"/>
        <w:spacing w:before="0" w:after="0"/>
        <w:rPr>
          <w:rFonts w:eastAsiaTheme="minorHAnsi" w:cs="Arial"/>
          <w:sz w:val="16"/>
          <w:szCs w:val="16"/>
          <w:lang w:val="es-CR"/>
        </w:rPr>
      </w:pPr>
      <w:r w:rsidRPr="00F23719">
        <w:rPr>
          <w:rStyle w:val="Refdenotaalpie"/>
          <w:sz w:val="16"/>
          <w:szCs w:val="16"/>
        </w:rPr>
        <w:footnoteRef/>
      </w:r>
      <w:r w:rsidRPr="00F23719">
        <w:rPr>
          <w:sz w:val="16"/>
          <w:szCs w:val="16"/>
        </w:rPr>
        <w:t xml:space="preserve"> </w:t>
      </w:r>
      <w:r w:rsidRPr="00F23719">
        <w:rPr>
          <w:i/>
          <w:sz w:val="16"/>
          <w:szCs w:val="16"/>
        </w:rPr>
        <w:tab/>
      </w:r>
      <w:r w:rsidRPr="00B33ECE">
        <w:rPr>
          <w:sz w:val="16"/>
          <w:szCs w:val="16"/>
        </w:rPr>
        <w:t>El representante</w:t>
      </w:r>
      <w:r w:rsidRPr="00B33ECE">
        <w:t xml:space="preserve"> </w:t>
      </w:r>
      <w:r w:rsidRPr="00B33ECE">
        <w:rPr>
          <w:rFonts w:eastAsiaTheme="minorHAnsi" w:cs="Arial"/>
          <w:sz w:val="16"/>
          <w:szCs w:val="16"/>
          <w:lang w:val="es-CR"/>
        </w:rPr>
        <w:t xml:space="preserve">adujo que la Primera Disposición Transitoria (reformada por el Art. 34 de la Ley 2003-101, RO 743 de 13 de enero de 2003), dice: </w:t>
      </w:r>
      <w:r w:rsidRPr="00B33ECE">
        <w:rPr>
          <w:rFonts w:eastAsiaTheme="minorHAnsi" w:cs="Arial"/>
          <w:iCs/>
          <w:sz w:val="16"/>
          <w:szCs w:val="16"/>
          <w:lang w:val="es-CR"/>
        </w:rPr>
        <w:t>“Los procesos penales que estén tramitándose cuando entre en vigencia este Código de Procedimiento Penal, seguirán sustanciándose de acuerdo con el</w:t>
      </w:r>
      <w:r w:rsidRPr="00B33ECE">
        <w:rPr>
          <w:rFonts w:eastAsiaTheme="minorHAnsi" w:cs="Arial"/>
          <w:sz w:val="16"/>
          <w:szCs w:val="16"/>
          <w:lang w:val="es-CR"/>
        </w:rPr>
        <w:t xml:space="preserve"> </w:t>
      </w:r>
      <w:r w:rsidRPr="00B33ECE">
        <w:rPr>
          <w:rFonts w:eastAsiaTheme="minorHAnsi" w:cs="Arial"/>
          <w:iCs/>
          <w:sz w:val="16"/>
          <w:szCs w:val="16"/>
          <w:lang w:val="es-CR"/>
        </w:rPr>
        <w:t xml:space="preserve">procedimiento penal anterior hasta su conclusión, sin perjuicio del acatamiento de las normas del debido proceso previstas en la Constitución Política de la República”. </w:t>
      </w:r>
    </w:p>
  </w:footnote>
  <w:footnote w:id="122">
    <w:p w14:paraId="536BCD3E" w14:textId="77777777" w:rsidR="00795660" w:rsidRPr="002C0090" w:rsidRDefault="00795660" w:rsidP="00E621F8">
      <w:pPr>
        <w:pStyle w:val="Prrafodelista"/>
        <w:spacing w:before="0" w:after="0"/>
        <w:ind w:left="0"/>
        <w:rPr>
          <w:rFonts w:eastAsia="Times New Roman" w:cs="Times New Roman"/>
          <w:sz w:val="16"/>
          <w:szCs w:val="16"/>
          <w:lang w:val="es-CR" w:eastAsia="en-GB"/>
        </w:rPr>
      </w:pPr>
      <w:r w:rsidRPr="00ED4A79">
        <w:rPr>
          <w:rStyle w:val="Refdenotaalpie"/>
          <w:sz w:val="16"/>
          <w:szCs w:val="16"/>
        </w:rPr>
        <w:footnoteRef/>
      </w:r>
      <w:r w:rsidRPr="00ED4A79">
        <w:rPr>
          <w:sz w:val="16"/>
          <w:szCs w:val="16"/>
        </w:rPr>
        <w:t xml:space="preserve"> </w:t>
      </w:r>
      <w:r>
        <w:rPr>
          <w:sz w:val="16"/>
          <w:szCs w:val="16"/>
        </w:rPr>
        <w:tab/>
      </w:r>
      <w:r w:rsidRPr="0033579D">
        <w:rPr>
          <w:rFonts w:eastAsia="Times New Roman" w:cs="Times New Roman"/>
          <w:sz w:val="16"/>
          <w:szCs w:val="16"/>
          <w:lang w:val="es-CR" w:eastAsia="en-GB"/>
        </w:rPr>
        <w:t xml:space="preserve">De manera supletoria en el artículo 167 del </w:t>
      </w:r>
      <w:r w:rsidRPr="0033579D">
        <w:rPr>
          <w:color w:val="000000"/>
          <w:sz w:val="16"/>
          <w:szCs w:val="16"/>
          <w:shd w:val="clear" w:color="auto" w:fill="FFFFFF"/>
        </w:rPr>
        <w:t>Código de Procedimiento Penal Común, se establecen como requisitos para ordena</w:t>
      </w:r>
      <w:r w:rsidRPr="00FC7FE9">
        <w:rPr>
          <w:color w:val="000000"/>
          <w:sz w:val="16"/>
          <w:szCs w:val="16"/>
          <w:shd w:val="clear" w:color="auto" w:fill="FFFFFF"/>
        </w:rPr>
        <w:t xml:space="preserve">r la medida la existencia de indicios respecto a la necesidad de “privar la libertad al procesado para asegurar su comparecencia” y también, indicios de que las medidas no privativas de libertad son “insuficientes para garantizar la presencia al juicio”. </w:t>
      </w:r>
      <w:r w:rsidRPr="0033579D">
        <w:rPr>
          <w:color w:val="000000"/>
          <w:sz w:val="16"/>
          <w:szCs w:val="16"/>
          <w:shd w:val="clear" w:color="auto" w:fill="FFFFFF"/>
        </w:rPr>
        <w:t xml:space="preserve">Código de Procedimiento Penal del 2000, publicado en el Registro Oficial Suplemento 360 de 13 de enero de 2000, </w:t>
      </w:r>
      <w:r w:rsidRPr="00461C9D">
        <w:rPr>
          <w:i/>
          <w:color w:val="000000"/>
          <w:sz w:val="16"/>
          <w:szCs w:val="16"/>
          <w:shd w:val="clear" w:color="auto" w:fill="FFFFFF"/>
        </w:rPr>
        <w:t>supra</w:t>
      </w:r>
      <w:r w:rsidRPr="0033579D">
        <w:rPr>
          <w:color w:val="000000"/>
          <w:sz w:val="16"/>
          <w:szCs w:val="16"/>
          <w:shd w:val="clear" w:color="auto" w:fill="FFFFFF"/>
        </w:rPr>
        <w:t xml:space="preserve">. </w:t>
      </w:r>
    </w:p>
  </w:footnote>
  <w:footnote w:id="123">
    <w:p w14:paraId="3EDE083F" w14:textId="2603D6C4" w:rsidR="00795660" w:rsidRPr="0045476E" w:rsidRDefault="00795660" w:rsidP="0060638C">
      <w:pPr>
        <w:pStyle w:val="Textonotapie"/>
        <w:spacing w:before="0" w:after="0"/>
      </w:pPr>
      <w:r>
        <w:rPr>
          <w:rStyle w:val="Refdenotaalpie"/>
        </w:rPr>
        <w:footnoteRef/>
      </w:r>
      <w:r>
        <w:t xml:space="preserve"> </w:t>
      </w:r>
      <w:r>
        <w:tab/>
      </w:r>
      <w:r w:rsidRPr="00004588">
        <w:rPr>
          <w:i/>
        </w:rPr>
        <w:t>Cfr. Caso Suárez Rosero</w:t>
      </w:r>
      <w:r>
        <w:rPr>
          <w:i/>
        </w:rPr>
        <w:t xml:space="preserve"> Vs. Ecuador.</w:t>
      </w:r>
      <w:r w:rsidRPr="00004588">
        <w:rPr>
          <w:i/>
        </w:rPr>
        <w:t xml:space="preserve"> </w:t>
      </w:r>
      <w:r>
        <w:rPr>
          <w:i/>
        </w:rPr>
        <w:t xml:space="preserve">Fondo, supra, </w:t>
      </w:r>
      <w:r w:rsidRPr="00004588">
        <w:t>párr. 98</w:t>
      </w:r>
      <w:r>
        <w:t>,</w:t>
      </w:r>
      <w:r w:rsidRPr="008E02AE">
        <w:t xml:space="preserve"> y</w:t>
      </w:r>
      <w:r w:rsidRPr="00004588">
        <w:rPr>
          <w:i/>
        </w:rPr>
        <w:t xml:space="preserve"> Caso Acosta Calderón</w:t>
      </w:r>
      <w:r>
        <w:rPr>
          <w:i/>
        </w:rPr>
        <w:t xml:space="preserve"> Vs. Ecuador. Fondo Reparaciones y Costas</w:t>
      </w:r>
      <w:r w:rsidRPr="00FA72AF">
        <w:t>. Sentencia de 24 de junio de 2005. Serie C No 129</w:t>
      </w:r>
      <w:r w:rsidRPr="00A03279">
        <w:t>,</w:t>
      </w:r>
      <w:r>
        <w:t xml:space="preserve"> párrs. 135 a 138.</w:t>
      </w:r>
    </w:p>
  </w:footnote>
  <w:footnote w:id="124">
    <w:p w14:paraId="148229EC" w14:textId="771A0251" w:rsidR="00795660" w:rsidRPr="00FE5829" w:rsidRDefault="00795660" w:rsidP="00CA7F74">
      <w:pPr>
        <w:pStyle w:val="Textonotapie"/>
        <w:spacing w:before="0" w:after="0"/>
      </w:pPr>
      <w:r>
        <w:rPr>
          <w:rStyle w:val="Refdenotaalpie"/>
        </w:rPr>
        <w:footnoteRef/>
      </w:r>
      <w:r>
        <w:t xml:space="preserve">  </w:t>
      </w:r>
      <w:r>
        <w:tab/>
      </w:r>
      <w:r>
        <w:rPr>
          <w:i/>
          <w:szCs w:val="16"/>
        </w:rPr>
        <w:t>Cfr.</w:t>
      </w:r>
      <w:r>
        <w:rPr>
          <w:i/>
          <w:iCs/>
          <w:szCs w:val="16"/>
        </w:rPr>
        <w:t xml:space="preserve"> Caso Chaparro Álvarez y Lapo Iñiguez Vs. Ecuador</w:t>
      </w:r>
      <w:r>
        <w:rPr>
          <w:i/>
          <w:iCs/>
          <w:szCs w:val="16"/>
          <w:lang w:val="es-CR"/>
        </w:rPr>
        <w:t xml:space="preserve">, supra, </w:t>
      </w:r>
      <w:r w:rsidRPr="00FE5829">
        <w:rPr>
          <w:szCs w:val="16"/>
          <w:lang w:val="es-ES"/>
        </w:rPr>
        <w:t>párr.</w:t>
      </w:r>
      <w:r>
        <w:rPr>
          <w:szCs w:val="16"/>
          <w:lang w:val="es-ES"/>
        </w:rPr>
        <w:t xml:space="preserve"> </w:t>
      </w:r>
      <w:r w:rsidRPr="00FE5829">
        <w:rPr>
          <w:szCs w:val="16"/>
          <w:lang w:val="es-ES"/>
        </w:rPr>
        <w:t>85</w:t>
      </w:r>
      <w:r>
        <w:rPr>
          <w:szCs w:val="16"/>
          <w:lang w:val="es-ES"/>
        </w:rPr>
        <w:t xml:space="preserve">, y </w:t>
      </w:r>
      <w:r w:rsidRPr="00FA72AF">
        <w:rPr>
          <w:i/>
          <w:szCs w:val="16"/>
          <w:lang w:val="es-ES"/>
        </w:rPr>
        <w:t>Caso Espinoza Gonzáles Vs. Perú. Excepciones Preliminares, Fondo, Reparaciones y Costas.</w:t>
      </w:r>
      <w:r w:rsidRPr="004068E5">
        <w:rPr>
          <w:szCs w:val="16"/>
          <w:lang w:val="es-ES"/>
        </w:rPr>
        <w:t xml:space="preserve"> Sentencia de 20 de nov</w:t>
      </w:r>
      <w:r>
        <w:rPr>
          <w:szCs w:val="16"/>
          <w:lang w:val="es-ES"/>
        </w:rPr>
        <w:t>iembre de 2014. Serie C No. 289, párr. 129.</w:t>
      </w:r>
    </w:p>
  </w:footnote>
  <w:footnote w:id="125">
    <w:p w14:paraId="05BED9C3" w14:textId="3BD7CA13" w:rsidR="00795660" w:rsidRPr="008A4849" w:rsidRDefault="00795660" w:rsidP="00F402EF">
      <w:pPr>
        <w:pStyle w:val="Textonotapie"/>
        <w:spacing w:before="0" w:after="0"/>
      </w:pPr>
      <w:r>
        <w:rPr>
          <w:rStyle w:val="Refdenotaalpie"/>
        </w:rPr>
        <w:footnoteRef/>
      </w:r>
      <w:r>
        <w:t xml:space="preserve"> </w:t>
      </w:r>
      <w:r>
        <w:tab/>
      </w:r>
      <w:r w:rsidRPr="00017D3B">
        <w:rPr>
          <w:i/>
          <w:szCs w:val="16"/>
        </w:rPr>
        <w:t>Cfr. Caso Anzualdo Castro</w:t>
      </w:r>
      <w:r>
        <w:rPr>
          <w:i/>
          <w:szCs w:val="16"/>
        </w:rPr>
        <w:t xml:space="preserve"> Vs. Perú. Excepción Preliminar, Fondo, Reparaciones y Costas. </w:t>
      </w:r>
      <w:r>
        <w:rPr>
          <w:szCs w:val="16"/>
        </w:rPr>
        <w:t>Sentencia de 22 de setiembre de 2009. Serie C No. 202, párr. 77, y</w:t>
      </w:r>
      <w:r>
        <w:rPr>
          <w:i/>
          <w:szCs w:val="16"/>
          <w:lang w:val="es-CR"/>
        </w:rPr>
        <w:t xml:space="preserve"> C</w:t>
      </w:r>
      <w:r w:rsidRPr="007B442F">
        <w:rPr>
          <w:i/>
          <w:szCs w:val="16"/>
          <w:lang w:val="es-CR"/>
        </w:rPr>
        <w:t xml:space="preserve">aso Vélez Loor Vs. Panamá. Excepciones Preliminares, Fondo, Reparaciones y Costas. </w:t>
      </w:r>
      <w:r w:rsidRPr="00FA72AF">
        <w:rPr>
          <w:szCs w:val="16"/>
          <w:lang w:val="es-CR"/>
        </w:rPr>
        <w:t>Sentencia de 23 de noviembre de 2010. Serie C No. 218</w:t>
      </w:r>
      <w:r w:rsidRPr="007B442F">
        <w:rPr>
          <w:szCs w:val="16"/>
          <w:lang w:val="es-CR"/>
        </w:rPr>
        <w:t>,</w:t>
      </w:r>
      <w:r>
        <w:rPr>
          <w:szCs w:val="16"/>
          <w:lang w:val="es-CR"/>
        </w:rPr>
        <w:t xml:space="preserve"> </w:t>
      </w:r>
      <w:r w:rsidRPr="00A02D78">
        <w:rPr>
          <w:szCs w:val="16"/>
          <w:lang w:val="es-CR"/>
        </w:rPr>
        <w:t>párr. 123</w:t>
      </w:r>
      <w:r>
        <w:rPr>
          <w:szCs w:val="16"/>
          <w:lang w:val="es-CR"/>
        </w:rPr>
        <w:t>.</w:t>
      </w:r>
    </w:p>
  </w:footnote>
  <w:footnote w:id="126">
    <w:p w14:paraId="05B4CB49" w14:textId="2B885062" w:rsidR="00795660" w:rsidRPr="003E5FC6" w:rsidRDefault="00795660" w:rsidP="00F402EF">
      <w:pPr>
        <w:pStyle w:val="Textonotapie"/>
        <w:spacing w:before="0" w:after="0"/>
        <w:rPr>
          <w:lang w:val="es-CR"/>
        </w:rPr>
      </w:pPr>
      <w:r>
        <w:rPr>
          <w:rStyle w:val="Refdenotaalpie"/>
        </w:rPr>
        <w:footnoteRef/>
      </w:r>
      <w:r>
        <w:t xml:space="preserve"> </w:t>
      </w:r>
      <w:r>
        <w:rPr>
          <w:lang w:val="es-CR"/>
        </w:rPr>
        <w:tab/>
      </w:r>
      <w:r w:rsidRPr="00EB1B7C">
        <w:rPr>
          <w:lang w:val="es-CR"/>
        </w:rPr>
        <w:t>En el presente caso las presuntas víctimas, luego de dictado el auto de 26 de mayo de 2003, presentaron sendos recursos contra dicha providencia. Por un lado, el 13 de junio de 2003 la defensa de los señores Villarroel Merino, Cevallos Moreno, Coloma Gaibor, Vinueza Pánchez, López Ortiz y A</w:t>
      </w:r>
      <w:r>
        <w:rPr>
          <w:lang w:val="es-CR"/>
        </w:rPr>
        <w:t>s</w:t>
      </w:r>
      <w:r w:rsidRPr="00EB1B7C">
        <w:rPr>
          <w:lang w:val="es-CR"/>
        </w:rPr>
        <w:t>cázubi Albán y otro, interpusieron</w:t>
      </w:r>
      <w:r>
        <w:rPr>
          <w:lang w:val="es-CR"/>
        </w:rPr>
        <w:t xml:space="preserve"> recursos de nulidad y apelación</w:t>
      </w:r>
      <w:r w:rsidRPr="00EB1B7C">
        <w:rPr>
          <w:lang w:val="es-CR"/>
        </w:rPr>
        <w:t>. El 31 de julio de 2003 la Corte</w:t>
      </w:r>
      <w:r>
        <w:rPr>
          <w:lang w:val="es-CR"/>
        </w:rPr>
        <w:t xml:space="preserve"> Nacional de Justicia Policial </w:t>
      </w:r>
      <w:r w:rsidRPr="00EB1B7C">
        <w:rPr>
          <w:lang w:val="es-CR"/>
        </w:rPr>
        <w:t>desechó el recurso de nulidad interpuesto y declaró que este carecía de fundamento y devolvió los autos para r</w:t>
      </w:r>
      <w:r>
        <w:rPr>
          <w:lang w:val="es-CR"/>
        </w:rPr>
        <w:t>esolver el recurso de apelación</w:t>
      </w:r>
      <w:r w:rsidRPr="00EB1B7C">
        <w:rPr>
          <w:lang w:val="es-CR"/>
        </w:rPr>
        <w:t xml:space="preserve"> (</w:t>
      </w:r>
      <w:r w:rsidRPr="00FA72AF">
        <w:rPr>
          <w:i/>
          <w:lang w:val="es-CR"/>
        </w:rPr>
        <w:t>supra</w:t>
      </w:r>
      <w:r w:rsidRPr="00EB1B7C">
        <w:rPr>
          <w:lang w:val="es-CR"/>
        </w:rPr>
        <w:t xml:space="preserve"> párr</w:t>
      </w:r>
      <w:r>
        <w:rPr>
          <w:lang w:val="es-CR"/>
        </w:rPr>
        <w:t>s</w:t>
      </w:r>
      <w:r w:rsidRPr="00EB1B7C">
        <w:rPr>
          <w:lang w:val="es-CR"/>
        </w:rPr>
        <w:t>.</w:t>
      </w:r>
      <w:r>
        <w:rPr>
          <w:lang w:val="es-CR"/>
        </w:rPr>
        <w:t xml:space="preserve"> 51 y 52</w:t>
      </w:r>
      <w:r w:rsidRPr="00EB1B7C">
        <w:rPr>
          <w:lang w:val="es-CR"/>
        </w:rPr>
        <w:t xml:space="preserve">).  </w:t>
      </w:r>
      <w:r w:rsidRPr="00D43695">
        <w:rPr>
          <w:lang w:val="es-CR"/>
        </w:rPr>
        <w:t>La Corte Nacional de Justicia Policial el 11 de noviembre de 2003 resolvió el recurso de nulidad, que confirmó el auto motivado subido en grado (</w:t>
      </w:r>
      <w:r w:rsidRPr="00D43695">
        <w:rPr>
          <w:i/>
          <w:lang w:val="es-CR"/>
        </w:rPr>
        <w:t>supra</w:t>
      </w:r>
      <w:r w:rsidRPr="00D43695">
        <w:rPr>
          <w:lang w:val="es-CR"/>
        </w:rPr>
        <w:t xml:space="preserve"> párr. 53)</w:t>
      </w:r>
      <w:r w:rsidRPr="00B15238">
        <w:rPr>
          <w:lang w:val="es-CR"/>
        </w:rPr>
        <w:t xml:space="preserve">. </w:t>
      </w:r>
    </w:p>
  </w:footnote>
  <w:footnote w:id="127">
    <w:p w14:paraId="03E760E7" w14:textId="794E00F2" w:rsidR="00795660" w:rsidRPr="00303E56" w:rsidRDefault="00795660" w:rsidP="00F402EF">
      <w:pPr>
        <w:pStyle w:val="Textonotapie"/>
        <w:spacing w:before="0" w:after="0"/>
      </w:pPr>
      <w:r>
        <w:rPr>
          <w:rStyle w:val="Refdenotaalpie"/>
        </w:rPr>
        <w:footnoteRef/>
      </w:r>
      <w:r>
        <w:t xml:space="preserve"> </w:t>
      </w:r>
      <w:r>
        <w:rPr>
          <w:lang w:val="es-CR"/>
        </w:rPr>
        <w:tab/>
      </w:r>
      <w:r w:rsidRPr="00B33ECE">
        <w:rPr>
          <w:lang w:val="es-CR"/>
        </w:rPr>
        <w:t>Al respecto, cabe mencionar que la se</w:t>
      </w:r>
      <w:r>
        <w:rPr>
          <w:lang w:val="es-CR"/>
        </w:rPr>
        <w:t>ñora Marcella da Ponte Carvalho</w:t>
      </w:r>
      <w:r w:rsidRPr="00B33ECE">
        <w:rPr>
          <w:lang w:val="es-CR"/>
        </w:rPr>
        <w:t xml:space="preserve"> rindió un peritaje en el Caso </w:t>
      </w:r>
      <w:r w:rsidRPr="00B33ECE">
        <w:rPr>
          <w:i/>
          <w:lang w:val="es-CR"/>
        </w:rPr>
        <w:t>Carranza Alarcón Vs. Ecuador,</w:t>
      </w:r>
      <w:r w:rsidRPr="00B33ECE">
        <w:rPr>
          <w:lang w:val="es-CR"/>
        </w:rPr>
        <w:t xml:space="preserve"> </w:t>
      </w:r>
      <w:r>
        <w:rPr>
          <w:lang w:val="es-CR"/>
        </w:rPr>
        <w:t xml:space="preserve">en el cual </w:t>
      </w:r>
      <w:r w:rsidRPr="00B33ECE">
        <w:rPr>
          <w:lang w:val="es-CR"/>
        </w:rPr>
        <w:t>expresó que el Código de Procedimiento Penal de 1983 no estaba establecido el recurso de apelación a la orden de la prisión preventiva (artículo 348). En ese sentido, un procesado contra quien se había dispuesto una prisión preventiva, podía impugnarla a través de dos vías: el recurso de amparo de libertad y el hábeas corpus.</w:t>
      </w:r>
      <w:r w:rsidRPr="005B79A3">
        <w:rPr>
          <w:lang w:val="es-CR"/>
        </w:rPr>
        <w:t xml:space="preserve"> </w:t>
      </w:r>
      <w:r w:rsidRPr="00B33ECE">
        <w:rPr>
          <w:i/>
          <w:lang w:val="es-CR"/>
        </w:rPr>
        <w:t>Cfr</w:t>
      </w:r>
      <w:r w:rsidRPr="002E64FC">
        <w:rPr>
          <w:i/>
          <w:lang w:val="es-CR"/>
        </w:rPr>
        <w:t>. Caso Carranza Alarcón Vs. Ecuador, supra,</w:t>
      </w:r>
      <w:r>
        <w:rPr>
          <w:i/>
          <w:lang w:val="es-CR"/>
        </w:rPr>
        <w:t xml:space="preserve"> </w:t>
      </w:r>
      <w:r w:rsidRPr="002E64FC">
        <w:rPr>
          <w:lang w:val="es-CR"/>
        </w:rPr>
        <w:t xml:space="preserve">párr. </w:t>
      </w:r>
      <w:r w:rsidRPr="004A0798">
        <w:rPr>
          <w:lang w:val="es-CR"/>
        </w:rPr>
        <w:t>34.</w:t>
      </w:r>
    </w:p>
  </w:footnote>
  <w:footnote w:id="128">
    <w:p w14:paraId="2211F2CE" w14:textId="074D4705" w:rsidR="00795660" w:rsidRPr="00362E93" w:rsidRDefault="00795660" w:rsidP="00362E93">
      <w:pPr>
        <w:pStyle w:val="Textonotapie"/>
        <w:spacing w:before="0" w:after="0"/>
      </w:pPr>
      <w:r>
        <w:rPr>
          <w:rStyle w:val="Refdenotaalpie"/>
        </w:rPr>
        <w:footnoteRef/>
      </w:r>
      <w:r>
        <w:t xml:space="preserve"> </w:t>
      </w:r>
      <w:r>
        <w:tab/>
      </w:r>
      <w:r w:rsidRPr="00017D3B">
        <w:rPr>
          <w:i/>
          <w:szCs w:val="16"/>
        </w:rPr>
        <w:t xml:space="preserve">Cfr. El Hábeas Corpus Bajo Suspensión de Garantías (arts. 27.2, 25.1 y 7.6 Convención Americana sobre Derechos Humanos). </w:t>
      </w:r>
      <w:r w:rsidRPr="00FA72AF">
        <w:rPr>
          <w:szCs w:val="16"/>
        </w:rPr>
        <w:t>Opinión Consultiva</w:t>
      </w:r>
      <w:r w:rsidRPr="00017D3B">
        <w:rPr>
          <w:i/>
          <w:szCs w:val="16"/>
        </w:rPr>
        <w:t xml:space="preserve"> OC-8/87</w:t>
      </w:r>
      <w:r w:rsidRPr="008F7257">
        <w:rPr>
          <w:szCs w:val="16"/>
        </w:rPr>
        <w:t xml:space="preserve"> de 30 de enero de 1987. Serie A No. 8, párr. 33</w:t>
      </w:r>
      <w:r>
        <w:rPr>
          <w:i/>
          <w:szCs w:val="16"/>
        </w:rPr>
        <w:t xml:space="preserve">, </w:t>
      </w:r>
      <w:r w:rsidRPr="008E02AE">
        <w:rPr>
          <w:szCs w:val="16"/>
        </w:rPr>
        <w:t>y</w:t>
      </w:r>
      <w:r w:rsidRPr="00017D3B">
        <w:rPr>
          <w:i/>
          <w:szCs w:val="16"/>
        </w:rPr>
        <w:t xml:space="preserve"> </w:t>
      </w:r>
      <w:r>
        <w:rPr>
          <w:i/>
          <w:szCs w:val="16"/>
        </w:rPr>
        <w:t xml:space="preserve">Caso </w:t>
      </w:r>
      <w:r w:rsidRPr="00017D3B">
        <w:rPr>
          <w:i/>
          <w:szCs w:val="16"/>
        </w:rPr>
        <w:t>Vélez Loor</w:t>
      </w:r>
      <w:r>
        <w:rPr>
          <w:i/>
          <w:szCs w:val="16"/>
        </w:rPr>
        <w:t xml:space="preserve"> Vs. Panamá</w:t>
      </w:r>
      <w:r>
        <w:rPr>
          <w:szCs w:val="16"/>
        </w:rPr>
        <w:t xml:space="preserve">, </w:t>
      </w:r>
      <w:r w:rsidRPr="00FA72AF">
        <w:rPr>
          <w:i/>
          <w:szCs w:val="16"/>
        </w:rPr>
        <w:t>supra</w:t>
      </w:r>
      <w:r>
        <w:rPr>
          <w:i/>
          <w:szCs w:val="16"/>
        </w:rPr>
        <w:t>,</w:t>
      </w:r>
      <w:r>
        <w:rPr>
          <w:szCs w:val="16"/>
        </w:rPr>
        <w:t xml:space="preserve"> párr. </w:t>
      </w:r>
      <w:r w:rsidRPr="00A02D78">
        <w:rPr>
          <w:szCs w:val="16"/>
        </w:rPr>
        <w:t>124</w:t>
      </w:r>
      <w:r>
        <w:rPr>
          <w:szCs w:val="16"/>
        </w:rPr>
        <w:t>.</w:t>
      </w:r>
    </w:p>
  </w:footnote>
  <w:footnote w:id="129">
    <w:p w14:paraId="7829E4D6" w14:textId="39703E77" w:rsidR="00795660" w:rsidRPr="00017E38" w:rsidRDefault="00795660" w:rsidP="00017E38">
      <w:pPr>
        <w:pStyle w:val="Textonotapie"/>
        <w:spacing w:before="0" w:after="0"/>
        <w:rPr>
          <w:szCs w:val="16"/>
          <w:lang w:val="es-CR"/>
        </w:rPr>
      </w:pPr>
      <w:r w:rsidRPr="00112DA7">
        <w:rPr>
          <w:rStyle w:val="Refdenotaalpie"/>
        </w:rPr>
        <w:footnoteRef/>
      </w:r>
      <w:r w:rsidRPr="00112DA7">
        <w:t xml:space="preserve"> </w:t>
      </w:r>
      <w:r w:rsidRPr="00112DA7">
        <w:tab/>
      </w:r>
      <w:r w:rsidRPr="00112DA7">
        <w:rPr>
          <w:i/>
        </w:rPr>
        <w:t xml:space="preserve">Cfr. </w:t>
      </w:r>
      <w:r w:rsidRPr="00112DA7">
        <w:rPr>
          <w:i/>
          <w:color w:val="000000"/>
        </w:rPr>
        <w:t>Caso López Álvarez Vs. Honduras</w:t>
      </w:r>
      <w:r>
        <w:rPr>
          <w:i/>
          <w:color w:val="000000"/>
        </w:rPr>
        <w:t xml:space="preserve">, supra, </w:t>
      </w:r>
      <w:r>
        <w:t>párr. 96, y</w:t>
      </w:r>
      <w:r>
        <w:rPr>
          <w:i/>
          <w:iCs/>
          <w:szCs w:val="16"/>
        </w:rPr>
        <w:t xml:space="preserve"> Caso Chaparro Álvarez y Lapo Iñiguez Vs. Ecuador, supra</w:t>
      </w:r>
      <w:r>
        <w:rPr>
          <w:szCs w:val="16"/>
          <w:lang w:val="es-CR"/>
        </w:rPr>
        <w:t xml:space="preserve">, </w:t>
      </w:r>
      <w:r w:rsidRPr="0040078E">
        <w:rPr>
          <w:szCs w:val="16"/>
          <w:lang w:val="es-CR"/>
        </w:rPr>
        <w:t>párr. 133</w:t>
      </w:r>
      <w:r>
        <w:rPr>
          <w:szCs w:val="16"/>
          <w:lang w:val="es-CR"/>
        </w:rPr>
        <w:t>.</w:t>
      </w:r>
    </w:p>
  </w:footnote>
  <w:footnote w:id="130">
    <w:p w14:paraId="0CB8E127" w14:textId="7E61763D" w:rsidR="00795660" w:rsidRPr="005B79A3" w:rsidRDefault="00795660" w:rsidP="00017E38">
      <w:pPr>
        <w:pStyle w:val="Textonotapie"/>
        <w:spacing w:before="0" w:after="0"/>
      </w:pPr>
      <w:r>
        <w:rPr>
          <w:rStyle w:val="Refdenotaalpie"/>
        </w:rPr>
        <w:footnoteRef/>
      </w:r>
      <w:r>
        <w:t xml:space="preserve"> </w:t>
      </w:r>
      <w:r>
        <w:tab/>
      </w:r>
      <w:r w:rsidRPr="00017E38">
        <w:t>La Corte hace notar que en el acervo probatorio sólo consta el amparo presentado por el señor Cevallos Moreno</w:t>
      </w:r>
      <w:r w:rsidRPr="00017E38">
        <w:rPr>
          <w:lang w:val="es-CR"/>
        </w:rPr>
        <w:t>.</w:t>
      </w:r>
      <w:r w:rsidRPr="005B79A3">
        <w:rPr>
          <w:lang w:val="es-CR"/>
        </w:rPr>
        <w:t xml:space="preserve">  </w:t>
      </w:r>
      <w:r>
        <w:rPr>
          <w:lang w:val="es-CR"/>
        </w:rPr>
        <w:t xml:space="preserve">No obstante, </w:t>
      </w:r>
      <w:r w:rsidRPr="00EB1B7C">
        <w:rPr>
          <w:lang w:val="es-CR"/>
        </w:rPr>
        <w:t xml:space="preserve">en el acervo probatorio constan las decisiones </w:t>
      </w:r>
      <w:r>
        <w:rPr>
          <w:lang w:val="es-CR"/>
        </w:rPr>
        <w:t xml:space="preserve">de </w:t>
      </w:r>
      <w:r w:rsidRPr="00EB1B7C">
        <w:rPr>
          <w:lang w:val="es-CR"/>
        </w:rPr>
        <w:t>dos recursos de amparo de libertad presentados, uno, presentado en conjunto por los señores Villarroel Merino, Coloma Gaibor, Vinueza Pánchez, López Ortiz y A</w:t>
      </w:r>
      <w:r>
        <w:rPr>
          <w:lang w:val="es-CR"/>
        </w:rPr>
        <w:t>s</w:t>
      </w:r>
      <w:r w:rsidRPr="00EB1B7C">
        <w:rPr>
          <w:lang w:val="es-CR"/>
        </w:rPr>
        <w:t xml:space="preserve">cázubi Albán y, otro, por el señor Cevallos Moreno, los cuales fueron declarados improcedentes </w:t>
      </w:r>
      <w:r>
        <w:rPr>
          <w:lang w:val="es-CR"/>
        </w:rPr>
        <w:t xml:space="preserve">por la Corte Nacional de Justicia Policial el </w:t>
      </w:r>
      <w:r w:rsidRPr="00EB1B7C">
        <w:rPr>
          <w:lang w:val="es-CR"/>
        </w:rPr>
        <w:t>3 de julio de 2003</w:t>
      </w:r>
      <w:r>
        <w:rPr>
          <w:lang w:val="es-CR"/>
        </w:rPr>
        <w:t>.</w:t>
      </w:r>
    </w:p>
  </w:footnote>
  <w:footnote w:id="131">
    <w:p w14:paraId="4D9FE0F9" w14:textId="2F689CD6" w:rsidR="00795660" w:rsidRPr="00E46D30" w:rsidRDefault="00795660" w:rsidP="00017E38">
      <w:pPr>
        <w:pStyle w:val="Textonotapie"/>
        <w:spacing w:before="0" w:after="0"/>
      </w:pPr>
      <w:r w:rsidRPr="00FA72AF">
        <w:rPr>
          <w:rStyle w:val="Refdenotaalpie"/>
        </w:rPr>
        <w:footnoteRef/>
      </w:r>
      <w:r w:rsidRPr="00FA72AF">
        <w:t xml:space="preserve"> </w:t>
      </w:r>
      <w:r w:rsidRPr="007337A0">
        <w:rPr>
          <w:b/>
          <w:szCs w:val="16"/>
        </w:rPr>
        <w:tab/>
      </w:r>
      <w:r w:rsidRPr="007337A0">
        <w:rPr>
          <w:szCs w:val="16"/>
        </w:rPr>
        <w:t>El artículo 425 del Código de P</w:t>
      </w:r>
      <w:r>
        <w:rPr>
          <w:szCs w:val="16"/>
        </w:rPr>
        <w:t>rocedimiento Penal indica que: “</w:t>
      </w:r>
      <w:r w:rsidRPr="007337A0">
        <w:rPr>
          <w:szCs w:val="16"/>
        </w:rPr>
        <w:t>Cuando la persona esté privada de su libertad, el juez de garantías penales o tribunal de garantías penales debe ordenar, de inmediato, que el detenido sea llevado a su presencia. De ser necesario, se puede constituir en el lugar de la privación de la libertad. Asimismo, debe convocar a una audiencia, que debe realizarse dentro de las inmediatas doce horas, para que, en presencia del detenido, la autoridad denunciada informe. El juez de garantías penales o tribunal de garantías penales puede ordenar la producción de prueba durante la audiencia […]</w:t>
      </w:r>
      <w:r>
        <w:rPr>
          <w:szCs w:val="16"/>
        </w:rPr>
        <w:t>”</w:t>
      </w:r>
      <w:r w:rsidRPr="007337A0">
        <w:rPr>
          <w:szCs w:val="16"/>
        </w:rPr>
        <w:t xml:space="preserve">. </w:t>
      </w:r>
      <w:r>
        <w:rPr>
          <w:szCs w:val="16"/>
        </w:rPr>
        <w:t xml:space="preserve">Código de Procedimiento Penal del 2000, publicado en el Registro Oficial Suplemento 360 de 13 de enero de 2000, </w:t>
      </w:r>
      <w:r w:rsidRPr="00FA72AF">
        <w:rPr>
          <w:i/>
          <w:szCs w:val="16"/>
        </w:rPr>
        <w:t>supra</w:t>
      </w:r>
      <w:r w:rsidRPr="00303E56">
        <w:rPr>
          <w:szCs w:val="16"/>
        </w:rPr>
        <w:t xml:space="preserve">. </w:t>
      </w:r>
    </w:p>
  </w:footnote>
  <w:footnote w:id="132">
    <w:p w14:paraId="33D82D88" w14:textId="08CDF548" w:rsidR="00795660" w:rsidRPr="008D7E78" w:rsidRDefault="00795660" w:rsidP="00A452A2">
      <w:pPr>
        <w:pStyle w:val="Textonotapie"/>
        <w:spacing w:before="0" w:after="0"/>
      </w:pPr>
      <w:r>
        <w:rPr>
          <w:rStyle w:val="Refdenotaalpie"/>
        </w:rPr>
        <w:footnoteRef/>
      </w:r>
      <w:r>
        <w:t xml:space="preserve">  </w:t>
      </w:r>
      <w:r>
        <w:tab/>
      </w:r>
      <w:r>
        <w:rPr>
          <w:bCs/>
          <w:lang w:val="es-CR"/>
        </w:rPr>
        <w:t>Los a</w:t>
      </w:r>
      <w:r w:rsidRPr="008D7E78">
        <w:rPr>
          <w:bCs/>
          <w:lang w:val="es-CR"/>
        </w:rPr>
        <w:t xml:space="preserve">rtículos </w:t>
      </w:r>
      <w:r>
        <w:rPr>
          <w:bCs/>
          <w:lang w:val="es-CR"/>
        </w:rPr>
        <w:t>1.1, 2 y 8</w:t>
      </w:r>
      <w:r w:rsidRPr="008D7E78">
        <w:rPr>
          <w:bCs/>
          <w:lang w:val="es-CR"/>
        </w:rPr>
        <w:t xml:space="preserve"> de la Convención Americana</w:t>
      </w:r>
      <w:r>
        <w:rPr>
          <w:bCs/>
          <w:lang w:val="es-CR"/>
        </w:rPr>
        <w:t>.</w:t>
      </w:r>
    </w:p>
  </w:footnote>
  <w:footnote w:id="133">
    <w:p w14:paraId="2F7FA4BD" w14:textId="77777777" w:rsidR="00795660" w:rsidRPr="001661DB" w:rsidRDefault="00795660" w:rsidP="00B4581B">
      <w:pPr>
        <w:autoSpaceDE w:val="0"/>
        <w:autoSpaceDN w:val="0"/>
        <w:adjustRightInd w:val="0"/>
        <w:spacing w:before="0" w:after="0"/>
        <w:jc w:val="left"/>
        <w:rPr>
          <w:rFonts w:cs="Bookman Old Style"/>
          <w:i/>
          <w:sz w:val="10"/>
        </w:rPr>
      </w:pPr>
      <w:r w:rsidRPr="001661DB">
        <w:rPr>
          <w:rStyle w:val="Refdenotaalpie"/>
          <w:i/>
          <w:sz w:val="16"/>
        </w:rPr>
        <w:footnoteRef/>
      </w:r>
      <w:r w:rsidRPr="001661DB">
        <w:rPr>
          <w:i/>
          <w:sz w:val="16"/>
        </w:rPr>
        <w:t xml:space="preserve"> </w:t>
      </w:r>
      <w:r w:rsidRPr="001661DB">
        <w:rPr>
          <w:i/>
          <w:sz w:val="16"/>
        </w:rPr>
        <w:tab/>
        <w:t xml:space="preserve">Cfr. </w:t>
      </w:r>
      <w:r w:rsidRPr="00FB6AA2">
        <w:rPr>
          <w:rFonts w:cs="Bookman Old Style"/>
          <w:sz w:val="16"/>
          <w:szCs w:val="20"/>
        </w:rPr>
        <w:t xml:space="preserve">Denuncia de los señores Villarroel Merino, Coloma Gaibor, López Ortiz, Ascázubi Albán y Vinueza Pánchez ante Ministerio Fiscal General de la Nación de 03 de julio de 2003 </w:t>
      </w:r>
      <w:r w:rsidRPr="00FB6AA2">
        <w:rPr>
          <w:rFonts w:cs="Arial"/>
          <w:color w:val="141414"/>
          <w:sz w:val="16"/>
          <w:szCs w:val="16"/>
        </w:rPr>
        <w:t>(expediente de prueba, fs. 3672 a 3681)</w:t>
      </w:r>
      <w:r>
        <w:rPr>
          <w:rFonts w:cs="Arial"/>
          <w:color w:val="141414"/>
          <w:sz w:val="16"/>
          <w:szCs w:val="16"/>
        </w:rPr>
        <w:t>.</w:t>
      </w:r>
    </w:p>
  </w:footnote>
  <w:footnote w:id="134">
    <w:p w14:paraId="3744F6A0" w14:textId="12EEE577" w:rsidR="00795660" w:rsidRPr="00015D55" w:rsidRDefault="00795660" w:rsidP="00BD4155">
      <w:pPr>
        <w:pStyle w:val="Textonotapie"/>
        <w:spacing w:before="0" w:after="0"/>
        <w:rPr>
          <w:lang w:val="es-CR"/>
        </w:rPr>
      </w:pPr>
      <w:r>
        <w:rPr>
          <w:rStyle w:val="Refdenotaalpie"/>
        </w:rPr>
        <w:footnoteRef/>
      </w:r>
      <w:r>
        <w:t xml:space="preserve"> </w:t>
      </w:r>
      <w:r>
        <w:rPr>
          <w:lang w:val="es-CR"/>
        </w:rPr>
        <w:tab/>
      </w:r>
      <w:r w:rsidRPr="008A472E">
        <w:rPr>
          <w:lang w:val="es-CR"/>
        </w:rPr>
        <w:t xml:space="preserve">También adujo </w:t>
      </w:r>
      <w:r w:rsidRPr="008A472E">
        <w:t>que, si bien el informe de la Contraloría indicó que los hechos que habrían cometido las presuntas víctimas se tipificaban con el d</w:t>
      </w:r>
      <w:r w:rsidRPr="00AA500F">
        <w:t>elito de peculado, el Presidente de la CNJP dictó un auto cabeza de proceso por el delito de malversación de fondos. Este último sí se encontraba tipificado en el Código Penal de la Policía Nacional. Conforme al Código, la CNJP era el tribunal encargado de</w:t>
      </w:r>
      <w:r w:rsidRPr="00CC05C5">
        <w:t xml:space="preserve"> enjuiciar los actos de función de los miembros de dicha institución. Por otro lado, la Comisión observó que las presuntas víctimas eran agentes policiales durante la época de los hechos y que los presuntos hechos ilícitos habrían sido cometidos en el marco de sus funciones en la Policía Nacional del Ecuador. </w:t>
      </w:r>
    </w:p>
  </w:footnote>
  <w:footnote w:id="135">
    <w:p w14:paraId="56ECDE15" w14:textId="6D41D10B" w:rsidR="00795660" w:rsidRPr="00EE5799" w:rsidRDefault="00795660" w:rsidP="007333A7">
      <w:pPr>
        <w:pStyle w:val="Textonotapie"/>
        <w:spacing w:before="0" w:after="0"/>
      </w:pPr>
      <w:r>
        <w:rPr>
          <w:rStyle w:val="Refdenotaalpie"/>
        </w:rPr>
        <w:footnoteRef/>
      </w:r>
      <w:r>
        <w:t xml:space="preserve"> </w:t>
      </w:r>
      <w:r>
        <w:tab/>
      </w:r>
      <w:r w:rsidRPr="00154B34">
        <w:t>La Comisión señaló que</w:t>
      </w:r>
      <w:r w:rsidRPr="00FA72AF">
        <w:t>,</w:t>
      </w:r>
      <w:r w:rsidRPr="00154B34">
        <w:t xml:space="preserve"> de acuerdo a los hechos probados, durante el proceso penal policial en contra de las presuntas víctimas la CNJP tuvo tres conformaciones</w:t>
      </w:r>
      <w:r>
        <w:t>: “i) la presidida por [MAD]</w:t>
      </w:r>
      <w:r w:rsidRPr="00AA500F">
        <w:t xml:space="preserve"> quien se avocó el conocimiento de la causa; ii) la presidida por Byron Pinto Muñoz quien decretó la detención en contra de las presuntas víctimas y emitió la sentencia condenatoria; y iii) la nueva conformación </w:t>
      </w:r>
      <w:r w:rsidRPr="00FA72AF">
        <w:t xml:space="preserve">que </w:t>
      </w:r>
      <w:r w:rsidRPr="00154B34">
        <w:t>dispuso la absolución. Dichas modificaci</w:t>
      </w:r>
      <w:r w:rsidRPr="00AA500F">
        <w:t>ones de composición se basaron en las resoluciones emitidas por dos Presidentes de la República en los años 2003 y 2005, respectivamente.</w:t>
      </w:r>
      <w:r w:rsidRPr="00FA72AF">
        <w:t>”</w:t>
      </w:r>
      <w:r w:rsidRPr="00154B34">
        <w:t xml:space="preserve"> </w:t>
      </w:r>
    </w:p>
  </w:footnote>
  <w:footnote w:id="136">
    <w:p w14:paraId="61AAD213" w14:textId="3E2EB655" w:rsidR="00795660" w:rsidRPr="00FA72AF" w:rsidRDefault="00795660" w:rsidP="00B46946">
      <w:pPr>
        <w:pStyle w:val="Prrafodelista"/>
        <w:spacing w:before="0" w:after="0"/>
        <w:ind w:left="0"/>
        <w:rPr>
          <w:rFonts w:ascii="Times New Roman" w:eastAsiaTheme="minorHAnsi" w:hAnsi="Times New Roman" w:cs="Times New Roman"/>
          <w:sz w:val="16"/>
          <w:szCs w:val="16"/>
          <w:highlight w:val="cyan"/>
          <w:lang w:val="es-CR"/>
        </w:rPr>
      </w:pPr>
      <w:r w:rsidRPr="00687A84">
        <w:rPr>
          <w:rStyle w:val="Refdenotaalpie"/>
        </w:rPr>
        <w:footnoteRef/>
      </w:r>
      <w:r w:rsidRPr="00687A84">
        <w:t xml:space="preserve">  </w:t>
      </w:r>
      <w:r w:rsidRPr="00687A84">
        <w:tab/>
      </w:r>
      <w:r>
        <w:rPr>
          <w:rFonts w:eastAsiaTheme="minorHAnsi" w:cs="Times New Roman"/>
          <w:sz w:val="16"/>
          <w:szCs w:val="16"/>
          <w:lang w:val="es-CR"/>
        </w:rPr>
        <w:t>De acuerdo a las</w:t>
      </w:r>
      <w:r w:rsidRPr="00AA500F">
        <w:rPr>
          <w:rFonts w:eastAsiaTheme="minorHAnsi" w:cs="Times New Roman"/>
          <w:sz w:val="16"/>
          <w:szCs w:val="16"/>
          <w:lang w:val="es-CR"/>
        </w:rPr>
        <w:t xml:space="preserve"> declaraciones de las presuntas víctimas mediante affid</w:t>
      </w:r>
      <w:r>
        <w:rPr>
          <w:rFonts w:eastAsiaTheme="minorHAnsi" w:cs="Times New Roman"/>
          <w:sz w:val="16"/>
          <w:szCs w:val="16"/>
          <w:lang w:val="es-CR"/>
        </w:rPr>
        <w:t>á</w:t>
      </w:r>
      <w:r w:rsidRPr="00AA500F">
        <w:rPr>
          <w:rFonts w:eastAsiaTheme="minorHAnsi" w:cs="Times New Roman"/>
          <w:sz w:val="16"/>
          <w:szCs w:val="16"/>
          <w:lang w:val="es-CR"/>
        </w:rPr>
        <w:t xml:space="preserve">vit, la Corte nota que: a) el señor </w:t>
      </w:r>
      <w:r w:rsidRPr="00AA500F">
        <w:rPr>
          <w:rFonts w:eastAsiaTheme="minorHAnsi" w:cs="Times New Roman"/>
          <w:i/>
          <w:sz w:val="16"/>
          <w:szCs w:val="16"/>
          <w:lang w:val="es-CR"/>
        </w:rPr>
        <w:t xml:space="preserve">Villarroel Merino </w:t>
      </w:r>
      <w:r w:rsidRPr="00AA500F">
        <w:rPr>
          <w:rFonts w:eastAsiaTheme="minorHAnsi" w:cs="Times New Roman"/>
          <w:sz w:val="16"/>
          <w:szCs w:val="16"/>
          <w:lang w:val="es-CR"/>
        </w:rPr>
        <w:t>indicó que “si impugn</w:t>
      </w:r>
      <w:r>
        <w:rPr>
          <w:rFonts w:eastAsiaTheme="minorHAnsi" w:cs="Times New Roman"/>
          <w:sz w:val="16"/>
          <w:szCs w:val="16"/>
          <w:lang w:val="es-CR"/>
        </w:rPr>
        <w:t xml:space="preserve">[ó] el Informe de la Auditoría </w:t>
      </w:r>
      <w:r w:rsidRPr="00AA500F">
        <w:rPr>
          <w:rFonts w:eastAsiaTheme="minorHAnsi" w:cs="Times New Roman"/>
          <w:sz w:val="16"/>
          <w:szCs w:val="16"/>
          <w:lang w:val="es-CR"/>
        </w:rPr>
        <w:t xml:space="preserve">No. 32-DA.1- 2001- 466, emitido por la Contraloría del Estado el 13 de julio de 2001 […] </w:t>
      </w:r>
      <w:r w:rsidRPr="00FA72AF">
        <w:rPr>
          <w:rFonts w:eastAsiaTheme="minorHAnsi" w:cs="Times New Roman"/>
          <w:sz w:val="16"/>
          <w:szCs w:val="16"/>
          <w:lang w:val="es-CR"/>
        </w:rPr>
        <w:t>[</w:t>
      </w:r>
      <w:r w:rsidRPr="00AA500F">
        <w:rPr>
          <w:rFonts w:eastAsiaTheme="minorHAnsi" w:cs="Times New Roman"/>
          <w:sz w:val="16"/>
          <w:szCs w:val="16"/>
          <w:lang w:val="es-CR"/>
        </w:rPr>
        <w:t>y las impugnaciones</w:t>
      </w:r>
      <w:r w:rsidRPr="00FA72AF">
        <w:rPr>
          <w:rFonts w:eastAsiaTheme="minorHAnsi" w:cs="Times New Roman"/>
          <w:sz w:val="16"/>
          <w:szCs w:val="16"/>
          <w:lang w:val="es-CR"/>
        </w:rPr>
        <w:t>]</w:t>
      </w:r>
      <w:r w:rsidRPr="00AA500F">
        <w:rPr>
          <w:rFonts w:eastAsiaTheme="minorHAnsi" w:cs="Times New Roman"/>
          <w:sz w:val="16"/>
          <w:szCs w:val="16"/>
          <w:lang w:val="es-CR"/>
        </w:rPr>
        <w:t xml:space="preserve"> fueron negativas”, sin indicar la fecha en que las efectuó</w:t>
      </w:r>
      <w:r>
        <w:rPr>
          <w:rFonts w:eastAsiaTheme="minorHAnsi" w:cs="Times New Roman"/>
          <w:sz w:val="16"/>
          <w:szCs w:val="16"/>
          <w:lang w:val="es-CR"/>
        </w:rPr>
        <w:t xml:space="preserve">. </w:t>
      </w:r>
      <w:r w:rsidRPr="00FA72AF">
        <w:rPr>
          <w:rFonts w:eastAsiaTheme="minorHAnsi" w:cs="Times New Roman"/>
          <w:i/>
          <w:sz w:val="16"/>
          <w:szCs w:val="16"/>
          <w:lang w:val="es-CR"/>
        </w:rPr>
        <w:t>Cfr</w:t>
      </w:r>
      <w:r w:rsidRPr="00AA500F">
        <w:rPr>
          <w:rFonts w:eastAsiaTheme="minorHAnsi" w:cs="Times New Roman"/>
          <w:sz w:val="16"/>
          <w:szCs w:val="16"/>
          <w:lang w:val="es-CR"/>
        </w:rPr>
        <w:t xml:space="preserve">. </w:t>
      </w:r>
      <w:r>
        <w:rPr>
          <w:rFonts w:eastAsiaTheme="minorHAnsi" w:cs="Times New Roman"/>
          <w:sz w:val="16"/>
          <w:szCs w:val="16"/>
          <w:lang w:val="es-CR"/>
        </w:rPr>
        <w:t xml:space="preserve">Declaración </w:t>
      </w:r>
      <w:r w:rsidRPr="00AA500F">
        <w:rPr>
          <w:rFonts w:eastAsiaTheme="minorHAnsi" w:cs="Times New Roman"/>
          <w:sz w:val="16"/>
          <w:szCs w:val="16"/>
          <w:lang w:val="es-CR"/>
        </w:rPr>
        <w:t>de</w:t>
      </w:r>
      <w:r>
        <w:rPr>
          <w:rFonts w:eastAsiaTheme="minorHAnsi" w:cs="Times New Roman"/>
          <w:sz w:val="16"/>
          <w:szCs w:val="16"/>
          <w:lang w:val="es-CR"/>
        </w:rPr>
        <w:t xml:space="preserve"> Jorge Humberto</w:t>
      </w:r>
      <w:r w:rsidRPr="00AA500F">
        <w:rPr>
          <w:rFonts w:eastAsiaTheme="minorHAnsi" w:cs="Times New Roman"/>
          <w:sz w:val="16"/>
          <w:szCs w:val="16"/>
          <w:lang w:val="es-CR"/>
        </w:rPr>
        <w:t xml:space="preserve"> Villarroel Merino de 9 de febrero de 2021</w:t>
      </w:r>
      <w:r>
        <w:rPr>
          <w:rFonts w:eastAsiaTheme="minorHAnsi" w:cs="Times New Roman"/>
          <w:sz w:val="16"/>
          <w:szCs w:val="16"/>
          <w:lang w:val="es-CR"/>
        </w:rPr>
        <w:t xml:space="preserve">, </w:t>
      </w:r>
      <w:r w:rsidRPr="00FA72AF">
        <w:rPr>
          <w:rFonts w:eastAsiaTheme="minorHAnsi" w:cs="Times New Roman"/>
          <w:i/>
          <w:sz w:val="16"/>
          <w:szCs w:val="16"/>
          <w:lang w:val="es-CR"/>
        </w:rPr>
        <w:t>supra</w:t>
      </w:r>
      <w:r w:rsidRPr="00AA500F">
        <w:rPr>
          <w:rFonts w:eastAsiaTheme="minorHAnsi" w:cs="Times New Roman"/>
          <w:sz w:val="16"/>
          <w:szCs w:val="16"/>
          <w:lang w:val="es-CR"/>
        </w:rPr>
        <w:t xml:space="preserve">; </w:t>
      </w:r>
      <w:r w:rsidRPr="00CC05C5">
        <w:rPr>
          <w:rFonts w:eastAsiaTheme="minorHAnsi" w:cs="Times New Roman"/>
          <w:sz w:val="16"/>
          <w:szCs w:val="16"/>
          <w:lang w:val="es-CR"/>
        </w:rPr>
        <w:t xml:space="preserve">b) el señor </w:t>
      </w:r>
      <w:r w:rsidRPr="00687A84">
        <w:rPr>
          <w:rFonts w:eastAsiaTheme="minorHAnsi" w:cs="Times New Roman"/>
          <w:i/>
          <w:sz w:val="16"/>
          <w:szCs w:val="16"/>
          <w:lang w:val="es-CR"/>
        </w:rPr>
        <w:t>Cevallos Moreno</w:t>
      </w:r>
      <w:r w:rsidRPr="00687A84">
        <w:rPr>
          <w:rFonts w:eastAsiaTheme="minorHAnsi" w:cs="Times New Roman"/>
          <w:b/>
          <w:sz w:val="16"/>
          <w:szCs w:val="16"/>
          <w:lang w:val="es-CR"/>
        </w:rPr>
        <w:t xml:space="preserve"> </w:t>
      </w:r>
      <w:r w:rsidRPr="00687A84">
        <w:rPr>
          <w:rFonts w:eastAsiaTheme="minorHAnsi" w:cs="Times New Roman"/>
          <w:sz w:val="16"/>
          <w:szCs w:val="16"/>
          <w:lang w:val="es-CR"/>
        </w:rPr>
        <w:t>manifestó que “conoci[ó] del informe No. 32-DA.1- 2001- 466”</w:t>
      </w:r>
      <w:r w:rsidRPr="00FA72AF">
        <w:rPr>
          <w:rFonts w:eastAsiaTheme="minorHAnsi" w:cs="Times New Roman"/>
          <w:sz w:val="16"/>
          <w:szCs w:val="16"/>
          <w:lang w:val="es-CR"/>
        </w:rPr>
        <w:t>.</w:t>
      </w:r>
      <w:r w:rsidRPr="00CC05C5">
        <w:rPr>
          <w:rFonts w:eastAsiaTheme="minorHAnsi" w:cs="Times New Roman"/>
          <w:sz w:val="16"/>
          <w:szCs w:val="16"/>
          <w:lang w:val="es-CR"/>
        </w:rPr>
        <w:t xml:space="preserve"> </w:t>
      </w:r>
      <w:r w:rsidRPr="00FA72AF">
        <w:rPr>
          <w:rFonts w:eastAsiaTheme="minorHAnsi" w:cs="Times New Roman"/>
          <w:i/>
          <w:sz w:val="16"/>
          <w:szCs w:val="16"/>
          <w:lang w:val="es-CR"/>
        </w:rPr>
        <w:t>Cfr</w:t>
      </w:r>
      <w:r w:rsidRPr="00CC05C5">
        <w:rPr>
          <w:rFonts w:eastAsiaTheme="minorHAnsi" w:cs="Times New Roman"/>
          <w:sz w:val="16"/>
          <w:szCs w:val="16"/>
          <w:lang w:val="es-CR"/>
        </w:rPr>
        <w:t xml:space="preserve">. </w:t>
      </w:r>
      <w:r>
        <w:rPr>
          <w:rFonts w:eastAsiaTheme="minorHAnsi" w:cs="Times New Roman"/>
          <w:sz w:val="16"/>
          <w:szCs w:val="16"/>
          <w:lang w:val="es-CR"/>
        </w:rPr>
        <w:t xml:space="preserve">Declaración de Mario Romel </w:t>
      </w:r>
      <w:r w:rsidRPr="00CC05C5">
        <w:rPr>
          <w:rFonts w:eastAsiaTheme="minorHAnsi" w:cs="Times New Roman"/>
          <w:sz w:val="16"/>
          <w:szCs w:val="16"/>
          <w:lang w:val="es-CR"/>
        </w:rPr>
        <w:t>Cevallos Moreno de 9 de febrero de 2021</w:t>
      </w:r>
      <w:r w:rsidRPr="00687A84">
        <w:rPr>
          <w:rFonts w:eastAsiaTheme="minorHAnsi" w:cs="Times New Roman"/>
          <w:sz w:val="16"/>
          <w:szCs w:val="16"/>
          <w:lang w:val="es-CR"/>
        </w:rPr>
        <w:t xml:space="preserve">, </w:t>
      </w:r>
      <w:r w:rsidRPr="00FA72AF">
        <w:rPr>
          <w:rFonts w:eastAsiaTheme="minorHAnsi" w:cs="Times New Roman"/>
          <w:i/>
          <w:sz w:val="16"/>
          <w:szCs w:val="16"/>
          <w:lang w:val="es-CR"/>
        </w:rPr>
        <w:t>supra</w:t>
      </w:r>
      <w:r w:rsidRPr="00CC05C5">
        <w:rPr>
          <w:rFonts w:eastAsiaTheme="minorHAnsi" w:cs="Times New Roman"/>
          <w:sz w:val="16"/>
          <w:szCs w:val="16"/>
          <w:lang w:val="es-CR"/>
        </w:rPr>
        <w:t>;</w:t>
      </w:r>
      <w:r w:rsidRPr="00687A84">
        <w:rPr>
          <w:rFonts w:eastAsiaTheme="minorHAnsi" w:cs="Times New Roman"/>
          <w:sz w:val="16"/>
          <w:szCs w:val="16"/>
          <w:lang w:val="es-CR"/>
        </w:rPr>
        <w:t xml:space="preserve"> c) el señor </w:t>
      </w:r>
      <w:r w:rsidRPr="00687A84">
        <w:rPr>
          <w:rFonts w:eastAsiaTheme="minorHAnsi" w:cs="Times New Roman"/>
          <w:i/>
          <w:sz w:val="16"/>
          <w:szCs w:val="16"/>
          <w:lang w:val="es-CR"/>
        </w:rPr>
        <w:t>López Ortiz</w:t>
      </w:r>
      <w:r w:rsidRPr="00687A84">
        <w:rPr>
          <w:rFonts w:eastAsiaTheme="minorHAnsi" w:cs="Times New Roman"/>
          <w:b/>
          <w:sz w:val="16"/>
          <w:szCs w:val="16"/>
          <w:lang w:val="es-CR"/>
        </w:rPr>
        <w:t xml:space="preserve"> </w:t>
      </w:r>
      <w:r w:rsidRPr="00687A84">
        <w:rPr>
          <w:rFonts w:eastAsiaTheme="minorHAnsi" w:cs="Times New Roman"/>
          <w:sz w:val="16"/>
          <w:szCs w:val="16"/>
          <w:lang w:val="es-CR"/>
        </w:rPr>
        <w:t>expresó que</w:t>
      </w:r>
      <w:r w:rsidRPr="00687A84">
        <w:rPr>
          <w:rFonts w:eastAsiaTheme="minorHAnsi" w:cs="Times New Roman"/>
          <w:b/>
          <w:sz w:val="16"/>
          <w:szCs w:val="16"/>
          <w:lang w:val="es-CR"/>
        </w:rPr>
        <w:t xml:space="preserve"> </w:t>
      </w:r>
      <w:r w:rsidRPr="00687A84">
        <w:rPr>
          <w:rFonts w:eastAsiaTheme="minorHAnsi" w:cs="Times New Roman"/>
          <w:sz w:val="16"/>
          <w:szCs w:val="16"/>
          <w:lang w:val="es-CR"/>
        </w:rPr>
        <w:t>“[se] enter[ó] del resultado del informe con indicios de responsabilidad penal, únicamente cuando fu[e] procesado penalmente, violando [su] derecho de defensa”</w:t>
      </w:r>
      <w:r w:rsidRPr="00687A84">
        <w:t xml:space="preserve"> </w:t>
      </w:r>
      <w:r w:rsidRPr="00FA72AF">
        <w:rPr>
          <w:rFonts w:eastAsiaTheme="minorHAnsi" w:cs="Times New Roman"/>
          <w:i/>
          <w:sz w:val="16"/>
          <w:szCs w:val="16"/>
          <w:lang w:val="es-CR"/>
        </w:rPr>
        <w:t>Cfr</w:t>
      </w:r>
      <w:r w:rsidRPr="00687A84">
        <w:rPr>
          <w:rFonts w:eastAsiaTheme="minorHAnsi" w:cs="Times New Roman"/>
          <w:sz w:val="16"/>
          <w:szCs w:val="16"/>
          <w:lang w:val="es-CR"/>
        </w:rPr>
        <w:t xml:space="preserve">. </w:t>
      </w:r>
      <w:r>
        <w:rPr>
          <w:rFonts w:eastAsiaTheme="minorHAnsi" w:cs="Times New Roman"/>
          <w:sz w:val="16"/>
          <w:szCs w:val="16"/>
          <w:lang w:val="es-CR"/>
        </w:rPr>
        <w:t>Declaración de Fernando Marcelo</w:t>
      </w:r>
      <w:r w:rsidRPr="00687A84">
        <w:rPr>
          <w:rFonts w:eastAsiaTheme="minorHAnsi" w:cs="Times New Roman"/>
          <w:sz w:val="16"/>
          <w:szCs w:val="16"/>
          <w:lang w:val="es-CR"/>
        </w:rPr>
        <w:t xml:space="preserve"> Lópe</w:t>
      </w:r>
      <w:r>
        <w:rPr>
          <w:rFonts w:eastAsiaTheme="minorHAnsi" w:cs="Times New Roman"/>
          <w:sz w:val="16"/>
          <w:szCs w:val="16"/>
          <w:lang w:val="es-CR"/>
        </w:rPr>
        <w:t xml:space="preserve">z Ortiz de 9 de febrero de 2021, </w:t>
      </w:r>
      <w:r w:rsidRPr="00FA72AF">
        <w:rPr>
          <w:rFonts w:eastAsiaTheme="minorHAnsi" w:cs="Times New Roman"/>
          <w:i/>
          <w:sz w:val="16"/>
          <w:szCs w:val="16"/>
          <w:lang w:val="es-CR"/>
        </w:rPr>
        <w:t>supra</w:t>
      </w:r>
      <w:r w:rsidRPr="00687A84">
        <w:rPr>
          <w:rFonts w:eastAsiaTheme="minorHAnsi" w:cs="Times New Roman"/>
          <w:sz w:val="16"/>
          <w:szCs w:val="16"/>
          <w:lang w:val="es-CR"/>
        </w:rPr>
        <w:t xml:space="preserve">; d) el señor </w:t>
      </w:r>
      <w:r w:rsidRPr="00687A84">
        <w:rPr>
          <w:rFonts w:eastAsiaTheme="minorHAnsi" w:cs="Times New Roman"/>
          <w:i/>
          <w:sz w:val="16"/>
          <w:szCs w:val="16"/>
          <w:lang w:val="es-CR"/>
        </w:rPr>
        <w:t>Vinueza Pánchez</w:t>
      </w:r>
      <w:r w:rsidRPr="00687A84">
        <w:rPr>
          <w:rFonts w:eastAsiaTheme="minorHAnsi" w:cs="Times New Roman"/>
          <w:b/>
          <w:sz w:val="16"/>
          <w:szCs w:val="16"/>
          <w:lang w:val="es-CR"/>
        </w:rPr>
        <w:t xml:space="preserve"> </w:t>
      </w:r>
      <w:r w:rsidRPr="00687A84">
        <w:rPr>
          <w:rFonts w:eastAsiaTheme="minorHAnsi" w:cs="Times New Roman"/>
          <w:sz w:val="16"/>
          <w:szCs w:val="16"/>
          <w:lang w:val="es-CR"/>
        </w:rPr>
        <w:t>señaló que el Informe No. 32-DA.1- 2001- 466 es el del juicio</w:t>
      </w:r>
      <w:r w:rsidRPr="00687A84">
        <w:t xml:space="preserve"> </w:t>
      </w:r>
      <w:r w:rsidRPr="00FA72AF">
        <w:rPr>
          <w:i/>
          <w:sz w:val="16"/>
        </w:rPr>
        <w:t>Cfr</w:t>
      </w:r>
      <w:r w:rsidRPr="00FA72AF">
        <w:rPr>
          <w:sz w:val="16"/>
        </w:rPr>
        <w:t xml:space="preserve">. </w:t>
      </w:r>
      <w:r>
        <w:rPr>
          <w:sz w:val="16"/>
        </w:rPr>
        <w:t xml:space="preserve">Declaración Alfonso Patricio </w:t>
      </w:r>
      <w:r w:rsidRPr="00FA72AF">
        <w:rPr>
          <w:sz w:val="16"/>
        </w:rPr>
        <w:t xml:space="preserve">Vinueza Pánchez </w:t>
      </w:r>
      <w:r w:rsidRPr="00687A84">
        <w:rPr>
          <w:sz w:val="16"/>
        </w:rPr>
        <w:t xml:space="preserve">de 9 de febrero de 2021, </w:t>
      </w:r>
      <w:r w:rsidRPr="00FA72AF">
        <w:rPr>
          <w:i/>
          <w:sz w:val="16"/>
        </w:rPr>
        <w:t>supra</w:t>
      </w:r>
      <w:r>
        <w:rPr>
          <w:i/>
          <w:sz w:val="16"/>
        </w:rPr>
        <w:t xml:space="preserve">, </w:t>
      </w:r>
      <w:r w:rsidRPr="00687A84">
        <w:rPr>
          <w:rFonts w:eastAsiaTheme="minorHAnsi" w:cs="Times New Roman"/>
          <w:sz w:val="16"/>
          <w:szCs w:val="16"/>
          <w:lang w:val="es-CR"/>
        </w:rPr>
        <w:t xml:space="preserve">y e) los señores </w:t>
      </w:r>
      <w:r w:rsidRPr="00687A84">
        <w:rPr>
          <w:rFonts w:eastAsiaTheme="minorHAnsi" w:cs="Times New Roman"/>
          <w:i/>
          <w:sz w:val="16"/>
          <w:szCs w:val="16"/>
          <w:lang w:val="es-CR"/>
        </w:rPr>
        <w:t>Ascázubi Albán</w:t>
      </w:r>
      <w:r w:rsidRPr="00687A84">
        <w:rPr>
          <w:rFonts w:eastAsiaTheme="minorHAnsi" w:cs="Times New Roman"/>
          <w:sz w:val="16"/>
          <w:szCs w:val="16"/>
          <w:lang w:val="es-CR"/>
        </w:rPr>
        <w:t xml:space="preserve"> y </w:t>
      </w:r>
      <w:r w:rsidRPr="00687A84">
        <w:rPr>
          <w:rFonts w:eastAsiaTheme="minorHAnsi" w:cs="Times New Roman"/>
          <w:i/>
          <w:sz w:val="16"/>
          <w:szCs w:val="16"/>
          <w:lang w:val="es-CR"/>
        </w:rPr>
        <w:t>Coloma Gaibor</w:t>
      </w:r>
      <w:r>
        <w:rPr>
          <w:rFonts w:eastAsiaTheme="minorHAnsi"/>
          <w:sz w:val="16"/>
          <w:szCs w:val="16"/>
          <w:lang w:val="es-CR"/>
        </w:rPr>
        <w:t xml:space="preserve"> </w:t>
      </w:r>
      <w:r w:rsidRPr="00687A84">
        <w:rPr>
          <w:rFonts w:eastAsiaTheme="minorHAnsi" w:cs="Times New Roman"/>
          <w:sz w:val="16"/>
          <w:szCs w:val="16"/>
          <w:lang w:val="es-CR"/>
        </w:rPr>
        <w:t>no se refirieron al Informe de la Contraloría No. 32-DA.1- 2001- 466</w:t>
      </w:r>
      <w:r>
        <w:rPr>
          <w:rFonts w:eastAsiaTheme="minorHAnsi" w:cs="Times New Roman"/>
          <w:sz w:val="16"/>
          <w:szCs w:val="16"/>
          <w:lang w:val="es-CR"/>
        </w:rPr>
        <w:t>.</w:t>
      </w:r>
      <w:r w:rsidRPr="00687A84">
        <w:rPr>
          <w:rFonts w:eastAsiaTheme="minorHAnsi" w:cs="Times New Roman"/>
          <w:sz w:val="16"/>
          <w:szCs w:val="16"/>
          <w:lang w:val="es-CR"/>
        </w:rPr>
        <w:t xml:space="preserve"> </w:t>
      </w:r>
      <w:r w:rsidRPr="00FA72AF">
        <w:rPr>
          <w:i/>
          <w:sz w:val="16"/>
          <w:szCs w:val="16"/>
          <w:lang w:val="es-ES"/>
        </w:rPr>
        <w:t>Cfr</w:t>
      </w:r>
      <w:r w:rsidRPr="00FA72AF">
        <w:rPr>
          <w:sz w:val="16"/>
          <w:szCs w:val="16"/>
          <w:lang w:val="es-ES"/>
        </w:rPr>
        <w:t xml:space="preserve">. </w:t>
      </w:r>
      <w:r>
        <w:rPr>
          <w:sz w:val="16"/>
          <w:szCs w:val="16"/>
          <w:lang w:val="es-ES"/>
        </w:rPr>
        <w:t xml:space="preserve">Declaraciones de Leoncio Amílcar </w:t>
      </w:r>
      <w:r w:rsidRPr="00FA72AF">
        <w:rPr>
          <w:sz w:val="16"/>
          <w:szCs w:val="16"/>
          <w:lang w:val="es-ES"/>
        </w:rPr>
        <w:t xml:space="preserve">Ascázubi Albán </w:t>
      </w:r>
      <w:r>
        <w:rPr>
          <w:sz w:val="16"/>
          <w:szCs w:val="16"/>
          <w:lang w:val="es-ES"/>
        </w:rPr>
        <w:t xml:space="preserve">y Jorge Enrique Coloma Gaibor </w:t>
      </w:r>
      <w:r w:rsidRPr="00FA72AF">
        <w:rPr>
          <w:sz w:val="16"/>
          <w:szCs w:val="16"/>
          <w:lang w:val="es-ES"/>
        </w:rPr>
        <w:t xml:space="preserve">de 9 de febrero de 2021, </w:t>
      </w:r>
      <w:r w:rsidRPr="00FA72AF">
        <w:rPr>
          <w:i/>
          <w:sz w:val="16"/>
          <w:szCs w:val="16"/>
          <w:lang w:val="es-ES"/>
        </w:rPr>
        <w:t>supra</w:t>
      </w:r>
      <w:r>
        <w:rPr>
          <w:sz w:val="16"/>
          <w:szCs w:val="16"/>
          <w:lang w:val="es-ES"/>
        </w:rPr>
        <w:t>.</w:t>
      </w:r>
    </w:p>
  </w:footnote>
  <w:footnote w:id="137">
    <w:p w14:paraId="0C037788" w14:textId="4174ECDD" w:rsidR="00795660" w:rsidRPr="00F847DA" w:rsidRDefault="00795660" w:rsidP="00B46946">
      <w:pPr>
        <w:pStyle w:val="Prrafodelista"/>
        <w:spacing w:before="0" w:after="0"/>
        <w:ind w:left="0"/>
        <w:rPr>
          <w:rFonts w:ascii="Times New Roman" w:eastAsiaTheme="minorHAnsi" w:hAnsi="Times New Roman" w:cs="Times New Roman"/>
          <w:sz w:val="16"/>
          <w:szCs w:val="16"/>
          <w:highlight w:val="lightGray"/>
          <w:lang w:val="es-CR"/>
        </w:rPr>
      </w:pPr>
      <w:r w:rsidRPr="00394CA7">
        <w:rPr>
          <w:rStyle w:val="Refdenotaalpie"/>
          <w:sz w:val="16"/>
          <w:szCs w:val="16"/>
        </w:rPr>
        <w:footnoteRef/>
      </w:r>
      <w:r w:rsidRPr="00394CA7">
        <w:rPr>
          <w:sz w:val="16"/>
          <w:szCs w:val="16"/>
        </w:rPr>
        <w:t xml:space="preserve"> </w:t>
      </w:r>
      <w:r w:rsidRPr="00394CA7">
        <w:rPr>
          <w:sz w:val="16"/>
          <w:szCs w:val="16"/>
        </w:rPr>
        <w:tab/>
        <w:t xml:space="preserve">Cabe mencionar </w:t>
      </w:r>
      <w:r>
        <w:rPr>
          <w:sz w:val="16"/>
          <w:szCs w:val="16"/>
        </w:rPr>
        <w:t xml:space="preserve">en </w:t>
      </w:r>
      <w:r w:rsidRPr="00394CA7">
        <w:rPr>
          <w:sz w:val="16"/>
          <w:szCs w:val="16"/>
        </w:rPr>
        <w:t xml:space="preserve">la </w:t>
      </w:r>
      <w:r w:rsidRPr="00394CA7">
        <w:rPr>
          <w:rFonts w:eastAsiaTheme="minorHAnsi" w:cs="Times New Roman"/>
          <w:sz w:val="16"/>
          <w:szCs w:val="16"/>
          <w:lang w:val="es-CR"/>
        </w:rPr>
        <w:t>declaración rendida mediante affid</w:t>
      </w:r>
      <w:r>
        <w:rPr>
          <w:rFonts w:eastAsiaTheme="minorHAnsi" w:cs="Times New Roman"/>
          <w:sz w:val="16"/>
          <w:szCs w:val="16"/>
          <w:lang w:val="es-CR"/>
        </w:rPr>
        <w:t>á</w:t>
      </w:r>
      <w:r w:rsidRPr="00394CA7">
        <w:rPr>
          <w:rFonts w:eastAsiaTheme="minorHAnsi" w:cs="Times New Roman"/>
          <w:sz w:val="16"/>
          <w:szCs w:val="16"/>
          <w:lang w:val="es-CR"/>
        </w:rPr>
        <w:t>vit ante la Corte, por el señor Vinueza Pánchez adujo que no conoció de la ejecución del examen especial de la Contraloría, a pesar de que el artículo 296 de la Ley Orgánica de Administración Financiera y Control, vigente en esa época, según indica la presunta víctima, establecía que “[e]n el transcurso de una auditoría o examen especial, los auditores gubernamentales mantendrán constante comunicación con los servidores de la entidad u organismo de que se trate, dándoles la oportunidad para presentar pruebas documenta</w:t>
      </w:r>
      <w:r w:rsidRPr="00FA72AF">
        <w:rPr>
          <w:rFonts w:eastAsiaTheme="minorHAnsi" w:cs="Times New Roman"/>
          <w:sz w:val="16"/>
          <w:szCs w:val="16"/>
          <w:lang w:val="es-CR"/>
        </w:rPr>
        <w:t>das</w:t>
      </w:r>
      <w:r w:rsidRPr="00394CA7">
        <w:rPr>
          <w:rFonts w:eastAsiaTheme="minorHAnsi" w:cs="Times New Roman"/>
          <w:sz w:val="16"/>
          <w:szCs w:val="16"/>
          <w:lang w:val="es-CR"/>
        </w:rPr>
        <w:t xml:space="preserve">, así como información verbal pertinente </w:t>
      </w:r>
      <w:r w:rsidRPr="00A7329F">
        <w:rPr>
          <w:rFonts w:eastAsiaTheme="minorHAnsi" w:cs="Times New Roman"/>
          <w:sz w:val="16"/>
          <w:szCs w:val="16"/>
          <w:lang w:val="es-CR"/>
        </w:rPr>
        <w:t>a</w:t>
      </w:r>
      <w:r w:rsidRPr="00394CA7">
        <w:rPr>
          <w:rFonts w:eastAsiaTheme="minorHAnsi" w:cs="Times New Roman"/>
          <w:sz w:val="16"/>
          <w:szCs w:val="16"/>
          <w:lang w:val="es-CR"/>
        </w:rPr>
        <w:t xml:space="preserve"> los asuntos sometidos a examen. Sin perjuicio de cumplir lo que ordenan los artículos 278, 286 y 342 de esta </w:t>
      </w:r>
      <w:r w:rsidRPr="00A7329F">
        <w:rPr>
          <w:rFonts w:eastAsiaTheme="minorHAnsi" w:cs="Times New Roman"/>
          <w:sz w:val="16"/>
          <w:szCs w:val="16"/>
          <w:lang w:val="es-CR"/>
        </w:rPr>
        <w:t>l</w:t>
      </w:r>
      <w:r w:rsidRPr="00394CA7">
        <w:rPr>
          <w:rFonts w:eastAsiaTheme="minorHAnsi" w:cs="Times New Roman"/>
          <w:sz w:val="16"/>
          <w:szCs w:val="16"/>
          <w:lang w:val="es-CR"/>
        </w:rPr>
        <w:t>ey, darán a conocer los resultados provisionales de cada parte del examen, tan pronto se los concrete, a los funcionarios que corresponda</w:t>
      </w:r>
      <w:r w:rsidRPr="00A7329F">
        <w:rPr>
          <w:rFonts w:eastAsiaTheme="minorHAnsi" w:cs="Times New Roman"/>
          <w:sz w:val="16"/>
          <w:szCs w:val="16"/>
          <w:lang w:val="es-CR"/>
        </w:rPr>
        <w:t>,</w:t>
      </w:r>
      <w:r w:rsidRPr="00394CA7">
        <w:rPr>
          <w:rFonts w:eastAsiaTheme="minorHAnsi" w:cs="Times New Roman"/>
          <w:sz w:val="16"/>
          <w:szCs w:val="16"/>
          <w:lang w:val="es-CR"/>
        </w:rPr>
        <w:t xml:space="preserve"> con las finalidades siguientes: 1. Ofrecerles la oportunidad para que presenten sus opiniones; 2. Hacer posible que los auditores gubernamentales dispongan de toda la información y de las evidencias que haya, durante sus labores; 3. Evitar que se presente información o evidencia adicional, después de la conclusión de</w:t>
      </w:r>
      <w:r w:rsidRPr="00A7329F">
        <w:rPr>
          <w:rFonts w:eastAsiaTheme="minorHAnsi" w:cs="Times New Roman"/>
          <w:sz w:val="16"/>
          <w:szCs w:val="16"/>
          <w:lang w:val="es-CR"/>
        </w:rPr>
        <w:t xml:space="preserve"> las</w:t>
      </w:r>
      <w:r w:rsidRPr="00394CA7">
        <w:rPr>
          <w:rFonts w:eastAsiaTheme="minorHAnsi" w:cs="Times New Roman"/>
          <w:sz w:val="16"/>
          <w:szCs w:val="16"/>
          <w:lang w:val="es-CR"/>
        </w:rPr>
        <w:t xml:space="preserve"> labores de auditoría; 4. Facilitar el inicio inmediato de las acciones correctivas necesarias por parte del titular y funcionarios responsables, incluyendo la implantación de mejoras a base de recomendaciones, sin esperar la emisión del informe […]”.</w:t>
      </w:r>
      <w:r w:rsidRPr="00394CA7">
        <w:rPr>
          <w:rFonts w:eastAsiaTheme="minorHAnsi" w:cs="Times New Roman"/>
          <w:b/>
          <w:sz w:val="16"/>
          <w:szCs w:val="16"/>
          <w:lang w:val="es-CR"/>
        </w:rPr>
        <w:t xml:space="preserve"> </w:t>
      </w:r>
      <w:r w:rsidRPr="00FA72AF">
        <w:rPr>
          <w:i/>
          <w:sz w:val="16"/>
        </w:rPr>
        <w:t>Cfr</w:t>
      </w:r>
      <w:r w:rsidRPr="00E34C2F">
        <w:rPr>
          <w:sz w:val="16"/>
        </w:rPr>
        <w:t xml:space="preserve">. </w:t>
      </w:r>
      <w:r>
        <w:rPr>
          <w:sz w:val="16"/>
        </w:rPr>
        <w:t xml:space="preserve">Declaración de </w:t>
      </w:r>
      <w:r w:rsidRPr="008E02AE">
        <w:rPr>
          <w:sz w:val="16"/>
          <w:szCs w:val="16"/>
          <w:lang w:val="es-CR"/>
        </w:rPr>
        <w:t>Alfonso Patricio</w:t>
      </w:r>
      <w:r w:rsidRPr="00E34C2F" w:rsidDel="00DA5A00">
        <w:rPr>
          <w:sz w:val="16"/>
        </w:rPr>
        <w:t xml:space="preserve"> </w:t>
      </w:r>
      <w:r w:rsidRPr="00E34C2F">
        <w:rPr>
          <w:sz w:val="16"/>
        </w:rPr>
        <w:t xml:space="preserve">Vinueza Pánchez </w:t>
      </w:r>
      <w:r w:rsidRPr="00687A84">
        <w:rPr>
          <w:sz w:val="16"/>
        </w:rPr>
        <w:t xml:space="preserve">de 9 de febrero de 2021, </w:t>
      </w:r>
      <w:r w:rsidRPr="00E34C2F">
        <w:rPr>
          <w:i/>
          <w:sz w:val="16"/>
        </w:rPr>
        <w:t>supra</w:t>
      </w:r>
      <w:r w:rsidRPr="008E02AE">
        <w:rPr>
          <w:rFonts w:eastAsiaTheme="minorHAnsi" w:cs="Times New Roman"/>
          <w:sz w:val="16"/>
          <w:szCs w:val="16"/>
          <w:lang w:val="es-CR"/>
        </w:rPr>
        <w:t>.</w:t>
      </w:r>
      <w:r>
        <w:rPr>
          <w:rFonts w:eastAsiaTheme="minorHAnsi" w:cs="Times New Roman"/>
          <w:b/>
          <w:sz w:val="16"/>
          <w:szCs w:val="16"/>
          <w:lang w:val="es-CR"/>
        </w:rPr>
        <w:t xml:space="preserve"> </w:t>
      </w:r>
    </w:p>
  </w:footnote>
  <w:footnote w:id="138">
    <w:p w14:paraId="042FE05A" w14:textId="74365482" w:rsidR="00795660" w:rsidRPr="00F45EB0" w:rsidRDefault="00795660" w:rsidP="00FA72AF">
      <w:pPr>
        <w:pStyle w:val="Textonotapie"/>
        <w:spacing w:before="0" w:after="0"/>
      </w:pPr>
      <w:r>
        <w:rPr>
          <w:rStyle w:val="Refdenotaalpie"/>
        </w:rPr>
        <w:footnoteRef/>
      </w:r>
      <w:r>
        <w:t xml:space="preserve"> </w:t>
      </w:r>
      <w:r>
        <w:tab/>
      </w:r>
      <w:r w:rsidRPr="00303E56">
        <w:rPr>
          <w:i/>
        </w:rPr>
        <w:t>Cfr</w:t>
      </w:r>
      <w:r>
        <w:t xml:space="preserve">. </w:t>
      </w:r>
      <w:r w:rsidRPr="008506C2">
        <w:rPr>
          <w:i/>
        </w:rPr>
        <w:t xml:space="preserve">Caso Reverón </w:t>
      </w:r>
      <w:r w:rsidRPr="00E16D7C">
        <w:rPr>
          <w:i/>
        </w:rPr>
        <w:t>Trujillo</w:t>
      </w:r>
      <w:r w:rsidRPr="00E16D7C">
        <w:t xml:space="preserve"> </w:t>
      </w:r>
      <w:r w:rsidRPr="00D43695">
        <w:rPr>
          <w:rFonts w:cs="Arial"/>
          <w:i/>
          <w:shd w:val="clear" w:color="auto" w:fill="FFFFFF"/>
        </w:rPr>
        <w:t>Vs. Venezuela. Excepción Preliminar, Fondo, Reparaciones y Costas</w:t>
      </w:r>
      <w:r w:rsidRPr="00D43695">
        <w:rPr>
          <w:rFonts w:cs="Arial"/>
          <w:shd w:val="clear" w:color="auto" w:fill="FFFFFF"/>
        </w:rPr>
        <w:t xml:space="preserve">. Sentencia de 30 de junio de 2009. Serie C No. 197, párrs. 70 y 72, y </w:t>
      </w:r>
      <w:r w:rsidRPr="00D43695">
        <w:rPr>
          <w:rFonts w:cs="Arial"/>
          <w:i/>
          <w:shd w:val="clear" w:color="auto" w:fill="FFFFFF"/>
        </w:rPr>
        <w:t>Caso Martínez Esquivia Vs. Colombia. Excepciones preliminares, Fondo y Reparaciones.</w:t>
      </w:r>
      <w:r w:rsidRPr="00D43695">
        <w:rPr>
          <w:rFonts w:cs="Arial"/>
          <w:shd w:val="clear" w:color="auto" w:fill="FFFFFF"/>
        </w:rPr>
        <w:t xml:space="preserve"> Sentencia de 6 de octubre de 2020. Serie C No. 412, párr. 85.</w:t>
      </w:r>
    </w:p>
  </w:footnote>
  <w:footnote w:id="139">
    <w:p w14:paraId="604D5094" w14:textId="5B77BB8F" w:rsidR="00795660" w:rsidRPr="00FA72AF" w:rsidRDefault="00795660" w:rsidP="00FE72C2">
      <w:pPr>
        <w:pStyle w:val="Textonotapie"/>
        <w:spacing w:before="0" w:after="0"/>
        <w:rPr>
          <w:highlight w:val="cyan"/>
          <w:lang w:val="nl-BE"/>
        </w:rPr>
      </w:pPr>
      <w:r w:rsidRPr="00A77381">
        <w:rPr>
          <w:rStyle w:val="Refdenotaalpie"/>
          <w:szCs w:val="16"/>
        </w:rPr>
        <w:footnoteRef/>
      </w:r>
      <w:r w:rsidRPr="00A77381">
        <w:rPr>
          <w:szCs w:val="16"/>
        </w:rPr>
        <w:t xml:space="preserve"> </w:t>
      </w:r>
      <w:r>
        <w:rPr>
          <w:szCs w:val="16"/>
        </w:rPr>
        <w:tab/>
      </w:r>
      <w:r w:rsidRPr="00DE5D27">
        <w:rPr>
          <w:i/>
          <w:szCs w:val="16"/>
        </w:rPr>
        <w:t xml:space="preserve">Cfr. </w:t>
      </w:r>
      <w:r w:rsidRPr="00DE5D27">
        <w:rPr>
          <w:rFonts w:eastAsia="Times New Roman"/>
          <w:i/>
          <w:szCs w:val="16"/>
        </w:rPr>
        <w:t xml:space="preserve">Caso </w:t>
      </w:r>
      <w:r w:rsidRPr="00DE5D27">
        <w:rPr>
          <w:i/>
          <w:color w:val="000000" w:themeColor="text1"/>
          <w:szCs w:val="16"/>
        </w:rPr>
        <w:t xml:space="preserve">Palamara Iribarne Vs. Chile. </w:t>
      </w:r>
      <w:r w:rsidRPr="00DE5D27">
        <w:rPr>
          <w:rFonts w:eastAsia="Times New Roman"/>
          <w:i/>
          <w:szCs w:val="16"/>
        </w:rPr>
        <w:t xml:space="preserve">Fondo, </w:t>
      </w:r>
      <w:r>
        <w:rPr>
          <w:rFonts w:eastAsia="Times New Roman"/>
          <w:i/>
          <w:szCs w:val="16"/>
        </w:rPr>
        <w:t xml:space="preserve">supra, </w:t>
      </w:r>
      <w:r w:rsidRPr="00DE5D27">
        <w:rPr>
          <w:rFonts w:eastAsia="Times New Roman"/>
          <w:szCs w:val="16"/>
        </w:rPr>
        <w:t>párr. 155</w:t>
      </w:r>
      <w:r>
        <w:rPr>
          <w:rFonts w:eastAsia="Times New Roman"/>
          <w:szCs w:val="16"/>
        </w:rPr>
        <w:t>,</w:t>
      </w:r>
      <w:r w:rsidRPr="00DE5D27">
        <w:rPr>
          <w:rFonts w:eastAsia="Times New Roman"/>
          <w:szCs w:val="16"/>
        </w:rPr>
        <w:t xml:space="preserve"> </w:t>
      </w:r>
      <w:r w:rsidRPr="00F45EB0">
        <w:rPr>
          <w:rFonts w:eastAsia="Times New Roman"/>
          <w:szCs w:val="16"/>
        </w:rPr>
        <w:t xml:space="preserve">y </w:t>
      </w:r>
      <w:r w:rsidRPr="00F45EB0">
        <w:rPr>
          <w:rFonts w:eastAsia="Times New Roman"/>
          <w:i/>
          <w:szCs w:val="16"/>
        </w:rPr>
        <w:t>C</w:t>
      </w:r>
      <w:r w:rsidRPr="00F45EB0">
        <w:rPr>
          <w:i/>
          <w:lang w:val="es-CR"/>
        </w:rPr>
        <w:t xml:space="preserve">aso Valencia Hinojosa Vs. Ecuador. </w:t>
      </w:r>
      <w:r w:rsidRPr="00F45EB0">
        <w:rPr>
          <w:i/>
          <w:spacing w:val="-4"/>
        </w:rPr>
        <w:t xml:space="preserve">Excepciones Preliminares, Fondo, Reparaciones y Costas. </w:t>
      </w:r>
      <w:r w:rsidRPr="00F45EB0">
        <w:rPr>
          <w:spacing w:val="-4"/>
        </w:rPr>
        <w:t>Sentencia de 29 de noviembre de 2016. Serie No. 327</w:t>
      </w:r>
      <w:r w:rsidRPr="00F45EB0">
        <w:rPr>
          <w:i/>
          <w:lang w:val="es-CR"/>
        </w:rPr>
        <w:t xml:space="preserve">, </w:t>
      </w:r>
      <w:r w:rsidRPr="00F45EB0">
        <w:rPr>
          <w:lang w:val="es-CR"/>
        </w:rPr>
        <w:t>párr.</w:t>
      </w:r>
      <w:r w:rsidRPr="00FA72AF">
        <w:rPr>
          <w:lang w:val="es-CR"/>
        </w:rPr>
        <w:t xml:space="preserve"> 97.</w:t>
      </w:r>
      <w:r>
        <w:rPr>
          <w:lang w:val="es-CR"/>
        </w:rPr>
        <w:t xml:space="preserve"> </w:t>
      </w:r>
    </w:p>
  </w:footnote>
  <w:footnote w:id="140">
    <w:p w14:paraId="18C6E007" w14:textId="3A39E7FB" w:rsidR="00795660" w:rsidRPr="00CF1787" w:rsidRDefault="00795660" w:rsidP="00B46946">
      <w:pPr>
        <w:pStyle w:val="Textonotapie"/>
        <w:tabs>
          <w:tab w:val="left" w:pos="426"/>
        </w:tabs>
        <w:spacing w:before="0" w:after="0"/>
        <w:rPr>
          <w:spacing w:val="-4"/>
        </w:rPr>
      </w:pPr>
      <w:r w:rsidRPr="00DE5D27">
        <w:rPr>
          <w:rStyle w:val="Refdenotaalpie"/>
          <w:spacing w:val="-4"/>
        </w:rPr>
        <w:footnoteRef/>
      </w:r>
      <w:r w:rsidRPr="00DE5D27">
        <w:rPr>
          <w:spacing w:val="-4"/>
        </w:rPr>
        <w:t xml:space="preserve"> </w:t>
      </w:r>
      <w:r w:rsidRPr="00DE5D27">
        <w:rPr>
          <w:spacing w:val="-4"/>
        </w:rPr>
        <w:tab/>
      </w:r>
      <w:r w:rsidRPr="00DE5D27">
        <w:rPr>
          <w:i/>
          <w:spacing w:val="-4"/>
        </w:rPr>
        <w:t>Cfr. Caso Apitz Barbera y otros (“Corte Primera de lo Contencioso Administrativo”) Vs. Venezuela. Excepción Preliminar, Fondo, Reparaciones y Costas.</w:t>
      </w:r>
      <w:r w:rsidRPr="00DE5D27">
        <w:rPr>
          <w:spacing w:val="-4"/>
        </w:rPr>
        <w:t xml:space="preserve"> Sentencia de 5 de agosto de 2008. Serie C</w:t>
      </w:r>
      <w:r w:rsidRPr="00DE5D27">
        <w:rPr>
          <w:b/>
          <w:spacing w:val="-4"/>
        </w:rPr>
        <w:t xml:space="preserve"> </w:t>
      </w:r>
      <w:r w:rsidRPr="00DE5D27">
        <w:rPr>
          <w:rStyle w:val="Textoennegrita"/>
          <w:b w:val="0"/>
          <w:color w:val="000000"/>
          <w:shd w:val="clear" w:color="auto" w:fill="FFFFFF"/>
        </w:rPr>
        <w:t>No. 182</w:t>
      </w:r>
      <w:r w:rsidRPr="008E02AE">
        <w:rPr>
          <w:spacing w:val="-4"/>
        </w:rPr>
        <w:t>,</w:t>
      </w:r>
      <w:r w:rsidRPr="00DE5D27">
        <w:rPr>
          <w:spacing w:val="-4"/>
        </w:rPr>
        <w:t xml:space="preserve"> párr. 56, </w:t>
      </w:r>
      <w:r w:rsidRPr="00151E0B">
        <w:rPr>
          <w:spacing w:val="-4"/>
          <w:lang w:val="es-CO"/>
        </w:rPr>
        <w:t>y</w:t>
      </w:r>
      <w:r w:rsidRPr="00151E0B">
        <w:rPr>
          <w:spacing w:val="-4"/>
        </w:rPr>
        <w:t xml:space="preserve"> </w:t>
      </w:r>
      <w:r w:rsidRPr="00151E0B">
        <w:rPr>
          <w:i/>
          <w:lang w:val="es-CR"/>
        </w:rPr>
        <w:t>Caso Valencia Hinojosa Vs. Ecuador</w:t>
      </w:r>
      <w:r>
        <w:rPr>
          <w:i/>
          <w:lang w:val="es-CR"/>
        </w:rPr>
        <w:t>, supra</w:t>
      </w:r>
      <w:r w:rsidRPr="00151E0B">
        <w:rPr>
          <w:spacing w:val="-4"/>
        </w:rPr>
        <w:t>,</w:t>
      </w:r>
      <w:r w:rsidRPr="00151E0B">
        <w:rPr>
          <w:i/>
          <w:lang w:val="es-CR"/>
        </w:rPr>
        <w:t xml:space="preserve"> </w:t>
      </w:r>
      <w:r w:rsidRPr="00151E0B">
        <w:rPr>
          <w:lang w:val="es-CR"/>
        </w:rPr>
        <w:t>párr. 93.</w:t>
      </w:r>
    </w:p>
  </w:footnote>
  <w:footnote w:id="141">
    <w:p w14:paraId="4DA59D30" w14:textId="0D710F91" w:rsidR="00795660" w:rsidRPr="00230FC2" w:rsidRDefault="00795660" w:rsidP="007A36AD">
      <w:pPr>
        <w:spacing w:before="0" w:after="0"/>
        <w:rPr>
          <w:sz w:val="16"/>
          <w:szCs w:val="16"/>
          <w:lang w:val="es-CR"/>
        </w:rPr>
      </w:pPr>
      <w:r w:rsidRPr="006642EF">
        <w:rPr>
          <w:rStyle w:val="Refdenotaalpie"/>
          <w:sz w:val="16"/>
          <w:szCs w:val="16"/>
        </w:rPr>
        <w:footnoteRef/>
      </w:r>
      <w:r w:rsidRPr="006642EF">
        <w:rPr>
          <w:sz w:val="16"/>
          <w:szCs w:val="16"/>
        </w:rPr>
        <w:t xml:space="preserve"> </w:t>
      </w:r>
      <w:r w:rsidRPr="006642EF">
        <w:rPr>
          <w:sz w:val="16"/>
          <w:szCs w:val="16"/>
        </w:rPr>
        <w:tab/>
      </w:r>
      <w:r w:rsidRPr="00230FC2">
        <w:rPr>
          <w:sz w:val="16"/>
          <w:szCs w:val="16"/>
          <w:lang w:val="es-CR"/>
        </w:rPr>
        <w:t xml:space="preserve">El artículo 68 establecía que </w:t>
      </w:r>
      <w:r w:rsidRPr="00FA72AF">
        <w:rPr>
          <w:sz w:val="16"/>
          <w:szCs w:val="16"/>
          <w:lang w:val="es-CR"/>
        </w:rPr>
        <w:t>“</w:t>
      </w:r>
      <w:r w:rsidRPr="00230FC2">
        <w:rPr>
          <w:sz w:val="16"/>
          <w:szCs w:val="16"/>
          <w:lang w:val="es-CR"/>
        </w:rPr>
        <w:t xml:space="preserve">la Corte Nacional de Justicia Policial </w:t>
      </w:r>
      <w:r w:rsidRPr="00FA72AF">
        <w:rPr>
          <w:sz w:val="16"/>
          <w:szCs w:val="16"/>
          <w:lang w:val="es-CR"/>
        </w:rPr>
        <w:t>[…] [</w:t>
      </w:r>
      <w:r w:rsidRPr="00230FC2">
        <w:rPr>
          <w:sz w:val="16"/>
          <w:szCs w:val="16"/>
          <w:lang w:val="es-CR"/>
        </w:rPr>
        <w:t>d</w:t>
      </w:r>
      <w:r w:rsidRPr="00FA72AF">
        <w:rPr>
          <w:sz w:val="16"/>
          <w:szCs w:val="16"/>
          <w:lang w:val="es-CR"/>
        </w:rPr>
        <w:t>]</w:t>
      </w:r>
      <w:r w:rsidRPr="00230FC2">
        <w:rPr>
          <w:sz w:val="16"/>
          <w:szCs w:val="16"/>
          <w:lang w:val="es-CR"/>
        </w:rPr>
        <w:t>epende administrativamente del Ministerio de Gobierno</w:t>
      </w:r>
      <w:r w:rsidRPr="00FA72AF">
        <w:rPr>
          <w:sz w:val="16"/>
          <w:szCs w:val="16"/>
          <w:lang w:val="es-CR"/>
        </w:rPr>
        <w:t>,</w:t>
      </w:r>
      <w:r>
        <w:rPr>
          <w:sz w:val="16"/>
          <w:szCs w:val="16"/>
          <w:lang w:val="es-CR"/>
        </w:rPr>
        <w:t xml:space="preserve"> </w:t>
      </w:r>
      <w:r w:rsidRPr="00230FC2">
        <w:rPr>
          <w:sz w:val="16"/>
          <w:szCs w:val="16"/>
          <w:lang w:val="es-CR"/>
        </w:rPr>
        <w:t>sus funciones est</w:t>
      </w:r>
      <w:r w:rsidRPr="00FA72AF">
        <w:rPr>
          <w:sz w:val="16"/>
          <w:szCs w:val="16"/>
          <w:lang w:val="es-CR"/>
        </w:rPr>
        <w:t>ará</w:t>
      </w:r>
      <w:r w:rsidRPr="00230FC2">
        <w:rPr>
          <w:sz w:val="16"/>
          <w:szCs w:val="16"/>
          <w:lang w:val="es-CR"/>
        </w:rPr>
        <w:t>n determinadas en la Ley Orgánica de la Función Jud</w:t>
      </w:r>
      <w:r>
        <w:rPr>
          <w:sz w:val="16"/>
          <w:szCs w:val="16"/>
          <w:lang w:val="es-CR"/>
        </w:rPr>
        <w:t xml:space="preserve">icial de la Policía Judicial”. </w:t>
      </w:r>
      <w:r w:rsidRPr="00230FC2">
        <w:rPr>
          <w:sz w:val="16"/>
          <w:szCs w:val="16"/>
          <w:lang w:val="es-CR"/>
        </w:rPr>
        <w:t xml:space="preserve">Ley Orgánica de la Policía Nacional. Registro Oficial No. 368 de 24 de julio de 1998 (expediente de prueba, fs. </w:t>
      </w:r>
      <w:r w:rsidRPr="00FA72AF">
        <w:rPr>
          <w:sz w:val="16"/>
          <w:szCs w:val="16"/>
          <w:lang w:val="es-CR"/>
        </w:rPr>
        <w:t xml:space="preserve">4309 a </w:t>
      </w:r>
      <w:r>
        <w:rPr>
          <w:sz w:val="16"/>
          <w:szCs w:val="16"/>
          <w:lang w:val="es-CR"/>
        </w:rPr>
        <w:t>4330</w:t>
      </w:r>
      <w:r w:rsidRPr="00230FC2">
        <w:rPr>
          <w:sz w:val="16"/>
          <w:szCs w:val="16"/>
          <w:lang w:val="es-CR"/>
        </w:rPr>
        <w:t xml:space="preserve">). </w:t>
      </w:r>
    </w:p>
  </w:footnote>
  <w:footnote w:id="142">
    <w:p w14:paraId="3E17D303" w14:textId="5661B1A8" w:rsidR="00795660" w:rsidRPr="0039391E" w:rsidRDefault="00795660" w:rsidP="008E6AFD">
      <w:pPr>
        <w:spacing w:before="0" w:after="0"/>
        <w:rPr>
          <w:lang w:val="es-CR"/>
        </w:rPr>
      </w:pPr>
      <w:r w:rsidRPr="00230FC2">
        <w:rPr>
          <w:rStyle w:val="Refdenotaalpie"/>
          <w:sz w:val="16"/>
          <w:szCs w:val="16"/>
        </w:rPr>
        <w:footnoteRef/>
      </w:r>
      <w:r w:rsidRPr="00230FC2">
        <w:rPr>
          <w:sz w:val="16"/>
          <w:szCs w:val="16"/>
        </w:rPr>
        <w:t xml:space="preserve"> </w:t>
      </w:r>
      <w:r w:rsidRPr="00230FC2">
        <w:rPr>
          <w:sz w:val="16"/>
          <w:szCs w:val="16"/>
        </w:rPr>
        <w:tab/>
      </w:r>
      <w:r w:rsidRPr="00230FC2">
        <w:rPr>
          <w:sz w:val="16"/>
          <w:szCs w:val="16"/>
          <w:lang w:val="es-CR"/>
        </w:rPr>
        <w:t xml:space="preserve">El artículo 69 señalaba que “la </w:t>
      </w:r>
      <w:r w:rsidRPr="00A7329F">
        <w:rPr>
          <w:sz w:val="16"/>
          <w:szCs w:val="16"/>
          <w:lang w:val="es-CR"/>
        </w:rPr>
        <w:t>[</w:t>
      </w:r>
      <w:r w:rsidRPr="00230FC2">
        <w:rPr>
          <w:sz w:val="16"/>
          <w:szCs w:val="16"/>
          <w:lang w:val="es-CR"/>
        </w:rPr>
        <w:t>CNJP</w:t>
      </w:r>
      <w:r w:rsidRPr="00A7329F">
        <w:rPr>
          <w:sz w:val="16"/>
          <w:szCs w:val="16"/>
          <w:lang w:val="es-CR"/>
        </w:rPr>
        <w:t>]</w:t>
      </w:r>
      <w:r w:rsidRPr="00230FC2">
        <w:rPr>
          <w:sz w:val="16"/>
          <w:szCs w:val="16"/>
          <w:lang w:val="es-CR"/>
        </w:rPr>
        <w:t xml:space="preserve"> estará integrada por cinco ministros jueces, tres serán oficiales generales en servicio pasivo, de los cuales uno por lo menos deberá ser doctor en jurisprudencia; y, dos doctores en Jurisprudencia que hayan ejercido </w:t>
      </w:r>
      <w:r w:rsidRPr="00905649">
        <w:rPr>
          <w:sz w:val="16"/>
          <w:szCs w:val="16"/>
          <w:lang w:val="es-CR"/>
        </w:rPr>
        <w:t>con notoria probidad la profesión de abogado o, pertenecido a la Función Judicial o, ejercido la cátedra universitaria por el lapso mínimo de quince años, serán nombrados por el Presidente de la República, quienes durarán en sus funciones dos años pudiendo ser reelegidos”. Ley Orgánica de la Policía Nacional. Registro Oficial No. 368 de 24 de julio de 1998</w:t>
      </w:r>
      <w:r w:rsidRPr="00FA72AF">
        <w:rPr>
          <w:sz w:val="16"/>
          <w:szCs w:val="16"/>
          <w:lang w:val="es-CR"/>
        </w:rPr>
        <w:t xml:space="preserve">, </w:t>
      </w:r>
      <w:r w:rsidRPr="00FA72AF">
        <w:rPr>
          <w:i/>
          <w:sz w:val="16"/>
          <w:szCs w:val="16"/>
          <w:lang w:val="es-CR"/>
        </w:rPr>
        <w:t>supra</w:t>
      </w:r>
      <w:r w:rsidRPr="00FA72AF">
        <w:rPr>
          <w:sz w:val="16"/>
          <w:szCs w:val="16"/>
          <w:lang w:val="es-CR"/>
        </w:rPr>
        <w:t>.</w:t>
      </w:r>
    </w:p>
  </w:footnote>
  <w:footnote w:id="143">
    <w:p w14:paraId="22B9CD73" w14:textId="7CE9610E" w:rsidR="00795660" w:rsidRPr="00FA72AF" w:rsidRDefault="00795660" w:rsidP="00FA72AF">
      <w:pPr>
        <w:pStyle w:val="Textonotapie"/>
        <w:spacing w:before="0" w:after="0"/>
        <w:rPr>
          <w:highlight w:val="cyan"/>
          <w:lang w:val="es-ES"/>
        </w:rPr>
      </w:pPr>
      <w:r>
        <w:rPr>
          <w:rStyle w:val="Refdenotaalpie"/>
        </w:rPr>
        <w:footnoteRef/>
      </w:r>
      <w:r>
        <w:t xml:space="preserve"> </w:t>
      </w:r>
      <w:r>
        <w:tab/>
      </w:r>
      <w:r w:rsidRPr="00FA72AF">
        <w:rPr>
          <w:i/>
        </w:rPr>
        <w:t>Cfr. Caso Valencia Hinojosa Vs. Ecuador, supra</w:t>
      </w:r>
      <w:r>
        <w:t xml:space="preserve">, párr. 92. </w:t>
      </w:r>
    </w:p>
  </w:footnote>
  <w:footnote w:id="144">
    <w:p w14:paraId="34224DC3" w14:textId="028F7A44" w:rsidR="00795660" w:rsidRPr="00FA72AF" w:rsidRDefault="00795660" w:rsidP="008E6AFD">
      <w:pPr>
        <w:pStyle w:val="Textonotapie"/>
        <w:spacing w:before="0" w:after="0"/>
        <w:rPr>
          <w:highlight w:val="cyan"/>
        </w:rPr>
      </w:pPr>
      <w:r w:rsidRPr="007904B8">
        <w:rPr>
          <w:rStyle w:val="Refdenotaalpie"/>
        </w:rPr>
        <w:footnoteRef/>
      </w:r>
      <w:r w:rsidRPr="007904B8">
        <w:t xml:space="preserve">  </w:t>
      </w:r>
      <w:r w:rsidRPr="007904B8">
        <w:tab/>
      </w:r>
      <w:r w:rsidRPr="007904B8">
        <w:rPr>
          <w:i/>
        </w:rPr>
        <w:t xml:space="preserve">Cfr. </w:t>
      </w:r>
      <w:r w:rsidRPr="007904B8">
        <w:rPr>
          <w:rFonts w:eastAsia="Times New Roman"/>
          <w:i/>
          <w:szCs w:val="16"/>
        </w:rPr>
        <w:t>C</w:t>
      </w:r>
      <w:r w:rsidRPr="007904B8">
        <w:rPr>
          <w:i/>
          <w:lang w:val="es-CR"/>
        </w:rPr>
        <w:t>aso Valencia Hinojosa Vs. Ecuador</w:t>
      </w:r>
      <w:r>
        <w:rPr>
          <w:i/>
          <w:lang w:val="es-CR"/>
        </w:rPr>
        <w:t>, supra</w:t>
      </w:r>
      <w:r w:rsidRPr="007904B8">
        <w:rPr>
          <w:i/>
          <w:lang w:val="es-CR"/>
        </w:rPr>
        <w:t xml:space="preserve">, </w:t>
      </w:r>
      <w:r w:rsidRPr="007904B8">
        <w:rPr>
          <w:lang w:val="es-CR"/>
        </w:rPr>
        <w:t>párr. 11</w:t>
      </w:r>
      <w:r w:rsidRPr="00FA72AF">
        <w:rPr>
          <w:lang w:val="es-CR"/>
        </w:rPr>
        <w:t>3</w:t>
      </w:r>
      <w:r w:rsidRPr="007904B8">
        <w:rPr>
          <w:lang w:val="es-CR"/>
        </w:rPr>
        <w:t>.</w:t>
      </w:r>
      <w:r w:rsidRPr="007904B8">
        <w:rPr>
          <w:szCs w:val="16"/>
          <w:lang w:val="es-CR"/>
        </w:rPr>
        <w:t xml:space="preserve"> Además, señaló que “[e]n este caso, por ley expresa la jurisdicción penal policial dependía del Poder Ejecutivo, por lo cual no se ofrecían garantías de independencia e imparcialidad desde el punto de vista institucional. Adicionalmente, a esta dependencia institucional se une el hecho que los jueces, fiscales y magistrados de la jurisdicción penal policial en el Ecuador eran designados y removidos por el Ministro de Gobierno”. </w:t>
      </w:r>
      <w:r w:rsidRPr="007904B8">
        <w:rPr>
          <w:rFonts w:eastAsia="Times New Roman"/>
          <w:i/>
          <w:szCs w:val="16"/>
        </w:rPr>
        <w:t>C</w:t>
      </w:r>
      <w:r w:rsidRPr="007904B8">
        <w:rPr>
          <w:i/>
          <w:szCs w:val="16"/>
          <w:lang w:val="es-CR"/>
        </w:rPr>
        <w:t>aso Valencia Hinojosa Vs. Ecuador</w:t>
      </w:r>
      <w:r>
        <w:rPr>
          <w:i/>
          <w:szCs w:val="16"/>
          <w:lang w:val="es-CR"/>
        </w:rPr>
        <w:t xml:space="preserve">, supra, </w:t>
      </w:r>
      <w:r w:rsidRPr="007904B8">
        <w:rPr>
          <w:szCs w:val="16"/>
          <w:lang w:val="es-CR"/>
        </w:rPr>
        <w:t>párr. 97.</w:t>
      </w:r>
    </w:p>
  </w:footnote>
  <w:footnote w:id="145">
    <w:p w14:paraId="230E0F34" w14:textId="4C00DC24" w:rsidR="00795660" w:rsidRPr="00A7329F" w:rsidRDefault="00795660" w:rsidP="008E6AFD">
      <w:pPr>
        <w:spacing w:before="0" w:after="0"/>
        <w:rPr>
          <w:sz w:val="16"/>
          <w:szCs w:val="16"/>
          <w:highlight w:val="cyan"/>
          <w:lang w:val="es-CR"/>
        </w:rPr>
      </w:pPr>
      <w:r w:rsidRPr="00391CA6">
        <w:rPr>
          <w:rStyle w:val="Refdenotaalpie"/>
          <w:sz w:val="16"/>
          <w:szCs w:val="16"/>
        </w:rPr>
        <w:footnoteRef/>
      </w:r>
      <w:r w:rsidRPr="00391CA6">
        <w:rPr>
          <w:sz w:val="16"/>
          <w:szCs w:val="16"/>
        </w:rPr>
        <w:t xml:space="preserve"> </w:t>
      </w:r>
      <w:r w:rsidRPr="00391CA6">
        <w:rPr>
          <w:sz w:val="16"/>
          <w:szCs w:val="16"/>
        </w:rPr>
        <w:tab/>
      </w:r>
      <w:r w:rsidRPr="00391CA6">
        <w:rPr>
          <w:i/>
          <w:sz w:val="16"/>
          <w:szCs w:val="16"/>
        </w:rPr>
        <w:t xml:space="preserve"> </w:t>
      </w:r>
      <w:r w:rsidRPr="00391CA6">
        <w:rPr>
          <w:rFonts w:eastAsia="Times New Roman"/>
          <w:i/>
          <w:sz w:val="16"/>
          <w:szCs w:val="16"/>
        </w:rPr>
        <w:t>C</w:t>
      </w:r>
      <w:r w:rsidRPr="00391CA6">
        <w:rPr>
          <w:i/>
          <w:sz w:val="16"/>
          <w:szCs w:val="16"/>
          <w:lang w:val="es-CR"/>
        </w:rPr>
        <w:t>aso Valencia Hinojosa Vs. Ecuador</w:t>
      </w:r>
      <w:r>
        <w:rPr>
          <w:i/>
          <w:sz w:val="16"/>
          <w:szCs w:val="16"/>
          <w:lang w:val="es-CR"/>
        </w:rPr>
        <w:t xml:space="preserve">, supra, </w:t>
      </w:r>
      <w:r w:rsidRPr="00391CA6">
        <w:rPr>
          <w:sz w:val="16"/>
          <w:szCs w:val="16"/>
          <w:lang w:val="es-CR"/>
        </w:rPr>
        <w:t xml:space="preserve">párr. 114. </w:t>
      </w:r>
    </w:p>
  </w:footnote>
  <w:footnote w:id="146">
    <w:p w14:paraId="6D69FDCD" w14:textId="04E8D780" w:rsidR="00795660" w:rsidRPr="00B7210C" w:rsidRDefault="00795660" w:rsidP="008E6AFD">
      <w:pPr>
        <w:pStyle w:val="Textonotapie"/>
        <w:tabs>
          <w:tab w:val="left" w:pos="426"/>
        </w:tabs>
        <w:spacing w:before="0" w:after="0"/>
        <w:rPr>
          <w:b/>
          <w:bCs/>
          <w:szCs w:val="16"/>
          <w:highlight w:val="cyan"/>
          <w:lang w:val="pt-BR"/>
        </w:rPr>
      </w:pPr>
      <w:r w:rsidRPr="00DE5D27">
        <w:rPr>
          <w:rStyle w:val="Refdenotaalpie"/>
          <w:szCs w:val="16"/>
        </w:rPr>
        <w:footnoteRef/>
      </w:r>
      <w:r w:rsidRPr="00DE5D27">
        <w:rPr>
          <w:szCs w:val="16"/>
        </w:rPr>
        <w:t xml:space="preserve"> </w:t>
      </w:r>
      <w:r w:rsidRPr="00DE5D27">
        <w:rPr>
          <w:szCs w:val="16"/>
        </w:rPr>
        <w:tab/>
      </w:r>
      <w:r w:rsidRPr="00DE5D27">
        <w:rPr>
          <w:szCs w:val="16"/>
          <w:lang w:val="es-CR"/>
        </w:rPr>
        <w:tab/>
      </w:r>
      <w:r w:rsidRPr="00DE5D27">
        <w:rPr>
          <w:i/>
          <w:szCs w:val="16"/>
        </w:rPr>
        <w:t xml:space="preserve">Cfr. </w:t>
      </w:r>
      <w:r w:rsidRPr="00DE5D27">
        <w:rPr>
          <w:rFonts w:eastAsia="Times New Roman"/>
          <w:i/>
          <w:szCs w:val="16"/>
        </w:rPr>
        <w:t>C</w:t>
      </w:r>
      <w:r w:rsidRPr="00DE5D27">
        <w:rPr>
          <w:i/>
          <w:szCs w:val="16"/>
          <w:lang w:val="es-CR"/>
        </w:rPr>
        <w:t>aso Valencia Hinojosa Vs. Ecuador</w:t>
      </w:r>
      <w:r>
        <w:rPr>
          <w:i/>
          <w:szCs w:val="16"/>
          <w:lang w:val="es-CR"/>
        </w:rPr>
        <w:t>, supra</w:t>
      </w:r>
      <w:r w:rsidRPr="00DE5D27">
        <w:rPr>
          <w:i/>
          <w:szCs w:val="16"/>
          <w:lang w:val="es-CR"/>
        </w:rPr>
        <w:t xml:space="preserve">, </w:t>
      </w:r>
      <w:r w:rsidRPr="00DE5D27">
        <w:rPr>
          <w:szCs w:val="16"/>
          <w:lang w:val="es-CR"/>
        </w:rPr>
        <w:t xml:space="preserve">párr. </w:t>
      </w:r>
      <w:r w:rsidRPr="00B7210C">
        <w:rPr>
          <w:szCs w:val="16"/>
          <w:lang w:val="pt-BR"/>
        </w:rPr>
        <w:t>116.</w:t>
      </w:r>
    </w:p>
  </w:footnote>
  <w:footnote w:id="147">
    <w:p w14:paraId="49261DE1" w14:textId="77777777" w:rsidR="00795660" w:rsidRPr="002F3029" w:rsidRDefault="00795660" w:rsidP="001D22CD">
      <w:pPr>
        <w:spacing w:before="0" w:after="0"/>
        <w:rPr>
          <w:sz w:val="16"/>
          <w:szCs w:val="16"/>
          <w:lang w:val="pt-BR"/>
        </w:rPr>
      </w:pPr>
      <w:r w:rsidRPr="001A466E">
        <w:rPr>
          <w:rStyle w:val="Refdenotaalpie"/>
          <w:sz w:val="16"/>
          <w:szCs w:val="16"/>
        </w:rPr>
        <w:footnoteRef/>
      </w:r>
      <w:r w:rsidRPr="00B7210C">
        <w:rPr>
          <w:sz w:val="16"/>
          <w:szCs w:val="16"/>
          <w:lang w:val="pt-BR"/>
        </w:rPr>
        <w:t xml:space="preserve"> </w:t>
      </w:r>
      <w:r w:rsidRPr="00B7210C">
        <w:rPr>
          <w:sz w:val="16"/>
          <w:szCs w:val="16"/>
          <w:lang w:val="pt-BR"/>
        </w:rPr>
        <w:tab/>
      </w:r>
      <w:r w:rsidRPr="00B7210C">
        <w:rPr>
          <w:i/>
          <w:sz w:val="16"/>
          <w:szCs w:val="16"/>
          <w:lang w:val="pt-BR"/>
        </w:rPr>
        <w:t>Caso Grijalva Bueno Vs. Ecuador</w:t>
      </w:r>
      <w:r w:rsidRPr="00B7210C">
        <w:rPr>
          <w:sz w:val="16"/>
          <w:szCs w:val="16"/>
          <w:lang w:val="pt-BR"/>
        </w:rPr>
        <w:t xml:space="preserve">, </w:t>
      </w:r>
      <w:r w:rsidRPr="00B7210C">
        <w:rPr>
          <w:i/>
          <w:sz w:val="16"/>
          <w:szCs w:val="16"/>
          <w:lang w:val="pt-BR"/>
        </w:rPr>
        <w:t>supra</w:t>
      </w:r>
      <w:r w:rsidRPr="00B7210C">
        <w:rPr>
          <w:sz w:val="16"/>
          <w:szCs w:val="16"/>
          <w:lang w:val="pt-BR"/>
        </w:rPr>
        <w:t xml:space="preserve">, párr. </w:t>
      </w:r>
      <w:r w:rsidRPr="001A466E">
        <w:rPr>
          <w:sz w:val="16"/>
          <w:szCs w:val="16"/>
          <w:lang w:val="pt-BR"/>
        </w:rPr>
        <w:t>97.</w:t>
      </w:r>
      <w:r w:rsidRPr="002F3029">
        <w:rPr>
          <w:sz w:val="16"/>
          <w:szCs w:val="16"/>
          <w:lang w:val="pt-BR"/>
        </w:rPr>
        <w:t xml:space="preserve"> </w:t>
      </w:r>
    </w:p>
  </w:footnote>
  <w:footnote w:id="148">
    <w:p w14:paraId="37649ACE" w14:textId="705B207B" w:rsidR="00795660" w:rsidRPr="001B7821" w:rsidRDefault="00795660" w:rsidP="00210786">
      <w:pPr>
        <w:tabs>
          <w:tab w:val="left" w:pos="426"/>
          <w:tab w:val="left" w:pos="567"/>
        </w:tabs>
        <w:autoSpaceDE w:val="0"/>
        <w:autoSpaceDN w:val="0"/>
        <w:spacing w:before="0" w:after="0"/>
        <w:rPr>
          <w:rFonts w:cs="Verdana"/>
          <w:i/>
          <w:spacing w:val="-4"/>
          <w:sz w:val="16"/>
          <w:szCs w:val="16"/>
          <w:lang w:val="es-CO"/>
        </w:rPr>
      </w:pPr>
      <w:r w:rsidRPr="003D6F82">
        <w:rPr>
          <w:rStyle w:val="Refdenotaalpie"/>
          <w:spacing w:val="-4"/>
          <w:sz w:val="16"/>
          <w:szCs w:val="16"/>
        </w:rPr>
        <w:footnoteRef/>
      </w:r>
      <w:r w:rsidRPr="003D6F82">
        <w:rPr>
          <w:spacing w:val="-4"/>
          <w:sz w:val="16"/>
          <w:szCs w:val="16"/>
          <w:lang w:val="pt-BR"/>
        </w:rPr>
        <w:t xml:space="preserve"> </w:t>
      </w:r>
      <w:r w:rsidRPr="003D6F82">
        <w:rPr>
          <w:spacing w:val="-4"/>
          <w:sz w:val="16"/>
          <w:szCs w:val="16"/>
          <w:lang w:val="pt-BR"/>
        </w:rPr>
        <w:tab/>
      </w:r>
      <w:r w:rsidRPr="003D6F82">
        <w:rPr>
          <w:spacing w:val="-4"/>
          <w:sz w:val="16"/>
          <w:szCs w:val="16"/>
          <w:lang w:val="pt-BR"/>
        </w:rPr>
        <w:tab/>
      </w:r>
      <w:r w:rsidRPr="003D6F82">
        <w:rPr>
          <w:i/>
          <w:spacing w:val="-4"/>
          <w:sz w:val="16"/>
          <w:szCs w:val="16"/>
          <w:lang w:val="pt-BR"/>
        </w:rPr>
        <w:t xml:space="preserve">Cfr. Caso Gangaram Panday Vs. </w:t>
      </w:r>
      <w:r w:rsidRPr="0024433B">
        <w:rPr>
          <w:i/>
          <w:spacing w:val="-4"/>
          <w:sz w:val="16"/>
          <w:szCs w:val="16"/>
          <w:lang w:val="pt-BR"/>
        </w:rPr>
        <w:t xml:space="preserve">Surinam. </w:t>
      </w:r>
      <w:r w:rsidRPr="00B7210C">
        <w:rPr>
          <w:i/>
          <w:spacing w:val="-4"/>
          <w:sz w:val="16"/>
          <w:szCs w:val="16"/>
          <w:lang w:val="es-CR"/>
        </w:rPr>
        <w:t>Excepciones Preliminares</w:t>
      </w:r>
      <w:r w:rsidRPr="00B7210C">
        <w:rPr>
          <w:spacing w:val="-4"/>
          <w:sz w:val="16"/>
          <w:szCs w:val="16"/>
          <w:lang w:val="es-CR"/>
        </w:rPr>
        <w:t xml:space="preserve">. Sentencia de 4 de diciembre de 1991. Serie C No. 12, párr. 50, y </w:t>
      </w:r>
      <w:r w:rsidRPr="001A466E">
        <w:rPr>
          <w:i/>
          <w:sz w:val="16"/>
          <w:szCs w:val="16"/>
        </w:rPr>
        <w:t>Caso Guacalá Chimbo y otros Vs. Ecuador. Fondo, Reparaciones y Costa</w:t>
      </w:r>
      <w:r w:rsidRPr="001A466E">
        <w:rPr>
          <w:sz w:val="16"/>
          <w:szCs w:val="16"/>
        </w:rPr>
        <w:t>s. Sentencia de 26 de marzo de 2021. Serie No. 423</w:t>
      </w:r>
      <w:r w:rsidRPr="003D6F82">
        <w:rPr>
          <w:sz w:val="16"/>
          <w:szCs w:val="16"/>
        </w:rPr>
        <w:t>,</w:t>
      </w:r>
      <w:r w:rsidRPr="001A466E">
        <w:rPr>
          <w:sz w:val="16"/>
          <w:szCs w:val="16"/>
        </w:rPr>
        <w:t xml:space="preserve"> párr. 137</w:t>
      </w:r>
      <w:r w:rsidRPr="003D6F82">
        <w:rPr>
          <w:sz w:val="16"/>
          <w:szCs w:val="16"/>
        </w:rPr>
        <w:t>.</w:t>
      </w:r>
    </w:p>
  </w:footnote>
  <w:footnote w:id="149">
    <w:p w14:paraId="210FEA5F" w14:textId="51C5C1CD" w:rsidR="00795660" w:rsidRPr="00036404" w:rsidRDefault="00795660" w:rsidP="001031F5">
      <w:pPr>
        <w:pStyle w:val="Textonotapie"/>
        <w:spacing w:before="0" w:after="0"/>
        <w:jc w:val="left"/>
        <w:rPr>
          <w:lang w:val="es-ES"/>
        </w:rPr>
      </w:pPr>
      <w:r w:rsidRPr="00036404">
        <w:rPr>
          <w:rStyle w:val="Refdenotaalpie"/>
        </w:rPr>
        <w:footnoteRef/>
      </w:r>
      <w:r w:rsidRPr="00036404">
        <w:t xml:space="preserve"> </w:t>
      </w:r>
      <w:r w:rsidRPr="00036404">
        <w:tab/>
      </w:r>
      <w:r w:rsidRPr="00036404">
        <w:rPr>
          <w:i/>
          <w:lang w:val="es-ES"/>
        </w:rPr>
        <w:t>Cfr</w:t>
      </w:r>
      <w:r w:rsidRPr="00036404">
        <w:rPr>
          <w:lang w:val="es-ES"/>
        </w:rPr>
        <w:t xml:space="preserve">. Oficio 16363 de la Procuraduría General de la República de Ecuador, de 19 de febrero de 2014 (expediente de prueba, fs. 164 a 175). </w:t>
      </w:r>
    </w:p>
  </w:footnote>
  <w:footnote w:id="150">
    <w:p w14:paraId="5C8A6588" w14:textId="31EFF73C" w:rsidR="00795660" w:rsidRPr="008A1802" w:rsidRDefault="00795660" w:rsidP="001031F5">
      <w:pPr>
        <w:pStyle w:val="2Footnotes"/>
        <w:spacing w:before="0" w:after="0"/>
        <w:jc w:val="left"/>
        <w:rPr>
          <w:szCs w:val="16"/>
        </w:rPr>
      </w:pPr>
      <w:r w:rsidRPr="008A1802">
        <w:rPr>
          <w:rStyle w:val="Refdenotaalpie"/>
          <w:rFonts w:eastAsia="Batang"/>
          <w:szCs w:val="16"/>
        </w:rPr>
        <w:footnoteRef/>
      </w:r>
      <w:r w:rsidRPr="008A1802">
        <w:rPr>
          <w:szCs w:val="16"/>
        </w:rPr>
        <w:t xml:space="preserve"> </w:t>
      </w:r>
      <w:r w:rsidRPr="008A1802">
        <w:rPr>
          <w:szCs w:val="16"/>
        </w:rPr>
        <w:tab/>
        <w:t xml:space="preserve">El artículo 63.1 de la Convención </w:t>
      </w:r>
      <w:r w:rsidRPr="00F118C7">
        <w:rPr>
          <w:szCs w:val="16"/>
        </w:rPr>
        <w:t>Americana.</w:t>
      </w:r>
      <w:r>
        <w:rPr>
          <w:color w:val="00B050"/>
          <w:szCs w:val="16"/>
        </w:rPr>
        <w:t xml:space="preserve"> </w:t>
      </w:r>
    </w:p>
  </w:footnote>
  <w:footnote w:id="151">
    <w:p w14:paraId="4465F8D5" w14:textId="00B1E86A" w:rsidR="00795660" w:rsidRPr="008A1802" w:rsidRDefault="00795660" w:rsidP="001031F5">
      <w:pPr>
        <w:pStyle w:val="2Footnotes"/>
        <w:spacing w:before="0" w:after="0"/>
        <w:jc w:val="left"/>
        <w:rPr>
          <w:szCs w:val="16"/>
        </w:rPr>
      </w:pPr>
      <w:r w:rsidRPr="008A1802">
        <w:rPr>
          <w:rStyle w:val="Refdenotaalpie"/>
          <w:rFonts w:eastAsia="Batang"/>
          <w:szCs w:val="16"/>
        </w:rPr>
        <w:footnoteRef/>
      </w:r>
      <w:r w:rsidRPr="008A1802">
        <w:rPr>
          <w:szCs w:val="16"/>
        </w:rPr>
        <w:t xml:space="preserve"> </w:t>
      </w:r>
      <w:r w:rsidRPr="008A1802">
        <w:rPr>
          <w:szCs w:val="16"/>
        </w:rPr>
        <w:tab/>
      </w:r>
      <w:r w:rsidRPr="008A1802">
        <w:rPr>
          <w:i/>
          <w:szCs w:val="16"/>
          <w:lang w:bidi="en-US"/>
        </w:rPr>
        <w:t xml:space="preserve">Cfr. </w:t>
      </w:r>
      <w:r w:rsidRPr="008A1802">
        <w:rPr>
          <w:rFonts w:cs="Verdana"/>
          <w:i/>
          <w:szCs w:val="16"/>
          <w:lang w:bidi="en-US"/>
        </w:rPr>
        <w:t>Caso Velásquez Rodríguez Vs. Honduras.</w:t>
      </w:r>
      <w:r w:rsidRPr="008A1802">
        <w:rPr>
          <w:rFonts w:cs="Verdana"/>
          <w:szCs w:val="16"/>
          <w:lang w:bidi="en-US"/>
        </w:rPr>
        <w:t xml:space="preserve"> </w:t>
      </w:r>
      <w:r w:rsidRPr="008A1802">
        <w:rPr>
          <w:rFonts w:cs="Verdana"/>
          <w:i/>
          <w:szCs w:val="16"/>
          <w:lang w:bidi="en-US"/>
        </w:rPr>
        <w:t xml:space="preserve">Reparaciones y Costas. </w:t>
      </w:r>
      <w:r w:rsidRPr="008A1802">
        <w:rPr>
          <w:rFonts w:cs="Verdana"/>
          <w:szCs w:val="16"/>
          <w:lang w:bidi="en-US"/>
        </w:rPr>
        <w:t xml:space="preserve">Sentencia de 21 de julio de 1989. Serie C No. 7, párrs. 24 y 25, y </w:t>
      </w:r>
      <w:r w:rsidRPr="008A1802">
        <w:rPr>
          <w:rFonts w:cs="Verdana"/>
          <w:i/>
          <w:lang w:bidi="en-US"/>
        </w:rPr>
        <w:t xml:space="preserve">Caso </w:t>
      </w:r>
      <w:r>
        <w:rPr>
          <w:rFonts w:cs="Verdana"/>
          <w:i/>
          <w:lang w:bidi="en-US"/>
        </w:rPr>
        <w:t xml:space="preserve">Grijalva Bueno </w:t>
      </w:r>
      <w:r w:rsidRPr="008A1802">
        <w:rPr>
          <w:rFonts w:cs="Verdana"/>
          <w:i/>
          <w:lang w:bidi="en-US"/>
        </w:rPr>
        <w:t>Vs. Ecuador</w:t>
      </w:r>
      <w:r>
        <w:rPr>
          <w:rFonts w:cs="Verdana"/>
          <w:lang w:bidi="en-US"/>
        </w:rPr>
        <w:t xml:space="preserve">, </w:t>
      </w:r>
      <w:r w:rsidRPr="008A1802">
        <w:rPr>
          <w:rFonts w:cs="Verdana"/>
          <w:lang w:bidi="en-US"/>
        </w:rPr>
        <w:t xml:space="preserve">párr. </w:t>
      </w:r>
      <w:r>
        <w:rPr>
          <w:rFonts w:cs="Verdana"/>
          <w:lang w:bidi="en-US"/>
        </w:rPr>
        <w:t>163</w:t>
      </w:r>
      <w:r w:rsidRPr="008A1802">
        <w:rPr>
          <w:rFonts w:cs="Verdana"/>
          <w:szCs w:val="16"/>
          <w:lang w:bidi="en-US"/>
        </w:rPr>
        <w:t>.</w:t>
      </w:r>
    </w:p>
  </w:footnote>
  <w:footnote w:id="152">
    <w:p w14:paraId="33392EC6" w14:textId="27BCF333" w:rsidR="00795660" w:rsidRPr="001A466E" w:rsidRDefault="00795660" w:rsidP="001031F5">
      <w:pPr>
        <w:pStyle w:val="2Footnotes"/>
        <w:spacing w:before="0" w:after="0"/>
        <w:jc w:val="left"/>
        <w:rPr>
          <w:szCs w:val="16"/>
          <w:lang w:val="es-CL"/>
        </w:rPr>
      </w:pPr>
      <w:r w:rsidRPr="001A466E">
        <w:rPr>
          <w:rStyle w:val="Refdenotaalpie"/>
          <w:rFonts w:eastAsia="Batang"/>
          <w:szCs w:val="16"/>
          <w:lang w:val="es-EC"/>
        </w:rPr>
        <w:footnoteRef/>
      </w:r>
      <w:r w:rsidRPr="001A466E">
        <w:rPr>
          <w:szCs w:val="16"/>
          <w:lang w:val="es-CL"/>
        </w:rPr>
        <w:tab/>
      </w:r>
      <w:r w:rsidRPr="001A466E">
        <w:rPr>
          <w:i/>
          <w:szCs w:val="16"/>
        </w:rPr>
        <w:t>Cfr. Caso Ticona Estrada y otros Vs. Bolivia</w:t>
      </w:r>
      <w:r w:rsidRPr="001A466E">
        <w:rPr>
          <w:szCs w:val="16"/>
        </w:rPr>
        <w:t xml:space="preserve">. </w:t>
      </w:r>
      <w:r w:rsidRPr="001A466E">
        <w:rPr>
          <w:i/>
          <w:szCs w:val="16"/>
        </w:rPr>
        <w:t>Fondo, Reparaciones y Costas</w:t>
      </w:r>
      <w:r>
        <w:rPr>
          <w:szCs w:val="16"/>
        </w:rPr>
        <w:t>.</w:t>
      </w:r>
      <w:r w:rsidRPr="001A466E">
        <w:rPr>
          <w:szCs w:val="16"/>
        </w:rPr>
        <w:t xml:space="preserve"> </w:t>
      </w:r>
      <w:r w:rsidRPr="009174A0">
        <w:rPr>
          <w:szCs w:val="16"/>
        </w:rPr>
        <w:t>Sentencia de 27 de noviembre de 2008. Serie C No. 191</w:t>
      </w:r>
      <w:r>
        <w:rPr>
          <w:szCs w:val="16"/>
        </w:rPr>
        <w:t xml:space="preserve">, </w:t>
      </w:r>
      <w:r w:rsidRPr="001A466E">
        <w:rPr>
          <w:szCs w:val="16"/>
        </w:rPr>
        <w:t>párr. 110</w:t>
      </w:r>
      <w:r w:rsidRPr="001A466E">
        <w:rPr>
          <w:szCs w:val="16"/>
          <w:lang w:val="es-PE"/>
        </w:rPr>
        <w:t xml:space="preserve">, </w:t>
      </w:r>
      <w:r w:rsidRPr="001A466E">
        <w:rPr>
          <w:rFonts w:cs="Verdana"/>
          <w:szCs w:val="16"/>
          <w:lang w:bidi="en-US"/>
        </w:rPr>
        <w:t>y</w:t>
      </w:r>
      <w:r w:rsidRPr="001A466E">
        <w:rPr>
          <w:rFonts w:cs="Verdana"/>
          <w:i/>
          <w:lang w:bidi="en-US"/>
        </w:rPr>
        <w:t xml:space="preserve"> Caso Grijalva Bueno Vs. Ecuador</w:t>
      </w:r>
      <w:r w:rsidRPr="001A466E">
        <w:rPr>
          <w:rFonts w:cs="Verdana"/>
          <w:lang w:bidi="en-US"/>
        </w:rPr>
        <w:t xml:space="preserve">, </w:t>
      </w:r>
      <w:r w:rsidRPr="00303E56">
        <w:rPr>
          <w:rFonts w:cs="Verdana"/>
          <w:i/>
          <w:lang w:bidi="en-US"/>
        </w:rPr>
        <w:t>supra</w:t>
      </w:r>
      <w:r>
        <w:rPr>
          <w:rFonts w:cs="Verdana"/>
          <w:lang w:bidi="en-US"/>
        </w:rPr>
        <w:t xml:space="preserve">, </w:t>
      </w:r>
      <w:r w:rsidRPr="001A466E">
        <w:rPr>
          <w:rFonts w:cs="Verdana"/>
          <w:lang w:bidi="en-US"/>
        </w:rPr>
        <w:t>párr. 163</w:t>
      </w:r>
      <w:r w:rsidRPr="001A466E">
        <w:rPr>
          <w:rFonts w:cs="Verdana"/>
          <w:szCs w:val="16"/>
          <w:lang w:bidi="en-US"/>
        </w:rPr>
        <w:t>.</w:t>
      </w:r>
    </w:p>
  </w:footnote>
  <w:footnote w:id="153">
    <w:p w14:paraId="2E107AA6" w14:textId="1E0A4011" w:rsidR="00795660" w:rsidRPr="001A466E" w:rsidRDefault="00795660" w:rsidP="001031F5">
      <w:pPr>
        <w:pStyle w:val="Textonotapie"/>
        <w:tabs>
          <w:tab w:val="left" w:pos="540"/>
        </w:tabs>
        <w:spacing w:before="0" w:after="0"/>
        <w:jc w:val="left"/>
        <w:rPr>
          <w:szCs w:val="16"/>
        </w:rPr>
      </w:pPr>
      <w:r w:rsidRPr="001A466E">
        <w:rPr>
          <w:rStyle w:val="Refdenotaalpie"/>
        </w:rPr>
        <w:footnoteRef/>
      </w:r>
      <w:r w:rsidRPr="001A466E">
        <w:rPr>
          <w:szCs w:val="16"/>
          <w:vertAlign w:val="superscript"/>
          <w:lang w:val="es-ES"/>
        </w:rPr>
        <w:t xml:space="preserve"> </w:t>
      </w:r>
      <w:r w:rsidRPr="001A466E">
        <w:rPr>
          <w:szCs w:val="16"/>
          <w:lang w:val="es-ES"/>
        </w:rPr>
        <w:tab/>
      </w:r>
      <w:r w:rsidRPr="001A466E">
        <w:rPr>
          <w:i/>
          <w:iCs/>
          <w:szCs w:val="16"/>
          <w:lang w:val="es-ES"/>
        </w:rPr>
        <w:t xml:space="preserve">Cfr. </w:t>
      </w:r>
      <w:r w:rsidRPr="00303E56">
        <w:rPr>
          <w:i/>
          <w:iCs/>
          <w:szCs w:val="16"/>
          <w:lang w:val="es-ES"/>
        </w:rPr>
        <w:t>Caso Velásquez Rodríguez Vs. Honduras. Reparaciones y Costas, supra</w:t>
      </w:r>
      <w:r w:rsidRPr="00303E56">
        <w:rPr>
          <w:szCs w:val="16"/>
          <w:lang w:val="es-ES"/>
        </w:rPr>
        <w:t xml:space="preserve">, párrs. 25 y 26, y </w:t>
      </w:r>
      <w:r w:rsidRPr="00303E56">
        <w:rPr>
          <w:i/>
          <w:iCs/>
          <w:szCs w:val="16"/>
          <w:lang w:val="es-ES"/>
        </w:rPr>
        <w:t xml:space="preserve">Caso Moya Solís Vs. Perú. Excepciones Preliminares, Fondo, Reparaciones y Costas. </w:t>
      </w:r>
      <w:r w:rsidRPr="00303E56">
        <w:rPr>
          <w:iCs/>
          <w:szCs w:val="16"/>
          <w:lang w:val="es-ES"/>
        </w:rPr>
        <w:t>Sentencia de 3 de junio de 2021. Serie C No. 425,</w:t>
      </w:r>
      <w:r w:rsidRPr="00303E56">
        <w:rPr>
          <w:szCs w:val="16"/>
          <w:lang w:val="es-ES"/>
        </w:rPr>
        <w:t xml:space="preserve"> párr. 113</w:t>
      </w:r>
      <w:r w:rsidRPr="001A466E">
        <w:rPr>
          <w:szCs w:val="16"/>
          <w:lang w:val="es-ES"/>
        </w:rPr>
        <w:t>.</w:t>
      </w:r>
    </w:p>
  </w:footnote>
  <w:footnote w:id="154">
    <w:p w14:paraId="068AD188" w14:textId="552CCD10" w:rsidR="00795660" w:rsidRPr="0012139C" w:rsidRDefault="00795660" w:rsidP="00303E56">
      <w:pPr>
        <w:pStyle w:val="Textonotapie"/>
        <w:tabs>
          <w:tab w:val="left" w:pos="540"/>
        </w:tabs>
        <w:spacing w:before="0" w:after="0"/>
        <w:rPr>
          <w:b/>
        </w:rPr>
      </w:pPr>
      <w:r w:rsidRPr="001A466E">
        <w:rPr>
          <w:rStyle w:val="Refdenotaalpie"/>
        </w:rPr>
        <w:footnoteRef/>
      </w:r>
      <w:r w:rsidRPr="0012139C">
        <w:rPr>
          <w:lang w:val="es-CR"/>
        </w:rPr>
        <w:t xml:space="preserve"> </w:t>
      </w:r>
      <w:r w:rsidRPr="0012139C">
        <w:rPr>
          <w:lang w:val="es-CR"/>
        </w:rPr>
        <w:tab/>
      </w:r>
      <w:r w:rsidRPr="009174A0">
        <w:rPr>
          <w:i/>
          <w:iCs/>
          <w:lang w:val="es-CR"/>
        </w:rPr>
        <w:t>Cfr</w:t>
      </w:r>
      <w:r w:rsidRPr="00303E56">
        <w:rPr>
          <w:i/>
          <w:iCs/>
          <w:lang w:val="es-CR"/>
        </w:rPr>
        <w:t>. Caso Cantoral Benavides Vs. Perú. Reparaciones y Costas</w:t>
      </w:r>
      <w:r w:rsidRPr="009174A0">
        <w:rPr>
          <w:i/>
          <w:iCs/>
          <w:lang w:val="es-CR"/>
        </w:rPr>
        <w:t>,</w:t>
      </w:r>
      <w:r w:rsidRPr="00EB76C2">
        <w:rPr>
          <w:i/>
          <w:iCs/>
          <w:lang w:val="es-CR"/>
        </w:rPr>
        <w:t xml:space="preserve"> </w:t>
      </w:r>
      <w:r w:rsidRPr="00303E56">
        <w:rPr>
          <w:iCs/>
          <w:lang w:val="es-CR"/>
        </w:rPr>
        <w:t>Sentencia de 3 de diciembre de 2001. Serie C No. 88,</w:t>
      </w:r>
      <w:r>
        <w:rPr>
          <w:i/>
          <w:iCs/>
          <w:lang w:val="es-CR"/>
        </w:rPr>
        <w:t xml:space="preserve"> </w:t>
      </w:r>
      <w:r w:rsidRPr="00EB76C2">
        <w:rPr>
          <w:lang w:val="es-CR"/>
        </w:rPr>
        <w:t>párr. 79, y</w:t>
      </w:r>
      <w:r w:rsidRPr="00D76ED2">
        <w:rPr>
          <w:rFonts w:cs="Verdana"/>
          <w:i/>
          <w:lang w:bidi="en-US"/>
        </w:rPr>
        <w:t xml:space="preserve"> </w:t>
      </w:r>
      <w:r w:rsidRPr="00B1110A">
        <w:rPr>
          <w:rFonts w:cs="Verdana"/>
          <w:i/>
          <w:lang w:bidi="en-US"/>
        </w:rPr>
        <w:t>Caso</w:t>
      </w:r>
      <w:r w:rsidRPr="001A466E">
        <w:rPr>
          <w:rFonts w:cs="Verdana"/>
          <w:i/>
          <w:lang w:bidi="en-US"/>
        </w:rPr>
        <w:t xml:space="preserve"> Grijalva Bueno Vs. Ecuador</w:t>
      </w:r>
      <w:r w:rsidRPr="00EB76C2">
        <w:rPr>
          <w:rFonts w:cs="Verdana"/>
          <w:lang w:bidi="en-US"/>
        </w:rPr>
        <w:t xml:space="preserve">, </w:t>
      </w:r>
      <w:r w:rsidRPr="00E829A3">
        <w:rPr>
          <w:i/>
          <w:szCs w:val="16"/>
        </w:rPr>
        <w:t>supra,</w:t>
      </w:r>
      <w:r>
        <w:rPr>
          <w:szCs w:val="16"/>
        </w:rPr>
        <w:t xml:space="preserve"> </w:t>
      </w:r>
      <w:r w:rsidRPr="00EB76C2">
        <w:rPr>
          <w:rFonts w:cs="Verdana"/>
          <w:lang w:bidi="en-US"/>
        </w:rPr>
        <w:t xml:space="preserve">párr. </w:t>
      </w:r>
      <w:r w:rsidRPr="001A466E">
        <w:rPr>
          <w:rFonts w:cs="Verdana"/>
          <w:lang w:bidi="en-US"/>
        </w:rPr>
        <w:t>17</w:t>
      </w:r>
      <w:r w:rsidRPr="00EB76C2">
        <w:rPr>
          <w:rFonts w:cs="Verdana"/>
          <w:lang w:bidi="en-US"/>
        </w:rPr>
        <w:t>7</w:t>
      </w:r>
      <w:r w:rsidRPr="00EB76C2">
        <w:t>.</w:t>
      </w:r>
    </w:p>
    <w:p w14:paraId="16950854" w14:textId="77777777" w:rsidR="00795660" w:rsidRPr="005F5F89" w:rsidRDefault="00795660" w:rsidP="00605382">
      <w:pPr>
        <w:pStyle w:val="Textonotapie"/>
        <w:tabs>
          <w:tab w:val="left" w:pos="540"/>
        </w:tabs>
        <w:rPr>
          <w:rFonts w:eastAsia="Times New Roman"/>
        </w:rPr>
      </w:pPr>
    </w:p>
  </w:footnote>
  <w:footnote w:id="155">
    <w:p w14:paraId="62951609" w14:textId="43EE2023" w:rsidR="00795660" w:rsidRPr="00E829A3" w:rsidRDefault="00795660" w:rsidP="00A63B3D">
      <w:pPr>
        <w:pStyle w:val="Prrafodelista"/>
        <w:spacing w:before="0" w:after="0"/>
        <w:ind w:left="0"/>
        <w:contextualSpacing w:val="0"/>
        <w:rPr>
          <w:sz w:val="16"/>
          <w:szCs w:val="16"/>
          <w:highlight w:val="cyan"/>
          <w:lang w:val="es-CR"/>
        </w:rPr>
      </w:pPr>
      <w:r w:rsidRPr="00600E5B">
        <w:rPr>
          <w:rStyle w:val="Refdenotaalpie"/>
          <w:sz w:val="16"/>
          <w:szCs w:val="16"/>
        </w:rPr>
        <w:footnoteRef/>
      </w:r>
      <w:r w:rsidRPr="00600E5B">
        <w:rPr>
          <w:sz w:val="16"/>
          <w:szCs w:val="16"/>
        </w:rPr>
        <w:t xml:space="preserve">  </w:t>
      </w:r>
      <w:r>
        <w:rPr>
          <w:sz w:val="16"/>
          <w:szCs w:val="16"/>
        </w:rPr>
        <w:tab/>
      </w:r>
      <w:r w:rsidRPr="00600E5B">
        <w:rPr>
          <w:i/>
          <w:sz w:val="16"/>
          <w:szCs w:val="16"/>
        </w:rPr>
        <w:t>Cfr.</w:t>
      </w:r>
      <w:r w:rsidRPr="00600E5B">
        <w:rPr>
          <w:sz w:val="16"/>
          <w:szCs w:val="16"/>
        </w:rPr>
        <w:t xml:space="preserve"> </w:t>
      </w:r>
      <w:r w:rsidRPr="00A63B3D">
        <w:rPr>
          <w:i/>
          <w:sz w:val="16"/>
          <w:szCs w:val="16"/>
        </w:rPr>
        <w:t xml:space="preserve">Caso </w:t>
      </w:r>
      <w:r w:rsidRPr="00B64324">
        <w:rPr>
          <w:i/>
          <w:sz w:val="16"/>
          <w:szCs w:val="16"/>
        </w:rPr>
        <w:t>Carranz</w:t>
      </w:r>
      <w:r w:rsidRPr="00303E56">
        <w:rPr>
          <w:i/>
          <w:sz w:val="16"/>
          <w:szCs w:val="16"/>
        </w:rPr>
        <w:t>a Alarcón Vs. Ecuador</w:t>
      </w:r>
      <w:r w:rsidRPr="00303E56">
        <w:rPr>
          <w:sz w:val="16"/>
          <w:szCs w:val="16"/>
        </w:rPr>
        <w:t xml:space="preserve">, </w:t>
      </w:r>
      <w:r w:rsidRPr="00303E56">
        <w:rPr>
          <w:i/>
          <w:sz w:val="16"/>
          <w:szCs w:val="16"/>
        </w:rPr>
        <w:t>supra,</w:t>
      </w:r>
      <w:r w:rsidRPr="00303E56">
        <w:rPr>
          <w:sz w:val="16"/>
          <w:szCs w:val="16"/>
        </w:rPr>
        <w:t xml:space="preserve"> párr. 104, y </w:t>
      </w:r>
      <w:r w:rsidRPr="00303E56">
        <w:rPr>
          <w:i/>
          <w:sz w:val="16"/>
          <w:szCs w:val="16"/>
        </w:rPr>
        <w:t>Caso Flor Freire Vs. Ecuador</w:t>
      </w:r>
      <w:r>
        <w:rPr>
          <w:sz w:val="16"/>
          <w:szCs w:val="16"/>
        </w:rPr>
        <w:t>.</w:t>
      </w:r>
      <w:r w:rsidRPr="00303E56">
        <w:rPr>
          <w:sz w:val="16"/>
          <w:szCs w:val="16"/>
        </w:rPr>
        <w:t xml:space="preserve"> </w:t>
      </w:r>
      <w:r w:rsidRPr="00303E56">
        <w:rPr>
          <w:i/>
          <w:sz w:val="16"/>
          <w:szCs w:val="16"/>
        </w:rPr>
        <w:t>Excepción Preliminar, Fondo, Reparaciones y Costas</w:t>
      </w:r>
      <w:r w:rsidRPr="00B64324">
        <w:rPr>
          <w:sz w:val="16"/>
          <w:szCs w:val="16"/>
        </w:rPr>
        <w:t>. Sentencia de 31 de agosto de 2016. Serie C No. 315</w:t>
      </w:r>
      <w:r w:rsidRPr="00303E56">
        <w:rPr>
          <w:i/>
          <w:sz w:val="16"/>
          <w:szCs w:val="16"/>
        </w:rPr>
        <w:t>,</w:t>
      </w:r>
      <w:r w:rsidRPr="00303E56">
        <w:rPr>
          <w:sz w:val="16"/>
          <w:szCs w:val="16"/>
        </w:rPr>
        <w:t xml:space="preserve"> párr. 242.</w:t>
      </w:r>
    </w:p>
  </w:footnote>
  <w:footnote w:id="156">
    <w:p w14:paraId="6C787135" w14:textId="18D32047" w:rsidR="00795660" w:rsidRPr="00034B80" w:rsidRDefault="00795660" w:rsidP="008977F5">
      <w:pPr>
        <w:pStyle w:val="Textonotapie"/>
        <w:spacing w:before="0" w:after="0"/>
        <w:rPr>
          <w:lang w:val="es-ES"/>
        </w:rPr>
      </w:pPr>
      <w:r w:rsidRPr="00034B80">
        <w:rPr>
          <w:rStyle w:val="Refdenotaalpie"/>
        </w:rPr>
        <w:footnoteRef/>
      </w:r>
      <w:r w:rsidRPr="00034B80">
        <w:t xml:space="preserve"> </w:t>
      </w:r>
      <w:r>
        <w:tab/>
      </w:r>
      <w:r w:rsidRPr="00034B80">
        <w:rPr>
          <w:lang w:val="es-ES"/>
        </w:rPr>
        <w:t xml:space="preserve">Alegó que: a) fue sometido a la humillación al ser recluido por un año en una habitación de las Unidad de Equitación y Remonta (UER), cuartel de Policía a las afueras de Quito, quien fue Comandante General de la Policía Nacional y al momento </w:t>
      </w:r>
      <w:r w:rsidRPr="00FF31EC">
        <w:rPr>
          <w:lang w:val="es-ES"/>
        </w:rPr>
        <w:t>de los hechos se desempeñaba como Director General de Escuelas de Formación para Conductores no Profesionales regentado por la Asociación Nacional Ecuatoriana de Turismo (ANETA) con representatividad en el Consejo Nacional de Tránsito y Transporte Terrestres; b) en el desempeño de sus funciones recibió diversas condecoraciones y reconocimientos; c) en el ámbito personal elaboró un proyecto de creación de una escuela para conductores no profesionales con el propósito de dirigirla e incluso recibió una propuesta para gerenciar una empresa de seguridad privada, que se vieron obstaculizadas por los hechos; d) se afectó el patrimonio familiar, ya que se tuvo la necesidad de desprenderse de una oficina ubicada en la ciudad de Quito y un terreno en el cantón de Pedernales de</w:t>
      </w:r>
      <w:r>
        <w:rPr>
          <w:lang w:val="es-ES"/>
        </w:rPr>
        <w:t xml:space="preserve"> </w:t>
      </w:r>
      <w:r w:rsidRPr="00FF31EC">
        <w:rPr>
          <w:lang w:val="es-ES"/>
        </w:rPr>
        <w:t>la Provincia de Manabí, para cubrir necesidades inherentes a la alimentación, salud, educación de sus hijos, y su sostenibilidad en el reclusorio, y e) como consecuencia de lo vivido, sufrió un micro infarto, que mereció un tratamiento médico largo.</w:t>
      </w:r>
    </w:p>
  </w:footnote>
  <w:footnote w:id="157">
    <w:p w14:paraId="1D1653BD" w14:textId="77777777" w:rsidR="00795660" w:rsidRPr="00034B80" w:rsidRDefault="00795660" w:rsidP="00177BCB">
      <w:pPr>
        <w:pStyle w:val="Textonotapie"/>
        <w:spacing w:before="0" w:after="0"/>
        <w:rPr>
          <w:lang w:val="es-ES"/>
        </w:rPr>
      </w:pPr>
      <w:r>
        <w:rPr>
          <w:rStyle w:val="Refdenotaalpie"/>
        </w:rPr>
        <w:footnoteRef/>
      </w:r>
      <w:r>
        <w:t xml:space="preserve"> </w:t>
      </w:r>
      <w:r>
        <w:tab/>
        <w:t xml:space="preserve">Sostuvo que: </w:t>
      </w:r>
      <w:r>
        <w:rPr>
          <w:lang w:val="es-ES"/>
        </w:rPr>
        <w:t xml:space="preserve">a) la detención arbitraria sufrida arruinó su vida perjudicando su imagen de Oficial de Policía, función que cumplió por largos años de su vida hasta llegar al cargo de Comandante General, causándole un daño irreparable por el desequilibrio emocional que sufrió; b) al ser un hombre público en donde los medios de comunicación hacían referencia al caso sin analizar los hechos objetivamente fue objeto de “escarnio público”, trascendiendo el tema a la conciencia pública con el inicio de una campaña de desprestigio. Señaló que dicha situación obstaculizó su desarrollo personal, profesional y político, ya que desempeñó cargos relevantes y de gran responsabilidad, como Presidente de la Asociación de Futbol No Amateur de Pichincha (AFNA); fue miembro del Tribunal del Crimen para Oficiales y Tropa; representó a su país como agregado de la policía de Ecuador en la República de Colombia; fue incorporado al Consejo de Seguridad Nacional (COSENA), gestionó el desarrollo del Instituto de Seguridad Social de la Policía Nacional (ISSPOL), y recibió diversas condecoraciones por los años de servicio y por las acciones realizadas, y obtuvo su doctorado en psicología industrial en la Universidad Central del Ecuador como preparación para ayudarse económicamente al salir de la institución policial, así como que asistió a distintos países en el empeño de la lucha contra el narcotráfico, el lavado de dinero, etc. y a muchos cursos o seminarios; c) </w:t>
      </w:r>
      <w:r w:rsidRPr="00D32D3B">
        <w:rPr>
          <w:lang w:val="es-ES"/>
        </w:rPr>
        <w:t>debido</w:t>
      </w:r>
      <w:r>
        <w:rPr>
          <w:lang w:val="es-ES"/>
        </w:rPr>
        <w:t xml:space="preserve"> a sus trastornos psíquicos sufridos, los cuales a la fecha persisten, tuvo que pagar atenciones médicas significativas. </w:t>
      </w:r>
    </w:p>
  </w:footnote>
  <w:footnote w:id="158">
    <w:p w14:paraId="60136458" w14:textId="64E5C1F2" w:rsidR="00795660" w:rsidRPr="00034B80" w:rsidRDefault="00795660" w:rsidP="00F215B8">
      <w:pPr>
        <w:pStyle w:val="Textonotapie"/>
        <w:spacing w:before="0" w:after="0"/>
        <w:rPr>
          <w:lang w:val="es-ES"/>
        </w:rPr>
      </w:pPr>
      <w:r>
        <w:rPr>
          <w:rStyle w:val="Refdenotaalpie"/>
        </w:rPr>
        <w:footnoteRef/>
      </w:r>
      <w:r>
        <w:t xml:space="preserve"> </w:t>
      </w:r>
      <w:r>
        <w:tab/>
        <w:t xml:space="preserve">Alegó que: </w:t>
      </w:r>
      <w:r>
        <w:rPr>
          <w:lang w:val="es-ES"/>
        </w:rPr>
        <w:t>a) no pudo ejercer al menos cuatro años de Generalato, dos de Distrito y dos de Inspector y puede tomarse en cuenta los dos años como General Superior, ya que la persona que tiene vocación para ser oficial de policía aspira llegar a esa jerarquía que es el máximo grado dentro de la Policía Nacional; b) los sueldos y bonificaciones de todo ese tiempo (seis años); c) la cesantía que varía de acuerdo con el tiempo de servicio; d) la pensión de retiro que dura mientras viva el titular o su esposa, que es inferior a sus compañeros Generales; e) imposibilidad de conseguir trabajo por el escarnio público del que fue objeto en los medios de comunicación, dentro y fuera de la institución; f</w:t>
      </w:r>
      <w:r w:rsidRPr="009C536B">
        <w:rPr>
          <w:lang w:val="es-ES"/>
        </w:rPr>
        <w:t>) la defensa legal y jurídica durante los tres años que duró el proceso penal;</w:t>
      </w:r>
      <w:r>
        <w:rPr>
          <w:lang w:val="es-ES"/>
        </w:rPr>
        <w:t xml:space="preserve"> g) el incuantificable desgaste físico, mental y psicológico, en especial cuando la justicia policial tuvo influencias externas en contra de los procesados como se demostró; h) la venta de bienes muebles e inmuebles para hacer frente a los gastos relacionados con el juicio, e i) el estrés causado por el proceso penal, por los tres años que duró el juicio desde el 2002 al 2005, que se inició desde el 2001 en la Contraloría, hasta noviembre de 2018, es decir durante 17 años.</w:t>
      </w:r>
    </w:p>
  </w:footnote>
  <w:footnote w:id="159">
    <w:p w14:paraId="1942DF1F" w14:textId="63F64A4C" w:rsidR="00795660" w:rsidRPr="00034B80" w:rsidRDefault="00795660" w:rsidP="00E6189D">
      <w:pPr>
        <w:pStyle w:val="Textonotapie"/>
        <w:spacing w:before="0" w:after="0"/>
        <w:rPr>
          <w:lang w:val="es-ES"/>
        </w:rPr>
      </w:pPr>
      <w:r>
        <w:rPr>
          <w:rStyle w:val="Refdenotaalpie"/>
        </w:rPr>
        <w:footnoteRef/>
      </w:r>
      <w:r>
        <w:t xml:space="preserve"> </w:t>
      </w:r>
      <w:r>
        <w:tab/>
        <w:t xml:space="preserve">Sostuvo que: </w:t>
      </w:r>
      <w:r w:rsidRPr="00132C20">
        <w:rPr>
          <w:lang w:val="es-ES"/>
        </w:rPr>
        <w:t xml:space="preserve">a) no fueron reparados los daños materiales ni inmateriales; b) fue objeto de “escarnio publicitario” en violación de su honra, dignidad y reputación; c) el proceso instaurado en su contra le provocó una alteración traumática y sigue sufriendo un desequilibrio espiritual que de forma continua hace que tenga alteraciones psicológicas y depresión, y afectó su vida y su familia; d) como consecuencia de su detención se afectó su salud y fue ingresado en el </w:t>
      </w:r>
      <w:r>
        <w:rPr>
          <w:lang w:val="es-ES"/>
        </w:rPr>
        <w:t>H</w:t>
      </w:r>
      <w:r w:rsidRPr="00132C20">
        <w:rPr>
          <w:lang w:val="es-ES"/>
        </w:rPr>
        <w:t>ospital de la</w:t>
      </w:r>
      <w:r>
        <w:rPr>
          <w:lang w:val="es-ES"/>
        </w:rPr>
        <w:t xml:space="preserve"> P</w:t>
      </w:r>
      <w:r w:rsidRPr="00132C20">
        <w:rPr>
          <w:lang w:val="es-ES"/>
        </w:rPr>
        <w:t xml:space="preserve">olicía </w:t>
      </w:r>
      <w:r>
        <w:rPr>
          <w:lang w:val="es-ES"/>
        </w:rPr>
        <w:t xml:space="preserve">Nacional </w:t>
      </w:r>
      <w:r w:rsidRPr="00132C20">
        <w:rPr>
          <w:lang w:val="es-ES"/>
        </w:rPr>
        <w:t>por afectaciones respiratorias; e) fue objeto de reconocimientos y condecoraciones en razón de su desempeño, no obstante el juicio penal en su contra se materializó con la calificación baja en el proceso de ascenso a General, por lo que fue truncada su legítima aspiración de ascender al más al</w:t>
      </w:r>
      <w:r>
        <w:rPr>
          <w:lang w:val="es-ES"/>
        </w:rPr>
        <w:t>to grado de la policía nacional, y</w:t>
      </w:r>
      <w:r w:rsidRPr="00132C20">
        <w:rPr>
          <w:lang w:val="es-ES"/>
        </w:rPr>
        <w:t xml:space="preserve"> f) lo anterior afectó su remuneración en cuatro años que hubiere permanecido en el grado de General  en servicio activo y su respectiva pensión en servicio activo</w:t>
      </w:r>
      <w:r>
        <w:rPr>
          <w:lang w:val="es-ES"/>
        </w:rPr>
        <w:t>.</w:t>
      </w:r>
    </w:p>
  </w:footnote>
  <w:footnote w:id="160">
    <w:p w14:paraId="31574E15" w14:textId="3CE9766C" w:rsidR="00795660" w:rsidRPr="00034B80" w:rsidRDefault="00795660" w:rsidP="00E829A3">
      <w:pPr>
        <w:pStyle w:val="Textonotapie"/>
        <w:spacing w:before="0" w:after="0"/>
        <w:rPr>
          <w:lang w:val="es-ES"/>
        </w:rPr>
      </w:pPr>
      <w:r>
        <w:rPr>
          <w:rStyle w:val="Refdenotaalpie"/>
        </w:rPr>
        <w:footnoteRef/>
      </w:r>
      <w:r>
        <w:t xml:space="preserve"> </w:t>
      </w:r>
      <w:r>
        <w:tab/>
        <w:t>Sostuvo</w:t>
      </w:r>
      <w:r w:rsidRPr="00F31950">
        <w:rPr>
          <w:lang w:val="es-ES"/>
        </w:rPr>
        <w:t xml:space="preserve">: a) pérdida de una mejor cesantía por la salida anticipada de la institución; b) pérdida de ascenso de General de Distrito a </w:t>
      </w:r>
      <w:r>
        <w:rPr>
          <w:lang w:val="es-ES"/>
        </w:rPr>
        <w:t xml:space="preserve">General </w:t>
      </w:r>
      <w:r w:rsidRPr="00F31950">
        <w:rPr>
          <w:lang w:val="es-ES"/>
        </w:rPr>
        <w:t>Inspector; c) pérdida de opción de ascenso de General Inspector a Comandante General; d)</w:t>
      </w:r>
      <w:r>
        <w:rPr>
          <w:lang w:val="es-ES"/>
        </w:rPr>
        <w:t xml:space="preserve"> pérdida de oportunidades de trabajo por el despliegue periodístico que se dio al caso</w:t>
      </w:r>
      <w:r w:rsidRPr="00F31950">
        <w:rPr>
          <w:lang w:val="es-ES"/>
        </w:rPr>
        <w:t>; e)</w:t>
      </w:r>
      <w:r>
        <w:rPr>
          <w:lang w:val="es-ES"/>
        </w:rPr>
        <w:t xml:space="preserve"> pérdida de oportunidad de viajar como Agregado Policial, y</w:t>
      </w:r>
      <w:r w:rsidRPr="00F31950">
        <w:rPr>
          <w:lang w:val="es-ES"/>
        </w:rPr>
        <w:t xml:space="preserve"> f) </w:t>
      </w:r>
      <w:r>
        <w:rPr>
          <w:lang w:val="es-ES"/>
        </w:rPr>
        <w:t>gastos traslado de sus familiares, a su lugar de detención ubicado aproximadamente a unos 60 kilómetros  de la Ciudad de Quito, ya sea por visita o trámites dispuestos por la Corte Superior de Justicia Policial.</w:t>
      </w:r>
    </w:p>
  </w:footnote>
  <w:footnote w:id="161">
    <w:p w14:paraId="14BDA54B" w14:textId="2940F5C1" w:rsidR="00795660" w:rsidRPr="00C94F56" w:rsidRDefault="00795660" w:rsidP="00E829A3">
      <w:pPr>
        <w:pStyle w:val="Textonotapie"/>
        <w:spacing w:before="0" w:after="0"/>
        <w:rPr>
          <w:lang w:val="es-CR"/>
        </w:rPr>
      </w:pPr>
      <w:r>
        <w:rPr>
          <w:rStyle w:val="Refdenotaalpie"/>
        </w:rPr>
        <w:footnoteRef/>
      </w:r>
      <w:r>
        <w:t xml:space="preserve"> </w:t>
      </w:r>
      <w:r>
        <w:tab/>
      </w:r>
      <w:r>
        <w:rPr>
          <w:lang w:val="es-ES"/>
        </w:rPr>
        <w:t>Sufrió las siguientes afectaciones: a) a su imagen, honra y respeto, así como salud mental. En su salud sufrió alto nivel de stress y otros padecimientos algunos de los cuales mantiene hasta hoy y fue atendido en varias ocasiones en el Hospital de la Policía Nacional; b) dada la situación judicial, pese a que fue objeto de una sentencia absolutoria, quedaron marcados o señalados, por los miembros de la Institución y de sus familiares; c) su proyecto de vida se vio afectado; d</w:t>
      </w:r>
      <w:r w:rsidRPr="001A62CA">
        <w:rPr>
          <w:lang w:val="es-ES"/>
        </w:rPr>
        <w:t>) en cuanto al daño emergente, su sueldo como miembro de la policía nacional nunca fue suficiente; e</w:t>
      </w:r>
      <w:r>
        <w:rPr>
          <w:lang w:val="es-ES"/>
        </w:rPr>
        <w:t>) pago de pasajes de avión para viajar a Quito a rendir sus declaraciones, ya que prestaba sus servicios en la Provincia de Loja; f) debido a la situación que para solventar los recursos necesarios de alimentación, sostener a la familia y estudios de sus hijos, hice varios prestamos en la Cooperativa de la Policía Nacional, así como que acudió a su familia, y g) en cuanto al lucro cesante el juicio le trajo gran perjuicio económico, se reintegró al servicio activo y retomó  su grado en la Institución y acudió al Consejo de Generales de la Policía Nacional, quienes debían calificar en sus notas de desempeño anual, pero por la situación legal, les puso notas bajas por los tres años que duró el juicio y esas notas de calificación le afectaron. Con la nota tuvo que solicitar el ascenso al inmediato grado superior, o sea Coronel de Policía. Ascendió el 17 de julio de 2006, es decir, dos años después de sus compañeros. Además, dada esa situación el ascenso a General fue prácticamente imposible, teniendo por ley tener que salir de la institución y acogerse al servicio pasivo, con la pensión de coronel, con 32 años, 6 meses y 13 días. Si hubiese ascendido a General hubiese cumplido más tiempo de servicio y por ende la liquidación del seguro de cesantía hubiese sido mayor. La aspiración de todo oficial de la Policía Nacional es la de alcanzar el más alto grado jerárquico, es decir General Superior, de lo contrario se produce una gran frustración. Al salir de Coronel se le causó un gran perjuicio, ya que recibe una suma inferior a la pensión de un inspector y a la de un General Superior.</w:t>
      </w:r>
    </w:p>
  </w:footnote>
  <w:footnote w:id="162">
    <w:p w14:paraId="51163F35" w14:textId="285D3658" w:rsidR="00795660" w:rsidRPr="00204C95" w:rsidRDefault="00795660" w:rsidP="00177BCB">
      <w:pPr>
        <w:pStyle w:val="Textonotapie"/>
        <w:spacing w:before="0" w:after="0"/>
      </w:pPr>
      <w:r>
        <w:rPr>
          <w:rStyle w:val="Refdenotaalpie"/>
        </w:rPr>
        <w:footnoteRef/>
      </w:r>
      <w:r>
        <w:t xml:space="preserve"> </w:t>
      </w:r>
      <w:r w:rsidRPr="008C63AA">
        <w:rPr>
          <w:lang w:val="es-CR"/>
        </w:rPr>
        <w:tab/>
        <w:t xml:space="preserve">El señor </w:t>
      </w:r>
      <w:r w:rsidRPr="001A466E">
        <w:rPr>
          <w:lang w:val="es-CR"/>
        </w:rPr>
        <w:t>López Ortiz</w:t>
      </w:r>
      <w:r w:rsidRPr="008C63AA">
        <w:rPr>
          <w:lang w:val="es-CR"/>
        </w:rPr>
        <w:t xml:space="preserve"> recibe </w:t>
      </w:r>
      <w:r>
        <w:rPr>
          <w:lang w:val="es-CR"/>
        </w:rPr>
        <w:t xml:space="preserve">su pensión </w:t>
      </w:r>
      <w:r w:rsidRPr="008C63AA">
        <w:rPr>
          <w:lang w:val="es-CR"/>
        </w:rPr>
        <w:t xml:space="preserve">en el grado de General de Distrito desde </w:t>
      </w:r>
      <w:r w:rsidRPr="0043782B">
        <w:rPr>
          <w:lang w:val="es-CR"/>
        </w:rPr>
        <w:t xml:space="preserve">el 9 de junio de 2006. Por su parte, el señor </w:t>
      </w:r>
      <w:r w:rsidRPr="001A466E">
        <w:rPr>
          <w:lang w:val="es-CR"/>
        </w:rPr>
        <w:t>Villarroel Merino</w:t>
      </w:r>
      <w:r w:rsidRPr="0043782B">
        <w:rPr>
          <w:lang w:val="es-CR"/>
        </w:rPr>
        <w:t xml:space="preserve"> recibe dicha pensión en el grado de General Superior desde el 30 de enero de 2000. El señor </w:t>
      </w:r>
      <w:r w:rsidRPr="001A466E">
        <w:rPr>
          <w:lang w:val="es-CR"/>
        </w:rPr>
        <w:t>Cevallos Moreno</w:t>
      </w:r>
      <w:r w:rsidRPr="0043782B">
        <w:rPr>
          <w:lang w:val="es-CR"/>
        </w:rPr>
        <w:t xml:space="preserve"> recibe su pensión en el grado de General Inspector desde el 12 de octubre de 2001. El señor </w:t>
      </w:r>
      <w:r w:rsidRPr="001A466E">
        <w:rPr>
          <w:lang w:val="es-CR"/>
        </w:rPr>
        <w:t>Ascázubi Albán</w:t>
      </w:r>
      <w:r w:rsidRPr="0043782B">
        <w:rPr>
          <w:lang w:val="es-CR"/>
        </w:rPr>
        <w:t xml:space="preserve"> recibe su pensión en el grado de General de Distrito desde 9 de</w:t>
      </w:r>
      <w:r w:rsidRPr="008C63AA">
        <w:rPr>
          <w:lang w:val="es-CR"/>
        </w:rPr>
        <w:t xml:space="preserve"> junio de 2006. El señor </w:t>
      </w:r>
      <w:r w:rsidRPr="001A466E">
        <w:rPr>
          <w:lang w:val="es-CR"/>
        </w:rPr>
        <w:t>Coloma Gaibor</w:t>
      </w:r>
      <w:r w:rsidRPr="008C63AA">
        <w:rPr>
          <w:lang w:val="es-CR"/>
        </w:rPr>
        <w:t xml:space="preserve"> recibe su pensión en el grado de Coronel de la Policía de Estado Mayor desde el 29 de agosto de 2009. El señor </w:t>
      </w:r>
      <w:r w:rsidRPr="001A466E">
        <w:rPr>
          <w:lang w:val="es-CR"/>
        </w:rPr>
        <w:t>Vinueza Pánchez</w:t>
      </w:r>
      <w:r w:rsidRPr="008C63AA">
        <w:rPr>
          <w:lang w:val="es-CR"/>
        </w:rPr>
        <w:t xml:space="preserve"> recibe su pensión en el grado de Coronel de la Policía de Estado Mayor desde el 14 de julio de 2010.</w:t>
      </w:r>
      <w:r>
        <w:rPr>
          <w:lang w:val="es-CR"/>
        </w:rPr>
        <w:t xml:space="preserve"> </w:t>
      </w:r>
    </w:p>
  </w:footnote>
  <w:footnote w:id="163">
    <w:p w14:paraId="62EB2C35" w14:textId="1AB128A3" w:rsidR="00795660" w:rsidRPr="009302D2" w:rsidRDefault="00795660" w:rsidP="006B1FC4">
      <w:pPr>
        <w:pStyle w:val="Textonotapie"/>
        <w:spacing w:before="0" w:after="0"/>
        <w:rPr>
          <w:lang w:val="es-CR"/>
        </w:rPr>
      </w:pPr>
      <w:r>
        <w:rPr>
          <w:rStyle w:val="Refdenotaalpie"/>
        </w:rPr>
        <w:footnoteRef/>
      </w:r>
      <w:r>
        <w:t xml:space="preserve"> </w:t>
      </w:r>
      <w:r>
        <w:rPr>
          <w:lang w:val="es-CR"/>
        </w:rPr>
        <w:tab/>
      </w:r>
      <w:r w:rsidRPr="009302D2">
        <w:rPr>
          <w:i/>
        </w:rPr>
        <w:t>Cfr.</w:t>
      </w:r>
      <w:r>
        <w:t xml:space="preserve"> </w:t>
      </w:r>
      <w:r w:rsidRPr="00730B27">
        <w:rPr>
          <w:i/>
        </w:rPr>
        <w:t>Caso Bámaca Velásquez Vs. Guatemala. Reparaciones y Costas</w:t>
      </w:r>
      <w:r>
        <w:t xml:space="preserve">. Sentencia de 22 de febrero de 2002. Serie C No. 91, párr. 43, y </w:t>
      </w:r>
      <w:r w:rsidRPr="008A1802">
        <w:rPr>
          <w:rFonts w:cs="Verdana"/>
          <w:i/>
          <w:lang w:bidi="en-US"/>
        </w:rPr>
        <w:t xml:space="preserve">Caso </w:t>
      </w:r>
      <w:r>
        <w:rPr>
          <w:rFonts w:cs="Verdana"/>
          <w:i/>
          <w:lang w:bidi="en-US"/>
        </w:rPr>
        <w:t>Grijalva Bueno Vs. Ecuador</w:t>
      </w:r>
      <w:r>
        <w:rPr>
          <w:rFonts w:cs="Verdana"/>
          <w:lang w:bidi="en-US"/>
        </w:rPr>
        <w:t>,</w:t>
      </w:r>
      <w:r w:rsidRPr="008A1802">
        <w:rPr>
          <w:rFonts w:cs="Verdana"/>
          <w:lang w:bidi="en-US"/>
        </w:rPr>
        <w:t xml:space="preserve"> </w:t>
      </w:r>
      <w:r w:rsidRPr="00E829A3">
        <w:rPr>
          <w:i/>
          <w:szCs w:val="16"/>
        </w:rPr>
        <w:t>supra,</w:t>
      </w:r>
      <w:r>
        <w:rPr>
          <w:szCs w:val="16"/>
        </w:rPr>
        <w:t xml:space="preserve"> </w:t>
      </w:r>
      <w:r w:rsidRPr="008A1802">
        <w:rPr>
          <w:rFonts w:cs="Verdana"/>
          <w:lang w:bidi="en-US"/>
        </w:rPr>
        <w:t xml:space="preserve">párr. </w:t>
      </w:r>
      <w:r>
        <w:rPr>
          <w:rFonts w:cs="Verdana"/>
          <w:lang w:bidi="en-US"/>
        </w:rPr>
        <w:t>185.</w:t>
      </w:r>
    </w:p>
  </w:footnote>
  <w:footnote w:id="164">
    <w:p w14:paraId="5518008C" w14:textId="2D65D921" w:rsidR="00795660" w:rsidRPr="009302D2" w:rsidRDefault="00795660" w:rsidP="00204C95">
      <w:pPr>
        <w:pStyle w:val="Textonotapie"/>
        <w:spacing w:before="0" w:after="0"/>
        <w:rPr>
          <w:lang w:val="es-CR"/>
        </w:rPr>
      </w:pPr>
      <w:r>
        <w:rPr>
          <w:rStyle w:val="Refdenotaalpie"/>
        </w:rPr>
        <w:footnoteRef/>
      </w:r>
      <w:r>
        <w:t xml:space="preserve"> </w:t>
      </w:r>
      <w:r>
        <w:rPr>
          <w:lang w:val="es-CR"/>
        </w:rPr>
        <w:tab/>
      </w:r>
      <w:r w:rsidRPr="009302D2">
        <w:rPr>
          <w:i/>
        </w:rPr>
        <w:t>Cfr.</w:t>
      </w:r>
      <w:r>
        <w:t xml:space="preserve"> </w:t>
      </w:r>
      <w:r w:rsidRPr="00730B27">
        <w:rPr>
          <w:i/>
        </w:rPr>
        <w:t>Caso de los “Niños de la Calle” (Villagrán Morales y otros) Vs. Guatemala. Reparaciones y Costas.</w:t>
      </w:r>
      <w:r>
        <w:t xml:space="preserve"> Sentencia de 26 de mayo de 2001. Serie C No. 77, párr. 84, y </w:t>
      </w:r>
      <w:r w:rsidRPr="008A1802">
        <w:rPr>
          <w:rFonts w:cs="Verdana"/>
          <w:i/>
          <w:lang w:bidi="en-US"/>
        </w:rPr>
        <w:t xml:space="preserve">Caso </w:t>
      </w:r>
      <w:r>
        <w:rPr>
          <w:rFonts w:cs="Verdana"/>
          <w:i/>
          <w:lang w:bidi="en-US"/>
        </w:rPr>
        <w:t>Grijalva Bueno Vs. Ecuador</w:t>
      </w:r>
      <w:r>
        <w:rPr>
          <w:rFonts w:cs="Verdana"/>
          <w:lang w:bidi="en-US"/>
        </w:rPr>
        <w:t>,</w:t>
      </w:r>
      <w:r w:rsidRPr="008A1802">
        <w:rPr>
          <w:rFonts w:cs="Verdana"/>
          <w:lang w:bidi="en-US"/>
        </w:rPr>
        <w:t xml:space="preserve"> </w:t>
      </w:r>
      <w:r w:rsidRPr="00CF7D42">
        <w:rPr>
          <w:rFonts w:cs="Verdana"/>
          <w:i/>
          <w:lang w:bidi="en-US"/>
        </w:rPr>
        <w:t>supra</w:t>
      </w:r>
      <w:r>
        <w:rPr>
          <w:rFonts w:cs="Verdana"/>
          <w:lang w:bidi="en-US"/>
        </w:rPr>
        <w:t xml:space="preserve">, </w:t>
      </w:r>
      <w:r w:rsidRPr="008A1802">
        <w:rPr>
          <w:rFonts w:cs="Verdana"/>
          <w:lang w:bidi="en-US"/>
        </w:rPr>
        <w:t xml:space="preserve">párr. </w:t>
      </w:r>
      <w:r>
        <w:rPr>
          <w:rFonts w:cs="Verdana"/>
          <w:lang w:bidi="en-US"/>
        </w:rPr>
        <w:t>189.</w:t>
      </w:r>
    </w:p>
  </w:footnote>
  <w:footnote w:id="165">
    <w:p w14:paraId="31C4EFE2" w14:textId="77777777" w:rsidR="00795660" w:rsidRPr="009302D2" w:rsidRDefault="00795660" w:rsidP="0098306F">
      <w:pPr>
        <w:pStyle w:val="Textonotapie"/>
        <w:spacing w:before="0" w:after="0"/>
        <w:rPr>
          <w:lang w:val="es-CR"/>
        </w:rPr>
      </w:pPr>
      <w:r>
        <w:rPr>
          <w:rStyle w:val="Refdenotaalpie"/>
        </w:rPr>
        <w:footnoteRef/>
      </w:r>
      <w:r>
        <w:t xml:space="preserve"> </w:t>
      </w:r>
      <w:r>
        <w:rPr>
          <w:lang w:val="es-CR"/>
        </w:rPr>
        <w:tab/>
      </w:r>
      <w:r w:rsidRPr="00E2650A">
        <w:t xml:space="preserve">El señor Cevallos </w:t>
      </w:r>
      <w:r>
        <w:t xml:space="preserve">Moreno </w:t>
      </w:r>
      <w:r w:rsidRPr="00E2650A">
        <w:t>fue puesto en libertad el 13 de noviembre de 2003</w:t>
      </w:r>
      <w:r>
        <w:t xml:space="preserve"> y</w:t>
      </w:r>
      <w:r w:rsidRPr="00E2650A">
        <w:t xml:space="preserve"> </w:t>
      </w:r>
      <w:r>
        <w:t xml:space="preserve">los señores </w:t>
      </w:r>
      <w:r w:rsidRPr="00107F56">
        <w:t>Coloma Gaibor, López Ortiz, Ascázubi Albán y Vinueza Pánchez</w:t>
      </w:r>
      <w:r w:rsidRPr="009302D2">
        <w:t xml:space="preserve"> </w:t>
      </w:r>
      <w:r w:rsidRPr="00E2650A">
        <w:t>el 25 de mayo de 2004.</w:t>
      </w:r>
      <w:r>
        <w:t xml:space="preserve"> Por último, el señor Villarroel Merino fue puesto en libertad el 4 de junio de 2004.</w:t>
      </w:r>
    </w:p>
  </w:footnote>
  <w:footnote w:id="166">
    <w:p w14:paraId="6BCFC6D1" w14:textId="253EF0DF" w:rsidR="00795660" w:rsidRPr="00A47FF8" w:rsidRDefault="00795660" w:rsidP="00730B27">
      <w:pPr>
        <w:pStyle w:val="Textonotapie"/>
        <w:spacing w:before="0" w:after="0"/>
        <w:rPr>
          <w:szCs w:val="16"/>
        </w:rPr>
      </w:pPr>
      <w:r w:rsidRPr="00A47FF8">
        <w:rPr>
          <w:rStyle w:val="Refdenotaalpie"/>
          <w:szCs w:val="16"/>
        </w:rPr>
        <w:footnoteRef/>
      </w:r>
      <w:r w:rsidRPr="0033549A">
        <w:rPr>
          <w:szCs w:val="16"/>
        </w:rPr>
        <w:tab/>
      </w:r>
      <w:r w:rsidRPr="00A47FF8">
        <w:rPr>
          <w:i/>
          <w:szCs w:val="16"/>
        </w:rPr>
        <w:t xml:space="preserve">Cfr. Caso Garrido y Baigorria Vs. Argentina. Reparaciones y Costas. </w:t>
      </w:r>
      <w:r w:rsidRPr="00A47FF8">
        <w:rPr>
          <w:szCs w:val="16"/>
        </w:rPr>
        <w:t xml:space="preserve">Sentencia de 27 de agosto de 1998. Serie C No. 39, párr. 82, y </w:t>
      </w:r>
      <w:r w:rsidRPr="00303E56">
        <w:rPr>
          <w:rFonts w:cs="Verdana"/>
          <w:i/>
          <w:lang w:bidi="en-US"/>
        </w:rPr>
        <w:t>Caso Guerrero, Molina y otros Vs. Venezuela</w:t>
      </w:r>
      <w:r w:rsidRPr="00303E56">
        <w:rPr>
          <w:rFonts w:cs="Verdana"/>
          <w:lang w:bidi="en-US"/>
        </w:rPr>
        <w:t xml:space="preserve">. </w:t>
      </w:r>
      <w:r w:rsidRPr="00303E56">
        <w:rPr>
          <w:rFonts w:cs="Verdana"/>
          <w:i/>
          <w:lang w:bidi="en-US"/>
        </w:rPr>
        <w:t>Fondo, Reparaciones y Costas</w:t>
      </w:r>
      <w:r w:rsidRPr="00303E56">
        <w:rPr>
          <w:rFonts w:cs="Verdana"/>
          <w:lang w:bidi="en-US"/>
        </w:rPr>
        <w:t>. Sentencia de 3 de junio de 2021. Serie C No. 424, párr. 192</w:t>
      </w:r>
      <w:r w:rsidRPr="00303E56">
        <w:rPr>
          <w:rFonts w:cs="Verdana"/>
          <w:szCs w:val="16"/>
          <w:lang w:bidi="en-US"/>
        </w:rPr>
        <w:t>.</w:t>
      </w:r>
    </w:p>
  </w:footnote>
  <w:footnote w:id="167">
    <w:p w14:paraId="3A2D97B2" w14:textId="395963FD" w:rsidR="00795660" w:rsidRPr="00A27049" w:rsidRDefault="00795660" w:rsidP="00730B27">
      <w:pPr>
        <w:pStyle w:val="Textonotapie"/>
        <w:spacing w:before="0" w:after="0"/>
        <w:rPr>
          <w:lang w:val="es-CR"/>
        </w:rPr>
      </w:pPr>
      <w:r w:rsidRPr="00A27049">
        <w:rPr>
          <w:rStyle w:val="Refdenotaalpie"/>
        </w:rPr>
        <w:footnoteRef/>
      </w:r>
      <w:r w:rsidRPr="00A27049">
        <w:rPr>
          <w:lang w:val="es-CR"/>
        </w:rPr>
        <w:t xml:space="preserve"> </w:t>
      </w:r>
      <w:r w:rsidRPr="00A27049">
        <w:rPr>
          <w:lang w:val="es-CR"/>
        </w:rPr>
        <w:tab/>
      </w:r>
      <w:r w:rsidRPr="00A27049">
        <w:rPr>
          <w:i/>
          <w:lang w:val="es-CR"/>
        </w:rPr>
        <w:t xml:space="preserve">Cfr. </w:t>
      </w:r>
      <w:r w:rsidRPr="00A27049">
        <w:rPr>
          <w:lang w:val="es-CR"/>
        </w:rPr>
        <w:t>Artículo 40.d</w:t>
      </w:r>
      <w:r>
        <w:rPr>
          <w:lang w:val="es-CR"/>
        </w:rPr>
        <w:t>)</w:t>
      </w:r>
      <w:r w:rsidRPr="00A27049">
        <w:rPr>
          <w:lang w:val="es-CR"/>
        </w:rPr>
        <w:t xml:space="preserve"> del Reglamento de la Corte. Véase también, </w:t>
      </w:r>
      <w:r w:rsidRPr="00A27049">
        <w:rPr>
          <w:i/>
          <w:lang w:val="es-CR"/>
        </w:rPr>
        <w:t>Caso Ga</w:t>
      </w:r>
      <w:r>
        <w:rPr>
          <w:i/>
          <w:lang w:val="es-CR"/>
        </w:rPr>
        <w:t xml:space="preserve">rrido y Baigorria Vs. Argentina, </w:t>
      </w:r>
      <w:r w:rsidRPr="00A436B4">
        <w:rPr>
          <w:i/>
          <w:lang w:val="es-CR"/>
        </w:rPr>
        <w:t>supra,</w:t>
      </w:r>
      <w:r w:rsidRPr="00A27049">
        <w:rPr>
          <w:lang w:val="es-CR"/>
        </w:rPr>
        <w:t xml:space="preserve"> párrs. 79 y 82, y</w:t>
      </w:r>
      <w:r>
        <w:rPr>
          <w:lang w:val="es-CR"/>
        </w:rPr>
        <w:t xml:space="preserve"> </w:t>
      </w:r>
      <w:r w:rsidRPr="00CF7D42">
        <w:rPr>
          <w:i/>
          <w:lang w:val="es-CR"/>
        </w:rPr>
        <w:t>Caso Grijalva Bueno Vs. Ecuador</w:t>
      </w:r>
      <w:r>
        <w:rPr>
          <w:rFonts w:cs="Verdana"/>
          <w:lang w:bidi="en-US"/>
        </w:rPr>
        <w:t xml:space="preserve">, </w:t>
      </w:r>
      <w:r w:rsidRPr="00CF7D42">
        <w:rPr>
          <w:rFonts w:cs="Verdana"/>
          <w:i/>
          <w:lang w:bidi="en-US"/>
        </w:rPr>
        <w:t>supra</w:t>
      </w:r>
      <w:r>
        <w:rPr>
          <w:rFonts w:cs="Verdana"/>
          <w:lang w:bidi="en-US"/>
        </w:rPr>
        <w:t>,</w:t>
      </w:r>
      <w:r w:rsidRPr="008A1802">
        <w:rPr>
          <w:rFonts w:cs="Verdana"/>
          <w:lang w:bidi="en-US"/>
        </w:rPr>
        <w:t xml:space="preserve"> párr. </w:t>
      </w:r>
      <w:r>
        <w:rPr>
          <w:rFonts w:cs="Verdana"/>
          <w:lang w:bidi="en-US"/>
        </w:rPr>
        <w:t>194</w:t>
      </w:r>
      <w:r w:rsidRPr="008A1802">
        <w:rPr>
          <w:rFonts w:cs="Verdana"/>
          <w:szCs w:val="16"/>
          <w:lang w:bidi="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D3805" w14:textId="408AD6BE" w:rsidR="00795660" w:rsidRDefault="00795660" w:rsidP="00097D63">
    <w:pPr>
      <w:pStyle w:val="Encabezado"/>
    </w:pPr>
  </w:p>
  <w:p w14:paraId="70FC5551" w14:textId="169C1E1A" w:rsidR="00795660" w:rsidRDefault="0079566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F6B66"/>
    <w:multiLevelType w:val="hybridMultilevel"/>
    <w:tmpl w:val="701A39A8"/>
    <w:lvl w:ilvl="0" w:tplc="6E6474B6">
      <w:start w:val="1"/>
      <w:numFmt w:val="decimal"/>
      <w:lvlText w:val="%1."/>
      <w:lvlJc w:val="left"/>
      <w:pPr>
        <w:ind w:left="5130" w:hanging="360"/>
      </w:pPr>
      <w:rPr>
        <w:rFonts w:ascii="Verdana" w:hAnsi="Verdana" w:hint="default"/>
        <w:b w:val="0"/>
        <w:i w:val="0"/>
        <w:strike w:val="0"/>
        <w:dstrike w:val="0"/>
        <w:color w:val="auto"/>
        <w:sz w:val="20"/>
        <w:szCs w:val="20"/>
        <w:u w:val="none"/>
        <w:effect w:val="none"/>
        <w:vertAlign w:val="baseline"/>
        <w:lang w:val="es-CO"/>
      </w:rPr>
    </w:lvl>
    <w:lvl w:ilvl="1" w:tplc="06F2E728">
      <w:start w:val="1"/>
      <w:numFmt w:val="upp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 w15:restartNumberingAfterBreak="0">
    <w:nsid w:val="044159EF"/>
    <w:multiLevelType w:val="hybridMultilevel"/>
    <w:tmpl w:val="DB420520"/>
    <w:lvl w:ilvl="0" w:tplc="78885F44">
      <w:start w:val="1"/>
      <w:numFmt w:val="upperLetter"/>
      <w:lvlText w:val="%1."/>
      <w:lvlJc w:val="righ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5066823"/>
    <w:multiLevelType w:val="hybridMultilevel"/>
    <w:tmpl w:val="BC000148"/>
    <w:lvl w:ilvl="0" w:tplc="140A0017">
      <w:start w:val="1"/>
      <w:numFmt w:val="lowerLetter"/>
      <w:lvlText w:val="%1)"/>
      <w:lvlJc w:val="left"/>
      <w:pPr>
        <w:ind w:left="1776" w:hanging="360"/>
      </w:pPr>
      <w:rPr>
        <w:rFonts w:hint="default"/>
      </w:rPr>
    </w:lvl>
    <w:lvl w:ilvl="1" w:tplc="140A0019" w:tentative="1">
      <w:start w:val="1"/>
      <w:numFmt w:val="lowerLetter"/>
      <w:lvlText w:val="%2."/>
      <w:lvlJc w:val="left"/>
      <w:pPr>
        <w:ind w:left="2496" w:hanging="360"/>
      </w:pPr>
    </w:lvl>
    <w:lvl w:ilvl="2" w:tplc="140A001B" w:tentative="1">
      <w:start w:val="1"/>
      <w:numFmt w:val="lowerRoman"/>
      <w:lvlText w:val="%3."/>
      <w:lvlJc w:val="right"/>
      <w:pPr>
        <w:ind w:left="3216" w:hanging="180"/>
      </w:pPr>
    </w:lvl>
    <w:lvl w:ilvl="3" w:tplc="140A000F" w:tentative="1">
      <w:start w:val="1"/>
      <w:numFmt w:val="decimal"/>
      <w:lvlText w:val="%4."/>
      <w:lvlJc w:val="left"/>
      <w:pPr>
        <w:ind w:left="3936" w:hanging="360"/>
      </w:pPr>
    </w:lvl>
    <w:lvl w:ilvl="4" w:tplc="140A0019" w:tentative="1">
      <w:start w:val="1"/>
      <w:numFmt w:val="lowerLetter"/>
      <w:lvlText w:val="%5."/>
      <w:lvlJc w:val="left"/>
      <w:pPr>
        <w:ind w:left="4656" w:hanging="360"/>
      </w:pPr>
    </w:lvl>
    <w:lvl w:ilvl="5" w:tplc="140A001B" w:tentative="1">
      <w:start w:val="1"/>
      <w:numFmt w:val="lowerRoman"/>
      <w:lvlText w:val="%6."/>
      <w:lvlJc w:val="right"/>
      <w:pPr>
        <w:ind w:left="5376" w:hanging="180"/>
      </w:pPr>
    </w:lvl>
    <w:lvl w:ilvl="6" w:tplc="140A000F" w:tentative="1">
      <w:start w:val="1"/>
      <w:numFmt w:val="decimal"/>
      <w:lvlText w:val="%7."/>
      <w:lvlJc w:val="left"/>
      <w:pPr>
        <w:ind w:left="6096" w:hanging="360"/>
      </w:pPr>
    </w:lvl>
    <w:lvl w:ilvl="7" w:tplc="140A0019" w:tentative="1">
      <w:start w:val="1"/>
      <w:numFmt w:val="lowerLetter"/>
      <w:lvlText w:val="%8."/>
      <w:lvlJc w:val="left"/>
      <w:pPr>
        <w:ind w:left="6816" w:hanging="360"/>
      </w:pPr>
    </w:lvl>
    <w:lvl w:ilvl="8" w:tplc="140A001B" w:tentative="1">
      <w:start w:val="1"/>
      <w:numFmt w:val="lowerRoman"/>
      <w:lvlText w:val="%9."/>
      <w:lvlJc w:val="right"/>
      <w:pPr>
        <w:ind w:left="7536" w:hanging="180"/>
      </w:pPr>
    </w:lvl>
  </w:abstractNum>
  <w:abstractNum w:abstractNumId="3" w15:restartNumberingAfterBreak="0">
    <w:nsid w:val="062863F8"/>
    <w:multiLevelType w:val="hybridMultilevel"/>
    <w:tmpl w:val="8BBC4B3C"/>
    <w:lvl w:ilvl="0" w:tplc="3222A3CE">
      <w:start w:val="1"/>
      <w:numFmt w:val="lowerLetter"/>
      <w:lvlText w:val="%1)"/>
      <w:lvlJc w:val="left"/>
      <w:pPr>
        <w:ind w:left="1494" w:hanging="360"/>
      </w:pPr>
      <w:rPr>
        <w:rFonts w:hint="default"/>
      </w:rPr>
    </w:lvl>
    <w:lvl w:ilvl="1" w:tplc="140A0019" w:tentative="1">
      <w:start w:val="1"/>
      <w:numFmt w:val="lowerLetter"/>
      <w:lvlText w:val="%2."/>
      <w:lvlJc w:val="left"/>
      <w:pPr>
        <w:ind w:left="2214" w:hanging="360"/>
      </w:pPr>
    </w:lvl>
    <w:lvl w:ilvl="2" w:tplc="140A001B" w:tentative="1">
      <w:start w:val="1"/>
      <w:numFmt w:val="lowerRoman"/>
      <w:lvlText w:val="%3."/>
      <w:lvlJc w:val="right"/>
      <w:pPr>
        <w:ind w:left="2934" w:hanging="180"/>
      </w:pPr>
    </w:lvl>
    <w:lvl w:ilvl="3" w:tplc="140A000F" w:tentative="1">
      <w:start w:val="1"/>
      <w:numFmt w:val="decimal"/>
      <w:lvlText w:val="%4."/>
      <w:lvlJc w:val="left"/>
      <w:pPr>
        <w:ind w:left="3654" w:hanging="360"/>
      </w:pPr>
    </w:lvl>
    <w:lvl w:ilvl="4" w:tplc="140A0019" w:tentative="1">
      <w:start w:val="1"/>
      <w:numFmt w:val="lowerLetter"/>
      <w:lvlText w:val="%5."/>
      <w:lvlJc w:val="left"/>
      <w:pPr>
        <w:ind w:left="4374" w:hanging="360"/>
      </w:pPr>
    </w:lvl>
    <w:lvl w:ilvl="5" w:tplc="140A001B" w:tentative="1">
      <w:start w:val="1"/>
      <w:numFmt w:val="lowerRoman"/>
      <w:lvlText w:val="%6."/>
      <w:lvlJc w:val="right"/>
      <w:pPr>
        <w:ind w:left="5094" w:hanging="180"/>
      </w:pPr>
    </w:lvl>
    <w:lvl w:ilvl="6" w:tplc="140A000F" w:tentative="1">
      <w:start w:val="1"/>
      <w:numFmt w:val="decimal"/>
      <w:lvlText w:val="%7."/>
      <w:lvlJc w:val="left"/>
      <w:pPr>
        <w:ind w:left="5814" w:hanging="360"/>
      </w:pPr>
    </w:lvl>
    <w:lvl w:ilvl="7" w:tplc="140A0019" w:tentative="1">
      <w:start w:val="1"/>
      <w:numFmt w:val="lowerLetter"/>
      <w:lvlText w:val="%8."/>
      <w:lvlJc w:val="left"/>
      <w:pPr>
        <w:ind w:left="6534" w:hanging="360"/>
      </w:pPr>
    </w:lvl>
    <w:lvl w:ilvl="8" w:tplc="140A001B" w:tentative="1">
      <w:start w:val="1"/>
      <w:numFmt w:val="lowerRoman"/>
      <w:lvlText w:val="%9."/>
      <w:lvlJc w:val="right"/>
      <w:pPr>
        <w:ind w:left="7254" w:hanging="180"/>
      </w:pPr>
    </w:lvl>
  </w:abstractNum>
  <w:abstractNum w:abstractNumId="4" w15:restartNumberingAfterBreak="0">
    <w:nsid w:val="12044E8E"/>
    <w:multiLevelType w:val="hybridMultilevel"/>
    <w:tmpl w:val="CC1A7734"/>
    <w:lvl w:ilvl="0" w:tplc="9E665E5A">
      <w:start w:val="13"/>
      <w:numFmt w:val="decimal"/>
      <w:lvlText w:val="%1."/>
      <w:lvlJc w:val="left"/>
      <w:pPr>
        <w:ind w:left="360" w:hanging="360"/>
      </w:pPr>
      <w:rPr>
        <w:rFonts w:hint="default"/>
        <w:b w:val="0"/>
        <w:i w:val="0"/>
        <w:strike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4286651"/>
    <w:multiLevelType w:val="hybridMultilevel"/>
    <w:tmpl w:val="45DA413E"/>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6322F81"/>
    <w:multiLevelType w:val="hybridMultilevel"/>
    <w:tmpl w:val="A7502892"/>
    <w:lvl w:ilvl="0" w:tplc="E4067B0C">
      <w:start w:val="90"/>
      <w:numFmt w:val="decimal"/>
      <w:lvlText w:val="%1."/>
      <w:lvlJc w:val="left"/>
      <w:pPr>
        <w:ind w:left="450" w:hanging="360"/>
      </w:pPr>
      <w:rPr>
        <w:rFonts w:ascii="Verdana" w:hAnsi="Verdana" w:hint="default"/>
        <w:b w:val="0"/>
        <w:i w:val="0"/>
        <w:strike w:val="0"/>
        <w:color w:val="auto"/>
        <w:sz w:val="20"/>
        <w:szCs w:val="20"/>
        <w:vertAlign w:val="baseli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6E57B4A"/>
    <w:multiLevelType w:val="hybridMultilevel"/>
    <w:tmpl w:val="953458D4"/>
    <w:lvl w:ilvl="0" w:tplc="1E7E4AAA">
      <w:start w:val="146"/>
      <w:numFmt w:val="decimal"/>
      <w:lvlText w:val="%1."/>
      <w:lvlJc w:val="left"/>
      <w:pPr>
        <w:ind w:left="1065" w:hanging="435"/>
      </w:pPr>
      <w:rPr>
        <w:rFonts w:hint="default"/>
        <w:b w:val="0"/>
        <w:i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16F30C37"/>
    <w:multiLevelType w:val="hybridMultilevel"/>
    <w:tmpl w:val="11263656"/>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18FA7743"/>
    <w:multiLevelType w:val="hybridMultilevel"/>
    <w:tmpl w:val="A1ACDBCC"/>
    <w:lvl w:ilvl="0" w:tplc="CAD01944">
      <w:start w:val="1"/>
      <w:numFmt w:val="upperLetter"/>
      <w:lvlText w:val="%1."/>
      <w:lvlJc w:val="left"/>
      <w:pPr>
        <w:ind w:left="1069" w:hanging="360"/>
      </w:pPr>
      <w:rPr>
        <w:rFonts w:hint="default"/>
      </w:rPr>
    </w:lvl>
    <w:lvl w:ilvl="1" w:tplc="140A0019" w:tentative="1">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10" w15:restartNumberingAfterBreak="0">
    <w:nsid w:val="19933F6F"/>
    <w:multiLevelType w:val="hybridMultilevel"/>
    <w:tmpl w:val="45008C02"/>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1DBD0A9B"/>
    <w:multiLevelType w:val="hybridMultilevel"/>
    <w:tmpl w:val="E8022B88"/>
    <w:lvl w:ilvl="0" w:tplc="8BB28E0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4F4FAB"/>
    <w:multiLevelType w:val="hybridMultilevel"/>
    <w:tmpl w:val="2B28150E"/>
    <w:lvl w:ilvl="0" w:tplc="0742AD72">
      <w:start w:val="1"/>
      <w:numFmt w:val="lowerLetter"/>
      <w:lvlText w:val="%1)"/>
      <w:lvlJc w:val="left"/>
      <w:pPr>
        <w:ind w:left="720" w:hanging="360"/>
      </w:pPr>
      <w:rPr>
        <w:rFonts w:hint="default"/>
        <w:i/>
      </w:rPr>
    </w:lvl>
    <w:lvl w:ilvl="1" w:tplc="140A0019">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13" w15:restartNumberingAfterBreak="0">
    <w:nsid w:val="2091005E"/>
    <w:multiLevelType w:val="hybridMultilevel"/>
    <w:tmpl w:val="11600D2C"/>
    <w:lvl w:ilvl="0" w:tplc="9E665E5A">
      <w:start w:val="13"/>
      <w:numFmt w:val="decimal"/>
      <w:lvlText w:val="%1."/>
      <w:lvlJc w:val="left"/>
      <w:pPr>
        <w:ind w:left="1070" w:hanging="360"/>
      </w:pPr>
      <w:rPr>
        <w:rFonts w:hint="default"/>
        <w:b w:val="0"/>
        <w:i w:val="0"/>
        <w:strike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9A6297"/>
    <w:multiLevelType w:val="hybridMultilevel"/>
    <w:tmpl w:val="D0A6E8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AD6F06"/>
    <w:multiLevelType w:val="hybridMultilevel"/>
    <w:tmpl w:val="89EA371A"/>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29A257A3"/>
    <w:multiLevelType w:val="hybridMultilevel"/>
    <w:tmpl w:val="2AB6E554"/>
    <w:lvl w:ilvl="0" w:tplc="6D7A5206">
      <w:start w:val="1"/>
      <w:numFmt w:val="decimal"/>
      <w:lvlText w:val="%1."/>
      <w:lvlJc w:val="left"/>
      <w:pPr>
        <w:ind w:left="360" w:hanging="360"/>
      </w:pPr>
      <w:rPr>
        <w:rFonts w:ascii="Verdana" w:hAnsi="Verdana" w:cs="Times" w:hint="default"/>
        <w:b w:val="0"/>
        <w:i w:val="0"/>
        <w:strike w:val="0"/>
        <w:color w:val="auto"/>
        <w:sz w:val="20"/>
        <w:szCs w:val="20"/>
        <w:vertAlign w:val="baseli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BCD1899"/>
    <w:multiLevelType w:val="hybridMultilevel"/>
    <w:tmpl w:val="04602BFA"/>
    <w:lvl w:ilvl="0" w:tplc="8EFCBE0A">
      <w:start w:val="165"/>
      <w:numFmt w:val="decimal"/>
      <w:lvlText w:val="%1."/>
      <w:lvlJc w:val="left"/>
      <w:pPr>
        <w:ind w:left="705" w:hanging="435"/>
      </w:pPr>
      <w:rPr>
        <w:rFonts w:ascii="Verdana" w:hAnsi="Verdana" w:hint="default"/>
        <w:b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282F6A"/>
    <w:multiLevelType w:val="hybridMultilevel"/>
    <w:tmpl w:val="F9FAB81E"/>
    <w:lvl w:ilvl="0" w:tplc="706A2BBA">
      <w:start w:val="1"/>
      <w:numFmt w:val="decimal"/>
      <w:lvlText w:val="B.1.%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38500D03"/>
    <w:multiLevelType w:val="hybridMultilevel"/>
    <w:tmpl w:val="4AB8DA2C"/>
    <w:lvl w:ilvl="0" w:tplc="C68A4AE6">
      <w:start w:val="85"/>
      <w:numFmt w:val="decimal"/>
      <w:lvlText w:val="%1."/>
      <w:lvlJc w:val="left"/>
      <w:pPr>
        <w:ind w:left="990" w:hanging="360"/>
      </w:pPr>
      <w:rPr>
        <w:rFonts w:eastAsia="Times New Roman" w:hint="default"/>
        <w:b w:val="0"/>
        <w:strike w:val="0"/>
        <w:color w:val="000000"/>
        <w:sz w:val="20"/>
        <w:szCs w:val="2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3D8C6B21"/>
    <w:multiLevelType w:val="hybridMultilevel"/>
    <w:tmpl w:val="551ED620"/>
    <w:lvl w:ilvl="0" w:tplc="2B3A976E">
      <w:start w:val="1"/>
      <w:numFmt w:val="lowerLetter"/>
      <w:lvlText w:val="%1)"/>
      <w:lvlJc w:val="left"/>
      <w:pPr>
        <w:ind w:left="720" w:hanging="360"/>
      </w:pPr>
      <w:rPr>
        <w:b w:val="0"/>
        <w:strike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40775C2F"/>
    <w:multiLevelType w:val="hybridMultilevel"/>
    <w:tmpl w:val="85940842"/>
    <w:lvl w:ilvl="0" w:tplc="E8D84460">
      <w:start w:val="2"/>
      <w:numFmt w:val="upperLetter"/>
      <w:lvlText w:val="%1."/>
      <w:lvlJc w:val="righ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4B3D35FA"/>
    <w:multiLevelType w:val="hybridMultilevel"/>
    <w:tmpl w:val="B8DA23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173D49"/>
    <w:multiLevelType w:val="hybridMultilevel"/>
    <w:tmpl w:val="8FE00E90"/>
    <w:lvl w:ilvl="0" w:tplc="1638D0E6">
      <w:start w:val="1"/>
      <w:numFmt w:val="lowerLetter"/>
      <w:lvlText w:val="%1)"/>
      <w:lvlJc w:val="left"/>
      <w:pPr>
        <w:ind w:left="1776" w:hanging="360"/>
      </w:pPr>
      <w:rPr>
        <w:rFonts w:hint="default"/>
      </w:rPr>
    </w:lvl>
    <w:lvl w:ilvl="1" w:tplc="140A0019" w:tentative="1">
      <w:start w:val="1"/>
      <w:numFmt w:val="lowerLetter"/>
      <w:lvlText w:val="%2."/>
      <w:lvlJc w:val="left"/>
      <w:pPr>
        <w:ind w:left="2496" w:hanging="360"/>
      </w:pPr>
    </w:lvl>
    <w:lvl w:ilvl="2" w:tplc="140A001B" w:tentative="1">
      <w:start w:val="1"/>
      <w:numFmt w:val="lowerRoman"/>
      <w:lvlText w:val="%3."/>
      <w:lvlJc w:val="right"/>
      <w:pPr>
        <w:ind w:left="3216" w:hanging="180"/>
      </w:pPr>
    </w:lvl>
    <w:lvl w:ilvl="3" w:tplc="140A000F" w:tentative="1">
      <w:start w:val="1"/>
      <w:numFmt w:val="decimal"/>
      <w:lvlText w:val="%4."/>
      <w:lvlJc w:val="left"/>
      <w:pPr>
        <w:ind w:left="3936" w:hanging="360"/>
      </w:pPr>
    </w:lvl>
    <w:lvl w:ilvl="4" w:tplc="140A0019" w:tentative="1">
      <w:start w:val="1"/>
      <w:numFmt w:val="lowerLetter"/>
      <w:lvlText w:val="%5."/>
      <w:lvlJc w:val="left"/>
      <w:pPr>
        <w:ind w:left="4656" w:hanging="360"/>
      </w:pPr>
    </w:lvl>
    <w:lvl w:ilvl="5" w:tplc="140A001B" w:tentative="1">
      <w:start w:val="1"/>
      <w:numFmt w:val="lowerRoman"/>
      <w:lvlText w:val="%6."/>
      <w:lvlJc w:val="right"/>
      <w:pPr>
        <w:ind w:left="5376" w:hanging="180"/>
      </w:pPr>
    </w:lvl>
    <w:lvl w:ilvl="6" w:tplc="140A000F" w:tentative="1">
      <w:start w:val="1"/>
      <w:numFmt w:val="decimal"/>
      <w:lvlText w:val="%7."/>
      <w:lvlJc w:val="left"/>
      <w:pPr>
        <w:ind w:left="6096" w:hanging="360"/>
      </w:pPr>
    </w:lvl>
    <w:lvl w:ilvl="7" w:tplc="140A0019" w:tentative="1">
      <w:start w:val="1"/>
      <w:numFmt w:val="lowerLetter"/>
      <w:lvlText w:val="%8."/>
      <w:lvlJc w:val="left"/>
      <w:pPr>
        <w:ind w:left="6816" w:hanging="360"/>
      </w:pPr>
    </w:lvl>
    <w:lvl w:ilvl="8" w:tplc="140A001B" w:tentative="1">
      <w:start w:val="1"/>
      <w:numFmt w:val="lowerRoman"/>
      <w:lvlText w:val="%9."/>
      <w:lvlJc w:val="right"/>
      <w:pPr>
        <w:ind w:left="7536" w:hanging="180"/>
      </w:pPr>
    </w:lvl>
  </w:abstractNum>
  <w:abstractNum w:abstractNumId="24" w15:restartNumberingAfterBreak="0">
    <w:nsid w:val="52C91D7E"/>
    <w:multiLevelType w:val="hybridMultilevel"/>
    <w:tmpl w:val="5142E684"/>
    <w:lvl w:ilvl="0" w:tplc="12743B9C">
      <w:start w:val="150"/>
      <w:numFmt w:val="decimal"/>
      <w:lvlText w:val="%1."/>
      <w:lvlJc w:val="left"/>
      <w:pPr>
        <w:ind w:left="795" w:hanging="435"/>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8A4B94"/>
    <w:multiLevelType w:val="hybridMultilevel"/>
    <w:tmpl w:val="649E6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341FFF"/>
    <w:multiLevelType w:val="hybridMultilevel"/>
    <w:tmpl w:val="EC90CFA4"/>
    <w:lvl w:ilvl="0" w:tplc="367EFC20">
      <w:start w:val="174"/>
      <w:numFmt w:val="decimal"/>
      <w:lvlText w:val="%1."/>
      <w:lvlJc w:val="left"/>
      <w:pPr>
        <w:ind w:left="1065" w:hanging="435"/>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7" w15:restartNumberingAfterBreak="0">
    <w:nsid w:val="61456BA5"/>
    <w:multiLevelType w:val="hybridMultilevel"/>
    <w:tmpl w:val="30021E98"/>
    <w:lvl w:ilvl="0" w:tplc="F372FA06">
      <w:start w:val="149"/>
      <w:numFmt w:val="decimal"/>
      <w:lvlText w:val="%1."/>
      <w:lvlJc w:val="left"/>
      <w:pPr>
        <w:ind w:left="795" w:hanging="435"/>
      </w:pPr>
      <w:rPr>
        <w:rFonts w:ascii="Verdana" w:hAnsi="Verdana"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63209D"/>
    <w:multiLevelType w:val="hybridMultilevel"/>
    <w:tmpl w:val="50680288"/>
    <w:lvl w:ilvl="0" w:tplc="3FA03D7C">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9" w15:restartNumberingAfterBreak="0">
    <w:nsid w:val="67613538"/>
    <w:multiLevelType w:val="hybridMultilevel"/>
    <w:tmpl w:val="E642FB30"/>
    <w:lvl w:ilvl="0" w:tplc="0A3C18D2">
      <w:start w:val="178"/>
      <w:numFmt w:val="decimal"/>
      <w:lvlText w:val="%1."/>
      <w:lvlJc w:val="left"/>
      <w:pPr>
        <w:ind w:left="795" w:hanging="435"/>
      </w:pPr>
      <w:rPr>
        <w:rFonts w:ascii="Verdana" w:hAnsi="Verdana" w:hint="default"/>
        <w:b w:val="0"/>
        <w:strike w:val="0"/>
        <w:color w:val="auto"/>
        <w:sz w:val="20"/>
        <w:szCs w:val="20"/>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0" w15:restartNumberingAfterBreak="0">
    <w:nsid w:val="677705ED"/>
    <w:multiLevelType w:val="hybridMultilevel"/>
    <w:tmpl w:val="5778128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1" w15:restartNumberingAfterBreak="0">
    <w:nsid w:val="67847803"/>
    <w:multiLevelType w:val="hybridMultilevel"/>
    <w:tmpl w:val="4042965A"/>
    <w:lvl w:ilvl="0" w:tplc="BAF82D72">
      <w:start w:val="1"/>
      <w:numFmt w:val="decimal"/>
      <w:lvlText w:val="%1."/>
      <w:lvlJc w:val="left"/>
      <w:pPr>
        <w:ind w:left="930" w:hanging="570"/>
      </w:pPr>
      <w:rPr>
        <w:rFonts w:hint="default"/>
        <w:b w:val="0"/>
        <w:i w:val="0"/>
        <w:color w:val="auto"/>
        <w:lang w:val="es-CR"/>
      </w:rPr>
    </w:lvl>
    <w:lvl w:ilvl="1" w:tplc="35D2116E">
      <w:start w:val="1"/>
      <w:numFmt w:val="lowerLetter"/>
      <w:lvlText w:val="%2)"/>
      <w:lvlJc w:val="left"/>
      <w:pPr>
        <w:ind w:left="1530" w:hanging="360"/>
      </w:pPr>
      <w:rPr>
        <w:rFonts w:hint="default"/>
        <w:b w:val="0"/>
        <w:color w:val="000000" w:themeColor="text1"/>
      </w:rPr>
    </w:lvl>
    <w:lvl w:ilvl="2" w:tplc="70DAD76A">
      <w:start w:val="1"/>
      <w:numFmt w:val="upperLetter"/>
      <w:lvlText w:val="%3."/>
      <w:lvlJc w:val="left"/>
      <w:pPr>
        <w:ind w:left="2340" w:hanging="360"/>
      </w:pPr>
      <w:rPr>
        <w:b/>
        <w:bCs w:val="0"/>
        <w:i/>
        <w:iCs w:val="0"/>
        <w:caps w:val="0"/>
        <w:smallCaps w:val="0"/>
        <w:strike w:val="0"/>
        <w:dstrike w:val="0"/>
        <w:noProof w:val="0"/>
        <w:vanish w:val="0"/>
        <w:color w:val="000000"/>
        <w:spacing w:val="0"/>
        <w:kern w:val="0"/>
        <w:position w:val="0"/>
        <w:u w:val="none"/>
        <w:effect w:val="none"/>
        <w:vertAlign w:val="baseline"/>
        <w:em w:val="none"/>
        <w:specVanish w:val="0"/>
      </w:rPr>
    </w:lvl>
    <w:lvl w:ilvl="3" w:tplc="4F28326A">
      <w:start w:val="1"/>
      <w:numFmt w:val="lowerRoman"/>
      <w:lvlText w:val="%4."/>
      <w:lvlJc w:val="left"/>
      <w:pPr>
        <w:ind w:left="3240" w:hanging="720"/>
      </w:pPr>
      <w:rPr>
        <w:rFonts w:hint="default"/>
        <w:i/>
      </w:r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6A200B2D"/>
    <w:multiLevelType w:val="hybridMultilevel"/>
    <w:tmpl w:val="A00A26D6"/>
    <w:lvl w:ilvl="0" w:tplc="59547AC8">
      <w:start w:val="208"/>
      <w:numFmt w:val="decimal"/>
      <w:lvlText w:val="%1."/>
      <w:lvlJc w:val="left"/>
      <w:pPr>
        <w:ind w:left="795" w:hanging="435"/>
      </w:pPr>
      <w:rPr>
        <w:rFonts w:hint="default"/>
        <w:b w:val="0"/>
        <w:strike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7266C9"/>
    <w:multiLevelType w:val="hybridMultilevel"/>
    <w:tmpl w:val="EDD23A70"/>
    <w:lvl w:ilvl="0" w:tplc="233AC054">
      <w:start w:val="130"/>
      <w:numFmt w:val="decimal"/>
      <w:lvlText w:val="%1."/>
      <w:lvlJc w:val="left"/>
      <w:pPr>
        <w:ind w:left="795" w:hanging="435"/>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AE585E"/>
    <w:multiLevelType w:val="hybridMultilevel"/>
    <w:tmpl w:val="8AFC4B16"/>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761C5B68"/>
    <w:multiLevelType w:val="hybridMultilevel"/>
    <w:tmpl w:val="B9E4149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76753A80"/>
    <w:multiLevelType w:val="hybridMultilevel"/>
    <w:tmpl w:val="DAD4A26A"/>
    <w:lvl w:ilvl="0" w:tplc="2C0A0019">
      <w:start w:val="1"/>
      <w:numFmt w:val="lowerLetter"/>
      <w:lvlText w:val="%1."/>
      <w:lvlJc w:val="left"/>
      <w:pPr>
        <w:ind w:left="708" w:firstLine="0"/>
      </w:pPr>
      <w:rPr>
        <w:rFonts w:hint="default"/>
        <w:b w:val="0"/>
        <w:i w:val="0"/>
        <w:strike w:val="0"/>
        <w:color w:val="auto"/>
        <w:sz w:val="20"/>
        <w:szCs w:val="20"/>
        <w:lang w:val="es-CR"/>
      </w:rPr>
    </w:lvl>
    <w:lvl w:ilvl="1" w:tplc="9482DFA8">
      <w:start w:val="1"/>
      <w:numFmt w:val="lowerLetter"/>
      <w:lvlText w:val="%2."/>
      <w:lvlJc w:val="left"/>
      <w:pPr>
        <w:ind w:left="1778" w:hanging="360"/>
      </w:pPr>
      <w:rPr>
        <w:rFonts w:ascii="Verdana" w:eastAsia="Batang" w:hAnsi="Verdana" w:cs="Times"/>
        <w:lang w:val="es-ES_tradnl"/>
      </w:rPr>
    </w:lvl>
    <w:lvl w:ilvl="2" w:tplc="4202A1AC">
      <w:start w:val="1"/>
      <w:numFmt w:val="lowerRoman"/>
      <w:lvlText w:val="%3."/>
      <w:lvlJc w:val="right"/>
      <w:pPr>
        <w:ind w:left="2726" w:hanging="180"/>
      </w:pPr>
      <w:rPr>
        <w:i/>
      </w:rPr>
    </w:lvl>
    <w:lvl w:ilvl="3" w:tplc="1B9C8746">
      <w:start w:val="7"/>
      <w:numFmt w:val="upperLetter"/>
      <w:lvlText w:val="%4."/>
      <w:lvlJc w:val="left"/>
      <w:pPr>
        <w:ind w:left="3446" w:hanging="360"/>
      </w:pPr>
      <w:rPr>
        <w:rFonts w:hint="default"/>
      </w:rPr>
    </w:lvl>
    <w:lvl w:ilvl="4" w:tplc="E7BA4BB6" w:tentative="1">
      <w:start w:val="1"/>
      <w:numFmt w:val="lowerLetter"/>
      <w:lvlText w:val="%5."/>
      <w:lvlJc w:val="left"/>
      <w:pPr>
        <w:ind w:left="4166" w:hanging="360"/>
      </w:pPr>
    </w:lvl>
    <w:lvl w:ilvl="5" w:tplc="2C0A001B" w:tentative="1">
      <w:start w:val="1"/>
      <w:numFmt w:val="lowerRoman"/>
      <w:lvlText w:val="%6."/>
      <w:lvlJc w:val="right"/>
      <w:pPr>
        <w:ind w:left="4886" w:hanging="180"/>
      </w:pPr>
    </w:lvl>
    <w:lvl w:ilvl="6" w:tplc="2C0A000F" w:tentative="1">
      <w:start w:val="1"/>
      <w:numFmt w:val="decimal"/>
      <w:lvlText w:val="%7."/>
      <w:lvlJc w:val="left"/>
      <w:pPr>
        <w:ind w:left="5606" w:hanging="360"/>
      </w:pPr>
    </w:lvl>
    <w:lvl w:ilvl="7" w:tplc="2C0A0019" w:tentative="1">
      <w:start w:val="1"/>
      <w:numFmt w:val="lowerLetter"/>
      <w:lvlText w:val="%8."/>
      <w:lvlJc w:val="left"/>
      <w:pPr>
        <w:ind w:left="6326" w:hanging="360"/>
      </w:pPr>
    </w:lvl>
    <w:lvl w:ilvl="8" w:tplc="2C0A001B" w:tentative="1">
      <w:start w:val="1"/>
      <w:numFmt w:val="lowerRoman"/>
      <w:lvlText w:val="%9."/>
      <w:lvlJc w:val="right"/>
      <w:pPr>
        <w:ind w:left="7046" w:hanging="180"/>
      </w:pPr>
    </w:lvl>
  </w:abstractNum>
  <w:abstractNum w:abstractNumId="37" w15:restartNumberingAfterBreak="0">
    <w:nsid w:val="7B955249"/>
    <w:multiLevelType w:val="hybridMultilevel"/>
    <w:tmpl w:val="F85445DC"/>
    <w:lvl w:ilvl="0" w:tplc="7A045708">
      <w:start w:val="134"/>
      <w:numFmt w:val="decimal"/>
      <w:lvlText w:val="%1."/>
      <w:lvlJc w:val="left"/>
      <w:pPr>
        <w:ind w:left="795" w:hanging="435"/>
      </w:pPr>
      <w:rPr>
        <w:rFonts w:hint="default"/>
        <w:b w:val="0"/>
        <w:strike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F97A93"/>
    <w:multiLevelType w:val="hybridMultilevel"/>
    <w:tmpl w:val="514EA1DA"/>
    <w:lvl w:ilvl="0" w:tplc="24D2FEF0">
      <w:start w:val="1"/>
      <w:numFmt w:val="upperLetter"/>
      <w:lvlText w:val="%1."/>
      <w:lvlJc w:val="righ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 w15:restartNumberingAfterBreak="0">
    <w:nsid w:val="7F861032"/>
    <w:multiLevelType w:val="hybridMultilevel"/>
    <w:tmpl w:val="505AF9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16"/>
  </w:num>
  <w:num w:numId="3">
    <w:abstractNumId w:val="11"/>
  </w:num>
  <w:num w:numId="4">
    <w:abstractNumId w:val="1"/>
  </w:num>
  <w:num w:numId="5">
    <w:abstractNumId w:val="38"/>
  </w:num>
  <w:num w:numId="6">
    <w:abstractNumId w:val="21"/>
  </w:num>
  <w:num w:numId="7">
    <w:abstractNumId w:val="12"/>
  </w:num>
  <w:num w:numId="8">
    <w:abstractNumId w:val="28"/>
  </w:num>
  <w:num w:numId="9">
    <w:abstractNumId w:val="6"/>
  </w:num>
  <w:num w:numId="10">
    <w:abstractNumId w:val="35"/>
  </w:num>
  <w:num w:numId="11">
    <w:abstractNumId w:val="22"/>
  </w:num>
  <w:num w:numId="12">
    <w:abstractNumId w:val="25"/>
  </w:num>
  <w:num w:numId="13">
    <w:abstractNumId w:val="17"/>
  </w:num>
  <w:num w:numId="14">
    <w:abstractNumId w:val="20"/>
  </w:num>
  <w:num w:numId="15">
    <w:abstractNumId w:val="39"/>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26"/>
  </w:num>
  <w:num w:numId="19">
    <w:abstractNumId w:val="29"/>
  </w:num>
  <w:num w:numId="20">
    <w:abstractNumId w:val="31"/>
  </w:num>
  <w:num w:numId="21">
    <w:abstractNumId w:val="7"/>
  </w:num>
  <w:num w:numId="22">
    <w:abstractNumId w:val="27"/>
  </w:num>
  <w:num w:numId="23">
    <w:abstractNumId w:val="32"/>
  </w:num>
  <w:num w:numId="24">
    <w:abstractNumId w:val="30"/>
  </w:num>
  <w:num w:numId="25">
    <w:abstractNumId w:val="24"/>
  </w:num>
  <w:num w:numId="26">
    <w:abstractNumId w:val="33"/>
  </w:num>
  <w:num w:numId="27">
    <w:abstractNumId w:val="37"/>
  </w:num>
  <w:num w:numId="28">
    <w:abstractNumId w:val="37"/>
    <w:lvlOverride w:ilvl="0">
      <w:startOverride w:val="1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4"/>
  </w:num>
  <w:num w:numId="31">
    <w:abstractNumId w:val="8"/>
  </w:num>
  <w:num w:numId="32">
    <w:abstractNumId w:val="5"/>
  </w:num>
  <w:num w:numId="33">
    <w:abstractNumId w:val="15"/>
  </w:num>
  <w:num w:numId="34">
    <w:abstractNumId w:val="34"/>
  </w:num>
  <w:num w:numId="35">
    <w:abstractNumId w:val="10"/>
  </w:num>
  <w:num w:numId="36">
    <w:abstractNumId w:val="3"/>
  </w:num>
  <w:num w:numId="37">
    <w:abstractNumId w:val="2"/>
  </w:num>
  <w:num w:numId="38">
    <w:abstractNumId w:val="23"/>
  </w:num>
  <w:num w:numId="39">
    <w:abstractNumId w:val="19"/>
  </w:num>
  <w:num w:numId="40">
    <w:abstractNumId w:val="0"/>
  </w:num>
  <w:num w:numId="41">
    <w:abstractNumId w:val="35"/>
  </w:num>
  <w:num w:numId="42">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PR" w:vendorID="64" w:dllVersion="6" w:nlCheck="1" w:checkStyle="0"/>
  <w:activeWritingStyle w:appName="MSWord" w:lang="es-ES_tradnl" w:vendorID="64" w:dllVersion="6" w:nlCheck="1" w:checkStyle="0"/>
  <w:activeWritingStyle w:appName="MSWord" w:lang="es-AR" w:vendorID="64" w:dllVersion="6" w:nlCheck="1" w:checkStyle="0"/>
  <w:activeWritingStyle w:appName="MSWord" w:lang="es-CR" w:vendorID="64" w:dllVersion="6" w:nlCheck="1" w:checkStyle="0"/>
  <w:activeWritingStyle w:appName="MSWord" w:lang="es-CL" w:vendorID="64" w:dllVersion="6" w:nlCheck="1" w:checkStyle="0"/>
  <w:activeWritingStyle w:appName="MSWord" w:lang="es-MX" w:vendorID="64" w:dllVersion="6" w:nlCheck="1" w:checkStyle="0"/>
  <w:activeWritingStyle w:appName="MSWord" w:lang="es-ES" w:vendorID="64" w:dllVersion="6" w:nlCheck="1" w:checkStyle="0"/>
  <w:activeWritingStyle w:appName="MSWord" w:lang="es-CO" w:vendorID="64" w:dllVersion="6" w:nlCheck="1" w:checkStyle="0"/>
  <w:activeWritingStyle w:appName="MSWord" w:lang="es-PE" w:vendorID="64" w:dllVersion="6" w:nlCheck="1" w:checkStyle="0"/>
  <w:activeWritingStyle w:appName="MSWord" w:lang="en-US" w:vendorID="64" w:dllVersion="6" w:nlCheck="1" w:checkStyle="1"/>
  <w:activeWritingStyle w:appName="MSWord" w:lang="es-ES_tradnl" w:vendorID="64" w:dllVersion="0" w:nlCheck="1" w:checkStyle="0"/>
  <w:activeWritingStyle w:appName="MSWord" w:lang="es-ES" w:vendorID="64" w:dllVersion="0" w:nlCheck="1" w:checkStyle="0"/>
  <w:activeWritingStyle w:appName="MSWord" w:lang="es-CR" w:vendorID="64" w:dllVersion="0" w:nlCheck="1" w:checkStyle="0"/>
  <w:activeWritingStyle w:appName="MSWord" w:lang="es-MX" w:vendorID="64" w:dllVersion="0" w:nlCheck="1" w:checkStyle="0"/>
  <w:activeWritingStyle w:appName="MSWord" w:lang="es-CO" w:vendorID="64" w:dllVersion="0" w:nlCheck="1" w:checkStyle="0"/>
  <w:defaultTabStop w:val="708"/>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DAE"/>
    <w:rsid w:val="00001192"/>
    <w:rsid w:val="000013A8"/>
    <w:rsid w:val="0000158D"/>
    <w:rsid w:val="00001D95"/>
    <w:rsid w:val="00002386"/>
    <w:rsid w:val="000028E4"/>
    <w:rsid w:val="00002E81"/>
    <w:rsid w:val="00003048"/>
    <w:rsid w:val="0000325E"/>
    <w:rsid w:val="00003AE4"/>
    <w:rsid w:val="00003D4D"/>
    <w:rsid w:val="00003FD2"/>
    <w:rsid w:val="00004588"/>
    <w:rsid w:val="00004A73"/>
    <w:rsid w:val="00004F83"/>
    <w:rsid w:val="00004FA2"/>
    <w:rsid w:val="00004FE1"/>
    <w:rsid w:val="0000605F"/>
    <w:rsid w:val="000073B6"/>
    <w:rsid w:val="000073B9"/>
    <w:rsid w:val="00007B9B"/>
    <w:rsid w:val="00010192"/>
    <w:rsid w:val="00010637"/>
    <w:rsid w:val="000107A7"/>
    <w:rsid w:val="00010DE3"/>
    <w:rsid w:val="00010F8E"/>
    <w:rsid w:val="00011229"/>
    <w:rsid w:val="0001139E"/>
    <w:rsid w:val="0001174D"/>
    <w:rsid w:val="000118E1"/>
    <w:rsid w:val="00012116"/>
    <w:rsid w:val="0001218B"/>
    <w:rsid w:val="00012292"/>
    <w:rsid w:val="00012D2B"/>
    <w:rsid w:val="00013A6A"/>
    <w:rsid w:val="00013B12"/>
    <w:rsid w:val="00013BA7"/>
    <w:rsid w:val="000142E7"/>
    <w:rsid w:val="00014644"/>
    <w:rsid w:val="000148A8"/>
    <w:rsid w:val="00014E0E"/>
    <w:rsid w:val="00015B2F"/>
    <w:rsid w:val="00016CA9"/>
    <w:rsid w:val="00017D3B"/>
    <w:rsid w:val="00017E38"/>
    <w:rsid w:val="00017EFA"/>
    <w:rsid w:val="00017FA2"/>
    <w:rsid w:val="00020246"/>
    <w:rsid w:val="000205AC"/>
    <w:rsid w:val="00020B91"/>
    <w:rsid w:val="00020EA2"/>
    <w:rsid w:val="000229FD"/>
    <w:rsid w:val="00022DA2"/>
    <w:rsid w:val="000239E7"/>
    <w:rsid w:val="00024201"/>
    <w:rsid w:val="000246CC"/>
    <w:rsid w:val="000247C6"/>
    <w:rsid w:val="00024D24"/>
    <w:rsid w:val="00024E7D"/>
    <w:rsid w:val="00025179"/>
    <w:rsid w:val="00025664"/>
    <w:rsid w:val="0002616B"/>
    <w:rsid w:val="000269BF"/>
    <w:rsid w:val="00027266"/>
    <w:rsid w:val="00027886"/>
    <w:rsid w:val="00027C6F"/>
    <w:rsid w:val="000310D9"/>
    <w:rsid w:val="000313B1"/>
    <w:rsid w:val="000313F0"/>
    <w:rsid w:val="000314E4"/>
    <w:rsid w:val="00031625"/>
    <w:rsid w:val="0003205A"/>
    <w:rsid w:val="0003211C"/>
    <w:rsid w:val="0003358A"/>
    <w:rsid w:val="00033684"/>
    <w:rsid w:val="0003393F"/>
    <w:rsid w:val="00034610"/>
    <w:rsid w:val="00034B80"/>
    <w:rsid w:val="00036404"/>
    <w:rsid w:val="00036D0E"/>
    <w:rsid w:val="00037A20"/>
    <w:rsid w:val="00037C23"/>
    <w:rsid w:val="00037EA2"/>
    <w:rsid w:val="00040A54"/>
    <w:rsid w:val="000418B9"/>
    <w:rsid w:val="0004255A"/>
    <w:rsid w:val="00042CE9"/>
    <w:rsid w:val="000430E8"/>
    <w:rsid w:val="00043CC0"/>
    <w:rsid w:val="00043F34"/>
    <w:rsid w:val="000443AA"/>
    <w:rsid w:val="0004518E"/>
    <w:rsid w:val="000452BA"/>
    <w:rsid w:val="00045648"/>
    <w:rsid w:val="00046475"/>
    <w:rsid w:val="000464AF"/>
    <w:rsid w:val="00047403"/>
    <w:rsid w:val="000474AA"/>
    <w:rsid w:val="0004792A"/>
    <w:rsid w:val="00050097"/>
    <w:rsid w:val="00050111"/>
    <w:rsid w:val="000503C9"/>
    <w:rsid w:val="00050532"/>
    <w:rsid w:val="00050C44"/>
    <w:rsid w:val="00050D07"/>
    <w:rsid w:val="000514B9"/>
    <w:rsid w:val="00051914"/>
    <w:rsid w:val="000523E3"/>
    <w:rsid w:val="00052E08"/>
    <w:rsid w:val="00053BFE"/>
    <w:rsid w:val="00055454"/>
    <w:rsid w:val="00055A0E"/>
    <w:rsid w:val="00056897"/>
    <w:rsid w:val="00056BB3"/>
    <w:rsid w:val="00056EAF"/>
    <w:rsid w:val="00056EF2"/>
    <w:rsid w:val="000601C8"/>
    <w:rsid w:val="000616D2"/>
    <w:rsid w:val="00061B66"/>
    <w:rsid w:val="00062998"/>
    <w:rsid w:val="00062C00"/>
    <w:rsid w:val="00063129"/>
    <w:rsid w:val="000631FA"/>
    <w:rsid w:val="00063513"/>
    <w:rsid w:val="00063630"/>
    <w:rsid w:val="00064088"/>
    <w:rsid w:val="000642DD"/>
    <w:rsid w:val="00064AC2"/>
    <w:rsid w:val="00064B3B"/>
    <w:rsid w:val="00064D60"/>
    <w:rsid w:val="00065697"/>
    <w:rsid w:val="000659F1"/>
    <w:rsid w:val="00065B2A"/>
    <w:rsid w:val="00065DDB"/>
    <w:rsid w:val="00066676"/>
    <w:rsid w:val="00066805"/>
    <w:rsid w:val="00066FF0"/>
    <w:rsid w:val="00067033"/>
    <w:rsid w:val="0006716C"/>
    <w:rsid w:val="00067719"/>
    <w:rsid w:val="0007083C"/>
    <w:rsid w:val="00070CD2"/>
    <w:rsid w:val="00070FB9"/>
    <w:rsid w:val="000711FB"/>
    <w:rsid w:val="00071316"/>
    <w:rsid w:val="00071B7A"/>
    <w:rsid w:val="00072539"/>
    <w:rsid w:val="0007255F"/>
    <w:rsid w:val="00072A4C"/>
    <w:rsid w:val="00073C09"/>
    <w:rsid w:val="00073C24"/>
    <w:rsid w:val="00075799"/>
    <w:rsid w:val="000768F5"/>
    <w:rsid w:val="00076C4E"/>
    <w:rsid w:val="00077535"/>
    <w:rsid w:val="0007758F"/>
    <w:rsid w:val="000776A2"/>
    <w:rsid w:val="00077967"/>
    <w:rsid w:val="00081C5D"/>
    <w:rsid w:val="000820C4"/>
    <w:rsid w:val="0008216B"/>
    <w:rsid w:val="00082741"/>
    <w:rsid w:val="000833AD"/>
    <w:rsid w:val="00083D1E"/>
    <w:rsid w:val="00083E0F"/>
    <w:rsid w:val="000845EE"/>
    <w:rsid w:val="00084B44"/>
    <w:rsid w:val="0008522D"/>
    <w:rsid w:val="00085643"/>
    <w:rsid w:val="000863F5"/>
    <w:rsid w:val="000865F6"/>
    <w:rsid w:val="000872B5"/>
    <w:rsid w:val="0008746D"/>
    <w:rsid w:val="00087548"/>
    <w:rsid w:val="00091765"/>
    <w:rsid w:val="00091980"/>
    <w:rsid w:val="00091CC2"/>
    <w:rsid w:val="0009204A"/>
    <w:rsid w:val="000922C2"/>
    <w:rsid w:val="00092675"/>
    <w:rsid w:val="000939B3"/>
    <w:rsid w:val="00093C23"/>
    <w:rsid w:val="00093CE9"/>
    <w:rsid w:val="00094183"/>
    <w:rsid w:val="00094736"/>
    <w:rsid w:val="00094B74"/>
    <w:rsid w:val="00094D73"/>
    <w:rsid w:val="00095599"/>
    <w:rsid w:val="00097510"/>
    <w:rsid w:val="00097D63"/>
    <w:rsid w:val="000A02F2"/>
    <w:rsid w:val="000A05B1"/>
    <w:rsid w:val="000A0626"/>
    <w:rsid w:val="000A0693"/>
    <w:rsid w:val="000A088D"/>
    <w:rsid w:val="000A0DB6"/>
    <w:rsid w:val="000A11A3"/>
    <w:rsid w:val="000A1764"/>
    <w:rsid w:val="000A1E46"/>
    <w:rsid w:val="000A205D"/>
    <w:rsid w:val="000A20E8"/>
    <w:rsid w:val="000A3993"/>
    <w:rsid w:val="000A4195"/>
    <w:rsid w:val="000A4A52"/>
    <w:rsid w:val="000A4DD9"/>
    <w:rsid w:val="000A52CE"/>
    <w:rsid w:val="000A7CD7"/>
    <w:rsid w:val="000A7CF4"/>
    <w:rsid w:val="000B0514"/>
    <w:rsid w:val="000B106E"/>
    <w:rsid w:val="000B14FE"/>
    <w:rsid w:val="000B1AE8"/>
    <w:rsid w:val="000B1BD2"/>
    <w:rsid w:val="000B2232"/>
    <w:rsid w:val="000B2FE6"/>
    <w:rsid w:val="000B3AFC"/>
    <w:rsid w:val="000B3F15"/>
    <w:rsid w:val="000B4B73"/>
    <w:rsid w:val="000B51F7"/>
    <w:rsid w:val="000B529B"/>
    <w:rsid w:val="000B5AD8"/>
    <w:rsid w:val="000B5D69"/>
    <w:rsid w:val="000B5DB1"/>
    <w:rsid w:val="000B7B98"/>
    <w:rsid w:val="000B7DDC"/>
    <w:rsid w:val="000C0BDD"/>
    <w:rsid w:val="000C0C20"/>
    <w:rsid w:val="000C10E7"/>
    <w:rsid w:val="000C2A14"/>
    <w:rsid w:val="000C48C0"/>
    <w:rsid w:val="000C4AA2"/>
    <w:rsid w:val="000C4D46"/>
    <w:rsid w:val="000C5D48"/>
    <w:rsid w:val="000C5FC6"/>
    <w:rsid w:val="000C6EC2"/>
    <w:rsid w:val="000C7697"/>
    <w:rsid w:val="000C77EA"/>
    <w:rsid w:val="000C7E08"/>
    <w:rsid w:val="000C7EDA"/>
    <w:rsid w:val="000D1063"/>
    <w:rsid w:val="000D1084"/>
    <w:rsid w:val="000D28B9"/>
    <w:rsid w:val="000D2961"/>
    <w:rsid w:val="000D2D2F"/>
    <w:rsid w:val="000D3067"/>
    <w:rsid w:val="000D319B"/>
    <w:rsid w:val="000D31CA"/>
    <w:rsid w:val="000D4F28"/>
    <w:rsid w:val="000D596A"/>
    <w:rsid w:val="000D5A8C"/>
    <w:rsid w:val="000D60C5"/>
    <w:rsid w:val="000D6B8D"/>
    <w:rsid w:val="000D7A02"/>
    <w:rsid w:val="000D7A93"/>
    <w:rsid w:val="000E1197"/>
    <w:rsid w:val="000E141C"/>
    <w:rsid w:val="000E19D6"/>
    <w:rsid w:val="000E2141"/>
    <w:rsid w:val="000E2454"/>
    <w:rsid w:val="000E2F26"/>
    <w:rsid w:val="000E351B"/>
    <w:rsid w:val="000E43FA"/>
    <w:rsid w:val="000E48C8"/>
    <w:rsid w:val="000E4E22"/>
    <w:rsid w:val="000E4FB1"/>
    <w:rsid w:val="000E5161"/>
    <w:rsid w:val="000E5E99"/>
    <w:rsid w:val="000E6833"/>
    <w:rsid w:val="000E6FA5"/>
    <w:rsid w:val="000E7843"/>
    <w:rsid w:val="000F1A56"/>
    <w:rsid w:val="000F2987"/>
    <w:rsid w:val="000F3311"/>
    <w:rsid w:val="000F462E"/>
    <w:rsid w:val="000F4CE7"/>
    <w:rsid w:val="000F53E7"/>
    <w:rsid w:val="000F7772"/>
    <w:rsid w:val="000F7B2B"/>
    <w:rsid w:val="00100127"/>
    <w:rsid w:val="0010021B"/>
    <w:rsid w:val="00100807"/>
    <w:rsid w:val="0010218E"/>
    <w:rsid w:val="001023A9"/>
    <w:rsid w:val="00102785"/>
    <w:rsid w:val="001029BA"/>
    <w:rsid w:val="00102A9F"/>
    <w:rsid w:val="001031F5"/>
    <w:rsid w:val="001032E2"/>
    <w:rsid w:val="00104692"/>
    <w:rsid w:val="00104788"/>
    <w:rsid w:val="001047D4"/>
    <w:rsid w:val="00104890"/>
    <w:rsid w:val="00105022"/>
    <w:rsid w:val="00105358"/>
    <w:rsid w:val="001056E0"/>
    <w:rsid w:val="001077B0"/>
    <w:rsid w:val="001078B6"/>
    <w:rsid w:val="0010798C"/>
    <w:rsid w:val="00110280"/>
    <w:rsid w:val="00110F40"/>
    <w:rsid w:val="00112067"/>
    <w:rsid w:val="0011206B"/>
    <w:rsid w:val="00112C35"/>
    <w:rsid w:val="00113400"/>
    <w:rsid w:val="001134D4"/>
    <w:rsid w:val="00114007"/>
    <w:rsid w:val="0011453E"/>
    <w:rsid w:val="001158B2"/>
    <w:rsid w:val="00115AB0"/>
    <w:rsid w:val="00115FBF"/>
    <w:rsid w:val="0011677B"/>
    <w:rsid w:val="00116B64"/>
    <w:rsid w:val="00116BFC"/>
    <w:rsid w:val="0011790D"/>
    <w:rsid w:val="0012054D"/>
    <w:rsid w:val="00120781"/>
    <w:rsid w:val="00120B76"/>
    <w:rsid w:val="00120DD7"/>
    <w:rsid w:val="001216A1"/>
    <w:rsid w:val="00122656"/>
    <w:rsid w:val="001229C2"/>
    <w:rsid w:val="00122FBF"/>
    <w:rsid w:val="00123659"/>
    <w:rsid w:val="0012416D"/>
    <w:rsid w:val="001241D7"/>
    <w:rsid w:val="00124C6A"/>
    <w:rsid w:val="0012527A"/>
    <w:rsid w:val="001253DF"/>
    <w:rsid w:val="00125FF9"/>
    <w:rsid w:val="0012627B"/>
    <w:rsid w:val="00126323"/>
    <w:rsid w:val="00126646"/>
    <w:rsid w:val="00127F87"/>
    <w:rsid w:val="0013008C"/>
    <w:rsid w:val="00130573"/>
    <w:rsid w:val="001305E1"/>
    <w:rsid w:val="00130756"/>
    <w:rsid w:val="00130B59"/>
    <w:rsid w:val="00130B98"/>
    <w:rsid w:val="00131B54"/>
    <w:rsid w:val="00131CF3"/>
    <w:rsid w:val="00132C20"/>
    <w:rsid w:val="00133403"/>
    <w:rsid w:val="00133454"/>
    <w:rsid w:val="00133D27"/>
    <w:rsid w:val="00134949"/>
    <w:rsid w:val="001350D8"/>
    <w:rsid w:val="0013521A"/>
    <w:rsid w:val="0013527A"/>
    <w:rsid w:val="00135ACD"/>
    <w:rsid w:val="00135D83"/>
    <w:rsid w:val="001360B6"/>
    <w:rsid w:val="0013636D"/>
    <w:rsid w:val="00137250"/>
    <w:rsid w:val="00137B4F"/>
    <w:rsid w:val="001406BF"/>
    <w:rsid w:val="0014082D"/>
    <w:rsid w:val="00141EB7"/>
    <w:rsid w:val="00142378"/>
    <w:rsid w:val="001426D2"/>
    <w:rsid w:val="00142850"/>
    <w:rsid w:val="00142D08"/>
    <w:rsid w:val="001432AB"/>
    <w:rsid w:val="00143674"/>
    <w:rsid w:val="001437C0"/>
    <w:rsid w:val="001440AC"/>
    <w:rsid w:val="00144249"/>
    <w:rsid w:val="00144A5F"/>
    <w:rsid w:val="001452C3"/>
    <w:rsid w:val="001458CD"/>
    <w:rsid w:val="001461B8"/>
    <w:rsid w:val="00146890"/>
    <w:rsid w:val="00146E97"/>
    <w:rsid w:val="00150121"/>
    <w:rsid w:val="001506CC"/>
    <w:rsid w:val="00150F65"/>
    <w:rsid w:val="0015169C"/>
    <w:rsid w:val="0015179D"/>
    <w:rsid w:val="001517C4"/>
    <w:rsid w:val="00151E0B"/>
    <w:rsid w:val="00151F1D"/>
    <w:rsid w:val="00152974"/>
    <w:rsid w:val="00152F7D"/>
    <w:rsid w:val="00153671"/>
    <w:rsid w:val="00153B84"/>
    <w:rsid w:val="00154580"/>
    <w:rsid w:val="00154660"/>
    <w:rsid w:val="0015488D"/>
    <w:rsid w:val="00154B34"/>
    <w:rsid w:val="0015689E"/>
    <w:rsid w:val="00156A96"/>
    <w:rsid w:val="00156E2C"/>
    <w:rsid w:val="00156FFB"/>
    <w:rsid w:val="0015720B"/>
    <w:rsid w:val="00157337"/>
    <w:rsid w:val="001574FC"/>
    <w:rsid w:val="00157BC8"/>
    <w:rsid w:val="00160742"/>
    <w:rsid w:val="00160EB4"/>
    <w:rsid w:val="00161155"/>
    <w:rsid w:val="0016248A"/>
    <w:rsid w:val="00163194"/>
    <w:rsid w:val="0016340F"/>
    <w:rsid w:val="00164076"/>
    <w:rsid w:val="0016421E"/>
    <w:rsid w:val="001642B9"/>
    <w:rsid w:val="001661DB"/>
    <w:rsid w:val="001664DD"/>
    <w:rsid w:val="00166714"/>
    <w:rsid w:val="0016786F"/>
    <w:rsid w:val="0017012D"/>
    <w:rsid w:val="00170AA7"/>
    <w:rsid w:val="0017105D"/>
    <w:rsid w:val="001716EC"/>
    <w:rsid w:val="001720D2"/>
    <w:rsid w:val="0017229A"/>
    <w:rsid w:val="0017278D"/>
    <w:rsid w:val="001731B6"/>
    <w:rsid w:val="00173682"/>
    <w:rsid w:val="0017381C"/>
    <w:rsid w:val="00173BB8"/>
    <w:rsid w:val="00173BC1"/>
    <w:rsid w:val="0017523C"/>
    <w:rsid w:val="001761B6"/>
    <w:rsid w:val="00177BCB"/>
    <w:rsid w:val="00180BE6"/>
    <w:rsid w:val="00180D74"/>
    <w:rsid w:val="00180DCB"/>
    <w:rsid w:val="001813F4"/>
    <w:rsid w:val="00181C2C"/>
    <w:rsid w:val="00181E6F"/>
    <w:rsid w:val="00182705"/>
    <w:rsid w:val="00182AB6"/>
    <w:rsid w:val="00182AFF"/>
    <w:rsid w:val="00182BAC"/>
    <w:rsid w:val="00182D40"/>
    <w:rsid w:val="00183011"/>
    <w:rsid w:val="0018313C"/>
    <w:rsid w:val="001838DF"/>
    <w:rsid w:val="00183DD8"/>
    <w:rsid w:val="00183EEB"/>
    <w:rsid w:val="0018415C"/>
    <w:rsid w:val="001844D4"/>
    <w:rsid w:val="0018568D"/>
    <w:rsid w:val="00185E24"/>
    <w:rsid w:val="00186D5E"/>
    <w:rsid w:val="001878D4"/>
    <w:rsid w:val="001879F9"/>
    <w:rsid w:val="00187CF2"/>
    <w:rsid w:val="001913B5"/>
    <w:rsid w:val="0019194D"/>
    <w:rsid w:val="00193116"/>
    <w:rsid w:val="00193B1A"/>
    <w:rsid w:val="00194578"/>
    <w:rsid w:val="00194BC3"/>
    <w:rsid w:val="00194F02"/>
    <w:rsid w:val="00196466"/>
    <w:rsid w:val="0019698E"/>
    <w:rsid w:val="00196DA1"/>
    <w:rsid w:val="001970E4"/>
    <w:rsid w:val="001A001F"/>
    <w:rsid w:val="001A1122"/>
    <w:rsid w:val="001A132E"/>
    <w:rsid w:val="001A274A"/>
    <w:rsid w:val="001A2C93"/>
    <w:rsid w:val="001A39C8"/>
    <w:rsid w:val="001A3B81"/>
    <w:rsid w:val="001A3F9B"/>
    <w:rsid w:val="001A466E"/>
    <w:rsid w:val="001A49D8"/>
    <w:rsid w:val="001A5B46"/>
    <w:rsid w:val="001A62CA"/>
    <w:rsid w:val="001A62F9"/>
    <w:rsid w:val="001A66AE"/>
    <w:rsid w:val="001A67F3"/>
    <w:rsid w:val="001A7068"/>
    <w:rsid w:val="001A7D24"/>
    <w:rsid w:val="001A7D9B"/>
    <w:rsid w:val="001B02D8"/>
    <w:rsid w:val="001B0D40"/>
    <w:rsid w:val="001B1C70"/>
    <w:rsid w:val="001B235E"/>
    <w:rsid w:val="001B2637"/>
    <w:rsid w:val="001B29CF"/>
    <w:rsid w:val="001B479F"/>
    <w:rsid w:val="001B4AFA"/>
    <w:rsid w:val="001B50C7"/>
    <w:rsid w:val="001B5467"/>
    <w:rsid w:val="001B57FC"/>
    <w:rsid w:val="001B59E9"/>
    <w:rsid w:val="001B5A23"/>
    <w:rsid w:val="001B5B3C"/>
    <w:rsid w:val="001B63ED"/>
    <w:rsid w:val="001B7702"/>
    <w:rsid w:val="001B7821"/>
    <w:rsid w:val="001B7903"/>
    <w:rsid w:val="001B7953"/>
    <w:rsid w:val="001B7EEA"/>
    <w:rsid w:val="001C0064"/>
    <w:rsid w:val="001C0272"/>
    <w:rsid w:val="001C1513"/>
    <w:rsid w:val="001C1801"/>
    <w:rsid w:val="001C2086"/>
    <w:rsid w:val="001C27A4"/>
    <w:rsid w:val="001C28D5"/>
    <w:rsid w:val="001C2BB6"/>
    <w:rsid w:val="001C2DF3"/>
    <w:rsid w:val="001C382B"/>
    <w:rsid w:val="001C3A6B"/>
    <w:rsid w:val="001C3C82"/>
    <w:rsid w:val="001C3F0D"/>
    <w:rsid w:val="001C3F85"/>
    <w:rsid w:val="001C4B90"/>
    <w:rsid w:val="001C6783"/>
    <w:rsid w:val="001C6A7E"/>
    <w:rsid w:val="001C70B4"/>
    <w:rsid w:val="001D0898"/>
    <w:rsid w:val="001D1715"/>
    <w:rsid w:val="001D1ACC"/>
    <w:rsid w:val="001D1E91"/>
    <w:rsid w:val="001D22CD"/>
    <w:rsid w:val="001D2CFD"/>
    <w:rsid w:val="001D2D29"/>
    <w:rsid w:val="001D2D40"/>
    <w:rsid w:val="001D3E8D"/>
    <w:rsid w:val="001D441C"/>
    <w:rsid w:val="001D48B5"/>
    <w:rsid w:val="001D4D64"/>
    <w:rsid w:val="001D5FF5"/>
    <w:rsid w:val="001D6E69"/>
    <w:rsid w:val="001D7267"/>
    <w:rsid w:val="001D72D9"/>
    <w:rsid w:val="001D7DD0"/>
    <w:rsid w:val="001E0729"/>
    <w:rsid w:val="001E0915"/>
    <w:rsid w:val="001E09DE"/>
    <w:rsid w:val="001E1A88"/>
    <w:rsid w:val="001E2747"/>
    <w:rsid w:val="001E309A"/>
    <w:rsid w:val="001E3227"/>
    <w:rsid w:val="001E38FC"/>
    <w:rsid w:val="001E39A9"/>
    <w:rsid w:val="001E3E30"/>
    <w:rsid w:val="001E4016"/>
    <w:rsid w:val="001E44EB"/>
    <w:rsid w:val="001E4646"/>
    <w:rsid w:val="001E4FF3"/>
    <w:rsid w:val="001E50D4"/>
    <w:rsid w:val="001E5B57"/>
    <w:rsid w:val="001E5B95"/>
    <w:rsid w:val="001E60B2"/>
    <w:rsid w:val="001E6393"/>
    <w:rsid w:val="001E65B5"/>
    <w:rsid w:val="001E6730"/>
    <w:rsid w:val="001E6AD0"/>
    <w:rsid w:val="001E6DA0"/>
    <w:rsid w:val="001E7D60"/>
    <w:rsid w:val="001F0028"/>
    <w:rsid w:val="001F0D0F"/>
    <w:rsid w:val="001F0DC4"/>
    <w:rsid w:val="001F15ED"/>
    <w:rsid w:val="001F19D3"/>
    <w:rsid w:val="001F1FF9"/>
    <w:rsid w:val="001F2B11"/>
    <w:rsid w:val="001F2B3D"/>
    <w:rsid w:val="001F3B21"/>
    <w:rsid w:val="001F429E"/>
    <w:rsid w:val="001F5D21"/>
    <w:rsid w:val="001F6BC6"/>
    <w:rsid w:val="001F6E6C"/>
    <w:rsid w:val="001F73BE"/>
    <w:rsid w:val="001F7A13"/>
    <w:rsid w:val="001F7C24"/>
    <w:rsid w:val="002002EC"/>
    <w:rsid w:val="002003D3"/>
    <w:rsid w:val="0020154C"/>
    <w:rsid w:val="00201A5E"/>
    <w:rsid w:val="00201BEF"/>
    <w:rsid w:val="002027EA"/>
    <w:rsid w:val="00202A5B"/>
    <w:rsid w:val="00203CE0"/>
    <w:rsid w:val="002049EA"/>
    <w:rsid w:val="00204C95"/>
    <w:rsid w:val="00205032"/>
    <w:rsid w:val="00205384"/>
    <w:rsid w:val="00206726"/>
    <w:rsid w:val="0020680B"/>
    <w:rsid w:val="00206AFE"/>
    <w:rsid w:val="002074E8"/>
    <w:rsid w:val="00210040"/>
    <w:rsid w:val="00210786"/>
    <w:rsid w:val="0021109A"/>
    <w:rsid w:val="002123BD"/>
    <w:rsid w:val="0021294F"/>
    <w:rsid w:val="0021332D"/>
    <w:rsid w:val="00213DAE"/>
    <w:rsid w:val="00213EE6"/>
    <w:rsid w:val="0021426B"/>
    <w:rsid w:val="0021493F"/>
    <w:rsid w:val="00215F7E"/>
    <w:rsid w:val="0021675E"/>
    <w:rsid w:val="002167F4"/>
    <w:rsid w:val="00216FB9"/>
    <w:rsid w:val="002175E4"/>
    <w:rsid w:val="00217CE6"/>
    <w:rsid w:val="002200EB"/>
    <w:rsid w:val="00220721"/>
    <w:rsid w:val="00220AC9"/>
    <w:rsid w:val="00220CDA"/>
    <w:rsid w:val="00221D6A"/>
    <w:rsid w:val="00222687"/>
    <w:rsid w:val="0022286E"/>
    <w:rsid w:val="00222C04"/>
    <w:rsid w:val="002232C0"/>
    <w:rsid w:val="0022338A"/>
    <w:rsid w:val="00223FA7"/>
    <w:rsid w:val="00224DA5"/>
    <w:rsid w:val="00226010"/>
    <w:rsid w:val="002268A5"/>
    <w:rsid w:val="002269C3"/>
    <w:rsid w:val="002304DB"/>
    <w:rsid w:val="002304F4"/>
    <w:rsid w:val="002306F6"/>
    <w:rsid w:val="002307F4"/>
    <w:rsid w:val="00230FC2"/>
    <w:rsid w:val="00231139"/>
    <w:rsid w:val="002311E5"/>
    <w:rsid w:val="002312E0"/>
    <w:rsid w:val="00231C66"/>
    <w:rsid w:val="002323CD"/>
    <w:rsid w:val="002328CA"/>
    <w:rsid w:val="00233154"/>
    <w:rsid w:val="002332BC"/>
    <w:rsid w:val="002333E2"/>
    <w:rsid w:val="00233D79"/>
    <w:rsid w:val="00234490"/>
    <w:rsid w:val="0023480E"/>
    <w:rsid w:val="00234EBC"/>
    <w:rsid w:val="00235944"/>
    <w:rsid w:val="00235D0F"/>
    <w:rsid w:val="00237413"/>
    <w:rsid w:val="0023764C"/>
    <w:rsid w:val="0023770E"/>
    <w:rsid w:val="00237C9F"/>
    <w:rsid w:val="00237CF4"/>
    <w:rsid w:val="00240640"/>
    <w:rsid w:val="002411E4"/>
    <w:rsid w:val="00242093"/>
    <w:rsid w:val="002428A5"/>
    <w:rsid w:val="00242B07"/>
    <w:rsid w:val="002433E3"/>
    <w:rsid w:val="0024433B"/>
    <w:rsid w:val="00246B8C"/>
    <w:rsid w:val="00246BA4"/>
    <w:rsid w:val="0025008D"/>
    <w:rsid w:val="00250B8F"/>
    <w:rsid w:val="00250E74"/>
    <w:rsid w:val="0025198A"/>
    <w:rsid w:val="00255FDA"/>
    <w:rsid w:val="0025613B"/>
    <w:rsid w:val="002561EA"/>
    <w:rsid w:val="0025629C"/>
    <w:rsid w:val="002563A4"/>
    <w:rsid w:val="002564CE"/>
    <w:rsid w:val="00256A80"/>
    <w:rsid w:val="00257021"/>
    <w:rsid w:val="002573AB"/>
    <w:rsid w:val="0026030D"/>
    <w:rsid w:val="002603C9"/>
    <w:rsid w:val="00260740"/>
    <w:rsid w:val="002608ED"/>
    <w:rsid w:val="00261694"/>
    <w:rsid w:val="002617FE"/>
    <w:rsid w:val="0026233A"/>
    <w:rsid w:val="0026253D"/>
    <w:rsid w:val="002628EB"/>
    <w:rsid w:val="00262919"/>
    <w:rsid w:val="00263E93"/>
    <w:rsid w:val="002648AE"/>
    <w:rsid w:val="00264EDD"/>
    <w:rsid w:val="00265B64"/>
    <w:rsid w:val="00265C2E"/>
    <w:rsid w:val="00265D53"/>
    <w:rsid w:val="00266694"/>
    <w:rsid w:val="00266815"/>
    <w:rsid w:val="0026726E"/>
    <w:rsid w:val="00267CD4"/>
    <w:rsid w:val="002703AE"/>
    <w:rsid w:val="002707E4"/>
    <w:rsid w:val="002716EE"/>
    <w:rsid w:val="002721EB"/>
    <w:rsid w:val="00272A85"/>
    <w:rsid w:val="00273699"/>
    <w:rsid w:val="00274336"/>
    <w:rsid w:val="00274380"/>
    <w:rsid w:val="00274AC1"/>
    <w:rsid w:val="00275300"/>
    <w:rsid w:val="002755A9"/>
    <w:rsid w:val="00275A36"/>
    <w:rsid w:val="00275B31"/>
    <w:rsid w:val="00276085"/>
    <w:rsid w:val="002761A7"/>
    <w:rsid w:val="00276D0B"/>
    <w:rsid w:val="00276ECB"/>
    <w:rsid w:val="002771A4"/>
    <w:rsid w:val="00277B48"/>
    <w:rsid w:val="00277F14"/>
    <w:rsid w:val="002808FB"/>
    <w:rsid w:val="002810C4"/>
    <w:rsid w:val="00281EEA"/>
    <w:rsid w:val="002820DA"/>
    <w:rsid w:val="00282995"/>
    <w:rsid w:val="00284CC2"/>
    <w:rsid w:val="00285024"/>
    <w:rsid w:val="00286159"/>
    <w:rsid w:val="00286301"/>
    <w:rsid w:val="0028664A"/>
    <w:rsid w:val="00286C56"/>
    <w:rsid w:val="00286E89"/>
    <w:rsid w:val="0028779F"/>
    <w:rsid w:val="00287E1F"/>
    <w:rsid w:val="002907C8"/>
    <w:rsid w:val="00291017"/>
    <w:rsid w:val="00291C40"/>
    <w:rsid w:val="00292195"/>
    <w:rsid w:val="0029285A"/>
    <w:rsid w:val="002929F9"/>
    <w:rsid w:val="00292ACF"/>
    <w:rsid w:val="00293085"/>
    <w:rsid w:val="00293825"/>
    <w:rsid w:val="00294318"/>
    <w:rsid w:val="002943BC"/>
    <w:rsid w:val="00294E60"/>
    <w:rsid w:val="00295640"/>
    <w:rsid w:val="00295B31"/>
    <w:rsid w:val="00296708"/>
    <w:rsid w:val="00296C50"/>
    <w:rsid w:val="00296EA8"/>
    <w:rsid w:val="002971BA"/>
    <w:rsid w:val="0029727F"/>
    <w:rsid w:val="002A02A7"/>
    <w:rsid w:val="002A06BC"/>
    <w:rsid w:val="002A08DF"/>
    <w:rsid w:val="002A0B28"/>
    <w:rsid w:val="002A1610"/>
    <w:rsid w:val="002A1ABE"/>
    <w:rsid w:val="002A1D06"/>
    <w:rsid w:val="002A2012"/>
    <w:rsid w:val="002A23C5"/>
    <w:rsid w:val="002A3BAC"/>
    <w:rsid w:val="002A3C21"/>
    <w:rsid w:val="002A4049"/>
    <w:rsid w:val="002A406B"/>
    <w:rsid w:val="002A4782"/>
    <w:rsid w:val="002A4C3D"/>
    <w:rsid w:val="002A51CD"/>
    <w:rsid w:val="002A685C"/>
    <w:rsid w:val="002A7CB5"/>
    <w:rsid w:val="002B055F"/>
    <w:rsid w:val="002B19D5"/>
    <w:rsid w:val="002B1BE6"/>
    <w:rsid w:val="002B1CCA"/>
    <w:rsid w:val="002B201F"/>
    <w:rsid w:val="002B25A0"/>
    <w:rsid w:val="002B2C6E"/>
    <w:rsid w:val="002B2D49"/>
    <w:rsid w:val="002B404D"/>
    <w:rsid w:val="002B495D"/>
    <w:rsid w:val="002B4AEB"/>
    <w:rsid w:val="002B576B"/>
    <w:rsid w:val="002B6010"/>
    <w:rsid w:val="002B6D5E"/>
    <w:rsid w:val="002B74D6"/>
    <w:rsid w:val="002B7713"/>
    <w:rsid w:val="002C0090"/>
    <w:rsid w:val="002C0663"/>
    <w:rsid w:val="002C1E8A"/>
    <w:rsid w:val="002C2183"/>
    <w:rsid w:val="002C21A5"/>
    <w:rsid w:val="002C21B7"/>
    <w:rsid w:val="002C41A6"/>
    <w:rsid w:val="002C4415"/>
    <w:rsid w:val="002C44E1"/>
    <w:rsid w:val="002C4F68"/>
    <w:rsid w:val="002C5037"/>
    <w:rsid w:val="002C5867"/>
    <w:rsid w:val="002C5ABC"/>
    <w:rsid w:val="002C617F"/>
    <w:rsid w:val="002C6EA6"/>
    <w:rsid w:val="002C75DF"/>
    <w:rsid w:val="002D0EE0"/>
    <w:rsid w:val="002D1260"/>
    <w:rsid w:val="002D13A5"/>
    <w:rsid w:val="002D140E"/>
    <w:rsid w:val="002D172A"/>
    <w:rsid w:val="002D1BDA"/>
    <w:rsid w:val="002D1E5B"/>
    <w:rsid w:val="002D25BC"/>
    <w:rsid w:val="002D2619"/>
    <w:rsid w:val="002D2AB0"/>
    <w:rsid w:val="002D35B4"/>
    <w:rsid w:val="002D3EA6"/>
    <w:rsid w:val="002D4C3A"/>
    <w:rsid w:val="002D4D3F"/>
    <w:rsid w:val="002D5341"/>
    <w:rsid w:val="002D62E7"/>
    <w:rsid w:val="002D6E34"/>
    <w:rsid w:val="002D700A"/>
    <w:rsid w:val="002D741B"/>
    <w:rsid w:val="002D79B4"/>
    <w:rsid w:val="002E0937"/>
    <w:rsid w:val="002E0EEB"/>
    <w:rsid w:val="002E148D"/>
    <w:rsid w:val="002E1555"/>
    <w:rsid w:val="002E2C63"/>
    <w:rsid w:val="002E42CD"/>
    <w:rsid w:val="002E4833"/>
    <w:rsid w:val="002E48C8"/>
    <w:rsid w:val="002E49B0"/>
    <w:rsid w:val="002E4FC1"/>
    <w:rsid w:val="002E52AF"/>
    <w:rsid w:val="002E5DE4"/>
    <w:rsid w:val="002E6469"/>
    <w:rsid w:val="002E64FC"/>
    <w:rsid w:val="002E65D8"/>
    <w:rsid w:val="002E7033"/>
    <w:rsid w:val="002E7078"/>
    <w:rsid w:val="002E70A7"/>
    <w:rsid w:val="002E7760"/>
    <w:rsid w:val="002E7EDB"/>
    <w:rsid w:val="002F03D8"/>
    <w:rsid w:val="002F0691"/>
    <w:rsid w:val="002F0929"/>
    <w:rsid w:val="002F13FC"/>
    <w:rsid w:val="002F16F6"/>
    <w:rsid w:val="002F2403"/>
    <w:rsid w:val="002F3029"/>
    <w:rsid w:val="002F3B41"/>
    <w:rsid w:val="002F5C28"/>
    <w:rsid w:val="002F778B"/>
    <w:rsid w:val="002F787F"/>
    <w:rsid w:val="002F79FB"/>
    <w:rsid w:val="002F7D9D"/>
    <w:rsid w:val="002F7E62"/>
    <w:rsid w:val="00300BD3"/>
    <w:rsid w:val="00302820"/>
    <w:rsid w:val="00302C00"/>
    <w:rsid w:val="00303E56"/>
    <w:rsid w:val="00304761"/>
    <w:rsid w:val="003049F9"/>
    <w:rsid w:val="00304D73"/>
    <w:rsid w:val="00305113"/>
    <w:rsid w:val="00305152"/>
    <w:rsid w:val="00305B00"/>
    <w:rsid w:val="003071F6"/>
    <w:rsid w:val="003079F1"/>
    <w:rsid w:val="00310CE4"/>
    <w:rsid w:val="003110DE"/>
    <w:rsid w:val="00311E54"/>
    <w:rsid w:val="00312366"/>
    <w:rsid w:val="00312AB5"/>
    <w:rsid w:val="0031328D"/>
    <w:rsid w:val="00313428"/>
    <w:rsid w:val="00313C90"/>
    <w:rsid w:val="00314084"/>
    <w:rsid w:val="00317420"/>
    <w:rsid w:val="00317A08"/>
    <w:rsid w:val="003202A8"/>
    <w:rsid w:val="00320FCC"/>
    <w:rsid w:val="0032149E"/>
    <w:rsid w:val="00321583"/>
    <w:rsid w:val="00321738"/>
    <w:rsid w:val="00321A55"/>
    <w:rsid w:val="0032213E"/>
    <w:rsid w:val="00322458"/>
    <w:rsid w:val="003226F9"/>
    <w:rsid w:val="003234B5"/>
    <w:rsid w:val="00323711"/>
    <w:rsid w:val="00324C96"/>
    <w:rsid w:val="003250F8"/>
    <w:rsid w:val="00325CE5"/>
    <w:rsid w:val="00326007"/>
    <w:rsid w:val="00327614"/>
    <w:rsid w:val="0032764F"/>
    <w:rsid w:val="00327AAD"/>
    <w:rsid w:val="003312F1"/>
    <w:rsid w:val="00331D55"/>
    <w:rsid w:val="0033249C"/>
    <w:rsid w:val="00332DCF"/>
    <w:rsid w:val="003338E6"/>
    <w:rsid w:val="00334204"/>
    <w:rsid w:val="00334E4D"/>
    <w:rsid w:val="003352BA"/>
    <w:rsid w:val="0033579D"/>
    <w:rsid w:val="00335984"/>
    <w:rsid w:val="00336F95"/>
    <w:rsid w:val="00341083"/>
    <w:rsid w:val="00341C11"/>
    <w:rsid w:val="00341D15"/>
    <w:rsid w:val="00342F5A"/>
    <w:rsid w:val="0034300E"/>
    <w:rsid w:val="003442D1"/>
    <w:rsid w:val="00344485"/>
    <w:rsid w:val="00344FFE"/>
    <w:rsid w:val="00345ADB"/>
    <w:rsid w:val="00345B50"/>
    <w:rsid w:val="00345ECA"/>
    <w:rsid w:val="003463B9"/>
    <w:rsid w:val="00346CC2"/>
    <w:rsid w:val="0034743E"/>
    <w:rsid w:val="00347804"/>
    <w:rsid w:val="00347C14"/>
    <w:rsid w:val="00347E81"/>
    <w:rsid w:val="00350078"/>
    <w:rsid w:val="0035084D"/>
    <w:rsid w:val="00350A9D"/>
    <w:rsid w:val="00350E7D"/>
    <w:rsid w:val="00351918"/>
    <w:rsid w:val="00351A71"/>
    <w:rsid w:val="00352D8B"/>
    <w:rsid w:val="00353157"/>
    <w:rsid w:val="00354139"/>
    <w:rsid w:val="00355508"/>
    <w:rsid w:val="00356087"/>
    <w:rsid w:val="00356779"/>
    <w:rsid w:val="003567B4"/>
    <w:rsid w:val="00357CA8"/>
    <w:rsid w:val="00357CC5"/>
    <w:rsid w:val="00360CBA"/>
    <w:rsid w:val="00361B18"/>
    <w:rsid w:val="00361DB6"/>
    <w:rsid w:val="00361F46"/>
    <w:rsid w:val="00362009"/>
    <w:rsid w:val="003623FC"/>
    <w:rsid w:val="00362825"/>
    <w:rsid w:val="00362E93"/>
    <w:rsid w:val="003630DF"/>
    <w:rsid w:val="003631D1"/>
    <w:rsid w:val="00363458"/>
    <w:rsid w:val="0036463C"/>
    <w:rsid w:val="003652AC"/>
    <w:rsid w:val="00365903"/>
    <w:rsid w:val="0036617C"/>
    <w:rsid w:val="00366BB8"/>
    <w:rsid w:val="0037084A"/>
    <w:rsid w:val="003711B5"/>
    <w:rsid w:val="003712FD"/>
    <w:rsid w:val="00371E12"/>
    <w:rsid w:val="00372239"/>
    <w:rsid w:val="003723B8"/>
    <w:rsid w:val="00373020"/>
    <w:rsid w:val="00374C98"/>
    <w:rsid w:val="003751A2"/>
    <w:rsid w:val="0037575D"/>
    <w:rsid w:val="0037585C"/>
    <w:rsid w:val="00375C41"/>
    <w:rsid w:val="003768C8"/>
    <w:rsid w:val="00377B2B"/>
    <w:rsid w:val="0038124C"/>
    <w:rsid w:val="0038131D"/>
    <w:rsid w:val="00381DB5"/>
    <w:rsid w:val="00381E21"/>
    <w:rsid w:val="00381E76"/>
    <w:rsid w:val="00381E9E"/>
    <w:rsid w:val="003821A9"/>
    <w:rsid w:val="00382566"/>
    <w:rsid w:val="00382CE0"/>
    <w:rsid w:val="00383090"/>
    <w:rsid w:val="0038352A"/>
    <w:rsid w:val="003835F5"/>
    <w:rsid w:val="003837A6"/>
    <w:rsid w:val="0038418D"/>
    <w:rsid w:val="0038466C"/>
    <w:rsid w:val="00384B11"/>
    <w:rsid w:val="00386199"/>
    <w:rsid w:val="00386DF0"/>
    <w:rsid w:val="00387980"/>
    <w:rsid w:val="00390163"/>
    <w:rsid w:val="0039033E"/>
    <w:rsid w:val="0039095D"/>
    <w:rsid w:val="003912FA"/>
    <w:rsid w:val="003913FE"/>
    <w:rsid w:val="003918DC"/>
    <w:rsid w:val="00391B3C"/>
    <w:rsid w:val="00391CA6"/>
    <w:rsid w:val="00391CD9"/>
    <w:rsid w:val="00391DF6"/>
    <w:rsid w:val="0039391E"/>
    <w:rsid w:val="00393937"/>
    <w:rsid w:val="00393CA2"/>
    <w:rsid w:val="00393ED2"/>
    <w:rsid w:val="00394C2D"/>
    <w:rsid w:val="00394CA7"/>
    <w:rsid w:val="00396740"/>
    <w:rsid w:val="00396807"/>
    <w:rsid w:val="00396A48"/>
    <w:rsid w:val="00396C44"/>
    <w:rsid w:val="00396CD9"/>
    <w:rsid w:val="00396FD1"/>
    <w:rsid w:val="0039732A"/>
    <w:rsid w:val="0039753F"/>
    <w:rsid w:val="003978AF"/>
    <w:rsid w:val="003A05E8"/>
    <w:rsid w:val="003A0978"/>
    <w:rsid w:val="003A0A9C"/>
    <w:rsid w:val="003A196B"/>
    <w:rsid w:val="003A1B33"/>
    <w:rsid w:val="003A208A"/>
    <w:rsid w:val="003A2D31"/>
    <w:rsid w:val="003A373A"/>
    <w:rsid w:val="003A38DF"/>
    <w:rsid w:val="003A39A3"/>
    <w:rsid w:val="003A4284"/>
    <w:rsid w:val="003A5E9C"/>
    <w:rsid w:val="003A698B"/>
    <w:rsid w:val="003A6BEE"/>
    <w:rsid w:val="003A73DD"/>
    <w:rsid w:val="003A7DA0"/>
    <w:rsid w:val="003A7EF3"/>
    <w:rsid w:val="003B1414"/>
    <w:rsid w:val="003B15D1"/>
    <w:rsid w:val="003B1C75"/>
    <w:rsid w:val="003B1EE4"/>
    <w:rsid w:val="003B2442"/>
    <w:rsid w:val="003B2963"/>
    <w:rsid w:val="003B313C"/>
    <w:rsid w:val="003B3D01"/>
    <w:rsid w:val="003B442E"/>
    <w:rsid w:val="003B46F5"/>
    <w:rsid w:val="003B4A12"/>
    <w:rsid w:val="003B4C61"/>
    <w:rsid w:val="003B4EEA"/>
    <w:rsid w:val="003B5035"/>
    <w:rsid w:val="003B570C"/>
    <w:rsid w:val="003B6001"/>
    <w:rsid w:val="003B6201"/>
    <w:rsid w:val="003B6763"/>
    <w:rsid w:val="003B6E82"/>
    <w:rsid w:val="003B72A5"/>
    <w:rsid w:val="003B7CF7"/>
    <w:rsid w:val="003C0023"/>
    <w:rsid w:val="003C002E"/>
    <w:rsid w:val="003C0D56"/>
    <w:rsid w:val="003C12D4"/>
    <w:rsid w:val="003C13ED"/>
    <w:rsid w:val="003C1750"/>
    <w:rsid w:val="003C1C55"/>
    <w:rsid w:val="003C2530"/>
    <w:rsid w:val="003C2B8B"/>
    <w:rsid w:val="003C33A1"/>
    <w:rsid w:val="003C541C"/>
    <w:rsid w:val="003C6461"/>
    <w:rsid w:val="003C65A2"/>
    <w:rsid w:val="003C6945"/>
    <w:rsid w:val="003C7603"/>
    <w:rsid w:val="003D1958"/>
    <w:rsid w:val="003D1B41"/>
    <w:rsid w:val="003D27F5"/>
    <w:rsid w:val="003D292B"/>
    <w:rsid w:val="003D2A81"/>
    <w:rsid w:val="003D30DE"/>
    <w:rsid w:val="003D4259"/>
    <w:rsid w:val="003D47A6"/>
    <w:rsid w:val="003D47BB"/>
    <w:rsid w:val="003D5180"/>
    <w:rsid w:val="003D562B"/>
    <w:rsid w:val="003D5664"/>
    <w:rsid w:val="003D6430"/>
    <w:rsid w:val="003D6F82"/>
    <w:rsid w:val="003D7F74"/>
    <w:rsid w:val="003E0920"/>
    <w:rsid w:val="003E3698"/>
    <w:rsid w:val="003E38E1"/>
    <w:rsid w:val="003E3CD7"/>
    <w:rsid w:val="003E45E7"/>
    <w:rsid w:val="003E4C64"/>
    <w:rsid w:val="003E4FF2"/>
    <w:rsid w:val="003E5954"/>
    <w:rsid w:val="003F044B"/>
    <w:rsid w:val="003F073B"/>
    <w:rsid w:val="003F08F4"/>
    <w:rsid w:val="003F1094"/>
    <w:rsid w:val="003F120A"/>
    <w:rsid w:val="003F1A2F"/>
    <w:rsid w:val="003F1F01"/>
    <w:rsid w:val="003F22EB"/>
    <w:rsid w:val="003F2B97"/>
    <w:rsid w:val="003F2CC7"/>
    <w:rsid w:val="003F2D60"/>
    <w:rsid w:val="003F4AB2"/>
    <w:rsid w:val="003F6924"/>
    <w:rsid w:val="003F6BEA"/>
    <w:rsid w:val="003F7014"/>
    <w:rsid w:val="003F7337"/>
    <w:rsid w:val="003F7903"/>
    <w:rsid w:val="003F7FB1"/>
    <w:rsid w:val="004001FC"/>
    <w:rsid w:val="00401CCC"/>
    <w:rsid w:val="00402BC0"/>
    <w:rsid w:val="004031C1"/>
    <w:rsid w:val="00403246"/>
    <w:rsid w:val="004036AC"/>
    <w:rsid w:val="00403FEF"/>
    <w:rsid w:val="004041D3"/>
    <w:rsid w:val="004044CF"/>
    <w:rsid w:val="00404868"/>
    <w:rsid w:val="004051D0"/>
    <w:rsid w:val="004059A0"/>
    <w:rsid w:val="00405B54"/>
    <w:rsid w:val="004063DE"/>
    <w:rsid w:val="004068E5"/>
    <w:rsid w:val="0040695B"/>
    <w:rsid w:val="00406E8E"/>
    <w:rsid w:val="00407346"/>
    <w:rsid w:val="0040759A"/>
    <w:rsid w:val="00407AE9"/>
    <w:rsid w:val="00407E31"/>
    <w:rsid w:val="00407FD3"/>
    <w:rsid w:val="00410784"/>
    <w:rsid w:val="00410950"/>
    <w:rsid w:val="00410F00"/>
    <w:rsid w:val="004114FD"/>
    <w:rsid w:val="004115A0"/>
    <w:rsid w:val="00412AA9"/>
    <w:rsid w:val="00413261"/>
    <w:rsid w:val="00413A3B"/>
    <w:rsid w:val="00413C14"/>
    <w:rsid w:val="00414E5B"/>
    <w:rsid w:val="004151F4"/>
    <w:rsid w:val="00415837"/>
    <w:rsid w:val="0041675F"/>
    <w:rsid w:val="00417839"/>
    <w:rsid w:val="0042005A"/>
    <w:rsid w:val="004208DA"/>
    <w:rsid w:val="00420904"/>
    <w:rsid w:val="00420AA4"/>
    <w:rsid w:val="00421EB2"/>
    <w:rsid w:val="004224FF"/>
    <w:rsid w:val="00422765"/>
    <w:rsid w:val="004237F0"/>
    <w:rsid w:val="00423F5F"/>
    <w:rsid w:val="00423FAB"/>
    <w:rsid w:val="00425F55"/>
    <w:rsid w:val="00426E5F"/>
    <w:rsid w:val="0042705F"/>
    <w:rsid w:val="00427C24"/>
    <w:rsid w:val="004309AD"/>
    <w:rsid w:val="004311A1"/>
    <w:rsid w:val="00431DF9"/>
    <w:rsid w:val="004326F5"/>
    <w:rsid w:val="00432D07"/>
    <w:rsid w:val="00434109"/>
    <w:rsid w:val="00434576"/>
    <w:rsid w:val="00434C00"/>
    <w:rsid w:val="0043513E"/>
    <w:rsid w:val="0043534A"/>
    <w:rsid w:val="004359FC"/>
    <w:rsid w:val="004367E6"/>
    <w:rsid w:val="00436993"/>
    <w:rsid w:val="00436E53"/>
    <w:rsid w:val="0043782B"/>
    <w:rsid w:val="00437E7A"/>
    <w:rsid w:val="0044009A"/>
    <w:rsid w:val="00440B37"/>
    <w:rsid w:val="00440BF6"/>
    <w:rsid w:val="00440FBC"/>
    <w:rsid w:val="00441171"/>
    <w:rsid w:val="00441664"/>
    <w:rsid w:val="00441F73"/>
    <w:rsid w:val="004436E9"/>
    <w:rsid w:val="00443914"/>
    <w:rsid w:val="004443E2"/>
    <w:rsid w:val="0044474F"/>
    <w:rsid w:val="00444BE0"/>
    <w:rsid w:val="00445DEE"/>
    <w:rsid w:val="0044679A"/>
    <w:rsid w:val="00446C35"/>
    <w:rsid w:val="00446EBD"/>
    <w:rsid w:val="004477ED"/>
    <w:rsid w:val="00447BBA"/>
    <w:rsid w:val="00447FDD"/>
    <w:rsid w:val="00451983"/>
    <w:rsid w:val="00452F6B"/>
    <w:rsid w:val="0045300A"/>
    <w:rsid w:val="0045305C"/>
    <w:rsid w:val="0045442C"/>
    <w:rsid w:val="0045476E"/>
    <w:rsid w:val="004548DB"/>
    <w:rsid w:val="00454A07"/>
    <w:rsid w:val="00454DB0"/>
    <w:rsid w:val="0045552D"/>
    <w:rsid w:val="00455BB7"/>
    <w:rsid w:val="00455C98"/>
    <w:rsid w:val="00455F98"/>
    <w:rsid w:val="0045695F"/>
    <w:rsid w:val="00456B27"/>
    <w:rsid w:val="00456BA5"/>
    <w:rsid w:val="0045729D"/>
    <w:rsid w:val="004572B8"/>
    <w:rsid w:val="00460039"/>
    <w:rsid w:val="00460971"/>
    <w:rsid w:val="004619DE"/>
    <w:rsid w:val="00461C9D"/>
    <w:rsid w:val="00461FF3"/>
    <w:rsid w:val="004643E5"/>
    <w:rsid w:val="00464DDB"/>
    <w:rsid w:val="0046506C"/>
    <w:rsid w:val="00465D58"/>
    <w:rsid w:val="0046621F"/>
    <w:rsid w:val="004662A7"/>
    <w:rsid w:val="00466FA6"/>
    <w:rsid w:val="004675BD"/>
    <w:rsid w:val="004702C0"/>
    <w:rsid w:val="00470377"/>
    <w:rsid w:val="00471553"/>
    <w:rsid w:val="00471C86"/>
    <w:rsid w:val="0047279E"/>
    <w:rsid w:val="00472B62"/>
    <w:rsid w:val="00473497"/>
    <w:rsid w:val="00473993"/>
    <w:rsid w:val="00473BD3"/>
    <w:rsid w:val="00474FBA"/>
    <w:rsid w:val="004759D7"/>
    <w:rsid w:val="00475D6D"/>
    <w:rsid w:val="004763FB"/>
    <w:rsid w:val="004771C0"/>
    <w:rsid w:val="0047727B"/>
    <w:rsid w:val="00480411"/>
    <w:rsid w:val="004817E8"/>
    <w:rsid w:val="0048209B"/>
    <w:rsid w:val="00482B44"/>
    <w:rsid w:val="004834B4"/>
    <w:rsid w:val="004834F2"/>
    <w:rsid w:val="00483648"/>
    <w:rsid w:val="00483DBE"/>
    <w:rsid w:val="00484F4D"/>
    <w:rsid w:val="0048506E"/>
    <w:rsid w:val="004856AC"/>
    <w:rsid w:val="00485AF9"/>
    <w:rsid w:val="0048645A"/>
    <w:rsid w:val="0048649B"/>
    <w:rsid w:val="00486B72"/>
    <w:rsid w:val="00487743"/>
    <w:rsid w:val="00487D6B"/>
    <w:rsid w:val="00491036"/>
    <w:rsid w:val="0049164D"/>
    <w:rsid w:val="00491935"/>
    <w:rsid w:val="0049283D"/>
    <w:rsid w:val="0049334D"/>
    <w:rsid w:val="004948DA"/>
    <w:rsid w:val="00494E65"/>
    <w:rsid w:val="00494FE2"/>
    <w:rsid w:val="00495C90"/>
    <w:rsid w:val="00495F50"/>
    <w:rsid w:val="00495F9D"/>
    <w:rsid w:val="00496A54"/>
    <w:rsid w:val="00497BFC"/>
    <w:rsid w:val="004A05CC"/>
    <w:rsid w:val="004A0798"/>
    <w:rsid w:val="004A0F7B"/>
    <w:rsid w:val="004A17DA"/>
    <w:rsid w:val="004A2D90"/>
    <w:rsid w:val="004A3075"/>
    <w:rsid w:val="004A397A"/>
    <w:rsid w:val="004A4463"/>
    <w:rsid w:val="004A4558"/>
    <w:rsid w:val="004A463B"/>
    <w:rsid w:val="004A5CC1"/>
    <w:rsid w:val="004A71B5"/>
    <w:rsid w:val="004B02E5"/>
    <w:rsid w:val="004B1BE2"/>
    <w:rsid w:val="004B2569"/>
    <w:rsid w:val="004B2CC3"/>
    <w:rsid w:val="004B2F01"/>
    <w:rsid w:val="004B3652"/>
    <w:rsid w:val="004B3A6D"/>
    <w:rsid w:val="004B6656"/>
    <w:rsid w:val="004B66F8"/>
    <w:rsid w:val="004B6FB5"/>
    <w:rsid w:val="004C018B"/>
    <w:rsid w:val="004C06C7"/>
    <w:rsid w:val="004C099A"/>
    <w:rsid w:val="004C1B91"/>
    <w:rsid w:val="004C2779"/>
    <w:rsid w:val="004C2C01"/>
    <w:rsid w:val="004C2DA4"/>
    <w:rsid w:val="004C2F92"/>
    <w:rsid w:val="004C3079"/>
    <w:rsid w:val="004C3860"/>
    <w:rsid w:val="004C470D"/>
    <w:rsid w:val="004C4AE5"/>
    <w:rsid w:val="004C4CCD"/>
    <w:rsid w:val="004C5E37"/>
    <w:rsid w:val="004C6091"/>
    <w:rsid w:val="004C6142"/>
    <w:rsid w:val="004C641E"/>
    <w:rsid w:val="004C65E0"/>
    <w:rsid w:val="004C667D"/>
    <w:rsid w:val="004C68EE"/>
    <w:rsid w:val="004C6DAF"/>
    <w:rsid w:val="004C733B"/>
    <w:rsid w:val="004C743E"/>
    <w:rsid w:val="004C76C5"/>
    <w:rsid w:val="004C7D47"/>
    <w:rsid w:val="004C7E25"/>
    <w:rsid w:val="004C7E8A"/>
    <w:rsid w:val="004D113E"/>
    <w:rsid w:val="004D2941"/>
    <w:rsid w:val="004D2BEC"/>
    <w:rsid w:val="004D6B27"/>
    <w:rsid w:val="004D6D1B"/>
    <w:rsid w:val="004D7125"/>
    <w:rsid w:val="004D7755"/>
    <w:rsid w:val="004E03E3"/>
    <w:rsid w:val="004E273C"/>
    <w:rsid w:val="004E2974"/>
    <w:rsid w:val="004E3745"/>
    <w:rsid w:val="004E3E66"/>
    <w:rsid w:val="004E4448"/>
    <w:rsid w:val="004E4D55"/>
    <w:rsid w:val="004E5265"/>
    <w:rsid w:val="004E5595"/>
    <w:rsid w:val="004E7A7F"/>
    <w:rsid w:val="004F026F"/>
    <w:rsid w:val="004F1317"/>
    <w:rsid w:val="004F17D0"/>
    <w:rsid w:val="004F1A2D"/>
    <w:rsid w:val="004F242F"/>
    <w:rsid w:val="004F330C"/>
    <w:rsid w:val="004F37C7"/>
    <w:rsid w:val="004F3A01"/>
    <w:rsid w:val="004F3B80"/>
    <w:rsid w:val="004F453C"/>
    <w:rsid w:val="004F643C"/>
    <w:rsid w:val="004F6E1E"/>
    <w:rsid w:val="004F6F5D"/>
    <w:rsid w:val="004F6FBD"/>
    <w:rsid w:val="004F745F"/>
    <w:rsid w:val="004F747F"/>
    <w:rsid w:val="004F7574"/>
    <w:rsid w:val="004F7B3E"/>
    <w:rsid w:val="005008B2"/>
    <w:rsid w:val="005017CB"/>
    <w:rsid w:val="00502204"/>
    <w:rsid w:val="00502F1B"/>
    <w:rsid w:val="00502FA7"/>
    <w:rsid w:val="00502FB3"/>
    <w:rsid w:val="0050357E"/>
    <w:rsid w:val="005037EA"/>
    <w:rsid w:val="00504291"/>
    <w:rsid w:val="00504508"/>
    <w:rsid w:val="00504EF8"/>
    <w:rsid w:val="00504EFF"/>
    <w:rsid w:val="00504FC0"/>
    <w:rsid w:val="00505238"/>
    <w:rsid w:val="005053F4"/>
    <w:rsid w:val="005058D7"/>
    <w:rsid w:val="00506774"/>
    <w:rsid w:val="00506AA5"/>
    <w:rsid w:val="0050724B"/>
    <w:rsid w:val="0050791E"/>
    <w:rsid w:val="00507DCD"/>
    <w:rsid w:val="00511182"/>
    <w:rsid w:val="005124FF"/>
    <w:rsid w:val="00513218"/>
    <w:rsid w:val="0051359B"/>
    <w:rsid w:val="00514EAF"/>
    <w:rsid w:val="00515453"/>
    <w:rsid w:val="00515808"/>
    <w:rsid w:val="0051782D"/>
    <w:rsid w:val="005200F9"/>
    <w:rsid w:val="00520750"/>
    <w:rsid w:val="00523817"/>
    <w:rsid w:val="00523E74"/>
    <w:rsid w:val="00524091"/>
    <w:rsid w:val="0052478E"/>
    <w:rsid w:val="00524C4D"/>
    <w:rsid w:val="00525344"/>
    <w:rsid w:val="005260B2"/>
    <w:rsid w:val="005276A5"/>
    <w:rsid w:val="00527721"/>
    <w:rsid w:val="005277E0"/>
    <w:rsid w:val="00527A01"/>
    <w:rsid w:val="005312B6"/>
    <w:rsid w:val="005315F8"/>
    <w:rsid w:val="00531A87"/>
    <w:rsid w:val="00533F4C"/>
    <w:rsid w:val="0053447D"/>
    <w:rsid w:val="00534EAB"/>
    <w:rsid w:val="0053501F"/>
    <w:rsid w:val="00535D03"/>
    <w:rsid w:val="00535DAF"/>
    <w:rsid w:val="005361E1"/>
    <w:rsid w:val="00536916"/>
    <w:rsid w:val="00540D2F"/>
    <w:rsid w:val="00542EA1"/>
    <w:rsid w:val="00542EF9"/>
    <w:rsid w:val="00543332"/>
    <w:rsid w:val="00543FCA"/>
    <w:rsid w:val="00544604"/>
    <w:rsid w:val="0054506D"/>
    <w:rsid w:val="00545106"/>
    <w:rsid w:val="005454EC"/>
    <w:rsid w:val="0054593A"/>
    <w:rsid w:val="00545E3F"/>
    <w:rsid w:val="00546528"/>
    <w:rsid w:val="00546B8B"/>
    <w:rsid w:val="00547207"/>
    <w:rsid w:val="00550597"/>
    <w:rsid w:val="00551739"/>
    <w:rsid w:val="00551BDC"/>
    <w:rsid w:val="005522C7"/>
    <w:rsid w:val="00552795"/>
    <w:rsid w:val="005529E1"/>
    <w:rsid w:val="0055308E"/>
    <w:rsid w:val="0055339B"/>
    <w:rsid w:val="00553861"/>
    <w:rsid w:val="00553994"/>
    <w:rsid w:val="00554806"/>
    <w:rsid w:val="00555D4B"/>
    <w:rsid w:val="005573F2"/>
    <w:rsid w:val="00557CA5"/>
    <w:rsid w:val="00561036"/>
    <w:rsid w:val="0056106F"/>
    <w:rsid w:val="0056190B"/>
    <w:rsid w:val="00561F27"/>
    <w:rsid w:val="00562E6A"/>
    <w:rsid w:val="00562F83"/>
    <w:rsid w:val="00563012"/>
    <w:rsid w:val="00563079"/>
    <w:rsid w:val="005632FF"/>
    <w:rsid w:val="00563F76"/>
    <w:rsid w:val="0056502F"/>
    <w:rsid w:val="00565084"/>
    <w:rsid w:val="005654CF"/>
    <w:rsid w:val="00566949"/>
    <w:rsid w:val="0057019B"/>
    <w:rsid w:val="00570200"/>
    <w:rsid w:val="0057021E"/>
    <w:rsid w:val="00570685"/>
    <w:rsid w:val="00571025"/>
    <w:rsid w:val="005710ED"/>
    <w:rsid w:val="00572708"/>
    <w:rsid w:val="00572A4F"/>
    <w:rsid w:val="00573549"/>
    <w:rsid w:val="00573560"/>
    <w:rsid w:val="0057423E"/>
    <w:rsid w:val="005758A8"/>
    <w:rsid w:val="00575EC5"/>
    <w:rsid w:val="00576D30"/>
    <w:rsid w:val="00576D7A"/>
    <w:rsid w:val="005773B7"/>
    <w:rsid w:val="005777E5"/>
    <w:rsid w:val="0058050B"/>
    <w:rsid w:val="00580B02"/>
    <w:rsid w:val="0058197D"/>
    <w:rsid w:val="00581FE1"/>
    <w:rsid w:val="00582139"/>
    <w:rsid w:val="0058223F"/>
    <w:rsid w:val="00582384"/>
    <w:rsid w:val="00582696"/>
    <w:rsid w:val="005831C1"/>
    <w:rsid w:val="00583532"/>
    <w:rsid w:val="005842BE"/>
    <w:rsid w:val="00584346"/>
    <w:rsid w:val="005846CC"/>
    <w:rsid w:val="0058496B"/>
    <w:rsid w:val="00585404"/>
    <w:rsid w:val="00585FB2"/>
    <w:rsid w:val="0058657A"/>
    <w:rsid w:val="00586997"/>
    <w:rsid w:val="00586A77"/>
    <w:rsid w:val="0058718C"/>
    <w:rsid w:val="005871EC"/>
    <w:rsid w:val="00591012"/>
    <w:rsid w:val="005913DD"/>
    <w:rsid w:val="00592C66"/>
    <w:rsid w:val="00592D21"/>
    <w:rsid w:val="00593156"/>
    <w:rsid w:val="0059354D"/>
    <w:rsid w:val="005936D4"/>
    <w:rsid w:val="00594212"/>
    <w:rsid w:val="00594A37"/>
    <w:rsid w:val="0059625A"/>
    <w:rsid w:val="00597472"/>
    <w:rsid w:val="005978BE"/>
    <w:rsid w:val="00597CB8"/>
    <w:rsid w:val="00597F3B"/>
    <w:rsid w:val="005A11ED"/>
    <w:rsid w:val="005A1967"/>
    <w:rsid w:val="005A2351"/>
    <w:rsid w:val="005A2BA0"/>
    <w:rsid w:val="005A34F7"/>
    <w:rsid w:val="005A3A0D"/>
    <w:rsid w:val="005A3BD8"/>
    <w:rsid w:val="005A4061"/>
    <w:rsid w:val="005A432C"/>
    <w:rsid w:val="005A4848"/>
    <w:rsid w:val="005A6957"/>
    <w:rsid w:val="005A6CEE"/>
    <w:rsid w:val="005A6DE4"/>
    <w:rsid w:val="005A75E7"/>
    <w:rsid w:val="005A7C8D"/>
    <w:rsid w:val="005B0055"/>
    <w:rsid w:val="005B0358"/>
    <w:rsid w:val="005B04E4"/>
    <w:rsid w:val="005B0DE5"/>
    <w:rsid w:val="005B22EA"/>
    <w:rsid w:val="005B38AB"/>
    <w:rsid w:val="005B5B7D"/>
    <w:rsid w:val="005B6630"/>
    <w:rsid w:val="005B6696"/>
    <w:rsid w:val="005B79A3"/>
    <w:rsid w:val="005B7CD3"/>
    <w:rsid w:val="005C0676"/>
    <w:rsid w:val="005C154A"/>
    <w:rsid w:val="005C23F0"/>
    <w:rsid w:val="005C261D"/>
    <w:rsid w:val="005C3BB4"/>
    <w:rsid w:val="005C557C"/>
    <w:rsid w:val="005C565E"/>
    <w:rsid w:val="005C5CBE"/>
    <w:rsid w:val="005C611B"/>
    <w:rsid w:val="005C6182"/>
    <w:rsid w:val="005C67DD"/>
    <w:rsid w:val="005C683F"/>
    <w:rsid w:val="005C6F7C"/>
    <w:rsid w:val="005D0452"/>
    <w:rsid w:val="005D0660"/>
    <w:rsid w:val="005D092F"/>
    <w:rsid w:val="005D0C6B"/>
    <w:rsid w:val="005D14BF"/>
    <w:rsid w:val="005D1538"/>
    <w:rsid w:val="005D1754"/>
    <w:rsid w:val="005D248F"/>
    <w:rsid w:val="005D259D"/>
    <w:rsid w:val="005D2968"/>
    <w:rsid w:val="005D2D72"/>
    <w:rsid w:val="005D3197"/>
    <w:rsid w:val="005D3375"/>
    <w:rsid w:val="005D37DB"/>
    <w:rsid w:val="005D44D0"/>
    <w:rsid w:val="005D51D2"/>
    <w:rsid w:val="005D5A5A"/>
    <w:rsid w:val="005D613A"/>
    <w:rsid w:val="005D6B19"/>
    <w:rsid w:val="005D6E7F"/>
    <w:rsid w:val="005D701A"/>
    <w:rsid w:val="005D739C"/>
    <w:rsid w:val="005D7457"/>
    <w:rsid w:val="005E0E47"/>
    <w:rsid w:val="005E1565"/>
    <w:rsid w:val="005E26CC"/>
    <w:rsid w:val="005E2CE4"/>
    <w:rsid w:val="005E2FC0"/>
    <w:rsid w:val="005E2FCC"/>
    <w:rsid w:val="005E3523"/>
    <w:rsid w:val="005E3A54"/>
    <w:rsid w:val="005E49A1"/>
    <w:rsid w:val="005E4E7C"/>
    <w:rsid w:val="005E4F51"/>
    <w:rsid w:val="005E6B9F"/>
    <w:rsid w:val="005E6E1B"/>
    <w:rsid w:val="005E7D56"/>
    <w:rsid w:val="005F186B"/>
    <w:rsid w:val="005F188E"/>
    <w:rsid w:val="005F1C3C"/>
    <w:rsid w:val="005F1D1F"/>
    <w:rsid w:val="005F22F0"/>
    <w:rsid w:val="005F2992"/>
    <w:rsid w:val="005F3A2E"/>
    <w:rsid w:val="005F3AAA"/>
    <w:rsid w:val="005F4AEC"/>
    <w:rsid w:val="005F6809"/>
    <w:rsid w:val="00600381"/>
    <w:rsid w:val="006004E6"/>
    <w:rsid w:val="00600856"/>
    <w:rsid w:val="006008CC"/>
    <w:rsid w:val="00600C25"/>
    <w:rsid w:val="00600E5B"/>
    <w:rsid w:val="0060119A"/>
    <w:rsid w:val="0060122B"/>
    <w:rsid w:val="00603E09"/>
    <w:rsid w:val="00603F2D"/>
    <w:rsid w:val="00605382"/>
    <w:rsid w:val="006053ED"/>
    <w:rsid w:val="006058B8"/>
    <w:rsid w:val="0060638C"/>
    <w:rsid w:val="00606AA3"/>
    <w:rsid w:val="00607236"/>
    <w:rsid w:val="0060743E"/>
    <w:rsid w:val="00607D54"/>
    <w:rsid w:val="006109B1"/>
    <w:rsid w:val="00610C4F"/>
    <w:rsid w:val="00610F3F"/>
    <w:rsid w:val="00611695"/>
    <w:rsid w:val="00612E0B"/>
    <w:rsid w:val="0061327E"/>
    <w:rsid w:val="00613379"/>
    <w:rsid w:val="0061342B"/>
    <w:rsid w:val="00613564"/>
    <w:rsid w:val="00613F1C"/>
    <w:rsid w:val="006157AA"/>
    <w:rsid w:val="00615908"/>
    <w:rsid w:val="00616189"/>
    <w:rsid w:val="006166D8"/>
    <w:rsid w:val="00616928"/>
    <w:rsid w:val="00616FEA"/>
    <w:rsid w:val="0061739B"/>
    <w:rsid w:val="00617979"/>
    <w:rsid w:val="00620460"/>
    <w:rsid w:val="0062063D"/>
    <w:rsid w:val="0062195A"/>
    <w:rsid w:val="006226D1"/>
    <w:rsid w:val="006240E0"/>
    <w:rsid w:val="00624AF8"/>
    <w:rsid w:val="00624E7B"/>
    <w:rsid w:val="0062636F"/>
    <w:rsid w:val="006265E7"/>
    <w:rsid w:val="00626B4F"/>
    <w:rsid w:val="00626FE6"/>
    <w:rsid w:val="006274B0"/>
    <w:rsid w:val="00627D6E"/>
    <w:rsid w:val="006306D4"/>
    <w:rsid w:val="00630797"/>
    <w:rsid w:val="00630FBF"/>
    <w:rsid w:val="00631383"/>
    <w:rsid w:val="00634F79"/>
    <w:rsid w:val="00635C30"/>
    <w:rsid w:val="00635FA5"/>
    <w:rsid w:val="0063693E"/>
    <w:rsid w:val="0063789E"/>
    <w:rsid w:val="00637A49"/>
    <w:rsid w:val="00637ACB"/>
    <w:rsid w:val="00637E9E"/>
    <w:rsid w:val="00642DFC"/>
    <w:rsid w:val="00643DDB"/>
    <w:rsid w:val="00645972"/>
    <w:rsid w:val="00645F9A"/>
    <w:rsid w:val="00646630"/>
    <w:rsid w:val="00646D03"/>
    <w:rsid w:val="00646E09"/>
    <w:rsid w:val="00646EA5"/>
    <w:rsid w:val="00650577"/>
    <w:rsid w:val="00651A47"/>
    <w:rsid w:val="00651F3E"/>
    <w:rsid w:val="00652524"/>
    <w:rsid w:val="00652958"/>
    <w:rsid w:val="00653426"/>
    <w:rsid w:val="00653F55"/>
    <w:rsid w:val="0065429B"/>
    <w:rsid w:val="006546BC"/>
    <w:rsid w:val="006556D2"/>
    <w:rsid w:val="00655723"/>
    <w:rsid w:val="00655C1E"/>
    <w:rsid w:val="00655DAB"/>
    <w:rsid w:val="0065616F"/>
    <w:rsid w:val="00660BC9"/>
    <w:rsid w:val="0066182A"/>
    <w:rsid w:val="006636EC"/>
    <w:rsid w:val="006642EF"/>
    <w:rsid w:val="00664728"/>
    <w:rsid w:val="00664BC3"/>
    <w:rsid w:val="00666AB9"/>
    <w:rsid w:val="00666F09"/>
    <w:rsid w:val="00666F89"/>
    <w:rsid w:val="006671EA"/>
    <w:rsid w:val="00671788"/>
    <w:rsid w:val="00672DAF"/>
    <w:rsid w:val="00672E62"/>
    <w:rsid w:val="00674879"/>
    <w:rsid w:val="00674B35"/>
    <w:rsid w:val="00674CFF"/>
    <w:rsid w:val="0067505B"/>
    <w:rsid w:val="006755DE"/>
    <w:rsid w:val="006760E8"/>
    <w:rsid w:val="00676763"/>
    <w:rsid w:val="006768F9"/>
    <w:rsid w:val="00676D50"/>
    <w:rsid w:val="00677090"/>
    <w:rsid w:val="0067711A"/>
    <w:rsid w:val="00677CA4"/>
    <w:rsid w:val="00680B17"/>
    <w:rsid w:val="00681190"/>
    <w:rsid w:val="0068146E"/>
    <w:rsid w:val="006817BA"/>
    <w:rsid w:val="00682387"/>
    <w:rsid w:val="00682B22"/>
    <w:rsid w:val="006831D1"/>
    <w:rsid w:val="0068320B"/>
    <w:rsid w:val="006846DE"/>
    <w:rsid w:val="0068559C"/>
    <w:rsid w:val="00686A01"/>
    <w:rsid w:val="00686AB1"/>
    <w:rsid w:val="006876B7"/>
    <w:rsid w:val="00687A84"/>
    <w:rsid w:val="00687C1B"/>
    <w:rsid w:val="00687CA9"/>
    <w:rsid w:val="006911F2"/>
    <w:rsid w:val="00691C78"/>
    <w:rsid w:val="006920D5"/>
    <w:rsid w:val="00692C55"/>
    <w:rsid w:val="00692ED6"/>
    <w:rsid w:val="00693049"/>
    <w:rsid w:val="006931BC"/>
    <w:rsid w:val="00693974"/>
    <w:rsid w:val="00693CB8"/>
    <w:rsid w:val="00694AAF"/>
    <w:rsid w:val="0069506C"/>
    <w:rsid w:val="00695D42"/>
    <w:rsid w:val="006963AC"/>
    <w:rsid w:val="00696C2A"/>
    <w:rsid w:val="00696D6B"/>
    <w:rsid w:val="00697E96"/>
    <w:rsid w:val="006A0488"/>
    <w:rsid w:val="006A0DF6"/>
    <w:rsid w:val="006A1B25"/>
    <w:rsid w:val="006A24D9"/>
    <w:rsid w:val="006A2D1A"/>
    <w:rsid w:val="006A3CA8"/>
    <w:rsid w:val="006A3D16"/>
    <w:rsid w:val="006A4111"/>
    <w:rsid w:val="006A4280"/>
    <w:rsid w:val="006A4628"/>
    <w:rsid w:val="006A4700"/>
    <w:rsid w:val="006A5305"/>
    <w:rsid w:val="006A566F"/>
    <w:rsid w:val="006A65DB"/>
    <w:rsid w:val="006A666F"/>
    <w:rsid w:val="006A6670"/>
    <w:rsid w:val="006A722D"/>
    <w:rsid w:val="006A792A"/>
    <w:rsid w:val="006B0274"/>
    <w:rsid w:val="006B05F4"/>
    <w:rsid w:val="006B10B5"/>
    <w:rsid w:val="006B11C5"/>
    <w:rsid w:val="006B16BB"/>
    <w:rsid w:val="006B1D87"/>
    <w:rsid w:val="006B1FC4"/>
    <w:rsid w:val="006B2920"/>
    <w:rsid w:val="006B2D12"/>
    <w:rsid w:val="006B2FF3"/>
    <w:rsid w:val="006B328E"/>
    <w:rsid w:val="006B37B3"/>
    <w:rsid w:val="006B3E01"/>
    <w:rsid w:val="006B4060"/>
    <w:rsid w:val="006B4A46"/>
    <w:rsid w:val="006B4B80"/>
    <w:rsid w:val="006B5614"/>
    <w:rsid w:val="006B5F6E"/>
    <w:rsid w:val="006B6E8A"/>
    <w:rsid w:val="006B794F"/>
    <w:rsid w:val="006C01CB"/>
    <w:rsid w:val="006C0439"/>
    <w:rsid w:val="006C058E"/>
    <w:rsid w:val="006C0C75"/>
    <w:rsid w:val="006C27F8"/>
    <w:rsid w:val="006C38F1"/>
    <w:rsid w:val="006C3973"/>
    <w:rsid w:val="006C454D"/>
    <w:rsid w:val="006C4709"/>
    <w:rsid w:val="006C484B"/>
    <w:rsid w:val="006C49BE"/>
    <w:rsid w:val="006C4A51"/>
    <w:rsid w:val="006C4AFB"/>
    <w:rsid w:val="006C4BF4"/>
    <w:rsid w:val="006C502F"/>
    <w:rsid w:val="006C62D5"/>
    <w:rsid w:val="006C684C"/>
    <w:rsid w:val="006C743D"/>
    <w:rsid w:val="006C75B6"/>
    <w:rsid w:val="006C7C9C"/>
    <w:rsid w:val="006D047E"/>
    <w:rsid w:val="006D0962"/>
    <w:rsid w:val="006D13C0"/>
    <w:rsid w:val="006D1853"/>
    <w:rsid w:val="006D2296"/>
    <w:rsid w:val="006D33D6"/>
    <w:rsid w:val="006D3570"/>
    <w:rsid w:val="006D3E2E"/>
    <w:rsid w:val="006D3E99"/>
    <w:rsid w:val="006D46A7"/>
    <w:rsid w:val="006D53A8"/>
    <w:rsid w:val="006D7111"/>
    <w:rsid w:val="006D72D3"/>
    <w:rsid w:val="006D73D5"/>
    <w:rsid w:val="006D7506"/>
    <w:rsid w:val="006D7BB4"/>
    <w:rsid w:val="006D7D8A"/>
    <w:rsid w:val="006D7EF7"/>
    <w:rsid w:val="006E0CD0"/>
    <w:rsid w:val="006E174F"/>
    <w:rsid w:val="006E1768"/>
    <w:rsid w:val="006E271F"/>
    <w:rsid w:val="006E2788"/>
    <w:rsid w:val="006E2B6D"/>
    <w:rsid w:val="006E2FD0"/>
    <w:rsid w:val="006E32DD"/>
    <w:rsid w:val="006E3494"/>
    <w:rsid w:val="006E3A2B"/>
    <w:rsid w:val="006E3E32"/>
    <w:rsid w:val="006E5213"/>
    <w:rsid w:val="006E584D"/>
    <w:rsid w:val="006E5891"/>
    <w:rsid w:val="006E5C20"/>
    <w:rsid w:val="006E5CD2"/>
    <w:rsid w:val="006E625B"/>
    <w:rsid w:val="006E70CB"/>
    <w:rsid w:val="006E720B"/>
    <w:rsid w:val="006E74DB"/>
    <w:rsid w:val="006E74E6"/>
    <w:rsid w:val="006F046B"/>
    <w:rsid w:val="006F101E"/>
    <w:rsid w:val="006F17B8"/>
    <w:rsid w:val="006F19E1"/>
    <w:rsid w:val="006F2448"/>
    <w:rsid w:val="006F26FE"/>
    <w:rsid w:val="006F2958"/>
    <w:rsid w:val="006F29DA"/>
    <w:rsid w:val="006F2F1A"/>
    <w:rsid w:val="006F3973"/>
    <w:rsid w:val="006F39EC"/>
    <w:rsid w:val="006F3ACC"/>
    <w:rsid w:val="006F3B76"/>
    <w:rsid w:val="006F3B9C"/>
    <w:rsid w:val="006F534F"/>
    <w:rsid w:val="006F65C9"/>
    <w:rsid w:val="006F6688"/>
    <w:rsid w:val="006F7930"/>
    <w:rsid w:val="007001DB"/>
    <w:rsid w:val="00700392"/>
    <w:rsid w:val="0070050E"/>
    <w:rsid w:val="00701A5B"/>
    <w:rsid w:val="0070242A"/>
    <w:rsid w:val="00702C86"/>
    <w:rsid w:val="00702E96"/>
    <w:rsid w:val="007036B0"/>
    <w:rsid w:val="00703970"/>
    <w:rsid w:val="00703D05"/>
    <w:rsid w:val="0070467E"/>
    <w:rsid w:val="00704707"/>
    <w:rsid w:val="0070495B"/>
    <w:rsid w:val="007049B9"/>
    <w:rsid w:val="00704A04"/>
    <w:rsid w:val="007050B0"/>
    <w:rsid w:val="0070511E"/>
    <w:rsid w:val="007058D6"/>
    <w:rsid w:val="00705B91"/>
    <w:rsid w:val="00705BE3"/>
    <w:rsid w:val="00705C1C"/>
    <w:rsid w:val="00706B73"/>
    <w:rsid w:val="00706FCD"/>
    <w:rsid w:val="0070747D"/>
    <w:rsid w:val="00707491"/>
    <w:rsid w:val="0070771B"/>
    <w:rsid w:val="00707D35"/>
    <w:rsid w:val="00707D42"/>
    <w:rsid w:val="00710320"/>
    <w:rsid w:val="00710B40"/>
    <w:rsid w:val="00711F8C"/>
    <w:rsid w:val="007120E0"/>
    <w:rsid w:val="007125AD"/>
    <w:rsid w:val="00713579"/>
    <w:rsid w:val="0071394A"/>
    <w:rsid w:val="00713C26"/>
    <w:rsid w:val="00713E35"/>
    <w:rsid w:val="0071430B"/>
    <w:rsid w:val="007149DC"/>
    <w:rsid w:val="007151F3"/>
    <w:rsid w:val="00716166"/>
    <w:rsid w:val="00720304"/>
    <w:rsid w:val="00720396"/>
    <w:rsid w:val="007203D2"/>
    <w:rsid w:val="00720524"/>
    <w:rsid w:val="00720A3B"/>
    <w:rsid w:val="00721342"/>
    <w:rsid w:val="00721868"/>
    <w:rsid w:val="00721B1F"/>
    <w:rsid w:val="007232DE"/>
    <w:rsid w:val="00723A04"/>
    <w:rsid w:val="00723A27"/>
    <w:rsid w:val="00723C95"/>
    <w:rsid w:val="00724024"/>
    <w:rsid w:val="007246AF"/>
    <w:rsid w:val="00724A05"/>
    <w:rsid w:val="00724C25"/>
    <w:rsid w:val="00724C67"/>
    <w:rsid w:val="00725175"/>
    <w:rsid w:val="00725BC9"/>
    <w:rsid w:val="00726C7D"/>
    <w:rsid w:val="0072708F"/>
    <w:rsid w:val="007276E9"/>
    <w:rsid w:val="00730B27"/>
    <w:rsid w:val="0073102B"/>
    <w:rsid w:val="007320F1"/>
    <w:rsid w:val="00732467"/>
    <w:rsid w:val="00732BBE"/>
    <w:rsid w:val="00733138"/>
    <w:rsid w:val="00733331"/>
    <w:rsid w:val="007333A7"/>
    <w:rsid w:val="007333A9"/>
    <w:rsid w:val="007337A0"/>
    <w:rsid w:val="007339EE"/>
    <w:rsid w:val="007340C3"/>
    <w:rsid w:val="0073430B"/>
    <w:rsid w:val="00734A03"/>
    <w:rsid w:val="00735856"/>
    <w:rsid w:val="00735C44"/>
    <w:rsid w:val="0073611B"/>
    <w:rsid w:val="00736214"/>
    <w:rsid w:val="00736263"/>
    <w:rsid w:val="00737746"/>
    <w:rsid w:val="00740332"/>
    <w:rsid w:val="00741A68"/>
    <w:rsid w:val="00741DB9"/>
    <w:rsid w:val="007420E4"/>
    <w:rsid w:val="007426A9"/>
    <w:rsid w:val="00743D77"/>
    <w:rsid w:val="00744934"/>
    <w:rsid w:val="00744F54"/>
    <w:rsid w:val="00745012"/>
    <w:rsid w:val="00745253"/>
    <w:rsid w:val="007459AD"/>
    <w:rsid w:val="007467E7"/>
    <w:rsid w:val="00746C30"/>
    <w:rsid w:val="007470A9"/>
    <w:rsid w:val="00747D39"/>
    <w:rsid w:val="00750196"/>
    <w:rsid w:val="007513B1"/>
    <w:rsid w:val="0075160E"/>
    <w:rsid w:val="0075277D"/>
    <w:rsid w:val="00752D45"/>
    <w:rsid w:val="00752DD3"/>
    <w:rsid w:val="00753332"/>
    <w:rsid w:val="00753E40"/>
    <w:rsid w:val="0075458C"/>
    <w:rsid w:val="00754D74"/>
    <w:rsid w:val="00754DC9"/>
    <w:rsid w:val="00755DE8"/>
    <w:rsid w:val="0075691E"/>
    <w:rsid w:val="007569DB"/>
    <w:rsid w:val="00756EE9"/>
    <w:rsid w:val="007600CD"/>
    <w:rsid w:val="0076111C"/>
    <w:rsid w:val="007614F6"/>
    <w:rsid w:val="007618A1"/>
    <w:rsid w:val="007626DE"/>
    <w:rsid w:val="00762C2F"/>
    <w:rsid w:val="0076300F"/>
    <w:rsid w:val="00763421"/>
    <w:rsid w:val="007638D3"/>
    <w:rsid w:val="00763F45"/>
    <w:rsid w:val="0076493C"/>
    <w:rsid w:val="00765663"/>
    <w:rsid w:val="00765786"/>
    <w:rsid w:val="00765A8E"/>
    <w:rsid w:val="00766CAA"/>
    <w:rsid w:val="0076706C"/>
    <w:rsid w:val="00767169"/>
    <w:rsid w:val="00767561"/>
    <w:rsid w:val="00767A34"/>
    <w:rsid w:val="00767B76"/>
    <w:rsid w:val="0077016C"/>
    <w:rsid w:val="007701BD"/>
    <w:rsid w:val="0077041E"/>
    <w:rsid w:val="00770595"/>
    <w:rsid w:val="00770E8E"/>
    <w:rsid w:val="00771562"/>
    <w:rsid w:val="00771C46"/>
    <w:rsid w:val="007721F4"/>
    <w:rsid w:val="0077231B"/>
    <w:rsid w:val="00772B16"/>
    <w:rsid w:val="00772B78"/>
    <w:rsid w:val="007731F6"/>
    <w:rsid w:val="0077339F"/>
    <w:rsid w:val="00773B15"/>
    <w:rsid w:val="00774067"/>
    <w:rsid w:val="00774400"/>
    <w:rsid w:val="00775AF1"/>
    <w:rsid w:val="00775F9E"/>
    <w:rsid w:val="00777348"/>
    <w:rsid w:val="00782034"/>
    <w:rsid w:val="007821BC"/>
    <w:rsid w:val="007821BD"/>
    <w:rsid w:val="00782368"/>
    <w:rsid w:val="0078340E"/>
    <w:rsid w:val="007844F3"/>
    <w:rsid w:val="00785690"/>
    <w:rsid w:val="0078576E"/>
    <w:rsid w:val="00786243"/>
    <w:rsid w:val="00787208"/>
    <w:rsid w:val="00787F76"/>
    <w:rsid w:val="007904B8"/>
    <w:rsid w:val="00790E8A"/>
    <w:rsid w:val="007917B1"/>
    <w:rsid w:val="00791B6E"/>
    <w:rsid w:val="0079209C"/>
    <w:rsid w:val="00792BA6"/>
    <w:rsid w:val="00792BAF"/>
    <w:rsid w:val="00793400"/>
    <w:rsid w:val="00794153"/>
    <w:rsid w:val="00794818"/>
    <w:rsid w:val="00794864"/>
    <w:rsid w:val="00794C71"/>
    <w:rsid w:val="007955D4"/>
    <w:rsid w:val="00795660"/>
    <w:rsid w:val="0079675A"/>
    <w:rsid w:val="007967B2"/>
    <w:rsid w:val="00796E54"/>
    <w:rsid w:val="00796F2A"/>
    <w:rsid w:val="007978DE"/>
    <w:rsid w:val="00797A9D"/>
    <w:rsid w:val="00797D01"/>
    <w:rsid w:val="007A08F0"/>
    <w:rsid w:val="007A0B5B"/>
    <w:rsid w:val="007A1F10"/>
    <w:rsid w:val="007A2716"/>
    <w:rsid w:val="007A36AD"/>
    <w:rsid w:val="007A3AFB"/>
    <w:rsid w:val="007A493A"/>
    <w:rsid w:val="007A56A1"/>
    <w:rsid w:val="007A5EC9"/>
    <w:rsid w:val="007A670B"/>
    <w:rsid w:val="007A71F8"/>
    <w:rsid w:val="007B0110"/>
    <w:rsid w:val="007B0149"/>
    <w:rsid w:val="007B08F7"/>
    <w:rsid w:val="007B12DE"/>
    <w:rsid w:val="007B15D9"/>
    <w:rsid w:val="007B27E1"/>
    <w:rsid w:val="007B3461"/>
    <w:rsid w:val="007B3EF2"/>
    <w:rsid w:val="007B442F"/>
    <w:rsid w:val="007B4FAC"/>
    <w:rsid w:val="007B54CC"/>
    <w:rsid w:val="007B6B04"/>
    <w:rsid w:val="007B7112"/>
    <w:rsid w:val="007B7309"/>
    <w:rsid w:val="007B771D"/>
    <w:rsid w:val="007B7DE9"/>
    <w:rsid w:val="007C05E1"/>
    <w:rsid w:val="007C08C5"/>
    <w:rsid w:val="007C0A61"/>
    <w:rsid w:val="007C0CE2"/>
    <w:rsid w:val="007C11D7"/>
    <w:rsid w:val="007C127A"/>
    <w:rsid w:val="007C2360"/>
    <w:rsid w:val="007C29A1"/>
    <w:rsid w:val="007C3835"/>
    <w:rsid w:val="007C4DFA"/>
    <w:rsid w:val="007C5054"/>
    <w:rsid w:val="007C50C7"/>
    <w:rsid w:val="007C53EF"/>
    <w:rsid w:val="007C5A45"/>
    <w:rsid w:val="007C5AB2"/>
    <w:rsid w:val="007C5F9D"/>
    <w:rsid w:val="007C6C44"/>
    <w:rsid w:val="007C7CCF"/>
    <w:rsid w:val="007C7F0C"/>
    <w:rsid w:val="007C7FE0"/>
    <w:rsid w:val="007D1E00"/>
    <w:rsid w:val="007D2136"/>
    <w:rsid w:val="007D232A"/>
    <w:rsid w:val="007D272C"/>
    <w:rsid w:val="007D3005"/>
    <w:rsid w:val="007D33E2"/>
    <w:rsid w:val="007D4A8C"/>
    <w:rsid w:val="007D54ED"/>
    <w:rsid w:val="007D63D2"/>
    <w:rsid w:val="007D663A"/>
    <w:rsid w:val="007D6675"/>
    <w:rsid w:val="007D6987"/>
    <w:rsid w:val="007D71D3"/>
    <w:rsid w:val="007D7692"/>
    <w:rsid w:val="007E139B"/>
    <w:rsid w:val="007E1859"/>
    <w:rsid w:val="007E2148"/>
    <w:rsid w:val="007E287A"/>
    <w:rsid w:val="007E2A6B"/>
    <w:rsid w:val="007E3309"/>
    <w:rsid w:val="007E48B0"/>
    <w:rsid w:val="007E4E3C"/>
    <w:rsid w:val="007E4EC7"/>
    <w:rsid w:val="007E5728"/>
    <w:rsid w:val="007E641B"/>
    <w:rsid w:val="007E65DE"/>
    <w:rsid w:val="007E69D2"/>
    <w:rsid w:val="007E7574"/>
    <w:rsid w:val="007E7C7E"/>
    <w:rsid w:val="007E7DF3"/>
    <w:rsid w:val="007F0BE7"/>
    <w:rsid w:val="007F1954"/>
    <w:rsid w:val="007F2425"/>
    <w:rsid w:val="007F29D8"/>
    <w:rsid w:val="007F3810"/>
    <w:rsid w:val="007F391E"/>
    <w:rsid w:val="007F3A0E"/>
    <w:rsid w:val="007F461E"/>
    <w:rsid w:val="007F5510"/>
    <w:rsid w:val="007F563F"/>
    <w:rsid w:val="007F606B"/>
    <w:rsid w:val="007F6371"/>
    <w:rsid w:val="007F67C5"/>
    <w:rsid w:val="007F7A80"/>
    <w:rsid w:val="008000B5"/>
    <w:rsid w:val="008003DE"/>
    <w:rsid w:val="00800ECB"/>
    <w:rsid w:val="008019E3"/>
    <w:rsid w:val="00801D71"/>
    <w:rsid w:val="0080216E"/>
    <w:rsid w:val="00803B3B"/>
    <w:rsid w:val="00804558"/>
    <w:rsid w:val="008046D4"/>
    <w:rsid w:val="008049D6"/>
    <w:rsid w:val="00805405"/>
    <w:rsid w:val="008065B2"/>
    <w:rsid w:val="0080682C"/>
    <w:rsid w:val="00806F91"/>
    <w:rsid w:val="00810398"/>
    <w:rsid w:val="008103E0"/>
    <w:rsid w:val="00810744"/>
    <w:rsid w:val="00811020"/>
    <w:rsid w:val="00812A94"/>
    <w:rsid w:val="00812EBD"/>
    <w:rsid w:val="00813525"/>
    <w:rsid w:val="008135C2"/>
    <w:rsid w:val="008140C4"/>
    <w:rsid w:val="008145E7"/>
    <w:rsid w:val="00815CFC"/>
    <w:rsid w:val="0081600F"/>
    <w:rsid w:val="00816AA2"/>
    <w:rsid w:val="00817400"/>
    <w:rsid w:val="008177BB"/>
    <w:rsid w:val="00817945"/>
    <w:rsid w:val="00817E95"/>
    <w:rsid w:val="008209D3"/>
    <w:rsid w:val="00820A3F"/>
    <w:rsid w:val="00820B2F"/>
    <w:rsid w:val="00821BDD"/>
    <w:rsid w:val="00822CD2"/>
    <w:rsid w:val="00823195"/>
    <w:rsid w:val="008234D1"/>
    <w:rsid w:val="00823DC3"/>
    <w:rsid w:val="008249FD"/>
    <w:rsid w:val="00824AA5"/>
    <w:rsid w:val="00825088"/>
    <w:rsid w:val="008251E8"/>
    <w:rsid w:val="00825C08"/>
    <w:rsid w:val="00825FC9"/>
    <w:rsid w:val="0082625F"/>
    <w:rsid w:val="008265B6"/>
    <w:rsid w:val="00826849"/>
    <w:rsid w:val="008268A9"/>
    <w:rsid w:val="0082741C"/>
    <w:rsid w:val="00827495"/>
    <w:rsid w:val="00830E1C"/>
    <w:rsid w:val="0083227E"/>
    <w:rsid w:val="008325F1"/>
    <w:rsid w:val="008329F1"/>
    <w:rsid w:val="00833536"/>
    <w:rsid w:val="0083354C"/>
    <w:rsid w:val="00833600"/>
    <w:rsid w:val="00833FF6"/>
    <w:rsid w:val="00834CA8"/>
    <w:rsid w:val="00834D83"/>
    <w:rsid w:val="008361CA"/>
    <w:rsid w:val="008362AD"/>
    <w:rsid w:val="008365BF"/>
    <w:rsid w:val="00836768"/>
    <w:rsid w:val="00836936"/>
    <w:rsid w:val="00836A07"/>
    <w:rsid w:val="00836B6F"/>
    <w:rsid w:val="008377EB"/>
    <w:rsid w:val="008404F1"/>
    <w:rsid w:val="00840D16"/>
    <w:rsid w:val="008425DC"/>
    <w:rsid w:val="008430AC"/>
    <w:rsid w:val="008440EF"/>
    <w:rsid w:val="00844363"/>
    <w:rsid w:val="0084453B"/>
    <w:rsid w:val="00844DF2"/>
    <w:rsid w:val="008452C0"/>
    <w:rsid w:val="008466D2"/>
    <w:rsid w:val="00846A62"/>
    <w:rsid w:val="00847087"/>
    <w:rsid w:val="00847965"/>
    <w:rsid w:val="00847B30"/>
    <w:rsid w:val="008501B8"/>
    <w:rsid w:val="008504DC"/>
    <w:rsid w:val="008506C2"/>
    <w:rsid w:val="008508D5"/>
    <w:rsid w:val="0085108B"/>
    <w:rsid w:val="00852058"/>
    <w:rsid w:val="008534D2"/>
    <w:rsid w:val="008536AF"/>
    <w:rsid w:val="00853887"/>
    <w:rsid w:val="0085395F"/>
    <w:rsid w:val="0085479F"/>
    <w:rsid w:val="00854C38"/>
    <w:rsid w:val="00855FBB"/>
    <w:rsid w:val="0085734C"/>
    <w:rsid w:val="00857354"/>
    <w:rsid w:val="008577E1"/>
    <w:rsid w:val="00857FEA"/>
    <w:rsid w:val="008602E7"/>
    <w:rsid w:val="008612F3"/>
    <w:rsid w:val="008615BD"/>
    <w:rsid w:val="00861C43"/>
    <w:rsid w:val="00862721"/>
    <w:rsid w:val="00862BAA"/>
    <w:rsid w:val="00863536"/>
    <w:rsid w:val="008639F7"/>
    <w:rsid w:val="008641C7"/>
    <w:rsid w:val="00864942"/>
    <w:rsid w:val="00864DFC"/>
    <w:rsid w:val="0086512D"/>
    <w:rsid w:val="008653A6"/>
    <w:rsid w:val="008663D9"/>
    <w:rsid w:val="00866D3A"/>
    <w:rsid w:val="0086721C"/>
    <w:rsid w:val="00870EAA"/>
    <w:rsid w:val="00871656"/>
    <w:rsid w:val="00871CF6"/>
    <w:rsid w:val="0087281C"/>
    <w:rsid w:val="00872899"/>
    <w:rsid w:val="00872F30"/>
    <w:rsid w:val="00873763"/>
    <w:rsid w:val="0087427D"/>
    <w:rsid w:val="00874332"/>
    <w:rsid w:val="008745D3"/>
    <w:rsid w:val="0087519F"/>
    <w:rsid w:val="00875CD5"/>
    <w:rsid w:val="00876B69"/>
    <w:rsid w:val="0087722B"/>
    <w:rsid w:val="00877939"/>
    <w:rsid w:val="00880058"/>
    <w:rsid w:val="00880EFC"/>
    <w:rsid w:val="00882671"/>
    <w:rsid w:val="008827E4"/>
    <w:rsid w:val="008828C1"/>
    <w:rsid w:val="00882E06"/>
    <w:rsid w:val="008864DA"/>
    <w:rsid w:val="00886F95"/>
    <w:rsid w:val="00887543"/>
    <w:rsid w:val="008908BD"/>
    <w:rsid w:val="00890EB7"/>
    <w:rsid w:val="00891BFE"/>
    <w:rsid w:val="008925E3"/>
    <w:rsid w:val="008931D0"/>
    <w:rsid w:val="00893295"/>
    <w:rsid w:val="00893951"/>
    <w:rsid w:val="00893A10"/>
    <w:rsid w:val="008940D2"/>
    <w:rsid w:val="0089410E"/>
    <w:rsid w:val="00894433"/>
    <w:rsid w:val="008947DF"/>
    <w:rsid w:val="008948CF"/>
    <w:rsid w:val="00894DA3"/>
    <w:rsid w:val="00895214"/>
    <w:rsid w:val="008952D4"/>
    <w:rsid w:val="00896B9E"/>
    <w:rsid w:val="0089700B"/>
    <w:rsid w:val="008977F5"/>
    <w:rsid w:val="00897CBF"/>
    <w:rsid w:val="008A17EC"/>
    <w:rsid w:val="008A1802"/>
    <w:rsid w:val="008A1ADD"/>
    <w:rsid w:val="008A1B6A"/>
    <w:rsid w:val="008A2BFF"/>
    <w:rsid w:val="008A3214"/>
    <w:rsid w:val="008A326F"/>
    <w:rsid w:val="008A33AC"/>
    <w:rsid w:val="008A3847"/>
    <w:rsid w:val="008A3CBF"/>
    <w:rsid w:val="008A3D23"/>
    <w:rsid w:val="008A3E9E"/>
    <w:rsid w:val="008A3FAF"/>
    <w:rsid w:val="008A472E"/>
    <w:rsid w:val="008A4849"/>
    <w:rsid w:val="008A488D"/>
    <w:rsid w:val="008A4B14"/>
    <w:rsid w:val="008A53BA"/>
    <w:rsid w:val="008A6212"/>
    <w:rsid w:val="008A6546"/>
    <w:rsid w:val="008A706F"/>
    <w:rsid w:val="008A7B70"/>
    <w:rsid w:val="008B01A4"/>
    <w:rsid w:val="008B0B04"/>
    <w:rsid w:val="008B0F43"/>
    <w:rsid w:val="008B140B"/>
    <w:rsid w:val="008B143E"/>
    <w:rsid w:val="008B1EBA"/>
    <w:rsid w:val="008B273E"/>
    <w:rsid w:val="008B3093"/>
    <w:rsid w:val="008B3977"/>
    <w:rsid w:val="008B4279"/>
    <w:rsid w:val="008B4FF1"/>
    <w:rsid w:val="008B5B93"/>
    <w:rsid w:val="008B673D"/>
    <w:rsid w:val="008B6AC3"/>
    <w:rsid w:val="008B6BFC"/>
    <w:rsid w:val="008B7879"/>
    <w:rsid w:val="008C0626"/>
    <w:rsid w:val="008C066F"/>
    <w:rsid w:val="008C1067"/>
    <w:rsid w:val="008C21F9"/>
    <w:rsid w:val="008C2C74"/>
    <w:rsid w:val="008C31F6"/>
    <w:rsid w:val="008C359E"/>
    <w:rsid w:val="008C3E2A"/>
    <w:rsid w:val="008C4CA9"/>
    <w:rsid w:val="008C5078"/>
    <w:rsid w:val="008C55FD"/>
    <w:rsid w:val="008C577F"/>
    <w:rsid w:val="008C63AA"/>
    <w:rsid w:val="008D0DD5"/>
    <w:rsid w:val="008D14F6"/>
    <w:rsid w:val="008D15D2"/>
    <w:rsid w:val="008D18BB"/>
    <w:rsid w:val="008D2343"/>
    <w:rsid w:val="008D292B"/>
    <w:rsid w:val="008D2A29"/>
    <w:rsid w:val="008D3258"/>
    <w:rsid w:val="008D36E0"/>
    <w:rsid w:val="008D3772"/>
    <w:rsid w:val="008D47D2"/>
    <w:rsid w:val="008D4CD9"/>
    <w:rsid w:val="008D4EFE"/>
    <w:rsid w:val="008D56EA"/>
    <w:rsid w:val="008D598A"/>
    <w:rsid w:val="008D5B00"/>
    <w:rsid w:val="008D5C5F"/>
    <w:rsid w:val="008D60D6"/>
    <w:rsid w:val="008D63D3"/>
    <w:rsid w:val="008D68A7"/>
    <w:rsid w:val="008D6BE7"/>
    <w:rsid w:val="008D6C78"/>
    <w:rsid w:val="008D6F67"/>
    <w:rsid w:val="008D793C"/>
    <w:rsid w:val="008D79FB"/>
    <w:rsid w:val="008D7E78"/>
    <w:rsid w:val="008E02AE"/>
    <w:rsid w:val="008E03EC"/>
    <w:rsid w:val="008E0449"/>
    <w:rsid w:val="008E0D46"/>
    <w:rsid w:val="008E0E3C"/>
    <w:rsid w:val="008E393A"/>
    <w:rsid w:val="008E3C4E"/>
    <w:rsid w:val="008E5272"/>
    <w:rsid w:val="008E6577"/>
    <w:rsid w:val="008E6AFA"/>
    <w:rsid w:val="008E6AFD"/>
    <w:rsid w:val="008E6DAE"/>
    <w:rsid w:val="008E71DC"/>
    <w:rsid w:val="008E7344"/>
    <w:rsid w:val="008E7EB9"/>
    <w:rsid w:val="008E7FBB"/>
    <w:rsid w:val="008F0000"/>
    <w:rsid w:val="008F035A"/>
    <w:rsid w:val="008F0C20"/>
    <w:rsid w:val="008F169E"/>
    <w:rsid w:val="008F230F"/>
    <w:rsid w:val="008F2742"/>
    <w:rsid w:val="008F3C0E"/>
    <w:rsid w:val="008F3C26"/>
    <w:rsid w:val="008F549A"/>
    <w:rsid w:val="008F5A2F"/>
    <w:rsid w:val="008F5DDF"/>
    <w:rsid w:val="008F6070"/>
    <w:rsid w:val="008F6CB5"/>
    <w:rsid w:val="008F70FC"/>
    <w:rsid w:val="008F71AD"/>
    <w:rsid w:val="008F73AC"/>
    <w:rsid w:val="008F75FA"/>
    <w:rsid w:val="00900252"/>
    <w:rsid w:val="00900264"/>
    <w:rsid w:val="0090026E"/>
    <w:rsid w:val="009006F2"/>
    <w:rsid w:val="00900716"/>
    <w:rsid w:val="009015F3"/>
    <w:rsid w:val="00901CFD"/>
    <w:rsid w:val="00902E44"/>
    <w:rsid w:val="00904E01"/>
    <w:rsid w:val="00905075"/>
    <w:rsid w:val="0090511C"/>
    <w:rsid w:val="009055EB"/>
    <w:rsid w:val="00905649"/>
    <w:rsid w:val="00905B15"/>
    <w:rsid w:val="00906CA7"/>
    <w:rsid w:val="00907572"/>
    <w:rsid w:val="0090786D"/>
    <w:rsid w:val="00907DCE"/>
    <w:rsid w:val="00910461"/>
    <w:rsid w:val="0091062E"/>
    <w:rsid w:val="0091115F"/>
    <w:rsid w:val="00911284"/>
    <w:rsid w:val="00911365"/>
    <w:rsid w:val="00911432"/>
    <w:rsid w:val="00911DE4"/>
    <w:rsid w:val="00912A1A"/>
    <w:rsid w:val="0091361D"/>
    <w:rsid w:val="00914245"/>
    <w:rsid w:val="00914559"/>
    <w:rsid w:val="00914FE8"/>
    <w:rsid w:val="009154FD"/>
    <w:rsid w:val="00915796"/>
    <w:rsid w:val="00915A1D"/>
    <w:rsid w:val="00915B66"/>
    <w:rsid w:val="0091606A"/>
    <w:rsid w:val="00916D31"/>
    <w:rsid w:val="009174A0"/>
    <w:rsid w:val="00917EEA"/>
    <w:rsid w:val="00921A8E"/>
    <w:rsid w:val="00922616"/>
    <w:rsid w:val="009227F3"/>
    <w:rsid w:val="0092295B"/>
    <w:rsid w:val="00922EBE"/>
    <w:rsid w:val="0092420D"/>
    <w:rsid w:val="00924B84"/>
    <w:rsid w:val="0092520D"/>
    <w:rsid w:val="00925DB8"/>
    <w:rsid w:val="009268D9"/>
    <w:rsid w:val="00926F7C"/>
    <w:rsid w:val="00927194"/>
    <w:rsid w:val="00927861"/>
    <w:rsid w:val="00927BA7"/>
    <w:rsid w:val="00927D33"/>
    <w:rsid w:val="0093073D"/>
    <w:rsid w:val="009314C9"/>
    <w:rsid w:val="009315B8"/>
    <w:rsid w:val="009318DD"/>
    <w:rsid w:val="0093242D"/>
    <w:rsid w:val="00932893"/>
    <w:rsid w:val="00932A89"/>
    <w:rsid w:val="00932DF8"/>
    <w:rsid w:val="009334B9"/>
    <w:rsid w:val="00933709"/>
    <w:rsid w:val="009337A7"/>
    <w:rsid w:val="00933C78"/>
    <w:rsid w:val="00933E8F"/>
    <w:rsid w:val="0093469F"/>
    <w:rsid w:val="009359FB"/>
    <w:rsid w:val="00935CA5"/>
    <w:rsid w:val="00936FF0"/>
    <w:rsid w:val="00937EFC"/>
    <w:rsid w:val="0094051D"/>
    <w:rsid w:val="009405E6"/>
    <w:rsid w:val="00940B57"/>
    <w:rsid w:val="0094139A"/>
    <w:rsid w:val="0094163F"/>
    <w:rsid w:val="00943168"/>
    <w:rsid w:val="00943B61"/>
    <w:rsid w:val="0094420F"/>
    <w:rsid w:val="0094464B"/>
    <w:rsid w:val="00944B86"/>
    <w:rsid w:val="00944C78"/>
    <w:rsid w:val="00945701"/>
    <w:rsid w:val="0094660C"/>
    <w:rsid w:val="009466EA"/>
    <w:rsid w:val="00946F48"/>
    <w:rsid w:val="009472E5"/>
    <w:rsid w:val="00950450"/>
    <w:rsid w:val="00950669"/>
    <w:rsid w:val="0095094E"/>
    <w:rsid w:val="00950D86"/>
    <w:rsid w:val="009514A2"/>
    <w:rsid w:val="00951551"/>
    <w:rsid w:val="00951BE6"/>
    <w:rsid w:val="0095285E"/>
    <w:rsid w:val="00952C62"/>
    <w:rsid w:val="00952DE3"/>
    <w:rsid w:val="00952EBB"/>
    <w:rsid w:val="009539B2"/>
    <w:rsid w:val="00953A34"/>
    <w:rsid w:val="009545F6"/>
    <w:rsid w:val="00954D5B"/>
    <w:rsid w:val="00955618"/>
    <w:rsid w:val="009559A9"/>
    <w:rsid w:val="0095625C"/>
    <w:rsid w:val="00956B0D"/>
    <w:rsid w:val="00956B73"/>
    <w:rsid w:val="00956C04"/>
    <w:rsid w:val="009572FA"/>
    <w:rsid w:val="0095757D"/>
    <w:rsid w:val="00957795"/>
    <w:rsid w:val="0095781D"/>
    <w:rsid w:val="0096095F"/>
    <w:rsid w:val="00960A12"/>
    <w:rsid w:val="00960CD7"/>
    <w:rsid w:val="00961483"/>
    <w:rsid w:val="009614AB"/>
    <w:rsid w:val="0096181A"/>
    <w:rsid w:val="009622E8"/>
    <w:rsid w:val="00963EC8"/>
    <w:rsid w:val="0096456C"/>
    <w:rsid w:val="00964675"/>
    <w:rsid w:val="00964726"/>
    <w:rsid w:val="009647D6"/>
    <w:rsid w:val="00965043"/>
    <w:rsid w:val="00967448"/>
    <w:rsid w:val="00970319"/>
    <w:rsid w:val="00970FC4"/>
    <w:rsid w:val="00971215"/>
    <w:rsid w:val="00971319"/>
    <w:rsid w:val="00971677"/>
    <w:rsid w:val="00971FE9"/>
    <w:rsid w:val="0097285F"/>
    <w:rsid w:val="009729C3"/>
    <w:rsid w:val="00972EC0"/>
    <w:rsid w:val="0097359D"/>
    <w:rsid w:val="00973751"/>
    <w:rsid w:val="00973BD4"/>
    <w:rsid w:val="00973CC8"/>
    <w:rsid w:val="009740E0"/>
    <w:rsid w:val="009740FE"/>
    <w:rsid w:val="0097471D"/>
    <w:rsid w:val="00974AD1"/>
    <w:rsid w:val="00974D25"/>
    <w:rsid w:val="00974F23"/>
    <w:rsid w:val="00974FEC"/>
    <w:rsid w:val="00975905"/>
    <w:rsid w:val="00976BAB"/>
    <w:rsid w:val="00977312"/>
    <w:rsid w:val="009773C8"/>
    <w:rsid w:val="0098015E"/>
    <w:rsid w:val="00980585"/>
    <w:rsid w:val="009808CA"/>
    <w:rsid w:val="00980B7B"/>
    <w:rsid w:val="00980F1F"/>
    <w:rsid w:val="0098148B"/>
    <w:rsid w:val="009816A6"/>
    <w:rsid w:val="0098174E"/>
    <w:rsid w:val="00981FD4"/>
    <w:rsid w:val="00982229"/>
    <w:rsid w:val="009822CD"/>
    <w:rsid w:val="00982514"/>
    <w:rsid w:val="0098306F"/>
    <w:rsid w:val="00983CAD"/>
    <w:rsid w:val="00984C34"/>
    <w:rsid w:val="00985079"/>
    <w:rsid w:val="009856F9"/>
    <w:rsid w:val="00985B6E"/>
    <w:rsid w:val="0098747F"/>
    <w:rsid w:val="0098757A"/>
    <w:rsid w:val="00990BAA"/>
    <w:rsid w:val="00991687"/>
    <w:rsid w:val="00991701"/>
    <w:rsid w:val="00991F31"/>
    <w:rsid w:val="00992395"/>
    <w:rsid w:val="00992935"/>
    <w:rsid w:val="00993BCB"/>
    <w:rsid w:val="009946DB"/>
    <w:rsid w:val="00994B7F"/>
    <w:rsid w:val="009952BE"/>
    <w:rsid w:val="009961EB"/>
    <w:rsid w:val="00996679"/>
    <w:rsid w:val="00996CD7"/>
    <w:rsid w:val="009976B3"/>
    <w:rsid w:val="009A0513"/>
    <w:rsid w:val="009A0CB8"/>
    <w:rsid w:val="009A0E30"/>
    <w:rsid w:val="009A10B2"/>
    <w:rsid w:val="009A17CA"/>
    <w:rsid w:val="009A2AD7"/>
    <w:rsid w:val="009A3654"/>
    <w:rsid w:val="009A3D86"/>
    <w:rsid w:val="009A3DB4"/>
    <w:rsid w:val="009A3EC4"/>
    <w:rsid w:val="009A41E2"/>
    <w:rsid w:val="009A4796"/>
    <w:rsid w:val="009A4AB7"/>
    <w:rsid w:val="009A4F5A"/>
    <w:rsid w:val="009A5462"/>
    <w:rsid w:val="009A5DE7"/>
    <w:rsid w:val="009A67F1"/>
    <w:rsid w:val="009A6C08"/>
    <w:rsid w:val="009A6CD1"/>
    <w:rsid w:val="009A75E7"/>
    <w:rsid w:val="009B0795"/>
    <w:rsid w:val="009B0B37"/>
    <w:rsid w:val="009B0B63"/>
    <w:rsid w:val="009B0C35"/>
    <w:rsid w:val="009B1AE6"/>
    <w:rsid w:val="009B1BC5"/>
    <w:rsid w:val="009B2073"/>
    <w:rsid w:val="009B227B"/>
    <w:rsid w:val="009B25D3"/>
    <w:rsid w:val="009B284F"/>
    <w:rsid w:val="009B2B49"/>
    <w:rsid w:val="009B3137"/>
    <w:rsid w:val="009B39D6"/>
    <w:rsid w:val="009B3D6A"/>
    <w:rsid w:val="009B449B"/>
    <w:rsid w:val="009B488E"/>
    <w:rsid w:val="009B50E7"/>
    <w:rsid w:val="009B5686"/>
    <w:rsid w:val="009B5D10"/>
    <w:rsid w:val="009B64D7"/>
    <w:rsid w:val="009B6507"/>
    <w:rsid w:val="009B651B"/>
    <w:rsid w:val="009B6CC4"/>
    <w:rsid w:val="009B6D8C"/>
    <w:rsid w:val="009B6F7E"/>
    <w:rsid w:val="009B711F"/>
    <w:rsid w:val="009B728B"/>
    <w:rsid w:val="009B75A7"/>
    <w:rsid w:val="009B7DE6"/>
    <w:rsid w:val="009C0EFD"/>
    <w:rsid w:val="009C171D"/>
    <w:rsid w:val="009C17F6"/>
    <w:rsid w:val="009C18D0"/>
    <w:rsid w:val="009C2789"/>
    <w:rsid w:val="009C2817"/>
    <w:rsid w:val="009C2B9F"/>
    <w:rsid w:val="009C3C77"/>
    <w:rsid w:val="009C3FC4"/>
    <w:rsid w:val="009C46A4"/>
    <w:rsid w:val="009C4AB0"/>
    <w:rsid w:val="009C536B"/>
    <w:rsid w:val="009C55FA"/>
    <w:rsid w:val="009C5AB5"/>
    <w:rsid w:val="009C5B74"/>
    <w:rsid w:val="009C6076"/>
    <w:rsid w:val="009C67E5"/>
    <w:rsid w:val="009C7816"/>
    <w:rsid w:val="009D06CA"/>
    <w:rsid w:val="009D0805"/>
    <w:rsid w:val="009D0CD3"/>
    <w:rsid w:val="009D0DAD"/>
    <w:rsid w:val="009D0E91"/>
    <w:rsid w:val="009D0EA2"/>
    <w:rsid w:val="009D0EE9"/>
    <w:rsid w:val="009D1154"/>
    <w:rsid w:val="009D165E"/>
    <w:rsid w:val="009D2B4C"/>
    <w:rsid w:val="009D2C9B"/>
    <w:rsid w:val="009D3B48"/>
    <w:rsid w:val="009D3DCB"/>
    <w:rsid w:val="009D465D"/>
    <w:rsid w:val="009D51D6"/>
    <w:rsid w:val="009D5ACC"/>
    <w:rsid w:val="009D6029"/>
    <w:rsid w:val="009D679F"/>
    <w:rsid w:val="009D6C65"/>
    <w:rsid w:val="009D6F75"/>
    <w:rsid w:val="009D74F8"/>
    <w:rsid w:val="009D7B7A"/>
    <w:rsid w:val="009E01B9"/>
    <w:rsid w:val="009E065E"/>
    <w:rsid w:val="009E0F53"/>
    <w:rsid w:val="009E1DBE"/>
    <w:rsid w:val="009E1E5C"/>
    <w:rsid w:val="009E21A5"/>
    <w:rsid w:val="009E2A00"/>
    <w:rsid w:val="009E2B64"/>
    <w:rsid w:val="009E2BEA"/>
    <w:rsid w:val="009E30ED"/>
    <w:rsid w:val="009E377D"/>
    <w:rsid w:val="009E5E68"/>
    <w:rsid w:val="009E62B7"/>
    <w:rsid w:val="009E64AC"/>
    <w:rsid w:val="009E66D5"/>
    <w:rsid w:val="009E6760"/>
    <w:rsid w:val="009E71A6"/>
    <w:rsid w:val="009E7AC7"/>
    <w:rsid w:val="009F0FBD"/>
    <w:rsid w:val="009F18BC"/>
    <w:rsid w:val="009F2C68"/>
    <w:rsid w:val="009F390D"/>
    <w:rsid w:val="009F3C40"/>
    <w:rsid w:val="009F498E"/>
    <w:rsid w:val="009F4CB7"/>
    <w:rsid w:val="009F5078"/>
    <w:rsid w:val="009F5551"/>
    <w:rsid w:val="009F591D"/>
    <w:rsid w:val="009F78D8"/>
    <w:rsid w:val="009F7F83"/>
    <w:rsid w:val="00A000AD"/>
    <w:rsid w:val="00A021CD"/>
    <w:rsid w:val="00A0223F"/>
    <w:rsid w:val="00A030E1"/>
    <w:rsid w:val="00A03279"/>
    <w:rsid w:val="00A03605"/>
    <w:rsid w:val="00A03DA5"/>
    <w:rsid w:val="00A03E1F"/>
    <w:rsid w:val="00A04BAE"/>
    <w:rsid w:val="00A05F89"/>
    <w:rsid w:val="00A060D5"/>
    <w:rsid w:val="00A06209"/>
    <w:rsid w:val="00A06B94"/>
    <w:rsid w:val="00A1091E"/>
    <w:rsid w:val="00A10A71"/>
    <w:rsid w:val="00A10FF2"/>
    <w:rsid w:val="00A11B36"/>
    <w:rsid w:val="00A12861"/>
    <w:rsid w:val="00A13636"/>
    <w:rsid w:val="00A137AF"/>
    <w:rsid w:val="00A13FEE"/>
    <w:rsid w:val="00A14CCC"/>
    <w:rsid w:val="00A14E32"/>
    <w:rsid w:val="00A160B1"/>
    <w:rsid w:val="00A164BE"/>
    <w:rsid w:val="00A1789F"/>
    <w:rsid w:val="00A20E11"/>
    <w:rsid w:val="00A2273F"/>
    <w:rsid w:val="00A23990"/>
    <w:rsid w:val="00A23BB5"/>
    <w:rsid w:val="00A24D0E"/>
    <w:rsid w:val="00A25013"/>
    <w:rsid w:val="00A25CC6"/>
    <w:rsid w:val="00A26185"/>
    <w:rsid w:val="00A26CB1"/>
    <w:rsid w:val="00A26E48"/>
    <w:rsid w:val="00A27036"/>
    <w:rsid w:val="00A27224"/>
    <w:rsid w:val="00A275BC"/>
    <w:rsid w:val="00A27840"/>
    <w:rsid w:val="00A27D22"/>
    <w:rsid w:val="00A3009F"/>
    <w:rsid w:val="00A300CF"/>
    <w:rsid w:val="00A306AE"/>
    <w:rsid w:val="00A30AD0"/>
    <w:rsid w:val="00A321F0"/>
    <w:rsid w:val="00A32989"/>
    <w:rsid w:val="00A329D5"/>
    <w:rsid w:val="00A329E3"/>
    <w:rsid w:val="00A337BC"/>
    <w:rsid w:val="00A33BB3"/>
    <w:rsid w:val="00A3484F"/>
    <w:rsid w:val="00A35168"/>
    <w:rsid w:val="00A364DB"/>
    <w:rsid w:val="00A3668A"/>
    <w:rsid w:val="00A3669D"/>
    <w:rsid w:val="00A36DC1"/>
    <w:rsid w:val="00A37003"/>
    <w:rsid w:val="00A37EC9"/>
    <w:rsid w:val="00A402AA"/>
    <w:rsid w:val="00A41EFA"/>
    <w:rsid w:val="00A421FE"/>
    <w:rsid w:val="00A424F9"/>
    <w:rsid w:val="00A43136"/>
    <w:rsid w:val="00A43449"/>
    <w:rsid w:val="00A43516"/>
    <w:rsid w:val="00A436B4"/>
    <w:rsid w:val="00A43815"/>
    <w:rsid w:val="00A4388C"/>
    <w:rsid w:val="00A452A2"/>
    <w:rsid w:val="00A4687F"/>
    <w:rsid w:val="00A47159"/>
    <w:rsid w:val="00A47502"/>
    <w:rsid w:val="00A47645"/>
    <w:rsid w:val="00A47CBE"/>
    <w:rsid w:val="00A47EE9"/>
    <w:rsid w:val="00A511C3"/>
    <w:rsid w:val="00A52398"/>
    <w:rsid w:val="00A52AB0"/>
    <w:rsid w:val="00A52F50"/>
    <w:rsid w:val="00A53814"/>
    <w:rsid w:val="00A54510"/>
    <w:rsid w:val="00A5580C"/>
    <w:rsid w:val="00A558AF"/>
    <w:rsid w:val="00A55E16"/>
    <w:rsid w:val="00A57075"/>
    <w:rsid w:val="00A57627"/>
    <w:rsid w:val="00A57B36"/>
    <w:rsid w:val="00A57C49"/>
    <w:rsid w:val="00A57EE3"/>
    <w:rsid w:val="00A6055B"/>
    <w:rsid w:val="00A60B7B"/>
    <w:rsid w:val="00A60D65"/>
    <w:rsid w:val="00A62C5D"/>
    <w:rsid w:val="00A62F1F"/>
    <w:rsid w:val="00A63203"/>
    <w:rsid w:val="00A63B3D"/>
    <w:rsid w:val="00A644A8"/>
    <w:rsid w:val="00A652E0"/>
    <w:rsid w:val="00A65DC8"/>
    <w:rsid w:val="00A66E6F"/>
    <w:rsid w:val="00A7061E"/>
    <w:rsid w:val="00A70679"/>
    <w:rsid w:val="00A709AE"/>
    <w:rsid w:val="00A70CC9"/>
    <w:rsid w:val="00A70DFE"/>
    <w:rsid w:val="00A71C5D"/>
    <w:rsid w:val="00A721AE"/>
    <w:rsid w:val="00A72524"/>
    <w:rsid w:val="00A7329F"/>
    <w:rsid w:val="00A758EE"/>
    <w:rsid w:val="00A75ADB"/>
    <w:rsid w:val="00A76607"/>
    <w:rsid w:val="00A7748E"/>
    <w:rsid w:val="00A77516"/>
    <w:rsid w:val="00A779FA"/>
    <w:rsid w:val="00A809CF"/>
    <w:rsid w:val="00A80F5A"/>
    <w:rsid w:val="00A81BF2"/>
    <w:rsid w:val="00A81C95"/>
    <w:rsid w:val="00A81D02"/>
    <w:rsid w:val="00A8223C"/>
    <w:rsid w:val="00A822AB"/>
    <w:rsid w:val="00A82A13"/>
    <w:rsid w:val="00A82D47"/>
    <w:rsid w:val="00A839A9"/>
    <w:rsid w:val="00A83DDA"/>
    <w:rsid w:val="00A849C7"/>
    <w:rsid w:val="00A84BA1"/>
    <w:rsid w:val="00A857B4"/>
    <w:rsid w:val="00A86F5E"/>
    <w:rsid w:val="00A87928"/>
    <w:rsid w:val="00A902E3"/>
    <w:rsid w:val="00A90518"/>
    <w:rsid w:val="00A907B3"/>
    <w:rsid w:val="00A90A99"/>
    <w:rsid w:val="00A90F94"/>
    <w:rsid w:val="00A915A5"/>
    <w:rsid w:val="00A929D1"/>
    <w:rsid w:val="00A92D76"/>
    <w:rsid w:val="00A93CF3"/>
    <w:rsid w:val="00A9471D"/>
    <w:rsid w:val="00A95383"/>
    <w:rsid w:val="00A95D61"/>
    <w:rsid w:val="00A96245"/>
    <w:rsid w:val="00A96254"/>
    <w:rsid w:val="00A96CD3"/>
    <w:rsid w:val="00A97AAD"/>
    <w:rsid w:val="00AA020C"/>
    <w:rsid w:val="00AA0314"/>
    <w:rsid w:val="00AA18D3"/>
    <w:rsid w:val="00AA3B1C"/>
    <w:rsid w:val="00AA3DB4"/>
    <w:rsid w:val="00AA47E8"/>
    <w:rsid w:val="00AA4FC5"/>
    <w:rsid w:val="00AA500F"/>
    <w:rsid w:val="00AA743B"/>
    <w:rsid w:val="00AA7476"/>
    <w:rsid w:val="00AB0025"/>
    <w:rsid w:val="00AB02B6"/>
    <w:rsid w:val="00AB0750"/>
    <w:rsid w:val="00AB1A82"/>
    <w:rsid w:val="00AB1B2E"/>
    <w:rsid w:val="00AB26C7"/>
    <w:rsid w:val="00AB3024"/>
    <w:rsid w:val="00AB3D82"/>
    <w:rsid w:val="00AB3E63"/>
    <w:rsid w:val="00AB3FE0"/>
    <w:rsid w:val="00AB4548"/>
    <w:rsid w:val="00AB5DA9"/>
    <w:rsid w:val="00AB6566"/>
    <w:rsid w:val="00AB67FE"/>
    <w:rsid w:val="00AB7A8E"/>
    <w:rsid w:val="00AC0F07"/>
    <w:rsid w:val="00AC131B"/>
    <w:rsid w:val="00AC21F5"/>
    <w:rsid w:val="00AC26CE"/>
    <w:rsid w:val="00AC2986"/>
    <w:rsid w:val="00AC2DA2"/>
    <w:rsid w:val="00AC301A"/>
    <w:rsid w:val="00AC3214"/>
    <w:rsid w:val="00AC4B42"/>
    <w:rsid w:val="00AC4D7C"/>
    <w:rsid w:val="00AC4D9D"/>
    <w:rsid w:val="00AC4FE0"/>
    <w:rsid w:val="00AC69AA"/>
    <w:rsid w:val="00AC6BD5"/>
    <w:rsid w:val="00AC6BFC"/>
    <w:rsid w:val="00AC6CD3"/>
    <w:rsid w:val="00AD063E"/>
    <w:rsid w:val="00AD0711"/>
    <w:rsid w:val="00AD08C2"/>
    <w:rsid w:val="00AD16E0"/>
    <w:rsid w:val="00AD180F"/>
    <w:rsid w:val="00AD2ED5"/>
    <w:rsid w:val="00AD2EF6"/>
    <w:rsid w:val="00AD2FDF"/>
    <w:rsid w:val="00AD31FD"/>
    <w:rsid w:val="00AD3407"/>
    <w:rsid w:val="00AD3938"/>
    <w:rsid w:val="00AD3D96"/>
    <w:rsid w:val="00AD463A"/>
    <w:rsid w:val="00AD4E09"/>
    <w:rsid w:val="00AD5C30"/>
    <w:rsid w:val="00AD68C5"/>
    <w:rsid w:val="00AD7577"/>
    <w:rsid w:val="00AD7968"/>
    <w:rsid w:val="00AD7A3D"/>
    <w:rsid w:val="00AE0004"/>
    <w:rsid w:val="00AE002C"/>
    <w:rsid w:val="00AE0553"/>
    <w:rsid w:val="00AE0C33"/>
    <w:rsid w:val="00AE1990"/>
    <w:rsid w:val="00AE20A3"/>
    <w:rsid w:val="00AE7B80"/>
    <w:rsid w:val="00AF011A"/>
    <w:rsid w:val="00AF0375"/>
    <w:rsid w:val="00AF0490"/>
    <w:rsid w:val="00AF0D6B"/>
    <w:rsid w:val="00AF0FC7"/>
    <w:rsid w:val="00AF1232"/>
    <w:rsid w:val="00AF1A4C"/>
    <w:rsid w:val="00AF20BE"/>
    <w:rsid w:val="00AF2F71"/>
    <w:rsid w:val="00AF36A2"/>
    <w:rsid w:val="00AF36C5"/>
    <w:rsid w:val="00AF4F25"/>
    <w:rsid w:val="00AF56BD"/>
    <w:rsid w:val="00AF5B07"/>
    <w:rsid w:val="00AF6DCF"/>
    <w:rsid w:val="00AF7042"/>
    <w:rsid w:val="00AF7AE5"/>
    <w:rsid w:val="00B001CA"/>
    <w:rsid w:val="00B006BA"/>
    <w:rsid w:val="00B00725"/>
    <w:rsid w:val="00B00CD4"/>
    <w:rsid w:val="00B010C9"/>
    <w:rsid w:val="00B01F92"/>
    <w:rsid w:val="00B01FB8"/>
    <w:rsid w:val="00B01FDA"/>
    <w:rsid w:val="00B020F0"/>
    <w:rsid w:val="00B02599"/>
    <w:rsid w:val="00B02B10"/>
    <w:rsid w:val="00B02CD9"/>
    <w:rsid w:val="00B02F02"/>
    <w:rsid w:val="00B02FAA"/>
    <w:rsid w:val="00B042AE"/>
    <w:rsid w:val="00B04572"/>
    <w:rsid w:val="00B04916"/>
    <w:rsid w:val="00B049C0"/>
    <w:rsid w:val="00B04BB9"/>
    <w:rsid w:val="00B04DD4"/>
    <w:rsid w:val="00B052FE"/>
    <w:rsid w:val="00B05603"/>
    <w:rsid w:val="00B05D53"/>
    <w:rsid w:val="00B05D7B"/>
    <w:rsid w:val="00B05E93"/>
    <w:rsid w:val="00B06C36"/>
    <w:rsid w:val="00B070FF"/>
    <w:rsid w:val="00B07549"/>
    <w:rsid w:val="00B10647"/>
    <w:rsid w:val="00B1110A"/>
    <w:rsid w:val="00B120FE"/>
    <w:rsid w:val="00B1287F"/>
    <w:rsid w:val="00B12C81"/>
    <w:rsid w:val="00B12CA3"/>
    <w:rsid w:val="00B12FF3"/>
    <w:rsid w:val="00B132B0"/>
    <w:rsid w:val="00B15238"/>
    <w:rsid w:val="00B16630"/>
    <w:rsid w:val="00B1670E"/>
    <w:rsid w:val="00B168CB"/>
    <w:rsid w:val="00B16BA4"/>
    <w:rsid w:val="00B172A9"/>
    <w:rsid w:val="00B17B77"/>
    <w:rsid w:val="00B17C45"/>
    <w:rsid w:val="00B214DC"/>
    <w:rsid w:val="00B21DA0"/>
    <w:rsid w:val="00B22784"/>
    <w:rsid w:val="00B229E5"/>
    <w:rsid w:val="00B24FDD"/>
    <w:rsid w:val="00B256BF"/>
    <w:rsid w:val="00B25852"/>
    <w:rsid w:val="00B25E9D"/>
    <w:rsid w:val="00B26496"/>
    <w:rsid w:val="00B26A8D"/>
    <w:rsid w:val="00B270B3"/>
    <w:rsid w:val="00B27163"/>
    <w:rsid w:val="00B27433"/>
    <w:rsid w:val="00B31A03"/>
    <w:rsid w:val="00B31A71"/>
    <w:rsid w:val="00B31B2D"/>
    <w:rsid w:val="00B31E43"/>
    <w:rsid w:val="00B32179"/>
    <w:rsid w:val="00B32969"/>
    <w:rsid w:val="00B33120"/>
    <w:rsid w:val="00B3319A"/>
    <w:rsid w:val="00B33ECE"/>
    <w:rsid w:val="00B3430E"/>
    <w:rsid w:val="00B3454F"/>
    <w:rsid w:val="00B34BD6"/>
    <w:rsid w:val="00B355A4"/>
    <w:rsid w:val="00B36D4B"/>
    <w:rsid w:val="00B37301"/>
    <w:rsid w:val="00B3734E"/>
    <w:rsid w:val="00B37855"/>
    <w:rsid w:val="00B37A59"/>
    <w:rsid w:val="00B37B0C"/>
    <w:rsid w:val="00B405DD"/>
    <w:rsid w:val="00B41207"/>
    <w:rsid w:val="00B41267"/>
    <w:rsid w:val="00B420A7"/>
    <w:rsid w:val="00B42B84"/>
    <w:rsid w:val="00B42DCA"/>
    <w:rsid w:val="00B42E4C"/>
    <w:rsid w:val="00B437CA"/>
    <w:rsid w:val="00B438E6"/>
    <w:rsid w:val="00B448FD"/>
    <w:rsid w:val="00B451D0"/>
    <w:rsid w:val="00B454CB"/>
    <w:rsid w:val="00B4581B"/>
    <w:rsid w:val="00B45B5B"/>
    <w:rsid w:val="00B4601C"/>
    <w:rsid w:val="00B46946"/>
    <w:rsid w:val="00B46B00"/>
    <w:rsid w:val="00B46F29"/>
    <w:rsid w:val="00B477A3"/>
    <w:rsid w:val="00B47B1D"/>
    <w:rsid w:val="00B50EF9"/>
    <w:rsid w:val="00B523CA"/>
    <w:rsid w:val="00B528FB"/>
    <w:rsid w:val="00B52C09"/>
    <w:rsid w:val="00B53952"/>
    <w:rsid w:val="00B53CA0"/>
    <w:rsid w:val="00B54010"/>
    <w:rsid w:val="00B54339"/>
    <w:rsid w:val="00B54974"/>
    <w:rsid w:val="00B54A40"/>
    <w:rsid w:val="00B551AB"/>
    <w:rsid w:val="00B555A4"/>
    <w:rsid w:val="00B557AB"/>
    <w:rsid w:val="00B557CB"/>
    <w:rsid w:val="00B55BBE"/>
    <w:rsid w:val="00B55F67"/>
    <w:rsid w:val="00B56AFD"/>
    <w:rsid w:val="00B61A9A"/>
    <w:rsid w:val="00B62603"/>
    <w:rsid w:val="00B63D7C"/>
    <w:rsid w:val="00B64324"/>
    <w:rsid w:val="00B6437A"/>
    <w:rsid w:val="00B6484C"/>
    <w:rsid w:val="00B6608F"/>
    <w:rsid w:val="00B661FE"/>
    <w:rsid w:val="00B668FF"/>
    <w:rsid w:val="00B66DA2"/>
    <w:rsid w:val="00B67039"/>
    <w:rsid w:val="00B675F5"/>
    <w:rsid w:val="00B70AC3"/>
    <w:rsid w:val="00B715FF"/>
    <w:rsid w:val="00B7210C"/>
    <w:rsid w:val="00B722BE"/>
    <w:rsid w:val="00B725EF"/>
    <w:rsid w:val="00B7393A"/>
    <w:rsid w:val="00B755E1"/>
    <w:rsid w:val="00B75622"/>
    <w:rsid w:val="00B764B9"/>
    <w:rsid w:val="00B767FB"/>
    <w:rsid w:val="00B77B83"/>
    <w:rsid w:val="00B77CA9"/>
    <w:rsid w:val="00B77CEF"/>
    <w:rsid w:val="00B77E1D"/>
    <w:rsid w:val="00B805FB"/>
    <w:rsid w:val="00B80C50"/>
    <w:rsid w:val="00B81DAF"/>
    <w:rsid w:val="00B824D5"/>
    <w:rsid w:val="00B83CBC"/>
    <w:rsid w:val="00B83DB6"/>
    <w:rsid w:val="00B84AD3"/>
    <w:rsid w:val="00B85726"/>
    <w:rsid w:val="00B85857"/>
    <w:rsid w:val="00B85900"/>
    <w:rsid w:val="00B85A84"/>
    <w:rsid w:val="00B85BB0"/>
    <w:rsid w:val="00B85F5B"/>
    <w:rsid w:val="00B862C2"/>
    <w:rsid w:val="00B864D2"/>
    <w:rsid w:val="00B874FE"/>
    <w:rsid w:val="00B876C0"/>
    <w:rsid w:val="00B87DBA"/>
    <w:rsid w:val="00B90EC7"/>
    <w:rsid w:val="00B91831"/>
    <w:rsid w:val="00B91AEC"/>
    <w:rsid w:val="00B91B2E"/>
    <w:rsid w:val="00B91C89"/>
    <w:rsid w:val="00B91D45"/>
    <w:rsid w:val="00B9207F"/>
    <w:rsid w:val="00B923E2"/>
    <w:rsid w:val="00B92BA6"/>
    <w:rsid w:val="00B93008"/>
    <w:rsid w:val="00B934C4"/>
    <w:rsid w:val="00B94222"/>
    <w:rsid w:val="00B9533C"/>
    <w:rsid w:val="00B95ECF"/>
    <w:rsid w:val="00B9683A"/>
    <w:rsid w:val="00B9720F"/>
    <w:rsid w:val="00B97833"/>
    <w:rsid w:val="00B97924"/>
    <w:rsid w:val="00BA00ED"/>
    <w:rsid w:val="00BA0BC6"/>
    <w:rsid w:val="00BA0DC1"/>
    <w:rsid w:val="00BA1303"/>
    <w:rsid w:val="00BA1B19"/>
    <w:rsid w:val="00BA2568"/>
    <w:rsid w:val="00BA3857"/>
    <w:rsid w:val="00BA3E0E"/>
    <w:rsid w:val="00BA4CCD"/>
    <w:rsid w:val="00BA4D8E"/>
    <w:rsid w:val="00BA4DF6"/>
    <w:rsid w:val="00BA623F"/>
    <w:rsid w:val="00BA726E"/>
    <w:rsid w:val="00BB1283"/>
    <w:rsid w:val="00BB1AC0"/>
    <w:rsid w:val="00BB1D4A"/>
    <w:rsid w:val="00BB23E1"/>
    <w:rsid w:val="00BB26A8"/>
    <w:rsid w:val="00BB26B8"/>
    <w:rsid w:val="00BB2718"/>
    <w:rsid w:val="00BB298D"/>
    <w:rsid w:val="00BB3227"/>
    <w:rsid w:val="00BB33E8"/>
    <w:rsid w:val="00BB3840"/>
    <w:rsid w:val="00BB3B98"/>
    <w:rsid w:val="00BB5D4C"/>
    <w:rsid w:val="00BB5E2A"/>
    <w:rsid w:val="00BB5F63"/>
    <w:rsid w:val="00BB723F"/>
    <w:rsid w:val="00BC0BF9"/>
    <w:rsid w:val="00BC1240"/>
    <w:rsid w:val="00BC144A"/>
    <w:rsid w:val="00BC1FDA"/>
    <w:rsid w:val="00BC39C5"/>
    <w:rsid w:val="00BC49D6"/>
    <w:rsid w:val="00BC53EF"/>
    <w:rsid w:val="00BC61F0"/>
    <w:rsid w:val="00BC6BB0"/>
    <w:rsid w:val="00BC6FF5"/>
    <w:rsid w:val="00BC70C7"/>
    <w:rsid w:val="00BD1482"/>
    <w:rsid w:val="00BD1547"/>
    <w:rsid w:val="00BD1CCF"/>
    <w:rsid w:val="00BD20CA"/>
    <w:rsid w:val="00BD3149"/>
    <w:rsid w:val="00BD4155"/>
    <w:rsid w:val="00BD4357"/>
    <w:rsid w:val="00BD55E9"/>
    <w:rsid w:val="00BD589E"/>
    <w:rsid w:val="00BD6AEF"/>
    <w:rsid w:val="00BD6F9C"/>
    <w:rsid w:val="00BE263F"/>
    <w:rsid w:val="00BE2BA0"/>
    <w:rsid w:val="00BE41BE"/>
    <w:rsid w:val="00BE43F9"/>
    <w:rsid w:val="00BE458E"/>
    <w:rsid w:val="00BE52DC"/>
    <w:rsid w:val="00BE66D7"/>
    <w:rsid w:val="00BE6BBC"/>
    <w:rsid w:val="00BF002E"/>
    <w:rsid w:val="00BF0292"/>
    <w:rsid w:val="00BF0ED2"/>
    <w:rsid w:val="00BF24EB"/>
    <w:rsid w:val="00BF32AD"/>
    <w:rsid w:val="00BF32F9"/>
    <w:rsid w:val="00BF3574"/>
    <w:rsid w:val="00BF3D04"/>
    <w:rsid w:val="00BF4301"/>
    <w:rsid w:val="00BF4313"/>
    <w:rsid w:val="00BF4B9C"/>
    <w:rsid w:val="00BF523C"/>
    <w:rsid w:val="00BF5F6E"/>
    <w:rsid w:val="00C01107"/>
    <w:rsid w:val="00C0131C"/>
    <w:rsid w:val="00C01331"/>
    <w:rsid w:val="00C0193E"/>
    <w:rsid w:val="00C02288"/>
    <w:rsid w:val="00C0254E"/>
    <w:rsid w:val="00C02602"/>
    <w:rsid w:val="00C02FC9"/>
    <w:rsid w:val="00C038FD"/>
    <w:rsid w:val="00C03BB0"/>
    <w:rsid w:val="00C03E12"/>
    <w:rsid w:val="00C041ED"/>
    <w:rsid w:val="00C04A5B"/>
    <w:rsid w:val="00C04EBC"/>
    <w:rsid w:val="00C06186"/>
    <w:rsid w:val="00C070A4"/>
    <w:rsid w:val="00C07336"/>
    <w:rsid w:val="00C0765D"/>
    <w:rsid w:val="00C07EBF"/>
    <w:rsid w:val="00C10DAE"/>
    <w:rsid w:val="00C1171E"/>
    <w:rsid w:val="00C11C02"/>
    <w:rsid w:val="00C1217F"/>
    <w:rsid w:val="00C12CF7"/>
    <w:rsid w:val="00C13824"/>
    <w:rsid w:val="00C13CF8"/>
    <w:rsid w:val="00C140B9"/>
    <w:rsid w:val="00C143AF"/>
    <w:rsid w:val="00C14EC9"/>
    <w:rsid w:val="00C15214"/>
    <w:rsid w:val="00C15DD9"/>
    <w:rsid w:val="00C16191"/>
    <w:rsid w:val="00C163D0"/>
    <w:rsid w:val="00C1756F"/>
    <w:rsid w:val="00C175EA"/>
    <w:rsid w:val="00C17C76"/>
    <w:rsid w:val="00C21230"/>
    <w:rsid w:val="00C2153C"/>
    <w:rsid w:val="00C21EAF"/>
    <w:rsid w:val="00C2201A"/>
    <w:rsid w:val="00C23941"/>
    <w:rsid w:val="00C23AAC"/>
    <w:rsid w:val="00C23E4C"/>
    <w:rsid w:val="00C24100"/>
    <w:rsid w:val="00C2441A"/>
    <w:rsid w:val="00C245B6"/>
    <w:rsid w:val="00C250D7"/>
    <w:rsid w:val="00C25FC1"/>
    <w:rsid w:val="00C261A1"/>
    <w:rsid w:val="00C26395"/>
    <w:rsid w:val="00C26B29"/>
    <w:rsid w:val="00C26D66"/>
    <w:rsid w:val="00C27295"/>
    <w:rsid w:val="00C27603"/>
    <w:rsid w:val="00C276EE"/>
    <w:rsid w:val="00C2771C"/>
    <w:rsid w:val="00C27803"/>
    <w:rsid w:val="00C27EC8"/>
    <w:rsid w:val="00C30797"/>
    <w:rsid w:val="00C308F1"/>
    <w:rsid w:val="00C3145E"/>
    <w:rsid w:val="00C316E5"/>
    <w:rsid w:val="00C318CF"/>
    <w:rsid w:val="00C31DEC"/>
    <w:rsid w:val="00C3280B"/>
    <w:rsid w:val="00C32962"/>
    <w:rsid w:val="00C32C9F"/>
    <w:rsid w:val="00C32D12"/>
    <w:rsid w:val="00C34244"/>
    <w:rsid w:val="00C343F7"/>
    <w:rsid w:val="00C349A6"/>
    <w:rsid w:val="00C34D89"/>
    <w:rsid w:val="00C3560F"/>
    <w:rsid w:val="00C357C9"/>
    <w:rsid w:val="00C36495"/>
    <w:rsid w:val="00C3688C"/>
    <w:rsid w:val="00C36D80"/>
    <w:rsid w:val="00C375B3"/>
    <w:rsid w:val="00C40703"/>
    <w:rsid w:val="00C40D42"/>
    <w:rsid w:val="00C4115D"/>
    <w:rsid w:val="00C4131B"/>
    <w:rsid w:val="00C41AA6"/>
    <w:rsid w:val="00C42D44"/>
    <w:rsid w:val="00C43DD2"/>
    <w:rsid w:val="00C450CC"/>
    <w:rsid w:val="00C4603F"/>
    <w:rsid w:val="00C47059"/>
    <w:rsid w:val="00C478B8"/>
    <w:rsid w:val="00C47B92"/>
    <w:rsid w:val="00C47FF3"/>
    <w:rsid w:val="00C504CB"/>
    <w:rsid w:val="00C50A81"/>
    <w:rsid w:val="00C50D59"/>
    <w:rsid w:val="00C51F4F"/>
    <w:rsid w:val="00C52288"/>
    <w:rsid w:val="00C52E7E"/>
    <w:rsid w:val="00C535EB"/>
    <w:rsid w:val="00C53C21"/>
    <w:rsid w:val="00C5436F"/>
    <w:rsid w:val="00C545B9"/>
    <w:rsid w:val="00C54839"/>
    <w:rsid w:val="00C54D6B"/>
    <w:rsid w:val="00C55BF9"/>
    <w:rsid w:val="00C55BFF"/>
    <w:rsid w:val="00C55DBC"/>
    <w:rsid w:val="00C57311"/>
    <w:rsid w:val="00C57AFF"/>
    <w:rsid w:val="00C57D51"/>
    <w:rsid w:val="00C609F0"/>
    <w:rsid w:val="00C61674"/>
    <w:rsid w:val="00C619C9"/>
    <w:rsid w:val="00C61A66"/>
    <w:rsid w:val="00C61D6A"/>
    <w:rsid w:val="00C61F32"/>
    <w:rsid w:val="00C627BE"/>
    <w:rsid w:val="00C62A1B"/>
    <w:rsid w:val="00C62E9D"/>
    <w:rsid w:val="00C63425"/>
    <w:rsid w:val="00C634E5"/>
    <w:rsid w:val="00C6472F"/>
    <w:rsid w:val="00C64FC6"/>
    <w:rsid w:val="00C6509F"/>
    <w:rsid w:val="00C655B0"/>
    <w:rsid w:val="00C65CB8"/>
    <w:rsid w:val="00C6602F"/>
    <w:rsid w:val="00C66B67"/>
    <w:rsid w:val="00C66C7E"/>
    <w:rsid w:val="00C67D6D"/>
    <w:rsid w:val="00C70448"/>
    <w:rsid w:val="00C7053E"/>
    <w:rsid w:val="00C70F18"/>
    <w:rsid w:val="00C72A4C"/>
    <w:rsid w:val="00C732E9"/>
    <w:rsid w:val="00C737D9"/>
    <w:rsid w:val="00C74218"/>
    <w:rsid w:val="00C742F1"/>
    <w:rsid w:val="00C75BD0"/>
    <w:rsid w:val="00C76915"/>
    <w:rsid w:val="00C76CC5"/>
    <w:rsid w:val="00C77238"/>
    <w:rsid w:val="00C81ACB"/>
    <w:rsid w:val="00C81B21"/>
    <w:rsid w:val="00C81D81"/>
    <w:rsid w:val="00C825C2"/>
    <w:rsid w:val="00C82EB2"/>
    <w:rsid w:val="00C8310D"/>
    <w:rsid w:val="00C835EE"/>
    <w:rsid w:val="00C83707"/>
    <w:rsid w:val="00C845A3"/>
    <w:rsid w:val="00C85C14"/>
    <w:rsid w:val="00C85F7D"/>
    <w:rsid w:val="00C87ADF"/>
    <w:rsid w:val="00C87BB1"/>
    <w:rsid w:val="00C90C65"/>
    <w:rsid w:val="00C91307"/>
    <w:rsid w:val="00C91889"/>
    <w:rsid w:val="00C926A0"/>
    <w:rsid w:val="00C938C0"/>
    <w:rsid w:val="00C94100"/>
    <w:rsid w:val="00C9435A"/>
    <w:rsid w:val="00C944F8"/>
    <w:rsid w:val="00C94F56"/>
    <w:rsid w:val="00C952F8"/>
    <w:rsid w:val="00C957CC"/>
    <w:rsid w:val="00C9591C"/>
    <w:rsid w:val="00C97D27"/>
    <w:rsid w:val="00CA02E3"/>
    <w:rsid w:val="00CA0CA0"/>
    <w:rsid w:val="00CA1E40"/>
    <w:rsid w:val="00CA26A8"/>
    <w:rsid w:val="00CA2AEE"/>
    <w:rsid w:val="00CA3013"/>
    <w:rsid w:val="00CA3318"/>
    <w:rsid w:val="00CA38BD"/>
    <w:rsid w:val="00CA3B46"/>
    <w:rsid w:val="00CA4059"/>
    <w:rsid w:val="00CA4ACC"/>
    <w:rsid w:val="00CA63EE"/>
    <w:rsid w:val="00CA68A0"/>
    <w:rsid w:val="00CA7022"/>
    <w:rsid w:val="00CA73E4"/>
    <w:rsid w:val="00CA7661"/>
    <w:rsid w:val="00CA7B16"/>
    <w:rsid w:val="00CA7F74"/>
    <w:rsid w:val="00CB03D1"/>
    <w:rsid w:val="00CB0A03"/>
    <w:rsid w:val="00CB1496"/>
    <w:rsid w:val="00CB1819"/>
    <w:rsid w:val="00CB1A68"/>
    <w:rsid w:val="00CB1C8C"/>
    <w:rsid w:val="00CB1D48"/>
    <w:rsid w:val="00CB1DFA"/>
    <w:rsid w:val="00CB2F36"/>
    <w:rsid w:val="00CB3ABC"/>
    <w:rsid w:val="00CB3C6F"/>
    <w:rsid w:val="00CB5094"/>
    <w:rsid w:val="00CB530A"/>
    <w:rsid w:val="00CB5CB4"/>
    <w:rsid w:val="00CB5D9D"/>
    <w:rsid w:val="00CB6C93"/>
    <w:rsid w:val="00CB6F81"/>
    <w:rsid w:val="00CB7283"/>
    <w:rsid w:val="00CB732A"/>
    <w:rsid w:val="00CB7EC5"/>
    <w:rsid w:val="00CC05C5"/>
    <w:rsid w:val="00CC0FCF"/>
    <w:rsid w:val="00CC1363"/>
    <w:rsid w:val="00CC1BE9"/>
    <w:rsid w:val="00CC229E"/>
    <w:rsid w:val="00CC23B1"/>
    <w:rsid w:val="00CC2A6B"/>
    <w:rsid w:val="00CC2C6F"/>
    <w:rsid w:val="00CC337F"/>
    <w:rsid w:val="00CC4321"/>
    <w:rsid w:val="00CC44E1"/>
    <w:rsid w:val="00CC4B9A"/>
    <w:rsid w:val="00CC4B9B"/>
    <w:rsid w:val="00CC56F2"/>
    <w:rsid w:val="00CC6884"/>
    <w:rsid w:val="00CC7485"/>
    <w:rsid w:val="00CC7ED4"/>
    <w:rsid w:val="00CD0608"/>
    <w:rsid w:val="00CD0736"/>
    <w:rsid w:val="00CD18AC"/>
    <w:rsid w:val="00CD1CF8"/>
    <w:rsid w:val="00CD21BA"/>
    <w:rsid w:val="00CD31E6"/>
    <w:rsid w:val="00CD31EA"/>
    <w:rsid w:val="00CD3B01"/>
    <w:rsid w:val="00CD43A5"/>
    <w:rsid w:val="00CD4414"/>
    <w:rsid w:val="00CD4F4B"/>
    <w:rsid w:val="00CD547C"/>
    <w:rsid w:val="00CD55A9"/>
    <w:rsid w:val="00CD5811"/>
    <w:rsid w:val="00CD66D1"/>
    <w:rsid w:val="00CD6A05"/>
    <w:rsid w:val="00CD6BAE"/>
    <w:rsid w:val="00CD73FB"/>
    <w:rsid w:val="00CD7E46"/>
    <w:rsid w:val="00CE00E2"/>
    <w:rsid w:val="00CE0405"/>
    <w:rsid w:val="00CE14CC"/>
    <w:rsid w:val="00CE1A00"/>
    <w:rsid w:val="00CE1B1A"/>
    <w:rsid w:val="00CE1D11"/>
    <w:rsid w:val="00CE32BD"/>
    <w:rsid w:val="00CE37D5"/>
    <w:rsid w:val="00CE4808"/>
    <w:rsid w:val="00CE5478"/>
    <w:rsid w:val="00CE571F"/>
    <w:rsid w:val="00CE759A"/>
    <w:rsid w:val="00CE7748"/>
    <w:rsid w:val="00CE7D36"/>
    <w:rsid w:val="00CF0768"/>
    <w:rsid w:val="00CF08E3"/>
    <w:rsid w:val="00CF0C0C"/>
    <w:rsid w:val="00CF1253"/>
    <w:rsid w:val="00CF16EB"/>
    <w:rsid w:val="00CF1AE1"/>
    <w:rsid w:val="00CF1E94"/>
    <w:rsid w:val="00CF1FE9"/>
    <w:rsid w:val="00CF264E"/>
    <w:rsid w:val="00CF2BAC"/>
    <w:rsid w:val="00CF2C13"/>
    <w:rsid w:val="00CF2CF9"/>
    <w:rsid w:val="00CF2D2A"/>
    <w:rsid w:val="00CF344F"/>
    <w:rsid w:val="00CF4592"/>
    <w:rsid w:val="00CF5669"/>
    <w:rsid w:val="00CF60EF"/>
    <w:rsid w:val="00CF652A"/>
    <w:rsid w:val="00CF6842"/>
    <w:rsid w:val="00CF7D42"/>
    <w:rsid w:val="00D00176"/>
    <w:rsid w:val="00D0026B"/>
    <w:rsid w:val="00D00389"/>
    <w:rsid w:val="00D005C7"/>
    <w:rsid w:val="00D008ED"/>
    <w:rsid w:val="00D01B05"/>
    <w:rsid w:val="00D01F86"/>
    <w:rsid w:val="00D022D4"/>
    <w:rsid w:val="00D0278F"/>
    <w:rsid w:val="00D02A6D"/>
    <w:rsid w:val="00D02CC6"/>
    <w:rsid w:val="00D0302C"/>
    <w:rsid w:val="00D035C1"/>
    <w:rsid w:val="00D042F4"/>
    <w:rsid w:val="00D057BC"/>
    <w:rsid w:val="00D059C9"/>
    <w:rsid w:val="00D05E45"/>
    <w:rsid w:val="00D0688C"/>
    <w:rsid w:val="00D07629"/>
    <w:rsid w:val="00D07F6D"/>
    <w:rsid w:val="00D1061C"/>
    <w:rsid w:val="00D108C6"/>
    <w:rsid w:val="00D10A08"/>
    <w:rsid w:val="00D1114E"/>
    <w:rsid w:val="00D11D8D"/>
    <w:rsid w:val="00D12377"/>
    <w:rsid w:val="00D13488"/>
    <w:rsid w:val="00D13EFE"/>
    <w:rsid w:val="00D14092"/>
    <w:rsid w:val="00D15980"/>
    <w:rsid w:val="00D16A03"/>
    <w:rsid w:val="00D17767"/>
    <w:rsid w:val="00D17C05"/>
    <w:rsid w:val="00D17FDE"/>
    <w:rsid w:val="00D200CE"/>
    <w:rsid w:val="00D2023F"/>
    <w:rsid w:val="00D213E2"/>
    <w:rsid w:val="00D227F0"/>
    <w:rsid w:val="00D22AAA"/>
    <w:rsid w:val="00D22BC7"/>
    <w:rsid w:val="00D245A0"/>
    <w:rsid w:val="00D24999"/>
    <w:rsid w:val="00D252AC"/>
    <w:rsid w:val="00D255DC"/>
    <w:rsid w:val="00D26541"/>
    <w:rsid w:val="00D26A7B"/>
    <w:rsid w:val="00D27326"/>
    <w:rsid w:val="00D27DAE"/>
    <w:rsid w:val="00D27E6D"/>
    <w:rsid w:val="00D27FFE"/>
    <w:rsid w:val="00D31CF2"/>
    <w:rsid w:val="00D32053"/>
    <w:rsid w:val="00D325DB"/>
    <w:rsid w:val="00D32C6E"/>
    <w:rsid w:val="00D32D3B"/>
    <w:rsid w:val="00D33319"/>
    <w:rsid w:val="00D337BE"/>
    <w:rsid w:val="00D33D50"/>
    <w:rsid w:val="00D341B6"/>
    <w:rsid w:val="00D346C2"/>
    <w:rsid w:val="00D34742"/>
    <w:rsid w:val="00D347FC"/>
    <w:rsid w:val="00D34B0E"/>
    <w:rsid w:val="00D34D25"/>
    <w:rsid w:val="00D34F3B"/>
    <w:rsid w:val="00D35062"/>
    <w:rsid w:val="00D354F2"/>
    <w:rsid w:val="00D3621F"/>
    <w:rsid w:val="00D369F9"/>
    <w:rsid w:val="00D37674"/>
    <w:rsid w:val="00D400E7"/>
    <w:rsid w:val="00D40E9B"/>
    <w:rsid w:val="00D41A01"/>
    <w:rsid w:val="00D41A85"/>
    <w:rsid w:val="00D41E51"/>
    <w:rsid w:val="00D42314"/>
    <w:rsid w:val="00D42500"/>
    <w:rsid w:val="00D4294B"/>
    <w:rsid w:val="00D42D56"/>
    <w:rsid w:val="00D42DE4"/>
    <w:rsid w:val="00D4318E"/>
    <w:rsid w:val="00D43314"/>
    <w:rsid w:val="00D43695"/>
    <w:rsid w:val="00D43A51"/>
    <w:rsid w:val="00D44B1C"/>
    <w:rsid w:val="00D44B5C"/>
    <w:rsid w:val="00D44DED"/>
    <w:rsid w:val="00D45D16"/>
    <w:rsid w:val="00D4769D"/>
    <w:rsid w:val="00D4778C"/>
    <w:rsid w:val="00D5048E"/>
    <w:rsid w:val="00D50E82"/>
    <w:rsid w:val="00D514C2"/>
    <w:rsid w:val="00D516F6"/>
    <w:rsid w:val="00D51847"/>
    <w:rsid w:val="00D520F2"/>
    <w:rsid w:val="00D524BB"/>
    <w:rsid w:val="00D53D6D"/>
    <w:rsid w:val="00D54435"/>
    <w:rsid w:val="00D54459"/>
    <w:rsid w:val="00D5470B"/>
    <w:rsid w:val="00D54CC4"/>
    <w:rsid w:val="00D60D18"/>
    <w:rsid w:val="00D62940"/>
    <w:rsid w:val="00D64653"/>
    <w:rsid w:val="00D65136"/>
    <w:rsid w:val="00D70B91"/>
    <w:rsid w:val="00D70E6F"/>
    <w:rsid w:val="00D72191"/>
    <w:rsid w:val="00D72607"/>
    <w:rsid w:val="00D727C6"/>
    <w:rsid w:val="00D730B6"/>
    <w:rsid w:val="00D756FB"/>
    <w:rsid w:val="00D7685F"/>
    <w:rsid w:val="00D76ED2"/>
    <w:rsid w:val="00D776F5"/>
    <w:rsid w:val="00D77780"/>
    <w:rsid w:val="00D805EB"/>
    <w:rsid w:val="00D81590"/>
    <w:rsid w:val="00D81F03"/>
    <w:rsid w:val="00D8200E"/>
    <w:rsid w:val="00D822AD"/>
    <w:rsid w:val="00D83025"/>
    <w:rsid w:val="00D831C1"/>
    <w:rsid w:val="00D83300"/>
    <w:rsid w:val="00D84669"/>
    <w:rsid w:val="00D847EF"/>
    <w:rsid w:val="00D84E24"/>
    <w:rsid w:val="00D8542E"/>
    <w:rsid w:val="00D8585A"/>
    <w:rsid w:val="00D85A82"/>
    <w:rsid w:val="00D86000"/>
    <w:rsid w:val="00D863A4"/>
    <w:rsid w:val="00D86B79"/>
    <w:rsid w:val="00D874CE"/>
    <w:rsid w:val="00D90920"/>
    <w:rsid w:val="00D91624"/>
    <w:rsid w:val="00D91847"/>
    <w:rsid w:val="00D91CAF"/>
    <w:rsid w:val="00D91DCB"/>
    <w:rsid w:val="00D941FF"/>
    <w:rsid w:val="00D9483E"/>
    <w:rsid w:val="00D957EB"/>
    <w:rsid w:val="00D95D65"/>
    <w:rsid w:val="00D95DF2"/>
    <w:rsid w:val="00D96878"/>
    <w:rsid w:val="00D96BBF"/>
    <w:rsid w:val="00D97A8D"/>
    <w:rsid w:val="00D97D37"/>
    <w:rsid w:val="00DA08AB"/>
    <w:rsid w:val="00DA0905"/>
    <w:rsid w:val="00DA09B2"/>
    <w:rsid w:val="00DA0DAF"/>
    <w:rsid w:val="00DA1611"/>
    <w:rsid w:val="00DA2184"/>
    <w:rsid w:val="00DA3DFC"/>
    <w:rsid w:val="00DA4251"/>
    <w:rsid w:val="00DA4951"/>
    <w:rsid w:val="00DA4BBD"/>
    <w:rsid w:val="00DA4D48"/>
    <w:rsid w:val="00DA59DE"/>
    <w:rsid w:val="00DA5A00"/>
    <w:rsid w:val="00DA5A4F"/>
    <w:rsid w:val="00DA5D13"/>
    <w:rsid w:val="00DA691E"/>
    <w:rsid w:val="00DA7430"/>
    <w:rsid w:val="00DA7F9C"/>
    <w:rsid w:val="00DB003D"/>
    <w:rsid w:val="00DB01DE"/>
    <w:rsid w:val="00DB0BDD"/>
    <w:rsid w:val="00DB2382"/>
    <w:rsid w:val="00DB2407"/>
    <w:rsid w:val="00DB27DF"/>
    <w:rsid w:val="00DB28AD"/>
    <w:rsid w:val="00DB2DA0"/>
    <w:rsid w:val="00DB367C"/>
    <w:rsid w:val="00DB45DF"/>
    <w:rsid w:val="00DB52D0"/>
    <w:rsid w:val="00DB56EF"/>
    <w:rsid w:val="00DB57D5"/>
    <w:rsid w:val="00DB610D"/>
    <w:rsid w:val="00DB677F"/>
    <w:rsid w:val="00DB687A"/>
    <w:rsid w:val="00DB70C8"/>
    <w:rsid w:val="00DB78F7"/>
    <w:rsid w:val="00DB7AC5"/>
    <w:rsid w:val="00DB7D89"/>
    <w:rsid w:val="00DC08E4"/>
    <w:rsid w:val="00DC0FD3"/>
    <w:rsid w:val="00DC124A"/>
    <w:rsid w:val="00DC1B31"/>
    <w:rsid w:val="00DC309C"/>
    <w:rsid w:val="00DC3410"/>
    <w:rsid w:val="00DC54DE"/>
    <w:rsid w:val="00DC577D"/>
    <w:rsid w:val="00DC5F30"/>
    <w:rsid w:val="00DC61C9"/>
    <w:rsid w:val="00DC6457"/>
    <w:rsid w:val="00DC6663"/>
    <w:rsid w:val="00DC6B95"/>
    <w:rsid w:val="00DC6C25"/>
    <w:rsid w:val="00DC7604"/>
    <w:rsid w:val="00DC7F1A"/>
    <w:rsid w:val="00DD019A"/>
    <w:rsid w:val="00DD021B"/>
    <w:rsid w:val="00DD042E"/>
    <w:rsid w:val="00DD0B27"/>
    <w:rsid w:val="00DD0CF3"/>
    <w:rsid w:val="00DD111D"/>
    <w:rsid w:val="00DD18C9"/>
    <w:rsid w:val="00DD2AD1"/>
    <w:rsid w:val="00DD2D8C"/>
    <w:rsid w:val="00DD39C4"/>
    <w:rsid w:val="00DD452A"/>
    <w:rsid w:val="00DD47DA"/>
    <w:rsid w:val="00DD5706"/>
    <w:rsid w:val="00DE04AC"/>
    <w:rsid w:val="00DE04B4"/>
    <w:rsid w:val="00DE0878"/>
    <w:rsid w:val="00DE1025"/>
    <w:rsid w:val="00DE1788"/>
    <w:rsid w:val="00DE17CD"/>
    <w:rsid w:val="00DE296E"/>
    <w:rsid w:val="00DE36E3"/>
    <w:rsid w:val="00DE4179"/>
    <w:rsid w:val="00DE5BFB"/>
    <w:rsid w:val="00DE5D27"/>
    <w:rsid w:val="00DE655F"/>
    <w:rsid w:val="00DE672D"/>
    <w:rsid w:val="00DF0346"/>
    <w:rsid w:val="00DF0503"/>
    <w:rsid w:val="00DF053D"/>
    <w:rsid w:val="00DF1459"/>
    <w:rsid w:val="00DF2806"/>
    <w:rsid w:val="00DF2B0B"/>
    <w:rsid w:val="00DF3C7E"/>
    <w:rsid w:val="00DF4463"/>
    <w:rsid w:val="00DF48C9"/>
    <w:rsid w:val="00DF4E97"/>
    <w:rsid w:val="00DF4F6A"/>
    <w:rsid w:val="00DF5658"/>
    <w:rsid w:val="00DF7B6A"/>
    <w:rsid w:val="00E002DE"/>
    <w:rsid w:val="00E00701"/>
    <w:rsid w:val="00E008F5"/>
    <w:rsid w:val="00E00B0E"/>
    <w:rsid w:val="00E00CCF"/>
    <w:rsid w:val="00E01576"/>
    <w:rsid w:val="00E01B14"/>
    <w:rsid w:val="00E02264"/>
    <w:rsid w:val="00E0237C"/>
    <w:rsid w:val="00E0246E"/>
    <w:rsid w:val="00E034EA"/>
    <w:rsid w:val="00E0402C"/>
    <w:rsid w:val="00E04189"/>
    <w:rsid w:val="00E048D9"/>
    <w:rsid w:val="00E04F56"/>
    <w:rsid w:val="00E06101"/>
    <w:rsid w:val="00E075CB"/>
    <w:rsid w:val="00E1008B"/>
    <w:rsid w:val="00E1070C"/>
    <w:rsid w:val="00E108F1"/>
    <w:rsid w:val="00E11253"/>
    <w:rsid w:val="00E114A1"/>
    <w:rsid w:val="00E114CA"/>
    <w:rsid w:val="00E11919"/>
    <w:rsid w:val="00E12163"/>
    <w:rsid w:val="00E127FD"/>
    <w:rsid w:val="00E13118"/>
    <w:rsid w:val="00E133EF"/>
    <w:rsid w:val="00E13470"/>
    <w:rsid w:val="00E142B1"/>
    <w:rsid w:val="00E14C8A"/>
    <w:rsid w:val="00E1550B"/>
    <w:rsid w:val="00E15D2C"/>
    <w:rsid w:val="00E16A9E"/>
    <w:rsid w:val="00E16D7C"/>
    <w:rsid w:val="00E16E10"/>
    <w:rsid w:val="00E174E9"/>
    <w:rsid w:val="00E177D3"/>
    <w:rsid w:val="00E17821"/>
    <w:rsid w:val="00E17874"/>
    <w:rsid w:val="00E17F29"/>
    <w:rsid w:val="00E20A88"/>
    <w:rsid w:val="00E20CBD"/>
    <w:rsid w:val="00E20D7E"/>
    <w:rsid w:val="00E212BA"/>
    <w:rsid w:val="00E21385"/>
    <w:rsid w:val="00E2381F"/>
    <w:rsid w:val="00E24003"/>
    <w:rsid w:val="00E24CA7"/>
    <w:rsid w:val="00E25EB2"/>
    <w:rsid w:val="00E26B9D"/>
    <w:rsid w:val="00E26BE5"/>
    <w:rsid w:val="00E26E9F"/>
    <w:rsid w:val="00E270CC"/>
    <w:rsid w:val="00E30437"/>
    <w:rsid w:val="00E304C5"/>
    <w:rsid w:val="00E3181F"/>
    <w:rsid w:val="00E31981"/>
    <w:rsid w:val="00E31A02"/>
    <w:rsid w:val="00E31E3C"/>
    <w:rsid w:val="00E329B5"/>
    <w:rsid w:val="00E33233"/>
    <w:rsid w:val="00E3412E"/>
    <w:rsid w:val="00E34201"/>
    <w:rsid w:val="00E368F1"/>
    <w:rsid w:val="00E36971"/>
    <w:rsid w:val="00E371B4"/>
    <w:rsid w:val="00E3720A"/>
    <w:rsid w:val="00E37AF2"/>
    <w:rsid w:val="00E37FB3"/>
    <w:rsid w:val="00E406A3"/>
    <w:rsid w:val="00E4163B"/>
    <w:rsid w:val="00E41872"/>
    <w:rsid w:val="00E42446"/>
    <w:rsid w:val="00E42D13"/>
    <w:rsid w:val="00E43164"/>
    <w:rsid w:val="00E433DC"/>
    <w:rsid w:val="00E43DB4"/>
    <w:rsid w:val="00E4488D"/>
    <w:rsid w:val="00E4489C"/>
    <w:rsid w:val="00E44D31"/>
    <w:rsid w:val="00E44DB1"/>
    <w:rsid w:val="00E450F1"/>
    <w:rsid w:val="00E453F0"/>
    <w:rsid w:val="00E45555"/>
    <w:rsid w:val="00E46175"/>
    <w:rsid w:val="00E46D30"/>
    <w:rsid w:val="00E472FD"/>
    <w:rsid w:val="00E47930"/>
    <w:rsid w:val="00E50949"/>
    <w:rsid w:val="00E5114B"/>
    <w:rsid w:val="00E51E91"/>
    <w:rsid w:val="00E521E5"/>
    <w:rsid w:val="00E52412"/>
    <w:rsid w:val="00E5321A"/>
    <w:rsid w:val="00E54EC5"/>
    <w:rsid w:val="00E55009"/>
    <w:rsid w:val="00E55FEB"/>
    <w:rsid w:val="00E56764"/>
    <w:rsid w:val="00E56F37"/>
    <w:rsid w:val="00E57305"/>
    <w:rsid w:val="00E579CC"/>
    <w:rsid w:val="00E579D0"/>
    <w:rsid w:val="00E60365"/>
    <w:rsid w:val="00E61110"/>
    <w:rsid w:val="00E617E8"/>
    <w:rsid w:val="00E6189D"/>
    <w:rsid w:val="00E61A5D"/>
    <w:rsid w:val="00E621F8"/>
    <w:rsid w:val="00E6230A"/>
    <w:rsid w:val="00E6230C"/>
    <w:rsid w:val="00E62564"/>
    <w:rsid w:val="00E62C0A"/>
    <w:rsid w:val="00E63AAF"/>
    <w:rsid w:val="00E64131"/>
    <w:rsid w:val="00E6484F"/>
    <w:rsid w:val="00E64922"/>
    <w:rsid w:val="00E64B3B"/>
    <w:rsid w:val="00E64CB5"/>
    <w:rsid w:val="00E661A4"/>
    <w:rsid w:val="00E6684E"/>
    <w:rsid w:val="00E66B5B"/>
    <w:rsid w:val="00E66C53"/>
    <w:rsid w:val="00E67E72"/>
    <w:rsid w:val="00E67FAB"/>
    <w:rsid w:val="00E70385"/>
    <w:rsid w:val="00E705B2"/>
    <w:rsid w:val="00E71307"/>
    <w:rsid w:val="00E7153B"/>
    <w:rsid w:val="00E715A0"/>
    <w:rsid w:val="00E72709"/>
    <w:rsid w:val="00E7285A"/>
    <w:rsid w:val="00E72FD8"/>
    <w:rsid w:val="00E73A73"/>
    <w:rsid w:val="00E73EDB"/>
    <w:rsid w:val="00E74642"/>
    <w:rsid w:val="00E74803"/>
    <w:rsid w:val="00E7513F"/>
    <w:rsid w:val="00E76330"/>
    <w:rsid w:val="00E7639B"/>
    <w:rsid w:val="00E76566"/>
    <w:rsid w:val="00E767F8"/>
    <w:rsid w:val="00E77306"/>
    <w:rsid w:val="00E8138A"/>
    <w:rsid w:val="00E81922"/>
    <w:rsid w:val="00E81DD1"/>
    <w:rsid w:val="00E82228"/>
    <w:rsid w:val="00E829A3"/>
    <w:rsid w:val="00E83874"/>
    <w:rsid w:val="00E83B55"/>
    <w:rsid w:val="00E840AE"/>
    <w:rsid w:val="00E846EA"/>
    <w:rsid w:val="00E84A75"/>
    <w:rsid w:val="00E852A7"/>
    <w:rsid w:val="00E857E3"/>
    <w:rsid w:val="00E8580E"/>
    <w:rsid w:val="00E85D6B"/>
    <w:rsid w:val="00E86EC7"/>
    <w:rsid w:val="00E87112"/>
    <w:rsid w:val="00E878FB"/>
    <w:rsid w:val="00E87BA5"/>
    <w:rsid w:val="00E87ED6"/>
    <w:rsid w:val="00E90C82"/>
    <w:rsid w:val="00E912A8"/>
    <w:rsid w:val="00E91736"/>
    <w:rsid w:val="00E91749"/>
    <w:rsid w:val="00E92308"/>
    <w:rsid w:val="00E9306E"/>
    <w:rsid w:val="00E93DBF"/>
    <w:rsid w:val="00E94282"/>
    <w:rsid w:val="00E946CE"/>
    <w:rsid w:val="00E948BF"/>
    <w:rsid w:val="00E9513F"/>
    <w:rsid w:val="00E95230"/>
    <w:rsid w:val="00E95615"/>
    <w:rsid w:val="00E95B1B"/>
    <w:rsid w:val="00E95BB0"/>
    <w:rsid w:val="00E96C8D"/>
    <w:rsid w:val="00E971A2"/>
    <w:rsid w:val="00E97FD4"/>
    <w:rsid w:val="00EA00A7"/>
    <w:rsid w:val="00EA06B7"/>
    <w:rsid w:val="00EA0AE9"/>
    <w:rsid w:val="00EA0CAA"/>
    <w:rsid w:val="00EA1FD0"/>
    <w:rsid w:val="00EA31B3"/>
    <w:rsid w:val="00EA3939"/>
    <w:rsid w:val="00EA3CFF"/>
    <w:rsid w:val="00EA4010"/>
    <w:rsid w:val="00EA4DD8"/>
    <w:rsid w:val="00EA53E4"/>
    <w:rsid w:val="00EA61EF"/>
    <w:rsid w:val="00EA6283"/>
    <w:rsid w:val="00EA6417"/>
    <w:rsid w:val="00EA6ADC"/>
    <w:rsid w:val="00EA709A"/>
    <w:rsid w:val="00EA781F"/>
    <w:rsid w:val="00EA78D7"/>
    <w:rsid w:val="00EB0871"/>
    <w:rsid w:val="00EB0BFF"/>
    <w:rsid w:val="00EB0DEC"/>
    <w:rsid w:val="00EB0DF7"/>
    <w:rsid w:val="00EB0F9C"/>
    <w:rsid w:val="00EB1217"/>
    <w:rsid w:val="00EB1275"/>
    <w:rsid w:val="00EB1B7C"/>
    <w:rsid w:val="00EB1C49"/>
    <w:rsid w:val="00EB2A21"/>
    <w:rsid w:val="00EB378C"/>
    <w:rsid w:val="00EB37E1"/>
    <w:rsid w:val="00EB484D"/>
    <w:rsid w:val="00EB5304"/>
    <w:rsid w:val="00EB5E13"/>
    <w:rsid w:val="00EB5ED3"/>
    <w:rsid w:val="00EB68FC"/>
    <w:rsid w:val="00EB6B2F"/>
    <w:rsid w:val="00EB6ED5"/>
    <w:rsid w:val="00EB76C2"/>
    <w:rsid w:val="00EB7D7A"/>
    <w:rsid w:val="00EC01D3"/>
    <w:rsid w:val="00EC0746"/>
    <w:rsid w:val="00EC0CDF"/>
    <w:rsid w:val="00EC16B9"/>
    <w:rsid w:val="00EC16D9"/>
    <w:rsid w:val="00EC2B99"/>
    <w:rsid w:val="00EC30D5"/>
    <w:rsid w:val="00EC3591"/>
    <w:rsid w:val="00EC3C12"/>
    <w:rsid w:val="00EC4BE4"/>
    <w:rsid w:val="00EC552D"/>
    <w:rsid w:val="00EC5623"/>
    <w:rsid w:val="00EC5708"/>
    <w:rsid w:val="00EC5B21"/>
    <w:rsid w:val="00EC5EBC"/>
    <w:rsid w:val="00EC64FF"/>
    <w:rsid w:val="00EC6673"/>
    <w:rsid w:val="00EC7758"/>
    <w:rsid w:val="00EC7FE8"/>
    <w:rsid w:val="00ED0422"/>
    <w:rsid w:val="00ED0D58"/>
    <w:rsid w:val="00ED0E9C"/>
    <w:rsid w:val="00ED131E"/>
    <w:rsid w:val="00ED2790"/>
    <w:rsid w:val="00ED30EE"/>
    <w:rsid w:val="00ED3124"/>
    <w:rsid w:val="00ED414E"/>
    <w:rsid w:val="00ED4476"/>
    <w:rsid w:val="00ED480A"/>
    <w:rsid w:val="00ED4A40"/>
    <w:rsid w:val="00ED4A79"/>
    <w:rsid w:val="00ED4AF9"/>
    <w:rsid w:val="00ED4DCF"/>
    <w:rsid w:val="00ED6202"/>
    <w:rsid w:val="00ED646A"/>
    <w:rsid w:val="00ED7035"/>
    <w:rsid w:val="00ED7A51"/>
    <w:rsid w:val="00ED7AB1"/>
    <w:rsid w:val="00ED7F33"/>
    <w:rsid w:val="00EE078D"/>
    <w:rsid w:val="00EE12E9"/>
    <w:rsid w:val="00EE1499"/>
    <w:rsid w:val="00EE1773"/>
    <w:rsid w:val="00EE1CC0"/>
    <w:rsid w:val="00EE24AD"/>
    <w:rsid w:val="00EE2C39"/>
    <w:rsid w:val="00EE3138"/>
    <w:rsid w:val="00EE3456"/>
    <w:rsid w:val="00EE3DB9"/>
    <w:rsid w:val="00EE3DC2"/>
    <w:rsid w:val="00EE4301"/>
    <w:rsid w:val="00EE479C"/>
    <w:rsid w:val="00EE54C5"/>
    <w:rsid w:val="00EE5799"/>
    <w:rsid w:val="00EE5A0B"/>
    <w:rsid w:val="00EE5B63"/>
    <w:rsid w:val="00EE5DD7"/>
    <w:rsid w:val="00EE6199"/>
    <w:rsid w:val="00EE670D"/>
    <w:rsid w:val="00EE6CE0"/>
    <w:rsid w:val="00EE76DE"/>
    <w:rsid w:val="00EF0E78"/>
    <w:rsid w:val="00EF1111"/>
    <w:rsid w:val="00EF1319"/>
    <w:rsid w:val="00EF231D"/>
    <w:rsid w:val="00EF3424"/>
    <w:rsid w:val="00EF3AD1"/>
    <w:rsid w:val="00EF3F39"/>
    <w:rsid w:val="00EF42C1"/>
    <w:rsid w:val="00EF4867"/>
    <w:rsid w:val="00EF4BD7"/>
    <w:rsid w:val="00EF4BDB"/>
    <w:rsid w:val="00EF55C6"/>
    <w:rsid w:val="00EF64D4"/>
    <w:rsid w:val="00EF69C5"/>
    <w:rsid w:val="00EF70E6"/>
    <w:rsid w:val="00EF7CDA"/>
    <w:rsid w:val="00F0068F"/>
    <w:rsid w:val="00F0085A"/>
    <w:rsid w:val="00F012DD"/>
    <w:rsid w:val="00F0246C"/>
    <w:rsid w:val="00F0282A"/>
    <w:rsid w:val="00F02FA5"/>
    <w:rsid w:val="00F032B6"/>
    <w:rsid w:val="00F03A19"/>
    <w:rsid w:val="00F0433B"/>
    <w:rsid w:val="00F0471C"/>
    <w:rsid w:val="00F0482A"/>
    <w:rsid w:val="00F04CDF"/>
    <w:rsid w:val="00F05C10"/>
    <w:rsid w:val="00F05CA9"/>
    <w:rsid w:val="00F060A0"/>
    <w:rsid w:val="00F06701"/>
    <w:rsid w:val="00F06C17"/>
    <w:rsid w:val="00F07014"/>
    <w:rsid w:val="00F0729E"/>
    <w:rsid w:val="00F100F2"/>
    <w:rsid w:val="00F105F3"/>
    <w:rsid w:val="00F10729"/>
    <w:rsid w:val="00F10921"/>
    <w:rsid w:val="00F10CE2"/>
    <w:rsid w:val="00F112CF"/>
    <w:rsid w:val="00F11300"/>
    <w:rsid w:val="00F118C7"/>
    <w:rsid w:val="00F1239B"/>
    <w:rsid w:val="00F12F6F"/>
    <w:rsid w:val="00F13105"/>
    <w:rsid w:val="00F1362B"/>
    <w:rsid w:val="00F13CD3"/>
    <w:rsid w:val="00F142AE"/>
    <w:rsid w:val="00F147E5"/>
    <w:rsid w:val="00F14A4C"/>
    <w:rsid w:val="00F151B2"/>
    <w:rsid w:val="00F15469"/>
    <w:rsid w:val="00F16FE7"/>
    <w:rsid w:val="00F17171"/>
    <w:rsid w:val="00F173F0"/>
    <w:rsid w:val="00F1784B"/>
    <w:rsid w:val="00F203AA"/>
    <w:rsid w:val="00F209CD"/>
    <w:rsid w:val="00F20D09"/>
    <w:rsid w:val="00F215B8"/>
    <w:rsid w:val="00F23166"/>
    <w:rsid w:val="00F23719"/>
    <w:rsid w:val="00F23C58"/>
    <w:rsid w:val="00F24073"/>
    <w:rsid w:val="00F245AC"/>
    <w:rsid w:val="00F24A91"/>
    <w:rsid w:val="00F24DE4"/>
    <w:rsid w:val="00F250F2"/>
    <w:rsid w:val="00F26089"/>
    <w:rsid w:val="00F2645A"/>
    <w:rsid w:val="00F267D0"/>
    <w:rsid w:val="00F273C9"/>
    <w:rsid w:val="00F2778C"/>
    <w:rsid w:val="00F30537"/>
    <w:rsid w:val="00F30A32"/>
    <w:rsid w:val="00F30A3A"/>
    <w:rsid w:val="00F30AD6"/>
    <w:rsid w:val="00F30E39"/>
    <w:rsid w:val="00F3113E"/>
    <w:rsid w:val="00F31950"/>
    <w:rsid w:val="00F320E2"/>
    <w:rsid w:val="00F322F0"/>
    <w:rsid w:val="00F32A77"/>
    <w:rsid w:val="00F32BBD"/>
    <w:rsid w:val="00F32C0B"/>
    <w:rsid w:val="00F33523"/>
    <w:rsid w:val="00F33AD8"/>
    <w:rsid w:val="00F34517"/>
    <w:rsid w:val="00F34CEE"/>
    <w:rsid w:val="00F351A9"/>
    <w:rsid w:val="00F35A26"/>
    <w:rsid w:val="00F35C0C"/>
    <w:rsid w:val="00F36382"/>
    <w:rsid w:val="00F36C4C"/>
    <w:rsid w:val="00F37D8E"/>
    <w:rsid w:val="00F37DC8"/>
    <w:rsid w:val="00F37F09"/>
    <w:rsid w:val="00F402E3"/>
    <w:rsid w:val="00F402EF"/>
    <w:rsid w:val="00F40827"/>
    <w:rsid w:val="00F41220"/>
    <w:rsid w:val="00F41437"/>
    <w:rsid w:val="00F4247F"/>
    <w:rsid w:val="00F42784"/>
    <w:rsid w:val="00F4279B"/>
    <w:rsid w:val="00F42C61"/>
    <w:rsid w:val="00F43B77"/>
    <w:rsid w:val="00F44055"/>
    <w:rsid w:val="00F4447E"/>
    <w:rsid w:val="00F45643"/>
    <w:rsid w:val="00F45E39"/>
    <w:rsid w:val="00F45EB0"/>
    <w:rsid w:val="00F462EF"/>
    <w:rsid w:val="00F4636D"/>
    <w:rsid w:val="00F501C5"/>
    <w:rsid w:val="00F5058C"/>
    <w:rsid w:val="00F50EDA"/>
    <w:rsid w:val="00F519B6"/>
    <w:rsid w:val="00F51FC6"/>
    <w:rsid w:val="00F51FCA"/>
    <w:rsid w:val="00F5269D"/>
    <w:rsid w:val="00F5447F"/>
    <w:rsid w:val="00F545BB"/>
    <w:rsid w:val="00F55332"/>
    <w:rsid w:val="00F560A3"/>
    <w:rsid w:val="00F57037"/>
    <w:rsid w:val="00F57414"/>
    <w:rsid w:val="00F57A68"/>
    <w:rsid w:val="00F57A98"/>
    <w:rsid w:val="00F57FC2"/>
    <w:rsid w:val="00F604D9"/>
    <w:rsid w:val="00F60E97"/>
    <w:rsid w:val="00F6132E"/>
    <w:rsid w:val="00F61946"/>
    <w:rsid w:val="00F61F3F"/>
    <w:rsid w:val="00F62466"/>
    <w:rsid w:val="00F62A04"/>
    <w:rsid w:val="00F63823"/>
    <w:rsid w:val="00F63ABA"/>
    <w:rsid w:val="00F64244"/>
    <w:rsid w:val="00F647DD"/>
    <w:rsid w:val="00F64B29"/>
    <w:rsid w:val="00F64F4C"/>
    <w:rsid w:val="00F6524D"/>
    <w:rsid w:val="00F66482"/>
    <w:rsid w:val="00F6661C"/>
    <w:rsid w:val="00F66793"/>
    <w:rsid w:val="00F668D2"/>
    <w:rsid w:val="00F669DB"/>
    <w:rsid w:val="00F66A3D"/>
    <w:rsid w:val="00F679BE"/>
    <w:rsid w:val="00F67A15"/>
    <w:rsid w:val="00F67BCA"/>
    <w:rsid w:val="00F702FA"/>
    <w:rsid w:val="00F704DA"/>
    <w:rsid w:val="00F70CFF"/>
    <w:rsid w:val="00F70FAC"/>
    <w:rsid w:val="00F7182B"/>
    <w:rsid w:val="00F72CEE"/>
    <w:rsid w:val="00F72DED"/>
    <w:rsid w:val="00F7695A"/>
    <w:rsid w:val="00F76BEF"/>
    <w:rsid w:val="00F77695"/>
    <w:rsid w:val="00F77A1F"/>
    <w:rsid w:val="00F80005"/>
    <w:rsid w:val="00F8172B"/>
    <w:rsid w:val="00F82115"/>
    <w:rsid w:val="00F82E45"/>
    <w:rsid w:val="00F83152"/>
    <w:rsid w:val="00F83A46"/>
    <w:rsid w:val="00F83B01"/>
    <w:rsid w:val="00F83F8C"/>
    <w:rsid w:val="00F847DA"/>
    <w:rsid w:val="00F84837"/>
    <w:rsid w:val="00F8492E"/>
    <w:rsid w:val="00F85817"/>
    <w:rsid w:val="00F85F46"/>
    <w:rsid w:val="00F866F8"/>
    <w:rsid w:val="00F87124"/>
    <w:rsid w:val="00F8769A"/>
    <w:rsid w:val="00F9018C"/>
    <w:rsid w:val="00F90D2B"/>
    <w:rsid w:val="00F911DC"/>
    <w:rsid w:val="00F925FC"/>
    <w:rsid w:val="00F92644"/>
    <w:rsid w:val="00F93DEC"/>
    <w:rsid w:val="00F94338"/>
    <w:rsid w:val="00F944B3"/>
    <w:rsid w:val="00F94EF9"/>
    <w:rsid w:val="00F950C7"/>
    <w:rsid w:val="00F95208"/>
    <w:rsid w:val="00F95767"/>
    <w:rsid w:val="00F95B93"/>
    <w:rsid w:val="00F96464"/>
    <w:rsid w:val="00F9660F"/>
    <w:rsid w:val="00F96BCF"/>
    <w:rsid w:val="00F96BE0"/>
    <w:rsid w:val="00F96F9D"/>
    <w:rsid w:val="00F97EDC"/>
    <w:rsid w:val="00F97FBE"/>
    <w:rsid w:val="00FA02BF"/>
    <w:rsid w:val="00FA06F2"/>
    <w:rsid w:val="00FA12B8"/>
    <w:rsid w:val="00FA12D4"/>
    <w:rsid w:val="00FA27F5"/>
    <w:rsid w:val="00FA292F"/>
    <w:rsid w:val="00FA2A3C"/>
    <w:rsid w:val="00FA46F1"/>
    <w:rsid w:val="00FA4731"/>
    <w:rsid w:val="00FA5079"/>
    <w:rsid w:val="00FA560F"/>
    <w:rsid w:val="00FA5A56"/>
    <w:rsid w:val="00FA6B8B"/>
    <w:rsid w:val="00FA72AF"/>
    <w:rsid w:val="00FA7A0B"/>
    <w:rsid w:val="00FB08ED"/>
    <w:rsid w:val="00FB0F27"/>
    <w:rsid w:val="00FB1B07"/>
    <w:rsid w:val="00FB38DB"/>
    <w:rsid w:val="00FB39D8"/>
    <w:rsid w:val="00FB3AFF"/>
    <w:rsid w:val="00FB3BA4"/>
    <w:rsid w:val="00FB4B17"/>
    <w:rsid w:val="00FB6A8C"/>
    <w:rsid w:val="00FB6AA2"/>
    <w:rsid w:val="00FB6C10"/>
    <w:rsid w:val="00FB702E"/>
    <w:rsid w:val="00FB736D"/>
    <w:rsid w:val="00FB752B"/>
    <w:rsid w:val="00FB775F"/>
    <w:rsid w:val="00FB7F94"/>
    <w:rsid w:val="00FC02D4"/>
    <w:rsid w:val="00FC0839"/>
    <w:rsid w:val="00FC15A5"/>
    <w:rsid w:val="00FC1883"/>
    <w:rsid w:val="00FC2068"/>
    <w:rsid w:val="00FC222F"/>
    <w:rsid w:val="00FC3BA8"/>
    <w:rsid w:val="00FC3FD2"/>
    <w:rsid w:val="00FC4B88"/>
    <w:rsid w:val="00FC4E1E"/>
    <w:rsid w:val="00FC4E60"/>
    <w:rsid w:val="00FC5D7E"/>
    <w:rsid w:val="00FC5E1B"/>
    <w:rsid w:val="00FC613C"/>
    <w:rsid w:val="00FC73A2"/>
    <w:rsid w:val="00FC789B"/>
    <w:rsid w:val="00FC7FE9"/>
    <w:rsid w:val="00FD0835"/>
    <w:rsid w:val="00FD09B9"/>
    <w:rsid w:val="00FD0E2D"/>
    <w:rsid w:val="00FD1DFF"/>
    <w:rsid w:val="00FD1E2E"/>
    <w:rsid w:val="00FD31AC"/>
    <w:rsid w:val="00FD3FB9"/>
    <w:rsid w:val="00FD4D5B"/>
    <w:rsid w:val="00FD5878"/>
    <w:rsid w:val="00FD5879"/>
    <w:rsid w:val="00FD7787"/>
    <w:rsid w:val="00FD784D"/>
    <w:rsid w:val="00FD78C8"/>
    <w:rsid w:val="00FE03A2"/>
    <w:rsid w:val="00FE110B"/>
    <w:rsid w:val="00FE12ED"/>
    <w:rsid w:val="00FE14CF"/>
    <w:rsid w:val="00FE17A2"/>
    <w:rsid w:val="00FE1C12"/>
    <w:rsid w:val="00FE1C29"/>
    <w:rsid w:val="00FE1D3A"/>
    <w:rsid w:val="00FE2990"/>
    <w:rsid w:val="00FE3131"/>
    <w:rsid w:val="00FE31C5"/>
    <w:rsid w:val="00FE3496"/>
    <w:rsid w:val="00FE3564"/>
    <w:rsid w:val="00FE477A"/>
    <w:rsid w:val="00FE55B4"/>
    <w:rsid w:val="00FE57E6"/>
    <w:rsid w:val="00FE5829"/>
    <w:rsid w:val="00FE6208"/>
    <w:rsid w:val="00FE6699"/>
    <w:rsid w:val="00FE6737"/>
    <w:rsid w:val="00FE6E5A"/>
    <w:rsid w:val="00FE72C2"/>
    <w:rsid w:val="00FE7309"/>
    <w:rsid w:val="00FE78CE"/>
    <w:rsid w:val="00FE7C8A"/>
    <w:rsid w:val="00FF000B"/>
    <w:rsid w:val="00FF0D30"/>
    <w:rsid w:val="00FF0D79"/>
    <w:rsid w:val="00FF2178"/>
    <w:rsid w:val="00FF2190"/>
    <w:rsid w:val="00FF2C9F"/>
    <w:rsid w:val="00FF2D12"/>
    <w:rsid w:val="00FF31EC"/>
    <w:rsid w:val="00FF3F18"/>
    <w:rsid w:val="00FF45A4"/>
    <w:rsid w:val="00FF4FF5"/>
    <w:rsid w:val="00FF6CAE"/>
    <w:rsid w:val="00FF77D6"/>
    <w:rsid w:val="00FF7C58"/>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00A7BE"/>
  <w15:docId w15:val="{6FAC3B74-223D-4313-98A4-5A480B353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before="60" w:after="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DAE"/>
    <w:rPr>
      <w:rFonts w:ascii="Verdana" w:eastAsia="Batang" w:hAnsi="Verdana" w:cs="Times"/>
      <w:sz w:val="20"/>
      <w:szCs w:val="24"/>
      <w:lang w:val="es-ES_tradnl"/>
    </w:rPr>
  </w:style>
  <w:style w:type="paragraph" w:styleId="Ttulo1">
    <w:name w:val="heading 1"/>
    <w:basedOn w:val="Normal"/>
    <w:next w:val="Normal"/>
    <w:link w:val="Ttulo1Car"/>
    <w:uiPriority w:val="9"/>
    <w:qFormat/>
    <w:rsid w:val="00361F46"/>
    <w:pPr>
      <w:keepNext/>
      <w:keepLines/>
      <w:spacing w:before="240" w:after="240"/>
      <w:jc w:val="center"/>
      <w:outlineLvl w:val="0"/>
    </w:pPr>
    <w:rPr>
      <w:rFonts w:eastAsiaTheme="majorEastAsia" w:cstheme="majorBidi"/>
      <w:b/>
      <w:bCs/>
      <w:szCs w:val="28"/>
    </w:rPr>
  </w:style>
  <w:style w:type="paragraph" w:styleId="Ttulo2">
    <w:name w:val="heading 2"/>
    <w:basedOn w:val="Normal"/>
    <w:next w:val="Normal"/>
    <w:link w:val="Ttulo2Car"/>
    <w:uiPriority w:val="9"/>
    <w:unhideWhenUsed/>
    <w:qFormat/>
    <w:rsid w:val="00361F46"/>
    <w:pPr>
      <w:keepNext/>
      <w:keepLines/>
      <w:spacing w:before="240" w:after="240"/>
      <w:outlineLvl w:val="1"/>
    </w:pPr>
    <w:rPr>
      <w:rFonts w:eastAsiaTheme="majorEastAsia" w:cstheme="majorBidi"/>
      <w:b/>
      <w:bCs/>
      <w:i/>
      <w:szCs w:val="26"/>
    </w:rPr>
  </w:style>
  <w:style w:type="paragraph" w:styleId="Ttulo3">
    <w:name w:val="heading 3"/>
    <w:basedOn w:val="Normal"/>
    <w:next w:val="Normal"/>
    <w:link w:val="Ttulo3Car"/>
    <w:uiPriority w:val="9"/>
    <w:unhideWhenUsed/>
    <w:qFormat/>
    <w:rsid w:val="00361F46"/>
    <w:pPr>
      <w:keepNext/>
      <w:keepLines/>
      <w:spacing w:before="240" w:after="240"/>
      <w:ind w:left="709"/>
      <w:jc w:val="left"/>
      <w:outlineLvl w:val="2"/>
    </w:pPr>
    <w:rPr>
      <w:rFonts w:eastAsiaTheme="majorEastAsia" w:cstheme="majorBidi"/>
      <w:b/>
      <w:bCs/>
    </w:rPr>
  </w:style>
  <w:style w:type="paragraph" w:styleId="Ttulo4">
    <w:name w:val="heading 4"/>
    <w:basedOn w:val="Normal"/>
    <w:next w:val="Normal"/>
    <w:link w:val="Ttulo4Car"/>
    <w:uiPriority w:val="9"/>
    <w:unhideWhenUsed/>
    <w:qFormat/>
    <w:rsid w:val="003F08F4"/>
    <w:pPr>
      <w:keepNext/>
      <w:keepLines/>
      <w:spacing w:before="240" w:after="240"/>
      <w:ind w:left="709"/>
      <w:outlineLvl w:val="3"/>
    </w:pPr>
    <w:rPr>
      <w:rFonts w:eastAsiaTheme="majorEastAsia" w:cstheme="majorBidi"/>
      <w:bCs/>
      <w:i/>
      <w:iCs/>
    </w:rPr>
  </w:style>
  <w:style w:type="paragraph" w:styleId="Ttulo5">
    <w:name w:val="heading 5"/>
    <w:basedOn w:val="Normal"/>
    <w:next w:val="Normal"/>
    <w:link w:val="Ttulo5Car"/>
    <w:uiPriority w:val="9"/>
    <w:semiHidden/>
    <w:unhideWhenUsed/>
    <w:qFormat/>
    <w:rsid w:val="00FF3F18"/>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Ttulo5"/>
    <w:next w:val="Normal"/>
    <w:link w:val="Ttulo6Car"/>
    <w:uiPriority w:val="9"/>
    <w:unhideWhenUsed/>
    <w:qFormat/>
    <w:rsid w:val="00FF3F18"/>
    <w:pPr>
      <w:keepNext w:val="0"/>
      <w:keepLines w:val="0"/>
      <w:tabs>
        <w:tab w:val="num" w:pos="3600"/>
      </w:tabs>
      <w:spacing w:before="0"/>
      <w:ind w:left="3600" w:hanging="360"/>
      <w:outlineLvl w:val="5"/>
    </w:pPr>
    <w:rPr>
      <w:rFonts w:ascii="Verdana" w:eastAsia="Times New Roman" w:hAnsi="Verdana" w:cs="Times New Roman"/>
      <w:color w:val="auto"/>
      <w:spacing w:val="-2"/>
      <w:szCs w:val="20"/>
      <w:lang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99"/>
    <w:qFormat/>
    <w:rsid w:val="00C10DAE"/>
    <w:pPr>
      <w:jc w:val="center"/>
    </w:pPr>
    <w:rPr>
      <w:rFonts w:eastAsia="Times New Roman" w:cs="Times New Roman"/>
      <w:b/>
      <w:szCs w:val="20"/>
    </w:rPr>
  </w:style>
  <w:style w:type="character" w:customStyle="1" w:styleId="TtuloCar">
    <w:name w:val="Título Car"/>
    <w:basedOn w:val="Fuentedeprrafopredeter"/>
    <w:link w:val="Ttulo"/>
    <w:uiPriority w:val="99"/>
    <w:rsid w:val="00C10DAE"/>
    <w:rPr>
      <w:rFonts w:ascii="Verdana" w:eastAsia="Times New Roman" w:hAnsi="Verdana" w:cs="Times New Roman"/>
      <w:b/>
      <w:noProof/>
      <w:sz w:val="20"/>
      <w:szCs w:val="20"/>
      <w:lang w:val="es-ES_tradnl"/>
    </w:rPr>
  </w:style>
  <w:style w:type="paragraph" w:styleId="Subttulo">
    <w:name w:val="Subtitle"/>
    <w:basedOn w:val="Normal"/>
    <w:next w:val="Normal"/>
    <w:link w:val="SubttuloCar"/>
    <w:qFormat/>
    <w:rsid w:val="00C10DAE"/>
    <w:pPr>
      <w:numPr>
        <w:ilvl w:val="1"/>
      </w:numPr>
      <w:jc w:val="center"/>
    </w:pPr>
    <w:rPr>
      <w:rFonts w:eastAsia="Times New Roman" w:cs="Times New Roman"/>
      <w:b/>
      <w:i/>
      <w:iCs/>
      <w:spacing w:val="15"/>
    </w:rPr>
  </w:style>
  <w:style w:type="character" w:customStyle="1" w:styleId="SubttuloCar">
    <w:name w:val="Subtítulo Car"/>
    <w:basedOn w:val="Fuentedeprrafopredeter"/>
    <w:link w:val="Subttulo"/>
    <w:rsid w:val="00C10DAE"/>
    <w:rPr>
      <w:rFonts w:ascii="Verdana" w:eastAsia="Times New Roman" w:hAnsi="Verdana" w:cs="Times New Roman"/>
      <w:b/>
      <w:i/>
      <w:iCs/>
      <w:noProof/>
      <w:spacing w:val="15"/>
      <w:sz w:val="20"/>
      <w:szCs w:val="24"/>
      <w:lang w:val="es-ES_tradnl"/>
    </w:rPr>
  </w:style>
  <w:style w:type="paragraph" w:customStyle="1" w:styleId="citaindirecta">
    <w:name w:val="cita indirecta"/>
    <w:basedOn w:val="Normal"/>
    <w:uiPriority w:val="99"/>
    <w:rsid w:val="00C10DAE"/>
    <w:pPr>
      <w:ind w:left="708"/>
    </w:pPr>
    <w:rPr>
      <w:rFonts w:eastAsia="Times New Roman" w:cs="Times New Roman"/>
      <w:szCs w:val="20"/>
    </w:rPr>
  </w:style>
  <w:style w:type="paragraph" w:styleId="Prrafodelista">
    <w:name w:val="List Paragraph"/>
    <w:aliases w:val="Footnote,List Paragraph1,Colorful List - Accent 11,Párrafo de lista1,List Paragraph2,Lista vistosa - Énfasis 11,Subtle Emphasis1,Footnote1,Parrafos,List Paragraph11"/>
    <w:basedOn w:val="Normal"/>
    <w:link w:val="PrrafodelistaCar"/>
    <w:uiPriority w:val="34"/>
    <w:qFormat/>
    <w:rsid w:val="00C10DAE"/>
    <w:pPr>
      <w:ind w:left="720"/>
      <w:contextualSpacing/>
    </w:p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qFormat/>
    <w:rsid w:val="00C10DAE"/>
    <w:rPr>
      <w:rFonts w:cs="Times New Roman"/>
      <w:szCs w:val="20"/>
      <w:vertAlign w:val="superscript"/>
    </w:rPr>
  </w:style>
  <w:style w:type="paragraph" w:styleId="Textonotapie">
    <w:name w:val="footnote text"/>
    <w:aliases w:val="2. Footnote Text,Footnote Tesina,FA Fu,Footnote Text Char Char Char Char Char,Footnote Text Char Char Char Char,Footnote reference,Footnote Text Char Char Char,Footnote Text Cha,FA Fußnotentext,FA Fuﬂnotentext,Ca,C,ft,5,footnote text,Car"/>
    <w:basedOn w:val="Normal"/>
    <w:link w:val="TextonotapieCar1"/>
    <w:unhideWhenUsed/>
    <w:qFormat/>
    <w:rsid w:val="00B53CA0"/>
    <w:pPr>
      <w:spacing w:before="120" w:after="120"/>
    </w:pPr>
    <w:rPr>
      <w:sz w:val="16"/>
      <w:szCs w:val="20"/>
    </w:rPr>
  </w:style>
  <w:style w:type="character" w:customStyle="1" w:styleId="TextonotapieCar">
    <w:name w:val="Texto nota pie Car"/>
    <w:aliases w:val="FA Fuﬂnotentext Car,FA Fu?notente Car,Ca Car,Footnote Text Char Char Char Char Char Car1,Footnote Text Char Char Char Char Car1,Footnote reference Car1,FA Fu Car2,Footnote Text Char Char Char Car1,FA Fu Car Car2,FA Fu Car Car Car1"/>
    <w:basedOn w:val="Fuentedeprrafopredeter"/>
    <w:uiPriority w:val="99"/>
    <w:qFormat/>
    <w:rsid w:val="00C10DAE"/>
    <w:rPr>
      <w:rFonts w:ascii="Verdana" w:eastAsia="Batang" w:hAnsi="Verdana" w:cs="Times"/>
      <w:noProof/>
      <w:sz w:val="20"/>
      <w:szCs w:val="20"/>
      <w:lang w:val="es-ES_tradnl"/>
    </w:rPr>
  </w:style>
  <w:style w:type="character" w:customStyle="1" w:styleId="TextonotapieCar1">
    <w:name w:val="Texto nota pie Car1"/>
    <w:aliases w:val="2. Footnote Text Car,Footnote Tesina Car,FA Fu Car,Footnote Text Char Char Char Char Char Car,Footnote Text Char Char Char Char Car,Footnote reference Car,Footnote Text Char Char Char Car,Footnote Text Cha Car,FA Fußnotentext Car"/>
    <w:basedOn w:val="Fuentedeprrafopredeter"/>
    <w:link w:val="Textonotapie"/>
    <w:qFormat/>
    <w:rsid w:val="00B53CA0"/>
    <w:rPr>
      <w:rFonts w:ascii="Verdana" w:eastAsia="Batang" w:hAnsi="Verdana" w:cs="Times"/>
      <w:noProof/>
      <w:sz w:val="16"/>
      <w:szCs w:val="20"/>
      <w:lang w:val="es-ES_tradnl"/>
    </w:rPr>
  </w:style>
  <w:style w:type="character" w:customStyle="1" w:styleId="PrrafodelistaCar">
    <w:name w:val="Párrafo de lista Car"/>
    <w:aliases w:val="Footnote Car,List Paragraph1 Car,Colorful List - Accent 11 Car,Párrafo de lista1 Car,List Paragraph2 Car,Lista vistosa - Énfasis 11 Car,Subtle Emphasis1 Car,Footnote1 Car,Parrafos Car,List Paragraph11 Car"/>
    <w:basedOn w:val="Fuentedeprrafopredeter"/>
    <w:link w:val="Prrafodelista"/>
    <w:uiPriority w:val="34"/>
    <w:locked/>
    <w:rsid w:val="00C10DAE"/>
    <w:rPr>
      <w:rFonts w:ascii="Verdana" w:eastAsia="Batang" w:hAnsi="Verdana" w:cs="Times"/>
      <w:noProof/>
      <w:sz w:val="20"/>
      <w:szCs w:val="24"/>
      <w:lang w:val="es-ES_tradnl"/>
    </w:rPr>
  </w:style>
  <w:style w:type="paragraph" w:customStyle="1" w:styleId="Estilo1">
    <w:name w:val="Estilo1"/>
    <w:basedOn w:val="Normal"/>
    <w:link w:val="Estilo1Car"/>
    <w:qFormat/>
    <w:rsid w:val="00C10DAE"/>
    <w:pPr>
      <w:spacing w:after="120"/>
      <w:ind w:left="2018" w:right="6" w:hanging="180"/>
    </w:pPr>
    <w:rPr>
      <w:i/>
    </w:rPr>
  </w:style>
  <w:style w:type="character" w:customStyle="1" w:styleId="Estilo1Car">
    <w:name w:val="Estilo1 Car"/>
    <w:basedOn w:val="Fuentedeprrafopredeter"/>
    <w:link w:val="Estilo1"/>
    <w:rsid w:val="00C10DAE"/>
    <w:rPr>
      <w:rFonts w:ascii="Verdana" w:eastAsia="Batang" w:hAnsi="Verdana" w:cs="Times"/>
      <w:i/>
      <w:noProof/>
      <w:sz w:val="20"/>
      <w:szCs w:val="24"/>
      <w:lang w:val="es-ES_tradnl"/>
    </w:rPr>
  </w:style>
  <w:style w:type="character" w:customStyle="1" w:styleId="Ttulo1Car">
    <w:name w:val="Título 1 Car"/>
    <w:basedOn w:val="Fuentedeprrafopredeter"/>
    <w:link w:val="Ttulo1"/>
    <w:uiPriority w:val="9"/>
    <w:rsid w:val="00361F46"/>
    <w:rPr>
      <w:rFonts w:ascii="Verdana" w:eastAsiaTheme="majorEastAsia" w:hAnsi="Verdana" w:cstheme="majorBidi"/>
      <w:b/>
      <w:bCs/>
      <w:noProof/>
      <w:sz w:val="20"/>
      <w:szCs w:val="28"/>
      <w:lang w:val="es-ES_tradnl"/>
    </w:rPr>
  </w:style>
  <w:style w:type="paragraph" w:styleId="TtuloTDC">
    <w:name w:val="TOC Heading"/>
    <w:basedOn w:val="Ttulo1"/>
    <w:next w:val="Normal"/>
    <w:uiPriority w:val="39"/>
    <w:unhideWhenUsed/>
    <w:qFormat/>
    <w:rsid w:val="00C10DAE"/>
    <w:pPr>
      <w:spacing w:after="0" w:line="276" w:lineRule="auto"/>
      <w:jc w:val="left"/>
      <w:outlineLvl w:val="9"/>
    </w:pPr>
    <w:rPr>
      <w:rFonts w:asciiTheme="majorHAnsi" w:hAnsiTheme="majorHAnsi"/>
      <w:color w:val="365F91" w:themeColor="accent1" w:themeShade="BF"/>
      <w:sz w:val="28"/>
      <w:lang w:val="es-CR" w:eastAsia="es-CR"/>
    </w:rPr>
  </w:style>
  <w:style w:type="paragraph" w:styleId="TDC1">
    <w:name w:val="toc 1"/>
    <w:basedOn w:val="Normal"/>
    <w:next w:val="Normal"/>
    <w:autoRedefine/>
    <w:uiPriority w:val="39"/>
    <w:unhideWhenUsed/>
    <w:rsid w:val="00C64FC6"/>
    <w:pPr>
      <w:tabs>
        <w:tab w:val="left" w:pos="426"/>
        <w:tab w:val="right" w:leader="dot" w:pos="10070"/>
      </w:tabs>
      <w:spacing w:before="0" w:after="0"/>
      <w:ind w:left="142"/>
      <w:jc w:val="left"/>
    </w:pPr>
    <w:rPr>
      <w:b/>
      <w:noProof/>
      <w:sz w:val="16"/>
      <w:szCs w:val="16"/>
      <w:lang w:val="es-CR"/>
    </w:rPr>
  </w:style>
  <w:style w:type="character" w:styleId="Hipervnculo">
    <w:name w:val="Hyperlink"/>
    <w:basedOn w:val="Fuentedeprrafopredeter"/>
    <w:uiPriority w:val="99"/>
    <w:unhideWhenUsed/>
    <w:rsid w:val="00C10DAE"/>
    <w:rPr>
      <w:color w:val="0000FF" w:themeColor="hyperlink"/>
      <w:u w:val="single"/>
    </w:rPr>
  </w:style>
  <w:style w:type="paragraph" w:styleId="Textodeglobo">
    <w:name w:val="Balloon Text"/>
    <w:basedOn w:val="Normal"/>
    <w:link w:val="TextodegloboCar"/>
    <w:uiPriority w:val="99"/>
    <w:semiHidden/>
    <w:unhideWhenUsed/>
    <w:rsid w:val="00C10DAE"/>
    <w:pPr>
      <w:spacing w:before="0"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0DAE"/>
    <w:rPr>
      <w:rFonts w:ascii="Tahoma" w:eastAsia="Batang" w:hAnsi="Tahoma" w:cs="Tahoma"/>
      <w:noProof/>
      <w:sz w:val="16"/>
      <w:szCs w:val="16"/>
      <w:lang w:val="es-ES_tradnl"/>
    </w:rPr>
  </w:style>
  <w:style w:type="paragraph" w:customStyle="1" w:styleId="Footnotes">
    <w:name w:val="**. Footnotes"/>
    <w:basedOn w:val="Textonotapie"/>
    <w:link w:val="FootnotesChar"/>
    <w:autoRedefine/>
    <w:qFormat/>
    <w:rsid w:val="00296C50"/>
    <w:pPr>
      <w:jc w:val="center"/>
    </w:pPr>
    <w:rPr>
      <w:rFonts w:eastAsia="Times New Roman" w:cs="Times New Roman"/>
      <w:b/>
      <w:bCs/>
      <w:iCs/>
      <w:sz w:val="20"/>
      <w:szCs w:val="16"/>
      <w:lang w:val="es-ES" w:eastAsia="x-none"/>
    </w:rPr>
  </w:style>
  <w:style w:type="character" w:customStyle="1" w:styleId="FootnotesChar">
    <w:name w:val="**. Footnotes Char"/>
    <w:link w:val="Footnotes"/>
    <w:rsid w:val="00296C50"/>
    <w:rPr>
      <w:rFonts w:ascii="Verdana" w:eastAsia="Times New Roman" w:hAnsi="Verdana" w:cs="Times New Roman"/>
      <w:b/>
      <w:bCs/>
      <w:iCs/>
      <w:sz w:val="20"/>
      <w:szCs w:val="16"/>
      <w:lang w:val="es-ES" w:eastAsia="x-none"/>
    </w:rPr>
  </w:style>
  <w:style w:type="character" w:customStyle="1" w:styleId="Ttulo2Car">
    <w:name w:val="Título 2 Car"/>
    <w:basedOn w:val="Fuentedeprrafopredeter"/>
    <w:link w:val="Ttulo2"/>
    <w:uiPriority w:val="9"/>
    <w:rsid w:val="00361F46"/>
    <w:rPr>
      <w:rFonts w:ascii="Verdana" w:eastAsiaTheme="majorEastAsia" w:hAnsi="Verdana" w:cstheme="majorBidi"/>
      <w:b/>
      <w:bCs/>
      <w:i/>
      <w:noProof/>
      <w:sz w:val="20"/>
      <w:szCs w:val="26"/>
      <w:lang w:val="es-ES_tradnl"/>
    </w:rPr>
  </w:style>
  <w:style w:type="paragraph" w:styleId="TDC2">
    <w:name w:val="toc 2"/>
    <w:basedOn w:val="Normal"/>
    <w:next w:val="Normal"/>
    <w:autoRedefine/>
    <w:uiPriority w:val="39"/>
    <w:unhideWhenUsed/>
    <w:rsid w:val="0023770E"/>
    <w:pPr>
      <w:tabs>
        <w:tab w:val="left" w:pos="660"/>
        <w:tab w:val="right" w:leader="dot" w:pos="10070"/>
      </w:tabs>
      <w:spacing w:before="0" w:after="0"/>
      <w:ind w:left="426" w:hanging="284"/>
      <w:contextualSpacing/>
    </w:pPr>
    <w:rPr>
      <w:smallCaps/>
      <w:sz w:val="18"/>
    </w:rPr>
  </w:style>
  <w:style w:type="paragraph" w:styleId="Encabezado">
    <w:name w:val="header"/>
    <w:basedOn w:val="Normal"/>
    <w:link w:val="EncabezadoCar"/>
    <w:uiPriority w:val="99"/>
    <w:unhideWhenUsed/>
    <w:rsid w:val="00341083"/>
    <w:pPr>
      <w:tabs>
        <w:tab w:val="center" w:pos="4419"/>
        <w:tab w:val="right" w:pos="8838"/>
      </w:tabs>
      <w:spacing w:before="0" w:after="0"/>
    </w:pPr>
  </w:style>
  <w:style w:type="character" w:customStyle="1" w:styleId="EncabezadoCar">
    <w:name w:val="Encabezado Car"/>
    <w:basedOn w:val="Fuentedeprrafopredeter"/>
    <w:link w:val="Encabezado"/>
    <w:uiPriority w:val="99"/>
    <w:rsid w:val="00341083"/>
    <w:rPr>
      <w:rFonts w:ascii="Verdana" w:eastAsia="Batang" w:hAnsi="Verdana" w:cs="Times"/>
      <w:noProof/>
      <w:sz w:val="20"/>
      <w:szCs w:val="24"/>
      <w:lang w:val="es-ES_tradnl"/>
    </w:rPr>
  </w:style>
  <w:style w:type="paragraph" w:styleId="Piedepgina">
    <w:name w:val="footer"/>
    <w:basedOn w:val="Normal"/>
    <w:link w:val="PiedepginaCar"/>
    <w:uiPriority w:val="99"/>
    <w:unhideWhenUsed/>
    <w:rsid w:val="00341083"/>
    <w:pPr>
      <w:tabs>
        <w:tab w:val="center" w:pos="4419"/>
        <w:tab w:val="right" w:pos="8838"/>
      </w:tabs>
      <w:spacing w:before="0" w:after="0"/>
    </w:pPr>
  </w:style>
  <w:style w:type="character" w:customStyle="1" w:styleId="PiedepginaCar">
    <w:name w:val="Pie de página Car"/>
    <w:basedOn w:val="Fuentedeprrafopredeter"/>
    <w:link w:val="Piedepgina"/>
    <w:uiPriority w:val="99"/>
    <w:rsid w:val="00341083"/>
    <w:rPr>
      <w:rFonts w:ascii="Verdana" w:eastAsia="Batang" w:hAnsi="Verdana" w:cs="Times"/>
      <w:noProof/>
      <w:sz w:val="20"/>
      <w:szCs w:val="24"/>
      <w:lang w:val="es-ES_tradnl"/>
    </w:rPr>
  </w:style>
  <w:style w:type="character" w:styleId="Nmerodelnea">
    <w:name w:val="line number"/>
    <w:basedOn w:val="Fuentedeprrafopredeter"/>
    <w:uiPriority w:val="99"/>
    <w:semiHidden/>
    <w:unhideWhenUsed/>
    <w:rsid w:val="00341083"/>
  </w:style>
  <w:style w:type="paragraph" w:customStyle="1" w:styleId="PrrafodeSentencia">
    <w:name w:val="*. Párrafo de Sentencia"/>
    <w:basedOn w:val="Textonotapie"/>
    <w:link w:val="PrrafodeSentenciaChar"/>
    <w:autoRedefine/>
    <w:qFormat/>
    <w:rsid w:val="00FE6E5A"/>
    <w:pPr>
      <w:tabs>
        <w:tab w:val="left" w:pos="720"/>
      </w:tabs>
    </w:pPr>
    <w:rPr>
      <w:rFonts w:eastAsia="Times New Roman" w:cs="Times New Roman"/>
      <w:bCs/>
      <w:sz w:val="20"/>
      <w:lang w:eastAsia="es-ES"/>
    </w:rPr>
  </w:style>
  <w:style w:type="paragraph" w:customStyle="1" w:styleId="Default">
    <w:name w:val="Default"/>
    <w:rsid w:val="00E9306E"/>
    <w:pPr>
      <w:autoSpaceDE w:val="0"/>
      <w:autoSpaceDN w:val="0"/>
      <w:adjustRightInd w:val="0"/>
      <w:spacing w:before="0" w:after="0"/>
      <w:jc w:val="left"/>
    </w:pPr>
    <w:rPr>
      <w:rFonts w:ascii="Arial Narrow" w:hAnsi="Arial Narrow" w:cs="Arial Narrow"/>
      <w:color w:val="000000"/>
      <w:sz w:val="24"/>
      <w:szCs w:val="24"/>
    </w:rPr>
  </w:style>
  <w:style w:type="character" w:customStyle="1" w:styleId="Ttulo3Car">
    <w:name w:val="Título 3 Car"/>
    <w:basedOn w:val="Fuentedeprrafopredeter"/>
    <w:link w:val="Ttulo3"/>
    <w:uiPriority w:val="9"/>
    <w:rsid w:val="00361F46"/>
    <w:rPr>
      <w:rFonts w:ascii="Verdana" w:eastAsiaTheme="majorEastAsia" w:hAnsi="Verdana" w:cstheme="majorBidi"/>
      <w:b/>
      <w:bCs/>
      <w:noProof/>
      <w:sz w:val="20"/>
      <w:szCs w:val="24"/>
      <w:lang w:val="es-ES_tradnl"/>
    </w:rPr>
  </w:style>
  <w:style w:type="character" w:styleId="Textoennegrita">
    <w:name w:val="Strong"/>
    <w:aliases w:val="Heading 2.1"/>
    <w:uiPriority w:val="22"/>
    <w:qFormat/>
    <w:rsid w:val="00F77695"/>
    <w:rPr>
      <w:b/>
      <w:bCs/>
    </w:rPr>
  </w:style>
  <w:style w:type="paragraph" w:customStyle="1" w:styleId="Estilo2">
    <w:name w:val="Estilo2"/>
    <w:basedOn w:val="Normal"/>
    <w:qFormat/>
    <w:rsid w:val="00676763"/>
    <w:pPr>
      <w:tabs>
        <w:tab w:val="left" w:pos="567"/>
        <w:tab w:val="left" w:pos="1134"/>
        <w:tab w:val="num" w:pos="4767"/>
      </w:tabs>
      <w:spacing w:before="0"/>
      <w:ind w:firstLine="357"/>
    </w:pPr>
    <w:rPr>
      <w:rFonts w:eastAsia="Calibri" w:cs="Times New Roman"/>
      <w:szCs w:val="20"/>
      <w:lang w:val="x-none" w:eastAsia="x-none"/>
    </w:rPr>
  </w:style>
  <w:style w:type="character" w:customStyle="1" w:styleId="Ttulo6Car">
    <w:name w:val="Título 6 Car"/>
    <w:basedOn w:val="Fuentedeprrafopredeter"/>
    <w:link w:val="Ttulo6"/>
    <w:uiPriority w:val="9"/>
    <w:rsid w:val="00FF3F18"/>
    <w:rPr>
      <w:rFonts w:ascii="Verdana" w:eastAsia="Times New Roman" w:hAnsi="Verdana" w:cs="Times New Roman"/>
      <w:spacing w:val="-2"/>
      <w:sz w:val="20"/>
      <w:szCs w:val="20"/>
      <w:lang w:val="es-ES_tradnl" w:eastAsia="es-CR"/>
    </w:rPr>
  </w:style>
  <w:style w:type="character" w:customStyle="1" w:styleId="Ttulo5Car">
    <w:name w:val="Título 5 Car"/>
    <w:basedOn w:val="Fuentedeprrafopredeter"/>
    <w:link w:val="Ttulo5"/>
    <w:uiPriority w:val="9"/>
    <w:semiHidden/>
    <w:rsid w:val="00FF3F18"/>
    <w:rPr>
      <w:rFonts w:asciiTheme="majorHAnsi" w:eastAsiaTheme="majorEastAsia" w:hAnsiTheme="majorHAnsi" w:cstheme="majorBidi"/>
      <w:noProof/>
      <w:color w:val="243F60" w:themeColor="accent1" w:themeShade="7F"/>
      <w:sz w:val="20"/>
      <w:szCs w:val="24"/>
      <w:lang w:val="es-ES_tradnl"/>
    </w:rPr>
  </w:style>
  <w:style w:type="character" w:customStyle="1" w:styleId="PrrafodeSentenciaChar">
    <w:name w:val="*. Párrafo de Sentencia Char"/>
    <w:basedOn w:val="Fuentedeprrafopredeter"/>
    <w:link w:val="PrrafodeSentencia"/>
    <w:rsid w:val="00797A9D"/>
    <w:rPr>
      <w:rFonts w:ascii="Verdana" w:eastAsia="Times New Roman" w:hAnsi="Verdana" w:cs="Times New Roman"/>
      <w:bCs/>
      <w:noProof/>
      <w:sz w:val="20"/>
      <w:szCs w:val="20"/>
      <w:lang w:val="es-ES_tradnl" w:eastAsia="es-ES"/>
    </w:rPr>
  </w:style>
  <w:style w:type="character" w:customStyle="1" w:styleId="apple-converted-space">
    <w:name w:val="apple-converted-space"/>
    <w:basedOn w:val="Fuentedeprrafopredeter"/>
    <w:rsid w:val="008E393A"/>
  </w:style>
  <w:style w:type="character" w:styleId="Refdecomentario">
    <w:name w:val="annotation reference"/>
    <w:basedOn w:val="Fuentedeprrafopredeter"/>
    <w:uiPriority w:val="99"/>
    <w:semiHidden/>
    <w:unhideWhenUsed/>
    <w:rsid w:val="00313428"/>
    <w:rPr>
      <w:sz w:val="16"/>
      <w:szCs w:val="16"/>
    </w:rPr>
  </w:style>
  <w:style w:type="paragraph" w:styleId="Textocomentario">
    <w:name w:val="annotation text"/>
    <w:basedOn w:val="Normal"/>
    <w:link w:val="TextocomentarioCar"/>
    <w:uiPriority w:val="99"/>
    <w:unhideWhenUsed/>
    <w:rsid w:val="00313428"/>
    <w:rPr>
      <w:szCs w:val="20"/>
    </w:rPr>
  </w:style>
  <w:style w:type="character" w:customStyle="1" w:styleId="TextocomentarioCar">
    <w:name w:val="Texto comentario Car"/>
    <w:basedOn w:val="Fuentedeprrafopredeter"/>
    <w:link w:val="Textocomentario"/>
    <w:uiPriority w:val="99"/>
    <w:rsid w:val="00313428"/>
    <w:rPr>
      <w:rFonts w:ascii="Verdana" w:eastAsia="Batang" w:hAnsi="Verdana" w:cs="Times"/>
      <w:noProof/>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313428"/>
    <w:rPr>
      <w:b/>
      <w:bCs/>
    </w:rPr>
  </w:style>
  <w:style w:type="character" w:customStyle="1" w:styleId="AsuntodelcomentarioCar">
    <w:name w:val="Asunto del comentario Car"/>
    <w:basedOn w:val="TextocomentarioCar"/>
    <w:link w:val="Asuntodelcomentario"/>
    <w:uiPriority w:val="99"/>
    <w:semiHidden/>
    <w:rsid w:val="00313428"/>
    <w:rPr>
      <w:rFonts w:ascii="Verdana" w:eastAsia="Batang" w:hAnsi="Verdana" w:cs="Times"/>
      <w:b/>
      <w:bCs/>
      <w:noProof/>
      <w:sz w:val="20"/>
      <w:szCs w:val="20"/>
      <w:lang w:val="es-ES_tradnl"/>
    </w:rPr>
  </w:style>
  <w:style w:type="paragraph" w:styleId="TDC3">
    <w:name w:val="toc 3"/>
    <w:basedOn w:val="Normal"/>
    <w:next w:val="Normal"/>
    <w:autoRedefine/>
    <w:uiPriority w:val="39"/>
    <w:unhideWhenUsed/>
    <w:rsid w:val="005A6CEE"/>
    <w:pPr>
      <w:tabs>
        <w:tab w:val="left" w:pos="709"/>
        <w:tab w:val="right" w:leader="dot" w:pos="10070"/>
      </w:tabs>
      <w:spacing w:before="0" w:after="0"/>
      <w:ind w:left="709" w:right="57" w:firstLine="1"/>
      <w:contextualSpacing/>
      <w:jc w:val="left"/>
    </w:pPr>
    <w:rPr>
      <w:noProof/>
      <w:sz w:val="16"/>
      <w:szCs w:val="16"/>
      <w:lang w:val="es-CR"/>
    </w:rPr>
  </w:style>
  <w:style w:type="paragraph" w:customStyle="1" w:styleId="2Footnotes">
    <w:name w:val="2. Footnotes"/>
    <w:basedOn w:val="Textonotapie"/>
    <w:link w:val="2FootnotesChar"/>
    <w:autoRedefine/>
    <w:qFormat/>
    <w:rsid w:val="00CB5D9D"/>
    <w:rPr>
      <w:rFonts w:eastAsia="Times New Roman" w:cs="Palatino-Italic"/>
      <w:iCs/>
      <w:szCs w:val="18"/>
      <w:lang w:val="es-ES"/>
    </w:rPr>
  </w:style>
  <w:style w:type="character" w:customStyle="1" w:styleId="2FootnotesChar">
    <w:name w:val="2. Footnotes Char"/>
    <w:link w:val="2Footnotes"/>
    <w:rsid w:val="00CB5D9D"/>
    <w:rPr>
      <w:rFonts w:ascii="Verdana" w:eastAsia="Times New Roman" w:hAnsi="Verdana" w:cs="Palatino-Italic"/>
      <w:iCs/>
      <w:sz w:val="16"/>
      <w:szCs w:val="18"/>
      <w:lang w:val="es-ES"/>
    </w:rPr>
  </w:style>
  <w:style w:type="paragraph" w:styleId="NormalWeb">
    <w:name w:val="Normal (Web)"/>
    <w:basedOn w:val="Normal"/>
    <w:uiPriority w:val="99"/>
    <w:unhideWhenUsed/>
    <w:rsid w:val="00551739"/>
    <w:pPr>
      <w:spacing w:before="100" w:beforeAutospacing="1" w:after="100" w:afterAutospacing="1"/>
      <w:jc w:val="left"/>
    </w:pPr>
    <w:rPr>
      <w:rFonts w:ascii="Times New Roman" w:eastAsia="Times New Roman" w:hAnsi="Times New Roman" w:cs="Times New Roman"/>
      <w:sz w:val="24"/>
      <w:lang w:val="es-CR" w:eastAsia="es-CR"/>
    </w:rPr>
  </w:style>
  <w:style w:type="character" w:customStyle="1" w:styleId="Ttulo4Car">
    <w:name w:val="Título 4 Car"/>
    <w:basedOn w:val="Fuentedeprrafopredeter"/>
    <w:link w:val="Ttulo4"/>
    <w:uiPriority w:val="9"/>
    <w:rsid w:val="003F08F4"/>
    <w:rPr>
      <w:rFonts w:ascii="Verdana" w:eastAsiaTheme="majorEastAsia" w:hAnsi="Verdana" w:cstheme="majorBidi"/>
      <w:bCs/>
      <w:i/>
      <w:iCs/>
      <w:noProof/>
      <w:sz w:val="20"/>
      <w:szCs w:val="24"/>
      <w:lang w:val="es-ES_tradnl"/>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F0482A"/>
    <w:pPr>
      <w:spacing w:before="0" w:after="0"/>
    </w:pPr>
    <w:rPr>
      <w:rFonts w:asciiTheme="minorHAnsi" w:eastAsiaTheme="minorHAnsi" w:hAnsiTheme="minorHAnsi" w:cs="Times New Roman"/>
      <w:sz w:val="22"/>
      <w:szCs w:val="20"/>
      <w:vertAlign w:val="superscript"/>
      <w:lang w:val="es-CR"/>
    </w:rPr>
  </w:style>
  <w:style w:type="paragraph" w:styleId="Revisin">
    <w:name w:val="Revision"/>
    <w:hidden/>
    <w:uiPriority w:val="99"/>
    <w:semiHidden/>
    <w:rsid w:val="00A33BB3"/>
    <w:pPr>
      <w:spacing w:before="0" w:after="0"/>
      <w:jc w:val="left"/>
    </w:pPr>
    <w:rPr>
      <w:rFonts w:ascii="Verdana" w:eastAsia="Batang" w:hAnsi="Verdana" w:cs="Times"/>
      <w:noProof/>
      <w:sz w:val="20"/>
      <w:szCs w:val="24"/>
      <w:lang w:val="es-ES_tradnl"/>
    </w:rPr>
  </w:style>
  <w:style w:type="character" w:customStyle="1" w:styleId="sb8d990e2">
    <w:name w:val="sb8d990e2"/>
    <w:basedOn w:val="Fuentedeprrafopredeter"/>
    <w:rsid w:val="00B41207"/>
  </w:style>
  <w:style w:type="paragraph" w:styleId="Sangradetextonormal">
    <w:name w:val="Body Text Indent"/>
    <w:basedOn w:val="Normal"/>
    <w:link w:val="SangradetextonormalCar"/>
    <w:uiPriority w:val="99"/>
    <w:unhideWhenUsed/>
    <w:rsid w:val="0015689E"/>
    <w:pPr>
      <w:spacing w:before="0" w:after="120"/>
      <w:ind w:left="360"/>
      <w:jc w:val="left"/>
    </w:pPr>
    <w:rPr>
      <w:rFonts w:ascii="Times New Roman" w:eastAsia="Calibri" w:hAnsi="Times New Roman" w:cs="Times New Roman"/>
      <w:sz w:val="24"/>
    </w:rPr>
  </w:style>
  <w:style w:type="character" w:customStyle="1" w:styleId="SangradetextonormalCar">
    <w:name w:val="Sangría de texto normal Car"/>
    <w:basedOn w:val="Fuentedeprrafopredeter"/>
    <w:link w:val="Sangradetextonormal"/>
    <w:uiPriority w:val="99"/>
    <w:rsid w:val="0015689E"/>
    <w:rPr>
      <w:rFonts w:ascii="Times New Roman" w:eastAsia="Calibri" w:hAnsi="Times New Roman" w:cs="Times New Roman"/>
      <w:sz w:val="24"/>
      <w:szCs w:val="24"/>
      <w:lang w:val="es-ES_tradnl"/>
    </w:rPr>
  </w:style>
  <w:style w:type="paragraph" w:customStyle="1" w:styleId="Prrafodelista2">
    <w:name w:val="Párrafo de lista2"/>
    <w:basedOn w:val="Normal"/>
    <w:uiPriority w:val="99"/>
    <w:rsid w:val="000474AA"/>
    <w:pPr>
      <w:spacing w:before="0" w:after="0"/>
      <w:ind w:left="720"/>
      <w:jc w:val="left"/>
    </w:pPr>
    <w:rPr>
      <w:rFonts w:eastAsia="MS Mincho" w:cs="Times New Roman"/>
      <w:szCs w:val="20"/>
      <w:lang w:bidi="en-US"/>
    </w:rPr>
  </w:style>
  <w:style w:type="paragraph" w:styleId="Sinespaciado">
    <w:name w:val="No Spacing"/>
    <w:uiPriority w:val="1"/>
    <w:qFormat/>
    <w:rsid w:val="00187CF2"/>
    <w:pPr>
      <w:spacing w:before="0" w:after="0"/>
      <w:jc w:val="left"/>
    </w:pPr>
    <w:rPr>
      <w:lang w:val="en-US"/>
    </w:rPr>
  </w:style>
  <w:style w:type="paragraph" w:customStyle="1" w:styleId="Normal1">
    <w:name w:val="Normal1"/>
    <w:rsid w:val="00187CF2"/>
    <w:pPr>
      <w:widowControl w:val="0"/>
      <w:spacing w:before="0" w:after="0"/>
      <w:jc w:val="left"/>
    </w:pPr>
    <w:rPr>
      <w:rFonts w:ascii="Times New Roman" w:eastAsia="Times New Roman" w:hAnsi="Times New Roman" w:cs="Times New Roman"/>
      <w:sz w:val="24"/>
      <w:szCs w:val="24"/>
    </w:rPr>
  </w:style>
  <w:style w:type="character" w:styleId="nfasis">
    <w:name w:val="Emphasis"/>
    <w:uiPriority w:val="20"/>
    <w:qFormat/>
    <w:rsid w:val="00454DB0"/>
    <w:rPr>
      <w:i/>
    </w:rPr>
  </w:style>
  <w:style w:type="paragraph" w:customStyle="1" w:styleId="JuPara">
    <w:name w:val="Ju_Para"/>
    <w:basedOn w:val="Normal"/>
    <w:link w:val="JuParaChar"/>
    <w:rsid w:val="00454DB0"/>
    <w:pPr>
      <w:suppressAutoHyphens/>
      <w:spacing w:before="0" w:after="0"/>
      <w:ind w:firstLine="284"/>
    </w:pPr>
    <w:rPr>
      <w:rFonts w:ascii="Times New Roman" w:hAnsi="Times New Roman" w:cs="Times New Roman"/>
      <w:sz w:val="24"/>
      <w:lang w:val="fr-FR" w:eastAsia="fr-FR"/>
    </w:rPr>
  </w:style>
  <w:style w:type="character" w:customStyle="1" w:styleId="JuParaChar">
    <w:name w:val="Ju_Para Char"/>
    <w:link w:val="JuPara"/>
    <w:rsid w:val="00454DB0"/>
    <w:rPr>
      <w:rFonts w:ascii="Times New Roman" w:eastAsia="Batang" w:hAnsi="Times New Roman" w:cs="Times New Roman"/>
      <w:sz w:val="24"/>
      <w:szCs w:val="24"/>
      <w:lang w:val="fr-FR" w:eastAsia="fr-FR"/>
    </w:rPr>
  </w:style>
  <w:style w:type="character" w:styleId="Ttulodellibro">
    <w:name w:val="Book Title"/>
    <w:basedOn w:val="Fuentedeprrafopredeter"/>
    <w:uiPriority w:val="33"/>
    <w:qFormat/>
    <w:rsid w:val="005D259D"/>
    <w:rPr>
      <w:b/>
      <w:bCs/>
      <w:smallCaps/>
      <w:spacing w:val="5"/>
    </w:rPr>
  </w:style>
  <w:style w:type="paragraph" w:customStyle="1" w:styleId="xxmsonormal">
    <w:name w:val="x_xmsonormal"/>
    <w:basedOn w:val="Normal"/>
    <w:uiPriority w:val="99"/>
    <w:semiHidden/>
    <w:rsid w:val="00AC3214"/>
    <w:pPr>
      <w:spacing w:before="0" w:after="0"/>
      <w:jc w:val="left"/>
    </w:pPr>
    <w:rPr>
      <w:rFonts w:ascii="Calibri" w:eastAsiaTheme="minorHAnsi" w:hAnsi="Calibri" w:cs="Calibri"/>
      <w:sz w:val="22"/>
      <w:szCs w:val="22"/>
      <w:lang w:val="es-CR" w:eastAsia="es-CR"/>
    </w:rPr>
  </w:style>
  <w:style w:type="paragraph" w:styleId="Textoindependiente">
    <w:name w:val="Body Text"/>
    <w:basedOn w:val="Normal"/>
    <w:link w:val="TextoindependienteCar"/>
    <w:uiPriority w:val="99"/>
    <w:unhideWhenUsed/>
    <w:rsid w:val="00D0688C"/>
    <w:pPr>
      <w:spacing w:after="120"/>
    </w:pPr>
  </w:style>
  <w:style w:type="character" w:customStyle="1" w:styleId="TextoindependienteCar">
    <w:name w:val="Texto independiente Car"/>
    <w:basedOn w:val="Fuentedeprrafopredeter"/>
    <w:link w:val="Textoindependiente"/>
    <w:uiPriority w:val="99"/>
    <w:rsid w:val="00D0688C"/>
    <w:rPr>
      <w:rFonts w:ascii="Verdana" w:eastAsia="Batang" w:hAnsi="Verdana" w:cs="Times"/>
      <w:sz w:val="20"/>
      <w:szCs w:val="24"/>
      <w:lang w:val="es-ES_tradnl"/>
    </w:rPr>
  </w:style>
  <w:style w:type="paragraph" w:customStyle="1" w:styleId="xmsolistparagraph">
    <w:name w:val="x_msolistparagraph"/>
    <w:basedOn w:val="Normal"/>
    <w:rsid w:val="00765663"/>
    <w:pPr>
      <w:spacing w:before="100" w:beforeAutospacing="1" w:after="100" w:afterAutospacing="1"/>
      <w:jc w:val="left"/>
    </w:pPr>
    <w:rPr>
      <w:rFonts w:ascii="Times New Roman" w:eastAsia="Times New Roman" w:hAnsi="Times New Roman" w:cs="Times New Roman"/>
      <w:sz w:val="24"/>
      <w:lang w:val="es-CR" w:eastAsia="es-CR"/>
    </w:rPr>
  </w:style>
  <w:style w:type="character" w:styleId="Hipervnculovisitado">
    <w:name w:val="FollowedHyperlink"/>
    <w:basedOn w:val="Fuentedeprrafopredeter"/>
    <w:uiPriority w:val="99"/>
    <w:semiHidden/>
    <w:unhideWhenUsed/>
    <w:rsid w:val="000F462E"/>
    <w:rPr>
      <w:color w:val="800080" w:themeColor="followedHyperlink"/>
      <w:u w:val="single"/>
    </w:rPr>
  </w:style>
  <w:style w:type="character" w:styleId="Textodelmarcadordeposicin">
    <w:name w:val="Placeholder Text"/>
    <w:basedOn w:val="Fuentedeprrafopredeter"/>
    <w:uiPriority w:val="99"/>
    <w:semiHidden/>
    <w:rsid w:val="00B27163"/>
    <w:rPr>
      <w:color w:val="808080"/>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uiPriority w:val="99"/>
    <w:qFormat/>
    <w:rsid w:val="002A1D06"/>
    <w:pPr>
      <w:spacing w:before="0" w:after="160" w:line="240" w:lineRule="exact"/>
      <w:jc w:val="left"/>
    </w:pPr>
    <w:rPr>
      <w:rFonts w:asciiTheme="minorHAnsi" w:eastAsiaTheme="minorHAnsi" w:hAnsiTheme="minorHAnsi" w:cstheme="minorBidi"/>
      <w:sz w:val="22"/>
      <w:szCs w:val="22"/>
      <w:vertAlign w:val="superscript"/>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84600">
      <w:bodyDiv w:val="1"/>
      <w:marLeft w:val="0"/>
      <w:marRight w:val="0"/>
      <w:marTop w:val="0"/>
      <w:marBottom w:val="0"/>
      <w:divBdr>
        <w:top w:val="none" w:sz="0" w:space="0" w:color="auto"/>
        <w:left w:val="none" w:sz="0" w:space="0" w:color="auto"/>
        <w:bottom w:val="none" w:sz="0" w:space="0" w:color="auto"/>
        <w:right w:val="none" w:sz="0" w:space="0" w:color="auto"/>
      </w:divBdr>
    </w:div>
    <w:div w:id="67116966">
      <w:bodyDiv w:val="1"/>
      <w:marLeft w:val="0"/>
      <w:marRight w:val="0"/>
      <w:marTop w:val="0"/>
      <w:marBottom w:val="0"/>
      <w:divBdr>
        <w:top w:val="none" w:sz="0" w:space="0" w:color="auto"/>
        <w:left w:val="none" w:sz="0" w:space="0" w:color="auto"/>
        <w:bottom w:val="none" w:sz="0" w:space="0" w:color="auto"/>
        <w:right w:val="none" w:sz="0" w:space="0" w:color="auto"/>
      </w:divBdr>
    </w:div>
    <w:div w:id="67702291">
      <w:bodyDiv w:val="1"/>
      <w:marLeft w:val="0"/>
      <w:marRight w:val="0"/>
      <w:marTop w:val="0"/>
      <w:marBottom w:val="0"/>
      <w:divBdr>
        <w:top w:val="none" w:sz="0" w:space="0" w:color="auto"/>
        <w:left w:val="none" w:sz="0" w:space="0" w:color="auto"/>
        <w:bottom w:val="none" w:sz="0" w:space="0" w:color="auto"/>
        <w:right w:val="none" w:sz="0" w:space="0" w:color="auto"/>
      </w:divBdr>
    </w:div>
    <w:div w:id="195389854">
      <w:bodyDiv w:val="1"/>
      <w:marLeft w:val="0"/>
      <w:marRight w:val="0"/>
      <w:marTop w:val="0"/>
      <w:marBottom w:val="0"/>
      <w:divBdr>
        <w:top w:val="none" w:sz="0" w:space="0" w:color="auto"/>
        <w:left w:val="none" w:sz="0" w:space="0" w:color="auto"/>
        <w:bottom w:val="none" w:sz="0" w:space="0" w:color="auto"/>
        <w:right w:val="none" w:sz="0" w:space="0" w:color="auto"/>
      </w:divBdr>
    </w:div>
    <w:div w:id="200747745">
      <w:bodyDiv w:val="1"/>
      <w:marLeft w:val="0"/>
      <w:marRight w:val="0"/>
      <w:marTop w:val="0"/>
      <w:marBottom w:val="0"/>
      <w:divBdr>
        <w:top w:val="none" w:sz="0" w:space="0" w:color="auto"/>
        <w:left w:val="none" w:sz="0" w:space="0" w:color="auto"/>
        <w:bottom w:val="none" w:sz="0" w:space="0" w:color="auto"/>
        <w:right w:val="none" w:sz="0" w:space="0" w:color="auto"/>
      </w:divBdr>
    </w:div>
    <w:div w:id="212936509">
      <w:bodyDiv w:val="1"/>
      <w:marLeft w:val="0"/>
      <w:marRight w:val="0"/>
      <w:marTop w:val="0"/>
      <w:marBottom w:val="0"/>
      <w:divBdr>
        <w:top w:val="none" w:sz="0" w:space="0" w:color="auto"/>
        <w:left w:val="none" w:sz="0" w:space="0" w:color="auto"/>
        <w:bottom w:val="none" w:sz="0" w:space="0" w:color="auto"/>
        <w:right w:val="none" w:sz="0" w:space="0" w:color="auto"/>
      </w:divBdr>
    </w:div>
    <w:div w:id="223376534">
      <w:bodyDiv w:val="1"/>
      <w:marLeft w:val="0"/>
      <w:marRight w:val="0"/>
      <w:marTop w:val="0"/>
      <w:marBottom w:val="0"/>
      <w:divBdr>
        <w:top w:val="none" w:sz="0" w:space="0" w:color="auto"/>
        <w:left w:val="none" w:sz="0" w:space="0" w:color="auto"/>
        <w:bottom w:val="none" w:sz="0" w:space="0" w:color="auto"/>
        <w:right w:val="none" w:sz="0" w:space="0" w:color="auto"/>
      </w:divBdr>
    </w:div>
    <w:div w:id="293415934">
      <w:bodyDiv w:val="1"/>
      <w:marLeft w:val="0"/>
      <w:marRight w:val="0"/>
      <w:marTop w:val="0"/>
      <w:marBottom w:val="0"/>
      <w:divBdr>
        <w:top w:val="none" w:sz="0" w:space="0" w:color="auto"/>
        <w:left w:val="none" w:sz="0" w:space="0" w:color="auto"/>
        <w:bottom w:val="none" w:sz="0" w:space="0" w:color="auto"/>
        <w:right w:val="none" w:sz="0" w:space="0" w:color="auto"/>
      </w:divBdr>
    </w:div>
    <w:div w:id="337388953">
      <w:bodyDiv w:val="1"/>
      <w:marLeft w:val="0"/>
      <w:marRight w:val="0"/>
      <w:marTop w:val="0"/>
      <w:marBottom w:val="0"/>
      <w:divBdr>
        <w:top w:val="none" w:sz="0" w:space="0" w:color="auto"/>
        <w:left w:val="none" w:sz="0" w:space="0" w:color="auto"/>
        <w:bottom w:val="none" w:sz="0" w:space="0" w:color="auto"/>
        <w:right w:val="none" w:sz="0" w:space="0" w:color="auto"/>
      </w:divBdr>
    </w:div>
    <w:div w:id="421339913">
      <w:bodyDiv w:val="1"/>
      <w:marLeft w:val="0"/>
      <w:marRight w:val="0"/>
      <w:marTop w:val="0"/>
      <w:marBottom w:val="0"/>
      <w:divBdr>
        <w:top w:val="none" w:sz="0" w:space="0" w:color="auto"/>
        <w:left w:val="none" w:sz="0" w:space="0" w:color="auto"/>
        <w:bottom w:val="none" w:sz="0" w:space="0" w:color="auto"/>
        <w:right w:val="none" w:sz="0" w:space="0" w:color="auto"/>
      </w:divBdr>
    </w:div>
    <w:div w:id="451098856">
      <w:bodyDiv w:val="1"/>
      <w:marLeft w:val="0"/>
      <w:marRight w:val="0"/>
      <w:marTop w:val="0"/>
      <w:marBottom w:val="0"/>
      <w:divBdr>
        <w:top w:val="none" w:sz="0" w:space="0" w:color="auto"/>
        <w:left w:val="none" w:sz="0" w:space="0" w:color="auto"/>
        <w:bottom w:val="none" w:sz="0" w:space="0" w:color="auto"/>
        <w:right w:val="none" w:sz="0" w:space="0" w:color="auto"/>
      </w:divBdr>
    </w:div>
    <w:div w:id="557790380">
      <w:bodyDiv w:val="1"/>
      <w:marLeft w:val="0"/>
      <w:marRight w:val="0"/>
      <w:marTop w:val="0"/>
      <w:marBottom w:val="0"/>
      <w:divBdr>
        <w:top w:val="none" w:sz="0" w:space="0" w:color="auto"/>
        <w:left w:val="none" w:sz="0" w:space="0" w:color="auto"/>
        <w:bottom w:val="none" w:sz="0" w:space="0" w:color="auto"/>
        <w:right w:val="none" w:sz="0" w:space="0" w:color="auto"/>
      </w:divBdr>
    </w:div>
    <w:div w:id="572349570">
      <w:bodyDiv w:val="1"/>
      <w:marLeft w:val="0"/>
      <w:marRight w:val="0"/>
      <w:marTop w:val="0"/>
      <w:marBottom w:val="0"/>
      <w:divBdr>
        <w:top w:val="none" w:sz="0" w:space="0" w:color="auto"/>
        <w:left w:val="none" w:sz="0" w:space="0" w:color="auto"/>
        <w:bottom w:val="none" w:sz="0" w:space="0" w:color="auto"/>
        <w:right w:val="none" w:sz="0" w:space="0" w:color="auto"/>
      </w:divBdr>
    </w:div>
    <w:div w:id="622275726">
      <w:bodyDiv w:val="1"/>
      <w:marLeft w:val="0"/>
      <w:marRight w:val="0"/>
      <w:marTop w:val="0"/>
      <w:marBottom w:val="0"/>
      <w:divBdr>
        <w:top w:val="none" w:sz="0" w:space="0" w:color="auto"/>
        <w:left w:val="none" w:sz="0" w:space="0" w:color="auto"/>
        <w:bottom w:val="none" w:sz="0" w:space="0" w:color="auto"/>
        <w:right w:val="none" w:sz="0" w:space="0" w:color="auto"/>
      </w:divBdr>
    </w:div>
    <w:div w:id="691106263">
      <w:bodyDiv w:val="1"/>
      <w:marLeft w:val="0"/>
      <w:marRight w:val="0"/>
      <w:marTop w:val="0"/>
      <w:marBottom w:val="0"/>
      <w:divBdr>
        <w:top w:val="none" w:sz="0" w:space="0" w:color="auto"/>
        <w:left w:val="none" w:sz="0" w:space="0" w:color="auto"/>
        <w:bottom w:val="none" w:sz="0" w:space="0" w:color="auto"/>
        <w:right w:val="none" w:sz="0" w:space="0" w:color="auto"/>
      </w:divBdr>
    </w:div>
    <w:div w:id="766461077">
      <w:bodyDiv w:val="1"/>
      <w:marLeft w:val="0"/>
      <w:marRight w:val="0"/>
      <w:marTop w:val="0"/>
      <w:marBottom w:val="0"/>
      <w:divBdr>
        <w:top w:val="none" w:sz="0" w:space="0" w:color="auto"/>
        <w:left w:val="none" w:sz="0" w:space="0" w:color="auto"/>
        <w:bottom w:val="none" w:sz="0" w:space="0" w:color="auto"/>
        <w:right w:val="none" w:sz="0" w:space="0" w:color="auto"/>
      </w:divBdr>
    </w:div>
    <w:div w:id="773087594">
      <w:bodyDiv w:val="1"/>
      <w:marLeft w:val="0"/>
      <w:marRight w:val="0"/>
      <w:marTop w:val="0"/>
      <w:marBottom w:val="0"/>
      <w:divBdr>
        <w:top w:val="none" w:sz="0" w:space="0" w:color="auto"/>
        <w:left w:val="none" w:sz="0" w:space="0" w:color="auto"/>
        <w:bottom w:val="none" w:sz="0" w:space="0" w:color="auto"/>
        <w:right w:val="none" w:sz="0" w:space="0" w:color="auto"/>
      </w:divBdr>
    </w:div>
    <w:div w:id="781414368">
      <w:bodyDiv w:val="1"/>
      <w:marLeft w:val="0"/>
      <w:marRight w:val="0"/>
      <w:marTop w:val="0"/>
      <w:marBottom w:val="0"/>
      <w:divBdr>
        <w:top w:val="none" w:sz="0" w:space="0" w:color="auto"/>
        <w:left w:val="none" w:sz="0" w:space="0" w:color="auto"/>
        <w:bottom w:val="none" w:sz="0" w:space="0" w:color="auto"/>
        <w:right w:val="none" w:sz="0" w:space="0" w:color="auto"/>
      </w:divBdr>
    </w:div>
    <w:div w:id="960385021">
      <w:bodyDiv w:val="1"/>
      <w:marLeft w:val="0"/>
      <w:marRight w:val="0"/>
      <w:marTop w:val="0"/>
      <w:marBottom w:val="0"/>
      <w:divBdr>
        <w:top w:val="none" w:sz="0" w:space="0" w:color="auto"/>
        <w:left w:val="none" w:sz="0" w:space="0" w:color="auto"/>
        <w:bottom w:val="none" w:sz="0" w:space="0" w:color="auto"/>
        <w:right w:val="none" w:sz="0" w:space="0" w:color="auto"/>
      </w:divBdr>
    </w:div>
    <w:div w:id="1135949576">
      <w:bodyDiv w:val="1"/>
      <w:marLeft w:val="0"/>
      <w:marRight w:val="0"/>
      <w:marTop w:val="0"/>
      <w:marBottom w:val="0"/>
      <w:divBdr>
        <w:top w:val="none" w:sz="0" w:space="0" w:color="auto"/>
        <w:left w:val="none" w:sz="0" w:space="0" w:color="auto"/>
        <w:bottom w:val="none" w:sz="0" w:space="0" w:color="auto"/>
        <w:right w:val="none" w:sz="0" w:space="0" w:color="auto"/>
      </w:divBdr>
    </w:div>
    <w:div w:id="1195120320">
      <w:bodyDiv w:val="1"/>
      <w:marLeft w:val="0"/>
      <w:marRight w:val="0"/>
      <w:marTop w:val="0"/>
      <w:marBottom w:val="0"/>
      <w:divBdr>
        <w:top w:val="none" w:sz="0" w:space="0" w:color="auto"/>
        <w:left w:val="none" w:sz="0" w:space="0" w:color="auto"/>
        <w:bottom w:val="none" w:sz="0" w:space="0" w:color="auto"/>
        <w:right w:val="none" w:sz="0" w:space="0" w:color="auto"/>
      </w:divBdr>
    </w:div>
    <w:div w:id="1301688486">
      <w:bodyDiv w:val="1"/>
      <w:marLeft w:val="0"/>
      <w:marRight w:val="0"/>
      <w:marTop w:val="0"/>
      <w:marBottom w:val="0"/>
      <w:divBdr>
        <w:top w:val="none" w:sz="0" w:space="0" w:color="auto"/>
        <w:left w:val="none" w:sz="0" w:space="0" w:color="auto"/>
        <w:bottom w:val="none" w:sz="0" w:space="0" w:color="auto"/>
        <w:right w:val="none" w:sz="0" w:space="0" w:color="auto"/>
      </w:divBdr>
    </w:div>
    <w:div w:id="1349216539">
      <w:bodyDiv w:val="1"/>
      <w:marLeft w:val="0"/>
      <w:marRight w:val="0"/>
      <w:marTop w:val="0"/>
      <w:marBottom w:val="0"/>
      <w:divBdr>
        <w:top w:val="none" w:sz="0" w:space="0" w:color="auto"/>
        <w:left w:val="none" w:sz="0" w:space="0" w:color="auto"/>
        <w:bottom w:val="none" w:sz="0" w:space="0" w:color="auto"/>
        <w:right w:val="none" w:sz="0" w:space="0" w:color="auto"/>
      </w:divBdr>
    </w:div>
    <w:div w:id="1492873020">
      <w:bodyDiv w:val="1"/>
      <w:marLeft w:val="0"/>
      <w:marRight w:val="0"/>
      <w:marTop w:val="0"/>
      <w:marBottom w:val="0"/>
      <w:divBdr>
        <w:top w:val="none" w:sz="0" w:space="0" w:color="auto"/>
        <w:left w:val="none" w:sz="0" w:space="0" w:color="auto"/>
        <w:bottom w:val="none" w:sz="0" w:space="0" w:color="auto"/>
        <w:right w:val="none" w:sz="0" w:space="0" w:color="auto"/>
      </w:divBdr>
      <w:divsChild>
        <w:div w:id="1908490215">
          <w:marLeft w:val="0"/>
          <w:marRight w:val="0"/>
          <w:marTop w:val="0"/>
          <w:marBottom w:val="0"/>
          <w:divBdr>
            <w:top w:val="none" w:sz="0" w:space="0" w:color="auto"/>
            <w:left w:val="none" w:sz="0" w:space="0" w:color="auto"/>
            <w:bottom w:val="none" w:sz="0" w:space="0" w:color="auto"/>
            <w:right w:val="none" w:sz="0" w:space="0" w:color="auto"/>
          </w:divBdr>
        </w:div>
        <w:div w:id="460878034">
          <w:marLeft w:val="0"/>
          <w:marRight w:val="0"/>
          <w:marTop w:val="0"/>
          <w:marBottom w:val="0"/>
          <w:divBdr>
            <w:top w:val="none" w:sz="0" w:space="0" w:color="auto"/>
            <w:left w:val="none" w:sz="0" w:space="0" w:color="auto"/>
            <w:bottom w:val="none" w:sz="0" w:space="0" w:color="auto"/>
            <w:right w:val="none" w:sz="0" w:space="0" w:color="auto"/>
          </w:divBdr>
        </w:div>
        <w:div w:id="1475633918">
          <w:marLeft w:val="0"/>
          <w:marRight w:val="0"/>
          <w:marTop w:val="0"/>
          <w:marBottom w:val="0"/>
          <w:divBdr>
            <w:top w:val="none" w:sz="0" w:space="0" w:color="auto"/>
            <w:left w:val="none" w:sz="0" w:space="0" w:color="auto"/>
            <w:bottom w:val="none" w:sz="0" w:space="0" w:color="auto"/>
            <w:right w:val="none" w:sz="0" w:space="0" w:color="auto"/>
          </w:divBdr>
        </w:div>
      </w:divsChild>
    </w:div>
    <w:div w:id="1535845330">
      <w:bodyDiv w:val="1"/>
      <w:marLeft w:val="0"/>
      <w:marRight w:val="0"/>
      <w:marTop w:val="0"/>
      <w:marBottom w:val="0"/>
      <w:divBdr>
        <w:top w:val="none" w:sz="0" w:space="0" w:color="auto"/>
        <w:left w:val="none" w:sz="0" w:space="0" w:color="auto"/>
        <w:bottom w:val="none" w:sz="0" w:space="0" w:color="auto"/>
        <w:right w:val="none" w:sz="0" w:space="0" w:color="auto"/>
      </w:divBdr>
    </w:div>
    <w:div w:id="1635985990">
      <w:bodyDiv w:val="1"/>
      <w:marLeft w:val="0"/>
      <w:marRight w:val="0"/>
      <w:marTop w:val="0"/>
      <w:marBottom w:val="0"/>
      <w:divBdr>
        <w:top w:val="none" w:sz="0" w:space="0" w:color="auto"/>
        <w:left w:val="none" w:sz="0" w:space="0" w:color="auto"/>
        <w:bottom w:val="none" w:sz="0" w:space="0" w:color="auto"/>
        <w:right w:val="none" w:sz="0" w:space="0" w:color="auto"/>
      </w:divBdr>
    </w:div>
    <w:div w:id="1669864631">
      <w:bodyDiv w:val="1"/>
      <w:marLeft w:val="0"/>
      <w:marRight w:val="0"/>
      <w:marTop w:val="0"/>
      <w:marBottom w:val="0"/>
      <w:divBdr>
        <w:top w:val="none" w:sz="0" w:space="0" w:color="auto"/>
        <w:left w:val="none" w:sz="0" w:space="0" w:color="auto"/>
        <w:bottom w:val="none" w:sz="0" w:space="0" w:color="auto"/>
        <w:right w:val="none" w:sz="0" w:space="0" w:color="auto"/>
      </w:divBdr>
    </w:div>
    <w:div w:id="1826630462">
      <w:bodyDiv w:val="1"/>
      <w:marLeft w:val="0"/>
      <w:marRight w:val="0"/>
      <w:marTop w:val="0"/>
      <w:marBottom w:val="0"/>
      <w:divBdr>
        <w:top w:val="none" w:sz="0" w:space="0" w:color="auto"/>
        <w:left w:val="none" w:sz="0" w:space="0" w:color="auto"/>
        <w:bottom w:val="none" w:sz="0" w:space="0" w:color="auto"/>
        <w:right w:val="none" w:sz="0" w:space="0" w:color="auto"/>
      </w:divBdr>
    </w:div>
    <w:div w:id="1848324501">
      <w:bodyDiv w:val="1"/>
      <w:marLeft w:val="0"/>
      <w:marRight w:val="0"/>
      <w:marTop w:val="0"/>
      <w:marBottom w:val="0"/>
      <w:divBdr>
        <w:top w:val="none" w:sz="0" w:space="0" w:color="auto"/>
        <w:left w:val="none" w:sz="0" w:space="0" w:color="auto"/>
        <w:bottom w:val="none" w:sz="0" w:space="0" w:color="auto"/>
        <w:right w:val="none" w:sz="0" w:space="0" w:color="auto"/>
      </w:divBdr>
    </w:div>
    <w:div w:id="2038702696">
      <w:bodyDiv w:val="1"/>
      <w:marLeft w:val="0"/>
      <w:marRight w:val="0"/>
      <w:marTop w:val="0"/>
      <w:marBottom w:val="0"/>
      <w:divBdr>
        <w:top w:val="none" w:sz="0" w:space="0" w:color="auto"/>
        <w:left w:val="none" w:sz="0" w:space="0" w:color="auto"/>
        <w:bottom w:val="none" w:sz="0" w:space="0" w:color="auto"/>
        <w:right w:val="none" w:sz="0" w:space="0" w:color="auto"/>
      </w:divBdr>
    </w:div>
    <w:div w:id="2113819021">
      <w:bodyDiv w:val="1"/>
      <w:marLeft w:val="0"/>
      <w:marRight w:val="0"/>
      <w:marTop w:val="0"/>
      <w:marBottom w:val="0"/>
      <w:divBdr>
        <w:top w:val="none" w:sz="0" w:space="0" w:color="auto"/>
        <w:left w:val="none" w:sz="0" w:space="0" w:color="auto"/>
        <w:bottom w:val="none" w:sz="0" w:space="0" w:color="auto"/>
        <w:right w:val="none" w:sz="0" w:space="0" w:color="auto"/>
      </w:divBdr>
      <w:divsChild>
        <w:div w:id="1703092605">
          <w:marLeft w:val="0"/>
          <w:marRight w:val="0"/>
          <w:marTop w:val="0"/>
          <w:marBottom w:val="0"/>
          <w:divBdr>
            <w:top w:val="none" w:sz="0" w:space="0" w:color="auto"/>
            <w:left w:val="none" w:sz="0" w:space="0" w:color="auto"/>
            <w:bottom w:val="none" w:sz="0" w:space="0" w:color="auto"/>
            <w:right w:val="none" w:sz="0" w:space="0" w:color="auto"/>
          </w:divBdr>
        </w:div>
        <w:div w:id="1065906838">
          <w:marLeft w:val="0"/>
          <w:marRight w:val="0"/>
          <w:marTop w:val="0"/>
          <w:marBottom w:val="0"/>
          <w:divBdr>
            <w:top w:val="none" w:sz="0" w:space="0" w:color="auto"/>
            <w:left w:val="none" w:sz="0" w:space="0" w:color="auto"/>
            <w:bottom w:val="none" w:sz="0" w:space="0" w:color="auto"/>
            <w:right w:val="none" w:sz="0" w:space="0" w:color="auto"/>
          </w:divBdr>
        </w:div>
        <w:div w:id="118793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derechoecuador.com/registro-oficial/2003/01/registro-oficial-13-de-enero-del-2003" TargetMode="External"/><Relationship Id="rId2" Type="http://schemas.openxmlformats.org/officeDocument/2006/relationships/hyperlink" Target="http://www.corteidh.or.cr/docs/comunicados/cp_39_2020.pdf" TargetMode="External"/><Relationship Id="rId1" Type="http://schemas.openxmlformats.org/officeDocument/2006/relationships/hyperlink" Target="http://www.corteidh.or.cr/docs/asuntos/villarroel_y_otros_08_12_20.pdf" TargetMode="External"/><Relationship Id="rId5" Type="http://schemas.openxmlformats.org/officeDocument/2006/relationships/hyperlink" Target="http://www.oas.org/juridico/PDFs/mesicic4_ecu_codigo_pp.pdf" TargetMode="External"/><Relationship Id="rId4" Type="http://schemas.openxmlformats.org/officeDocument/2006/relationships/hyperlink" Target="https://www.derechoecuador.com/registro-oficial/2006/03/registro-oficial-13-de-marzo-del-200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24B97-0CE2-48B8-92D4-1936C7220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23230</Words>
  <Characters>127766</Characters>
  <Application>Microsoft Office Word</Application>
  <DocSecurity>0</DocSecurity>
  <Lines>1064</Lines>
  <Paragraphs>301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150695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3</cp:revision>
  <cp:lastPrinted>2022-01-03T19:30:00Z</cp:lastPrinted>
  <dcterms:created xsi:type="dcterms:W3CDTF">2022-01-03T19:29:00Z</dcterms:created>
  <dcterms:modified xsi:type="dcterms:W3CDTF">2022-01-03T19:30:00Z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-121422401</vt:i4>
  </property>
</Properties>
</file>