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CF309" w14:textId="695F7A21" w:rsidR="00360F82" w:rsidRDefault="00360F82" w:rsidP="00E85806">
      <w:pPr>
        <w:spacing w:after="0" w:line="240" w:lineRule="auto"/>
      </w:pPr>
    </w:p>
    <w:p w14:paraId="0EDD3D9A" w14:textId="056F129B" w:rsidR="00B55B9E" w:rsidRDefault="00B55B9E" w:rsidP="00E85806">
      <w:pPr>
        <w:spacing w:after="0" w:line="240" w:lineRule="auto"/>
      </w:pPr>
    </w:p>
    <w:p w14:paraId="11297371" w14:textId="202CDA30" w:rsidR="00B55B9E" w:rsidRDefault="00B55B9E" w:rsidP="00E85806">
      <w:pPr>
        <w:spacing w:after="0" w:line="240" w:lineRule="auto"/>
      </w:pPr>
    </w:p>
    <w:p w14:paraId="73BB278B" w14:textId="4E89D852" w:rsidR="00B55B9E" w:rsidRDefault="00B55B9E" w:rsidP="00E85806">
      <w:pPr>
        <w:spacing w:after="0" w:line="240" w:lineRule="auto"/>
      </w:pPr>
    </w:p>
    <w:p w14:paraId="193CA0CD" w14:textId="68C04D99" w:rsidR="00B55B9E" w:rsidRDefault="00B55B9E" w:rsidP="00E85806">
      <w:pPr>
        <w:spacing w:after="0" w:line="240" w:lineRule="auto"/>
      </w:pPr>
    </w:p>
    <w:p w14:paraId="346DD5A0" w14:textId="0815A9A0" w:rsidR="00B55B9E" w:rsidRDefault="00B55B9E" w:rsidP="00E85806">
      <w:pPr>
        <w:spacing w:after="0" w:line="240" w:lineRule="auto"/>
      </w:pPr>
    </w:p>
    <w:p w14:paraId="42192076" w14:textId="77777777" w:rsidR="00B55B9E" w:rsidRDefault="00B55B9E" w:rsidP="00E85806">
      <w:pPr>
        <w:spacing w:after="0" w:line="240" w:lineRule="auto"/>
      </w:pPr>
    </w:p>
    <w:p w14:paraId="3969998D" w14:textId="77777777" w:rsidR="008A15CF" w:rsidRPr="008A15CF" w:rsidRDefault="008A15CF" w:rsidP="00E85806">
      <w:pPr>
        <w:spacing w:after="0" w:line="240" w:lineRule="auto"/>
        <w:jc w:val="center"/>
        <w:rPr>
          <w:rFonts w:ascii="Verdana" w:hAnsi="Verdana"/>
          <w:b/>
          <w:sz w:val="20"/>
        </w:rPr>
      </w:pPr>
      <w:r w:rsidRPr="008A15CF">
        <w:rPr>
          <w:rFonts w:ascii="Verdana" w:hAnsi="Verdana"/>
          <w:b/>
          <w:sz w:val="20"/>
        </w:rPr>
        <w:t>RESOLUCIÓN DE LA PRESIDENTA DE LA</w:t>
      </w:r>
    </w:p>
    <w:p w14:paraId="083ABCFD" w14:textId="1AE0F06B" w:rsidR="00360F82" w:rsidRDefault="008A15CF" w:rsidP="00E85806">
      <w:pPr>
        <w:spacing w:after="0" w:line="240" w:lineRule="auto"/>
        <w:jc w:val="center"/>
        <w:rPr>
          <w:rFonts w:ascii="Verdana" w:hAnsi="Verdana"/>
          <w:b/>
          <w:sz w:val="20"/>
        </w:rPr>
      </w:pPr>
      <w:r w:rsidRPr="008A15CF">
        <w:rPr>
          <w:rFonts w:ascii="Verdana" w:hAnsi="Verdana"/>
          <w:b/>
          <w:sz w:val="20"/>
        </w:rPr>
        <w:t>CORTE INTERAMERICANA DE DERECHOS HUMANOS</w:t>
      </w:r>
    </w:p>
    <w:p w14:paraId="4273FFE7" w14:textId="77777777" w:rsidR="008A15CF" w:rsidRDefault="008A15CF" w:rsidP="00E85806">
      <w:pPr>
        <w:spacing w:after="0" w:line="240" w:lineRule="auto"/>
        <w:jc w:val="center"/>
        <w:rPr>
          <w:rFonts w:ascii="Verdana" w:hAnsi="Verdana"/>
          <w:b/>
          <w:sz w:val="20"/>
        </w:rPr>
      </w:pPr>
    </w:p>
    <w:p w14:paraId="5070E078" w14:textId="79043A76" w:rsidR="00360F82" w:rsidRDefault="00360F82" w:rsidP="00E85806">
      <w:pPr>
        <w:spacing w:after="0" w:line="240" w:lineRule="auto"/>
        <w:jc w:val="center"/>
        <w:rPr>
          <w:rFonts w:ascii="Verdana" w:hAnsi="Verdana"/>
          <w:b/>
          <w:sz w:val="20"/>
        </w:rPr>
      </w:pPr>
      <w:r>
        <w:rPr>
          <w:rFonts w:ascii="Verdana" w:hAnsi="Verdana"/>
          <w:b/>
          <w:sz w:val="20"/>
        </w:rPr>
        <w:t xml:space="preserve">DE </w:t>
      </w:r>
      <w:r w:rsidR="00F517D9">
        <w:rPr>
          <w:rFonts w:ascii="Verdana" w:hAnsi="Verdana"/>
          <w:b/>
          <w:sz w:val="20"/>
        </w:rPr>
        <w:t xml:space="preserve">13 </w:t>
      </w:r>
      <w:r>
        <w:rPr>
          <w:rFonts w:ascii="Verdana" w:hAnsi="Verdana"/>
          <w:b/>
          <w:sz w:val="20"/>
        </w:rPr>
        <w:t xml:space="preserve">DE </w:t>
      </w:r>
      <w:r w:rsidR="00E85806">
        <w:rPr>
          <w:rFonts w:ascii="Verdana" w:hAnsi="Verdana"/>
          <w:b/>
          <w:sz w:val="20"/>
        </w:rPr>
        <w:t xml:space="preserve">DICIEMBRE </w:t>
      </w:r>
      <w:r>
        <w:rPr>
          <w:rFonts w:ascii="Verdana" w:hAnsi="Verdana"/>
          <w:b/>
          <w:sz w:val="20"/>
        </w:rPr>
        <w:t>DE 2021</w:t>
      </w:r>
    </w:p>
    <w:p w14:paraId="15603C08" w14:textId="77777777" w:rsidR="00360F82" w:rsidRDefault="00360F82" w:rsidP="00E85806">
      <w:pPr>
        <w:spacing w:after="0" w:line="240" w:lineRule="auto"/>
        <w:jc w:val="center"/>
        <w:rPr>
          <w:rFonts w:ascii="Verdana" w:hAnsi="Verdana"/>
          <w:b/>
          <w:sz w:val="20"/>
        </w:rPr>
      </w:pPr>
    </w:p>
    <w:p w14:paraId="675FDD7F" w14:textId="77777777" w:rsidR="00E85806" w:rsidRDefault="00360F82" w:rsidP="00E85806">
      <w:pPr>
        <w:spacing w:after="0" w:line="240" w:lineRule="auto"/>
        <w:jc w:val="center"/>
        <w:rPr>
          <w:rFonts w:ascii="Verdana" w:hAnsi="Verdana"/>
          <w:b/>
          <w:sz w:val="20"/>
        </w:rPr>
      </w:pPr>
      <w:r>
        <w:rPr>
          <w:rFonts w:ascii="Verdana" w:hAnsi="Verdana"/>
          <w:b/>
          <w:i/>
          <w:sz w:val="20"/>
        </w:rPr>
        <w:t xml:space="preserve">CASO </w:t>
      </w:r>
      <w:r w:rsidR="008E1D40">
        <w:rPr>
          <w:rFonts w:ascii="Verdana" w:hAnsi="Verdana"/>
          <w:b/>
          <w:i/>
          <w:sz w:val="20"/>
        </w:rPr>
        <w:t xml:space="preserve">TORRES MILLACURA Y OTROS, </w:t>
      </w:r>
      <w:r w:rsidR="00E85806">
        <w:rPr>
          <w:rFonts w:ascii="Verdana" w:hAnsi="Verdana"/>
          <w:b/>
          <w:i/>
          <w:sz w:val="20"/>
        </w:rPr>
        <w:t xml:space="preserve">CASO </w:t>
      </w:r>
      <w:r w:rsidR="006721EF">
        <w:rPr>
          <w:rFonts w:ascii="Verdana" w:hAnsi="Verdana"/>
          <w:b/>
          <w:i/>
          <w:sz w:val="20"/>
        </w:rPr>
        <w:t>FURL</w:t>
      </w:r>
      <w:r w:rsidR="008E1D40">
        <w:rPr>
          <w:rFonts w:ascii="Verdana" w:hAnsi="Verdana"/>
          <w:b/>
          <w:i/>
          <w:sz w:val="20"/>
        </w:rPr>
        <w:t xml:space="preserve">AN Y FAMILIARES </w:t>
      </w:r>
      <w:r w:rsidR="008E1D40" w:rsidRPr="00821628">
        <w:rPr>
          <w:rFonts w:ascii="Verdana" w:hAnsi="Verdana"/>
          <w:b/>
          <w:sz w:val="20"/>
        </w:rPr>
        <w:t>Y</w:t>
      </w:r>
    </w:p>
    <w:p w14:paraId="27EBA99E" w14:textId="70A13DDB" w:rsidR="00360F82" w:rsidRDefault="00E85806" w:rsidP="00E85806">
      <w:pPr>
        <w:spacing w:after="0" w:line="240" w:lineRule="auto"/>
        <w:jc w:val="center"/>
        <w:rPr>
          <w:rFonts w:ascii="Verdana" w:hAnsi="Verdana"/>
          <w:b/>
          <w:i/>
          <w:sz w:val="20"/>
        </w:rPr>
      </w:pPr>
      <w:r>
        <w:rPr>
          <w:rFonts w:ascii="Verdana" w:hAnsi="Verdana"/>
          <w:b/>
          <w:i/>
          <w:sz w:val="20"/>
        </w:rPr>
        <w:t xml:space="preserve">CASO </w:t>
      </w:r>
      <w:r w:rsidR="006721EF">
        <w:rPr>
          <w:rFonts w:ascii="Verdana" w:hAnsi="Verdana"/>
          <w:b/>
          <w:i/>
          <w:sz w:val="20"/>
        </w:rPr>
        <w:t>L</w:t>
      </w:r>
      <w:r w:rsidR="008E1D40">
        <w:rPr>
          <w:rFonts w:ascii="Verdana" w:hAnsi="Verdana"/>
          <w:b/>
          <w:i/>
          <w:sz w:val="20"/>
        </w:rPr>
        <w:t xml:space="preserve">ÓPEZ Y OTROS </w:t>
      </w:r>
      <w:r w:rsidR="00360F82">
        <w:rPr>
          <w:rFonts w:ascii="Verdana" w:hAnsi="Verdana"/>
          <w:b/>
          <w:i/>
          <w:sz w:val="20"/>
        </w:rPr>
        <w:t xml:space="preserve">VS. </w:t>
      </w:r>
      <w:r w:rsidR="006721EF">
        <w:rPr>
          <w:rFonts w:ascii="Verdana" w:hAnsi="Verdana"/>
          <w:b/>
          <w:i/>
          <w:sz w:val="20"/>
        </w:rPr>
        <w:t>ARGENTINA</w:t>
      </w:r>
    </w:p>
    <w:p w14:paraId="16D6DA68" w14:textId="77777777" w:rsidR="00360F82" w:rsidRDefault="00360F82" w:rsidP="00E85806">
      <w:pPr>
        <w:spacing w:after="0" w:line="240" w:lineRule="auto"/>
        <w:jc w:val="center"/>
        <w:rPr>
          <w:rFonts w:ascii="Verdana" w:hAnsi="Verdana"/>
          <w:b/>
          <w:i/>
          <w:sz w:val="20"/>
        </w:rPr>
      </w:pPr>
    </w:p>
    <w:p w14:paraId="4B85909C" w14:textId="2D378962" w:rsidR="00360F82" w:rsidRDefault="008A15CF" w:rsidP="00E85806">
      <w:pPr>
        <w:spacing w:after="0" w:line="240" w:lineRule="auto"/>
        <w:jc w:val="center"/>
        <w:rPr>
          <w:rFonts w:ascii="Verdana" w:hAnsi="Verdana"/>
          <w:b/>
          <w:sz w:val="20"/>
        </w:rPr>
      </w:pPr>
      <w:r>
        <w:rPr>
          <w:rFonts w:ascii="Verdana" w:hAnsi="Verdana"/>
          <w:b/>
          <w:sz w:val="20"/>
        </w:rPr>
        <w:t>REINTEGRO AL FONDO DE ASISTENCIA LEGAL DE VÍCTIMAS</w:t>
      </w:r>
    </w:p>
    <w:p w14:paraId="21BFE544" w14:textId="0E541C1A" w:rsidR="006721EF" w:rsidRDefault="006721EF" w:rsidP="00360F82">
      <w:pPr>
        <w:rPr>
          <w:color w:val="1F497D"/>
        </w:rPr>
      </w:pPr>
    </w:p>
    <w:p w14:paraId="4BC6BC14" w14:textId="77777777" w:rsidR="00B55B9E" w:rsidRDefault="00B55B9E" w:rsidP="00360F82">
      <w:pPr>
        <w:rPr>
          <w:color w:val="1F497D"/>
        </w:rPr>
      </w:pPr>
    </w:p>
    <w:p w14:paraId="5120AB33" w14:textId="536FCD31" w:rsidR="00DA4D53" w:rsidRDefault="00360F82" w:rsidP="00360F82">
      <w:pPr>
        <w:rPr>
          <w:rFonts w:ascii="Verdana" w:hAnsi="Verdana"/>
          <w:b/>
          <w:sz w:val="20"/>
        </w:rPr>
      </w:pPr>
      <w:r>
        <w:rPr>
          <w:rFonts w:ascii="Verdana" w:hAnsi="Verdana"/>
          <w:b/>
          <w:sz w:val="20"/>
        </w:rPr>
        <w:t>VISTO:</w:t>
      </w:r>
    </w:p>
    <w:p w14:paraId="7831D7EC" w14:textId="26766311" w:rsidR="0015679A" w:rsidRPr="0015679A" w:rsidRDefault="006721EF" w:rsidP="0015679A">
      <w:pPr>
        <w:pStyle w:val="Prrafodelista"/>
        <w:numPr>
          <w:ilvl w:val="0"/>
          <w:numId w:val="36"/>
        </w:numPr>
        <w:spacing w:before="120" w:after="120" w:line="240" w:lineRule="auto"/>
        <w:ind w:left="0" w:firstLine="0"/>
        <w:contextualSpacing w:val="0"/>
        <w:jc w:val="both"/>
        <w:rPr>
          <w:rFonts w:ascii="Verdana" w:hAnsi="Verdana"/>
          <w:sz w:val="20"/>
        </w:rPr>
      </w:pPr>
      <w:r w:rsidRPr="002F2322">
        <w:rPr>
          <w:rFonts w:ascii="Verdana" w:hAnsi="Verdana"/>
          <w:sz w:val="20"/>
        </w:rPr>
        <w:t>La Sentencia</w:t>
      </w:r>
      <w:r w:rsidR="00E85806">
        <w:rPr>
          <w:rFonts w:ascii="Verdana" w:hAnsi="Verdana"/>
          <w:sz w:val="20"/>
        </w:rPr>
        <w:t xml:space="preserve"> de excepciones preliminares, fondo, reparaciones y costas</w:t>
      </w:r>
      <w:r w:rsidRPr="002F2322">
        <w:rPr>
          <w:rFonts w:ascii="Verdana" w:hAnsi="Verdana"/>
          <w:sz w:val="20"/>
        </w:rPr>
        <w:t xml:space="preserve"> dictada por la Corte Interam</w:t>
      </w:r>
      <w:r w:rsidR="00D852F4" w:rsidRPr="002F2322">
        <w:rPr>
          <w:rFonts w:ascii="Verdana" w:hAnsi="Verdana"/>
          <w:sz w:val="20"/>
        </w:rPr>
        <w:t xml:space="preserve">ericana de Derechos Humanos (en </w:t>
      </w:r>
      <w:r w:rsidRPr="002F2322">
        <w:rPr>
          <w:rFonts w:ascii="Verdana" w:hAnsi="Verdana"/>
          <w:sz w:val="20"/>
        </w:rPr>
        <w:t xml:space="preserve">adelante “la Corte”, “la Corte Interamericana” o “el Tribunal”) </w:t>
      </w:r>
      <w:r w:rsidR="00D84F7D" w:rsidRPr="002F2322">
        <w:rPr>
          <w:rFonts w:ascii="Verdana" w:hAnsi="Verdana"/>
          <w:sz w:val="20"/>
        </w:rPr>
        <w:t xml:space="preserve">el 25 de noviembre de 2019 en el caso </w:t>
      </w:r>
      <w:r w:rsidR="00D84F7D" w:rsidRPr="002F2322">
        <w:rPr>
          <w:rFonts w:ascii="Verdana" w:hAnsi="Verdana"/>
          <w:i/>
          <w:sz w:val="20"/>
        </w:rPr>
        <w:t>López y otros</w:t>
      </w:r>
      <w:r w:rsidR="00E85806">
        <w:rPr>
          <w:rFonts w:ascii="Verdana" w:hAnsi="Verdana"/>
          <w:i/>
          <w:sz w:val="20"/>
        </w:rPr>
        <w:t xml:space="preserve">, </w:t>
      </w:r>
      <w:r w:rsidR="002771D2">
        <w:rPr>
          <w:rFonts w:ascii="Verdana" w:hAnsi="Verdana"/>
          <w:sz w:val="20"/>
        </w:rPr>
        <w:t>en</w:t>
      </w:r>
      <w:r w:rsidR="00E85806" w:rsidRPr="0079339F">
        <w:rPr>
          <w:rFonts w:ascii="Verdana" w:hAnsi="Verdana"/>
          <w:sz w:val="20"/>
        </w:rPr>
        <w:t xml:space="preserve"> la cua</w:t>
      </w:r>
      <w:r w:rsidR="00E85806" w:rsidRPr="00E85806">
        <w:rPr>
          <w:rFonts w:ascii="Verdana" w:hAnsi="Verdana"/>
          <w:sz w:val="20"/>
        </w:rPr>
        <w:t>l se orden</w:t>
      </w:r>
      <w:r w:rsidR="00E85806">
        <w:rPr>
          <w:rFonts w:ascii="Verdana" w:hAnsi="Verdana"/>
          <w:sz w:val="20"/>
        </w:rPr>
        <w:t>ó a</w:t>
      </w:r>
      <w:r w:rsidR="00E85806">
        <w:rPr>
          <w:rFonts w:ascii="Verdana" w:hAnsi="Verdana"/>
          <w:i/>
          <w:sz w:val="20"/>
        </w:rPr>
        <w:t xml:space="preserve"> </w:t>
      </w:r>
      <w:r w:rsidR="00D84F7D" w:rsidRPr="002F2322">
        <w:rPr>
          <w:rFonts w:ascii="Verdana" w:hAnsi="Verdana"/>
          <w:sz w:val="20"/>
        </w:rPr>
        <w:t xml:space="preserve"> la República de Argentina (en adelante “el Estado” o “Argentina”)</w:t>
      </w:r>
      <w:r w:rsidR="00E85806">
        <w:rPr>
          <w:rFonts w:ascii="Verdana" w:hAnsi="Verdana"/>
          <w:sz w:val="20"/>
        </w:rPr>
        <w:t xml:space="preserve"> el reintegro al Fondo de Asistencia Legal de Víctimas de la Corte </w:t>
      </w:r>
      <w:r w:rsidR="002771D2">
        <w:rPr>
          <w:rFonts w:ascii="Verdana" w:hAnsi="Verdana"/>
          <w:sz w:val="20"/>
        </w:rPr>
        <w:t xml:space="preserve">Interamericana de Derechos Humanos (en adelante “Fondo de Asistencia Legal”) </w:t>
      </w:r>
      <w:r w:rsidR="00E85806">
        <w:rPr>
          <w:rFonts w:ascii="Verdana" w:hAnsi="Verdana"/>
          <w:sz w:val="20"/>
        </w:rPr>
        <w:t>de “la cantidad erogada durante la tramitación del presente caso”</w:t>
      </w:r>
      <w:r w:rsidR="00873B90" w:rsidRPr="00D84F7D">
        <w:rPr>
          <w:rStyle w:val="Refdenotaalpie"/>
          <w:rFonts w:ascii="Verdana" w:hAnsi="Verdana"/>
          <w:sz w:val="20"/>
        </w:rPr>
        <w:footnoteReference w:id="1"/>
      </w:r>
      <w:r w:rsidR="00D84F7D" w:rsidRPr="002F2322">
        <w:rPr>
          <w:rFonts w:ascii="Verdana" w:hAnsi="Verdana"/>
          <w:sz w:val="20"/>
        </w:rPr>
        <w:t xml:space="preserve">. </w:t>
      </w:r>
      <w:r w:rsidR="007A37E8" w:rsidRPr="002F2322">
        <w:rPr>
          <w:rFonts w:ascii="Verdana" w:hAnsi="Verdana"/>
          <w:sz w:val="20"/>
        </w:rPr>
        <w:t xml:space="preserve"> </w:t>
      </w:r>
    </w:p>
    <w:p w14:paraId="3A1E0F88" w14:textId="1C29F794" w:rsidR="002771D2" w:rsidRDefault="003D7B24" w:rsidP="002771D2">
      <w:pPr>
        <w:pStyle w:val="Prrafodelista"/>
        <w:numPr>
          <w:ilvl w:val="0"/>
          <w:numId w:val="36"/>
        </w:numPr>
        <w:spacing w:before="120" w:after="120" w:line="240" w:lineRule="auto"/>
        <w:ind w:left="0" w:firstLine="0"/>
        <w:contextualSpacing w:val="0"/>
        <w:jc w:val="both"/>
        <w:rPr>
          <w:rFonts w:ascii="Verdana" w:hAnsi="Verdana"/>
          <w:sz w:val="20"/>
        </w:rPr>
      </w:pPr>
      <w:r>
        <w:rPr>
          <w:rFonts w:ascii="Verdana" w:hAnsi="Verdana"/>
          <w:sz w:val="20"/>
        </w:rPr>
        <w:t>L</w:t>
      </w:r>
      <w:r w:rsidRPr="00E65993">
        <w:rPr>
          <w:rFonts w:ascii="Verdana" w:hAnsi="Verdana"/>
          <w:sz w:val="20"/>
        </w:rPr>
        <w:t xml:space="preserve">a </w:t>
      </w:r>
      <w:r w:rsidR="002771D2">
        <w:rPr>
          <w:rFonts w:ascii="Verdana" w:hAnsi="Verdana"/>
          <w:sz w:val="20"/>
        </w:rPr>
        <w:t>R</w:t>
      </w:r>
      <w:r w:rsidR="002771D2" w:rsidRPr="00E65993">
        <w:rPr>
          <w:rFonts w:ascii="Verdana" w:hAnsi="Verdana"/>
          <w:sz w:val="20"/>
        </w:rPr>
        <w:t>esoluci</w:t>
      </w:r>
      <w:r w:rsidR="002771D2">
        <w:rPr>
          <w:rFonts w:ascii="Verdana" w:hAnsi="Verdana"/>
          <w:sz w:val="20"/>
        </w:rPr>
        <w:t>ón</w:t>
      </w:r>
      <w:r w:rsidR="002771D2" w:rsidRPr="00E65993">
        <w:rPr>
          <w:rFonts w:ascii="Verdana" w:hAnsi="Verdana"/>
          <w:sz w:val="20"/>
        </w:rPr>
        <w:t xml:space="preserve"> </w:t>
      </w:r>
      <w:r w:rsidRPr="00E65993">
        <w:rPr>
          <w:rFonts w:ascii="Verdana" w:hAnsi="Verdana"/>
          <w:sz w:val="20"/>
        </w:rPr>
        <w:t xml:space="preserve">de supervisión de cumplimiento de Sentencia y reintegro al Fondo de Asistencia Legal de Víctimas emitida el 28 de noviembre de 2018 en el caso </w:t>
      </w:r>
      <w:r w:rsidRPr="00E65993">
        <w:rPr>
          <w:rFonts w:ascii="Verdana" w:hAnsi="Verdana"/>
          <w:i/>
          <w:sz w:val="20"/>
        </w:rPr>
        <w:t>Furlan y familiares</w:t>
      </w:r>
      <w:r w:rsidR="002771D2">
        <w:rPr>
          <w:rFonts w:ascii="Verdana" w:hAnsi="Verdana"/>
          <w:i/>
          <w:sz w:val="20"/>
        </w:rPr>
        <w:t xml:space="preserve">, </w:t>
      </w:r>
      <w:r w:rsidR="002771D2">
        <w:rPr>
          <w:rFonts w:ascii="Verdana" w:hAnsi="Verdana"/>
          <w:sz w:val="20"/>
        </w:rPr>
        <w:t>en la cual</w:t>
      </w:r>
      <w:r w:rsidRPr="00E65993">
        <w:rPr>
          <w:rFonts w:ascii="Verdana" w:hAnsi="Verdana"/>
          <w:sz w:val="20"/>
        </w:rPr>
        <w:t xml:space="preserve"> </w:t>
      </w:r>
      <w:r w:rsidR="002771D2">
        <w:rPr>
          <w:rFonts w:ascii="Verdana" w:hAnsi="Verdana"/>
          <w:sz w:val="20"/>
        </w:rPr>
        <w:t>se ordenó al Estado el reintegro al referido Fondo de las erogaciones realizadas en 2015, durante la etapa de supervisión de cumplimiento de Sentencia</w:t>
      </w:r>
      <w:r w:rsidR="002771D2">
        <w:rPr>
          <w:rStyle w:val="Refdenotaalpie"/>
          <w:rFonts w:ascii="Verdana" w:hAnsi="Verdana"/>
          <w:sz w:val="20"/>
        </w:rPr>
        <w:footnoteReference w:id="2"/>
      </w:r>
      <w:r w:rsidR="002771D2">
        <w:rPr>
          <w:rFonts w:ascii="Verdana" w:hAnsi="Verdana"/>
          <w:sz w:val="20"/>
        </w:rPr>
        <w:t>.</w:t>
      </w:r>
    </w:p>
    <w:p w14:paraId="799AC23D" w14:textId="77777777" w:rsidR="006654D3" w:rsidRDefault="002771D2" w:rsidP="00061F47">
      <w:pPr>
        <w:pStyle w:val="Prrafodelista"/>
        <w:numPr>
          <w:ilvl w:val="0"/>
          <w:numId w:val="36"/>
        </w:numPr>
        <w:spacing w:before="120" w:after="120" w:line="240" w:lineRule="auto"/>
        <w:ind w:left="0" w:firstLine="0"/>
        <w:contextualSpacing w:val="0"/>
        <w:jc w:val="both"/>
        <w:rPr>
          <w:rFonts w:ascii="Verdana" w:hAnsi="Verdana"/>
          <w:sz w:val="20"/>
        </w:rPr>
      </w:pPr>
      <w:r>
        <w:rPr>
          <w:rFonts w:ascii="Verdana" w:hAnsi="Verdana"/>
          <w:sz w:val="20"/>
        </w:rPr>
        <w:t xml:space="preserve">La Resolución de supervisión de cumplimiento de Sentencia y reintegro al Fondo de Asistencia Legal de Víctimas emitida </w:t>
      </w:r>
      <w:r w:rsidR="003D7B24" w:rsidRPr="00E65993">
        <w:rPr>
          <w:rFonts w:ascii="Verdana" w:hAnsi="Verdana"/>
          <w:sz w:val="20"/>
        </w:rPr>
        <w:t xml:space="preserve">el 21 de julio de 2020 en el caso </w:t>
      </w:r>
      <w:r w:rsidR="003D7B24" w:rsidRPr="00E65993">
        <w:rPr>
          <w:rFonts w:ascii="Verdana" w:hAnsi="Verdana"/>
          <w:i/>
          <w:sz w:val="20"/>
        </w:rPr>
        <w:t>Torres Millacura y otros</w:t>
      </w:r>
      <w:r w:rsidR="003D7B24" w:rsidRPr="00E65993">
        <w:rPr>
          <w:rFonts w:ascii="Verdana" w:hAnsi="Verdana"/>
          <w:sz w:val="20"/>
        </w:rPr>
        <w:t xml:space="preserve">, </w:t>
      </w:r>
      <w:r w:rsidR="00520C2E">
        <w:rPr>
          <w:rFonts w:ascii="Verdana" w:hAnsi="Verdana"/>
          <w:sz w:val="20"/>
        </w:rPr>
        <w:t xml:space="preserve">en la cual se ordenó </w:t>
      </w:r>
      <w:r>
        <w:rPr>
          <w:rFonts w:ascii="Verdana" w:hAnsi="Verdana"/>
          <w:sz w:val="20"/>
        </w:rPr>
        <w:t>al Estado</w:t>
      </w:r>
      <w:r w:rsidR="00520C2E" w:rsidRPr="00520C2E">
        <w:rPr>
          <w:rFonts w:ascii="Verdana" w:hAnsi="Verdana"/>
          <w:sz w:val="20"/>
        </w:rPr>
        <w:t xml:space="preserve"> el reintegro al </w:t>
      </w:r>
      <w:r w:rsidR="00D6358F">
        <w:rPr>
          <w:rFonts w:ascii="Verdana" w:hAnsi="Verdana"/>
          <w:sz w:val="20"/>
        </w:rPr>
        <w:t xml:space="preserve">referido </w:t>
      </w:r>
      <w:r w:rsidR="00520C2E" w:rsidRPr="00520C2E">
        <w:rPr>
          <w:rFonts w:ascii="Verdana" w:hAnsi="Verdana"/>
          <w:sz w:val="20"/>
        </w:rPr>
        <w:t xml:space="preserve">Fondo </w:t>
      </w:r>
      <w:r>
        <w:rPr>
          <w:rFonts w:ascii="Verdana" w:hAnsi="Verdana"/>
          <w:sz w:val="20"/>
        </w:rPr>
        <w:t>de las erogaciones realizadas en 2019, durante la etapa de supervisión de cumplimiento de Sentencia</w:t>
      </w:r>
      <w:r w:rsidR="00873B90">
        <w:rPr>
          <w:rStyle w:val="Refdenotaalpie"/>
          <w:rFonts w:ascii="Verdana" w:hAnsi="Verdana"/>
          <w:sz w:val="20"/>
        </w:rPr>
        <w:footnoteReference w:id="3"/>
      </w:r>
      <w:r w:rsidR="00520C2E" w:rsidRPr="00520C2E">
        <w:rPr>
          <w:rFonts w:ascii="Verdana" w:hAnsi="Verdana"/>
          <w:sz w:val="20"/>
        </w:rPr>
        <w:t>.</w:t>
      </w:r>
    </w:p>
    <w:p w14:paraId="034462F3" w14:textId="03BCCECF" w:rsidR="006654D3" w:rsidRDefault="00AC6537" w:rsidP="006654D3">
      <w:pPr>
        <w:pStyle w:val="Prrafodelista"/>
        <w:numPr>
          <w:ilvl w:val="0"/>
          <w:numId w:val="36"/>
        </w:numPr>
        <w:spacing w:before="120" w:after="120" w:line="240" w:lineRule="auto"/>
        <w:ind w:left="0" w:firstLine="0"/>
        <w:contextualSpacing w:val="0"/>
        <w:jc w:val="both"/>
        <w:rPr>
          <w:rFonts w:ascii="Verdana" w:hAnsi="Verdana"/>
          <w:sz w:val="20"/>
        </w:rPr>
      </w:pPr>
      <w:r>
        <w:rPr>
          <w:rFonts w:ascii="Verdana" w:hAnsi="Verdana"/>
          <w:sz w:val="20"/>
        </w:rPr>
        <w:t xml:space="preserve">Las notas de la Secretaría de la Corte Interamericana (en adelante “la Secretaría) de 15 de diciembre de 2020 en el caso </w:t>
      </w:r>
      <w:r w:rsidRPr="00AC6537">
        <w:rPr>
          <w:rFonts w:ascii="Verdana" w:hAnsi="Verdana"/>
          <w:i/>
          <w:sz w:val="20"/>
        </w:rPr>
        <w:t>Torres Millacura y otros</w:t>
      </w:r>
      <w:r>
        <w:rPr>
          <w:rFonts w:ascii="Verdana" w:hAnsi="Verdana"/>
          <w:sz w:val="20"/>
        </w:rPr>
        <w:t xml:space="preserve"> y de 9 de marzo de 2021 </w:t>
      </w:r>
      <w:r>
        <w:rPr>
          <w:rFonts w:ascii="Verdana" w:hAnsi="Verdana"/>
          <w:sz w:val="20"/>
        </w:rPr>
        <w:lastRenderedPageBreak/>
        <w:t xml:space="preserve">en el caso </w:t>
      </w:r>
      <w:r w:rsidRPr="00AC6537">
        <w:rPr>
          <w:rFonts w:ascii="Verdana" w:hAnsi="Verdana"/>
          <w:i/>
          <w:sz w:val="20"/>
        </w:rPr>
        <w:t>López y otros</w:t>
      </w:r>
      <w:r>
        <w:rPr>
          <w:rFonts w:ascii="Verdana" w:hAnsi="Verdana"/>
          <w:sz w:val="20"/>
        </w:rPr>
        <w:t xml:space="preserve">, mediante las cuales se indicó al Estado los medios por los cuales podría realizar los reintegros al Fondo, así como las notas de 15 de diciembre de 2020 y 8 de junio de 2021, en las cuales se recordó al Estado que el plazo para realizar el reintegro al Fondo en el caso </w:t>
      </w:r>
      <w:r w:rsidRPr="00AC6537">
        <w:rPr>
          <w:rFonts w:ascii="Verdana" w:hAnsi="Verdana"/>
          <w:i/>
          <w:sz w:val="20"/>
        </w:rPr>
        <w:t>Furlan y familiares</w:t>
      </w:r>
      <w:r>
        <w:rPr>
          <w:rFonts w:ascii="Verdana" w:hAnsi="Verdana"/>
          <w:sz w:val="20"/>
        </w:rPr>
        <w:t xml:space="preserve"> había vencido. </w:t>
      </w:r>
    </w:p>
    <w:p w14:paraId="7A3989DB" w14:textId="1EF89E8A" w:rsidR="00F57515" w:rsidRPr="006654D3" w:rsidRDefault="00F57515" w:rsidP="00F57515">
      <w:pPr>
        <w:pStyle w:val="Prrafodelista"/>
        <w:numPr>
          <w:ilvl w:val="0"/>
          <w:numId w:val="36"/>
        </w:numPr>
        <w:spacing w:before="120" w:after="120" w:line="240" w:lineRule="auto"/>
        <w:ind w:left="0" w:firstLine="0"/>
        <w:contextualSpacing w:val="0"/>
        <w:jc w:val="both"/>
        <w:rPr>
          <w:rFonts w:ascii="Verdana" w:hAnsi="Verdana"/>
          <w:sz w:val="20"/>
        </w:rPr>
      </w:pPr>
      <w:r w:rsidRPr="006654D3">
        <w:rPr>
          <w:rFonts w:ascii="Verdana" w:hAnsi="Verdana"/>
          <w:sz w:val="20"/>
        </w:rPr>
        <w:t xml:space="preserve">Los informes presentados por el Estado el 30 noviembre de 2020 y el 11 de marzo de 2021 en el caso </w:t>
      </w:r>
      <w:r w:rsidRPr="006654D3">
        <w:rPr>
          <w:rFonts w:ascii="Verdana" w:hAnsi="Verdana"/>
          <w:i/>
          <w:sz w:val="20"/>
        </w:rPr>
        <w:t>Torres Millacura y otros</w:t>
      </w:r>
      <w:r w:rsidRPr="006654D3">
        <w:rPr>
          <w:rFonts w:ascii="Verdana" w:hAnsi="Verdana"/>
          <w:sz w:val="20"/>
        </w:rPr>
        <w:t>; el 9 de agosto</w:t>
      </w:r>
      <w:r w:rsidRPr="006654D3">
        <w:rPr>
          <w:rFonts w:ascii="Verdana" w:hAnsi="Verdana"/>
          <w:b/>
          <w:sz w:val="16"/>
        </w:rPr>
        <w:t xml:space="preserve"> </w:t>
      </w:r>
      <w:r w:rsidRPr="006654D3">
        <w:rPr>
          <w:rFonts w:ascii="Verdana" w:hAnsi="Verdana"/>
          <w:sz w:val="20"/>
        </w:rPr>
        <w:t xml:space="preserve">y el 20 de setiembre de 2021 en el caso </w:t>
      </w:r>
      <w:r w:rsidRPr="006654D3">
        <w:rPr>
          <w:rFonts w:ascii="Verdana" w:hAnsi="Verdana"/>
          <w:i/>
          <w:sz w:val="20"/>
        </w:rPr>
        <w:t>Furlan y familiares</w:t>
      </w:r>
      <w:r w:rsidRPr="006654D3">
        <w:rPr>
          <w:rFonts w:ascii="Verdana" w:hAnsi="Verdana"/>
          <w:sz w:val="20"/>
        </w:rPr>
        <w:t xml:space="preserve">, y el 9 de agosto de 2021 en el caso </w:t>
      </w:r>
      <w:r w:rsidRPr="006654D3">
        <w:rPr>
          <w:rFonts w:ascii="Verdana" w:hAnsi="Verdana"/>
          <w:i/>
          <w:sz w:val="20"/>
        </w:rPr>
        <w:t>López y otros</w:t>
      </w:r>
      <w:r>
        <w:rPr>
          <w:rFonts w:ascii="Verdana" w:hAnsi="Verdana"/>
          <w:i/>
          <w:sz w:val="20"/>
        </w:rPr>
        <w:t>,</w:t>
      </w:r>
      <w:r w:rsidRPr="006654D3">
        <w:rPr>
          <w:rFonts w:ascii="Verdana" w:hAnsi="Verdana"/>
          <w:sz w:val="20"/>
        </w:rPr>
        <w:t xml:space="preserve"> </w:t>
      </w:r>
      <w:r>
        <w:rPr>
          <w:rFonts w:ascii="Verdana" w:hAnsi="Verdana"/>
          <w:sz w:val="20"/>
        </w:rPr>
        <w:t>en los cuales comunicó la realización de los respectivos reintegros al Fondo de Asistencia</w:t>
      </w:r>
      <w:r w:rsidR="006C4B36">
        <w:rPr>
          <w:rFonts w:ascii="Verdana" w:hAnsi="Verdana"/>
          <w:sz w:val="20"/>
        </w:rPr>
        <w:t>.</w:t>
      </w:r>
    </w:p>
    <w:p w14:paraId="6EFC9324" w14:textId="29F9BD0F" w:rsidR="008A15CF" w:rsidRPr="006654D3" w:rsidRDefault="00966E59" w:rsidP="006654D3">
      <w:pPr>
        <w:pStyle w:val="Prrafodelista"/>
        <w:numPr>
          <w:ilvl w:val="0"/>
          <w:numId w:val="36"/>
        </w:numPr>
        <w:spacing w:before="120" w:after="120" w:line="240" w:lineRule="auto"/>
        <w:ind w:left="0" w:firstLine="0"/>
        <w:contextualSpacing w:val="0"/>
        <w:jc w:val="both"/>
        <w:rPr>
          <w:rFonts w:ascii="Verdana" w:hAnsi="Verdana"/>
          <w:sz w:val="20"/>
        </w:rPr>
      </w:pPr>
      <w:r w:rsidRPr="006654D3">
        <w:rPr>
          <w:rFonts w:ascii="Verdana" w:hAnsi="Verdana"/>
          <w:sz w:val="20"/>
        </w:rPr>
        <w:t>Las notas de la Secretaría de 26 de marzo</w:t>
      </w:r>
      <w:r w:rsidR="006C4B36">
        <w:rPr>
          <w:rFonts w:ascii="Verdana" w:hAnsi="Verdana"/>
          <w:sz w:val="20"/>
        </w:rPr>
        <w:t>, 27 y 31 de agosto</w:t>
      </w:r>
      <w:r w:rsidRPr="006654D3">
        <w:rPr>
          <w:rFonts w:ascii="Verdana" w:hAnsi="Verdana"/>
          <w:sz w:val="20"/>
        </w:rPr>
        <w:t xml:space="preserve"> de 2021 </w:t>
      </w:r>
      <w:r w:rsidR="006C4B36">
        <w:rPr>
          <w:rFonts w:ascii="Verdana" w:hAnsi="Verdana"/>
          <w:sz w:val="20"/>
        </w:rPr>
        <w:t xml:space="preserve">remitidas, respectivamente, </w:t>
      </w:r>
      <w:r w:rsidRPr="006654D3">
        <w:rPr>
          <w:rFonts w:ascii="Verdana" w:hAnsi="Verdana"/>
          <w:sz w:val="20"/>
        </w:rPr>
        <w:t xml:space="preserve">en </w:t>
      </w:r>
      <w:r w:rsidR="006C4B36">
        <w:rPr>
          <w:rFonts w:ascii="Verdana" w:hAnsi="Verdana"/>
          <w:sz w:val="20"/>
        </w:rPr>
        <w:t>los</w:t>
      </w:r>
      <w:r w:rsidRPr="006654D3">
        <w:rPr>
          <w:rFonts w:ascii="Verdana" w:hAnsi="Verdana"/>
          <w:sz w:val="20"/>
        </w:rPr>
        <w:t xml:space="preserve"> caso</w:t>
      </w:r>
      <w:r w:rsidR="006C4B36">
        <w:rPr>
          <w:rFonts w:ascii="Verdana" w:hAnsi="Verdana"/>
          <w:sz w:val="20"/>
        </w:rPr>
        <w:t>s</w:t>
      </w:r>
      <w:r w:rsidRPr="006654D3">
        <w:rPr>
          <w:rFonts w:ascii="Verdana" w:hAnsi="Verdana"/>
          <w:sz w:val="20"/>
        </w:rPr>
        <w:t xml:space="preserve"> </w:t>
      </w:r>
      <w:r w:rsidRPr="006654D3">
        <w:rPr>
          <w:rFonts w:ascii="Verdana" w:hAnsi="Verdana"/>
          <w:i/>
          <w:sz w:val="20"/>
        </w:rPr>
        <w:t>Torres Millacura y otros</w:t>
      </w:r>
      <w:r w:rsidR="006C4B36">
        <w:rPr>
          <w:rFonts w:ascii="Verdana" w:hAnsi="Verdana"/>
          <w:i/>
          <w:sz w:val="20"/>
        </w:rPr>
        <w:t xml:space="preserve">, </w:t>
      </w:r>
      <w:r w:rsidRPr="006654D3">
        <w:rPr>
          <w:rFonts w:ascii="Verdana" w:hAnsi="Verdana"/>
          <w:i/>
          <w:sz w:val="20"/>
        </w:rPr>
        <w:t>López y otros</w:t>
      </w:r>
      <w:r w:rsidRPr="006654D3">
        <w:rPr>
          <w:rFonts w:ascii="Verdana" w:hAnsi="Verdana"/>
          <w:sz w:val="20"/>
        </w:rPr>
        <w:t xml:space="preserve"> y </w:t>
      </w:r>
      <w:r w:rsidRPr="006654D3">
        <w:rPr>
          <w:rFonts w:ascii="Verdana" w:hAnsi="Verdana"/>
          <w:i/>
          <w:sz w:val="20"/>
        </w:rPr>
        <w:t>Furlan y familiares</w:t>
      </w:r>
      <w:r w:rsidR="006654D3">
        <w:rPr>
          <w:rFonts w:ascii="Verdana" w:hAnsi="Verdana"/>
          <w:sz w:val="20"/>
        </w:rPr>
        <w:t xml:space="preserve">, mediante las cuales se </w:t>
      </w:r>
      <w:r w:rsidR="006C4B36">
        <w:rPr>
          <w:rFonts w:ascii="Verdana" w:hAnsi="Verdana"/>
          <w:sz w:val="20"/>
        </w:rPr>
        <w:t>envió</w:t>
      </w:r>
      <w:r w:rsidR="006654D3">
        <w:rPr>
          <w:rFonts w:ascii="Verdana" w:hAnsi="Verdana"/>
          <w:sz w:val="20"/>
        </w:rPr>
        <w:t xml:space="preserve"> al Estado los respectivos recibos de pago de los reintegros realizados al Fondo </w:t>
      </w:r>
      <w:r w:rsidR="00F57515">
        <w:rPr>
          <w:rFonts w:ascii="Verdana" w:hAnsi="Verdana"/>
          <w:sz w:val="20"/>
        </w:rPr>
        <w:t xml:space="preserve">de Asistencia </w:t>
      </w:r>
      <w:r w:rsidR="006654D3">
        <w:rPr>
          <w:rFonts w:ascii="Verdana" w:hAnsi="Verdana"/>
          <w:sz w:val="20"/>
        </w:rPr>
        <w:t>en estos tres casos.</w:t>
      </w:r>
    </w:p>
    <w:p w14:paraId="6E0EEDAE" w14:textId="20B0BC18" w:rsidR="00062049" w:rsidRDefault="00062049" w:rsidP="00062049">
      <w:pPr>
        <w:pStyle w:val="Prrafodelista"/>
        <w:spacing w:before="120" w:after="120"/>
        <w:ind w:left="0"/>
        <w:jc w:val="both"/>
        <w:rPr>
          <w:rFonts w:ascii="Verdana" w:hAnsi="Verdana"/>
          <w:sz w:val="20"/>
        </w:rPr>
      </w:pPr>
    </w:p>
    <w:p w14:paraId="372CA289" w14:textId="77777777" w:rsidR="00B55B9E" w:rsidRDefault="00B55B9E" w:rsidP="00062049">
      <w:pPr>
        <w:pStyle w:val="Prrafodelista"/>
        <w:spacing w:before="120" w:after="120"/>
        <w:ind w:left="0"/>
        <w:jc w:val="both"/>
        <w:rPr>
          <w:rFonts w:ascii="Verdana" w:hAnsi="Verdana"/>
          <w:sz w:val="20"/>
        </w:rPr>
      </w:pPr>
    </w:p>
    <w:p w14:paraId="554C2EB5" w14:textId="40368803" w:rsidR="00AA0574" w:rsidRDefault="00062049" w:rsidP="006654D3">
      <w:pPr>
        <w:pStyle w:val="Prrafodelista"/>
        <w:spacing w:before="120" w:after="120"/>
        <w:ind w:left="0"/>
        <w:contextualSpacing w:val="0"/>
        <w:jc w:val="both"/>
        <w:rPr>
          <w:rFonts w:ascii="Verdana" w:hAnsi="Verdana"/>
          <w:b/>
          <w:sz w:val="20"/>
        </w:rPr>
      </w:pPr>
      <w:r w:rsidRPr="00596ECD">
        <w:rPr>
          <w:rFonts w:ascii="Verdana" w:hAnsi="Verdana"/>
          <w:b/>
          <w:sz w:val="20"/>
        </w:rPr>
        <w:t xml:space="preserve">CONSIDERANDO QUE: </w:t>
      </w:r>
    </w:p>
    <w:p w14:paraId="69A4C6BA" w14:textId="77777777" w:rsidR="00966E59" w:rsidRDefault="00966E59" w:rsidP="00EB2476">
      <w:pPr>
        <w:pStyle w:val="Prrafodelista"/>
        <w:numPr>
          <w:ilvl w:val="0"/>
          <w:numId w:val="38"/>
        </w:numPr>
        <w:spacing w:before="120" w:after="120" w:line="240" w:lineRule="auto"/>
        <w:ind w:left="0" w:firstLine="0"/>
        <w:contextualSpacing w:val="0"/>
        <w:jc w:val="both"/>
        <w:rPr>
          <w:rFonts w:ascii="Verdana" w:hAnsi="Verdana"/>
          <w:sz w:val="20"/>
          <w:szCs w:val="17"/>
        </w:rPr>
      </w:pPr>
      <w:r>
        <w:rPr>
          <w:rFonts w:ascii="Verdana" w:hAnsi="Verdana"/>
          <w:sz w:val="20"/>
          <w:szCs w:val="17"/>
        </w:rPr>
        <w:t xml:space="preserve">En la Sentencia del caso </w:t>
      </w:r>
      <w:r w:rsidRPr="00966E59">
        <w:rPr>
          <w:rFonts w:ascii="Verdana" w:hAnsi="Verdana"/>
          <w:i/>
          <w:sz w:val="20"/>
          <w:szCs w:val="17"/>
        </w:rPr>
        <w:t>López y otros</w:t>
      </w:r>
      <w:r>
        <w:rPr>
          <w:rFonts w:ascii="Verdana" w:hAnsi="Verdana"/>
          <w:sz w:val="20"/>
          <w:szCs w:val="17"/>
        </w:rPr>
        <w:t xml:space="preserve"> y en resoluciones del caso </w:t>
      </w:r>
      <w:r w:rsidRPr="00966E59">
        <w:rPr>
          <w:rFonts w:ascii="Verdana" w:hAnsi="Verdana"/>
          <w:i/>
          <w:sz w:val="20"/>
          <w:szCs w:val="17"/>
        </w:rPr>
        <w:t>Furlan y familiares</w:t>
      </w:r>
      <w:r>
        <w:rPr>
          <w:rFonts w:ascii="Verdana" w:hAnsi="Verdana"/>
          <w:sz w:val="20"/>
          <w:szCs w:val="17"/>
        </w:rPr>
        <w:t xml:space="preserve"> y el caso </w:t>
      </w:r>
      <w:r w:rsidRPr="00966E59">
        <w:rPr>
          <w:rFonts w:ascii="Verdana" w:hAnsi="Verdana"/>
          <w:i/>
          <w:sz w:val="20"/>
          <w:szCs w:val="17"/>
        </w:rPr>
        <w:t>Torres Millacura y otros</w:t>
      </w:r>
      <w:r>
        <w:rPr>
          <w:rFonts w:ascii="Verdana" w:hAnsi="Verdana"/>
          <w:sz w:val="20"/>
          <w:szCs w:val="17"/>
        </w:rPr>
        <w:t xml:space="preserve"> se ordenó al Estado realizar los siguientes reintegros al Fondo de Asistencia Legal:</w:t>
      </w:r>
    </w:p>
    <w:p w14:paraId="7909134B" w14:textId="648936A2" w:rsidR="00966E59" w:rsidRDefault="00966E59" w:rsidP="00EB2476">
      <w:pPr>
        <w:pStyle w:val="Prrafodelista"/>
        <w:numPr>
          <w:ilvl w:val="0"/>
          <w:numId w:val="41"/>
        </w:numPr>
        <w:spacing w:before="120" w:after="120" w:line="240" w:lineRule="auto"/>
        <w:contextualSpacing w:val="0"/>
        <w:jc w:val="both"/>
        <w:rPr>
          <w:rFonts w:ascii="Verdana" w:hAnsi="Verdana"/>
          <w:sz w:val="20"/>
          <w:szCs w:val="17"/>
        </w:rPr>
      </w:pPr>
      <w:r>
        <w:rPr>
          <w:rFonts w:ascii="Verdana" w:hAnsi="Verdana"/>
          <w:sz w:val="20"/>
          <w:szCs w:val="17"/>
        </w:rPr>
        <w:t>e</w:t>
      </w:r>
      <w:r w:rsidR="000C1871" w:rsidRPr="00966E59">
        <w:rPr>
          <w:rFonts w:ascii="Verdana" w:hAnsi="Verdana"/>
          <w:sz w:val="20"/>
          <w:szCs w:val="17"/>
        </w:rPr>
        <w:t xml:space="preserve">n </w:t>
      </w:r>
      <w:r>
        <w:rPr>
          <w:rFonts w:ascii="Verdana" w:hAnsi="Verdana"/>
          <w:sz w:val="20"/>
          <w:szCs w:val="17"/>
        </w:rPr>
        <w:t xml:space="preserve">el punto resolutivo décimo tercero y el párrafo 264 de la Sentencia del caso </w:t>
      </w:r>
      <w:r w:rsidRPr="00EB2476">
        <w:rPr>
          <w:rFonts w:ascii="Verdana" w:hAnsi="Verdana"/>
          <w:i/>
          <w:sz w:val="20"/>
          <w:szCs w:val="17"/>
        </w:rPr>
        <w:t>López y otros</w:t>
      </w:r>
      <w:r w:rsidR="00EB2476">
        <w:rPr>
          <w:rFonts w:ascii="Verdana" w:hAnsi="Verdana"/>
          <w:sz w:val="20"/>
          <w:szCs w:val="17"/>
        </w:rPr>
        <w:t>,</w:t>
      </w:r>
      <w:r>
        <w:rPr>
          <w:rFonts w:ascii="Verdana" w:hAnsi="Verdana"/>
          <w:sz w:val="20"/>
          <w:szCs w:val="17"/>
        </w:rPr>
        <w:t xml:space="preserve"> se ordenó el reintegro por la cantidad de </w:t>
      </w:r>
      <w:r w:rsidR="003E517E" w:rsidRPr="00966E59">
        <w:rPr>
          <w:rFonts w:ascii="Verdana" w:hAnsi="Verdana"/>
          <w:sz w:val="20"/>
          <w:szCs w:val="17"/>
        </w:rPr>
        <w:t>USD 4,805.40 (cuatro mil ochocientos y cinco dólares de los Estados Unidos de</w:t>
      </w:r>
      <w:r>
        <w:rPr>
          <w:rFonts w:ascii="Verdana" w:hAnsi="Verdana"/>
          <w:sz w:val="20"/>
          <w:szCs w:val="17"/>
        </w:rPr>
        <w:t xml:space="preserve"> América con cuarenta centavos) por los gastos incurridos en la tramitación de</w:t>
      </w:r>
      <w:r w:rsidR="00EB2476">
        <w:rPr>
          <w:rFonts w:ascii="Verdana" w:hAnsi="Verdana"/>
          <w:sz w:val="20"/>
          <w:szCs w:val="17"/>
        </w:rPr>
        <w:t xml:space="preserve"> la etapa de fondo de este caso;</w:t>
      </w:r>
    </w:p>
    <w:p w14:paraId="415CDCD5" w14:textId="1CE20813" w:rsidR="00EB2476" w:rsidRDefault="00EB2476" w:rsidP="00EB2476">
      <w:pPr>
        <w:pStyle w:val="Prrafodelista"/>
        <w:numPr>
          <w:ilvl w:val="0"/>
          <w:numId w:val="41"/>
        </w:numPr>
        <w:spacing w:before="120" w:after="120" w:line="240" w:lineRule="auto"/>
        <w:contextualSpacing w:val="0"/>
        <w:jc w:val="both"/>
        <w:rPr>
          <w:rFonts w:ascii="Verdana" w:hAnsi="Verdana"/>
          <w:sz w:val="20"/>
          <w:szCs w:val="17"/>
        </w:rPr>
      </w:pPr>
      <w:r>
        <w:rPr>
          <w:rFonts w:ascii="Verdana" w:hAnsi="Verdana"/>
          <w:sz w:val="20"/>
          <w:szCs w:val="17"/>
        </w:rPr>
        <w:t xml:space="preserve">en el punto resolutivo sexto y el </w:t>
      </w:r>
      <w:r w:rsidR="006C4B36">
        <w:rPr>
          <w:rFonts w:ascii="Verdana" w:hAnsi="Verdana"/>
          <w:sz w:val="20"/>
          <w:szCs w:val="17"/>
        </w:rPr>
        <w:t xml:space="preserve">Considerando </w:t>
      </w:r>
      <w:r>
        <w:rPr>
          <w:rFonts w:ascii="Verdana" w:hAnsi="Verdana"/>
          <w:sz w:val="20"/>
          <w:szCs w:val="17"/>
        </w:rPr>
        <w:t xml:space="preserve">50 de la Resolución de noviembre de 2018 en el caso </w:t>
      </w:r>
      <w:r w:rsidRPr="00EB2476">
        <w:rPr>
          <w:rFonts w:ascii="Verdana" w:hAnsi="Verdana"/>
          <w:i/>
          <w:sz w:val="20"/>
          <w:szCs w:val="17"/>
        </w:rPr>
        <w:t>Furlan y familiares</w:t>
      </w:r>
      <w:r>
        <w:rPr>
          <w:rFonts w:ascii="Verdana" w:hAnsi="Verdana"/>
          <w:sz w:val="20"/>
          <w:szCs w:val="17"/>
        </w:rPr>
        <w:t xml:space="preserve">, se ordenó el reintegro por la cantidad de </w:t>
      </w:r>
      <w:r w:rsidR="0031030A" w:rsidRPr="00EB2476">
        <w:rPr>
          <w:rFonts w:ascii="Verdana" w:hAnsi="Verdana"/>
          <w:sz w:val="20"/>
          <w:szCs w:val="17"/>
        </w:rPr>
        <w:t>US$ 2,012.79 (dos mil doce dólares de los Estados Unidos de América con setenta y nueve centavos)</w:t>
      </w:r>
      <w:r>
        <w:rPr>
          <w:rFonts w:ascii="Verdana" w:hAnsi="Verdana"/>
          <w:sz w:val="20"/>
          <w:szCs w:val="17"/>
        </w:rPr>
        <w:t xml:space="preserve"> por “las erogaciones realizadas por la comparecencia de la defensora interamericana […] a la audiencia de supervisión de cumplimiento”, y</w:t>
      </w:r>
    </w:p>
    <w:p w14:paraId="407C264B" w14:textId="265C91D4" w:rsidR="00DA4D53" w:rsidRDefault="00EB2476" w:rsidP="00EB2476">
      <w:pPr>
        <w:pStyle w:val="Prrafodelista"/>
        <w:numPr>
          <w:ilvl w:val="0"/>
          <w:numId w:val="41"/>
        </w:numPr>
        <w:spacing w:before="120" w:after="120" w:line="240" w:lineRule="auto"/>
        <w:contextualSpacing w:val="0"/>
        <w:jc w:val="both"/>
        <w:rPr>
          <w:rFonts w:ascii="Verdana" w:hAnsi="Verdana"/>
          <w:sz w:val="20"/>
          <w:szCs w:val="17"/>
        </w:rPr>
      </w:pPr>
      <w:r w:rsidRPr="00EB2476">
        <w:rPr>
          <w:rFonts w:ascii="Verdana" w:hAnsi="Verdana"/>
          <w:sz w:val="20"/>
          <w:szCs w:val="17"/>
        </w:rPr>
        <w:t xml:space="preserve">en el punto resolutivo séptimo y el </w:t>
      </w:r>
      <w:r w:rsidR="006C4B36">
        <w:rPr>
          <w:rFonts w:ascii="Verdana" w:hAnsi="Verdana"/>
          <w:sz w:val="20"/>
          <w:szCs w:val="17"/>
        </w:rPr>
        <w:t xml:space="preserve">Considerando </w:t>
      </w:r>
      <w:r w:rsidRPr="00EB2476">
        <w:rPr>
          <w:rFonts w:ascii="Verdana" w:hAnsi="Verdana"/>
          <w:sz w:val="20"/>
          <w:szCs w:val="17"/>
        </w:rPr>
        <w:t xml:space="preserve">64 de la Resolución de junio de 2020 en el caso </w:t>
      </w:r>
      <w:r w:rsidRPr="00EB2476">
        <w:rPr>
          <w:rFonts w:ascii="Verdana" w:hAnsi="Verdana"/>
          <w:i/>
          <w:sz w:val="20"/>
          <w:szCs w:val="17"/>
        </w:rPr>
        <w:t>Torres Millacura y otros</w:t>
      </w:r>
      <w:r w:rsidRPr="00EB2476">
        <w:rPr>
          <w:rFonts w:ascii="Verdana" w:hAnsi="Verdana"/>
          <w:sz w:val="20"/>
          <w:szCs w:val="17"/>
        </w:rPr>
        <w:t xml:space="preserve">, se ordenó el reintegro por la cantidad de </w:t>
      </w:r>
      <w:r w:rsidR="0031030A" w:rsidRPr="00EB2476">
        <w:rPr>
          <w:rFonts w:ascii="Verdana" w:hAnsi="Verdana"/>
          <w:sz w:val="20"/>
          <w:szCs w:val="17"/>
        </w:rPr>
        <w:t>US$7,969.08 (siete mil novecientos sesenta y nueve dólares de los Estados Unidos d</w:t>
      </w:r>
      <w:r>
        <w:rPr>
          <w:rFonts w:ascii="Verdana" w:hAnsi="Verdana"/>
          <w:sz w:val="20"/>
          <w:szCs w:val="17"/>
        </w:rPr>
        <w:t>e América con ocho centavos) por “las erogaciones realizadas para la comparecencia de las víctimas y su representante a la audiencia de supervisión de cumplimiento”.</w:t>
      </w:r>
    </w:p>
    <w:p w14:paraId="468C3788" w14:textId="3F7625C3" w:rsidR="006654D3" w:rsidRPr="00913A89" w:rsidRDefault="00293308" w:rsidP="006654D3">
      <w:pPr>
        <w:pStyle w:val="Prrafodelista"/>
        <w:numPr>
          <w:ilvl w:val="0"/>
          <w:numId w:val="38"/>
        </w:numPr>
        <w:spacing w:before="120" w:after="120" w:line="240" w:lineRule="auto"/>
        <w:ind w:left="0" w:firstLine="0"/>
        <w:contextualSpacing w:val="0"/>
        <w:jc w:val="both"/>
        <w:rPr>
          <w:rFonts w:ascii="Verdana" w:hAnsi="Verdana"/>
          <w:sz w:val="20"/>
          <w:szCs w:val="17"/>
        </w:rPr>
      </w:pPr>
      <w:r w:rsidRPr="00913A89">
        <w:rPr>
          <w:rFonts w:ascii="Verdana" w:hAnsi="Verdana"/>
          <w:sz w:val="20"/>
          <w:szCs w:val="17"/>
        </w:rPr>
        <w:t>En estos tres casos l</w:t>
      </w:r>
      <w:r w:rsidR="00AB3348" w:rsidRPr="00913A89">
        <w:rPr>
          <w:rFonts w:ascii="Verdana" w:hAnsi="Verdana"/>
          <w:sz w:val="20"/>
          <w:szCs w:val="17"/>
        </w:rPr>
        <w:t>a Corte dispuso que tales cantidades debían ser reintegradas en</w:t>
      </w:r>
      <w:r w:rsidR="0031030A" w:rsidRPr="00913A89">
        <w:rPr>
          <w:rFonts w:ascii="Verdana" w:hAnsi="Verdana"/>
          <w:sz w:val="20"/>
          <w:szCs w:val="17"/>
        </w:rPr>
        <w:t xml:space="preserve"> </w:t>
      </w:r>
      <w:r w:rsidR="00AB3348" w:rsidRPr="00913A89">
        <w:rPr>
          <w:rFonts w:ascii="Verdana" w:hAnsi="Verdana"/>
          <w:sz w:val="20"/>
          <w:szCs w:val="17"/>
        </w:rPr>
        <w:t>el plazo de seis meses, contado</w:t>
      </w:r>
      <w:r w:rsidR="0031030A" w:rsidRPr="00913A89">
        <w:rPr>
          <w:rFonts w:ascii="Verdana" w:hAnsi="Verdana"/>
          <w:sz w:val="20"/>
          <w:szCs w:val="17"/>
        </w:rPr>
        <w:t xml:space="preserve"> a partir de la notificaci</w:t>
      </w:r>
      <w:r w:rsidR="002843AF" w:rsidRPr="00913A89">
        <w:rPr>
          <w:rFonts w:ascii="Verdana" w:hAnsi="Verdana"/>
          <w:sz w:val="20"/>
          <w:szCs w:val="17"/>
        </w:rPr>
        <w:t xml:space="preserve">ón </w:t>
      </w:r>
      <w:r w:rsidR="00AB3348" w:rsidRPr="00913A89">
        <w:rPr>
          <w:rFonts w:ascii="Verdana" w:hAnsi="Verdana"/>
          <w:sz w:val="20"/>
          <w:szCs w:val="17"/>
        </w:rPr>
        <w:t>de la Sentencia o</w:t>
      </w:r>
      <w:r w:rsidRPr="00913A89">
        <w:rPr>
          <w:rFonts w:ascii="Verdana" w:hAnsi="Verdana"/>
          <w:sz w:val="20"/>
          <w:szCs w:val="17"/>
        </w:rPr>
        <w:t xml:space="preserve"> de las respectivas</w:t>
      </w:r>
      <w:r w:rsidR="00AB3348" w:rsidRPr="00913A89">
        <w:rPr>
          <w:rFonts w:ascii="Verdana" w:hAnsi="Verdana"/>
          <w:sz w:val="20"/>
          <w:szCs w:val="17"/>
        </w:rPr>
        <w:t xml:space="preserve"> resoluciones de supervisió</w:t>
      </w:r>
      <w:r w:rsidRPr="00913A89">
        <w:rPr>
          <w:rFonts w:ascii="Verdana" w:hAnsi="Verdana"/>
          <w:sz w:val="20"/>
          <w:szCs w:val="17"/>
        </w:rPr>
        <w:t xml:space="preserve">n de cumplimiento de Sentencia y que, </w:t>
      </w:r>
      <w:r w:rsidR="002843AF" w:rsidRPr="00913A89">
        <w:rPr>
          <w:rFonts w:ascii="Verdana" w:hAnsi="Verdana"/>
          <w:sz w:val="20"/>
          <w:szCs w:val="17"/>
        </w:rPr>
        <w:t xml:space="preserve">en caso de que el Estado incurriera en mora, </w:t>
      </w:r>
      <w:r w:rsidR="003460C0" w:rsidRPr="00913A89">
        <w:rPr>
          <w:rFonts w:ascii="Verdana" w:hAnsi="Verdana"/>
          <w:sz w:val="20"/>
          <w:szCs w:val="17"/>
        </w:rPr>
        <w:t>debía</w:t>
      </w:r>
      <w:r w:rsidR="0031030A" w:rsidRPr="00913A89">
        <w:rPr>
          <w:rFonts w:ascii="Verdana" w:hAnsi="Verdana"/>
          <w:sz w:val="20"/>
          <w:szCs w:val="17"/>
        </w:rPr>
        <w:t xml:space="preserve"> pag</w:t>
      </w:r>
      <w:r w:rsidR="002843AF" w:rsidRPr="00913A89">
        <w:rPr>
          <w:rFonts w:ascii="Verdana" w:hAnsi="Verdana"/>
          <w:sz w:val="20"/>
          <w:szCs w:val="17"/>
        </w:rPr>
        <w:t xml:space="preserve">ar un interés sobre la cantidad </w:t>
      </w:r>
      <w:r w:rsidR="0031030A" w:rsidRPr="00913A89">
        <w:rPr>
          <w:rFonts w:ascii="Verdana" w:hAnsi="Verdana"/>
          <w:sz w:val="20"/>
          <w:szCs w:val="17"/>
        </w:rPr>
        <w:t>adeudada correspondiente al interés bancario moratorio en la República Argentina</w:t>
      </w:r>
      <w:r w:rsidR="002843AF" w:rsidRPr="00913A89">
        <w:rPr>
          <w:rStyle w:val="Refdenotaalpie"/>
          <w:rFonts w:ascii="Verdana" w:hAnsi="Verdana"/>
          <w:sz w:val="20"/>
          <w:szCs w:val="17"/>
        </w:rPr>
        <w:footnoteReference w:id="4"/>
      </w:r>
      <w:r w:rsidR="00BD16B8" w:rsidRPr="00913A89">
        <w:rPr>
          <w:rFonts w:ascii="Verdana" w:hAnsi="Verdana"/>
          <w:sz w:val="20"/>
          <w:szCs w:val="17"/>
        </w:rPr>
        <w:t>.</w:t>
      </w:r>
      <w:r w:rsidR="00AC6537" w:rsidRPr="00913A89">
        <w:rPr>
          <w:rFonts w:ascii="Verdana" w:hAnsi="Verdana"/>
          <w:sz w:val="20"/>
          <w:szCs w:val="17"/>
        </w:rPr>
        <w:t xml:space="preserve"> En los </w:t>
      </w:r>
      <w:r w:rsidR="00727B43" w:rsidRPr="00913A89">
        <w:rPr>
          <w:rFonts w:ascii="Verdana" w:hAnsi="Verdana"/>
          <w:sz w:val="20"/>
          <w:szCs w:val="17"/>
        </w:rPr>
        <w:t xml:space="preserve"> </w:t>
      </w:r>
      <w:r w:rsidR="00AC6537" w:rsidRPr="00913A89">
        <w:rPr>
          <w:rFonts w:ascii="Verdana" w:hAnsi="Verdana"/>
          <w:sz w:val="20"/>
          <w:szCs w:val="17"/>
        </w:rPr>
        <w:t>casos</w:t>
      </w:r>
      <w:r w:rsidR="00727B43">
        <w:rPr>
          <w:rFonts w:ascii="Verdana" w:hAnsi="Verdana"/>
          <w:sz w:val="20"/>
          <w:szCs w:val="17"/>
        </w:rPr>
        <w:t xml:space="preserve"> </w:t>
      </w:r>
      <w:r w:rsidR="00727B43" w:rsidRPr="00727B43">
        <w:rPr>
          <w:rFonts w:ascii="Verdana" w:hAnsi="Verdana"/>
          <w:i/>
          <w:sz w:val="20"/>
          <w:szCs w:val="17"/>
        </w:rPr>
        <w:t>López y otros</w:t>
      </w:r>
      <w:r w:rsidR="00727B43">
        <w:rPr>
          <w:rFonts w:ascii="Verdana" w:hAnsi="Verdana"/>
          <w:sz w:val="20"/>
          <w:szCs w:val="17"/>
        </w:rPr>
        <w:t xml:space="preserve"> y </w:t>
      </w:r>
      <w:r w:rsidR="00727B43" w:rsidRPr="00727B43">
        <w:rPr>
          <w:rFonts w:ascii="Verdana" w:hAnsi="Verdana"/>
          <w:i/>
          <w:sz w:val="20"/>
          <w:szCs w:val="17"/>
        </w:rPr>
        <w:t>Furlan y familiares</w:t>
      </w:r>
      <w:r w:rsidR="00AC6537" w:rsidRPr="00913A89">
        <w:rPr>
          <w:rFonts w:ascii="Verdana" w:hAnsi="Verdana"/>
          <w:sz w:val="20"/>
          <w:szCs w:val="17"/>
        </w:rPr>
        <w:t xml:space="preserve"> el Estado no realizó los respectivos reintegros dentro de los plazos establecidos</w:t>
      </w:r>
      <w:r w:rsidR="00AC6537" w:rsidRPr="00913A89">
        <w:rPr>
          <w:rStyle w:val="Refdenotaalpie"/>
          <w:rFonts w:ascii="Verdana" w:hAnsi="Verdana"/>
          <w:sz w:val="20"/>
          <w:szCs w:val="17"/>
        </w:rPr>
        <w:footnoteReference w:id="5"/>
      </w:r>
      <w:r w:rsidR="00F57515" w:rsidRPr="00913A89">
        <w:rPr>
          <w:rFonts w:ascii="Verdana" w:hAnsi="Verdana"/>
          <w:sz w:val="20"/>
          <w:szCs w:val="17"/>
        </w:rPr>
        <w:t xml:space="preserve"> (</w:t>
      </w:r>
      <w:r w:rsidR="00F57515" w:rsidRPr="00913A89">
        <w:rPr>
          <w:rFonts w:ascii="Verdana" w:hAnsi="Verdana"/>
          <w:i/>
          <w:sz w:val="20"/>
          <w:szCs w:val="17"/>
        </w:rPr>
        <w:t xml:space="preserve">infra </w:t>
      </w:r>
      <w:r w:rsidR="00F57515" w:rsidRPr="00913A89">
        <w:rPr>
          <w:rFonts w:ascii="Verdana" w:hAnsi="Verdana"/>
          <w:sz w:val="20"/>
          <w:szCs w:val="17"/>
        </w:rPr>
        <w:t>Considerando 4)</w:t>
      </w:r>
      <w:r w:rsidR="00AC6537" w:rsidRPr="00913A89">
        <w:rPr>
          <w:rFonts w:ascii="Verdana" w:hAnsi="Verdana"/>
          <w:sz w:val="20"/>
          <w:szCs w:val="17"/>
        </w:rPr>
        <w:t xml:space="preserve">. </w:t>
      </w:r>
    </w:p>
    <w:p w14:paraId="25B5971F" w14:textId="77777777" w:rsidR="00913A89" w:rsidRPr="00970470" w:rsidRDefault="0067582B" w:rsidP="00913A89">
      <w:pPr>
        <w:pStyle w:val="Prrafodelista"/>
        <w:numPr>
          <w:ilvl w:val="0"/>
          <w:numId w:val="38"/>
        </w:numPr>
        <w:spacing w:before="120" w:after="120" w:line="240" w:lineRule="auto"/>
        <w:ind w:left="0" w:firstLine="0"/>
        <w:contextualSpacing w:val="0"/>
        <w:jc w:val="both"/>
        <w:rPr>
          <w:rFonts w:ascii="Verdana" w:hAnsi="Verdana"/>
          <w:sz w:val="20"/>
          <w:szCs w:val="17"/>
        </w:rPr>
      </w:pPr>
      <w:r w:rsidRPr="00913A89">
        <w:rPr>
          <w:rFonts w:ascii="Verdana" w:hAnsi="Verdana"/>
          <w:sz w:val="20"/>
          <w:szCs w:val="17"/>
        </w:rPr>
        <w:lastRenderedPageBreak/>
        <w:t xml:space="preserve">En el 133° Período Ordinario de Sesiones de la Corte Interamericana, celebrado del 27 de </w:t>
      </w:r>
      <w:r w:rsidRPr="00970470">
        <w:rPr>
          <w:rFonts w:ascii="Verdana" w:hAnsi="Verdana"/>
          <w:sz w:val="20"/>
          <w:szCs w:val="17"/>
        </w:rPr>
        <w:t>enero al 7 de febrero de 2020, el pleno del Tribunal decidió delegar en su Presidencia la valoración de aquellos asuntos relacionados con los pagos de reintegros al Fondo de Asistencia Legal de Víctimas para todos los casos.</w:t>
      </w:r>
    </w:p>
    <w:p w14:paraId="2EA1F3C7" w14:textId="1636BB1A" w:rsidR="00970470" w:rsidRDefault="006654D3" w:rsidP="00970470">
      <w:pPr>
        <w:pStyle w:val="Prrafodelista"/>
        <w:numPr>
          <w:ilvl w:val="0"/>
          <w:numId w:val="38"/>
        </w:numPr>
        <w:spacing w:before="120" w:after="120" w:line="240" w:lineRule="auto"/>
        <w:ind w:left="0" w:firstLine="0"/>
        <w:contextualSpacing w:val="0"/>
        <w:jc w:val="both"/>
        <w:rPr>
          <w:rFonts w:ascii="Verdana" w:hAnsi="Verdana"/>
          <w:sz w:val="20"/>
          <w:szCs w:val="17"/>
        </w:rPr>
      </w:pPr>
      <w:r w:rsidRPr="00970470">
        <w:rPr>
          <w:rFonts w:ascii="Verdana" w:hAnsi="Verdana"/>
          <w:sz w:val="20"/>
          <w:szCs w:val="17"/>
        </w:rPr>
        <w:t>Esta Presidencia constata</w:t>
      </w:r>
      <w:r w:rsidR="00970470" w:rsidRPr="00970470">
        <w:rPr>
          <w:rFonts w:ascii="Verdana" w:hAnsi="Verdana"/>
          <w:sz w:val="20"/>
          <w:szCs w:val="17"/>
        </w:rPr>
        <w:t xml:space="preserve"> que</w:t>
      </w:r>
      <w:r w:rsidR="00220601" w:rsidRPr="00970470">
        <w:rPr>
          <w:rFonts w:ascii="Verdana" w:hAnsi="Verdana"/>
          <w:sz w:val="20"/>
          <w:szCs w:val="17"/>
        </w:rPr>
        <w:t xml:space="preserve">, </w:t>
      </w:r>
      <w:r w:rsidR="00970470" w:rsidRPr="00970470">
        <w:rPr>
          <w:rFonts w:ascii="Verdana" w:hAnsi="Verdana"/>
          <w:sz w:val="20"/>
          <w:szCs w:val="17"/>
        </w:rPr>
        <w:t>de conformidad con</w:t>
      </w:r>
      <w:r w:rsidR="002D6033" w:rsidRPr="00970470">
        <w:rPr>
          <w:rFonts w:ascii="Verdana" w:hAnsi="Verdana"/>
          <w:sz w:val="20"/>
          <w:szCs w:val="17"/>
        </w:rPr>
        <w:t xml:space="preserve"> lo </w:t>
      </w:r>
      <w:r w:rsidR="000E0802" w:rsidRPr="00970470">
        <w:rPr>
          <w:rFonts w:ascii="Verdana" w:hAnsi="Verdana"/>
          <w:sz w:val="20"/>
          <w:szCs w:val="17"/>
        </w:rPr>
        <w:t xml:space="preserve">dispuesto en </w:t>
      </w:r>
      <w:r w:rsidR="00142FD3" w:rsidRPr="00970470">
        <w:rPr>
          <w:rFonts w:ascii="Verdana" w:hAnsi="Verdana"/>
          <w:sz w:val="20"/>
          <w:szCs w:val="17"/>
        </w:rPr>
        <w:t>la</w:t>
      </w:r>
      <w:r w:rsidR="00913A89" w:rsidRPr="00970470">
        <w:rPr>
          <w:rFonts w:ascii="Verdana" w:hAnsi="Verdana"/>
          <w:sz w:val="20"/>
          <w:szCs w:val="17"/>
        </w:rPr>
        <w:t xml:space="preserve"> referida Sentencia y r</w:t>
      </w:r>
      <w:r w:rsidR="00142FD3" w:rsidRPr="00970470">
        <w:rPr>
          <w:rFonts w:ascii="Verdana" w:hAnsi="Verdana"/>
          <w:sz w:val="20"/>
          <w:szCs w:val="17"/>
        </w:rPr>
        <w:t>esoluci</w:t>
      </w:r>
      <w:r w:rsidR="00913A89" w:rsidRPr="00970470">
        <w:rPr>
          <w:rFonts w:ascii="Verdana" w:hAnsi="Verdana"/>
          <w:sz w:val="20"/>
          <w:szCs w:val="17"/>
        </w:rPr>
        <w:t>ones</w:t>
      </w:r>
      <w:r w:rsidR="002D6033" w:rsidRPr="00970470">
        <w:rPr>
          <w:rFonts w:ascii="Verdana" w:hAnsi="Verdana"/>
          <w:sz w:val="20"/>
          <w:szCs w:val="17"/>
        </w:rPr>
        <w:t xml:space="preserve">, el 19 de febrero y el 2 de julio de 2021, Argentina </w:t>
      </w:r>
      <w:r w:rsidR="002D6033" w:rsidRPr="00970470">
        <w:rPr>
          <w:rFonts w:ascii="Verdana" w:hAnsi="Verdana"/>
          <w:sz w:val="20"/>
          <w:szCs w:val="20"/>
        </w:rPr>
        <w:t>realizó transferencias a la cuenta bancaria de la Corte I</w:t>
      </w:r>
      <w:r w:rsidR="00970470" w:rsidRPr="00970470">
        <w:rPr>
          <w:rFonts w:ascii="Verdana" w:hAnsi="Verdana"/>
          <w:sz w:val="20"/>
          <w:szCs w:val="20"/>
        </w:rPr>
        <w:t>nteramericana</w:t>
      </w:r>
      <w:r w:rsidR="002D6033" w:rsidRPr="00970470">
        <w:rPr>
          <w:rFonts w:ascii="Verdana" w:hAnsi="Verdana"/>
          <w:sz w:val="20"/>
          <w:szCs w:val="20"/>
        </w:rPr>
        <w:t xml:space="preserve"> de determinados montos por</w:t>
      </w:r>
      <w:r w:rsidR="00970470" w:rsidRPr="00970470">
        <w:rPr>
          <w:rFonts w:ascii="Verdana" w:hAnsi="Verdana"/>
          <w:sz w:val="20"/>
          <w:szCs w:val="20"/>
        </w:rPr>
        <w:t xml:space="preserve"> concepto de los reintegros al Fondo de Asistencia Legal de Víctimas</w:t>
      </w:r>
      <w:r w:rsidR="002D6033" w:rsidRPr="00970470">
        <w:rPr>
          <w:rFonts w:ascii="Verdana" w:hAnsi="Verdana"/>
          <w:sz w:val="20"/>
          <w:szCs w:val="20"/>
        </w:rPr>
        <w:t xml:space="preserve"> ordenados en estos tres casos y los correspondientes intereses moratorios</w:t>
      </w:r>
      <w:r w:rsidR="00727B43">
        <w:rPr>
          <w:rFonts w:ascii="Verdana" w:hAnsi="Verdana"/>
          <w:sz w:val="20"/>
          <w:szCs w:val="20"/>
        </w:rPr>
        <w:t xml:space="preserve"> para los dos casos en los que el pago se efectuó después del vencimiento del plazo establecido para realizar el reintegro</w:t>
      </w:r>
      <w:r w:rsidR="006C4B36">
        <w:rPr>
          <w:rFonts w:ascii="Verdana" w:hAnsi="Verdana"/>
          <w:sz w:val="20"/>
          <w:szCs w:val="20"/>
        </w:rPr>
        <w:t xml:space="preserve"> </w:t>
      </w:r>
      <w:r w:rsidR="00970470" w:rsidRPr="00970470">
        <w:rPr>
          <w:rFonts w:ascii="Verdana" w:hAnsi="Verdana"/>
          <w:sz w:val="20"/>
          <w:szCs w:val="20"/>
        </w:rPr>
        <w:t>(</w:t>
      </w:r>
      <w:r w:rsidR="00970470" w:rsidRPr="00970470">
        <w:rPr>
          <w:rFonts w:ascii="Verdana" w:hAnsi="Verdana"/>
          <w:i/>
          <w:sz w:val="20"/>
          <w:szCs w:val="20"/>
        </w:rPr>
        <w:t>supra</w:t>
      </w:r>
      <w:r w:rsidR="00970470" w:rsidRPr="00970470">
        <w:rPr>
          <w:rFonts w:ascii="Verdana" w:hAnsi="Verdana"/>
          <w:sz w:val="20"/>
          <w:szCs w:val="20"/>
        </w:rPr>
        <w:t xml:space="preserve"> Considerando 2)</w:t>
      </w:r>
      <w:r w:rsidR="002D6033" w:rsidRPr="00970470">
        <w:rPr>
          <w:rFonts w:ascii="Verdana" w:hAnsi="Verdana"/>
          <w:sz w:val="20"/>
          <w:szCs w:val="20"/>
        </w:rPr>
        <w:t xml:space="preserve">. En el caso </w:t>
      </w:r>
      <w:r w:rsidR="002D6033" w:rsidRPr="00970470">
        <w:rPr>
          <w:rFonts w:ascii="Verdana" w:hAnsi="Verdana"/>
          <w:i/>
          <w:sz w:val="20"/>
          <w:szCs w:val="20"/>
        </w:rPr>
        <w:t>Torres Millacura y otros</w:t>
      </w:r>
      <w:r w:rsidR="002D6033" w:rsidRPr="00970470">
        <w:rPr>
          <w:rFonts w:ascii="Verdana" w:hAnsi="Verdana"/>
          <w:sz w:val="20"/>
          <w:szCs w:val="20"/>
        </w:rPr>
        <w:t xml:space="preserve">, </w:t>
      </w:r>
      <w:r w:rsidR="00970470" w:rsidRPr="00970470">
        <w:rPr>
          <w:rFonts w:ascii="Verdana" w:hAnsi="Verdana"/>
          <w:sz w:val="20"/>
          <w:szCs w:val="20"/>
        </w:rPr>
        <w:t xml:space="preserve">el Estado </w:t>
      </w:r>
      <w:r w:rsidR="002D6033" w:rsidRPr="00970470">
        <w:rPr>
          <w:rFonts w:ascii="Verdana" w:hAnsi="Verdana"/>
          <w:sz w:val="20"/>
          <w:szCs w:val="20"/>
        </w:rPr>
        <w:t>realizó, el 19 de febrero de 2021, una trasferencia por</w:t>
      </w:r>
      <w:r w:rsidR="00970470" w:rsidRPr="00970470">
        <w:rPr>
          <w:rFonts w:ascii="Verdana" w:hAnsi="Verdana"/>
          <w:sz w:val="20"/>
          <w:szCs w:val="20"/>
        </w:rPr>
        <w:t xml:space="preserve"> un monto de US$7.969,08 (siete mil novecientos sesenta y nueve dólares de los Estados Unidos de América con cero punto ocho centavos) </w:t>
      </w:r>
      <w:r w:rsidR="002D6033" w:rsidRPr="00970470">
        <w:rPr>
          <w:rFonts w:ascii="Verdana" w:hAnsi="Verdana"/>
          <w:sz w:val="20"/>
          <w:szCs w:val="20"/>
        </w:rPr>
        <w:t>y</w:t>
      </w:r>
      <w:r w:rsidR="00970470" w:rsidRPr="00970470">
        <w:rPr>
          <w:rFonts w:ascii="Verdana" w:hAnsi="Verdana"/>
          <w:sz w:val="20"/>
          <w:szCs w:val="20"/>
        </w:rPr>
        <w:t>,</w:t>
      </w:r>
      <w:r w:rsidR="002D6033" w:rsidRPr="00970470">
        <w:rPr>
          <w:rFonts w:ascii="Verdana" w:hAnsi="Verdana"/>
          <w:sz w:val="20"/>
          <w:szCs w:val="20"/>
        </w:rPr>
        <w:t xml:space="preserve"> en los casos </w:t>
      </w:r>
      <w:r w:rsidR="002D6033" w:rsidRPr="00970470">
        <w:rPr>
          <w:rFonts w:ascii="Verdana" w:hAnsi="Verdana"/>
          <w:i/>
          <w:sz w:val="20"/>
          <w:szCs w:val="20"/>
        </w:rPr>
        <w:t>López y otros</w:t>
      </w:r>
      <w:r w:rsidR="002D6033" w:rsidRPr="00970470">
        <w:rPr>
          <w:rFonts w:ascii="Verdana" w:hAnsi="Verdana"/>
          <w:sz w:val="20"/>
          <w:szCs w:val="20"/>
        </w:rPr>
        <w:t xml:space="preserve"> y </w:t>
      </w:r>
      <w:r w:rsidR="002D6033" w:rsidRPr="00970470">
        <w:rPr>
          <w:rFonts w:ascii="Verdana" w:hAnsi="Verdana"/>
          <w:i/>
          <w:sz w:val="20"/>
          <w:szCs w:val="20"/>
        </w:rPr>
        <w:t>Furlan y familiares</w:t>
      </w:r>
      <w:r w:rsidR="002D6033" w:rsidRPr="00970470">
        <w:rPr>
          <w:rFonts w:ascii="Verdana" w:hAnsi="Verdana"/>
          <w:sz w:val="20"/>
          <w:szCs w:val="20"/>
        </w:rPr>
        <w:t xml:space="preserve"> realizó el 2 de julio de 2021, transferencia</w:t>
      </w:r>
      <w:r w:rsidR="00970470" w:rsidRPr="00970470">
        <w:rPr>
          <w:rFonts w:ascii="Verdana" w:hAnsi="Verdana"/>
          <w:sz w:val="20"/>
          <w:szCs w:val="20"/>
        </w:rPr>
        <w:t>s, respectivamente,</w:t>
      </w:r>
      <w:r w:rsidR="002D6033" w:rsidRPr="00970470">
        <w:rPr>
          <w:rFonts w:ascii="Verdana" w:hAnsi="Verdana"/>
          <w:sz w:val="20"/>
          <w:szCs w:val="20"/>
        </w:rPr>
        <w:t xml:space="preserve"> por</w:t>
      </w:r>
      <w:r w:rsidR="00970470" w:rsidRPr="00970470">
        <w:rPr>
          <w:rFonts w:ascii="Verdana" w:hAnsi="Verdana"/>
          <w:sz w:val="20"/>
          <w:szCs w:val="20"/>
        </w:rPr>
        <w:t xml:space="preserve"> los montos de</w:t>
      </w:r>
      <w:r w:rsidR="002D6033" w:rsidRPr="00970470">
        <w:rPr>
          <w:rFonts w:ascii="Verdana" w:hAnsi="Verdana"/>
          <w:sz w:val="20"/>
          <w:szCs w:val="20"/>
        </w:rPr>
        <w:t xml:space="preserve"> </w:t>
      </w:r>
      <w:r w:rsidR="00970470" w:rsidRPr="00970470">
        <w:rPr>
          <w:rFonts w:ascii="Verdana" w:hAnsi="Verdana"/>
          <w:sz w:val="20"/>
          <w:szCs w:val="20"/>
        </w:rPr>
        <w:t>US$5.845,35 (cinco mil ochocientos cuarenta y cinco dólares de los Estados Unidos de América con treinta y cinco centavos) y por US$4.371,60 (cuatro mil trescientos setenta y un dólares de los Estados Unidos de América con sesenta centavos).</w:t>
      </w:r>
      <w:r w:rsidR="00970470" w:rsidRPr="00970470">
        <w:t xml:space="preserve"> </w:t>
      </w:r>
    </w:p>
    <w:p w14:paraId="20776809" w14:textId="79B935C5" w:rsidR="00970470" w:rsidRDefault="002267F0" w:rsidP="00970470">
      <w:pPr>
        <w:pStyle w:val="Prrafodelista"/>
        <w:numPr>
          <w:ilvl w:val="0"/>
          <w:numId w:val="38"/>
        </w:numPr>
        <w:spacing w:before="120" w:after="120" w:line="240" w:lineRule="auto"/>
        <w:ind w:left="0" w:firstLine="0"/>
        <w:contextualSpacing w:val="0"/>
        <w:jc w:val="both"/>
        <w:rPr>
          <w:rFonts w:ascii="Verdana" w:hAnsi="Verdana"/>
          <w:sz w:val="20"/>
          <w:szCs w:val="17"/>
        </w:rPr>
      </w:pPr>
      <w:r w:rsidRPr="00970470">
        <w:rPr>
          <w:rFonts w:ascii="Verdana" w:hAnsi="Verdana"/>
          <w:sz w:val="20"/>
          <w:szCs w:val="17"/>
        </w:rPr>
        <w:t>En virtud de lo anterior, esta Presidencia declara que el Estad</w:t>
      </w:r>
      <w:r w:rsidR="00970470">
        <w:rPr>
          <w:rFonts w:ascii="Verdana" w:hAnsi="Verdana"/>
          <w:sz w:val="20"/>
          <w:szCs w:val="17"/>
        </w:rPr>
        <w:t xml:space="preserve">o ha dado total cumplimiento a: (i) el </w:t>
      </w:r>
      <w:r w:rsidRPr="00970470">
        <w:rPr>
          <w:rFonts w:ascii="Verdana" w:hAnsi="Verdana"/>
          <w:sz w:val="20"/>
          <w:szCs w:val="17"/>
        </w:rPr>
        <w:t xml:space="preserve">punto resolutivo </w:t>
      </w:r>
      <w:r w:rsidR="008C74E3" w:rsidRPr="00970470">
        <w:rPr>
          <w:rFonts w:ascii="Verdana" w:hAnsi="Verdana"/>
          <w:sz w:val="20"/>
          <w:szCs w:val="17"/>
        </w:rPr>
        <w:t xml:space="preserve">décimo tercero de la Sentencia del caso </w:t>
      </w:r>
      <w:r w:rsidR="008C74E3" w:rsidRPr="00970470">
        <w:rPr>
          <w:rFonts w:ascii="Verdana" w:hAnsi="Verdana"/>
          <w:i/>
          <w:sz w:val="20"/>
          <w:szCs w:val="17"/>
        </w:rPr>
        <w:t>López y otros;</w:t>
      </w:r>
      <w:r w:rsidR="008C74E3" w:rsidRPr="00970470">
        <w:rPr>
          <w:rFonts w:ascii="Verdana" w:hAnsi="Verdana"/>
          <w:sz w:val="20"/>
          <w:szCs w:val="17"/>
        </w:rPr>
        <w:t xml:space="preserve"> </w:t>
      </w:r>
      <w:r w:rsidR="00970470">
        <w:rPr>
          <w:rFonts w:ascii="Verdana" w:hAnsi="Verdana"/>
          <w:sz w:val="20"/>
          <w:szCs w:val="17"/>
        </w:rPr>
        <w:t xml:space="preserve">(ii) </w:t>
      </w:r>
      <w:r w:rsidR="008C74E3" w:rsidRPr="00970470">
        <w:rPr>
          <w:rFonts w:ascii="Verdana" w:hAnsi="Verdana"/>
          <w:sz w:val="20"/>
          <w:szCs w:val="17"/>
        </w:rPr>
        <w:t>al punto resolutivo sexto de la Resolución de supervisión de cumplimiento de</w:t>
      </w:r>
      <w:r w:rsidR="00970470">
        <w:rPr>
          <w:rFonts w:ascii="Verdana" w:hAnsi="Verdana"/>
          <w:sz w:val="20"/>
          <w:szCs w:val="17"/>
        </w:rPr>
        <w:t xml:space="preserve"> 28 de noviembre de 2018 del</w:t>
      </w:r>
      <w:r w:rsidR="008C74E3" w:rsidRPr="00970470">
        <w:rPr>
          <w:rFonts w:ascii="Verdana" w:hAnsi="Verdana"/>
          <w:sz w:val="20"/>
          <w:szCs w:val="17"/>
        </w:rPr>
        <w:t xml:space="preserve"> caso </w:t>
      </w:r>
      <w:r w:rsidR="00252532" w:rsidRPr="00970470">
        <w:rPr>
          <w:rFonts w:ascii="Verdana" w:hAnsi="Verdana"/>
          <w:i/>
          <w:sz w:val="20"/>
          <w:szCs w:val="17"/>
        </w:rPr>
        <w:t>Furla</w:t>
      </w:r>
      <w:r w:rsidR="008C74E3" w:rsidRPr="00970470">
        <w:rPr>
          <w:rFonts w:ascii="Verdana" w:hAnsi="Verdana"/>
          <w:i/>
          <w:sz w:val="20"/>
          <w:szCs w:val="17"/>
        </w:rPr>
        <w:t>n y familiares</w:t>
      </w:r>
      <w:r w:rsidR="00970470">
        <w:rPr>
          <w:rFonts w:ascii="Verdana" w:hAnsi="Verdana"/>
          <w:i/>
          <w:sz w:val="20"/>
          <w:szCs w:val="17"/>
        </w:rPr>
        <w:t>,</w:t>
      </w:r>
      <w:r w:rsidR="008C74E3" w:rsidRPr="00970470">
        <w:rPr>
          <w:rFonts w:ascii="Verdana" w:hAnsi="Verdana"/>
          <w:i/>
          <w:sz w:val="20"/>
          <w:szCs w:val="17"/>
        </w:rPr>
        <w:t xml:space="preserve"> </w:t>
      </w:r>
      <w:r w:rsidR="008C74E3" w:rsidRPr="00970470">
        <w:rPr>
          <w:rFonts w:ascii="Verdana" w:hAnsi="Verdana"/>
          <w:sz w:val="20"/>
          <w:szCs w:val="17"/>
        </w:rPr>
        <w:t xml:space="preserve">y </w:t>
      </w:r>
      <w:r w:rsidR="00970470">
        <w:rPr>
          <w:rFonts w:ascii="Verdana" w:hAnsi="Verdana"/>
          <w:sz w:val="20"/>
          <w:szCs w:val="17"/>
        </w:rPr>
        <w:t xml:space="preserve">(iii) </w:t>
      </w:r>
      <w:r w:rsidR="008C74E3" w:rsidRPr="00970470">
        <w:rPr>
          <w:rFonts w:ascii="Verdana" w:hAnsi="Verdana"/>
          <w:sz w:val="20"/>
          <w:szCs w:val="17"/>
        </w:rPr>
        <w:t>al punto resolutivo séptimo de la Resolución de supervisión de cumplimiento de</w:t>
      </w:r>
      <w:r w:rsidR="00970470">
        <w:rPr>
          <w:rFonts w:ascii="Verdana" w:hAnsi="Verdana"/>
          <w:sz w:val="20"/>
          <w:szCs w:val="17"/>
        </w:rPr>
        <w:t xml:space="preserve"> 21 de junio de 202</w:t>
      </w:r>
      <w:r w:rsidR="00555267">
        <w:rPr>
          <w:rFonts w:ascii="Verdana" w:hAnsi="Verdana"/>
          <w:sz w:val="20"/>
          <w:szCs w:val="17"/>
        </w:rPr>
        <w:t>0</w:t>
      </w:r>
      <w:r w:rsidR="00970470">
        <w:rPr>
          <w:rFonts w:ascii="Verdana" w:hAnsi="Verdana"/>
          <w:sz w:val="20"/>
          <w:szCs w:val="17"/>
        </w:rPr>
        <w:t xml:space="preserve"> de</w:t>
      </w:r>
      <w:r w:rsidR="008C74E3" w:rsidRPr="00970470">
        <w:rPr>
          <w:rFonts w:ascii="Verdana" w:hAnsi="Verdana"/>
          <w:sz w:val="20"/>
          <w:szCs w:val="17"/>
        </w:rPr>
        <w:t xml:space="preserve">l caso </w:t>
      </w:r>
      <w:r w:rsidR="008C74E3" w:rsidRPr="00970470">
        <w:rPr>
          <w:rFonts w:ascii="Verdana" w:hAnsi="Verdana"/>
          <w:i/>
          <w:sz w:val="20"/>
          <w:szCs w:val="17"/>
        </w:rPr>
        <w:t>Torres Millacura y otros</w:t>
      </w:r>
      <w:r w:rsidR="008C74E3" w:rsidRPr="00970470">
        <w:rPr>
          <w:rFonts w:ascii="Verdana" w:hAnsi="Verdana"/>
          <w:sz w:val="20"/>
          <w:szCs w:val="17"/>
        </w:rPr>
        <w:t xml:space="preserve">, </w:t>
      </w:r>
      <w:r w:rsidRPr="00970470">
        <w:rPr>
          <w:rFonts w:ascii="Verdana" w:hAnsi="Verdana"/>
          <w:sz w:val="20"/>
          <w:szCs w:val="17"/>
        </w:rPr>
        <w:t>en lo concerniente a</w:t>
      </w:r>
      <w:r w:rsidR="00970470">
        <w:rPr>
          <w:rFonts w:ascii="Verdana" w:hAnsi="Verdana"/>
          <w:sz w:val="20"/>
          <w:szCs w:val="17"/>
        </w:rPr>
        <w:t xml:space="preserve"> </w:t>
      </w:r>
      <w:r w:rsidRPr="00970470">
        <w:rPr>
          <w:rFonts w:ascii="Verdana" w:hAnsi="Verdana"/>
          <w:sz w:val="20"/>
          <w:szCs w:val="17"/>
        </w:rPr>
        <w:t>l</w:t>
      </w:r>
      <w:r w:rsidR="00970470">
        <w:rPr>
          <w:rFonts w:ascii="Verdana" w:hAnsi="Verdana"/>
          <w:sz w:val="20"/>
          <w:szCs w:val="17"/>
        </w:rPr>
        <w:t>os respectivos</w:t>
      </w:r>
      <w:r w:rsidRPr="00970470">
        <w:rPr>
          <w:rFonts w:ascii="Verdana" w:hAnsi="Verdana"/>
          <w:sz w:val="20"/>
          <w:szCs w:val="17"/>
        </w:rPr>
        <w:t xml:space="preserve"> reintegro</w:t>
      </w:r>
      <w:r w:rsidR="00970470">
        <w:rPr>
          <w:rFonts w:ascii="Verdana" w:hAnsi="Verdana"/>
          <w:sz w:val="20"/>
          <w:szCs w:val="17"/>
        </w:rPr>
        <w:t>s</w:t>
      </w:r>
      <w:r w:rsidRPr="00970470">
        <w:rPr>
          <w:rFonts w:ascii="Verdana" w:hAnsi="Verdana"/>
          <w:sz w:val="20"/>
          <w:szCs w:val="17"/>
        </w:rPr>
        <w:t xml:space="preserve"> al Fondo de Asistencia Legal de Víctimas. </w:t>
      </w:r>
    </w:p>
    <w:p w14:paraId="652EB824" w14:textId="08F7AB68" w:rsidR="000C1871" w:rsidRPr="00970470" w:rsidRDefault="002267F0" w:rsidP="00970470">
      <w:pPr>
        <w:pStyle w:val="Prrafodelista"/>
        <w:numPr>
          <w:ilvl w:val="0"/>
          <w:numId w:val="38"/>
        </w:numPr>
        <w:spacing w:before="120" w:after="120" w:line="240" w:lineRule="auto"/>
        <w:ind w:left="0" w:firstLine="0"/>
        <w:contextualSpacing w:val="0"/>
        <w:jc w:val="both"/>
        <w:rPr>
          <w:rFonts w:ascii="Verdana" w:hAnsi="Verdana"/>
          <w:sz w:val="20"/>
          <w:szCs w:val="17"/>
        </w:rPr>
      </w:pPr>
      <w:r w:rsidRPr="00970470">
        <w:rPr>
          <w:rFonts w:ascii="Verdana" w:hAnsi="Verdana"/>
          <w:sz w:val="20"/>
          <w:szCs w:val="17"/>
        </w:rPr>
        <w:t xml:space="preserve">Asimismo, esta Presidencia </w:t>
      </w:r>
      <w:r w:rsidR="00A42F98" w:rsidRPr="00970470">
        <w:rPr>
          <w:rFonts w:ascii="Verdana" w:hAnsi="Verdana"/>
          <w:sz w:val="20"/>
          <w:szCs w:val="17"/>
        </w:rPr>
        <w:t>destaca</w:t>
      </w:r>
      <w:r w:rsidRPr="00970470">
        <w:rPr>
          <w:rFonts w:ascii="Verdana" w:hAnsi="Verdana"/>
          <w:sz w:val="20"/>
          <w:szCs w:val="17"/>
        </w:rPr>
        <w:t xml:space="preserve"> la voluntad de cumplimiento de sus obligaciones interna</w:t>
      </w:r>
      <w:r w:rsidR="008C74E3" w:rsidRPr="00970470">
        <w:rPr>
          <w:rFonts w:ascii="Verdana" w:hAnsi="Verdana"/>
          <w:sz w:val="20"/>
          <w:szCs w:val="17"/>
        </w:rPr>
        <w:t>cionales demostrada por Argentina</w:t>
      </w:r>
      <w:r w:rsidRPr="00970470">
        <w:rPr>
          <w:rFonts w:ascii="Verdana" w:hAnsi="Verdana"/>
          <w:sz w:val="20"/>
          <w:szCs w:val="17"/>
        </w:rPr>
        <w:t xml:space="preserve"> al reintegrar los recursos al referido Fondo de Asistencia. </w:t>
      </w:r>
      <w:r w:rsidR="00A42F98" w:rsidRPr="00970470">
        <w:rPr>
          <w:rFonts w:ascii="Verdana" w:hAnsi="Verdana"/>
          <w:sz w:val="20"/>
          <w:szCs w:val="17"/>
        </w:rPr>
        <w:t xml:space="preserve">Tales </w:t>
      </w:r>
      <w:r w:rsidRPr="00970470">
        <w:rPr>
          <w:rFonts w:ascii="Verdana" w:hAnsi="Verdana"/>
          <w:sz w:val="20"/>
          <w:szCs w:val="17"/>
        </w:rPr>
        <w:t>reintegro</w:t>
      </w:r>
      <w:r w:rsidR="00A42F98" w:rsidRPr="00970470">
        <w:rPr>
          <w:rFonts w:ascii="Verdana" w:hAnsi="Verdana"/>
          <w:sz w:val="20"/>
          <w:szCs w:val="17"/>
        </w:rPr>
        <w:t>s</w:t>
      </w:r>
      <w:r w:rsidRPr="00970470">
        <w:rPr>
          <w:rFonts w:ascii="Verdana" w:hAnsi="Verdana"/>
          <w:sz w:val="20"/>
          <w:szCs w:val="17"/>
        </w:rPr>
        <w:t xml:space="preserve"> contribuirá</w:t>
      </w:r>
      <w:r w:rsidR="00A42F98" w:rsidRPr="00970470">
        <w:rPr>
          <w:rFonts w:ascii="Verdana" w:hAnsi="Verdana"/>
          <w:sz w:val="20"/>
          <w:szCs w:val="17"/>
        </w:rPr>
        <w:t>n</w:t>
      </w:r>
      <w:r w:rsidRPr="00970470">
        <w:rPr>
          <w:rFonts w:ascii="Verdana" w:hAnsi="Verdana"/>
          <w:sz w:val="20"/>
          <w:szCs w:val="17"/>
        </w:rPr>
        <w:t xml:space="preserve">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p>
    <w:p w14:paraId="34F15A19" w14:textId="2DD5CDAE" w:rsidR="001831AD" w:rsidRDefault="001831AD" w:rsidP="00411DC9">
      <w:pPr>
        <w:spacing w:before="120" w:after="120" w:line="240" w:lineRule="auto"/>
        <w:jc w:val="both"/>
        <w:rPr>
          <w:rFonts w:ascii="Verdana" w:hAnsi="Verdana"/>
          <w:sz w:val="20"/>
          <w:szCs w:val="17"/>
        </w:rPr>
      </w:pPr>
    </w:p>
    <w:p w14:paraId="4B3D5B49" w14:textId="77777777" w:rsidR="001831AD" w:rsidRPr="001831AD" w:rsidRDefault="001831AD" w:rsidP="00411DC9">
      <w:pPr>
        <w:spacing w:before="120" w:after="120" w:line="240" w:lineRule="auto"/>
        <w:jc w:val="both"/>
        <w:rPr>
          <w:rFonts w:ascii="Verdana" w:hAnsi="Verdana"/>
          <w:b/>
          <w:sz w:val="20"/>
          <w:szCs w:val="17"/>
        </w:rPr>
      </w:pPr>
      <w:r w:rsidRPr="001831AD">
        <w:rPr>
          <w:rFonts w:ascii="Verdana" w:hAnsi="Verdana"/>
          <w:b/>
          <w:sz w:val="20"/>
          <w:szCs w:val="17"/>
        </w:rPr>
        <w:t>POR TANTO:</w:t>
      </w:r>
    </w:p>
    <w:p w14:paraId="0BE3E55A" w14:textId="77777777" w:rsidR="001831AD" w:rsidRPr="001831AD" w:rsidRDefault="001831AD" w:rsidP="00411DC9">
      <w:pPr>
        <w:spacing w:before="120" w:after="120" w:line="240" w:lineRule="auto"/>
        <w:jc w:val="both"/>
        <w:rPr>
          <w:rFonts w:ascii="Verdana" w:hAnsi="Verdana"/>
          <w:b/>
          <w:sz w:val="20"/>
          <w:szCs w:val="17"/>
        </w:rPr>
      </w:pPr>
      <w:r w:rsidRPr="001831AD">
        <w:rPr>
          <w:rFonts w:ascii="Verdana" w:hAnsi="Verdana"/>
          <w:b/>
          <w:sz w:val="20"/>
          <w:szCs w:val="17"/>
        </w:rPr>
        <w:t>LA PRESIDENTA DE LA CORTE INTERAMERICANA DE DERECHOS HUMANOS,</w:t>
      </w:r>
    </w:p>
    <w:p w14:paraId="40E25B67" w14:textId="77777777" w:rsidR="001831AD" w:rsidRPr="001831AD" w:rsidRDefault="001831AD" w:rsidP="00411DC9">
      <w:pPr>
        <w:spacing w:before="120" w:after="120" w:line="240" w:lineRule="auto"/>
        <w:jc w:val="both"/>
        <w:rPr>
          <w:rFonts w:ascii="Verdana" w:hAnsi="Verdana"/>
          <w:sz w:val="20"/>
          <w:szCs w:val="17"/>
        </w:rPr>
      </w:pPr>
      <w:r w:rsidRPr="001831AD">
        <w:rPr>
          <w:rFonts w:ascii="Verdana" w:hAnsi="Verdana"/>
          <w:sz w:val="20"/>
          <w:szCs w:val="17"/>
        </w:rPr>
        <w:t>en el uso de las atribuciones que le confiere el artículo 68.1 de la Convención Americana, y los artículos 4, 31.2 y 69 del Reglamento de la Corte Interamericana, así como con los artículos 1, 4 y 5 del Reglamento del Fondo de Asistencia Legal de Víctimas,</w:t>
      </w:r>
    </w:p>
    <w:p w14:paraId="1E821922" w14:textId="77777777" w:rsidR="00B55B9E" w:rsidRDefault="00B55B9E" w:rsidP="00411DC9">
      <w:pPr>
        <w:spacing w:before="120" w:after="120" w:line="240" w:lineRule="auto"/>
        <w:jc w:val="both"/>
        <w:rPr>
          <w:rFonts w:ascii="Verdana" w:hAnsi="Verdana"/>
          <w:b/>
          <w:sz w:val="20"/>
          <w:szCs w:val="17"/>
        </w:rPr>
      </w:pPr>
    </w:p>
    <w:p w14:paraId="135077D0" w14:textId="77777777" w:rsidR="00B55B9E" w:rsidRDefault="00B55B9E" w:rsidP="00411DC9">
      <w:pPr>
        <w:spacing w:before="120" w:after="120" w:line="240" w:lineRule="auto"/>
        <w:jc w:val="both"/>
        <w:rPr>
          <w:rFonts w:ascii="Verdana" w:hAnsi="Verdana"/>
          <w:b/>
          <w:sz w:val="20"/>
          <w:szCs w:val="17"/>
        </w:rPr>
      </w:pPr>
    </w:p>
    <w:p w14:paraId="4D9CE50A" w14:textId="791D13A4" w:rsidR="00B55B9E" w:rsidRDefault="00B55B9E" w:rsidP="00411DC9">
      <w:pPr>
        <w:spacing w:before="120" w:after="120" w:line="240" w:lineRule="auto"/>
        <w:jc w:val="both"/>
        <w:rPr>
          <w:rFonts w:ascii="Verdana" w:hAnsi="Verdana"/>
          <w:b/>
          <w:sz w:val="20"/>
          <w:szCs w:val="17"/>
        </w:rPr>
      </w:pPr>
    </w:p>
    <w:p w14:paraId="6B8768A5" w14:textId="3D256860" w:rsidR="00213DF1" w:rsidRDefault="00213DF1" w:rsidP="00411DC9">
      <w:pPr>
        <w:spacing w:before="120" w:after="120" w:line="240" w:lineRule="auto"/>
        <w:jc w:val="both"/>
        <w:rPr>
          <w:rFonts w:ascii="Verdana" w:hAnsi="Verdana"/>
          <w:b/>
          <w:sz w:val="20"/>
          <w:szCs w:val="17"/>
        </w:rPr>
      </w:pPr>
    </w:p>
    <w:p w14:paraId="5F21FAAC" w14:textId="5F5179E8" w:rsidR="00213DF1" w:rsidRDefault="00213DF1" w:rsidP="00411DC9">
      <w:pPr>
        <w:spacing w:before="120" w:after="120" w:line="240" w:lineRule="auto"/>
        <w:jc w:val="both"/>
        <w:rPr>
          <w:rFonts w:ascii="Verdana" w:hAnsi="Verdana"/>
          <w:b/>
          <w:sz w:val="20"/>
          <w:szCs w:val="17"/>
        </w:rPr>
      </w:pPr>
    </w:p>
    <w:p w14:paraId="53BEAF24" w14:textId="5221B520" w:rsidR="00213DF1" w:rsidRDefault="00213DF1" w:rsidP="00411DC9">
      <w:pPr>
        <w:spacing w:before="120" w:after="120" w:line="240" w:lineRule="auto"/>
        <w:jc w:val="both"/>
        <w:rPr>
          <w:rFonts w:ascii="Verdana" w:hAnsi="Verdana"/>
          <w:b/>
          <w:sz w:val="20"/>
          <w:szCs w:val="17"/>
        </w:rPr>
      </w:pPr>
    </w:p>
    <w:p w14:paraId="722E6B55" w14:textId="77777777" w:rsidR="00213DF1" w:rsidRDefault="00213DF1" w:rsidP="00411DC9">
      <w:pPr>
        <w:spacing w:before="120" w:after="120" w:line="240" w:lineRule="auto"/>
        <w:jc w:val="both"/>
        <w:rPr>
          <w:rFonts w:ascii="Verdana" w:hAnsi="Verdana"/>
          <w:b/>
          <w:sz w:val="20"/>
          <w:szCs w:val="17"/>
        </w:rPr>
      </w:pPr>
    </w:p>
    <w:p w14:paraId="2A576FC4" w14:textId="77777777" w:rsidR="00B55B9E" w:rsidRDefault="00B55B9E" w:rsidP="00411DC9">
      <w:pPr>
        <w:spacing w:before="120" w:after="120" w:line="240" w:lineRule="auto"/>
        <w:jc w:val="both"/>
        <w:rPr>
          <w:rFonts w:ascii="Verdana" w:hAnsi="Verdana"/>
          <w:b/>
          <w:sz w:val="20"/>
          <w:szCs w:val="17"/>
        </w:rPr>
      </w:pPr>
    </w:p>
    <w:p w14:paraId="46D9509D" w14:textId="4FC3EC92" w:rsidR="001831AD" w:rsidRDefault="001831AD" w:rsidP="00411DC9">
      <w:pPr>
        <w:spacing w:before="120" w:after="120" w:line="240" w:lineRule="auto"/>
        <w:jc w:val="both"/>
        <w:rPr>
          <w:rFonts w:ascii="Verdana" w:hAnsi="Verdana"/>
          <w:b/>
          <w:sz w:val="20"/>
          <w:szCs w:val="17"/>
        </w:rPr>
      </w:pPr>
      <w:r w:rsidRPr="001831AD">
        <w:rPr>
          <w:rFonts w:ascii="Verdana" w:hAnsi="Verdana"/>
          <w:b/>
          <w:sz w:val="20"/>
          <w:szCs w:val="17"/>
        </w:rPr>
        <w:lastRenderedPageBreak/>
        <w:t>RESUELVE:</w:t>
      </w:r>
    </w:p>
    <w:p w14:paraId="5B227A2E" w14:textId="77777777" w:rsidR="00555267" w:rsidRDefault="00DD5B6B" w:rsidP="00411DC9">
      <w:pPr>
        <w:pStyle w:val="Prrafodelista"/>
        <w:numPr>
          <w:ilvl w:val="0"/>
          <w:numId w:val="39"/>
        </w:numPr>
        <w:spacing w:before="120" w:after="120" w:line="240" w:lineRule="auto"/>
        <w:ind w:left="0" w:firstLine="0"/>
        <w:contextualSpacing w:val="0"/>
        <w:jc w:val="both"/>
        <w:rPr>
          <w:rFonts w:ascii="Verdana" w:hAnsi="Verdana"/>
          <w:sz w:val="20"/>
          <w:szCs w:val="17"/>
        </w:rPr>
      </w:pPr>
      <w:r>
        <w:rPr>
          <w:rFonts w:ascii="Verdana" w:hAnsi="Verdana"/>
          <w:sz w:val="20"/>
        </w:rPr>
        <w:t>De</w:t>
      </w:r>
      <w:r w:rsidR="001831AD" w:rsidRPr="0062373D">
        <w:rPr>
          <w:rFonts w:ascii="Verdana" w:hAnsi="Verdana"/>
          <w:sz w:val="20"/>
          <w:szCs w:val="17"/>
        </w:rPr>
        <w:t>clarar que la República de Argentina ha cumplido con reintegrar al Fondo de Asistencia Legal de Víctimas de la Corte Interamericana de Derechos Humanos la</w:t>
      </w:r>
      <w:r w:rsidR="004105A3" w:rsidRPr="0062373D">
        <w:rPr>
          <w:rFonts w:ascii="Verdana" w:hAnsi="Verdana"/>
          <w:sz w:val="20"/>
          <w:szCs w:val="17"/>
        </w:rPr>
        <w:t>s</w:t>
      </w:r>
      <w:r w:rsidR="001831AD" w:rsidRPr="0062373D">
        <w:rPr>
          <w:rFonts w:ascii="Verdana" w:hAnsi="Verdana"/>
          <w:sz w:val="20"/>
          <w:szCs w:val="17"/>
        </w:rPr>
        <w:t xml:space="preserve"> cantidad</w:t>
      </w:r>
      <w:r w:rsidR="004105A3" w:rsidRPr="0062373D">
        <w:rPr>
          <w:rFonts w:ascii="Verdana" w:hAnsi="Verdana"/>
          <w:sz w:val="20"/>
          <w:szCs w:val="17"/>
        </w:rPr>
        <w:t>es</w:t>
      </w:r>
      <w:r w:rsidR="001831AD" w:rsidRPr="0062373D">
        <w:rPr>
          <w:rFonts w:ascii="Verdana" w:hAnsi="Verdana"/>
          <w:sz w:val="20"/>
          <w:szCs w:val="17"/>
        </w:rPr>
        <w:t xml:space="preserve"> dispuesta</w:t>
      </w:r>
      <w:r w:rsidR="004105A3" w:rsidRPr="0062373D">
        <w:rPr>
          <w:rFonts w:ascii="Verdana" w:hAnsi="Verdana"/>
          <w:sz w:val="20"/>
          <w:szCs w:val="17"/>
        </w:rPr>
        <w:t>s</w:t>
      </w:r>
      <w:r w:rsidR="001831AD" w:rsidRPr="0062373D">
        <w:rPr>
          <w:rFonts w:ascii="Verdana" w:hAnsi="Verdana"/>
          <w:sz w:val="20"/>
          <w:szCs w:val="17"/>
        </w:rPr>
        <w:t xml:space="preserve"> en</w:t>
      </w:r>
      <w:r w:rsidR="004105A3" w:rsidRPr="0062373D">
        <w:rPr>
          <w:rFonts w:ascii="Verdana" w:hAnsi="Verdana"/>
          <w:sz w:val="20"/>
          <w:szCs w:val="17"/>
        </w:rPr>
        <w:t xml:space="preserve">: </w:t>
      </w:r>
    </w:p>
    <w:p w14:paraId="23E9F1AD" w14:textId="61AD9988" w:rsidR="00555267" w:rsidRDefault="001831AD" w:rsidP="00555267">
      <w:pPr>
        <w:pStyle w:val="Prrafodelista"/>
        <w:numPr>
          <w:ilvl w:val="0"/>
          <w:numId w:val="44"/>
        </w:numPr>
        <w:spacing w:before="120" w:after="120" w:line="240" w:lineRule="auto"/>
        <w:contextualSpacing w:val="0"/>
        <w:jc w:val="both"/>
        <w:rPr>
          <w:rFonts w:ascii="Verdana" w:hAnsi="Verdana"/>
          <w:sz w:val="20"/>
          <w:szCs w:val="17"/>
        </w:rPr>
      </w:pPr>
      <w:r w:rsidRPr="0062373D">
        <w:rPr>
          <w:rFonts w:ascii="Verdana" w:hAnsi="Verdana"/>
          <w:sz w:val="20"/>
          <w:szCs w:val="17"/>
        </w:rPr>
        <w:t xml:space="preserve">el punto resolutivo décimo tercero y el párrafo 264 de la Sentencia del caso </w:t>
      </w:r>
      <w:r w:rsidRPr="0062373D">
        <w:rPr>
          <w:rFonts w:ascii="Verdana" w:hAnsi="Verdana"/>
          <w:i/>
          <w:sz w:val="20"/>
          <w:szCs w:val="17"/>
        </w:rPr>
        <w:t>López y otros</w:t>
      </w:r>
      <w:r w:rsidR="004105A3" w:rsidRPr="0062373D">
        <w:rPr>
          <w:rFonts w:ascii="Verdana" w:hAnsi="Verdana"/>
          <w:sz w:val="20"/>
          <w:szCs w:val="17"/>
        </w:rPr>
        <w:t xml:space="preserve">; </w:t>
      </w:r>
    </w:p>
    <w:p w14:paraId="3E249323" w14:textId="77777777" w:rsidR="00555267" w:rsidRDefault="004105A3" w:rsidP="00555267">
      <w:pPr>
        <w:pStyle w:val="Prrafodelista"/>
        <w:numPr>
          <w:ilvl w:val="0"/>
          <w:numId w:val="44"/>
        </w:numPr>
        <w:spacing w:before="120" w:after="120" w:line="240" w:lineRule="auto"/>
        <w:contextualSpacing w:val="0"/>
        <w:jc w:val="both"/>
        <w:rPr>
          <w:rFonts w:ascii="Verdana" w:hAnsi="Verdana"/>
          <w:sz w:val="20"/>
          <w:szCs w:val="17"/>
        </w:rPr>
      </w:pPr>
      <w:r w:rsidRPr="0062373D">
        <w:rPr>
          <w:rFonts w:ascii="Verdana" w:hAnsi="Verdana"/>
          <w:sz w:val="20"/>
          <w:szCs w:val="17"/>
        </w:rPr>
        <w:t xml:space="preserve">el punto resolutivo sexto y Considerando 50 de la Resolución de supervisión de cumplimiento de </w:t>
      </w:r>
      <w:r w:rsidRPr="0062373D">
        <w:rPr>
          <w:rFonts w:ascii="Verdana" w:hAnsi="Verdana"/>
          <w:sz w:val="20"/>
          <w:szCs w:val="20"/>
        </w:rPr>
        <w:t>28 de noviembre de 2018</w:t>
      </w:r>
      <w:r w:rsidRPr="0062373D">
        <w:rPr>
          <w:rFonts w:ascii="Verdana" w:hAnsi="Verdana"/>
          <w:sz w:val="20"/>
          <w:szCs w:val="17"/>
        </w:rPr>
        <w:t xml:space="preserve"> del caso </w:t>
      </w:r>
      <w:r w:rsidR="00DD5B6B">
        <w:rPr>
          <w:rFonts w:ascii="Verdana" w:hAnsi="Verdana"/>
          <w:i/>
          <w:sz w:val="20"/>
          <w:szCs w:val="17"/>
        </w:rPr>
        <w:t>Furla</w:t>
      </w:r>
      <w:r w:rsidRPr="0062373D">
        <w:rPr>
          <w:rFonts w:ascii="Verdana" w:hAnsi="Verdana"/>
          <w:i/>
          <w:sz w:val="20"/>
          <w:szCs w:val="17"/>
        </w:rPr>
        <w:t>n y famili</w:t>
      </w:r>
      <w:r w:rsidR="002E3A8E" w:rsidRPr="0062373D">
        <w:rPr>
          <w:rFonts w:ascii="Verdana" w:hAnsi="Verdana"/>
          <w:i/>
          <w:sz w:val="20"/>
          <w:szCs w:val="17"/>
        </w:rPr>
        <w:t>a</w:t>
      </w:r>
      <w:r w:rsidRPr="0062373D">
        <w:rPr>
          <w:rFonts w:ascii="Verdana" w:hAnsi="Verdana"/>
          <w:i/>
          <w:sz w:val="20"/>
          <w:szCs w:val="17"/>
        </w:rPr>
        <w:t>res</w:t>
      </w:r>
      <w:r w:rsidRPr="0062373D">
        <w:rPr>
          <w:rFonts w:ascii="Verdana" w:hAnsi="Verdana"/>
          <w:sz w:val="20"/>
          <w:szCs w:val="17"/>
        </w:rPr>
        <w:t>, y</w:t>
      </w:r>
    </w:p>
    <w:p w14:paraId="3EA5E4DE" w14:textId="2E17610C" w:rsidR="0062373D" w:rsidRDefault="004105A3" w:rsidP="00555267">
      <w:pPr>
        <w:pStyle w:val="Prrafodelista"/>
        <w:numPr>
          <w:ilvl w:val="0"/>
          <w:numId w:val="44"/>
        </w:numPr>
        <w:spacing w:before="120" w:after="120" w:line="240" w:lineRule="auto"/>
        <w:contextualSpacing w:val="0"/>
        <w:jc w:val="both"/>
        <w:rPr>
          <w:rFonts w:ascii="Verdana" w:hAnsi="Verdana"/>
          <w:sz w:val="20"/>
          <w:szCs w:val="17"/>
        </w:rPr>
      </w:pPr>
      <w:r w:rsidRPr="0062373D">
        <w:rPr>
          <w:rFonts w:ascii="Verdana" w:hAnsi="Verdana"/>
          <w:sz w:val="20"/>
          <w:szCs w:val="17"/>
        </w:rPr>
        <w:t xml:space="preserve">en el punto resolutivo séptimo y Considerando 64 de la Resolución de supervisión de cumplimiento de </w:t>
      </w:r>
      <w:r w:rsidR="002E3A8E" w:rsidRPr="0062373D">
        <w:rPr>
          <w:rFonts w:ascii="Verdana" w:hAnsi="Verdana"/>
          <w:sz w:val="20"/>
          <w:szCs w:val="17"/>
        </w:rPr>
        <w:t>21 de julio de 2020</w:t>
      </w:r>
      <w:r w:rsidRPr="0062373D">
        <w:rPr>
          <w:rFonts w:ascii="Verdana" w:hAnsi="Verdana"/>
          <w:sz w:val="20"/>
          <w:szCs w:val="17"/>
        </w:rPr>
        <w:t xml:space="preserve"> del caso </w:t>
      </w:r>
      <w:r w:rsidRPr="0062373D">
        <w:rPr>
          <w:rFonts w:ascii="Verdana" w:hAnsi="Verdana"/>
          <w:i/>
          <w:sz w:val="20"/>
          <w:szCs w:val="17"/>
        </w:rPr>
        <w:t>Torres Millacura y otros</w:t>
      </w:r>
      <w:r w:rsidRPr="0062373D">
        <w:rPr>
          <w:rFonts w:ascii="Verdana" w:hAnsi="Verdana"/>
          <w:sz w:val="20"/>
          <w:szCs w:val="17"/>
        </w:rPr>
        <w:t>.</w:t>
      </w:r>
    </w:p>
    <w:p w14:paraId="2EF6D309" w14:textId="73A89905" w:rsidR="00C84DDB" w:rsidRDefault="001831AD" w:rsidP="00411DC9">
      <w:pPr>
        <w:pStyle w:val="Prrafodelista"/>
        <w:numPr>
          <w:ilvl w:val="0"/>
          <w:numId w:val="39"/>
        </w:numPr>
        <w:spacing w:before="120" w:after="120" w:line="240" w:lineRule="auto"/>
        <w:ind w:left="0" w:firstLine="0"/>
        <w:contextualSpacing w:val="0"/>
        <w:jc w:val="both"/>
        <w:rPr>
          <w:rFonts w:ascii="Verdana" w:hAnsi="Verdana"/>
          <w:sz w:val="20"/>
          <w:szCs w:val="17"/>
        </w:rPr>
      </w:pPr>
      <w:r w:rsidRPr="0062373D">
        <w:rPr>
          <w:rFonts w:ascii="Verdana" w:hAnsi="Verdana"/>
          <w:sz w:val="20"/>
          <w:szCs w:val="17"/>
        </w:rPr>
        <w:t>Disponer que la Secretaría de la Corte Interamericana de Derechos Humanos noti</w:t>
      </w:r>
      <w:r w:rsidR="00CB1CE2" w:rsidRPr="0062373D">
        <w:rPr>
          <w:rFonts w:ascii="Verdana" w:hAnsi="Verdana"/>
          <w:sz w:val="20"/>
          <w:szCs w:val="17"/>
        </w:rPr>
        <w:t>fique la presente Resolución a la República de Argentina, a lo</w:t>
      </w:r>
      <w:r w:rsidRPr="0062373D">
        <w:rPr>
          <w:rFonts w:ascii="Verdana" w:hAnsi="Verdana"/>
          <w:sz w:val="20"/>
          <w:szCs w:val="17"/>
        </w:rPr>
        <w:t xml:space="preserve">s representantes de las víctimas </w:t>
      </w:r>
      <w:r w:rsidR="00CB1CE2" w:rsidRPr="0062373D">
        <w:rPr>
          <w:rFonts w:ascii="Verdana" w:hAnsi="Verdana"/>
          <w:sz w:val="20"/>
          <w:szCs w:val="17"/>
        </w:rPr>
        <w:t xml:space="preserve">de los referidos tres casos </w:t>
      </w:r>
      <w:r w:rsidRPr="0062373D">
        <w:rPr>
          <w:rFonts w:ascii="Verdana" w:hAnsi="Verdana"/>
          <w:sz w:val="20"/>
          <w:szCs w:val="17"/>
        </w:rPr>
        <w:t xml:space="preserve">y a </w:t>
      </w:r>
      <w:r w:rsidR="00CB1CE2" w:rsidRPr="0062373D">
        <w:rPr>
          <w:rFonts w:ascii="Verdana" w:hAnsi="Verdana"/>
          <w:sz w:val="20"/>
          <w:szCs w:val="17"/>
        </w:rPr>
        <w:t>la</w:t>
      </w:r>
      <w:r w:rsidRPr="0062373D">
        <w:rPr>
          <w:rFonts w:ascii="Verdana" w:hAnsi="Verdana"/>
          <w:sz w:val="20"/>
          <w:szCs w:val="17"/>
        </w:rPr>
        <w:t xml:space="preserve"> Comisión Interamericana de Derechos Humanos.</w:t>
      </w:r>
    </w:p>
    <w:p w14:paraId="40E4480D" w14:textId="2BCB6FCE" w:rsidR="00C84DDB" w:rsidRDefault="00C84DDB" w:rsidP="00C84DDB">
      <w:pPr>
        <w:spacing w:before="120" w:after="120" w:line="240" w:lineRule="auto"/>
        <w:jc w:val="both"/>
        <w:rPr>
          <w:rFonts w:ascii="Verdana" w:hAnsi="Verdana"/>
          <w:sz w:val="20"/>
          <w:szCs w:val="17"/>
        </w:rPr>
      </w:pPr>
    </w:p>
    <w:p w14:paraId="29DB52EC" w14:textId="767D9660" w:rsidR="00C84DDB" w:rsidRDefault="00C84DDB" w:rsidP="00C84DDB">
      <w:pPr>
        <w:spacing w:after="0" w:line="240" w:lineRule="auto"/>
        <w:rPr>
          <w:rFonts w:ascii="Verdana" w:hAnsi="Verdana"/>
          <w:sz w:val="20"/>
        </w:rPr>
      </w:pPr>
    </w:p>
    <w:p w14:paraId="0B623923" w14:textId="4634AEE2" w:rsidR="00C84DDB" w:rsidRPr="00C84DDB" w:rsidRDefault="00C84DDB" w:rsidP="00C84DDB">
      <w:pPr>
        <w:spacing w:after="0" w:line="240" w:lineRule="auto"/>
        <w:rPr>
          <w:rFonts w:ascii="Verdana" w:hAnsi="Verdana"/>
          <w:sz w:val="20"/>
        </w:rPr>
      </w:pPr>
    </w:p>
    <w:p w14:paraId="5E08E4E0" w14:textId="0739A8A5" w:rsidR="00C84DDB" w:rsidRPr="00C84DDB" w:rsidRDefault="00C84DDB" w:rsidP="00C84DDB">
      <w:pPr>
        <w:spacing w:after="0" w:line="240" w:lineRule="auto"/>
        <w:ind w:left="5664" w:firstLine="708"/>
        <w:jc w:val="center"/>
        <w:rPr>
          <w:rFonts w:ascii="Verdana" w:hAnsi="Verdana"/>
          <w:sz w:val="20"/>
          <w:lang w:val="pt-BR"/>
        </w:rPr>
      </w:pPr>
      <w:r w:rsidRPr="00C84DDB">
        <w:rPr>
          <w:rFonts w:ascii="Verdana" w:hAnsi="Verdana"/>
          <w:sz w:val="20"/>
          <w:lang w:val="pt-BR"/>
        </w:rPr>
        <w:t>Elizabeth Odio Benito</w:t>
      </w:r>
    </w:p>
    <w:p w14:paraId="16415E9D" w14:textId="77777777" w:rsidR="00C84DDB" w:rsidRPr="00C84DDB" w:rsidRDefault="00C84DDB" w:rsidP="00C84DDB">
      <w:pPr>
        <w:spacing w:after="0" w:line="240" w:lineRule="auto"/>
        <w:ind w:left="6480" w:firstLine="720"/>
        <w:rPr>
          <w:rFonts w:ascii="Verdana" w:hAnsi="Verdana"/>
          <w:sz w:val="20"/>
          <w:lang w:val="pt-BR"/>
        </w:rPr>
      </w:pPr>
      <w:r w:rsidRPr="00C84DDB">
        <w:rPr>
          <w:rFonts w:ascii="Verdana" w:hAnsi="Verdana"/>
          <w:sz w:val="20"/>
          <w:lang w:val="pt-BR"/>
        </w:rPr>
        <w:t>Presidenta</w:t>
      </w:r>
    </w:p>
    <w:p w14:paraId="64D75C76" w14:textId="2EFEF0ED" w:rsidR="00C84DDB" w:rsidRPr="00C84DDB" w:rsidRDefault="00C84DDB" w:rsidP="00C84DDB">
      <w:pPr>
        <w:spacing w:after="0" w:line="240" w:lineRule="auto"/>
        <w:rPr>
          <w:rFonts w:ascii="Verdana" w:hAnsi="Verdana"/>
          <w:sz w:val="20"/>
          <w:lang w:val="pt-BR"/>
        </w:rPr>
      </w:pPr>
    </w:p>
    <w:p w14:paraId="35031A3F" w14:textId="2CE9B306" w:rsidR="00C84DDB" w:rsidRPr="00C84DDB" w:rsidRDefault="00C84DDB" w:rsidP="00C84DDB">
      <w:pPr>
        <w:spacing w:after="0" w:line="240" w:lineRule="auto"/>
        <w:rPr>
          <w:rFonts w:ascii="Verdana" w:hAnsi="Verdana"/>
          <w:sz w:val="20"/>
          <w:lang w:val="pt-BR"/>
        </w:rPr>
      </w:pPr>
    </w:p>
    <w:p w14:paraId="5312B4A2" w14:textId="77777777" w:rsidR="00C84DDB" w:rsidRPr="00C84DDB" w:rsidRDefault="00C84DDB" w:rsidP="00C84DDB">
      <w:pPr>
        <w:spacing w:after="0" w:line="240" w:lineRule="auto"/>
        <w:rPr>
          <w:rFonts w:ascii="Verdana" w:hAnsi="Verdana"/>
          <w:sz w:val="20"/>
          <w:lang w:val="pt-BR"/>
        </w:rPr>
      </w:pPr>
    </w:p>
    <w:p w14:paraId="14F45CB3" w14:textId="79F81E43" w:rsidR="00C84DDB" w:rsidRPr="00C84DDB" w:rsidRDefault="00C84DDB" w:rsidP="00C84DDB">
      <w:pPr>
        <w:spacing w:after="0" w:line="240" w:lineRule="auto"/>
        <w:rPr>
          <w:rFonts w:ascii="Verdana" w:hAnsi="Verdana"/>
          <w:sz w:val="20"/>
          <w:lang w:val="pt-BR"/>
        </w:rPr>
      </w:pPr>
    </w:p>
    <w:p w14:paraId="7D950B60" w14:textId="516662BC" w:rsidR="00C84DDB" w:rsidRPr="00C84DDB" w:rsidRDefault="00C84DDB" w:rsidP="00C84DDB">
      <w:pPr>
        <w:spacing w:after="0" w:line="240" w:lineRule="auto"/>
        <w:rPr>
          <w:rFonts w:ascii="Verdana" w:hAnsi="Verdana"/>
          <w:sz w:val="20"/>
          <w:lang w:val="pt-BR"/>
        </w:rPr>
      </w:pPr>
    </w:p>
    <w:p w14:paraId="59E26599" w14:textId="51AB729E" w:rsidR="00C84DDB" w:rsidRPr="00C84DDB" w:rsidRDefault="00C84DDB" w:rsidP="00C84DDB">
      <w:pPr>
        <w:spacing w:after="0" w:line="240" w:lineRule="auto"/>
        <w:rPr>
          <w:rFonts w:ascii="Verdana" w:hAnsi="Verdana"/>
          <w:sz w:val="20"/>
          <w:lang w:val="pt-BR"/>
        </w:rPr>
      </w:pPr>
      <w:r w:rsidRPr="00C84DDB">
        <w:rPr>
          <w:rFonts w:ascii="Verdana" w:hAnsi="Verdana"/>
          <w:sz w:val="20"/>
          <w:lang w:val="pt-BR"/>
        </w:rPr>
        <w:t>Pablo Saavedra Alessandri</w:t>
      </w:r>
    </w:p>
    <w:p w14:paraId="5D608502" w14:textId="2A6A87C9" w:rsidR="00C84DDB" w:rsidRPr="00C84DDB" w:rsidRDefault="00C84DDB" w:rsidP="00C84DDB">
      <w:pPr>
        <w:spacing w:after="0" w:line="240" w:lineRule="auto"/>
        <w:rPr>
          <w:rFonts w:ascii="Verdana" w:hAnsi="Verdana"/>
          <w:sz w:val="20"/>
        </w:rPr>
      </w:pPr>
      <w:r w:rsidRPr="00C84DDB">
        <w:rPr>
          <w:rFonts w:ascii="Verdana" w:hAnsi="Verdana"/>
          <w:sz w:val="20"/>
        </w:rPr>
        <w:t xml:space="preserve">           Secretario</w:t>
      </w:r>
    </w:p>
    <w:p w14:paraId="5ADB832E" w14:textId="3F6F381E" w:rsidR="00C84DDB" w:rsidRPr="00C84DDB" w:rsidRDefault="00C84DDB" w:rsidP="00C84DDB">
      <w:pPr>
        <w:spacing w:after="0" w:line="240" w:lineRule="auto"/>
        <w:jc w:val="both"/>
        <w:rPr>
          <w:rFonts w:ascii="Verdana" w:hAnsi="Verdana"/>
          <w:sz w:val="20"/>
          <w:szCs w:val="20"/>
        </w:rPr>
      </w:pPr>
    </w:p>
    <w:p w14:paraId="3244534E" w14:textId="77777777" w:rsidR="00C84DDB" w:rsidRPr="00C84DDB" w:rsidRDefault="00C84DDB" w:rsidP="00C84DDB">
      <w:pPr>
        <w:spacing w:after="0" w:line="240" w:lineRule="auto"/>
        <w:jc w:val="both"/>
        <w:rPr>
          <w:rFonts w:ascii="Verdana" w:hAnsi="Verdana"/>
          <w:sz w:val="20"/>
          <w:szCs w:val="20"/>
        </w:rPr>
      </w:pPr>
    </w:p>
    <w:p w14:paraId="023C97C7" w14:textId="77777777" w:rsidR="00C84DDB" w:rsidRPr="00C84DDB" w:rsidRDefault="00C84DDB" w:rsidP="00C84DDB">
      <w:pPr>
        <w:spacing w:after="0" w:line="240" w:lineRule="auto"/>
        <w:jc w:val="both"/>
        <w:rPr>
          <w:rFonts w:ascii="Verdana" w:hAnsi="Verdana"/>
          <w:sz w:val="20"/>
          <w:szCs w:val="20"/>
        </w:rPr>
      </w:pPr>
    </w:p>
    <w:p w14:paraId="699768DC" w14:textId="77777777" w:rsidR="00C84DDB" w:rsidRPr="00C84DDB" w:rsidRDefault="00C84DDB" w:rsidP="00C84DDB">
      <w:pPr>
        <w:spacing w:after="0" w:line="240" w:lineRule="auto"/>
        <w:jc w:val="both"/>
        <w:rPr>
          <w:rFonts w:ascii="Verdana" w:hAnsi="Verdana"/>
          <w:sz w:val="20"/>
          <w:szCs w:val="20"/>
        </w:rPr>
      </w:pPr>
    </w:p>
    <w:p w14:paraId="709EA945" w14:textId="4AB814F2" w:rsidR="00C84DDB" w:rsidRPr="00C84DDB" w:rsidRDefault="00C84DDB" w:rsidP="00C84DDB">
      <w:pPr>
        <w:spacing w:after="200" w:line="276" w:lineRule="auto"/>
        <w:jc w:val="both"/>
        <w:rPr>
          <w:rFonts w:ascii="Verdana" w:hAnsi="Verdana"/>
          <w:sz w:val="20"/>
        </w:rPr>
      </w:pPr>
      <w:r w:rsidRPr="00C84DDB">
        <w:rPr>
          <w:rFonts w:ascii="Verdana" w:hAnsi="Verdana"/>
          <w:sz w:val="20"/>
        </w:rPr>
        <w:t>Comuníquese y ejecútese,</w:t>
      </w:r>
    </w:p>
    <w:p w14:paraId="11D0BBBF" w14:textId="0E330862" w:rsidR="00C84DDB" w:rsidRPr="00C84DDB" w:rsidRDefault="00C84DDB" w:rsidP="00C84DDB">
      <w:pPr>
        <w:spacing w:after="0" w:line="240" w:lineRule="auto"/>
        <w:jc w:val="both"/>
        <w:rPr>
          <w:rFonts w:ascii="Verdana" w:hAnsi="Verdana"/>
          <w:sz w:val="20"/>
          <w:szCs w:val="20"/>
        </w:rPr>
      </w:pPr>
    </w:p>
    <w:p w14:paraId="0FBF55A6" w14:textId="0F221D49" w:rsidR="00C84DDB" w:rsidRPr="00C84DDB" w:rsidRDefault="00C84DDB" w:rsidP="00C84DDB">
      <w:pPr>
        <w:spacing w:after="0" w:line="240" w:lineRule="auto"/>
        <w:jc w:val="both"/>
        <w:rPr>
          <w:rFonts w:ascii="Verdana" w:hAnsi="Verdana"/>
          <w:sz w:val="20"/>
          <w:szCs w:val="20"/>
        </w:rPr>
      </w:pPr>
    </w:p>
    <w:p w14:paraId="3A456AD1" w14:textId="77750670" w:rsidR="00C84DDB" w:rsidRPr="00C84DDB" w:rsidRDefault="00C84DDB" w:rsidP="00C84DDB">
      <w:pPr>
        <w:spacing w:after="0" w:line="240" w:lineRule="auto"/>
        <w:jc w:val="both"/>
        <w:rPr>
          <w:rFonts w:ascii="Verdana" w:hAnsi="Verdana"/>
          <w:sz w:val="20"/>
          <w:szCs w:val="20"/>
        </w:rPr>
      </w:pPr>
    </w:p>
    <w:p w14:paraId="141F9F88" w14:textId="2D65E58E" w:rsidR="00C84DDB" w:rsidRPr="00C84DDB" w:rsidRDefault="00C84DDB" w:rsidP="00C84DDB">
      <w:pPr>
        <w:spacing w:after="0" w:line="240" w:lineRule="auto"/>
        <w:jc w:val="both"/>
        <w:rPr>
          <w:rFonts w:ascii="Verdana" w:hAnsi="Verdana"/>
          <w:sz w:val="20"/>
          <w:szCs w:val="20"/>
        </w:rPr>
      </w:pPr>
    </w:p>
    <w:p w14:paraId="1C37E273" w14:textId="77777777" w:rsidR="00C84DDB" w:rsidRPr="00C84DDB" w:rsidRDefault="00C84DDB" w:rsidP="00C84DDB">
      <w:pPr>
        <w:spacing w:after="0" w:line="240" w:lineRule="auto"/>
        <w:jc w:val="both"/>
        <w:rPr>
          <w:rFonts w:ascii="Verdana" w:hAnsi="Verdana"/>
          <w:sz w:val="20"/>
          <w:szCs w:val="20"/>
        </w:rPr>
      </w:pPr>
    </w:p>
    <w:p w14:paraId="26F7188A" w14:textId="77777777" w:rsidR="00C84DDB" w:rsidRPr="00C84DDB" w:rsidRDefault="00C84DDB" w:rsidP="00C84DDB">
      <w:pPr>
        <w:spacing w:after="0" w:line="240" w:lineRule="auto"/>
        <w:jc w:val="both"/>
        <w:rPr>
          <w:rFonts w:ascii="Verdana" w:hAnsi="Verdana"/>
          <w:sz w:val="20"/>
          <w:szCs w:val="20"/>
        </w:rPr>
      </w:pPr>
    </w:p>
    <w:p w14:paraId="707539E6" w14:textId="7C6C6020" w:rsidR="00C84DDB" w:rsidRPr="00C84DDB" w:rsidRDefault="00C84DDB" w:rsidP="00C84DDB">
      <w:pPr>
        <w:spacing w:after="0" w:line="240" w:lineRule="auto"/>
        <w:jc w:val="both"/>
        <w:rPr>
          <w:rFonts w:ascii="Verdana" w:hAnsi="Verdana"/>
          <w:sz w:val="20"/>
          <w:szCs w:val="20"/>
        </w:rPr>
      </w:pPr>
    </w:p>
    <w:p w14:paraId="5C3B2F9A" w14:textId="7584DE45" w:rsidR="00C84DDB" w:rsidRPr="00C84DDB" w:rsidRDefault="00C84DDB" w:rsidP="00C84DDB">
      <w:pPr>
        <w:spacing w:after="0" w:line="240" w:lineRule="auto"/>
        <w:ind w:left="5664" w:firstLine="708"/>
        <w:jc w:val="center"/>
        <w:rPr>
          <w:rFonts w:ascii="Verdana" w:hAnsi="Verdana"/>
          <w:sz w:val="20"/>
        </w:rPr>
      </w:pPr>
      <w:r w:rsidRPr="00C84DDB">
        <w:rPr>
          <w:rFonts w:ascii="Verdana" w:hAnsi="Verdana"/>
          <w:sz w:val="20"/>
        </w:rPr>
        <w:t>Elizabeth Odio Benito</w:t>
      </w:r>
    </w:p>
    <w:p w14:paraId="659E1B4F" w14:textId="23CC69C5" w:rsidR="00C84DDB" w:rsidRPr="00C84DDB" w:rsidRDefault="00C84DDB" w:rsidP="00C84DDB">
      <w:pPr>
        <w:spacing w:after="0" w:line="240" w:lineRule="auto"/>
        <w:ind w:left="6480" w:firstLine="720"/>
        <w:rPr>
          <w:rFonts w:ascii="Verdana" w:hAnsi="Verdana"/>
          <w:sz w:val="20"/>
          <w:lang w:val="pt-BR"/>
        </w:rPr>
      </w:pPr>
      <w:r w:rsidRPr="00C84DDB">
        <w:rPr>
          <w:rFonts w:ascii="Verdana" w:hAnsi="Verdana"/>
          <w:sz w:val="20"/>
          <w:lang w:val="pt-BR"/>
        </w:rPr>
        <w:t>Presidenta</w:t>
      </w:r>
    </w:p>
    <w:p w14:paraId="7D8A82E8" w14:textId="29ED4D4D" w:rsidR="00C84DDB" w:rsidRPr="00C84DDB" w:rsidRDefault="00C84DDB" w:rsidP="00C84DDB">
      <w:pPr>
        <w:spacing w:after="0" w:line="240" w:lineRule="auto"/>
        <w:rPr>
          <w:rFonts w:ascii="Verdana" w:hAnsi="Verdana"/>
          <w:sz w:val="20"/>
          <w:lang w:val="pt-BR"/>
        </w:rPr>
      </w:pPr>
    </w:p>
    <w:p w14:paraId="45CCFCFC" w14:textId="1F508E38" w:rsidR="00C84DDB" w:rsidRPr="00C84DDB" w:rsidRDefault="00C84DDB" w:rsidP="00C84DDB">
      <w:pPr>
        <w:spacing w:after="0" w:line="240" w:lineRule="auto"/>
        <w:rPr>
          <w:rFonts w:ascii="Verdana" w:hAnsi="Verdana"/>
          <w:sz w:val="20"/>
          <w:lang w:val="pt-BR"/>
        </w:rPr>
      </w:pPr>
    </w:p>
    <w:p w14:paraId="64122F61" w14:textId="77777777" w:rsidR="00C84DDB" w:rsidRPr="00C84DDB" w:rsidRDefault="00C84DDB" w:rsidP="00C84DDB">
      <w:pPr>
        <w:spacing w:after="0" w:line="240" w:lineRule="auto"/>
        <w:rPr>
          <w:rFonts w:ascii="Verdana" w:hAnsi="Verdana"/>
          <w:sz w:val="20"/>
          <w:lang w:val="pt-BR"/>
        </w:rPr>
      </w:pPr>
    </w:p>
    <w:p w14:paraId="28B0824B" w14:textId="61473593" w:rsidR="00C84DDB" w:rsidRPr="00C84DDB" w:rsidRDefault="00C84DDB" w:rsidP="00C84DDB">
      <w:pPr>
        <w:spacing w:after="0" w:line="240" w:lineRule="auto"/>
        <w:rPr>
          <w:rFonts w:ascii="Verdana" w:hAnsi="Verdana"/>
          <w:sz w:val="20"/>
          <w:lang w:val="pt-BR"/>
        </w:rPr>
      </w:pPr>
    </w:p>
    <w:p w14:paraId="168339DC" w14:textId="77777777" w:rsidR="00C84DDB" w:rsidRPr="00C84DDB" w:rsidRDefault="00C84DDB" w:rsidP="00C84DDB">
      <w:pPr>
        <w:spacing w:after="0" w:line="240" w:lineRule="auto"/>
        <w:rPr>
          <w:rFonts w:ascii="Verdana" w:hAnsi="Verdana"/>
          <w:sz w:val="20"/>
          <w:lang w:val="pt-BR"/>
        </w:rPr>
      </w:pPr>
    </w:p>
    <w:p w14:paraId="434F72C1" w14:textId="77777777" w:rsidR="00C84DDB" w:rsidRPr="00C84DDB" w:rsidRDefault="00C84DDB" w:rsidP="00C84DDB">
      <w:pPr>
        <w:spacing w:after="0" w:line="240" w:lineRule="auto"/>
        <w:rPr>
          <w:rFonts w:ascii="Verdana" w:hAnsi="Verdana"/>
          <w:sz w:val="20"/>
          <w:lang w:val="pt-BR"/>
        </w:rPr>
      </w:pPr>
      <w:r w:rsidRPr="00C84DDB">
        <w:rPr>
          <w:rFonts w:ascii="Verdana" w:hAnsi="Verdana"/>
          <w:sz w:val="20"/>
          <w:lang w:val="pt-BR"/>
        </w:rPr>
        <w:t>Pablo Saavedra Alessandri</w:t>
      </w:r>
    </w:p>
    <w:p w14:paraId="025BC65D" w14:textId="1B469669" w:rsidR="00C84DDB" w:rsidRPr="00C84DDB" w:rsidRDefault="00C84DDB" w:rsidP="00C84DDB">
      <w:pPr>
        <w:spacing w:after="0" w:line="240" w:lineRule="auto"/>
        <w:rPr>
          <w:rFonts w:ascii="Verdana" w:hAnsi="Verdana"/>
          <w:sz w:val="20"/>
          <w:lang w:val="pt-BR"/>
        </w:rPr>
      </w:pPr>
      <w:r w:rsidRPr="00C84DDB">
        <w:rPr>
          <w:rFonts w:ascii="Verdana" w:hAnsi="Verdana"/>
          <w:sz w:val="20"/>
          <w:lang w:val="pt-BR"/>
        </w:rPr>
        <w:t xml:space="preserve">           Secreta</w:t>
      </w:r>
      <w:r>
        <w:rPr>
          <w:rFonts w:ascii="Verdana" w:hAnsi="Verdana"/>
          <w:sz w:val="20"/>
          <w:lang w:val="pt-BR"/>
        </w:rPr>
        <w:t xml:space="preserve">rio </w:t>
      </w:r>
    </w:p>
    <w:p w14:paraId="4EE55E03" w14:textId="1A12055F" w:rsidR="00C84DDB" w:rsidRPr="00C84DDB" w:rsidRDefault="00C84DDB" w:rsidP="00C84DDB">
      <w:pPr>
        <w:spacing w:after="0" w:line="240" w:lineRule="auto"/>
        <w:rPr>
          <w:rFonts w:ascii="Verdana" w:hAnsi="Verdana"/>
          <w:sz w:val="20"/>
        </w:rPr>
      </w:pPr>
    </w:p>
    <w:sectPr w:rsidR="00C84DDB" w:rsidRPr="00C84DDB" w:rsidSect="00F517D9">
      <w:headerReference w:type="even" r:id="rId8"/>
      <w:headerReference w:type="default" r:id="rId9"/>
      <w:footerReference w:type="default" r:id="rId10"/>
      <w:head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AD284" w14:textId="77777777" w:rsidR="00086B15" w:rsidRDefault="00086B15" w:rsidP="00360F82">
      <w:pPr>
        <w:spacing w:after="0" w:line="240" w:lineRule="auto"/>
      </w:pPr>
      <w:r>
        <w:separator/>
      </w:r>
    </w:p>
  </w:endnote>
  <w:endnote w:type="continuationSeparator" w:id="0">
    <w:p w14:paraId="7DA86EE4" w14:textId="77777777" w:rsidR="00086B15" w:rsidRDefault="00086B15" w:rsidP="00360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263824"/>
      <w:docPartObj>
        <w:docPartGallery w:val="Page Numbers (Bottom of Page)"/>
        <w:docPartUnique/>
      </w:docPartObj>
    </w:sdtPr>
    <w:sdtEndPr>
      <w:rPr>
        <w:rFonts w:ascii="Verdana" w:hAnsi="Verdana"/>
        <w:sz w:val="18"/>
      </w:rPr>
    </w:sdtEndPr>
    <w:sdtContent>
      <w:p w14:paraId="327D5B22" w14:textId="47028F9E" w:rsidR="00480B84" w:rsidRPr="00B74F8F" w:rsidRDefault="00555267">
        <w:pPr>
          <w:pStyle w:val="Piedepgina"/>
          <w:jc w:val="center"/>
          <w:rPr>
            <w:rFonts w:ascii="Verdana" w:hAnsi="Verdana"/>
            <w:sz w:val="18"/>
          </w:rPr>
        </w:pPr>
        <w:r>
          <w:t>-</w:t>
        </w:r>
        <w:r w:rsidR="00480B84" w:rsidRPr="00B74F8F">
          <w:rPr>
            <w:rFonts w:ascii="Verdana" w:hAnsi="Verdana"/>
            <w:sz w:val="18"/>
          </w:rPr>
          <w:fldChar w:fldCharType="begin"/>
        </w:r>
        <w:r w:rsidR="00480B84" w:rsidRPr="00B74F8F">
          <w:rPr>
            <w:rFonts w:ascii="Verdana" w:hAnsi="Verdana"/>
            <w:sz w:val="18"/>
          </w:rPr>
          <w:instrText>PAGE   \* MERGEFORMAT</w:instrText>
        </w:r>
        <w:r w:rsidR="00480B84" w:rsidRPr="00B74F8F">
          <w:rPr>
            <w:rFonts w:ascii="Verdana" w:hAnsi="Verdana"/>
            <w:sz w:val="18"/>
          </w:rPr>
          <w:fldChar w:fldCharType="separate"/>
        </w:r>
        <w:r w:rsidR="00A65E77" w:rsidRPr="00A65E77">
          <w:rPr>
            <w:rFonts w:ascii="Verdana" w:hAnsi="Verdana"/>
            <w:noProof/>
            <w:sz w:val="18"/>
            <w:lang w:val="es-ES"/>
          </w:rPr>
          <w:t>2</w:t>
        </w:r>
        <w:r w:rsidR="00480B84" w:rsidRPr="00B74F8F">
          <w:rPr>
            <w:rFonts w:ascii="Verdana" w:hAnsi="Verdana"/>
            <w:sz w:val="18"/>
          </w:rPr>
          <w:fldChar w:fldCharType="end"/>
        </w:r>
        <w:r>
          <w:rPr>
            <w:rFonts w:ascii="Verdana" w:hAnsi="Verdana"/>
            <w:sz w:val="18"/>
          </w:rPr>
          <w:t>-</w:t>
        </w:r>
      </w:p>
    </w:sdtContent>
  </w:sdt>
  <w:p w14:paraId="5C8E86D3" w14:textId="77777777" w:rsidR="00480B84" w:rsidRDefault="00480B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756A9" w14:textId="77777777" w:rsidR="00086B15" w:rsidRDefault="00086B15" w:rsidP="00360F82">
      <w:pPr>
        <w:spacing w:after="0" w:line="240" w:lineRule="auto"/>
      </w:pPr>
      <w:r>
        <w:separator/>
      </w:r>
    </w:p>
  </w:footnote>
  <w:footnote w:type="continuationSeparator" w:id="0">
    <w:p w14:paraId="1BEB43AE" w14:textId="77777777" w:rsidR="00086B15" w:rsidRDefault="00086B15" w:rsidP="00360F82">
      <w:pPr>
        <w:spacing w:after="0" w:line="240" w:lineRule="auto"/>
      </w:pPr>
      <w:r>
        <w:continuationSeparator/>
      </w:r>
    </w:p>
  </w:footnote>
  <w:footnote w:id="1">
    <w:p w14:paraId="7838AE1E" w14:textId="7A08930E" w:rsidR="00873B90" w:rsidRPr="002F34A0" w:rsidRDefault="00873B90" w:rsidP="00873B90">
      <w:pPr>
        <w:pStyle w:val="Textonotapie"/>
        <w:jc w:val="both"/>
        <w:rPr>
          <w:rFonts w:ascii="Verdana" w:hAnsi="Verdana"/>
          <w:color w:val="70AD47" w:themeColor="accent6"/>
          <w:sz w:val="16"/>
          <w:szCs w:val="16"/>
          <w:lang w:val="es-ES"/>
        </w:rPr>
      </w:pPr>
      <w:r w:rsidRPr="007A37E8">
        <w:rPr>
          <w:rStyle w:val="Refdenotaalpie"/>
          <w:rFonts w:ascii="Verdana" w:hAnsi="Verdana"/>
          <w:sz w:val="16"/>
          <w:szCs w:val="16"/>
        </w:rPr>
        <w:footnoteRef/>
      </w:r>
      <w:r w:rsidRPr="007A37E8">
        <w:rPr>
          <w:rFonts w:ascii="Verdana" w:hAnsi="Verdana"/>
          <w:sz w:val="16"/>
          <w:szCs w:val="16"/>
        </w:rPr>
        <w:t xml:space="preserve"> </w:t>
      </w:r>
      <w:r w:rsidRPr="007A37E8">
        <w:rPr>
          <w:rFonts w:ascii="Verdana" w:hAnsi="Verdana"/>
          <w:sz w:val="16"/>
          <w:szCs w:val="16"/>
        </w:rPr>
        <w:tab/>
      </w:r>
      <w:r w:rsidRPr="007A37E8">
        <w:rPr>
          <w:rFonts w:ascii="Verdana" w:hAnsi="Verdana"/>
          <w:i/>
          <w:sz w:val="16"/>
          <w:szCs w:val="16"/>
        </w:rPr>
        <w:t>Cfr. Caso López y otros Vs. Argentina. Excepciones Preliminares, Fondo, Reparaciones y Costas.</w:t>
      </w:r>
      <w:r w:rsidRPr="007A37E8">
        <w:rPr>
          <w:rFonts w:ascii="Verdana" w:hAnsi="Verdana"/>
          <w:sz w:val="16"/>
          <w:szCs w:val="16"/>
        </w:rPr>
        <w:t xml:space="preserve"> Sentencia de 25 de noviembre de 2019. Serie C No. 396</w:t>
      </w:r>
      <w:r>
        <w:rPr>
          <w:rFonts w:ascii="Verdana" w:hAnsi="Verdana"/>
          <w:sz w:val="16"/>
          <w:szCs w:val="16"/>
        </w:rPr>
        <w:t>, punto resolutivo décimo tercero y párrafo 264</w:t>
      </w:r>
      <w:r w:rsidRPr="007A37E8">
        <w:rPr>
          <w:rFonts w:ascii="Verdana" w:hAnsi="Verdana"/>
          <w:sz w:val="16"/>
          <w:szCs w:val="16"/>
        </w:rPr>
        <w:t>.</w:t>
      </w:r>
      <w:r>
        <w:rPr>
          <w:rFonts w:ascii="Verdana" w:hAnsi="Verdana"/>
          <w:sz w:val="16"/>
          <w:szCs w:val="16"/>
        </w:rPr>
        <w:t xml:space="preserve"> Disponible en: </w:t>
      </w:r>
      <w:hyperlink r:id="rId1" w:history="1">
        <w:r w:rsidRPr="003B1180">
          <w:rPr>
            <w:rStyle w:val="Hipervnculo"/>
            <w:rFonts w:ascii="Verdana" w:hAnsi="Verdana"/>
            <w:sz w:val="16"/>
            <w:szCs w:val="16"/>
          </w:rPr>
          <w:t>http://www.corteidh.or.cr/docs/casos/articulos/seriec_396_esp.pdf</w:t>
        </w:r>
      </w:hyperlink>
      <w:r>
        <w:rPr>
          <w:rFonts w:ascii="Verdana" w:hAnsi="Verdana"/>
          <w:sz w:val="16"/>
          <w:szCs w:val="16"/>
        </w:rPr>
        <w:t>. La Sentencia fue notificada el 18 de diciembre de 2019</w:t>
      </w:r>
      <w:r w:rsidR="00213DF1">
        <w:rPr>
          <w:rFonts w:ascii="Verdana" w:hAnsi="Verdana"/>
          <w:sz w:val="16"/>
          <w:szCs w:val="16"/>
        </w:rPr>
        <w:t>.</w:t>
      </w:r>
      <w:r>
        <w:rPr>
          <w:rFonts w:ascii="Verdana" w:hAnsi="Verdana"/>
          <w:b/>
          <w:sz w:val="16"/>
          <w:szCs w:val="16"/>
        </w:rPr>
        <w:t xml:space="preserve"> </w:t>
      </w:r>
    </w:p>
  </w:footnote>
  <w:footnote w:id="2">
    <w:p w14:paraId="25F3BC2C" w14:textId="1820A690" w:rsidR="002771D2" w:rsidRPr="00966E59" w:rsidRDefault="002771D2" w:rsidP="00966E59">
      <w:pPr>
        <w:pStyle w:val="Textonotapie"/>
        <w:jc w:val="both"/>
        <w:rPr>
          <w:rFonts w:ascii="Verdana" w:hAnsi="Verdana"/>
          <w:sz w:val="16"/>
          <w:szCs w:val="16"/>
        </w:rPr>
      </w:pPr>
      <w:r w:rsidRPr="00966E59">
        <w:rPr>
          <w:rStyle w:val="Refdenotaalpie"/>
          <w:rFonts w:ascii="Verdana" w:hAnsi="Verdana"/>
          <w:sz w:val="16"/>
          <w:szCs w:val="16"/>
        </w:rPr>
        <w:footnoteRef/>
      </w:r>
      <w:r w:rsidRPr="00966E59">
        <w:rPr>
          <w:rFonts w:ascii="Verdana" w:hAnsi="Verdana"/>
          <w:sz w:val="16"/>
          <w:szCs w:val="16"/>
        </w:rPr>
        <w:t xml:space="preserve"> </w:t>
      </w:r>
      <w:r w:rsidRPr="00966E59">
        <w:rPr>
          <w:rFonts w:ascii="Verdana" w:hAnsi="Verdana"/>
          <w:sz w:val="16"/>
          <w:szCs w:val="16"/>
        </w:rPr>
        <w:tab/>
      </w:r>
      <w:r w:rsidR="00873B90" w:rsidRPr="00873B90">
        <w:rPr>
          <w:rFonts w:ascii="Verdana" w:hAnsi="Verdana"/>
          <w:i/>
          <w:sz w:val="16"/>
          <w:szCs w:val="16"/>
        </w:rPr>
        <w:t>Cfr. Caso Furlan y familiares Vs. A</w:t>
      </w:r>
      <w:r w:rsidR="00873B90" w:rsidRPr="00B3072D">
        <w:rPr>
          <w:rFonts w:ascii="Verdana" w:hAnsi="Verdana"/>
          <w:i/>
          <w:sz w:val="16"/>
          <w:szCs w:val="16"/>
        </w:rPr>
        <w:t>rgentina. Supervisión de Cumplimiento de Sentencia y R</w:t>
      </w:r>
      <w:r w:rsidR="00873B90" w:rsidRPr="0079339F">
        <w:rPr>
          <w:rFonts w:ascii="Verdana" w:hAnsi="Verdana"/>
          <w:i/>
          <w:sz w:val="16"/>
          <w:szCs w:val="16"/>
        </w:rPr>
        <w:t>eintegro al Fondo de Asistencia Legal de Víctimas.</w:t>
      </w:r>
      <w:r w:rsidR="00873B90" w:rsidRPr="0079339F">
        <w:rPr>
          <w:rFonts w:ascii="Verdana" w:hAnsi="Verdana"/>
          <w:sz w:val="16"/>
          <w:szCs w:val="16"/>
        </w:rPr>
        <w:t xml:space="preserve"> R</w:t>
      </w:r>
      <w:r w:rsidR="00873B90" w:rsidRPr="00966E59">
        <w:rPr>
          <w:rFonts w:ascii="Verdana" w:hAnsi="Verdana"/>
          <w:sz w:val="16"/>
          <w:szCs w:val="16"/>
        </w:rPr>
        <w:t xml:space="preserve">esolución de la Corte Interamericana de Derechos Humanos de 28 de noviembre de 2018, punto resolutivo </w:t>
      </w:r>
      <w:r w:rsidRPr="00966E59">
        <w:rPr>
          <w:rFonts w:ascii="Verdana" w:hAnsi="Verdana"/>
          <w:sz w:val="16"/>
          <w:szCs w:val="16"/>
        </w:rPr>
        <w:t xml:space="preserve">sexto y </w:t>
      </w:r>
      <w:r w:rsidR="00293308">
        <w:rPr>
          <w:rFonts w:ascii="Verdana" w:hAnsi="Verdana"/>
          <w:sz w:val="16"/>
          <w:szCs w:val="16"/>
        </w:rPr>
        <w:t>Considerando</w:t>
      </w:r>
      <w:r w:rsidRPr="00966E59">
        <w:rPr>
          <w:rFonts w:ascii="Verdana" w:hAnsi="Verdana"/>
          <w:sz w:val="16"/>
          <w:szCs w:val="16"/>
        </w:rPr>
        <w:t xml:space="preserve"> 50.</w:t>
      </w:r>
      <w:r w:rsidR="00873B90" w:rsidRPr="00966E59">
        <w:rPr>
          <w:rFonts w:ascii="Verdana" w:hAnsi="Verdana"/>
          <w:sz w:val="16"/>
          <w:szCs w:val="16"/>
        </w:rPr>
        <w:t xml:space="preserve"> Disponible en:</w:t>
      </w:r>
      <w:r w:rsidR="00873B90">
        <w:rPr>
          <w:rFonts w:ascii="Verdana" w:hAnsi="Verdana"/>
          <w:sz w:val="16"/>
          <w:szCs w:val="16"/>
        </w:rPr>
        <w:t xml:space="preserve"> </w:t>
      </w:r>
      <w:hyperlink r:id="rId2" w:history="1">
        <w:r w:rsidR="00873B90" w:rsidRPr="001B5ABF">
          <w:rPr>
            <w:rStyle w:val="Hipervnculo"/>
            <w:rFonts w:ascii="Verdana" w:hAnsi="Verdana"/>
            <w:sz w:val="16"/>
            <w:lang w:val="es-ES"/>
          </w:rPr>
          <w:t>http://www.corteidh.or.cr/docs/supervisiones/furlan_28_11_18.pdf</w:t>
        </w:r>
      </w:hyperlink>
      <w:r w:rsidR="00873B90">
        <w:rPr>
          <w:rFonts w:ascii="Verdana" w:hAnsi="Verdana"/>
          <w:sz w:val="16"/>
          <w:lang w:val="es-ES"/>
        </w:rPr>
        <w:t>.</w:t>
      </w:r>
      <w:r w:rsidR="006D58D4">
        <w:rPr>
          <w:rFonts w:ascii="Verdana" w:hAnsi="Verdana"/>
          <w:sz w:val="16"/>
          <w:lang w:val="es-ES"/>
        </w:rPr>
        <w:t xml:space="preserve"> La Resolución fue notificada el 18 de diciembre de 2018.</w:t>
      </w:r>
    </w:p>
  </w:footnote>
  <w:footnote w:id="3">
    <w:p w14:paraId="24592DE9" w14:textId="05CB1EE2" w:rsidR="00873B90" w:rsidRPr="00873B90" w:rsidRDefault="00873B90" w:rsidP="00873B90">
      <w:pPr>
        <w:spacing w:after="0" w:line="240" w:lineRule="auto"/>
        <w:jc w:val="both"/>
        <w:rPr>
          <w:rFonts w:ascii="Verdana" w:hAnsi="Verdana"/>
          <w:sz w:val="16"/>
          <w:szCs w:val="16"/>
        </w:rPr>
      </w:pPr>
      <w:r w:rsidRPr="00873B90">
        <w:rPr>
          <w:rStyle w:val="Refdenotaalpie"/>
          <w:rFonts w:ascii="Verdana" w:hAnsi="Verdana"/>
          <w:sz w:val="16"/>
          <w:szCs w:val="16"/>
        </w:rPr>
        <w:footnoteRef/>
      </w:r>
      <w:r w:rsidRPr="00873B90">
        <w:rPr>
          <w:rFonts w:ascii="Verdana" w:hAnsi="Verdana"/>
          <w:sz w:val="16"/>
          <w:szCs w:val="16"/>
        </w:rPr>
        <w:t xml:space="preserve"> </w:t>
      </w:r>
      <w:r w:rsidRPr="00966E59">
        <w:rPr>
          <w:rFonts w:ascii="Verdana" w:hAnsi="Verdana"/>
          <w:sz w:val="16"/>
          <w:szCs w:val="16"/>
        </w:rPr>
        <w:tab/>
      </w:r>
      <w:r w:rsidRPr="00966E59">
        <w:rPr>
          <w:rFonts w:ascii="Verdana" w:hAnsi="Verdana"/>
          <w:i/>
          <w:sz w:val="16"/>
          <w:szCs w:val="16"/>
        </w:rPr>
        <w:t>Cfr. Caso Torres Millacura y otros Vs. Argentina. Supervisión de Cumplimiento de Sentencia y Reintegro al Fondo de Asistencia Legal de Víctimas.</w:t>
      </w:r>
      <w:r w:rsidRPr="00966E59">
        <w:rPr>
          <w:rFonts w:ascii="Verdana" w:hAnsi="Verdana"/>
          <w:sz w:val="16"/>
          <w:szCs w:val="16"/>
        </w:rPr>
        <w:t xml:space="preserve"> Resolución de la Corte Interamericana de Derechos Humanos de 21 de julio de 2020, </w:t>
      </w:r>
      <w:r w:rsidRPr="00873B90">
        <w:rPr>
          <w:rFonts w:ascii="Verdana" w:hAnsi="Verdana"/>
          <w:sz w:val="16"/>
          <w:szCs w:val="16"/>
        </w:rPr>
        <w:t xml:space="preserve">punto resolutivo séptimo y </w:t>
      </w:r>
      <w:r w:rsidR="00293308">
        <w:rPr>
          <w:rFonts w:ascii="Verdana" w:hAnsi="Verdana"/>
          <w:sz w:val="16"/>
          <w:szCs w:val="16"/>
        </w:rPr>
        <w:t>Considerando</w:t>
      </w:r>
      <w:r w:rsidRPr="00873B90">
        <w:rPr>
          <w:rFonts w:ascii="Verdana" w:hAnsi="Verdana"/>
          <w:sz w:val="16"/>
          <w:szCs w:val="16"/>
        </w:rPr>
        <w:t xml:space="preserve"> 64. Disponible en: </w:t>
      </w:r>
      <w:hyperlink r:id="rId3" w:history="1">
        <w:r w:rsidRPr="00873B90">
          <w:rPr>
            <w:rStyle w:val="Hipervnculo"/>
            <w:rFonts w:ascii="Verdana" w:hAnsi="Verdana"/>
            <w:sz w:val="16"/>
            <w:szCs w:val="16"/>
          </w:rPr>
          <w:t>https://www.corteidh.or.cr/docs/supervisiones/torres_millacura_21_07_20.pdf</w:t>
        </w:r>
      </w:hyperlink>
      <w:r w:rsidRPr="00873B90">
        <w:rPr>
          <w:rFonts w:ascii="Verdana" w:hAnsi="Verdana"/>
          <w:sz w:val="16"/>
          <w:szCs w:val="16"/>
        </w:rPr>
        <w:t>.</w:t>
      </w:r>
      <w:r w:rsidR="006D58D4">
        <w:rPr>
          <w:rFonts w:ascii="Verdana" w:hAnsi="Verdana"/>
          <w:sz w:val="16"/>
          <w:szCs w:val="16"/>
        </w:rPr>
        <w:t xml:space="preserve"> La Resolución fue notificada el 28 de agosto de 2020.</w:t>
      </w:r>
    </w:p>
  </w:footnote>
  <w:footnote w:id="4">
    <w:p w14:paraId="0E19BFFD" w14:textId="50E94FFF" w:rsidR="002843AF" w:rsidRPr="002843AF" w:rsidRDefault="002843AF" w:rsidP="002843AF">
      <w:pPr>
        <w:pStyle w:val="Textonotapie"/>
        <w:jc w:val="both"/>
        <w:rPr>
          <w:rFonts w:ascii="Verdana" w:hAnsi="Verdana"/>
          <w:sz w:val="16"/>
          <w:szCs w:val="16"/>
          <w:lang w:val="es-ES"/>
        </w:rPr>
      </w:pPr>
      <w:r w:rsidRPr="002843AF">
        <w:rPr>
          <w:rStyle w:val="Refdenotaalpie"/>
          <w:rFonts w:ascii="Verdana" w:hAnsi="Verdana"/>
          <w:sz w:val="16"/>
          <w:szCs w:val="16"/>
        </w:rPr>
        <w:footnoteRef/>
      </w:r>
      <w:r w:rsidRPr="002843AF">
        <w:rPr>
          <w:rFonts w:ascii="Verdana" w:hAnsi="Verdana"/>
          <w:sz w:val="16"/>
          <w:szCs w:val="16"/>
        </w:rPr>
        <w:t xml:space="preserve"> </w:t>
      </w:r>
      <w:r w:rsidRPr="002843AF">
        <w:rPr>
          <w:rFonts w:ascii="Verdana" w:hAnsi="Verdana"/>
          <w:sz w:val="16"/>
          <w:szCs w:val="16"/>
          <w:lang w:val="es-ES"/>
        </w:rPr>
        <w:tab/>
      </w:r>
      <w:r w:rsidR="00BE13A2" w:rsidRPr="00A473B8">
        <w:rPr>
          <w:rFonts w:ascii="Verdana" w:hAnsi="Verdana"/>
          <w:i/>
          <w:sz w:val="16"/>
          <w:szCs w:val="16"/>
          <w:lang w:val="es-ES"/>
        </w:rPr>
        <w:t>Cfr. Caso López y otros Vs. Argentina, supra</w:t>
      </w:r>
      <w:r w:rsidR="00BE13A2" w:rsidRPr="00C703DA">
        <w:rPr>
          <w:rFonts w:ascii="Verdana" w:hAnsi="Verdana"/>
          <w:sz w:val="16"/>
          <w:szCs w:val="16"/>
          <w:lang w:val="es-ES"/>
        </w:rPr>
        <w:t xml:space="preserve"> </w:t>
      </w:r>
      <w:r w:rsidR="00BE13A2">
        <w:rPr>
          <w:rFonts w:ascii="Verdana" w:hAnsi="Verdana"/>
          <w:sz w:val="16"/>
          <w:szCs w:val="16"/>
          <w:lang w:val="es-ES"/>
        </w:rPr>
        <w:t xml:space="preserve">nota </w:t>
      </w:r>
      <w:r w:rsidR="00293308">
        <w:rPr>
          <w:rFonts w:ascii="Verdana" w:hAnsi="Verdana"/>
          <w:sz w:val="16"/>
          <w:szCs w:val="16"/>
          <w:lang w:val="es-ES"/>
        </w:rPr>
        <w:t>1</w:t>
      </w:r>
      <w:r w:rsidRPr="002843AF">
        <w:rPr>
          <w:rFonts w:ascii="Verdana" w:hAnsi="Verdana"/>
          <w:sz w:val="16"/>
          <w:szCs w:val="16"/>
          <w:lang w:val="es-ES"/>
        </w:rPr>
        <w:t>, párr</w:t>
      </w:r>
      <w:r w:rsidR="00293308">
        <w:rPr>
          <w:rFonts w:ascii="Verdana" w:hAnsi="Verdana"/>
          <w:sz w:val="16"/>
          <w:szCs w:val="16"/>
          <w:lang w:val="es-ES"/>
        </w:rPr>
        <w:t>s</w:t>
      </w:r>
      <w:r w:rsidRPr="002843AF">
        <w:rPr>
          <w:rFonts w:ascii="Verdana" w:hAnsi="Verdana"/>
          <w:sz w:val="16"/>
          <w:szCs w:val="16"/>
          <w:lang w:val="es-ES"/>
        </w:rPr>
        <w:t>. 264</w:t>
      </w:r>
      <w:r w:rsidR="00293308">
        <w:rPr>
          <w:rFonts w:ascii="Verdana" w:hAnsi="Verdana"/>
          <w:sz w:val="16"/>
          <w:szCs w:val="16"/>
          <w:lang w:val="es-ES"/>
        </w:rPr>
        <w:t xml:space="preserve"> y 270</w:t>
      </w:r>
      <w:r w:rsidRPr="002843AF">
        <w:rPr>
          <w:rFonts w:ascii="Verdana" w:hAnsi="Verdana"/>
          <w:sz w:val="16"/>
          <w:szCs w:val="16"/>
          <w:lang w:val="es-ES"/>
        </w:rPr>
        <w:t xml:space="preserve">; </w:t>
      </w:r>
      <w:r w:rsidR="00BE13A2">
        <w:rPr>
          <w:rFonts w:ascii="Verdana" w:hAnsi="Verdana"/>
          <w:i/>
          <w:sz w:val="16"/>
        </w:rPr>
        <w:t>C</w:t>
      </w:r>
      <w:r w:rsidR="00BE13A2" w:rsidRPr="009A27E8">
        <w:rPr>
          <w:rFonts w:ascii="Verdana" w:hAnsi="Verdana"/>
          <w:i/>
          <w:sz w:val="16"/>
        </w:rPr>
        <w:t>aso Fur</w:t>
      </w:r>
      <w:r w:rsidR="006E084B">
        <w:rPr>
          <w:rFonts w:ascii="Verdana" w:hAnsi="Verdana"/>
          <w:i/>
          <w:sz w:val="16"/>
        </w:rPr>
        <w:t>la</w:t>
      </w:r>
      <w:r w:rsidR="00BE13A2">
        <w:rPr>
          <w:rFonts w:ascii="Verdana" w:hAnsi="Verdana"/>
          <w:i/>
          <w:sz w:val="16"/>
        </w:rPr>
        <w:t xml:space="preserve">n y familiares Vs. Argentina, </w:t>
      </w:r>
      <w:r w:rsidRPr="002843AF">
        <w:rPr>
          <w:rFonts w:ascii="Verdana" w:hAnsi="Verdana"/>
          <w:i/>
          <w:sz w:val="16"/>
          <w:szCs w:val="16"/>
          <w:lang w:val="es-ES"/>
        </w:rPr>
        <w:t xml:space="preserve">supra </w:t>
      </w:r>
      <w:r w:rsidRPr="002843AF">
        <w:rPr>
          <w:rFonts w:ascii="Verdana" w:hAnsi="Verdana"/>
          <w:sz w:val="16"/>
          <w:szCs w:val="16"/>
          <w:lang w:val="es-ES"/>
        </w:rPr>
        <w:t xml:space="preserve">nota </w:t>
      </w:r>
      <w:r w:rsidR="00293308">
        <w:rPr>
          <w:rFonts w:ascii="Verdana" w:hAnsi="Verdana"/>
          <w:sz w:val="16"/>
          <w:szCs w:val="16"/>
          <w:lang w:val="es-ES"/>
        </w:rPr>
        <w:t>2</w:t>
      </w:r>
      <w:r w:rsidRPr="002843AF">
        <w:rPr>
          <w:rFonts w:ascii="Verdana" w:hAnsi="Verdana"/>
          <w:sz w:val="16"/>
          <w:szCs w:val="16"/>
          <w:lang w:val="es-ES"/>
        </w:rPr>
        <w:t xml:space="preserve">, Considerando 50 y </w:t>
      </w:r>
      <w:r w:rsidR="00BE13A2" w:rsidRPr="009A27E8">
        <w:rPr>
          <w:rFonts w:ascii="Verdana" w:hAnsi="Verdana"/>
          <w:i/>
          <w:sz w:val="16"/>
        </w:rPr>
        <w:t>Caso Torres M</w:t>
      </w:r>
      <w:r w:rsidR="00BE13A2">
        <w:rPr>
          <w:rFonts w:ascii="Verdana" w:hAnsi="Verdana"/>
          <w:i/>
          <w:sz w:val="16"/>
        </w:rPr>
        <w:t>illacura y otros Vs. Argentina, s</w:t>
      </w:r>
      <w:proofErr w:type="spellStart"/>
      <w:r w:rsidR="00BE13A2" w:rsidRPr="00C703DA">
        <w:rPr>
          <w:rFonts w:ascii="Verdana" w:hAnsi="Verdana"/>
          <w:i/>
          <w:sz w:val="16"/>
          <w:szCs w:val="16"/>
          <w:lang w:val="es-ES"/>
        </w:rPr>
        <w:t>upra</w:t>
      </w:r>
      <w:proofErr w:type="spellEnd"/>
      <w:r w:rsidR="00BE13A2" w:rsidRPr="00C703DA">
        <w:rPr>
          <w:rFonts w:ascii="Verdana" w:hAnsi="Verdana"/>
          <w:i/>
          <w:sz w:val="16"/>
          <w:szCs w:val="16"/>
          <w:lang w:val="es-ES"/>
        </w:rPr>
        <w:t xml:space="preserve"> </w:t>
      </w:r>
      <w:r w:rsidR="00BE13A2" w:rsidRPr="00C703DA">
        <w:rPr>
          <w:rFonts w:ascii="Verdana" w:hAnsi="Verdana"/>
          <w:sz w:val="16"/>
          <w:szCs w:val="16"/>
          <w:lang w:val="es-ES"/>
        </w:rPr>
        <w:t xml:space="preserve">nota </w:t>
      </w:r>
      <w:r w:rsidR="006654D3">
        <w:rPr>
          <w:rFonts w:ascii="Verdana" w:hAnsi="Verdana"/>
          <w:sz w:val="16"/>
          <w:szCs w:val="16"/>
          <w:lang w:val="es-ES"/>
        </w:rPr>
        <w:t>3</w:t>
      </w:r>
      <w:r w:rsidRPr="002843AF">
        <w:rPr>
          <w:rFonts w:ascii="Verdana" w:hAnsi="Verdana"/>
          <w:sz w:val="16"/>
          <w:szCs w:val="16"/>
          <w:lang w:val="es-ES"/>
        </w:rPr>
        <w:t>, Considerando 65.</w:t>
      </w:r>
    </w:p>
  </w:footnote>
  <w:footnote w:id="5">
    <w:p w14:paraId="095CD634" w14:textId="78EF5B49" w:rsidR="00AC6537" w:rsidRPr="00F57515" w:rsidRDefault="00AC6537" w:rsidP="00F57515">
      <w:pPr>
        <w:pStyle w:val="Textonotapie"/>
        <w:jc w:val="both"/>
        <w:rPr>
          <w:rFonts w:ascii="Verdana" w:hAnsi="Verdana"/>
          <w:sz w:val="16"/>
          <w:szCs w:val="16"/>
          <w:lang w:val="es-ES"/>
        </w:rPr>
      </w:pPr>
      <w:r w:rsidRPr="00F57515">
        <w:rPr>
          <w:rStyle w:val="Refdenotaalpie"/>
          <w:rFonts w:ascii="Verdana" w:hAnsi="Verdana"/>
          <w:sz w:val="16"/>
          <w:szCs w:val="16"/>
        </w:rPr>
        <w:footnoteRef/>
      </w:r>
      <w:r w:rsidRPr="00F57515">
        <w:rPr>
          <w:rFonts w:ascii="Verdana" w:hAnsi="Verdana"/>
          <w:sz w:val="16"/>
          <w:szCs w:val="16"/>
        </w:rPr>
        <w:t xml:space="preserve"> </w:t>
      </w:r>
      <w:r w:rsidR="00F57515" w:rsidRPr="00F57515">
        <w:rPr>
          <w:rFonts w:ascii="Verdana" w:hAnsi="Verdana"/>
          <w:sz w:val="16"/>
          <w:szCs w:val="16"/>
        </w:rPr>
        <w:tab/>
      </w:r>
      <w:r w:rsidR="00F57515" w:rsidRPr="006D58D4">
        <w:rPr>
          <w:rFonts w:ascii="Verdana" w:hAnsi="Verdana"/>
          <w:sz w:val="16"/>
          <w:szCs w:val="16"/>
        </w:rPr>
        <w:t xml:space="preserve">El plazo para realizar el reintegro al Fondo de Asistencia Legal </w:t>
      </w:r>
      <w:r w:rsidR="006D58D4" w:rsidRPr="006D58D4">
        <w:rPr>
          <w:rFonts w:ascii="Verdana" w:hAnsi="Verdana"/>
          <w:sz w:val="16"/>
          <w:szCs w:val="16"/>
        </w:rPr>
        <w:t xml:space="preserve">en el caso </w:t>
      </w:r>
      <w:r w:rsidR="006D58D4" w:rsidRPr="006D58D4">
        <w:rPr>
          <w:rFonts w:ascii="Verdana" w:hAnsi="Verdana"/>
          <w:i/>
          <w:sz w:val="16"/>
          <w:szCs w:val="16"/>
        </w:rPr>
        <w:t>Furlan y familiares</w:t>
      </w:r>
      <w:r w:rsidR="006D58D4" w:rsidRPr="006D58D4">
        <w:rPr>
          <w:rFonts w:ascii="Verdana" w:hAnsi="Verdana"/>
          <w:sz w:val="16"/>
          <w:szCs w:val="16"/>
        </w:rPr>
        <w:t xml:space="preserve"> vencía el 19 de junio de 2019, </w:t>
      </w:r>
      <w:r w:rsidR="00F57515" w:rsidRPr="006D58D4">
        <w:rPr>
          <w:rFonts w:ascii="Verdana" w:hAnsi="Verdana"/>
          <w:sz w:val="16"/>
          <w:szCs w:val="16"/>
        </w:rPr>
        <w:t xml:space="preserve">en el caso </w:t>
      </w:r>
      <w:r w:rsidR="00F57515" w:rsidRPr="006D58D4">
        <w:rPr>
          <w:rFonts w:ascii="Verdana" w:hAnsi="Verdana"/>
          <w:i/>
          <w:sz w:val="16"/>
          <w:szCs w:val="16"/>
        </w:rPr>
        <w:t>López y otros</w:t>
      </w:r>
      <w:r w:rsidR="00F57515" w:rsidRPr="006D58D4">
        <w:rPr>
          <w:rFonts w:ascii="Verdana" w:hAnsi="Verdana"/>
          <w:sz w:val="16"/>
          <w:szCs w:val="16"/>
        </w:rPr>
        <w:t xml:space="preserve"> vencía el 1</w:t>
      </w:r>
      <w:r w:rsidR="006D58D4" w:rsidRPr="006D58D4">
        <w:rPr>
          <w:rFonts w:ascii="Verdana" w:hAnsi="Verdana"/>
          <w:sz w:val="16"/>
          <w:szCs w:val="16"/>
        </w:rPr>
        <w:t xml:space="preserve">9 </w:t>
      </w:r>
      <w:r w:rsidR="00F57515" w:rsidRPr="006D58D4">
        <w:rPr>
          <w:rFonts w:ascii="Verdana" w:hAnsi="Verdana"/>
          <w:sz w:val="16"/>
          <w:szCs w:val="16"/>
        </w:rPr>
        <w:t>de junio de 20</w:t>
      </w:r>
      <w:r w:rsidR="006D58D4" w:rsidRPr="006D58D4">
        <w:rPr>
          <w:rFonts w:ascii="Verdana" w:hAnsi="Verdana"/>
          <w:sz w:val="16"/>
          <w:szCs w:val="16"/>
        </w:rPr>
        <w:t>20</w:t>
      </w:r>
      <w:r w:rsidR="00F57515" w:rsidRPr="006D58D4">
        <w:rPr>
          <w:rFonts w:ascii="Verdana" w:hAnsi="Verdana"/>
          <w:sz w:val="16"/>
          <w:szCs w:val="16"/>
        </w:rPr>
        <w:t xml:space="preserve">; y en el caso </w:t>
      </w:r>
      <w:r w:rsidR="00F57515" w:rsidRPr="006D58D4">
        <w:rPr>
          <w:rFonts w:ascii="Verdana" w:hAnsi="Verdana"/>
          <w:i/>
          <w:sz w:val="16"/>
          <w:szCs w:val="16"/>
        </w:rPr>
        <w:t xml:space="preserve">Torres Millacura y otros </w:t>
      </w:r>
      <w:r w:rsidR="00F57515" w:rsidRPr="006D58D4">
        <w:rPr>
          <w:rFonts w:ascii="Verdana" w:hAnsi="Verdana"/>
          <w:sz w:val="16"/>
          <w:szCs w:val="16"/>
        </w:rPr>
        <w:t xml:space="preserve">vencía el </w:t>
      </w:r>
      <w:r w:rsidR="006D58D4" w:rsidRPr="006D58D4">
        <w:rPr>
          <w:rFonts w:ascii="Verdana" w:hAnsi="Verdana"/>
          <w:sz w:val="16"/>
          <w:szCs w:val="16"/>
        </w:rPr>
        <w:t>1 de marz</w:t>
      </w:r>
      <w:r w:rsidR="00F57515" w:rsidRPr="006D58D4">
        <w:rPr>
          <w:rFonts w:ascii="Verdana" w:hAnsi="Verdana"/>
          <w:sz w:val="16"/>
          <w:szCs w:val="16"/>
        </w:rPr>
        <w:t>o de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3D72A" w14:textId="2C90627B" w:rsidR="002B6085" w:rsidRDefault="00086B15">
    <w:pPr>
      <w:pStyle w:val="Encabezado"/>
    </w:pPr>
    <w:r>
      <w:rPr>
        <w:noProof/>
      </w:rPr>
      <w:pict w14:anchorId="522D3D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7735" o:spid="_x0000_s1026" type="#_x0000_t136" style="position:absolute;margin-left:0;margin-top:0;width:453.1pt;height:169.9pt;rotation:315;z-index:-251655168;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7B95D" w14:textId="77777777" w:rsidR="00480B84" w:rsidRDefault="00480B84" w:rsidP="00E452CC">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9203" w14:textId="17A3788A" w:rsidR="002B6085" w:rsidRDefault="00086B15">
    <w:pPr>
      <w:pStyle w:val="Encabezado"/>
    </w:pPr>
    <w:r>
      <w:rPr>
        <w:noProof/>
      </w:rPr>
      <w:pict w14:anchorId="0297E1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7734" o:spid="_x0000_s1025" type="#_x0000_t136" style="position:absolute;margin-left:0;margin-top:0;width:453.1pt;height:169.9pt;rotation:315;z-index:-251657216;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1A3F"/>
    <w:multiLevelType w:val="hybridMultilevel"/>
    <w:tmpl w:val="80A6C2A6"/>
    <w:lvl w:ilvl="0" w:tplc="140A000F">
      <w:start w:val="1"/>
      <w:numFmt w:val="decimal"/>
      <w:lvlText w:val="%1."/>
      <w:lvlJc w:val="left"/>
      <w:pPr>
        <w:ind w:left="502" w:hanging="36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 w15:restartNumberingAfterBreak="0">
    <w:nsid w:val="06604856"/>
    <w:multiLevelType w:val="hybridMultilevel"/>
    <w:tmpl w:val="A5EE365A"/>
    <w:lvl w:ilvl="0" w:tplc="19566ED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79225B6"/>
    <w:multiLevelType w:val="hybridMultilevel"/>
    <w:tmpl w:val="9C20EFA4"/>
    <w:lvl w:ilvl="0" w:tplc="2BC22E4A">
      <w:start w:val="1"/>
      <w:numFmt w:val="decimal"/>
      <w:lvlText w:val="%1."/>
      <w:lvlJc w:val="left"/>
      <w:pPr>
        <w:ind w:left="1211"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8444CB1"/>
    <w:multiLevelType w:val="hybridMultilevel"/>
    <w:tmpl w:val="36EC6DD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6B28D0"/>
    <w:multiLevelType w:val="hybridMultilevel"/>
    <w:tmpl w:val="AF1897E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FDF05C1"/>
    <w:multiLevelType w:val="hybridMultilevel"/>
    <w:tmpl w:val="AA2C089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05545AD"/>
    <w:multiLevelType w:val="hybridMultilevel"/>
    <w:tmpl w:val="E2F42D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0AC50CC"/>
    <w:multiLevelType w:val="hybridMultilevel"/>
    <w:tmpl w:val="CD62D176"/>
    <w:lvl w:ilvl="0" w:tplc="993C1F1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1522231"/>
    <w:multiLevelType w:val="hybridMultilevel"/>
    <w:tmpl w:val="CAA48F8C"/>
    <w:lvl w:ilvl="0" w:tplc="98C6681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1BC0BA0"/>
    <w:multiLevelType w:val="hybridMultilevel"/>
    <w:tmpl w:val="2F068252"/>
    <w:lvl w:ilvl="0" w:tplc="9244A450">
      <w:start w:val="1"/>
      <w:numFmt w:val="decimal"/>
      <w:lvlText w:val="%1."/>
      <w:lvlJc w:val="left"/>
      <w:pPr>
        <w:ind w:left="720" w:hanging="360"/>
      </w:pPr>
      <w:rPr>
        <w:color w:val="000000" w:themeColor="tex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43162D7"/>
    <w:multiLevelType w:val="hybridMultilevel"/>
    <w:tmpl w:val="E5EAEB62"/>
    <w:lvl w:ilvl="0" w:tplc="C80E681E">
      <w:start w:val="1"/>
      <w:numFmt w:val="upp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746166F"/>
    <w:multiLevelType w:val="hybridMultilevel"/>
    <w:tmpl w:val="CFB021B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CE065FB"/>
    <w:multiLevelType w:val="hybridMultilevel"/>
    <w:tmpl w:val="10B67B1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DAB6224"/>
    <w:multiLevelType w:val="hybridMultilevel"/>
    <w:tmpl w:val="AF1897E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1363A34"/>
    <w:multiLevelType w:val="hybridMultilevel"/>
    <w:tmpl w:val="135AE9F4"/>
    <w:lvl w:ilvl="0" w:tplc="DFF8C26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18E7089"/>
    <w:multiLevelType w:val="hybridMultilevel"/>
    <w:tmpl w:val="135AE9F4"/>
    <w:lvl w:ilvl="0" w:tplc="DFF8C26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229428E"/>
    <w:multiLevelType w:val="hybridMultilevel"/>
    <w:tmpl w:val="D61A555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53C3338"/>
    <w:multiLevelType w:val="hybridMultilevel"/>
    <w:tmpl w:val="73D67CC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8" w15:restartNumberingAfterBreak="0">
    <w:nsid w:val="26B930B5"/>
    <w:multiLevelType w:val="hybridMultilevel"/>
    <w:tmpl w:val="135AE9F4"/>
    <w:lvl w:ilvl="0" w:tplc="DFF8C26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29097793"/>
    <w:multiLevelType w:val="hybridMultilevel"/>
    <w:tmpl w:val="0F40673A"/>
    <w:lvl w:ilvl="0" w:tplc="140A000F">
      <w:start w:val="1"/>
      <w:numFmt w:val="decimal"/>
      <w:lvlText w:val="%1."/>
      <w:lvlJc w:val="left"/>
      <w:pPr>
        <w:ind w:left="714" w:hanging="360"/>
      </w:pPr>
    </w:lvl>
    <w:lvl w:ilvl="1" w:tplc="140A0019" w:tentative="1">
      <w:start w:val="1"/>
      <w:numFmt w:val="lowerLetter"/>
      <w:lvlText w:val="%2."/>
      <w:lvlJc w:val="left"/>
      <w:pPr>
        <w:ind w:left="1434" w:hanging="360"/>
      </w:pPr>
    </w:lvl>
    <w:lvl w:ilvl="2" w:tplc="140A001B" w:tentative="1">
      <w:start w:val="1"/>
      <w:numFmt w:val="lowerRoman"/>
      <w:lvlText w:val="%3."/>
      <w:lvlJc w:val="right"/>
      <w:pPr>
        <w:ind w:left="2154" w:hanging="180"/>
      </w:pPr>
    </w:lvl>
    <w:lvl w:ilvl="3" w:tplc="140A000F" w:tentative="1">
      <w:start w:val="1"/>
      <w:numFmt w:val="decimal"/>
      <w:lvlText w:val="%4."/>
      <w:lvlJc w:val="left"/>
      <w:pPr>
        <w:ind w:left="2874" w:hanging="360"/>
      </w:pPr>
    </w:lvl>
    <w:lvl w:ilvl="4" w:tplc="140A0019" w:tentative="1">
      <w:start w:val="1"/>
      <w:numFmt w:val="lowerLetter"/>
      <w:lvlText w:val="%5."/>
      <w:lvlJc w:val="left"/>
      <w:pPr>
        <w:ind w:left="3594" w:hanging="360"/>
      </w:pPr>
    </w:lvl>
    <w:lvl w:ilvl="5" w:tplc="140A001B" w:tentative="1">
      <w:start w:val="1"/>
      <w:numFmt w:val="lowerRoman"/>
      <w:lvlText w:val="%6."/>
      <w:lvlJc w:val="right"/>
      <w:pPr>
        <w:ind w:left="4314" w:hanging="180"/>
      </w:pPr>
    </w:lvl>
    <w:lvl w:ilvl="6" w:tplc="140A000F" w:tentative="1">
      <w:start w:val="1"/>
      <w:numFmt w:val="decimal"/>
      <w:lvlText w:val="%7."/>
      <w:lvlJc w:val="left"/>
      <w:pPr>
        <w:ind w:left="5034" w:hanging="360"/>
      </w:pPr>
    </w:lvl>
    <w:lvl w:ilvl="7" w:tplc="140A0019" w:tentative="1">
      <w:start w:val="1"/>
      <w:numFmt w:val="lowerLetter"/>
      <w:lvlText w:val="%8."/>
      <w:lvlJc w:val="left"/>
      <w:pPr>
        <w:ind w:left="5754" w:hanging="360"/>
      </w:pPr>
    </w:lvl>
    <w:lvl w:ilvl="8" w:tplc="140A001B" w:tentative="1">
      <w:start w:val="1"/>
      <w:numFmt w:val="lowerRoman"/>
      <w:lvlText w:val="%9."/>
      <w:lvlJc w:val="right"/>
      <w:pPr>
        <w:ind w:left="6474" w:hanging="180"/>
      </w:pPr>
    </w:lvl>
  </w:abstractNum>
  <w:abstractNum w:abstractNumId="20" w15:restartNumberingAfterBreak="0">
    <w:nsid w:val="2A2D40FA"/>
    <w:multiLevelType w:val="hybridMultilevel"/>
    <w:tmpl w:val="069275FE"/>
    <w:lvl w:ilvl="0" w:tplc="2D382FFA">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2B047051"/>
    <w:multiLevelType w:val="hybridMultilevel"/>
    <w:tmpl w:val="A2A41896"/>
    <w:lvl w:ilvl="0" w:tplc="445A9EE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2BB902C0"/>
    <w:multiLevelType w:val="hybridMultilevel"/>
    <w:tmpl w:val="9E92C84C"/>
    <w:lvl w:ilvl="0" w:tplc="140A000F">
      <w:start w:val="1"/>
      <w:numFmt w:val="decimal"/>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2F022AA4"/>
    <w:multiLevelType w:val="hybridMultilevel"/>
    <w:tmpl w:val="6478BA9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0492532"/>
    <w:multiLevelType w:val="hybridMultilevel"/>
    <w:tmpl w:val="01F8DFB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33952340"/>
    <w:multiLevelType w:val="hybridMultilevel"/>
    <w:tmpl w:val="E906331E"/>
    <w:lvl w:ilvl="0" w:tplc="D1A64F7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350E12EC"/>
    <w:multiLevelType w:val="hybridMultilevel"/>
    <w:tmpl w:val="196EEA5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36B61711"/>
    <w:multiLevelType w:val="hybridMultilevel"/>
    <w:tmpl w:val="7FECEB5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3FFB2FD4"/>
    <w:multiLevelType w:val="hybridMultilevel"/>
    <w:tmpl w:val="ACE4511E"/>
    <w:lvl w:ilvl="0" w:tplc="28CA43DC">
      <w:start w:val="3"/>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8AB158E"/>
    <w:multiLevelType w:val="hybridMultilevel"/>
    <w:tmpl w:val="3A30A60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90F7A71"/>
    <w:multiLevelType w:val="hybridMultilevel"/>
    <w:tmpl w:val="ADAEA0EE"/>
    <w:lvl w:ilvl="0" w:tplc="9244A450">
      <w:start w:val="1"/>
      <w:numFmt w:val="decimal"/>
      <w:lvlText w:val="%1."/>
      <w:lvlJc w:val="left"/>
      <w:pPr>
        <w:ind w:left="720" w:hanging="360"/>
      </w:pPr>
      <w:rPr>
        <w:color w:val="000000" w:themeColor="tex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AAD1703"/>
    <w:multiLevelType w:val="hybridMultilevel"/>
    <w:tmpl w:val="795AD0AE"/>
    <w:lvl w:ilvl="0" w:tplc="279855D6">
      <w:start w:val="1"/>
      <w:numFmt w:val="decimal"/>
      <w:lvlText w:val="(%1)"/>
      <w:lvlJc w:val="left"/>
      <w:pPr>
        <w:ind w:left="720" w:hanging="360"/>
      </w:pPr>
      <w:rPr>
        <w:rFonts w:ascii="Verdana" w:eastAsiaTheme="minorHAnsi" w:hAnsi="Verdana" w:cstheme="minorBid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4FDA32ED"/>
    <w:multiLevelType w:val="hybridMultilevel"/>
    <w:tmpl w:val="135AE9F4"/>
    <w:lvl w:ilvl="0" w:tplc="DFF8C26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8477409"/>
    <w:multiLevelType w:val="hybridMultilevel"/>
    <w:tmpl w:val="229634A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58C7205A"/>
    <w:multiLevelType w:val="hybridMultilevel"/>
    <w:tmpl w:val="DBEA5AC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59043DC1"/>
    <w:multiLevelType w:val="hybridMultilevel"/>
    <w:tmpl w:val="9E025850"/>
    <w:lvl w:ilvl="0" w:tplc="682CBE4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5A8F6536"/>
    <w:multiLevelType w:val="hybridMultilevel"/>
    <w:tmpl w:val="7DFA7278"/>
    <w:lvl w:ilvl="0" w:tplc="C038D912">
      <w:start w:val="1"/>
      <w:numFmt w:val="decimal"/>
      <w:lvlText w:val="%1."/>
      <w:lvlJc w:val="left"/>
      <w:pPr>
        <w:ind w:left="720" w:hanging="360"/>
      </w:pPr>
      <w:rPr>
        <w:color w:val="000000" w:themeColor="tex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5B9C488A"/>
    <w:multiLevelType w:val="hybridMultilevel"/>
    <w:tmpl w:val="B9663374"/>
    <w:lvl w:ilvl="0" w:tplc="EFE8283A">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5D554C17"/>
    <w:multiLevelType w:val="hybridMultilevel"/>
    <w:tmpl w:val="535417F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66D66C94"/>
    <w:multiLevelType w:val="hybridMultilevel"/>
    <w:tmpl w:val="682CF9DE"/>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02C0AEB"/>
    <w:multiLevelType w:val="hybridMultilevel"/>
    <w:tmpl w:val="674A07E8"/>
    <w:lvl w:ilvl="0" w:tplc="140A000F">
      <w:start w:val="1"/>
      <w:numFmt w:val="decimal"/>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9E0517A"/>
    <w:multiLevelType w:val="hybridMultilevel"/>
    <w:tmpl w:val="E4F4EFE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7A4B7452"/>
    <w:multiLevelType w:val="hybridMultilevel"/>
    <w:tmpl w:val="9408937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F2F0FC5"/>
    <w:multiLevelType w:val="hybridMultilevel"/>
    <w:tmpl w:val="3B021536"/>
    <w:lvl w:ilvl="0" w:tplc="140A000F">
      <w:start w:val="1"/>
      <w:numFmt w:val="decimal"/>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6"/>
  </w:num>
  <w:num w:numId="2">
    <w:abstractNumId w:val="35"/>
  </w:num>
  <w:num w:numId="3">
    <w:abstractNumId w:val="0"/>
  </w:num>
  <w:num w:numId="4">
    <w:abstractNumId w:val="2"/>
  </w:num>
  <w:num w:numId="5">
    <w:abstractNumId w:val="10"/>
  </w:num>
  <w:num w:numId="6">
    <w:abstractNumId w:val="33"/>
  </w:num>
  <w:num w:numId="7">
    <w:abstractNumId w:val="37"/>
  </w:num>
  <w:num w:numId="8">
    <w:abstractNumId w:val="31"/>
  </w:num>
  <w:num w:numId="9">
    <w:abstractNumId w:val="4"/>
  </w:num>
  <w:num w:numId="10">
    <w:abstractNumId w:val="13"/>
  </w:num>
  <w:num w:numId="11">
    <w:abstractNumId w:val="28"/>
  </w:num>
  <w:num w:numId="12">
    <w:abstractNumId w:val="8"/>
  </w:num>
  <w:num w:numId="13">
    <w:abstractNumId w:val="7"/>
  </w:num>
  <w:num w:numId="14">
    <w:abstractNumId w:val="18"/>
  </w:num>
  <w:num w:numId="15">
    <w:abstractNumId w:val="15"/>
  </w:num>
  <w:num w:numId="16">
    <w:abstractNumId w:val="32"/>
  </w:num>
  <w:num w:numId="17">
    <w:abstractNumId w:val="14"/>
  </w:num>
  <w:num w:numId="18">
    <w:abstractNumId w:val="41"/>
  </w:num>
  <w:num w:numId="19">
    <w:abstractNumId w:val="42"/>
  </w:num>
  <w:num w:numId="20">
    <w:abstractNumId w:val="5"/>
  </w:num>
  <w:num w:numId="21">
    <w:abstractNumId w:val="16"/>
  </w:num>
  <w:num w:numId="22">
    <w:abstractNumId w:val="34"/>
  </w:num>
  <w:num w:numId="23">
    <w:abstractNumId w:val="12"/>
  </w:num>
  <w:num w:numId="24">
    <w:abstractNumId w:val="29"/>
  </w:num>
  <w:num w:numId="25">
    <w:abstractNumId w:val="3"/>
  </w:num>
  <w:num w:numId="26">
    <w:abstractNumId w:val="40"/>
  </w:num>
  <w:num w:numId="27">
    <w:abstractNumId w:val="22"/>
  </w:num>
  <w:num w:numId="28">
    <w:abstractNumId w:val="43"/>
  </w:num>
  <w:num w:numId="29">
    <w:abstractNumId w:val="38"/>
  </w:num>
  <w:num w:numId="30">
    <w:abstractNumId w:val="23"/>
  </w:num>
  <w:num w:numId="31">
    <w:abstractNumId w:val="27"/>
  </w:num>
  <w:num w:numId="32">
    <w:abstractNumId w:val="20"/>
  </w:num>
  <w:num w:numId="33">
    <w:abstractNumId w:val="26"/>
  </w:num>
  <w:num w:numId="34">
    <w:abstractNumId w:val="24"/>
  </w:num>
  <w:num w:numId="35">
    <w:abstractNumId w:val="36"/>
  </w:num>
  <w:num w:numId="36">
    <w:abstractNumId w:val="9"/>
  </w:num>
  <w:num w:numId="37">
    <w:abstractNumId w:val="19"/>
  </w:num>
  <w:num w:numId="38">
    <w:abstractNumId w:val="30"/>
  </w:num>
  <w:num w:numId="39">
    <w:abstractNumId w:val="11"/>
  </w:num>
  <w:num w:numId="40">
    <w:abstractNumId w:val="39"/>
  </w:num>
  <w:num w:numId="41">
    <w:abstractNumId w:val="25"/>
  </w:num>
  <w:num w:numId="42">
    <w:abstractNumId w:val="21"/>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201"/>
    <w:rsid w:val="00002500"/>
    <w:rsid w:val="00003F5A"/>
    <w:rsid w:val="00013D42"/>
    <w:rsid w:val="00015990"/>
    <w:rsid w:val="00016F40"/>
    <w:rsid w:val="00021477"/>
    <w:rsid w:val="00024B46"/>
    <w:rsid w:val="00030B0B"/>
    <w:rsid w:val="00031F34"/>
    <w:rsid w:val="00042927"/>
    <w:rsid w:val="000508FE"/>
    <w:rsid w:val="00056FA3"/>
    <w:rsid w:val="00060A1F"/>
    <w:rsid w:val="00061F47"/>
    <w:rsid w:val="00062049"/>
    <w:rsid w:val="0006363B"/>
    <w:rsid w:val="000667D3"/>
    <w:rsid w:val="00066CDF"/>
    <w:rsid w:val="00074864"/>
    <w:rsid w:val="00075DA9"/>
    <w:rsid w:val="000766AC"/>
    <w:rsid w:val="00081A31"/>
    <w:rsid w:val="000849FB"/>
    <w:rsid w:val="00086B15"/>
    <w:rsid w:val="000911D5"/>
    <w:rsid w:val="00093B30"/>
    <w:rsid w:val="0009430B"/>
    <w:rsid w:val="00095298"/>
    <w:rsid w:val="000A2E1D"/>
    <w:rsid w:val="000B7B7C"/>
    <w:rsid w:val="000C0CDD"/>
    <w:rsid w:val="000C1871"/>
    <w:rsid w:val="000C2C4C"/>
    <w:rsid w:val="000C50B7"/>
    <w:rsid w:val="000C7D8C"/>
    <w:rsid w:val="000D0235"/>
    <w:rsid w:val="000D3DA1"/>
    <w:rsid w:val="000D5D8C"/>
    <w:rsid w:val="000D696E"/>
    <w:rsid w:val="000E0802"/>
    <w:rsid w:val="000E0C0B"/>
    <w:rsid w:val="000E2078"/>
    <w:rsid w:val="000E2A53"/>
    <w:rsid w:val="000E3D3A"/>
    <w:rsid w:val="000F4EF9"/>
    <w:rsid w:val="000F7833"/>
    <w:rsid w:val="00101598"/>
    <w:rsid w:val="001018E4"/>
    <w:rsid w:val="001048E8"/>
    <w:rsid w:val="00105E90"/>
    <w:rsid w:val="00113418"/>
    <w:rsid w:val="00113E30"/>
    <w:rsid w:val="00114E35"/>
    <w:rsid w:val="001174DA"/>
    <w:rsid w:val="00123A6A"/>
    <w:rsid w:val="0013251C"/>
    <w:rsid w:val="00132ED1"/>
    <w:rsid w:val="00140D25"/>
    <w:rsid w:val="00140F0F"/>
    <w:rsid w:val="00140F9E"/>
    <w:rsid w:val="00142819"/>
    <w:rsid w:val="00142FD3"/>
    <w:rsid w:val="0015655A"/>
    <w:rsid w:val="0015679A"/>
    <w:rsid w:val="00157FC1"/>
    <w:rsid w:val="00162967"/>
    <w:rsid w:val="0016600C"/>
    <w:rsid w:val="0016779D"/>
    <w:rsid w:val="00170CB8"/>
    <w:rsid w:val="00171788"/>
    <w:rsid w:val="00172E68"/>
    <w:rsid w:val="001814FE"/>
    <w:rsid w:val="00181BD2"/>
    <w:rsid w:val="001831AD"/>
    <w:rsid w:val="00191D18"/>
    <w:rsid w:val="00197A08"/>
    <w:rsid w:val="001A764C"/>
    <w:rsid w:val="001B1684"/>
    <w:rsid w:val="001B6034"/>
    <w:rsid w:val="001C4302"/>
    <w:rsid w:val="001C500F"/>
    <w:rsid w:val="001C5F93"/>
    <w:rsid w:val="001C621D"/>
    <w:rsid w:val="001C6BF6"/>
    <w:rsid w:val="001D35B5"/>
    <w:rsid w:val="001D7002"/>
    <w:rsid w:val="001E367B"/>
    <w:rsid w:val="001E7E60"/>
    <w:rsid w:val="001F1E6E"/>
    <w:rsid w:val="001F7440"/>
    <w:rsid w:val="00203E75"/>
    <w:rsid w:val="002076E6"/>
    <w:rsid w:val="00210811"/>
    <w:rsid w:val="00210F88"/>
    <w:rsid w:val="0021186C"/>
    <w:rsid w:val="00211BAC"/>
    <w:rsid w:val="00213DF1"/>
    <w:rsid w:val="002149B0"/>
    <w:rsid w:val="00220601"/>
    <w:rsid w:val="002262B0"/>
    <w:rsid w:val="002267F0"/>
    <w:rsid w:val="00232930"/>
    <w:rsid w:val="002360F0"/>
    <w:rsid w:val="00236CAD"/>
    <w:rsid w:val="00237CF8"/>
    <w:rsid w:val="00240EC4"/>
    <w:rsid w:val="0024328A"/>
    <w:rsid w:val="00244EEC"/>
    <w:rsid w:val="00250BF7"/>
    <w:rsid w:val="00252532"/>
    <w:rsid w:val="00261545"/>
    <w:rsid w:val="00262D20"/>
    <w:rsid w:val="002706F9"/>
    <w:rsid w:val="002723E6"/>
    <w:rsid w:val="00273AE2"/>
    <w:rsid w:val="00273DB8"/>
    <w:rsid w:val="00275D6E"/>
    <w:rsid w:val="002771D2"/>
    <w:rsid w:val="0027776D"/>
    <w:rsid w:val="00280C3F"/>
    <w:rsid w:val="002843AF"/>
    <w:rsid w:val="00285A5E"/>
    <w:rsid w:val="00285BE6"/>
    <w:rsid w:val="00286760"/>
    <w:rsid w:val="0029057F"/>
    <w:rsid w:val="00291BD9"/>
    <w:rsid w:val="002924B6"/>
    <w:rsid w:val="00293308"/>
    <w:rsid w:val="002B4240"/>
    <w:rsid w:val="002B4563"/>
    <w:rsid w:val="002B57F0"/>
    <w:rsid w:val="002B6085"/>
    <w:rsid w:val="002B73D2"/>
    <w:rsid w:val="002C5A06"/>
    <w:rsid w:val="002C5CD9"/>
    <w:rsid w:val="002D6033"/>
    <w:rsid w:val="002D6755"/>
    <w:rsid w:val="002E309E"/>
    <w:rsid w:val="002E3A8E"/>
    <w:rsid w:val="002E4273"/>
    <w:rsid w:val="002F1C80"/>
    <w:rsid w:val="002F2322"/>
    <w:rsid w:val="002F26C7"/>
    <w:rsid w:val="002F34A0"/>
    <w:rsid w:val="002F7F26"/>
    <w:rsid w:val="003008BC"/>
    <w:rsid w:val="00300E3F"/>
    <w:rsid w:val="00301846"/>
    <w:rsid w:val="00303E90"/>
    <w:rsid w:val="00304E64"/>
    <w:rsid w:val="0031030A"/>
    <w:rsid w:val="003150F6"/>
    <w:rsid w:val="00317593"/>
    <w:rsid w:val="0031776E"/>
    <w:rsid w:val="00317C11"/>
    <w:rsid w:val="00321A0F"/>
    <w:rsid w:val="00322CC6"/>
    <w:rsid w:val="00322EBF"/>
    <w:rsid w:val="003242CE"/>
    <w:rsid w:val="00324B33"/>
    <w:rsid w:val="00330111"/>
    <w:rsid w:val="00335A05"/>
    <w:rsid w:val="00336175"/>
    <w:rsid w:val="0033791C"/>
    <w:rsid w:val="003400E6"/>
    <w:rsid w:val="00340E33"/>
    <w:rsid w:val="00346085"/>
    <w:rsid w:val="003460C0"/>
    <w:rsid w:val="00346D0C"/>
    <w:rsid w:val="003518B7"/>
    <w:rsid w:val="00360F82"/>
    <w:rsid w:val="00361727"/>
    <w:rsid w:val="003632C2"/>
    <w:rsid w:val="003636F0"/>
    <w:rsid w:val="003647F6"/>
    <w:rsid w:val="00373A57"/>
    <w:rsid w:val="00374890"/>
    <w:rsid w:val="00377254"/>
    <w:rsid w:val="00381666"/>
    <w:rsid w:val="00382511"/>
    <w:rsid w:val="00384692"/>
    <w:rsid w:val="003860FB"/>
    <w:rsid w:val="003917EF"/>
    <w:rsid w:val="003A2A7B"/>
    <w:rsid w:val="003A455A"/>
    <w:rsid w:val="003A4997"/>
    <w:rsid w:val="003A5487"/>
    <w:rsid w:val="003A7470"/>
    <w:rsid w:val="003A7D82"/>
    <w:rsid w:val="003B44AE"/>
    <w:rsid w:val="003B75D6"/>
    <w:rsid w:val="003C12F8"/>
    <w:rsid w:val="003C1936"/>
    <w:rsid w:val="003C3734"/>
    <w:rsid w:val="003D2064"/>
    <w:rsid w:val="003D4DAF"/>
    <w:rsid w:val="003D654F"/>
    <w:rsid w:val="003D6D74"/>
    <w:rsid w:val="003D7695"/>
    <w:rsid w:val="003D7B24"/>
    <w:rsid w:val="003E1251"/>
    <w:rsid w:val="003E3FB4"/>
    <w:rsid w:val="003E517E"/>
    <w:rsid w:val="003E54CF"/>
    <w:rsid w:val="003E5C2C"/>
    <w:rsid w:val="003E7DCB"/>
    <w:rsid w:val="003F0B92"/>
    <w:rsid w:val="003F18E9"/>
    <w:rsid w:val="003F28B6"/>
    <w:rsid w:val="003F64F6"/>
    <w:rsid w:val="003F6C4F"/>
    <w:rsid w:val="00401EF0"/>
    <w:rsid w:val="00403FEF"/>
    <w:rsid w:val="004073C4"/>
    <w:rsid w:val="004105A3"/>
    <w:rsid w:val="00411DC9"/>
    <w:rsid w:val="00412E3E"/>
    <w:rsid w:val="00413181"/>
    <w:rsid w:val="00415957"/>
    <w:rsid w:val="004159FA"/>
    <w:rsid w:val="00415D64"/>
    <w:rsid w:val="0041799D"/>
    <w:rsid w:val="004223B4"/>
    <w:rsid w:val="004305E0"/>
    <w:rsid w:val="004332D4"/>
    <w:rsid w:val="00440F43"/>
    <w:rsid w:val="00441B31"/>
    <w:rsid w:val="00445245"/>
    <w:rsid w:val="00450528"/>
    <w:rsid w:val="004518F2"/>
    <w:rsid w:val="004527B3"/>
    <w:rsid w:val="00453229"/>
    <w:rsid w:val="00460759"/>
    <w:rsid w:val="004628E2"/>
    <w:rsid w:val="00462EFB"/>
    <w:rsid w:val="00463902"/>
    <w:rsid w:val="00472604"/>
    <w:rsid w:val="00476841"/>
    <w:rsid w:val="00480B84"/>
    <w:rsid w:val="00483A43"/>
    <w:rsid w:val="00483F6A"/>
    <w:rsid w:val="00491B2C"/>
    <w:rsid w:val="00496C8B"/>
    <w:rsid w:val="004A2C2E"/>
    <w:rsid w:val="004A325C"/>
    <w:rsid w:val="004A6C75"/>
    <w:rsid w:val="004A6F87"/>
    <w:rsid w:val="004B321B"/>
    <w:rsid w:val="004C1297"/>
    <w:rsid w:val="004C27FA"/>
    <w:rsid w:val="004C5D7F"/>
    <w:rsid w:val="004D1588"/>
    <w:rsid w:val="004E0A5E"/>
    <w:rsid w:val="004E1D45"/>
    <w:rsid w:val="004E1D8A"/>
    <w:rsid w:val="004E7AD9"/>
    <w:rsid w:val="004F3B93"/>
    <w:rsid w:val="004F7BCD"/>
    <w:rsid w:val="00500AF2"/>
    <w:rsid w:val="00505105"/>
    <w:rsid w:val="0050542C"/>
    <w:rsid w:val="0050787F"/>
    <w:rsid w:val="00510256"/>
    <w:rsid w:val="00520C2E"/>
    <w:rsid w:val="00522DAD"/>
    <w:rsid w:val="005234A5"/>
    <w:rsid w:val="00523FE8"/>
    <w:rsid w:val="00524FF5"/>
    <w:rsid w:val="005266A8"/>
    <w:rsid w:val="005266E9"/>
    <w:rsid w:val="00533CFC"/>
    <w:rsid w:val="00536206"/>
    <w:rsid w:val="0053636F"/>
    <w:rsid w:val="00536CD7"/>
    <w:rsid w:val="00540251"/>
    <w:rsid w:val="005419D4"/>
    <w:rsid w:val="00543438"/>
    <w:rsid w:val="005502F1"/>
    <w:rsid w:val="0055088F"/>
    <w:rsid w:val="005531CA"/>
    <w:rsid w:val="00555267"/>
    <w:rsid w:val="00560159"/>
    <w:rsid w:val="00567624"/>
    <w:rsid w:val="00570109"/>
    <w:rsid w:val="005707CD"/>
    <w:rsid w:val="00572FDD"/>
    <w:rsid w:val="00574E0F"/>
    <w:rsid w:val="00575898"/>
    <w:rsid w:val="00580E4D"/>
    <w:rsid w:val="0058172C"/>
    <w:rsid w:val="005826DF"/>
    <w:rsid w:val="005845BB"/>
    <w:rsid w:val="00587396"/>
    <w:rsid w:val="005928E1"/>
    <w:rsid w:val="00593C49"/>
    <w:rsid w:val="005A0AB0"/>
    <w:rsid w:val="005A45AC"/>
    <w:rsid w:val="005A5009"/>
    <w:rsid w:val="005A7192"/>
    <w:rsid w:val="005B2DF4"/>
    <w:rsid w:val="005B5E86"/>
    <w:rsid w:val="005C0203"/>
    <w:rsid w:val="005C41B0"/>
    <w:rsid w:val="005C7F33"/>
    <w:rsid w:val="005D1019"/>
    <w:rsid w:val="005D246C"/>
    <w:rsid w:val="005D2915"/>
    <w:rsid w:val="005D3018"/>
    <w:rsid w:val="005E7A08"/>
    <w:rsid w:val="005F002B"/>
    <w:rsid w:val="005F3424"/>
    <w:rsid w:val="005F55B8"/>
    <w:rsid w:val="00606751"/>
    <w:rsid w:val="00606F08"/>
    <w:rsid w:val="00610C90"/>
    <w:rsid w:val="00611AFB"/>
    <w:rsid w:val="00612420"/>
    <w:rsid w:val="00620737"/>
    <w:rsid w:val="006224F3"/>
    <w:rsid w:val="006228F9"/>
    <w:rsid w:val="0062373D"/>
    <w:rsid w:val="0062447A"/>
    <w:rsid w:val="006252EC"/>
    <w:rsid w:val="0065113E"/>
    <w:rsid w:val="00652852"/>
    <w:rsid w:val="006535CC"/>
    <w:rsid w:val="0066116B"/>
    <w:rsid w:val="00661F7C"/>
    <w:rsid w:val="006621D5"/>
    <w:rsid w:val="00662954"/>
    <w:rsid w:val="00664F0A"/>
    <w:rsid w:val="006654D3"/>
    <w:rsid w:val="0066664C"/>
    <w:rsid w:val="006721EF"/>
    <w:rsid w:val="0067582B"/>
    <w:rsid w:val="0068199C"/>
    <w:rsid w:val="006829B1"/>
    <w:rsid w:val="006832BA"/>
    <w:rsid w:val="00685685"/>
    <w:rsid w:val="0068707C"/>
    <w:rsid w:val="00693036"/>
    <w:rsid w:val="006A0E05"/>
    <w:rsid w:val="006A1675"/>
    <w:rsid w:val="006A27DF"/>
    <w:rsid w:val="006A2FF4"/>
    <w:rsid w:val="006A465D"/>
    <w:rsid w:val="006A5466"/>
    <w:rsid w:val="006A7847"/>
    <w:rsid w:val="006B0348"/>
    <w:rsid w:val="006B1860"/>
    <w:rsid w:val="006B538E"/>
    <w:rsid w:val="006C33EE"/>
    <w:rsid w:val="006C4B36"/>
    <w:rsid w:val="006C6F1E"/>
    <w:rsid w:val="006D58D4"/>
    <w:rsid w:val="006D5F5D"/>
    <w:rsid w:val="006D7720"/>
    <w:rsid w:val="006E084B"/>
    <w:rsid w:val="006E0900"/>
    <w:rsid w:val="006E3F5E"/>
    <w:rsid w:val="006F2653"/>
    <w:rsid w:val="006F46A2"/>
    <w:rsid w:val="006F5914"/>
    <w:rsid w:val="006F6A1F"/>
    <w:rsid w:val="006F7703"/>
    <w:rsid w:val="0070245E"/>
    <w:rsid w:val="00703D29"/>
    <w:rsid w:val="007060FA"/>
    <w:rsid w:val="00706D80"/>
    <w:rsid w:val="00712485"/>
    <w:rsid w:val="00722D0B"/>
    <w:rsid w:val="00727B43"/>
    <w:rsid w:val="00730CCB"/>
    <w:rsid w:val="00732188"/>
    <w:rsid w:val="00736E65"/>
    <w:rsid w:val="00736F1C"/>
    <w:rsid w:val="00737A85"/>
    <w:rsid w:val="007420BB"/>
    <w:rsid w:val="00743A44"/>
    <w:rsid w:val="00744F18"/>
    <w:rsid w:val="00745548"/>
    <w:rsid w:val="0074661D"/>
    <w:rsid w:val="00747D43"/>
    <w:rsid w:val="0075443B"/>
    <w:rsid w:val="00763911"/>
    <w:rsid w:val="007753CE"/>
    <w:rsid w:val="0078320C"/>
    <w:rsid w:val="00784945"/>
    <w:rsid w:val="007864CE"/>
    <w:rsid w:val="00792466"/>
    <w:rsid w:val="0079339F"/>
    <w:rsid w:val="0079477D"/>
    <w:rsid w:val="00797C87"/>
    <w:rsid w:val="007A26CC"/>
    <w:rsid w:val="007A37E8"/>
    <w:rsid w:val="007A5335"/>
    <w:rsid w:val="007A568E"/>
    <w:rsid w:val="007A5F69"/>
    <w:rsid w:val="007A77B1"/>
    <w:rsid w:val="007B2C6C"/>
    <w:rsid w:val="007B2D44"/>
    <w:rsid w:val="007B65F4"/>
    <w:rsid w:val="007B67A8"/>
    <w:rsid w:val="007C2492"/>
    <w:rsid w:val="007C77D2"/>
    <w:rsid w:val="007D16F8"/>
    <w:rsid w:val="007D1D55"/>
    <w:rsid w:val="007D2C3B"/>
    <w:rsid w:val="007E0CCB"/>
    <w:rsid w:val="007E54B0"/>
    <w:rsid w:val="007F3C66"/>
    <w:rsid w:val="007F52F3"/>
    <w:rsid w:val="00803C18"/>
    <w:rsid w:val="008052C5"/>
    <w:rsid w:val="008061FC"/>
    <w:rsid w:val="00820CA2"/>
    <w:rsid w:val="00821628"/>
    <w:rsid w:val="00821D61"/>
    <w:rsid w:val="00827405"/>
    <w:rsid w:val="0083010F"/>
    <w:rsid w:val="00831F7D"/>
    <w:rsid w:val="008458A5"/>
    <w:rsid w:val="0085103E"/>
    <w:rsid w:val="00851B91"/>
    <w:rsid w:val="00854098"/>
    <w:rsid w:val="00861BC1"/>
    <w:rsid w:val="00861DAC"/>
    <w:rsid w:val="00864F8C"/>
    <w:rsid w:val="008668AF"/>
    <w:rsid w:val="00871504"/>
    <w:rsid w:val="00871D94"/>
    <w:rsid w:val="00873063"/>
    <w:rsid w:val="00873B90"/>
    <w:rsid w:val="00875720"/>
    <w:rsid w:val="00875FDE"/>
    <w:rsid w:val="0088543A"/>
    <w:rsid w:val="0088610D"/>
    <w:rsid w:val="0089790A"/>
    <w:rsid w:val="008A15CF"/>
    <w:rsid w:val="008A61D7"/>
    <w:rsid w:val="008B0FB6"/>
    <w:rsid w:val="008B3767"/>
    <w:rsid w:val="008B7A2D"/>
    <w:rsid w:val="008C1D79"/>
    <w:rsid w:val="008C2BFA"/>
    <w:rsid w:val="008C39DD"/>
    <w:rsid w:val="008C45C6"/>
    <w:rsid w:val="008C74E3"/>
    <w:rsid w:val="008D1CE1"/>
    <w:rsid w:val="008D1D09"/>
    <w:rsid w:val="008D22E3"/>
    <w:rsid w:val="008D5BB1"/>
    <w:rsid w:val="008E1D40"/>
    <w:rsid w:val="008E48E2"/>
    <w:rsid w:val="008E5110"/>
    <w:rsid w:val="008E5192"/>
    <w:rsid w:val="008F057C"/>
    <w:rsid w:val="008F482D"/>
    <w:rsid w:val="008F5274"/>
    <w:rsid w:val="00902A44"/>
    <w:rsid w:val="009113CE"/>
    <w:rsid w:val="00912A9F"/>
    <w:rsid w:val="00912E36"/>
    <w:rsid w:val="00913A89"/>
    <w:rsid w:val="00923329"/>
    <w:rsid w:val="00924D40"/>
    <w:rsid w:val="00927145"/>
    <w:rsid w:val="00932AB5"/>
    <w:rsid w:val="00935A82"/>
    <w:rsid w:val="009415B2"/>
    <w:rsid w:val="009514BD"/>
    <w:rsid w:val="00953BEE"/>
    <w:rsid w:val="009561A7"/>
    <w:rsid w:val="00957C94"/>
    <w:rsid w:val="00964F2D"/>
    <w:rsid w:val="00966E59"/>
    <w:rsid w:val="00970470"/>
    <w:rsid w:val="009837A1"/>
    <w:rsid w:val="00986E2E"/>
    <w:rsid w:val="009906AE"/>
    <w:rsid w:val="0099169D"/>
    <w:rsid w:val="00993BD4"/>
    <w:rsid w:val="00995509"/>
    <w:rsid w:val="00995F98"/>
    <w:rsid w:val="00996631"/>
    <w:rsid w:val="00996D92"/>
    <w:rsid w:val="009A0761"/>
    <w:rsid w:val="009A1148"/>
    <w:rsid w:val="009A27E8"/>
    <w:rsid w:val="009A4D55"/>
    <w:rsid w:val="009A4D76"/>
    <w:rsid w:val="009A6EE4"/>
    <w:rsid w:val="009C125F"/>
    <w:rsid w:val="009C4AB5"/>
    <w:rsid w:val="009D00E3"/>
    <w:rsid w:val="009D2CBD"/>
    <w:rsid w:val="009D31E6"/>
    <w:rsid w:val="009D5261"/>
    <w:rsid w:val="009E13BF"/>
    <w:rsid w:val="009E2BDB"/>
    <w:rsid w:val="009E4E12"/>
    <w:rsid w:val="009E5C27"/>
    <w:rsid w:val="009E6AAB"/>
    <w:rsid w:val="009F1831"/>
    <w:rsid w:val="009F3024"/>
    <w:rsid w:val="009F4274"/>
    <w:rsid w:val="00A0070F"/>
    <w:rsid w:val="00A02ECD"/>
    <w:rsid w:val="00A0403F"/>
    <w:rsid w:val="00A06C17"/>
    <w:rsid w:val="00A07E1E"/>
    <w:rsid w:val="00A17F38"/>
    <w:rsid w:val="00A20DD0"/>
    <w:rsid w:val="00A221DC"/>
    <w:rsid w:val="00A22BAA"/>
    <w:rsid w:val="00A22FF2"/>
    <w:rsid w:val="00A24336"/>
    <w:rsid w:val="00A25D75"/>
    <w:rsid w:val="00A34C30"/>
    <w:rsid w:val="00A36027"/>
    <w:rsid w:val="00A37C41"/>
    <w:rsid w:val="00A40371"/>
    <w:rsid w:val="00A42F98"/>
    <w:rsid w:val="00A43511"/>
    <w:rsid w:val="00A43CC1"/>
    <w:rsid w:val="00A442C9"/>
    <w:rsid w:val="00A4653F"/>
    <w:rsid w:val="00A473B8"/>
    <w:rsid w:val="00A47F7E"/>
    <w:rsid w:val="00A61564"/>
    <w:rsid w:val="00A65E77"/>
    <w:rsid w:val="00A67846"/>
    <w:rsid w:val="00A76878"/>
    <w:rsid w:val="00A80586"/>
    <w:rsid w:val="00A81633"/>
    <w:rsid w:val="00A81A93"/>
    <w:rsid w:val="00A95E73"/>
    <w:rsid w:val="00AA0574"/>
    <w:rsid w:val="00AA35D8"/>
    <w:rsid w:val="00AA498E"/>
    <w:rsid w:val="00AA53C6"/>
    <w:rsid w:val="00AA5AEF"/>
    <w:rsid w:val="00AA63AC"/>
    <w:rsid w:val="00AA6844"/>
    <w:rsid w:val="00AA7461"/>
    <w:rsid w:val="00AB13BC"/>
    <w:rsid w:val="00AB2E52"/>
    <w:rsid w:val="00AB3348"/>
    <w:rsid w:val="00AB49EF"/>
    <w:rsid w:val="00AB672B"/>
    <w:rsid w:val="00AC1CA8"/>
    <w:rsid w:val="00AC4DEB"/>
    <w:rsid w:val="00AC6537"/>
    <w:rsid w:val="00AC673F"/>
    <w:rsid w:val="00AD2A6C"/>
    <w:rsid w:val="00AD4F96"/>
    <w:rsid w:val="00AE69FE"/>
    <w:rsid w:val="00AE72C0"/>
    <w:rsid w:val="00AF0677"/>
    <w:rsid w:val="00AF1207"/>
    <w:rsid w:val="00AF26B7"/>
    <w:rsid w:val="00AF31BF"/>
    <w:rsid w:val="00AF6513"/>
    <w:rsid w:val="00B03FA9"/>
    <w:rsid w:val="00B04E25"/>
    <w:rsid w:val="00B05AEA"/>
    <w:rsid w:val="00B05B16"/>
    <w:rsid w:val="00B05EE7"/>
    <w:rsid w:val="00B075CA"/>
    <w:rsid w:val="00B1398C"/>
    <w:rsid w:val="00B13A8B"/>
    <w:rsid w:val="00B226CC"/>
    <w:rsid w:val="00B23BF3"/>
    <w:rsid w:val="00B26B08"/>
    <w:rsid w:val="00B3072D"/>
    <w:rsid w:val="00B436F2"/>
    <w:rsid w:val="00B46E27"/>
    <w:rsid w:val="00B525BA"/>
    <w:rsid w:val="00B52E19"/>
    <w:rsid w:val="00B53625"/>
    <w:rsid w:val="00B55B9E"/>
    <w:rsid w:val="00B56E60"/>
    <w:rsid w:val="00B57F5A"/>
    <w:rsid w:val="00B602AC"/>
    <w:rsid w:val="00B6046A"/>
    <w:rsid w:val="00B62BA8"/>
    <w:rsid w:val="00B63D03"/>
    <w:rsid w:val="00B74F8F"/>
    <w:rsid w:val="00B87427"/>
    <w:rsid w:val="00B917F9"/>
    <w:rsid w:val="00B94A8A"/>
    <w:rsid w:val="00B977C8"/>
    <w:rsid w:val="00B97D2C"/>
    <w:rsid w:val="00BA1A6A"/>
    <w:rsid w:val="00BA5832"/>
    <w:rsid w:val="00BB3DE6"/>
    <w:rsid w:val="00BB452A"/>
    <w:rsid w:val="00BB4E59"/>
    <w:rsid w:val="00BB7862"/>
    <w:rsid w:val="00BB7FFE"/>
    <w:rsid w:val="00BC06AA"/>
    <w:rsid w:val="00BC10ED"/>
    <w:rsid w:val="00BC5050"/>
    <w:rsid w:val="00BC79BD"/>
    <w:rsid w:val="00BD16B8"/>
    <w:rsid w:val="00BD5D24"/>
    <w:rsid w:val="00BE0E8D"/>
    <w:rsid w:val="00BE13A2"/>
    <w:rsid w:val="00BE1904"/>
    <w:rsid w:val="00BE7AD4"/>
    <w:rsid w:val="00BF3DB5"/>
    <w:rsid w:val="00C00585"/>
    <w:rsid w:val="00C014D0"/>
    <w:rsid w:val="00C066EA"/>
    <w:rsid w:val="00C10CE9"/>
    <w:rsid w:val="00C127C0"/>
    <w:rsid w:val="00C16CED"/>
    <w:rsid w:val="00C17A74"/>
    <w:rsid w:val="00C2171C"/>
    <w:rsid w:val="00C26D22"/>
    <w:rsid w:val="00C309A3"/>
    <w:rsid w:val="00C37D35"/>
    <w:rsid w:val="00C40C2F"/>
    <w:rsid w:val="00C40CF1"/>
    <w:rsid w:val="00C41095"/>
    <w:rsid w:val="00C4271D"/>
    <w:rsid w:val="00C42F2B"/>
    <w:rsid w:val="00C4366A"/>
    <w:rsid w:val="00C43A3E"/>
    <w:rsid w:val="00C45201"/>
    <w:rsid w:val="00C474D2"/>
    <w:rsid w:val="00C53276"/>
    <w:rsid w:val="00C540B1"/>
    <w:rsid w:val="00C55A09"/>
    <w:rsid w:val="00C55F2D"/>
    <w:rsid w:val="00C60CA2"/>
    <w:rsid w:val="00C703DA"/>
    <w:rsid w:val="00C714AF"/>
    <w:rsid w:val="00C716AD"/>
    <w:rsid w:val="00C74206"/>
    <w:rsid w:val="00C74ACE"/>
    <w:rsid w:val="00C75380"/>
    <w:rsid w:val="00C819B7"/>
    <w:rsid w:val="00C83392"/>
    <w:rsid w:val="00C83B48"/>
    <w:rsid w:val="00C8491D"/>
    <w:rsid w:val="00C84DDB"/>
    <w:rsid w:val="00C87FF1"/>
    <w:rsid w:val="00C90207"/>
    <w:rsid w:val="00CA49A9"/>
    <w:rsid w:val="00CA4E3C"/>
    <w:rsid w:val="00CA7B29"/>
    <w:rsid w:val="00CB1CE2"/>
    <w:rsid w:val="00CB2CCA"/>
    <w:rsid w:val="00CB6C5B"/>
    <w:rsid w:val="00CB78A6"/>
    <w:rsid w:val="00CC372C"/>
    <w:rsid w:val="00CC373C"/>
    <w:rsid w:val="00CD3905"/>
    <w:rsid w:val="00CE029E"/>
    <w:rsid w:val="00CE0480"/>
    <w:rsid w:val="00CE4339"/>
    <w:rsid w:val="00CF1D69"/>
    <w:rsid w:val="00CF37AB"/>
    <w:rsid w:val="00CF6FBB"/>
    <w:rsid w:val="00D00C5B"/>
    <w:rsid w:val="00D020F7"/>
    <w:rsid w:val="00D0351A"/>
    <w:rsid w:val="00D06E50"/>
    <w:rsid w:val="00D0703C"/>
    <w:rsid w:val="00D11109"/>
    <w:rsid w:val="00D12FD4"/>
    <w:rsid w:val="00D15C9F"/>
    <w:rsid w:val="00D15FE2"/>
    <w:rsid w:val="00D2327E"/>
    <w:rsid w:val="00D2572F"/>
    <w:rsid w:val="00D25B63"/>
    <w:rsid w:val="00D323CD"/>
    <w:rsid w:val="00D35AF1"/>
    <w:rsid w:val="00D363CD"/>
    <w:rsid w:val="00D43DE0"/>
    <w:rsid w:val="00D47484"/>
    <w:rsid w:val="00D57776"/>
    <w:rsid w:val="00D61340"/>
    <w:rsid w:val="00D62F6E"/>
    <w:rsid w:val="00D6358F"/>
    <w:rsid w:val="00D67CC5"/>
    <w:rsid w:val="00D71C14"/>
    <w:rsid w:val="00D7202E"/>
    <w:rsid w:val="00D72D21"/>
    <w:rsid w:val="00D74A47"/>
    <w:rsid w:val="00D7510E"/>
    <w:rsid w:val="00D7570A"/>
    <w:rsid w:val="00D77B42"/>
    <w:rsid w:val="00D8004D"/>
    <w:rsid w:val="00D82B21"/>
    <w:rsid w:val="00D8495B"/>
    <w:rsid w:val="00D84F7D"/>
    <w:rsid w:val="00D852F4"/>
    <w:rsid w:val="00D95497"/>
    <w:rsid w:val="00D957DD"/>
    <w:rsid w:val="00DA049F"/>
    <w:rsid w:val="00DA09D3"/>
    <w:rsid w:val="00DA4D53"/>
    <w:rsid w:val="00DA57A4"/>
    <w:rsid w:val="00DA57E9"/>
    <w:rsid w:val="00DA62ED"/>
    <w:rsid w:val="00DB0E18"/>
    <w:rsid w:val="00DB41BA"/>
    <w:rsid w:val="00DB533D"/>
    <w:rsid w:val="00DB7596"/>
    <w:rsid w:val="00DB7D8A"/>
    <w:rsid w:val="00DC02A9"/>
    <w:rsid w:val="00DC180B"/>
    <w:rsid w:val="00DC772B"/>
    <w:rsid w:val="00DD38E8"/>
    <w:rsid w:val="00DD5508"/>
    <w:rsid w:val="00DD5B6B"/>
    <w:rsid w:val="00DE02A4"/>
    <w:rsid w:val="00DE24F7"/>
    <w:rsid w:val="00DE3A49"/>
    <w:rsid w:val="00DE58A1"/>
    <w:rsid w:val="00DE7C7A"/>
    <w:rsid w:val="00DF0177"/>
    <w:rsid w:val="00DF01F9"/>
    <w:rsid w:val="00DF02DC"/>
    <w:rsid w:val="00DF392D"/>
    <w:rsid w:val="00DF6A25"/>
    <w:rsid w:val="00E0094E"/>
    <w:rsid w:val="00E04B15"/>
    <w:rsid w:val="00E11A9F"/>
    <w:rsid w:val="00E164A2"/>
    <w:rsid w:val="00E172ED"/>
    <w:rsid w:val="00E223B5"/>
    <w:rsid w:val="00E25B75"/>
    <w:rsid w:val="00E33958"/>
    <w:rsid w:val="00E37930"/>
    <w:rsid w:val="00E40D4D"/>
    <w:rsid w:val="00E41B61"/>
    <w:rsid w:val="00E422B7"/>
    <w:rsid w:val="00E425E7"/>
    <w:rsid w:val="00E452CC"/>
    <w:rsid w:val="00E457F4"/>
    <w:rsid w:val="00E51724"/>
    <w:rsid w:val="00E52E52"/>
    <w:rsid w:val="00E53398"/>
    <w:rsid w:val="00E53407"/>
    <w:rsid w:val="00E53731"/>
    <w:rsid w:val="00E54B56"/>
    <w:rsid w:val="00E60448"/>
    <w:rsid w:val="00E62E27"/>
    <w:rsid w:val="00E637E2"/>
    <w:rsid w:val="00E65993"/>
    <w:rsid w:val="00E65E5B"/>
    <w:rsid w:val="00E711F5"/>
    <w:rsid w:val="00E71BA9"/>
    <w:rsid w:val="00E777E7"/>
    <w:rsid w:val="00E81A29"/>
    <w:rsid w:val="00E85806"/>
    <w:rsid w:val="00E87561"/>
    <w:rsid w:val="00E90561"/>
    <w:rsid w:val="00E90954"/>
    <w:rsid w:val="00E90986"/>
    <w:rsid w:val="00EA3B8C"/>
    <w:rsid w:val="00EA546B"/>
    <w:rsid w:val="00EB2476"/>
    <w:rsid w:val="00EB2B16"/>
    <w:rsid w:val="00EB2D1D"/>
    <w:rsid w:val="00EC0BE2"/>
    <w:rsid w:val="00EC5899"/>
    <w:rsid w:val="00ED3F40"/>
    <w:rsid w:val="00EE68D1"/>
    <w:rsid w:val="00EE6EB1"/>
    <w:rsid w:val="00EF0E04"/>
    <w:rsid w:val="00EF1E65"/>
    <w:rsid w:val="00EF6AD3"/>
    <w:rsid w:val="00F0376F"/>
    <w:rsid w:val="00F05168"/>
    <w:rsid w:val="00F05398"/>
    <w:rsid w:val="00F07960"/>
    <w:rsid w:val="00F22D71"/>
    <w:rsid w:val="00F26566"/>
    <w:rsid w:val="00F274FF"/>
    <w:rsid w:val="00F351DC"/>
    <w:rsid w:val="00F40CCC"/>
    <w:rsid w:val="00F424D3"/>
    <w:rsid w:val="00F43B19"/>
    <w:rsid w:val="00F44317"/>
    <w:rsid w:val="00F45B72"/>
    <w:rsid w:val="00F512DB"/>
    <w:rsid w:val="00F517D9"/>
    <w:rsid w:val="00F564AD"/>
    <w:rsid w:val="00F57515"/>
    <w:rsid w:val="00F613C0"/>
    <w:rsid w:val="00F62B3A"/>
    <w:rsid w:val="00F65BF3"/>
    <w:rsid w:val="00F665CD"/>
    <w:rsid w:val="00F702B9"/>
    <w:rsid w:val="00F70AAD"/>
    <w:rsid w:val="00F72E10"/>
    <w:rsid w:val="00F81B64"/>
    <w:rsid w:val="00F82055"/>
    <w:rsid w:val="00F8248A"/>
    <w:rsid w:val="00F85259"/>
    <w:rsid w:val="00F87AEC"/>
    <w:rsid w:val="00F91829"/>
    <w:rsid w:val="00F921DA"/>
    <w:rsid w:val="00F93E8C"/>
    <w:rsid w:val="00F94B3A"/>
    <w:rsid w:val="00F95A95"/>
    <w:rsid w:val="00F97D8D"/>
    <w:rsid w:val="00FA0649"/>
    <w:rsid w:val="00FB146E"/>
    <w:rsid w:val="00FB1CED"/>
    <w:rsid w:val="00FB203C"/>
    <w:rsid w:val="00FB6FD1"/>
    <w:rsid w:val="00FC0C2D"/>
    <w:rsid w:val="00FC11A5"/>
    <w:rsid w:val="00FC3CEC"/>
    <w:rsid w:val="00FC694F"/>
    <w:rsid w:val="00FC7E8C"/>
    <w:rsid w:val="00FD70FB"/>
    <w:rsid w:val="00FE2753"/>
    <w:rsid w:val="00FE3595"/>
    <w:rsid w:val="00FE39F8"/>
    <w:rsid w:val="00FF3FDA"/>
    <w:rsid w:val="00FF78A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DF326"/>
  <w15:chartTrackingRefBased/>
  <w15:docId w15:val="{340B129C-00FD-4D42-894E-D4737C43D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360F82"/>
  </w:style>
  <w:style w:type="paragraph" w:styleId="Prrafodelista">
    <w:name w:val="List Paragraph"/>
    <w:aliases w:val="Footnote,List Paragraph1,Colorful List - Accent 11,Párrafo de lista1"/>
    <w:basedOn w:val="Normal"/>
    <w:link w:val="PrrafodelistaCar"/>
    <w:uiPriority w:val="34"/>
    <w:qFormat/>
    <w:rsid w:val="00360F82"/>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ft,FA Fu?notente"/>
    <w:basedOn w:val="Normal"/>
    <w:link w:val="TextonotapieCar"/>
    <w:uiPriority w:val="99"/>
    <w:unhideWhenUsed/>
    <w:qFormat/>
    <w:rsid w:val="00360F82"/>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uiPriority w:val="99"/>
    <w:qFormat/>
    <w:rsid w:val="00360F82"/>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360F82"/>
    <w:rPr>
      <w:vertAlign w:val="superscript"/>
    </w:rPr>
  </w:style>
  <w:style w:type="character" w:styleId="Hipervnculo">
    <w:name w:val="Hyperlink"/>
    <w:basedOn w:val="Fuentedeprrafopredeter"/>
    <w:uiPriority w:val="99"/>
    <w:unhideWhenUsed/>
    <w:rsid w:val="00FC11A5"/>
    <w:rPr>
      <w:color w:val="0563C1" w:themeColor="hyperlink"/>
      <w:u w:val="single"/>
    </w:rPr>
  </w:style>
  <w:style w:type="paragraph" w:styleId="Encabezado">
    <w:name w:val="header"/>
    <w:basedOn w:val="Normal"/>
    <w:link w:val="EncabezadoCar"/>
    <w:uiPriority w:val="99"/>
    <w:unhideWhenUsed/>
    <w:rsid w:val="00AB49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49EF"/>
  </w:style>
  <w:style w:type="paragraph" w:styleId="Piedepgina">
    <w:name w:val="footer"/>
    <w:basedOn w:val="Normal"/>
    <w:link w:val="PiedepginaCar"/>
    <w:uiPriority w:val="99"/>
    <w:unhideWhenUsed/>
    <w:rsid w:val="00AB49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49EF"/>
  </w:style>
  <w:style w:type="paragraph" w:styleId="NormalWeb">
    <w:name w:val="Normal (Web)"/>
    <w:basedOn w:val="Normal"/>
    <w:uiPriority w:val="99"/>
    <w:unhideWhenUsed/>
    <w:rsid w:val="00AB49EF"/>
    <w:pPr>
      <w:spacing w:after="0" w:line="240" w:lineRule="auto"/>
    </w:pPr>
    <w:rPr>
      <w:rFonts w:ascii="Times New Roman" w:hAnsi="Times New Roman" w:cs="Times New Roman"/>
      <w:sz w:val="24"/>
      <w:szCs w:val="24"/>
      <w:lang w:eastAsia="es-CR"/>
    </w:rPr>
  </w:style>
  <w:style w:type="character" w:styleId="Hipervnculovisitado">
    <w:name w:val="FollowedHyperlink"/>
    <w:basedOn w:val="Fuentedeprrafopredeter"/>
    <w:uiPriority w:val="99"/>
    <w:semiHidden/>
    <w:unhideWhenUsed/>
    <w:rsid w:val="00062049"/>
    <w:rPr>
      <w:color w:val="954F72" w:themeColor="followedHyperlink"/>
      <w:u w:val="single"/>
    </w:rPr>
  </w:style>
  <w:style w:type="paragraph" w:styleId="TDC1">
    <w:name w:val="toc 1"/>
    <w:basedOn w:val="Normal"/>
    <w:next w:val="Normal"/>
    <w:autoRedefine/>
    <w:uiPriority w:val="39"/>
    <w:unhideWhenUsed/>
    <w:rsid w:val="00062049"/>
    <w:pPr>
      <w:spacing w:after="100" w:line="240" w:lineRule="auto"/>
    </w:pPr>
    <w:rPr>
      <w:rFonts w:ascii="Calibri" w:hAnsi="Calibri" w:cs="Calibri"/>
    </w:rPr>
  </w:style>
  <w:style w:type="character" w:styleId="Refdecomentario">
    <w:name w:val="annotation reference"/>
    <w:basedOn w:val="Fuentedeprrafopredeter"/>
    <w:uiPriority w:val="99"/>
    <w:semiHidden/>
    <w:unhideWhenUsed/>
    <w:rsid w:val="00A0403F"/>
    <w:rPr>
      <w:sz w:val="16"/>
      <w:szCs w:val="16"/>
    </w:rPr>
  </w:style>
  <w:style w:type="paragraph" w:styleId="Textocomentario">
    <w:name w:val="annotation text"/>
    <w:basedOn w:val="Normal"/>
    <w:link w:val="TextocomentarioCar"/>
    <w:uiPriority w:val="99"/>
    <w:semiHidden/>
    <w:unhideWhenUsed/>
    <w:rsid w:val="00A0403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0403F"/>
    <w:rPr>
      <w:sz w:val="20"/>
      <w:szCs w:val="20"/>
    </w:rPr>
  </w:style>
  <w:style w:type="paragraph" w:styleId="Asuntodelcomentario">
    <w:name w:val="annotation subject"/>
    <w:basedOn w:val="Textocomentario"/>
    <w:next w:val="Textocomentario"/>
    <w:link w:val="AsuntodelcomentarioCar"/>
    <w:uiPriority w:val="99"/>
    <w:semiHidden/>
    <w:unhideWhenUsed/>
    <w:rsid w:val="00A0403F"/>
    <w:rPr>
      <w:b/>
      <w:bCs/>
    </w:rPr>
  </w:style>
  <w:style w:type="character" w:customStyle="1" w:styleId="AsuntodelcomentarioCar">
    <w:name w:val="Asunto del comentario Car"/>
    <w:basedOn w:val="TextocomentarioCar"/>
    <w:link w:val="Asuntodelcomentario"/>
    <w:uiPriority w:val="99"/>
    <w:semiHidden/>
    <w:rsid w:val="00A0403F"/>
    <w:rPr>
      <w:b/>
      <w:bCs/>
      <w:sz w:val="20"/>
      <w:szCs w:val="20"/>
    </w:rPr>
  </w:style>
  <w:style w:type="paragraph" w:styleId="Textodeglobo">
    <w:name w:val="Balloon Text"/>
    <w:basedOn w:val="Normal"/>
    <w:link w:val="TextodegloboCar"/>
    <w:uiPriority w:val="99"/>
    <w:semiHidden/>
    <w:unhideWhenUsed/>
    <w:rsid w:val="00A040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403F"/>
    <w:rPr>
      <w:rFonts w:ascii="Segoe UI" w:hAnsi="Segoe UI" w:cs="Segoe UI"/>
      <w:sz w:val="18"/>
      <w:szCs w:val="18"/>
    </w:rPr>
  </w:style>
  <w:style w:type="character" w:customStyle="1" w:styleId="PrrafodelistaCar">
    <w:name w:val="Párrafo de lista Car"/>
    <w:aliases w:val="Footnote Car,List Paragraph1 Car,Colorful List - Accent 11 Car,Párrafo de lista1 Car"/>
    <w:link w:val="Prrafodelista"/>
    <w:uiPriority w:val="34"/>
    <w:rsid w:val="005A500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26566"/>
    <w:pPr>
      <w:spacing w:after="0" w:line="240" w:lineRule="auto"/>
      <w:jc w:val="both"/>
    </w:pPr>
    <w:rPr>
      <w:vertAlign w:val="superscript"/>
    </w:rPr>
  </w:style>
  <w:style w:type="paragraph" w:customStyle="1" w:styleId="Default">
    <w:name w:val="Default"/>
    <w:rsid w:val="00F45B72"/>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33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corteidh.or.cr/docs/supervisiones/torres_millacura_21_07_20.pdf" TargetMode="External"/><Relationship Id="rId2" Type="http://schemas.openxmlformats.org/officeDocument/2006/relationships/hyperlink" Target="http://www.corteidh.or.cr/docs/supervisiones/furlan_28_11_18.pdf" TargetMode="External"/><Relationship Id="rId1" Type="http://schemas.openxmlformats.org/officeDocument/2006/relationships/hyperlink" Target="http://www.corteidh.or.cr/docs/casos/articulos/seriec_396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F0D73-1056-419C-B3DB-447F48622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1310</Words>
  <Characters>7205</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2021-12-16T18:56:00Z</cp:lastPrinted>
  <dcterms:created xsi:type="dcterms:W3CDTF">2022-01-03T17:28:00Z</dcterms:created>
  <dcterms:modified xsi:type="dcterms:W3CDTF">2022-01-03T17:28:00Z</dcterms:modified>
</cp:coreProperties>
</file>